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818"/>
        <w:jc w:val="center"/>
        <w:rPr>
          <w:rStyle w:val="27"/>
          <w:rFonts w:hint="default" w:ascii="宋体" w:hAnsi="宋体" w:eastAsia="宋体"/>
          <w:color w:val="auto"/>
          <w:sz w:val="24"/>
          <w:highlight w:val="none"/>
          <w:lang w:val="en-US" w:eastAsia="zh-CN"/>
        </w:rPr>
      </w:pPr>
      <w:r>
        <w:rPr>
          <w:rStyle w:val="27"/>
          <w:rFonts w:hint="eastAsia" w:ascii="宋体" w:hAnsi="宋体"/>
          <w:color w:val="auto"/>
          <w:sz w:val="24"/>
          <w:highlight w:val="none"/>
          <w:lang w:val="en-US" w:eastAsia="zh-CN"/>
        </w:rPr>
        <w:t xml:space="preserve">  </w:t>
      </w:r>
    </w:p>
    <w:p>
      <w:pPr>
        <w:topLinePunct/>
        <w:ind w:right="54" w:rightChars="26"/>
        <w:jc w:val="center"/>
        <w:rPr>
          <w:rFonts w:ascii="宋体" w:hAnsi="宋体"/>
          <w:b/>
          <w:bCs/>
          <w:color w:val="auto"/>
          <w:sz w:val="52"/>
          <w:szCs w:val="52"/>
          <w:highlight w:val="none"/>
        </w:rPr>
      </w:pPr>
      <w:r>
        <w:rPr>
          <w:rFonts w:hint="eastAsia" w:ascii="宋体" w:hAnsi="宋体"/>
          <w:b/>
          <w:bCs/>
          <w:color w:val="auto"/>
          <w:sz w:val="52"/>
          <w:szCs w:val="52"/>
          <w:highlight w:val="none"/>
        </w:rPr>
        <w:t>廉江市镇级污水管网及配套设施项目</w:t>
      </w:r>
    </w:p>
    <w:p>
      <w:pPr>
        <w:topLinePunct/>
        <w:ind w:right="54" w:rightChars="26"/>
        <w:jc w:val="center"/>
        <w:rPr>
          <w:rFonts w:ascii="宋体" w:hAnsi="宋体"/>
          <w:b/>
          <w:bCs/>
          <w:color w:val="auto"/>
          <w:sz w:val="52"/>
          <w:szCs w:val="52"/>
          <w:highlight w:val="none"/>
        </w:rPr>
      </w:pPr>
      <w:r>
        <w:rPr>
          <w:rFonts w:hint="eastAsia" w:ascii="宋体" w:hAnsi="宋体"/>
          <w:b/>
          <w:bCs/>
          <w:color w:val="auto"/>
          <w:sz w:val="52"/>
          <w:szCs w:val="52"/>
          <w:highlight w:val="none"/>
        </w:rPr>
        <w:t>勘察设计</w:t>
      </w:r>
    </w:p>
    <w:p>
      <w:pPr>
        <w:widowControl w:val="0"/>
        <w:autoSpaceDE w:val="0"/>
        <w:autoSpaceDN w:val="0"/>
        <w:spacing w:before="20" w:line="360" w:lineRule="auto"/>
        <w:ind w:right="660"/>
        <w:jc w:val="center"/>
        <w:rPr>
          <w:rFonts w:asciiTheme="minorEastAsia" w:hAnsiTheme="minorEastAsia" w:eastAsiaTheme="minorEastAsia" w:cstheme="minorEastAsia"/>
          <w:b/>
          <w:color w:val="auto"/>
          <w:sz w:val="52"/>
          <w:szCs w:val="52"/>
          <w:highlight w:val="none"/>
        </w:rPr>
      </w:pPr>
    </w:p>
    <w:p>
      <w:pPr>
        <w:pStyle w:val="10"/>
        <w:widowControl w:val="0"/>
        <w:autoSpaceDE w:val="0"/>
        <w:autoSpaceDN w:val="0"/>
        <w:spacing w:line="360" w:lineRule="auto"/>
        <w:rPr>
          <w:rFonts w:asciiTheme="minorEastAsia" w:hAnsiTheme="minorEastAsia" w:eastAsiaTheme="minorEastAsia" w:cstheme="minorEastAsia"/>
          <w:b/>
          <w:color w:val="auto"/>
          <w:sz w:val="24"/>
          <w:highlight w:val="none"/>
        </w:rPr>
      </w:pPr>
    </w:p>
    <w:p>
      <w:pPr>
        <w:pStyle w:val="10"/>
        <w:widowControl w:val="0"/>
        <w:autoSpaceDE w:val="0"/>
        <w:autoSpaceDN w:val="0"/>
        <w:spacing w:line="360" w:lineRule="auto"/>
        <w:rPr>
          <w:rFonts w:asciiTheme="minorEastAsia" w:hAnsiTheme="minorEastAsia" w:eastAsiaTheme="minorEastAsia" w:cstheme="minorEastAsia"/>
          <w:b/>
          <w:color w:val="auto"/>
          <w:sz w:val="24"/>
          <w:highlight w:val="none"/>
        </w:rPr>
      </w:pPr>
    </w:p>
    <w:p>
      <w:pPr>
        <w:pStyle w:val="10"/>
        <w:widowControl w:val="0"/>
        <w:autoSpaceDE w:val="0"/>
        <w:autoSpaceDN w:val="0"/>
        <w:spacing w:line="360" w:lineRule="auto"/>
        <w:rPr>
          <w:rFonts w:asciiTheme="minorEastAsia" w:hAnsiTheme="minorEastAsia" w:eastAsiaTheme="minorEastAsia" w:cstheme="minorEastAsia"/>
          <w:b/>
          <w:color w:val="auto"/>
          <w:sz w:val="24"/>
          <w:highlight w:val="none"/>
        </w:rPr>
      </w:pPr>
    </w:p>
    <w:p>
      <w:pPr>
        <w:spacing w:line="700" w:lineRule="exact"/>
        <w:ind w:right="1763"/>
        <w:jc w:val="center"/>
        <w:rPr>
          <w:rFonts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 xml:space="preserve">    招标文件</w:t>
      </w:r>
    </w:p>
    <w:p>
      <w:pPr>
        <w:spacing w:line="700" w:lineRule="exact"/>
        <w:ind w:right="1763"/>
        <w:jc w:val="center"/>
        <w:rPr>
          <w:rFonts w:ascii="宋体"/>
          <w:b/>
          <w:color w:val="auto"/>
          <w:sz w:val="44"/>
          <w:szCs w:val="44"/>
          <w:highlight w:val="none"/>
        </w:rPr>
      </w:pPr>
      <w:r>
        <w:rPr>
          <w:rFonts w:hint="eastAsia" w:ascii="宋体"/>
          <w:b/>
          <w:color w:val="auto"/>
          <w:sz w:val="44"/>
          <w:szCs w:val="44"/>
          <w:highlight w:val="none"/>
        </w:rPr>
        <w:t xml:space="preserve">     （公开招标）</w:t>
      </w:r>
    </w:p>
    <w:p>
      <w:pPr>
        <w:widowControl w:val="0"/>
        <w:autoSpaceDE w:val="0"/>
        <w:autoSpaceDN w:val="0"/>
        <w:spacing w:before="444" w:line="360" w:lineRule="auto"/>
        <w:ind w:left="672" w:right="660"/>
        <w:jc w:val="center"/>
        <w:rPr>
          <w:rFonts w:asciiTheme="minorEastAsia" w:hAnsiTheme="minorEastAsia" w:eastAsiaTheme="minorEastAsia" w:cstheme="minorEastAsia"/>
          <w:b/>
          <w:color w:val="auto"/>
          <w:sz w:val="72"/>
          <w:szCs w:val="72"/>
          <w:highlight w:val="none"/>
        </w:rPr>
      </w:pPr>
    </w:p>
    <w:p>
      <w:pPr>
        <w:pStyle w:val="10"/>
        <w:widowControl w:val="0"/>
        <w:autoSpaceDE w:val="0"/>
        <w:autoSpaceDN w:val="0"/>
        <w:spacing w:line="360" w:lineRule="auto"/>
        <w:rPr>
          <w:rFonts w:asciiTheme="minorEastAsia" w:hAnsiTheme="minorEastAsia" w:eastAsiaTheme="minorEastAsia" w:cstheme="minorEastAsia"/>
          <w:b/>
          <w:color w:val="auto"/>
          <w:sz w:val="24"/>
          <w:highlight w:val="none"/>
        </w:rPr>
      </w:pPr>
    </w:p>
    <w:p>
      <w:pPr>
        <w:pStyle w:val="10"/>
        <w:widowControl w:val="0"/>
        <w:autoSpaceDE w:val="0"/>
        <w:autoSpaceDN w:val="0"/>
        <w:spacing w:line="360" w:lineRule="auto"/>
        <w:rPr>
          <w:rFonts w:asciiTheme="minorEastAsia" w:hAnsiTheme="minorEastAsia" w:eastAsiaTheme="minorEastAsia" w:cstheme="minorEastAsia"/>
          <w:b/>
          <w:color w:val="auto"/>
          <w:sz w:val="24"/>
          <w:highlight w:val="none"/>
        </w:rPr>
      </w:pPr>
    </w:p>
    <w:p>
      <w:pPr>
        <w:widowControl w:val="0"/>
        <w:autoSpaceDE w:val="0"/>
        <w:autoSpaceDN w:val="0"/>
        <w:spacing w:line="480" w:lineRule="auto"/>
        <w:ind w:right="1134"/>
        <w:jc w:val="center"/>
        <w:rPr>
          <w:b/>
          <w:color w:val="auto"/>
          <w:sz w:val="32"/>
          <w:szCs w:val="32"/>
          <w:highlight w:val="none"/>
        </w:rPr>
      </w:pPr>
      <w:r>
        <w:rPr>
          <w:rFonts w:hint="eastAsia"/>
          <w:b/>
          <w:color w:val="auto"/>
          <w:sz w:val="32"/>
          <w:szCs w:val="32"/>
          <w:highlight w:val="none"/>
        </w:rPr>
        <w:t xml:space="preserve">  招标人（公章）：廉江市住房和城乡建设局</w:t>
      </w:r>
    </w:p>
    <w:p>
      <w:pPr>
        <w:widowControl w:val="0"/>
        <w:autoSpaceDE w:val="0"/>
        <w:autoSpaceDN w:val="0"/>
        <w:spacing w:line="480" w:lineRule="auto"/>
        <w:ind w:right="1134"/>
        <w:jc w:val="center"/>
        <w:rPr>
          <w:b/>
          <w:color w:val="auto"/>
          <w:sz w:val="32"/>
          <w:szCs w:val="32"/>
          <w:highlight w:val="none"/>
        </w:rPr>
      </w:pPr>
      <w:r>
        <w:rPr>
          <w:rFonts w:hint="eastAsia"/>
          <w:b/>
          <w:color w:val="auto"/>
          <w:sz w:val="32"/>
          <w:szCs w:val="32"/>
          <w:highlight w:val="none"/>
        </w:rPr>
        <w:t xml:space="preserve">     </w:t>
      </w:r>
    </w:p>
    <w:p>
      <w:pPr>
        <w:widowControl w:val="0"/>
        <w:autoSpaceDE w:val="0"/>
        <w:autoSpaceDN w:val="0"/>
        <w:spacing w:line="480" w:lineRule="auto"/>
        <w:ind w:right="1134"/>
        <w:jc w:val="center"/>
        <w:rPr>
          <w:rFonts w:hint="eastAsia"/>
          <w:b/>
          <w:color w:val="auto"/>
          <w:sz w:val="32"/>
          <w:szCs w:val="32"/>
          <w:highlight w:val="none"/>
        </w:rPr>
      </w:pPr>
      <w:r>
        <w:rPr>
          <w:rFonts w:hint="eastAsia"/>
          <w:b/>
          <w:color w:val="auto"/>
          <w:sz w:val="32"/>
          <w:szCs w:val="32"/>
          <w:highlight w:val="none"/>
        </w:rPr>
        <w:t xml:space="preserve">   </w:t>
      </w:r>
      <w:r>
        <w:rPr>
          <w:rFonts w:hint="eastAsia"/>
          <w:b/>
          <w:color w:val="auto"/>
          <w:sz w:val="32"/>
          <w:szCs w:val="32"/>
          <w:highlight w:val="none"/>
          <w:lang w:val="en-US" w:eastAsia="zh-CN"/>
        </w:rPr>
        <w:t xml:space="preserve"> </w:t>
      </w:r>
      <w:r>
        <w:rPr>
          <w:rFonts w:hint="eastAsia"/>
          <w:b/>
          <w:color w:val="auto"/>
          <w:sz w:val="32"/>
          <w:szCs w:val="32"/>
          <w:highlight w:val="none"/>
        </w:rPr>
        <w:t>招标代理机构（公章）：永道工程咨询有限公司</w:t>
      </w:r>
    </w:p>
    <w:p>
      <w:pPr>
        <w:widowControl w:val="0"/>
        <w:autoSpaceDE w:val="0"/>
        <w:autoSpaceDN w:val="0"/>
        <w:spacing w:line="480" w:lineRule="auto"/>
        <w:ind w:right="1134"/>
        <w:jc w:val="center"/>
        <w:rPr>
          <w:rFonts w:hint="eastAsia"/>
          <w:b/>
          <w:color w:val="auto"/>
          <w:sz w:val="32"/>
          <w:szCs w:val="32"/>
          <w:highlight w:val="none"/>
        </w:rPr>
      </w:pPr>
    </w:p>
    <w:p>
      <w:pPr>
        <w:widowControl w:val="0"/>
        <w:autoSpaceDE w:val="0"/>
        <w:autoSpaceDN w:val="0"/>
        <w:spacing w:line="480" w:lineRule="auto"/>
        <w:ind w:right="1134" w:firstLine="960" w:firstLineChars="300"/>
        <w:jc w:val="both"/>
        <w:rPr>
          <w:rFonts w:hint="eastAsia"/>
          <w:b/>
          <w:color w:val="auto"/>
          <w:sz w:val="32"/>
          <w:szCs w:val="32"/>
          <w:highlight w:val="none"/>
        </w:rPr>
      </w:pPr>
      <w:r>
        <w:rPr>
          <w:rFonts w:hint="eastAsia"/>
          <w:b/>
          <w:color w:val="auto"/>
          <w:sz w:val="32"/>
          <w:szCs w:val="32"/>
          <w:highlight w:val="none"/>
        </w:rPr>
        <w:t xml:space="preserve">编制日期: </w:t>
      </w:r>
      <w:r>
        <w:rPr>
          <w:rFonts w:hint="eastAsia"/>
          <w:b/>
          <w:color w:val="auto"/>
          <w:sz w:val="32"/>
          <w:szCs w:val="32"/>
          <w:highlight w:val="none"/>
          <w:u w:val="single"/>
        </w:rPr>
        <w:t xml:space="preserve">  </w:t>
      </w:r>
      <w:r>
        <w:rPr>
          <w:rFonts w:hint="eastAsia" w:ascii="宋体" w:hAnsi="宋体" w:cs="宋体"/>
          <w:b/>
          <w:color w:val="auto"/>
          <w:sz w:val="32"/>
          <w:szCs w:val="32"/>
          <w:highlight w:val="none"/>
          <w:u w:val="single"/>
          <w:lang w:val="en-US" w:eastAsia="zh-CN"/>
        </w:rPr>
        <w:t>2022</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 xml:space="preserve">年 </w:t>
      </w:r>
      <w:r>
        <w:rPr>
          <w:rFonts w:hint="eastAsia" w:ascii="宋体" w:hAnsi="宋体" w:eastAsia="宋体" w:cs="宋体"/>
          <w:b/>
          <w:color w:val="auto"/>
          <w:sz w:val="32"/>
          <w:szCs w:val="32"/>
          <w:highlight w:val="none"/>
          <w:u w:val="single"/>
        </w:rPr>
        <w:t xml:space="preserve"> </w:t>
      </w:r>
      <w:r>
        <w:rPr>
          <w:rFonts w:hint="eastAsia" w:ascii="宋体" w:hAnsi="宋体" w:cs="宋体"/>
          <w:b/>
          <w:color w:val="auto"/>
          <w:sz w:val="32"/>
          <w:szCs w:val="32"/>
          <w:highlight w:val="none"/>
          <w:u w:val="single"/>
          <w:lang w:val="en-US" w:eastAsia="zh-CN"/>
        </w:rPr>
        <w:t>3</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月</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sdt>
      <w:sdtPr>
        <w:rPr>
          <w:rFonts w:ascii="宋体" w:hAnsi="宋体"/>
          <w:color w:val="auto"/>
          <w:sz w:val="36"/>
          <w:szCs w:val="44"/>
          <w:highlight w:val="none"/>
        </w:rPr>
        <w:id w:val="147450904"/>
        <w15:color w:val="DBDBDB"/>
        <w:docPartObj>
          <w:docPartGallery w:val="Table of Contents"/>
          <w:docPartUnique/>
        </w:docPartObj>
      </w:sdtPr>
      <w:sdtEndPr>
        <w:rPr>
          <w:rFonts w:ascii="宋体" w:hAnsi="宋体"/>
          <w:color w:val="auto"/>
          <w:sz w:val="36"/>
          <w:szCs w:val="44"/>
          <w:highlight w:val="none"/>
        </w:rPr>
      </w:sdtEndPr>
      <w:sdtContent>
        <w:p>
          <w:pPr>
            <w:jc w:val="center"/>
            <w:rPr>
              <w:b/>
              <w:bCs/>
              <w:color w:val="auto"/>
              <w:sz w:val="52"/>
              <w:szCs w:val="72"/>
              <w:highlight w:val="none"/>
            </w:rPr>
          </w:pPr>
          <w:r>
            <w:rPr>
              <w:rFonts w:ascii="宋体" w:hAnsi="宋体"/>
              <w:b/>
              <w:bCs/>
              <w:color w:val="auto"/>
              <w:sz w:val="52"/>
              <w:szCs w:val="72"/>
              <w:highlight w:val="none"/>
            </w:rPr>
            <w:t>目</w:t>
          </w:r>
          <w:r>
            <w:rPr>
              <w:rFonts w:hint="eastAsia" w:ascii="宋体" w:hAnsi="宋体"/>
              <w:b/>
              <w:bCs/>
              <w:color w:val="auto"/>
              <w:sz w:val="52"/>
              <w:szCs w:val="72"/>
              <w:highlight w:val="none"/>
              <w:lang w:val="en-US" w:eastAsia="zh-CN"/>
            </w:rPr>
            <w:t xml:space="preserve"> </w:t>
          </w:r>
          <w:r>
            <w:rPr>
              <w:rFonts w:ascii="宋体" w:hAnsi="宋体"/>
              <w:b/>
              <w:bCs/>
              <w:color w:val="auto"/>
              <w:sz w:val="52"/>
              <w:szCs w:val="72"/>
              <w:highlight w:val="none"/>
            </w:rPr>
            <w:t>录</w:t>
          </w:r>
        </w:p>
        <w:p>
          <w:pPr>
            <w:pStyle w:val="86"/>
            <w:tabs>
              <w:tab w:val="right" w:leader="dot" w:pos="9072"/>
            </w:tabs>
            <w:spacing w:line="960" w:lineRule="auto"/>
            <w:rPr>
              <w:b/>
              <w:bCs/>
              <w:color w:val="auto"/>
              <w:sz w:val="32"/>
              <w:szCs w:val="32"/>
              <w:highlight w:val="none"/>
            </w:rPr>
          </w:pPr>
          <w:r>
            <w:rPr>
              <w:color w:val="auto"/>
              <w:sz w:val="40"/>
              <w:szCs w:val="40"/>
              <w:highlight w:val="none"/>
            </w:rPr>
            <w:fldChar w:fldCharType="begin"/>
          </w:r>
          <w:r>
            <w:rPr>
              <w:color w:val="auto"/>
              <w:sz w:val="40"/>
              <w:szCs w:val="40"/>
              <w:highlight w:val="none"/>
            </w:rPr>
            <w:instrText xml:space="preserve">TOC \o "1-1" \h \u </w:instrText>
          </w:r>
          <w:r>
            <w:rPr>
              <w:color w:val="auto"/>
              <w:sz w:val="40"/>
              <w:szCs w:val="40"/>
              <w:highlight w:val="none"/>
            </w:rPr>
            <w:fldChar w:fldCharType="separate"/>
          </w:r>
          <w:r>
            <w:rPr>
              <w:b/>
              <w:bCs/>
              <w:color w:val="auto"/>
              <w:highlight w:val="none"/>
            </w:rPr>
            <w:fldChar w:fldCharType="begin"/>
          </w:r>
          <w:r>
            <w:rPr>
              <w:b/>
              <w:bCs/>
              <w:color w:val="auto"/>
              <w:highlight w:val="none"/>
            </w:rPr>
            <w:instrText xml:space="preserve"> HYPERLINK \l "_Toc24200" </w:instrText>
          </w:r>
          <w:r>
            <w:rPr>
              <w:b/>
              <w:bCs/>
              <w:color w:val="auto"/>
              <w:highlight w:val="none"/>
            </w:rPr>
            <w:fldChar w:fldCharType="separate"/>
          </w:r>
          <w:r>
            <w:rPr>
              <w:rFonts w:hint="eastAsia" w:asciiTheme="minorEastAsia" w:hAnsiTheme="minorEastAsia" w:eastAsiaTheme="minorEastAsia" w:cstheme="minorEastAsia"/>
              <w:b/>
              <w:bCs/>
              <w:color w:val="auto"/>
              <w:sz w:val="32"/>
              <w:szCs w:val="52"/>
              <w:highlight w:val="none"/>
            </w:rPr>
            <w:t>第一章  招标公告</w:t>
          </w:r>
          <w:r>
            <w:rPr>
              <w:b/>
              <w:bCs/>
              <w:color w:val="auto"/>
              <w:sz w:val="32"/>
              <w:szCs w:val="32"/>
              <w:highlight w:val="none"/>
            </w:rPr>
            <w:tab/>
          </w:r>
          <w:r>
            <w:rPr>
              <w:b/>
              <w:bCs/>
              <w:color w:val="auto"/>
              <w:sz w:val="32"/>
              <w:szCs w:val="32"/>
              <w:highlight w:val="none"/>
            </w:rPr>
            <w:fldChar w:fldCharType="begin"/>
          </w:r>
          <w:r>
            <w:rPr>
              <w:b/>
              <w:bCs/>
              <w:color w:val="auto"/>
              <w:sz w:val="32"/>
              <w:szCs w:val="32"/>
              <w:highlight w:val="none"/>
            </w:rPr>
            <w:instrText xml:space="preserve"> PAGEREF _Toc24200 \h </w:instrText>
          </w:r>
          <w:r>
            <w:rPr>
              <w:b/>
              <w:bCs/>
              <w:color w:val="auto"/>
              <w:sz w:val="32"/>
              <w:szCs w:val="32"/>
              <w:highlight w:val="none"/>
            </w:rPr>
            <w:fldChar w:fldCharType="separate"/>
          </w:r>
          <w:r>
            <w:rPr>
              <w:b/>
              <w:bCs/>
              <w:color w:val="auto"/>
              <w:sz w:val="32"/>
              <w:szCs w:val="32"/>
              <w:highlight w:val="none"/>
            </w:rPr>
            <w:t>3</w:t>
          </w:r>
          <w:r>
            <w:rPr>
              <w:b/>
              <w:bCs/>
              <w:color w:val="auto"/>
              <w:sz w:val="32"/>
              <w:szCs w:val="32"/>
              <w:highlight w:val="none"/>
            </w:rPr>
            <w:fldChar w:fldCharType="end"/>
          </w:r>
          <w:r>
            <w:rPr>
              <w:b/>
              <w:bCs/>
              <w:color w:val="auto"/>
              <w:sz w:val="32"/>
              <w:szCs w:val="32"/>
              <w:highlight w:val="none"/>
            </w:rPr>
            <w:fldChar w:fldCharType="end"/>
          </w:r>
        </w:p>
        <w:p>
          <w:pPr>
            <w:pStyle w:val="86"/>
            <w:tabs>
              <w:tab w:val="right" w:leader="dot" w:pos="9072"/>
            </w:tabs>
            <w:spacing w:line="960" w:lineRule="auto"/>
            <w:rPr>
              <w:b/>
              <w:bCs/>
              <w:color w:val="auto"/>
              <w:sz w:val="32"/>
              <w:szCs w:val="32"/>
              <w:highlight w:val="none"/>
            </w:rPr>
          </w:pPr>
          <w:r>
            <w:rPr>
              <w:b/>
              <w:bCs/>
              <w:color w:val="auto"/>
              <w:highlight w:val="none"/>
            </w:rPr>
            <w:fldChar w:fldCharType="begin"/>
          </w:r>
          <w:r>
            <w:rPr>
              <w:b/>
              <w:bCs/>
              <w:color w:val="auto"/>
              <w:highlight w:val="none"/>
            </w:rPr>
            <w:instrText xml:space="preserve"> HYPERLINK \l "_Toc18365" </w:instrText>
          </w:r>
          <w:r>
            <w:rPr>
              <w:b/>
              <w:bCs/>
              <w:color w:val="auto"/>
              <w:highlight w:val="none"/>
            </w:rPr>
            <w:fldChar w:fldCharType="separate"/>
          </w:r>
          <w:r>
            <w:rPr>
              <w:rFonts w:hint="eastAsia" w:asciiTheme="minorEastAsia" w:hAnsiTheme="minorEastAsia" w:eastAsiaTheme="minorEastAsia" w:cstheme="minorEastAsia"/>
              <w:b/>
              <w:bCs/>
              <w:color w:val="auto"/>
              <w:sz w:val="32"/>
              <w:szCs w:val="52"/>
              <w:highlight w:val="none"/>
            </w:rPr>
            <w:t>第二章 投标人须知</w:t>
          </w:r>
          <w:r>
            <w:rPr>
              <w:b/>
              <w:bCs/>
              <w:color w:val="auto"/>
              <w:sz w:val="32"/>
              <w:szCs w:val="32"/>
              <w:highlight w:val="none"/>
            </w:rPr>
            <w:tab/>
          </w:r>
          <w:r>
            <w:rPr>
              <w:b/>
              <w:bCs/>
              <w:color w:val="auto"/>
              <w:sz w:val="32"/>
              <w:szCs w:val="32"/>
              <w:highlight w:val="none"/>
            </w:rPr>
            <w:fldChar w:fldCharType="begin"/>
          </w:r>
          <w:r>
            <w:rPr>
              <w:b/>
              <w:bCs/>
              <w:color w:val="auto"/>
              <w:sz w:val="32"/>
              <w:szCs w:val="32"/>
              <w:highlight w:val="none"/>
            </w:rPr>
            <w:instrText xml:space="preserve"> PAGEREF _Toc18365 \h </w:instrText>
          </w:r>
          <w:r>
            <w:rPr>
              <w:b/>
              <w:bCs/>
              <w:color w:val="auto"/>
              <w:sz w:val="32"/>
              <w:szCs w:val="32"/>
              <w:highlight w:val="none"/>
            </w:rPr>
            <w:fldChar w:fldCharType="separate"/>
          </w:r>
          <w:r>
            <w:rPr>
              <w:b/>
              <w:bCs/>
              <w:color w:val="auto"/>
              <w:sz w:val="32"/>
              <w:szCs w:val="32"/>
              <w:highlight w:val="none"/>
            </w:rPr>
            <w:t>9</w:t>
          </w:r>
          <w:r>
            <w:rPr>
              <w:b/>
              <w:bCs/>
              <w:color w:val="auto"/>
              <w:sz w:val="32"/>
              <w:szCs w:val="32"/>
              <w:highlight w:val="none"/>
            </w:rPr>
            <w:fldChar w:fldCharType="end"/>
          </w:r>
          <w:r>
            <w:rPr>
              <w:b/>
              <w:bCs/>
              <w:color w:val="auto"/>
              <w:sz w:val="32"/>
              <w:szCs w:val="32"/>
              <w:highlight w:val="none"/>
            </w:rPr>
            <w:fldChar w:fldCharType="end"/>
          </w:r>
        </w:p>
        <w:p>
          <w:pPr>
            <w:pStyle w:val="86"/>
            <w:tabs>
              <w:tab w:val="right" w:leader="dot" w:pos="9072"/>
            </w:tabs>
            <w:spacing w:line="960" w:lineRule="auto"/>
            <w:rPr>
              <w:b/>
              <w:bCs/>
              <w:color w:val="auto"/>
              <w:sz w:val="32"/>
              <w:szCs w:val="32"/>
              <w:highlight w:val="none"/>
            </w:rPr>
          </w:pPr>
          <w:r>
            <w:rPr>
              <w:b/>
              <w:bCs/>
              <w:color w:val="auto"/>
              <w:highlight w:val="none"/>
            </w:rPr>
            <w:fldChar w:fldCharType="begin"/>
          </w:r>
          <w:r>
            <w:rPr>
              <w:b/>
              <w:bCs/>
              <w:color w:val="auto"/>
              <w:highlight w:val="none"/>
            </w:rPr>
            <w:instrText xml:space="preserve"> HYPERLINK \l "_Toc18429" </w:instrText>
          </w:r>
          <w:r>
            <w:rPr>
              <w:b/>
              <w:bCs/>
              <w:color w:val="auto"/>
              <w:highlight w:val="none"/>
            </w:rPr>
            <w:fldChar w:fldCharType="separate"/>
          </w:r>
          <w:r>
            <w:rPr>
              <w:rFonts w:hint="eastAsia" w:asciiTheme="minorEastAsia" w:hAnsiTheme="minorEastAsia" w:eastAsiaTheme="minorEastAsia" w:cstheme="minorEastAsia"/>
              <w:b/>
              <w:bCs/>
              <w:color w:val="auto"/>
              <w:sz w:val="32"/>
              <w:szCs w:val="52"/>
              <w:highlight w:val="none"/>
            </w:rPr>
            <w:t xml:space="preserve">第三章 评标定标 </w:t>
          </w:r>
          <w:r>
            <w:rPr>
              <w:rFonts w:hint="eastAsia" w:hAnsi="宋体" w:cs="宋体"/>
              <w:b/>
              <w:bCs/>
              <w:color w:val="auto"/>
              <w:sz w:val="32"/>
              <w:szCs w:val="52"/>
              <w:highlight w:val="none"/>
            </w:rPr>
            <w:t xml:space="preserve"> （</w:t>
          </w:r>
          <w:r>
            <w:rPr>
              <w:rFonts w:hAnsi="宋体" w:cs="宋体"/>
              <w:b/>
              <w:bCs/>
              <w:color w:val="auto"/>
              <w:sz w:val="32"/>
              <w:szCs w:val="52"/>
              <w:highlight w:val="none"/>
            </w:rPr>
            <w:t>设计团队综合</w:t>
          </w:r>
          <w:r>
            <w:rPr>
              <w:rFonts w:hint="eastAsia" w:hAnsi="宋体" w:cs="宋体"/>
              <w:b/>
              <w:bCs/>
              <w:color w:val="auto"/>
              <w:sz w:val="32"/>
              <w:szCs w:val="52"/>
              <w:highlight w:val="none"/>
            </w:rPr>
            <w:t>评分</w:t>
          </w:r>
          <w:r>
            <w:rPr>
              <w:rFonts w:hAnsi="宋体" w:cs="宋体"/>
              <w:b/>
              <w:bCs/>
              <w:color w:val="auto"/>
              <w:sz w:val="32"/>
              <w:szCs w:val="52"/>
              <w:highlight w:val="none"/>
            </w:rPr>
            <w:t>评审法）</w:t>
          </w:r>
          <w:r>
            <w:rPr>
              <w:b/>
              <w:bCs/>
              <w:color w:val="auto"/>
              <w:sz w:val="32"/>
              <w:szCs w:val="32"/>
              <w:highlight w:val="none"/>
            </w:rPr>
            <w:tab/>
          </w:r>
          <w:r>
            <w:rPr>
              <w:b/>
              <w:bCs/>
              <w:color w:val="auto"/>
              <w:sz w:val="32"/>
              <w:szCs w:val="32"/>
              <w:highlight w:val="none"/>
            </w:rPr>
            <w:fldChar w:fldCharType="begin"/>
          </w:r>
          <w:r>
            <w:rPr>
              <w:b/>
              <w:bCs/>
              <w:color w:val="auto"/>
              <w:sz w:val="32"/>
              <w:szCs w:val="32"/>
              <w:highlight w:val="none"/>
            </w:rPr>
            <w:instrText xml:space="preserve"> PAGEREF _Toc18429 \h </w:instrText>
          </w:r>
          <w:r>
            <w:rPr>
              <w:b/>
              <w:bCs/>
              <w:color w:val="auto"/>
              <w:sz w:val="32"/>
              <w:szCs w:val="32"/>
              <w:highlight w:val="none"/>
            </w:rPr>
            <w:fldChar w:fldCharType="separate"/>
          </w:r>
          <w:r>
            <w:rPr>
              <w:b/>
              <w:bCs/>
              <w:color w:val="auto"/>
              <w:sz w:val="32"/>
              <w:szCs w:val="32"/>
              <w:highlight w:val="none"/>
            </w:rPr>
            <w:t>19</w:t>
          </w:r>
          <w:r>
            <w:rPr>
              <w:b/>
              <w:bCs/>
              <w:color w:val="auto"/>
              <w:sz w:val="32"/>
              <w:szCs w:val="32"/>
              <w:highlight w:val="none"/>
            </w:rPr>
            <w:fldChar w:fldCharType="end"/>
          </w:r>
          <w:r>
            <w:rPr>
              <w:b/>
              <w:bCs/>
              <w:color w:val="auto"/>
              <w:sz w:val="32"/>
              <w:szCs w:val="32"/>
              <w:highlight w:val="none"/>
            </w:rPr>
            <w:fldChar w:fldCharType="end"/>
          </w:r>
        </w:p>
        <w:p>
          <w:pPr>
            <w:pStyle w:val="86"/>
            <w:tabs>
              <w:tab w:val="right" w:leader="dot" w:pos="9072"/>
            </w:tabs>
            <w:spacing w:line="960" w:lineRule="auto"/>
            <w:rPr>
              <w:b/>
              <w:bCs/>
              <w:color w:val="auto"/>
              <w:sz w:val="32"/>
              <w:szCs w:val="32"/>
              <w:highlight w:val="none"/>
            </w:rPr>
          </w:pPr>
          <w:r>
            <w:rPr>
              <w:b/>
              <w:bCs/>
              <w:color w:val="auto"/>
              <w:highlight w:val="none"/>
            </w:rPr>
            <w:fldChar w:fldCharType="begin"/>
          </w:r>
          <w:r>
            <w:rPr>
              <w:b/>
              <w:bCs/>
              <w:color w:val="auto"/>
              <w:highlight w:val="none"/>
            </w:rPr>
            <w:instrText xml:space="preserve"> HYPERLINK \l "_Toc32034" </w:instrText>
          </w:r>
          <w:r>
            <w:rPr>
              <w:b/>
              <w:bCs/>
              <w:color w:val="auto"/>
              <w:highlight w:val="none"/>
            </w:rPr>
            <w:fldChar w:fldCharType="separate"/>
          </w:r>
          <w:r>
            <w:rPr>
              <w:rFonts w:ascii="宋体" w:hAnsi="宋体" w:cs="宋体"/>
              <w:b/>
              <w:bCs/>
              <w:color w:val="auto"/>
              <w:sz w:val="32"/>
              <w:szCs w:val="52"/>
              <w:highlight w:val="none"/>
            </w:rPr>
            <w:t>第四</w:t>
          </w:r>
          <w:r>
            <w:rPr>
              <w:rFonts w:hint="eastAsia" w:ascii="宋体" w:hAnsi="宋体" w:cs="宋体"/>
              <w:b/>
              <w:bCs/>
              <w:color w:val="auto"/>
              <w:sz w:val="32"/>
              <w:szCs w:val="52"/>
              <w:highlight w:val="none"/>
            </w:rPr>
            <w:t xml:space="preserve">章 </w:t>
          </w:r>
          <w:r>
            <w:rPr>
              <w:rFonts w:ascii="宋体" w:hAnsi="宋体" w:cs="宋体"/>
              <w:b/>
              <w:bCs/>
              <w:color w:val="auto"/>
              <w:sz w:val="32"/>
              <w:szCs w:val="52"/>
              <w:highlight w:val="none"/>
            </w:rPr>
            <w:t>投标格式</w:t>
          </w:r>
          <w:r>
            <w:rPr>
              <w:b/>
              <w:bCs/>
              <w:color w:val="auto"/>
              <w:sz w:val="32"/>
              <w:szCs w:val="32"/>
              <w:highlight w:val="none"/>
            </w:rPr>
            <w:tab/>
          </w:r>
          <w:r>
            <w:rPr>
              <w:b/>
              <w:bCs/>
              <w:color w:val="auto"/>
              <w:sz w:val="32"/>
              <w:szCs w:val="32"/>
              <w:highlight w:val="none"/>
            </w:rPr>
            <w:fldChar w:fldCharType="begin"/>
          </w:r>
          <w:r>
            <w:rPr>
              <w:b/>
              <w:bCs/>
              <w:color w:val="auto"/>
              <w:sz w:val="32"/>
              <w:szCs w:val="32"/>
              <w:highlight w:val="none"/>
            </w:rPr>
            <w:instrText xml:space="preserve"> PAGEREF _Toc32034 \h </w:instrText>
          </w:r>
          <w:r>
            <w:rPr>
              <w:b/>
              <w:bCs/>
              <w:color w:val="auto"/>
              <w:sz w:val="32"/>
              <w:szCs w:val="32"/>
              <w:highlight w:val="none"/>
            </w:rPr>
            <w:fldChar w:fldCharType="separate"/>
          </w:r>
          <w:r>
            <w:rPr>
              <w:b/>
              <w:bCs/>
              <w:color w:val="auto"/>
              <w:sz w:val="32"/>
              <w:szCs w:val="32"/>
              <w:highlight w:val="none"/>
            </w:rPr>
            <w:t>32</w:t>
          </w:r>
          <w:r>
            <w:rPr>
              <w:b/>
              <w:bCs/>
              <w:color w:val="auto"/>
              <w:sz w:val="32"/>
              <w:szCs w:val="32"/>
              <w:highlight w:val="none"/>
            </w:rPr>
            <w:fldChar w:fldCharType="end"/>
          </w:r>
          <w:r>
            <w:rPr>
              <w:b/>
              <w:bCs/>
              <w:color w:val="auto"/>
              <w:sz w:val="32"/>
              <w:szCs w:val="32"/>
              <w:highlight w:val="none"/>
            </w:rPr>
            <w:fldChar w:fldCharType="end"/>
          </w:r>
        </w:p>
        <w:p>
          <w:pPr>
            <w:pStyle w:val="86"/>
            <w:tabs>
              <w:tab w:val="right" w:leader="dot" w:pos="9072"/>
            </w:tabs>
            <w:spacing w:line="960" w:lineRule="auto"/>
            <w:rPr>
              <w:color w:val="auto"/>
              <w:sz w:val="40"/>
              <w:szCs w:val="40"/>
              <w:highlight w:val="none"/>
            </w:rPr>
          </w:pPr>
          <w:r>
            <w:rPr>
              <w:b/>
              <w:bCs/>
              <w:color w:val="auto"/>
              <w:highlight w:val="none"/>
            </w:rPr>
            <w:fldChar w:fldCharType="begin"/>
          </w:r>
          <w:r>
            <w:rPr>
              <w:b/>
              <w:bCs/>
              <w:color w:val="auto"/>
              <w:highlight w:val="none"/>
            </w:rPr>
            <w:instrText xml:space="preserve"> HYPERLINK \l "_Toc17128" </w:instrText>
          </w:r>
          <w:r>
            <w:rPr>
              <w:b/>
              <w:bCs/>
              <w:color w:val="auto"/>
              <w:highlight w:val="none"/>
            </w:rPr>
            <w:fldChar w:fldCharType="separate"/>
          </w:r>
          <w:r>
            <w:rPr>
              <w:rFonts w:ascii="宋体" w:hAnsi="宋体" w:cs="宋体"/>
              <w:b/>
              <w:bCs/>
              <w:color w:val="auto"/>
              <w:sz w:val="32"/>
              <w:szCs w:val="56"/>
              <w:highlight w:val="none"/>
            </w:rPr>
            <w:t>第五</w:t>
          </w:r>
          <w:r>
            <w:rPr>
              <w:rFonts w:hint="eastAsia" w:ascii="宋体" w:hAnsi="宋体" w:cs="宋体"/>
              <w:b/>
              <w:bCs/>
              <w:color w:val="auto"/>
              <w:sz w:val="32"/>
              <w:szCs w:val="56"/>
              <w:highlight w:val="none"/>
            </w:rPr>
            <w:t>章</w:t>
          </w:r>
          <w:r>
            <w:rPr>
              <w:rFonts w:ascii="宋体" w:hAnsi="宋体" w:cs="宋体"/>
              <w:b/>
              <w:bCs/>
              <w:color w:val="auto"/>
              <w:sz w:val="32"/>
              <w:szCs w:val="56"/>
              <w:highlight w:val="none"/>
            </w:rPr>
            <w:t xml:space="preserve">  </w:t>
          </w:r>
          <w:r>
            <w:rPr>
              <w:rFonts w:hint="eastAsia" w:ascii="宋体" w:hAnsi="宋体" w:cs="宋体"/>
              <w:b/>
              <w:bCs/>
              <w:color w:val="auto"/>
              <w:sz w:val="32"/>
              <w:szCs w:val="56"/>
              <w:highlight w:val="none"/>
            </w:rPr>
            <w:t>勘察</w:t>
          </w:r>
          <w:r>
            <w:rPr>
              <w:rFonts w:ascii="宋体" w:hAnsi="宋体" w:cs="宋体"/>
              <w:b/>
              <w:bCs/>
              <w:color w:val="auto"/>
              <w:sz w:val="32"/>
              <w:szCs w:val="56"/>
              <w:highlight w:val="none"/>
            </w:rPr>
            <w:t>设计合同（仅供参考）</w:t>
          </w:r>
          <w:r>
            <w:rPr>
              <w:b/>
              <w:bCs/>
              <w:color w:val="auto"/>
              <w:sz w:val="32"/>
              <w:szCs w:val="32"/>
              <w:highlight w:val="none"/>
            </w:rPr>
            <w:tab/>
          </w:r>
          <w:r>
            <w:rPr>
              <w:b/>
              <w:bCs/>
              <w:color w:val="auto"/>
              <w:sz w:val="32"/>
              <w:szCs w:val="32"/>
              <w:highlight w:val="none"/>
            </w:rPr>
            <w:fldChar w:fldCharType="begin"/>
          </w:r>
          <w:r>
            <w:rPr>
              <w:b/>
              <w:bCs/>
              <w:color w:val="auto"/>
              <w:sz w:val="32"/>
              <w:szCs w:val="32"/>
              <w:highlight w:val="none"/>
            </w:rPr>
            <w:instrText xml:space="preserve"> PAGEREF _Toc17128 \h </w:instrText>
          </w:r>
          <w:r>
            <w:rPr>
              <w:b/>
              <w:bCs/>
              <w:color w:val="auto"/>
              <w:sz w:val="32"/>
              <w:szCs w:val="32"/>
              <w:highlight w:val="none"/>
            </w:rPr>
            <w:fldChar w:fldCharType="separate"/>
          </w:r>
          <w:r>
            <w:rPr>
              <w:b/>
              <w:bCs/>
              <w:color w:val="auto"/>
              <w:sz w:val="32"/>
              <w:szCs w:val="32"/>
              <w:highlight w:val="none"/>
            </w:rPr>
            <w:t>48</w:t>
          </w:r>
          <w:r>
            <w:rPr>
              <w:b/>
              <w:bCs/>
              <w:color w:val="auto"/>
              <w:sz w:val="32"/>
              <w:szCs w:val="32"/>
              <w:highlight w:val="none"/>
            </w:rPr>
            <w:fldChar w:fldCharType="end"/>
          </w:r>
          <w:r>
            <w:rPr>
              <w:b/>
              <w:bCs/>
              <w:color w:val="auto"/>
              <w:sz w:val="32"/>
              <w:szCs w:val="32"/>
              <w:highlight w:val="none"/>
            </w:rPr>
            <w:fldChar w:fldCharType="end"/>
          </w:r>
        </w:p>
        <w:p>
          <w:pPr>
            <w:pStyle w:val="86"/>
            <w:tabs>
              <w:tab w:val="right" w:leader="dot" w:pos="9072"/>
            </w:tabs>
            <w:spacing w:line="480" w:lineRule="auto"/>
            <w:rPr>
              <w:color w:val="auto"/>
              <w:sz w:val="40"/>
              <w:szCs w:val="40"/>
              <w:highlight w:val="none"/>
            </w:rPr>
          </w:pPr>
        </w:p>
        <w:p>
          <w:pPr>
            <w:spacing w:line="480" w:lineRule="auto"/>
            <w:rPr>
              <w:color w:val="auto"/>
              <w:highlight w:val="none"/>
            </w:rPr>
          </w:pPr>
          <w:r>
            <w:rPr>
              <w:color w:val="auto"/>
              <w:sz w:val="40"/>
              <w:szCs w:val="40"/>
              <w:highlight w:val="none"/>
            </w:rPr>
            <w:fldChar w:fldCharType="end"/>
          </w:r>
        </w:p>
      </w:sdtContent>
    </w:sdt>
    <w:p>
      <w:pPr>
        <w:rPr>
          <w:rFonts w:asciiTheme="minorEastAsia" w:hAnsiTheme="minorEastAsia" w:eastAsiaTheme="minorEastAsia" w:cstheme="minorEastAsia"/>
          <w:color w:val="auto"/>
          <w:sz w:val="32"/>
          <w:szCs w:val="32"/>
          <w:highlight w:val="none"/>
        </w:rPr>
      </w:pPr>
      <w:bookmarkStart w:id="0" w:name="_Toc24200"/>
      <w:r>
        <w:rPr>
          <w:rFonts w:hint="eastAsia" w:asciiTheme="minorEastAsia" w:hAnsiTheme="minorEastAsia" w:eastAsiaTheme="minorEastAsia" w:cstheme="minorEastAsia"/>
          <w:color w:val="auto"/>
          <w:sz w:val="32"/>
          <w:szCs w:val="32"/>
          <w:highlight w:val="none"/>
        </w:rPr>
        <w:br w:type="page"/>
      </w:r>
    </w:p>
    <w:p>
      <w:pPr>
        <w:pStyle w:val="3"/>
        <w:keepNext w:val="0"/>
        <w:keepLines w:val="0"/>
        <w:widowControl w:val="0"/>
        <w:tabs>
          <w:tab w:val="left" w:pos="1462"/>
        </w:tabs>
        <w:autoSpaceDE w:val="0"/>
        <w:autoSpaceDN w:val="0"/>
        <w:spacing w:before="173" w:after="312" w:line="480" w:lineRule="auto"/>
        <w:rPr>
          <w:rFonts w:asciiTheme="minorEastAsia" w:hAnsiTheme="minorEastAsia" w:eastAsiaTheme="minorEastAsia" w:cstheme="minorEastAsia"/>
          <w:color w:val="auto"/>
          <w:sz w:val="24"/>
          <w:szCs w:val="24"/>
          <w:highlight w:val="none"/>
        </w:rPr>
      </w:pPr>
      <w:bookmarkStart w:id="1" w:name="_Toc12164"/>
      <w:r>
        <w:rPr>
          <w:rFonts w:hint="eastAsia" w:asciiTheme="minorEastAsia" w:hAnsiTheme="minorEastAsia" w:eastAsiaTheme="minorEastAsia" w:cstheme="minorEastAsia"/>
          <w:color w:val="auto"/>
          <w:sz w:val="32"/>
          <w:szCs w:val="32"/>
          <w:highlight w:val="none"/>
        </w:rPr>
        <w:t>第一章  招标公告</w:t>
      </w:r>
      <w:bookmarkEnd w:id="0"/>
      <w:bookmarkEnd w:id="1"/>
    </w:p>
    <w:p>
      <w:pPr>
        <w:pStyle w:val="83"/>
        <w:widowControl w:val="0"/>
        <w:tabs>
          <w:tab w:val="left" w:pos="1201"/>
        </w:tabs>
        <w:autoSpaceDE w:val="0"/>
        <w:autoSpaceDN w:val="0"/>
        <w:spacing w:line="500" w:lineRule="exact"/>
        <w:ind w:right="403" w:firstLine="478"/>
        <w:outlineLvl w:val="1"/>
        <w:rPr>
          <w:rFonts w:asciiTheme="minorEastAsia" w:hAnsiTheme="minorEastAsia" w:eastAsiaTheme="minorEastAsia" w:cstheme="minorEastAsia"/>
          <w:b/>
          <w:bCs/>
          <w:color w:val="auto"/>
          <w:spacing w:val="-1"/>
          <w:sz w:val="24"/>
          <w:highlight w:val="none"/>
        </w:rPr>
      </w:pPr>
      <w:bookmarkStart w:id="2" w:name="_Toc23139"/>
      <w:bookmarkStart w:id="3" w:name="_Toc12648"/>
      <w:r>
        <w:rPr>
          <w:rFonts w:hint="eastAsia" w:asciiTheme="minorEastAsia" w:hAnsiTheme="minorEastAsia" w:eastAsiaTheme="minorEastAsia" w:cstheme="minorEastAsia"/>
          <w:b/>
          <w:bCs/>
          <w:color w:val="auto"/>
          <w:spacing w:val="-1"/>
          <w:sz w:val="24"/>
          <w:highlight w:val="none"/>
        </w:rPr>
        <w:t>1.1</w:t>
      </w:r>
      <w:r>
        <w:rPr>
          <w:rFonts w:hint="eastAsia" w:asciiTheme="minorEastAsia" w:hAnsiTheme="minorEastAsia" w:eastAsiaTheme="minorEastAsia" w:cstheme="minorEastAsia"/>
          <w:b/>
          <w:bCs/>
          <w:color w:val="auto"/>
          <w:spacing w:val="-1"/>
          <w:sz w:val="24"/>
          <w:highlight w:val="none"/>
          <w:lang w:val="en-US" w:eastAsia="zh-CN"/>
        </w:rPr>
        <w:t xml:space="preserve"> </w:t>
      </w:r>
      <w:r>
        <w:rPr>
          <w:rFonts w:hint="eastAsia" w:asciiTheme="minorEastAsia" w:hAnsiTheme="minorEastAsia" w:eastAsiaTheme="minorEastAsia" w:cstheme="minorEastAsia"/>
          <w:b/>
          <w:bCs/>
          <w:color w:val="auto"/>
          <w:spacing w:val="-1"/>
          <w:sz w:val="24"/>
          <w:highlight w:val="none"/>
        </w:rPr>
        <w:t>招标条件</w:t>
      </w:r>
      <w:bookmarkEnd w:id="2"/>
      <w:bookmarkEnd w:id="3"/>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本招标项目</w:t>
      </w:r>
      <w:r>
        <w:rPr>
          <w:rFonts w:hint="eastAsia" w:ascii="宋体" w:hAnsi="宋体" w:cs="宋体"/>
          <w:color w:val="auto"/>
          <w:sz w:val="24"/>
          <w:highlight w:val="none"/>
          <w:u w:val="single"/>
        </w:rPr>
        <w:t>廉江市镇级污水管网及配套设施项目勘察设计</w:t>
      </w:r>
      <w:r>
        <w:rPr>
          <w:rFonts w:hint="eastAsia" w:ascii="宋体" w:hAnsi="宋体" w:cs="宋体"/>
          <w:color w:val="auto"/>
          <w:sz w:val="24"/>
          <w:highlight w:val="none"/>
        </w:rPr>
        <w:t>已由廉江市发展和改革局以</w:t>
      </w:r>
      <w:r>
        <w:rPr>
          <w:rFonts w:hint="eastAsia" w:ascii="宋体" w:hAnsi="宋体" w:cs="宋体"/>
          <w:color w:val="auto"/>
          <w:sz w:val="24"/>
          <w:highlight w:val="none"/>
          <w:u w:val="single"/>
        </w:rPr>
        <w:t>湛廉发改投审〔2022〕15号</w:t>
      </w:r>
      <w:r>
        <w:rPr>
          <w:rFonts w:hint="eastAsia" w:ascii="宋体" w:hAnsi="宋体" w:cs="宋体"/>
          <w:color w:val="auto"/>
          <w:sz w:val="24"/>
          <w:highlight w:val="none"/>
        </w:rPr>
        <w:t>批准建设，项目业主为</w:t>
      </w:r>
      <w:r>
        <w:rPr>
          <w:rFonts w:hint="eastAsia" w:ascii="宋体" w:hAnsi="宋体" w:cs="宋体"/>
          <w:color w:val="auto"/>
          <w:sz w:val="24"/>
          <w:highlight w:val="none"/>
          <w:u w:val="single"/>
        </w:rPr>
        <w:t>廉江市住房和城乡建设局</w:t>
      </w:r>
      <w:r>
        <w:rPr>
          <w:rFonts w:hint="eastAsia" w:ascii="宋体" w:hAnsi="宋体" w:cs="宋体"/>
          <w:color w:val="auto"/>
          <w:sz w:val="24"/>
          <w:highlight w:val="none"/>
        </w:rPr>
        <w:t>，建设资金源于</w:t>
      </w:r>
      <w:r>
        <w:rPr>
          <w:rFonts w:hint="eastAsia" w:ascii="宋体" w:hAnsi="宋体" w:cs="宋体"/>
          <w:color w:val="auto"/>
          <w:sz w:val="24"/>
          <w:highlight w:val="none"/>
          <w:u w:val="single"/>
        </w:rPr>
        <w:t>通过</w:t>
      </w:r>
      <w:r>
        <w:rPr>
          <w:rFonts w:hint="eastAsia" w:ascii="宋体" w:hAnsi="宋体" w:cs="宋体"/>
          <w:color w:val="auto"/>
          <w:sz w:val="24"/>
          <w:highlight w:val="none"/>
          <w:u w:val="single"/>
          <w:lang w:val="en-US" w:eastAsia="zh-CN"/>
        </w:rPr>
        <w:t>申请</w:t>
      </w:r>
      <w:r>
        <w:rPr>
          <w:rFonts w:hint="eastAsia" w:ascii="宋体" w:hAnsi="宋体" w:cs="宋体"/>
          <w:color w:val="auto"/>
          <w:sz w:val="24"/>
          <w:highlight w:val="none"/>
          <w:u w:val="single"/>
        </w:rPr>
        <w:t>地方政府专项债券资金解决</w:t>
      </w:r>
      <w:r>
        <w:rPr>
          <w:rFonts w:hint="eastAsia" w:ascii="宋体" w:hAnsi="宋体" w:cs="宋体"/>
          <w:color w:val="auto"/>
          <w:sz w:val="24"/>
          <w:highlight w:val="none"/>
        </w:rPr>
        <w:t>，出资比例为</w:t>
      </w:r>
      <w:r>
        <w:rPr>
          <w:rFonts w:hint="eastAsia" w:ascii="宋体" w:hAnsi="宋体" w:cs="宋体"/>
          <w:color w:val="auto"/>
          <w:sz w:val="24"/>
          <w:highlight w:val="none"/>
          <w:u w:val="single"/>
        </w:rPr>
        <w:t>100%</w:t>
      </w:r>
      <w:r>
        <w:rPr>
          <w:rFonts w:hint="eastAsia" w:ascii="宋体" w:hAnsi="宋体" w:cs="宋体"/>
          <w:color w:val="auto"/>
          <w:sz w:val="24"/>
          <w:highlight w:val="none"/>
        </w:rPr>
        <w:t>，招标人为</w:t>
      </w:r>
      <w:r>
        <w:rPr>
          <w:rFonts w:hint="eastAsia" w:ascii="宋体" w:hAnsi="宋体" w:cs="宋体"/>
          <w:color w:val="auto"/>
          <w:sz w:val="24"/>
          <w:highlight w:val="none"/>
          <w:u w:val="single"/>
        </w:rPr>
        <w:t>廉江市住房和城乡建设局</w:t>
      </w:r>
      <w:r>
        <w:rPr>
          <w:rFonts w:hint="eastAsia" w:ascii="宋体" w:hAnsi="宋体" w:cs="宋体"/>
          <w:color w:val="auto"/>
          <w:sz w:val="24"/>
          <w:highlight w:val="none"/>
        </w:rPr>
        <w:t>，招标代理机构为</w:t>
      </w:r>
      <w:r>
        <w:rPr>
          <w:rFonts w:hint="eastAsia" w:ascii="宋体" w:hAnsi="宋体" w:cs="宋体"/>
          <w:color w:val="auto"/>
          <w:sz w:val="24"/>
          <w:highlight w:val="none"/>
          <w:u w:val="single"/>
        </w:rPr>
        <w:t>永道工程咨询有限公司</w:t>
      </w:r>
      <w:r>
        <w:rPr>
          <w:rFonts w:hint="eastAsia" w:ascii="宋体" w:hAnsi="宋体" w:cs="宋体"/>
          <w:color w:val="auto"/>
          <w:sz w:val="24"/>
          <w:highlight w:val="none"/>
        </w:rPr>
        <w:t>。项目已具备招标条件，现对该项目的</w:t>
      </w:r>
      <w:r>
        <w:rPr>
          <w:rFonts w:hint="eastAsia" w:ascii="宋体" w:hAnsi="宋体" w:cs="宋体"/>
          <w:color w:val="auto"/>
          <w:sz w:val="24"/>
          <w:highlight w:val="none"/>
          <w:u w:val="single"/>
        </w:rPr>
        <w:t>勘察设计</w:t>
      </w:r>
      <w:r>
        <w:rPr>
          <w:rFonts w:hint="eastAsia" w:ascii="宋体" w:hAnsi="宋体" w:cs="宋体"/>
          <w:color w:val="auto"/>
          <w:sz w:val="24"/>
          <w:highlight w:val="none"/>
        </w:rPr>
        <w:t>采用资格后审方式进行公开招标</w:t>
      </w:r>
      <w:r>
        <w:rPr>
          <w:rFonts w:hint="eastAsia" w:ascii="宋体" w:hAnsi="宋体" w:cs="宋体"/>
          <w:color w:val="auto"/>
          <w:sz w:val="24"/>
          <w:highlight w:val="none"/>
          <w:lang w:val="zh-CN"/>
        </w:rPr>
        <w:t>。</w:t>
      </w:r>
    </w:p>
    <w:p>
      <w:pPr>
        <w:pStyle w:val="83"/>
        <w:widowControl w:val="0"/>
        <w:tabs>
          <w:tab w:val="left" w:pos="1201"/>
        </w:tabs>
        <w:autoSpaceDE w:val="0"/>
        <w:autoSpaceDN w:val="0"/>
        <w:spacing w:line="500" w:lineRule="exact"/>
        <w:ind w:right="403" w:firstLine="478"/>
        <w:outlineLvl w:val="1"/>
        <w:rPr>
          <w:rFonts w:asciiTheme="minorEastAsia" w:hAnsiTheme="minorEastAsia" w:eastAsiaTheme="minorEastAsia" w:cstheme="minorEastAsia"/>
          <w:b/>
          <w:bCs/>
          <w:color w:val="auto"/>
          <w:spacing w:val="-1"/>
          <w:sz w:val="24"/>
          <w:highlight w:val="none"/>
        </w:rPr>
      </w:pPr>
      <w:bookmarkStart w:id="4" w:name="_Toc17492"/>
      <w:bookmarkStart w:id="5" w:name="_Toc21525"/>
      <w:r>
        <w:rPr>
          <w:rFonts w:hint="eastAsia" w:asciiTheme="minorEastAsia" w:hAnsiTheme="minorEastAsia" w:eastAsiaTheme="minorEastAsia" w:cstheme="minorEastAsia"/>
          <w:b/>
          <w:bCs/>
          <w:color w:val="auto"/>
          <w:spacing w:val="-1"/>
          <w:sz w:val="24"/>
          <w:highlight w:val="none"/>
        </w:rPr>
        <w:t>1.2</w:t>
      </w:r>
      <w:r>
        <w:rPr>
          <w:rFonts w:hint="eastAsia" w:asciiTheme="minorEastAsia" w:hAnsiTheme="minorEastAsia" w:eastAsiaTheme="minorEastAsia" w:cstheme="minorEastAsia"/>
          <w:b/>
          <w:bCs/>
          <w:color w:val="auto"/>
          <w:spacing w:val="-1"/>
          <w:sz w:val="24"/>
          <w:highlight w:val="none"/>
          <w:lang w:val="en-US" w:eastAsia="zh-CN"/>
        </w:rPr>
        <w:t xml:space="preserve"> </w:t>
      </w:r>
      <w:r>
        <w:rPr>
          <w:rFonts w:hint="eastAsia" w:asciiTheme="minorEastAsia" w:hAnsiTheme="minorEastAsia" w:eastAsiaTheme="minorEastAsia" w:cstheme="minorEastAsia"/>
          <w:b/>
          <w:bCs/>
          <w:color w:val="auto"/>
          <w:spacing w:val="-1"/>
          <w:sz w:val="24"/>
          <w:highlight w:val="none"/>
        </w:rPr>
        <w:t>项目概况</w:t>
      </w:r>
      <w:bookmarkEnd w:id="4"/>
      <w:bookmarkEnd w:id="5"/>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1.2.1 工程名称：廉江市镇级污水管网及配套设施项目勘察设计</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1.2.2 工程位置：湛江市廉江市河唇、新民、雅塘等15个镇。</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 建设内容：新建污水管道总长度为427.894千米，新建污水处理厂3座（总规模为2300吨/天），改造污水处理厂1座（规模为300吨/天）。</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1.2.4本项目总投资约75307.62万元。勘察设计招标控制价2538.81万元，其中勘察费945.18万元，设计费1593.63万元。具体如下：</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一期勘察设计招标控制价1415.59万元，其中勘察费528.40万元（包括测量费264.20万元，物探费264.20万元）；设计费887.19万元（包括施工图设计费752.51万元，施工图预算编制费66.73万元，竣工图编制费67.95万元）；</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二期勘察设计招标控制价1123.22万元；勘察费416.78万元（包括工程勘察测量费208.39万元，物探费208.39万元）；设计费706.44万元（包括施工图设计费598.06万元，施工图预算编制费53.54万元，竣工图编制费54.84万元）。</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最终服务费结算金额计算以廉江市财政审定的预算结合廉江市人民政府廉府函[2018]327号规定进行计算，再乘以本次投标的成交下浮率。实际结算金额以廉江市财政审定为准。</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1.2.5 本次招标范围及内容：中标人负责包括但不限于以下勘察设计内容：</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（一）勘察服务范围：初步勘察、详细勘察和超前钻工作（如有）以及对应方案设计（含深化设计）、施工图设计、施工等各阶段的勘察要求。</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设计服务范围：完成本项目前期方案深化至施工图设计通过施工图审查期间的所有项目范围内的报建报批技术文件的编制和报建工作，包括但不限于各相关专业的方案设计及优化、对专项设备设施的设计配合、施工图设计、施工图预算及竣工图编制等。设计内容应以经批准的可研报告和初步设计概算中所列的有关工程内容为准。</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（三）其他：</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1.初步设计及概算不属于本次招标设计工作内容。</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2.非主体结构部分专业工程，可根据法律法规依法进行分包。</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.根据建设单位实际需要配合提供驻场服务。</w:t>
      </w:r>
    </w:p>
    <w:p>
      <w:pPr>
        <w:pStyle w:val="83"/>
        <w:widowControl w:val="0"/>
        <w:tabs>
          <w:tab w:val="left" w:pos="1201"/>
        </w:tabs>
        <w:autoSpaceDE w:val="0"/>
        <w:autoSpaceDN w:val="0"/>
        <w:spacing w:line="500" w:lineRule="exact"/>
        <w:ind w:right="403" w:firstLine="478"/>
        <w:outlineLvl w:val="1"/>
        <w:rPr>
          <w:rFonts w:asciiTheme="minorEastAsia" w:hAnsiTheme="minorEastAsia" w:eastAsiaTheme="minorEastAsia" w:cstheme="minorEastAsia"/>
          <w:b/>
          <w:bCs/>
          <w:color w:val="auto"/>
          <w:spacing w:val="-1"/>
          <w:sz w:val="24"/>
          <w:highlight w:val="none"/>
        </w:rPr>
      </w:pPr>
      <w:bookmarkStart w:id="6" w:name="_Toc18037"/>
      <w:bookmarkStart w:id="7" w:name="_Toc22145"/>
      <w:r>
        <w:rPr>
          <w:rFonts w:hint="eastAsia" w:asciiTheme="minorEastAsia" w:hAnsiTheme="minorEastAsia" w:eastAsiaTheme="minorEastAsia" w:cstheme="minorEastAsia"/>
          <w:b/>
          <w:bCs/>
          <w:color w:val="auto"/>
          <w:spacing w:val="-1"/>
          <w:sz w:val="24"/>
          <w:highlight w:val="none"/>
        </w:rPr>
        <w:t>1.3</w:t>
      </w:r>
      <w:r>
        <w:rPr>
          <w:rFonts w:hint="eastAsia" w:asciiTheme="minorEastAsia" w:hAnsiTheme="minorEastAsia" w:eastAsiaTheme="minorEastAsia" w:cstheme="minorEastAsia"/>
          <w:b/>
          <w:bCs/>
          <w:color w:val="auto"/>
          <w:spacing w:val="-1"/>
          <w:sz w:val="24"/>
          <w:highlight w:val="none"/>
          <w:lang w:val="en-US" w:eastAsia="zh-CN"/>
        </w:rPr>
        <w:t xml:space="preserve"> </w:t>
      </w:r>
      <w:r>
        <w:rPr>
          <w:rFonts w:hint="eastAsia" w:asciiTheme="minorEastAsia" w:hAnsiTheme="minorEastAsia" w:eastAsiaTheme="minorEastAsia" w:cstheme="minorEastAsia"/>
          <w:b/>
          <w:bCs/>
          <w:color w:val="auto"/>
          <w:spacing w:val="-1"/>
          <w:sz w:val="24"/>
          <w:highlight w:val="none"/>
        </w:rPr>
        <w:t>前期服务机构</w:t>
      </w:r>
      <w:bookmarkEnd w:id="6"/>
      <w:bookmarkEnd w:id="7"/>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1.3.1机构名称：</w:t>
      </w:r>
      <w:r>
        <w:rPr>
          <w:rFonts w:hint="eastAsia" w:ascii="宋体" w:hAnsi="宋体" w:cs="宋体"/>
          <w:color w:val="auto"/>
          <w:sz w:val="24"/>
          <w:highlight w:val="none"/>
          <w:u w:val="single"/>
        </w:rPr>
        <w:t>永道工程咨询有限公司</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1.3.2如果前期服务机构参加本次投标，应将本公告发布前最终完成的工作成果（含电子文件）在投标公告的同时提供给所有投标人参考。</w:t>
      </w:r>
    </w:p>
    <w:p>
      <w:pPr>
        <w:pStyle w:val="83"/>
        <w:widowControl w:val="0"/>
        <w:tabs>
          <w:tab w:val="left" w:pos="1201"/>
        </w:tabs>
        <w:autoSpaceDE w:val="0"/>
        <w:autoSpaceDN w:val="0"/>
        <w:spacing w:line="500" w:lineRule="exact"/>
        <w:ind w:right="403" w:firstLine="478"/>
        <w:outlineLvl w:val="1"/>
        <w:rPr>
          <w:rFonts w:asciiTheme="minorEastAsia" w:hAnsiTheme="minorEastAsia" w:eastAsiaTheme="minorEastAsia" w:cstheme="minorEastAsia"/>
          <w:b/>
          <w:bCs/>
          <w:color w:val="auto"/>
          <w:spacing w:val="-1"/>
          <w:sz w:val="24"/>
          <w:highlight w:val="none"/>
        </w:rPr>
      </w:pPr>
      <w:bookmarkStart w:id="8" w:name="_Toc16727"/>
      <w:bookmarkStart w:id="9" w:name="_Toc13604"/>
      <w:r>
        <w:rPr>
          <w:rFonts w:hint="eastAsia" w:asciiTheme="minorEastAsia" w:hAnsiTheme="minorEastAsia" w:eastAsiaTheme="minorEastAsia" w:cstheme="minorEastAsia"/>
          <w:b/>
          <w:bCs/>
          <w:color w:val="auto"/>
          <w:spacing w:val="-1"/>
          <w:sz w:val="24"/>
          <w:highlight w:val="none"/>
        </w:rPr>
        <w:t>1.4</w:t>
      </w:r>
      <w:r>
        <w:rPr>
          <w:rFonts w:hint="eastAsia" w:asciiTheme="minorEastAsia" w:hAnsiTheme="minorEastAsia" w:eastAsiaTheme="minorEastAsia" w:cstheme="minorEastAsia"/>
          <w:b/>
          <w:bCs/>
          <w:color w:val="auto"/>
          <w:spacing w:val="-1"/>
          <w:sz w:val="24"/>
          <w:highlight w:val="none"/>
          <w:lang w:val="en-US" w:eastAsia="zh-CN"/>
        </w:rPr>
        <w:t xml:space="preserve"> </w:t>
      </w:r>
      <w:r>
        <w:rPr>
          <w:rFonts w:hint="eastAsia" w:asciiTheme="minorEastAsia" w:hAnsiTheme="minorEastAsia" w:eastAsiaTheme="minorEastAsia" w:cstheme="minorEastAsia"/>
          <w:b/>
          <w:bCs/>
          <w:color w:val="auto"/>
          <w:spacing w:val="-1"/>
          <w:sz w:val="24"/>
          <w:highlight w:val="none"/>
        </w:rPr>
        <w:t>投标资格</w:t>
      </w:r>
      <w:bookmarkEnd w:id="8"/>
      <w:bookmarkEnd w:id="9"/>
    </w:p>
    <w:p>
      <w:pPr>
        <w:snapToGrid w:val="0"/>
        <w:spacing w:line="500" w:lineRule="exact"/>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1.4.1</w:t>
      </w:r>
      <w:r>
        <w:rPr>
          <w:rFonts w:hint="eastAsia" w:ascii="宋体" w:hAnsi="宋体" w:cs="宋体"/>
          <w:color w:val="auto"/>
          <w:sz w:val="24"/>
          <w:highlight w:val="none"/>
        </w:rPr>
        <w:t xml:space="preserve"> 投标人具有独立法人资格，持有工商行政管理部门核发的法人营业执照，按国家法律经营。</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cs="宋体"/>
          <w:color w:val="auto"/>
          <w:sz w:val="24"/>
          <w:highlight w:val="none"/>
        </w:rPr>
        <w:t>4</w:t>
      </w:r>
      <w:r>
        <w:rPr>
          <w:rFonts w:hint="eastAsia" w:ascii="宋体" w:hAnsi="宋体" w:cs="宋体"/>
          <w:color w:val="auto"/>
          <w:sz w:val="24"/>
          <w:highlight w:val="none"/>
        </w:rPr>
        <w:t>.2 投标人须</w:t>
      </w:r>
      <w:r>
        <w:rPr>
          <w:rFonts w:hint="eastAsia" w:ascii="宋体" w:hAnsi="宋体" w:cs="宋体"/>
          <w:b/>
          <w:bCs/>
          <w:color w:val="auto"/>
          <w:sz w:val="24"/>
          <w:highlight w:val="none"/>
        </w:rPr>
        <w:t>同时</w:t>
      </w:r>
      <w:r>
        <w:rPr>
          <w:rFonts w:hint="eastAsia" w:ascii="宋体" w:hAnsi="宋体" w:cs="宋体"/>
          <w:color w:val="auto"/>
          <w:sz w:val="24"/>
          <w:highlight w:val="none"/>
        </w:rPr>
        <w:t>具备建设行政主管部门颁发</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以下工程设计</w:t>
      </w:r>
      <w:r>
        <w:rPr>
          <w:rFonts w:hint="eastAsia" w:ascii="宋体" w:hAnsi="宋体" w:cs="宋体"/>
          <w:color w:val="auto"/>
          <w:sz w:val="24"/>
          <w:highlight w:val="none"/>
          <w:lang w:eastAsia="zh-CN"/>
        </w:rPr>
        <w:t>、工程勘察</w:t>
      </w:r>
      <w:r>
        <w:rPr>
          <w:rFonts w:hint="eastAsia" w:ascii="宋体" w:hAnsi="宋体" w:cs="宋体"/>
          <w:color w:val="auto"/>
          <w:sz w:val="24"/>
          <w:highlight w:val="none"/>
        </w:rPr>
        <w:t>资质证书:</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1.工程设计【具备（1）或（2）】</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（1）工程设计综合甲级资质</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（2）或同时具备以下①和②</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①市政行业工程设计丙级（或以上）或市政行业（排水工程）专业乙级（或以上设计资质）；</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②建筑行业工程设计乙级资质（或以上）或建筑行业（建筑工程）专业乙级（或以上设计资质）。</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2.工程勘察【具备（1）或（2）】</w:t>
      </w:r>
    </w:p>
    <w:p>
      <w:pPr>
        <w:snapToGrid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（1）工程勘察综合甲级资质</w:t>
      </w:r>
      <w:r>
        <w:rPr>
          <w:rFonts w:hint="eastAsia" w:ascii="宋体" w:hAnsi="宋体" w:cs="宋体"/>
          <w:color w:val="auto"/>
          <w:sz w:val="24"/>
          <w:highlight w:val="none"/>
          <w:lang w:val="en-US" w:eastAsia="zh-CN"/>
        </w:rPr>
        <w:t>；</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（2）或工程勘察专业（岩土工程勘察、工程测量）丙级（或以上）资质。</w:t>
      </w:r>
    </w:p>
    <w:p>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要求同时具备2项或以上资质证书，投标人可以组成联合体投标。联合体主办方必须是具备上述第1点中设计资质的设计单位，联合体各方（包括主办方及联合体成员）不得再单独或与其他单位组成联合体参与本项目投标。</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cs="宋体"/>
          <w:color w:val="auto"/>
          <w:sz w:val="24"/>
          <w:highlight w:val="none"/>
        </w:rPr>
        <w:t>4</w:t>
      </w:r>
      <w:r>
        <w:rPr>
          <w:rFonts w:hint="eastAsia" w:ascii="宋体" w:hAnsi="宋体" w:cs="宋体"/>
          <w:color w:val="auto"/>
          <w:sz w:val="24"/>
          <w:highlight w:val="none"/>
        </w:rPr>
        <w:t>.3 投标申请人委派的项目负责人必须是本单位在册人员，须具备给水排水专业高级工程师或以上技术职称。</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cs="宋体"/>
          <w:color w:val="auto"/>
          <w:sz w:val="24"/>
          <w:highlight w:val="none"/>
        </w:rPr>
        <w:t>4</w:t>
      </w:r>
      <w:r>
        <w:rPr>
          <w:rFonts w:hint="eastAsia" w:ascii="宋体" w:hAnsi="宋体" w:cs="宋体"/>
          <w:color w:val="auto"/>
          <w:sz w:val="24"/>
          <w:highlight w:val="none"/>
        </w:rPr>
        <w:t>.4 在“信用中国”网站（http://www.creditchina.gov.cn/)中被列入失信被执行人名单的投标人 ，在国家企业信用信息公示系统（www.gsxt.gov.cn）中被列入严重违法失信企业名单的投标人，均按否决投标处理。</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cs="宋体"/>
          <w:color w:val="auto"/>
          <w:sz w:val="24"/>
          <w:highlight w:val="none"/>
        </w:rPr>
        <w:t>4</w:t>
      </w:r>
      <w:r>
        <w:rPr>
          <w:rFonts w:hint="eastAsia" w:ascii="宋体" w:hAnsi="宋体" w:cs="宋体"/>
          <w:color w:val="auto"/>
          <w:sz w:val="24"/>
          <w:highlight w:val="none"/>
        </w:rPr>
        <w:t>.</w:t>
      </w:r>
      <w:r>
        <w:rPr>
          <w:rFonts w:hint="eastAsia" w:cs="宋体"/>
          <w:color w:val="auto"/>
          <w:sz w:val="24"/>
          <w:highlight w:val="none"/>
        </w:rPr>
        <w:t>5</w:t>
      </w:r>
      <w:r>
        <w:rPr>
          <w:rFonts w:hint="eastAsia" w:ascii="宋体" w:hAnsi="宋体" w:cs="宋体"/>
          <w:color w:val="auto"/>
          <w:sz w:val="24"/>
          <w:highlight w:val="none"/>
        </w:rPr>
        <w:t xml:space="preserve"> 本项目须制作：纸质投标文件（无需使用广州市公共资源交易平台CA数字证书投标）。</w:t>
      </w:r>
    </w:p>
    <w:p>
      <w:pPr>
        <w:snapToGrid w:val="0"/>
        <w:spacing w:line="360" w:lineRule="auto"/>
        <w:ind w:firstLine="480" w:firstLineChars="200"/>
        <w:rPr>
          <w:rFonts w:cs="宋体"/>
          <w:color w:val="auto"/>
          <w:sz w:val="24"/>
          <w:highlight w:val="none"/>
        </w:rPr>
      </w:pPr>
      <w:r>
        <w:rPr>
          <w:rFonts w:hint="eastAsia" w:ascii="宋体" w:hAnsi="宋体" w:cs="宋体"/>
          <w:color w:val="auto"/>
          <w:sz w:val="24"/>
          <w:highlight w:val="none"/>
        </w:rPr>
        <w:t>1.4.6 与招标人存在利害关系可能影响招标公正性的法人、其他组织或者个人，不得参加投标。单位负责人为同一人或者存在控股、管理关系的不同单位，不得参加同一标段投标或者未划分标段的同一招标项目投标。否则，相关投标均无效</w:t>
      </w:r>
      <w:r>
        <w:rPr>
          <w:rFonts w:hint="eastAsia" w:cs="宋体"/>
          <w:color w:val="auto"/>
          <w:sz w:val="24"/>
          <w:highlight w:val="none"/>
        </w:rPr>
        <w:t>。</w:t>
      </w:r>
    </w:p>
    <w:p>
      <w:pPr>
        <w:snapToGrid w:val="0"/>
        <w:spacing w:line="360" w:lineRule="auto"/>
        <w:ind w:firstLine="480" w:firstLineChars="200"/>
        <w:rPr>
          <w:rStyle w:val="27"/>
          <w:rFonts w:ascii="宋体" w:hAnsi="宋体"/>
          <w:color w:val="auto"/>
          <w:sz w:val="24"/>
          <w:highlight w:val="none"/>
        </w:rPr>
      </w:pPr>
      <w:r>
        <w:rPr>
          <w:rStyle w:val="27"/>
          <w:rFonts w:hint="eastAsia" w:ascii="宋体" w:hAnsi="宋体"/>
          <w:color w:val="auto"/>
          <w:sz w:val="24"/>
          <w:highlight w:val="none"/>
        </w:rPr>
        <w:t>1.4.7本招标工程只接受投标人的总公司报名。</w:t>
      </w:r>
    </w:p>
    <w:p>
      <w:pPr>
        <w:snapToGrid w:val="0"/>
        <w:spacing w:line="360" w:lineRule="auto"/>
        <w:ind w:firstLine="480" w:firstLineChars="200"/>
        <w:rPr>
          <w:rStyle w:val="27"/>
          <w:rFonts w:ascii="宋体" w:hAnsi="宋体"/>
          <w:color w:val="auto"/>
          <w:sz w:val="24"/>
          <w:highlight w:val="none"/>
        </w:rPr>
      </w:pPr>
      <w:r>
        <w:rPr>
          <w:rStyle w:val="27"/>
          <w:rFonts w:hint="eastAsia" w:ascii="宋体" w:hAnsi="宋体"/>
          <w:color w:val="auto"/>
          <w:sz w:val="24"/>
          <w:highlight w:val="none"/>
        </w:rPr>
        <w:t>1.4.8投标时是否需要提交设计模型：否。</w:t>
      </w:r>
    </w:p>
    <w:p>
      <w:pPr>
        <w:snapToGrid w:val="0"/>
        <w:spacing w:line="360" w:lineRule="auto"/>
        <w:ind w:firstLine="480" w:firstLineChars="200"/>
        <w:rPr>
          <w:rStyle w:val="27"/>
          <w:rFonts w:ascii="宋体" w:hAnsi="宋体"/>
          <w:color w:val="auto"/>
          <w:sz w:val="24"/>
          <w:highlight w:val="none"/>
        </w:rPr>
      </w:pPr>
      <w:r>
        <w:rPr>
          <w:rStyle w:val="27"/>
          <w:rFonts w:hint="eastAsia" w:ascii="宋体" w:hAnsi="宋体"/>
          <w:color w:val="auto"/>
          <w:sz w:val="24"/>
          <w:highlight w:val="none"/>
        </w:rPr>
        <w:t>1.4.9本次招标：接受联合体投标。</w:t>
      </w:r>
    </w:p>
    <w:p>
      <w:pPr>
        <w:snapToGrid w:val="0"/>
        <w:spacing w:line="360" w:lineRule="auto"/>
        <w:ind w:firstLine="480" w:firstLineChars="200"/>
        <w:rPr>
          <w:rStyle w:val="27"/>
          <w:rFonts w:ascii="宋体" w:hAnsi="宋体"/>
          <w:color w:val="auto"/>
          <w:sz w:val="24"/>
          <w:highlight w:val="none"/>
        </w:rPr>
      </w:pPr>
      <w:r>
        <w:rPr>
          <w:rStyle w:val="27"/>
          <w:rFonts w:hint="eastAsia" w:ascii="宋体" w:hAnsi="宋体"/>
          <w:color w:val="auto"/>
          <w:sz w:val="24"/>
          <w:highlight w:val="none"/>
        </w:rPr>
        <w:t>注：联合体各方应当分别具备承担招标工程相应项目的资质条件。由同一资质条件的投标人组成的联合体，应当按照资质等级较低的投标人确定联合体资质等级。</w:t>
      </w:r>
    </w:p>
    <w:p>
      <w:pPr>
        <w:snapToGrid w:val="0"/>
        <w:spacing w:line="360" w:lineRule="auto"/>
        <w:ind w:firstLine="480" w:firstLineChars="200"/>
        <w:rPr>
          <w:rStyle w:val="27"/>
          <w:rFonts w:ascii="宋体" w:hAnsi="宋体"/>
          <w:color w:val="auto"/>
          <w:sz w:val="24"/>
          <w:highlight w:val="none"/>
        </w:rPr>
      </w:pPr>
      <w:r>
        <w:rPr>
          <w:rStyle w:val="27"/>
          <w:rFonts w:hint="eastAsia" w:ascii="宋体" w:hAnsi="宋体"/>
          <w:color w:val="auto"/>
          <w:sz w:val="24"/>
          <w:highlight w:val="none"/>
        </w:rPr>
        <w:t xml:space="preserve">（2）联合体各方应签订联合体协议书，在该协议书中必须指定联合体主办方，授权代表所有联合体成员负责投标、委派负责人和合同实施阶段的主办、协调工作，并约定各方拟承担的工作责任和权利义务。联合体协议书必须加盖所有联合体成员公章并由其法定代表人签字或盖章确认。投标人的投标文件及中标后签署的合同协议书，对联合体各方均有法律约束力； </w:t>
      </w:r>
    </w:p>
    <w:p>
      <w:pPr>
        <w:snapToGrid w:val="0"/>
        <w:spacing w:line="360" w:lineRule="auto"/>
        <w:ind w:firstLine="480" w:firstLineChars="200"/>
        <w:rPr>
          <w:rStyle w:val="27"/>
          <w:rFonts w:ascii="宋体" w:hAnsi="宋体"/>
          <w:color w:val="auto"/>
          <w:sz w:val="24"/>
          <w:highlight w:val="none"/>
        </w:rPr>
      </w:pPr>
      <w:r>
        <w:rPr>
          <w:rStyle w:val="27"/>
          <w:rFonts w:hint="eastAsia" w:ascii="宋体" w:hAnsi="宋体"/>
          <w:color w:val="auto"/>
          <w:sz w:val="24"/>
          <w:highlight w:val="none"/>
        </w:rPr>
        <w:t xml:space="preserve">（3）联合体各方签订联合体协议书后，不得再以自己名义单独投标或加入其他联合体在同一标段中进行投标，如有违反，其投标和与此有关的联合体的投标将被拒绝； </w:t>
      </w:r>
    </w:p>
    <w:p>
      <w:pPr>
        <w:snapToGrid w:val="0"/>
        <w:spacing w:line="360" w:lineRule="auto"/>
        <w:ind w:firstLine="480" w:firstLineChars="200"/>
        <w:rPr>
          <w:rStyle w:val="27"/>
          <w:rFonts w:ascii="宋体" w:hAnsi="宋体"/>
          <w:color w:val="auto"/>
          <w:sz w:val="24"/>
          <w:highlight w:val="none"/>
        </w:rPr>
      </w:pPr>
      <w:r>
        <w:rPr>
          <w:rStyle w:val="27"/>
          <w:rFonts w:hint="eastAsia" w:ascii="宋体" w:hAnsi="宋体"/>
          <w:color w:val="auto"/>
          <w:sz w:val="24"/>
          <w:highlight w:val="none"/>
        </w:rPr>
        <w:t>（4）除非另有规定和说明，本招标文件（含招标公告）中的“投标人”一词亦指联合体各方。</w:t>
      </w:r>
    </w:p>
    <w:p>
      <w:pPr>
        <w:snapToGrid w:val="0"/>
        <w:spacing w:line="360" w:lineRule="auto"/>
        <w:ind w:firstLine="480" w:firstLineChars="200"/>
        <w:rPr>
          <w:rStyle w:val="27"/>
          <w:rFonts w:ascii="宋体" w:hAnsi="宋体" w:cs="宋体"/>
          <w:color w:val="auto"/>
          <w:sz w:val="24"/>
          <w:highlight w:val="none"/>
        </w:rPr>
      </w:pPr>
      <w:r>
        <w:rPr>
          <w:rStyle w:val="27"/>
          <w:rFonts w:hint="eastAsia" w:ascii="宋体" w:hAnsi="宋体"/>
          <w:color w:val="auto"/>
          <w:sz w:val="24"/>
          <w:highlight w:val="none"/>
        </w:rPr>
        <w:t>1.4.10</w:t>
      </w:r>
      <w:r>
        <w:rPr>
          <w:rStyle w:val="27"/>
          <w:rFonts w:hint="eastAsia" w:ascii="宋体" w:hAnsi="宋体" w:cs="宋体"/>
          <w:color w:val="auto"/>
          <w:sz w:val="24"/>
          <w:highlight w:val="none"/>
        </w:rPr>
        <w:t>根据《关于取消省外建筑企业和人员进粤信息备案有关工作的通知》【粤建市（2015）52号文】，注册地不在广东省行政区域范围内的投标登记人，须在“进粤企业和人员诚信信息登记平台”录入相关信息并通过数据规范检查（已审核挂网的进粤备案信息自动转入该登记平台）投标人在投标时提供该要求的证明材料。</w:t>
      </w:r>
    </w:p>
    <w:p>
      <w:pPr>
        <w:snapToGrid w:val="0"/>
        <w:spacing w:line="500" w:lineRule="exact"/>
        <w:ind w:firstLine="476" w:firstLineChars="200"/>
        <w:outlineLvl w:val="1"/>
        <w:rPr>
          <w:rFonts w:ascii="宋体" w:hAnsi="宋体" w:cs="宋体"/>
          <w:b/>
          <w:bCs/>
          <w:color w:val="auto"/>
          <w:spacing w:val="-1"/>
          <w:sz w:val="24"/>
          <w:highlight w:val="none"/>
        </w:rPr>
      </w:pPr>
      <w:bookmarkStart w:id="10" w:name="_Toc2609"/>
      <w:bookmarkStart w:id="11" w:name="_Toc30483"/>
      <w:r>
        <w:rPr>
          <w:rFonts w:hint="eastAsia" w:ascii="宋体" w:hAnsi="宋体" w:cs="宋体"/>
          <w:b/>
          <w:bCs/>
          <w:color w:val="auto"/>
          <w:spacing w:val="-1"/>
          <w:sz w:val="24"/>
          <w:highlight w:val="none"/>
          <w:lang w:val="en-US" w:eastAsia="zh-CN"/>
        </w:rPr>
        <w:t>1.</w:t>
      </w:r>
      <w:r>
        <w:rPr>
          <w:rFonts w:hint="eastAsia" w:ascii="宋体" w:hAnsi="宋体" w:cs="宋体"/>
          <w:b/>
          <w:bCs/>
          <w:color w:val="auto"/>
          <w:spacing w:val="-1"/>
          <w:sz w:val="24"/>
          <w:highlight w:val="none"/>
        </w:rPr>
        <w:t>5</w:t>
      </w:r>
      <w:r>
        <w:rPr>
          <w:rFonts w:hint="eastAsia" w:ascii="宋体" w:hAnsi="宋体" w:cs="宋体"/>
          <w:b/>
          <w:bCs/>
          <w:color w:val="auto"/>
          <w:spacing w:val="-1"/>
          <w:sz w:val="24"/>
          <w:highlight w:val="none"/>
          <w:lang w:val="en-US" w:eastAsia="zh-CN"/>
        </w:rPr>
        <w:t xml:space="preserve"> </w:t>
      </w:r>
      <w:r>
        <w:rPr>
          <w:rFonts w:hint="eastAsia" w:ascii="宋体" w:hAnsi="宋体" w:cs="宋体"/>
          <w:b/>
          <w:bCs/>
          <w:color w:val="auto"/>
          <w:spacing w:val="-1"/>
          <w:sz w:val="24"/>
          <w:highlight w:val="none"/>
        </w:rPr>
        <w:t>招标投标程序安排及要求</w:t>
      </w:r>
      <w:bookmarkEnd w:id="10"/>
      <w:bookmarkEnd w:id="11"/>
    </w:p>
    <w:p>
      <w:pPr>
        <w:spacing w:line="360" w:lineRule="auto"/>
        <w:ind w:firstLine="480" w:firstLineChars="200"/>
        <w:rPr>
          <w:rFonts w:ascii="宋体" w:hAnsi="宋体" w:cs="宋体"/>
          <w:color w:val="auto"/>
          <w:sz w:val="24"/>
          <w:highlight w:val="none"/>
        </w:rPr>
      </w:pPr>
      <w:r>
        <w:rPr>
          <w:rFonts w:hint="eastAsia" w:cs="宋体"/>
          <w:color w:val="auto"/>
          <w:sz w:val="24"/>
          <w:highlight w:val="none"/>
        </w:rPr>
        <w:t>1.</w:t>
      </w:r>
      <w:r>
        <w:rPr>
          <w:rFonts w:hint="eastAsia" w:ascii="宋体" w:hAnsi="宋体" w:cs="宋体"/>
          <w:color w:val="auto"/>
          <w:sz w:val="24"/>
          <w:highlight w:val="none"/>
        </w:rPr>
        <w:t>5.1本次招标实行资格后审，资格审查的具体要求见招标文件。资格后审不合格的投标人投标文件将予以否决。本项目实行广州公共资源交易中心网上投标登记，不接受现场投标登记（网上投标登记操作流程详见广州公共资源交易中心网站的服务指南）。投标人须在投标截止时间前完成网上投标登记手续，逾期不受理。</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1.5.2</w:t>
      </w:r>
      <w:r>
        <w:rPr>
          <w:rFonts w:hint="eastAsia" w:ascii="宋体" w:hAnsi="宋体" w:cs="宋体"/>
          <w:color w:val="auto"/>
          <w:sz w:val="24"/>
          <w:highlight w:val="none"/>
        </w:rPr>
        <w:t>网上投标登记成功后，投标人须持以下资料在递交投标文件时间内递交投标文件：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投标登记申请表》（一式二份），表格可从广州公共资源交易中心网站服务指南栏目资料下载专区下载；《投标登记申请表》填写的投标人、项目负责人应与网上投标登记的一致，如有不一致的情况，招标人有权拒绝接受其投标文件，投标人失去投标机会的，所引起的一切后果由投标人自行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②法定代表人证明书原件、法定代表人授权委托证明书原件（非法定代表人递交投标文件时提供）及全权代表身份证复印件（须提供原件核对）。</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③</w:t>
      </w:r>
      <w:r>
        <w:rPr>
          <w:rFonts w:hint="eastAsia" w:ascii="宋体" w:hAnsi="宋体" w:cs="宋体"/>
          <w:color w:val="auto"/>
          <w:sz w:val="24"/>
          <w:highlight w:val="none"/>
        </w:rPr>
        <w:t>如是联合体投标，须提供联合体协议书原件。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注：上述资料均须加盖公章，投标人未按规定提交的，不予接收其投标文件。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1.5.3投标人及拟委派的项目负责人在投标截止时间前已在广州公共资源交易中心办理企业信息登记，未办理企业信息登记的申请将不予受理；企业信息登记的办理详见广州公共资源交易中心网站服务指南栏目。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1.5.4投招标公告发布时间：</w:t>
      </w:r>
      <w:r>
        <w:rPr>
          <w:rFonts w:hint="eastAsia" w:ascii="宋体" w:hAnsi="宋体" w:cs="宋体"/>
          <w:color w:val="auto"/>
          <w:sz w:val="24"/>
          <w:highlight w:val="none"/>
          <w:u w:val="single"/>
        </w:rPr>
        <w:t>2022</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时(北京时间，下同)。</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1.5.5答疑提问截止时间：在递交投标文件截止日期前18日；形式：投标人的疑问通过广州公共资源交易中心交易平台提交；网上答疑的操作指南为：登陆广州公共资源交易中心网站→进入交易业务/</w:t>
      </w:r>
      <w:r>
        <w:rPr>
          <w:color w:val="auto"/>
          <w:highlight w:val="none"/>
        </w:rPr>
        <w:fldChar w:fldCharType="begin"/>
      </w:r>
      <w:r>
        <w:rPr>
          <w:color w:val="auto"/>
          <w:highlight w:val="none"/>
        </w:rPr>
        <w:instrText xml:space="preserve"> HYPERLINK "http://ggzy.gz.gov.cn/jyywjsgcfwjzzbgg/index.jhtml" </w:instrText>
      </w:r>
      <w:r>
        <w:rPr>
          <w:color w:val="auto"/>
          <w:highlight w:val="none"/>
        </w:rPr>
        <w:fldChar w:fldCharType="separate"/>
      </w:r>
      <w:r>
        <w:rPr>
          <w:rFonts w:hint="eastAsia" w:ascii="宋体" w:hAnsi="宋体" w:cs="宋体"/>
          <w:color w:val="auto"/>
          <w:sz w:val="24"/>
          <w:highlight w:val="none"/>
        </w:rPr>
        <w:t>建设工程</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 “网上答疑”专区→通过项目编号或名称找到所需的项目→在上述的答疑时间内点击“提问”→登录系统进入到提问区域→无记名或匿名提出问题以及查看所有的问题。</w:t>
      </w:r>
    </w:p>
    <w:p>
      <w:pPr>
        <w:spacing w:line="360" w:lineRule="auto"/>
        <w:ind w:firstLine="480" w:firstLineChars="200"/>
        <w:rPr>
          <w:rFonts w:ascii="宋体" w:hAnsi="宋体" w:cs="宋体"/>
          <w:iCs/>
          <w:color w:val="auto"/>
          <w:sz w:val="24"/>
          <w:highlight w:val="none"/>
        </w:rPr>
      </w:pPr>
      <w:r>
        <w:rPr>
          <w:rFonts w:hint="eastAsia" w:ascii="宋体" w:hAnsi="宋体" w:cs="宋体"/>
          <w:color w:val="auto"/>
          <w:sz w:val="24"/>
          <w:highlight w:val="none"/>
        </w:rPr>
        <w:t>1.5.6招标文件答</w:t>
      </w:r>
      <w:r>
        <w:rPr>
          <w:rFonts w:hint="eastAsia" w:ascii="宋体" w:hAnsi="宋体" w:cs="宋体"/>
          <w:iCs/>
          <w:color w:val="auto"/>
          <w:sz w:val="24"/>
          <w:highlight w:val="none"/>
        </w:rPr>
        <w:t>疑、澄清、修改或补充内容</w:t>
      </w:r>
      <w:r>
        <w:rPr>
          <w:color w:val="auto"/>
          <w:highlight w:val="none"/>
        </w:rPr>
        <w:fldChar w:fldCharType="begin"/>
      </w:r>
      <w:r>
        <w:rPr>
          <w:color w:val="auto"/>
          <w:highlight w:val="none"/>
        </w:rPr>
        <w:instrText xml:space="preserve"> HYPERLINK "http://zb.zjcic.net），发布答疑时间为" </w:instrText>
      </w:r>
      <w:r>
        <w:rPr>
          <w:color w:val="auto"/>
          <w:highlight w:val="none"/>
        </w:rPr>
        <w:fldChar w:fldCharType="separate"/>
      </w:r>
      <w:r>
        <w:rPr>
          <w:rFonts w:hint="eastAsia" w:ascii="宋体" w:hAnsi="宋体" w:cs="宋体"/>
          <w:iCs/>
          <w:color w:val="auto"/>
          <w:sz w:val="24"/>
          <w:highlight w:val="none"/>
        </w:rPr>
        <w:t>发布答疑时间：</w:t>
      </w:r>
      <w:r>
        <w:rPr>
          <w:rFonts w:hint="eastAsia" w:ascii="宋体" w:hAnsi="宋体" w:cs="宋体"/>
          <w:iCs/>
          <w:color w:val="auto"/>
          <w:sz w:val="24"/>
          <w:highlight w:val="none"/>
        </w:rPr>
        <w:fldChar w:fldCharType="end"/>
      </w:r>
      <w:r>
        <w:rPr>
          <w:rFonts w:hint="eastAsia" w:ascii="宋体" w:hAnsi="宋体" w:cs="宋体"/>
          <w:iCs/>
          <w:color w:val="auto"/>
          <w:sz w:val="24"/>
          <w:highlight w:val="none"/>
        </w:rPr>
        <w:t>在递交投标文件截止日期前15日。</w:t>
      </w:r>
    </w:p>
    <w:p>
      <w:pPr>
        <w:spacing w:line="360" w:lineRule="auto"/>
        <w:ind w:firstLine="480" w:firstLineChars="200"/>
        <w:rPr>
          <w:rFonts w:ascii="宋体" w:hAnsi="宋体" w:cs="宋体"/>
          <w:iCs/>
          <w:color w:val="auto"/>
          <w:sz w:val="24"/>
          <w:highlight w:val="none"/>
        </w:rPr>
      </w:pPr>
      <w:r>
        <w:rPr>
          <w:rFonts w:hint="eastAsia" w:ascii="宋体" w:hAnsi="宋体" w:eastAsia="宋体" w:cs="宋体"/>
          <w:color w:val="auto"/>
          <w:sz w:val="24"/>
          <w:highlight w:val="none"/>
        </w:rPr>
        <w:t>1.5.7</w:t>
      </w:r>
      <w:r>
        <w:rPr>
          <w:rFonts w:hint="eastAsia" w:ascii="宋体" w:hAnsi="宋体" w:cs="宋体"/>
          <w:iCs/>
          <w:color w:val="auto"/>
          <w:sz w:val="24"/>
          <w:highlight w:val="none"/>
        </w:rPr>
        <w:t>投标文件（纸质版）递交的时间：</w:t>
      </w:r>
      <w:r>
        <w:rPr>
          <w:rFonts w:hint="eastAsia" w:ascii="宋体" w:hAnsi="宋体" w:cs="宋体"/>
          <w:iCs/>
          <w:color w:val="auto"/>
          <w:sz w:val="24"/>
          <w:highlight w:val="none"/>
          <w:u w:val="single"/>
        </w:rPr>
        <w:t>2022</w:t>
      </w:r>
      <w:r>
        <w:rPr>
          <w:rFonts w:hint="eastAsia" w:ascii="宋体" w:hAnsi="宋体" w:cs="宋体"/>
          <w:iCs/>
          <w:color w:val="auto"/>
          <w:sz w:val="24"/>
          <w:highlight w:val="none"/>
        </w:rPr>
        <w:t>年</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月</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日</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时</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分至</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时</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分。</w:t>
      </w:r>
    </w:p>
    <w:p>
      <w:pPr>
        <w:spacing w:line="360" w:lineRule="auto"/>
        <w:ind w:firstLine="480" w:firstLineChars="200"/>
        <w:rPr>
          <w:rFonts w:ascii="宋体" w:hAnsi="宋体" w:cs="宋体"/>
          <w:iCs/>
          <w:color w:val="auto"/>
          <w:sz w:val="24"/>
          <w:highlight w:val="none"/>
        </w:rPr>
      </w:pPr>
      <w:r>
        <w:rPr>
          <w:rFonts w:hint="eastAsia" w:ascii="宋体" w:hAnsi="宋体" w:eastAsia="宋体" w:cs="宋体"/>
          <w:color w:val="auto"/>
          <w:sz w:val="24"/>
          <w:highlight w:val="none"/>
        </w:rPr>
        <w:t>1.5.8</w:t>
      </w:r>
      <w:r>
        <w:rPr>
          <w:rFonts w:hint="eastAsia" w:ascii="宋体" w:hAnsi="宋体" w:cs="宋体"/>
          <w:iCs/>
          <w:color w:val="auto"/>
          <w:sz w:val="24"/>
          <w:highlight w:val="none"/>
        </w:rPr>
        <w:t>投标文件递交地址：</w:t>
      </w:r>
      <w:r>
        <w:rPr>
          <w:rFonts w:hint="eastAsia" w:ascii="宋体" w:hAnsi="宋体" w:cs="宋体"/>
          <w:iCs/>
          <w:color w:val="auto"/>
          <w:sz w:val="24"/>
          <w:highlight w:val="none"/>
          <w:u w:val="single"/>
        </w:rPr>
        <w:t>广州公共资源交易中心(广州市天河区天润路333号)    （具体时间及地点安排详见广州公共资源交易中心网站—项目查询（日程安排、答疑纪要）。</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1.5.9</w:t>
      </w:r>
      <w:r>
        <w:rPr>
          <w:rFonts w:hint="eastAsia" w:ascii="宋体" w:hAnsi="宋体" w:cs="宋体"/>
          <w:color w:val="auto"/>
          <w:sz w:val="24"/>
          <w:highlight w:val="none"/>
        </w:rPr>
        <w:t xml:space="preserve"> 开标时间:</w:t>
      </w:r>
      <w:r>
        <w:rPr>
          <w:rFonts w:hint="eastAsia" w:ascii="宋体" w:hAnsi="宋体" w:cs="宋体"/>
          <w:color w:val="auto"/>
          <w:sz w:val="24"/>
          <w:highlight w:val="none"/>
          <w:u w:val="single"/>
        </w:rPr>
        <w:t xml:space="preserve"> 2022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分。开标地点：</w:t>
      </w:r>
      <w:r>
        <w:rPr>
          <w:rFonts w:hint="eastAsia" w:ascii="宋体" w:hAnsi="宋体" w:cs="宋体"/>
          <w:color w:val="auto"/>
          <w:sz w:val="24"/>
          <w:highlight w:val="none"/>
          <w:u w:val="single"/>
        </w:rPr>
        <w:t xml:space="preserve">广州公共资源交易中心(广州市天河区天润路333号)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1.5.10</w:t>
      </w:r>
      <w:r>
        <w:rPr>
          <w:rFonts w:hint="eastAsia" w:ascii="宋体" w:hAnsi="宋体" w:cs="宋体"/>
          <w:color w:val="auto"/>
          <w:sz w:val="24"/>
          <w:highlight w:val="none"/>
        </w:rPr>
        <w:t xml:space="preserve"> 逾期送达的、未送达指定地点的、不按照招标文件要求密封的投标文件或不进行网上投标登记，不按要求缴交招标文件工本费的投标人，投标文件将予以拒收。</w:t>
      </w:r>
    </w:p>
    <w:p>
      <w:pPr>
        <w:snapToGrid w:val="0"/>
        <w:spacing w:line="500" w:lineRule="exact"/>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 xml:space="preserve">1.5.11 </w:t>
      </w:r>
      <w:r>
        <w:rPr>
          <w:rFonts w:hint="eastAsia" w:ascii="宋体" w:hAnsi="宋体" w:cs="宋体"/>
          <w:color w:val="auto"/>
          <w:sz w:val="24"/>
          <w:highlight w:val="none"/>
        </w:rPr>
        <w:t>符合条件的报名投标人在规定时间内不足 3 家时，招标人将重新组织招标。</w:t>
      </w:r>
    </w:p>
    <w:p>
      <w:pPr>
        <w:spacing w:line="360" w:lineRule="auto"/>
        <w:ind w:firstLine="480" w:firstLineChars="200"/>
        <w:rPr>
          <w:rFonts w:hint="eastAsia" w:ascii="宋体" w:hAnsi="宋体" w:cs="宋体"/>
          <w:color w:val="auto"/>
          <w:sz w:val="24"/>
          <w:highlight w:val="none"/>
        </w:rPr>
      </w:pPr>
      <w:bookmarkStart w:id="12" w:name="_Toc9256"/>
      <w:bookmarkStart w:id="13" w:name="_Toc4123"/>
      <w:r>
        <w:rPr>
          <w:rFonts w:hint="eastAsia" w:ascii="宋体" w:hAnsi="宋体" w:eastAsia="宋体" w:cs="宋体"/>
          <w:color w:val="auto"/>
          <w:sz w:val="24"/>
          <w:highlight w:val="none"/>
        </w:rPr>
        <w:t>1.5.12</w:t>
      </w:r>
      <w:r>
        <w:rPr>
          <w:rFonts w:hint="eastAsia" w:cs="宋体"/>
          <w:color w:val="auto"/>
          <w:sz w:val="24"/>
          <w:highlight w:val="none"/>
        </w:rPr>
        <w:t xml:space="preserve"> </w:t>
      </w:r>
      <w:bookmarkEnd w:id="12"/>
      <w:r>
        <w:rPr>
          <w:rFonts w:hint="eastAsia" w:ascii="宋体" w:hAnsi="宋体" w:cs="宋体"/>
          <w:color w:val="auto"/>
          <w:sz w:val="24"/>
          <w:highlight w:val="none"/>
        </w:rPr>
        <w:t>投标人于递交投标文件时向招标代理机构缴纳招标文件工本费人民币</w:t>
      </w:r>
      <w:r>
        <w:rPr>
          <w:rFonts w:hint="eastAsia" w:ascii="宋体" w:hAnsi="宋体" w:cs="宋体"/>
          <w:color w:val="auto"/>
          <w:sz w:val="24"/>
          <w:highlight w:val="none"/>
          <w:u w:val="single"/>
        </w:rPr>
        <w:t xml:space="preserve"> 300  </w:t>
      </w:r>
      <w:r>
        <w:rPr>
          <w:rFonts w:hint="eastAsia" w:ascii="宋体" w:hAnsi="宋体" w:cs="宋体"/>
          <w:color w:val="auto"/>
          <w:sz w:val="24"/>
          <w:highlight w:val="none"/>
        </w:rPr>
        <w:t>元（不以营利为目的）。</w:t>
      </w:r>
    </w:p>
    <w:p>
      <w:pPr>
        <w:pStyle w:val="83"/>
        <w:widowControl w:val="0"/>
        <w:tabs>
          <w:tab w:val="left" w:pos="1201"/>
        </w:tabs>
        <w:autoSpaceDE w:val="0"/>
        <w:autoSpaceDN w:val="0"/>
        <w:spacing w:line="500" w:lineRule="exact"/>
        <w:ind w:right="403" w:firstLine="478"/>
        <w:outlineLvl w:val="1"/>
        <w:rPr>
          <w:rFonts w:asciiTheme="minorEastAsia" w:hAnsiTheme="minorEastAsia" w:eastAsiaTheme="minorEastAsia" w:cstheme="minorEastAsia"/>
          <w:b/>
          <w:bCs/>
          <w:color w:val="auto"/>
          <w:spacing w:val="-1"/>
          <w:sz w:val="24"/>
          <w:highlight w:val="none"/>
        </w:rPr>
      </w:pPr>
      <w:bookmarkStart w:id="14" w:name="_Toc18886"/>
      <w:r>
        <w:rPr>
          <w:rFonts w:hint="eastAsia" w:ascii="宋体" w:hAnsi="宋体" w:eastAsia="宋体" w:cs="宋体"/>
          <w:b/>
          <w:bCs/>
          <w:color w:val="auto"/>
          <w:spacing w:val="-1"/>
          <w:sz w:val="24"/>
          <w:highlight w:val="none"/>
        </w:rPr>
        <w:t>1.6</w:t>
      </w:r>
      <w:r>
        <w:rPr>
          <w:rFonts w:hint="eastAsia" w:ascii="宋体" w:hAnsi="宋体" w:eastAsia="宋体" w:cs="宋体"/>
          <w:b/>
          <w:bCs/>
          <w:color w:val="auto"/>
          <w:spacing w:val="-1"/>
          <w:sz w:val="24"/>
          <w:highlight w:val="none"/>
          <w:lang w:val="en-US" w:eastAsia="zh-CN"/>
        </w:rPr>
        <w:t xml:space="preserve"> </w:t>
      </w:r>
      <w:r>
        <w:rPr>
          <w:rFonts w:hint="eastAsia" w:asciiTheme="minorEastAsia" w:hAnsiTheme="minorEastAsia" w:eastAsiaTheme="minorEastAsia" w:cstheme="minorEastAsia"/>
          <w:b/>
          <w:bCs/>
          <w:color w:val="auto"/>
          <w:spacing w:val="-1"/>
          <w:sz w:val="24"/>
          <w:highlight w:val="none"/>
        </w:rPr>
        <w:t>本项目不统一组织现场踏勘，由投标人自行考察现场。</w:t>
      </w:r>
      <w:bookmarkEnd w:id="13"/>
      <w:bookmarkEnd w:id="14"/>
    </w:p>
    <w:p>
      <w:pPr>
        <w:pStyle w:val="83"/>
        <w:widowControl w:val="0"/>
        <w:tabs>
          <w:tab w:val="left" w:pos="1201"/>
        </w:tabs>
        <w:autoSpaceDE w:val="0"/>
        <w:autoSpaceDN w:val="0"/>
        <w:spacing w:line="500" w:lineRule="exact"/>
        <w:ind w:right="403" w:firstLine="478"/>
        <w:outlineLvl w:val="1"/>
        <w:rPr>
          <w:rFonts w:ascii="宋体" w:hAnsi="宋体" w:cs="宋体"/>
          <w:b/>
          <w:bCs/>
          <w:color w:val="auto"/>
          <w:spacing w:val="-1"/>
          <w:sz w:val="24"/>
          <w:highlight w:val="none"/>
        </w:rPr>
      </w:pPr>
      <w:bookmarkStart w:id="15" w:name="_Toc10075"/>
      <w:bookmarkStart w:id="16" w:name="_Toc6227"/>
      <w:r>
        <w:rPr>
          <w:rFonts w:hint="eastAsia" w:ascii="宋体" w:hAnsi="宋体" w:eastAsia="宋体" w:cs="宋体"/>
          <w:b/>
          <w:bCs/>
          <w:color w:val="auto"/>
          <w:spacing w:val="-1"/>
          <w:sz w:val="24"/>
          <w:highlight w:val="none"/>
        </w:rPr>
        <w:t>1.7</w:t>
      </w:r>
      <w:r>
        <w:rPr>
          <w:rFonts w:hint="eastAsia" w:ascii="宋体" w:hAnsi="宋体" w:cs="宋体"/>
          <w:b/>
          <w:bCs/>
          <w:color w:val="auto"/>
          <w:spacing w:val="-1"/>
          <w:sz w:val="24"/>
          <w:highlight w:val="none"/>
          <w:lang w:val="en-US" w:eastAsia="zh-CN"/>
        </w:rPr>
        <w:t xml:space="preserve"> </w:t>
      </w:r>
      <w:r>
        <w:rPr>
          <w:rFonts w:hint="eastAsia" w:ascii="宋体" w:hAnsi="宋体" w:cs="宋体"/>
          <w:b/>
          <w:bCs/>
          <w:color w:val="auto"/>
          <w:spacing w:val="-1"/>
          <w:sz w:val="24"/>
          <w:highlight w:val="none"/>
        </w:rPr>
        <w:t>费用</w:t>
      </w:r>
      <w:bookmarkEnd w:id="15"/>
      <w:bookmarkEnd w:id="16"/>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 本项目不设经济补偿。投标人应承担其编制投标文件与提交投标文件所涉及的一切费用。不管投标结果如何，招标人对上述费用不负任何责任。</w:t>
      </w:r>
    </w:p>
    <w:p>
      <w:pPr>
        <w:pStyle w:val="83"/>
        <w:widowControl w:val="0"/>
        <w:tabs>
          <w:tab w:val="left" w:pos="1201"/>
        </w:tabs>
        <w:autoSpaceDE w:val="0"/>
        <w:autoSpaceDN w:val="0"/>
        <w:spacing w:line="500" w:lineRule="exact"/>
        <w:ind w:right="403" w:firstLine="478"/>
        <w:outlineLvl w:val="1"/>
        <w:rPr>
          <w:rFonts w:ascii="宋体" w:hAnsi="宋体" w:cs="宋体"/>
          <w:b/>
          <w:bCs/>
          <w:color w:val="auto"/>
          <w:spacing w:val="-1"/>
          <w:sz w:val="24"/>
          <w:highlight w:val="none"/>
        </w:rPr>
      </w:pPr>
      <w:bookmarkStart w:id="17" w:name="_Toc32272"/>
      <w:bookmarkStart w:id="18" w:name="_Toc6603"/>
      <w:r>
        <w:rPr>
          <w:rFonts w:hint="eastAsia" w:ascii="宋体" w:hAnsi="宋体" w:eastAsia="宋体" w:cs="宋体"/>
          <w:b/>
          <w:bCs/>
          <w:color w:val="auto"/>
          <w:spacing w:val="-1"/>
          <w:sz w:val="24"/>
          <w:highlight w:val="none"/>
        </w:rPr>
        <w:t>1.8</w:t>
      </w:r>
      <w:r>
        <w:rPr>
          <w:rFonts w:hint="eastAsia" w:ascii="宋体" w:hAnsi="宋体" w:cs="宋体"/>
          <w:b/>
          <w:bCs/>
          <w:color w:val="auto"/>
          <w:spacing w:val="-1"/>
          <w:sz w:val="24"/>
          <w:highlight w:val="none"/>
          <w:lang w:val="en-US" w:eastAsia="zh-CN"/>
        </w:rPr>
        <w:t xml:space="preserve"> </w:t>
      </w:r>
      <w:r>
        <w:rPr>
          <w:rFonts w:hint="eastAsia" w:ascii="宋体" w:hAnsi="宋体" w:cs="宋体"/>
          <w:b/>
          <w:bCs/>
          <w:color w:val="auto"/>
          <w:spacing w:val="-1"/>
          <w:sz w:val="24"/>
          <w:highlight w:val="none"/>
        </w:rPr>
        <w:t>工期</w:t>
      </w:r>
      <w:bookmarkEnd w:id="17"/>
      <w:bookmarkEnd w:id="18"/>
    </w:p>
    <w:p>
      <w:pPr>
        <w:snapToGrid w:val="0"/>
        <w:spacing w:line="500" w:lineRule="exact"/>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1.8.1</w:t>
      </w:r>
      <w:r>
        <w:rPr>
          <w:rFonts w:hint="eastAsia" w:ascii="宋体" w:hAnsi="宋体" w:cs="宋体"/>
          <w:color w:val="auto"/>
          <w:sz w:val="24"/>
          <w:highlight w:val="none"/>
        </w:rPr>
        <w:t xml:space="preserve"> 勘察设计总工期：</w:t>
      </w:r>
      <w:r>
        <w:rPr>
          <w:rFonts w:hint="eastAsia" w:cs="宋体"/>
          <w:color w:val="auto"/>
          <w:sz w:val="24"/>
          <w:highlight w:val="none"/>
          <w:u w:val="single"/>
        </w:rPr>
        <w:t>90个</w:t>
      </w:r>
      <w:r>
        <w:rPr>
          <w:rFonts w:hint="eastAsia" w:ascii="宋体" w:hAnsi="宋体" w:cs="宋体"/>
          <w:color w:val="auto"/>
          <w:sz w:val="24"/>
          <w:highlight w:val="none"/>
        </w:rPr>
        <w:t>日历天，中标人应在合同签订并收悉基础资料，并收到招标人发出的具备进场条件的通知起30个日历日内完成工程测量勘察，工程测量勘察完成后的50个日历日内施工图设计，施工图设计审查后10个日历日内完成补充、修改，并提交正式版成果。设计文件报批、送审时间、施工图预算、竣工图编制不计入以上工期。</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本项目将根据工程实际进度情况分期分批进行勘察设计，上述要求的工期对于每期每批均有效。具体以招标人实际工作进度为准。</w:t>
      </w:r>
    </w:p>
    <w:p>
      <w:pPr>
        <w:snapToGrid w:val="0"/>
        <w:spacing w:line="500" w:lineRule="exact"/>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 xml:space="preserve">1.8.3 </w:t>
      </w:r>
      <w:r>
        <w:rPr>
          <w:rFonts w:hint="eastAsia" w:ascii="宋体" w:hAnsi="宋体" w:cs="宋体"/>
          <w:color w:val="auto"/>
          <w:sz w:val="24"/>
          <w:highlight w:val="none"/>
        </w:rPr>
        <w:t>如因招标人或相关审批部门原因导致的方案审批、规划报建等时间延误，则以上工期应相应合理顺延。</w:t>
      </w:r>
    </w:p>
    <w:p>
      <w:pPr>
        <w:snapToGrid w:val="0"/>
        <w:spacing w:line="500" w:lineRule="exact"/>
        <w:ind w:firstLine="480" w:firstLineChars="200"/>
        <w:outlineLvl w:val="1"/>
        <w:rPr>
          <w:rFonts w:ascii="宋体" w:hAnsi="宋体" w:cs="宋体"/>
          <w:b/>
          <w:bCs/>
          <w:color w:val="auto"/>
          <w:sz w:val="24"/>
          <w:highlight w:val="none"/>
        </w:rPr>
      </w:pPr>
      <w:bookmarkStart w:id="19" w:name="_Toc25975"/>
      <w:bookmarkStart w:id="20" w:name="_Toc7753"/>
      <w:r>
        <w:rPr>
          <w:rFonts w:hint="eastAsia" w:ascii="宋体" w:hAnsi="宋体" w:cs="宋体"/>
          <w:b/>
          <w:bCs/>
          <w:color w:val="auto"/>
          <w:sz w:val="24"/>
          <w:highlight w:val="none"/>
        </w:rPr>
        <w:t>1.9</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异议与投诉</w:t>
      </w:r>
      <w:bookmarkEnd w:id="19"/>
      <w:bookmarkEnd w:id="20"/>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招标投标法实施条例》第二十二条和第六十条，潜在投标人或其他利害关系人对本招标公告及招标文件有异议的，或认为招标投标活动不符合法律、行政法规规定的，应当在投标截止时间10日前向招标人提出异议。对招标人答复不满意或者招标人未在规定的时间内作出答复的，可以自知道或应当知道之日起10日内向</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廉江市住房和城乡建设局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实名投诉，电话：</w:t>
      </w:r>
      <w:r>
        <w:rPr>
          <w:rFonts w:hint="eastAsia" w:ascii="宋体" w:hAnsi="宋体" w:cs="宋体"/>
          <w:color w:val="auto"/>
          <w:sz w:val="24"/>
          <w:highlight w:val="none"/>
          <w:u w:val="single"/>
        </w:rPr>
        <w:t>0759-6682436</w:t>
      </w:r>
      <w:r>
        <w:rPr>
          <w:rFonts w:hint="eastAsia" w:ascii="宋体" w:hAnsi="宋体" w:cs="宋体"/>
          <w:color w:val="auto"/>
          <w:sz w:val="24"/>
          <w:highlight w:val="none"/>
        </w:rPr>
        <w:t>。（投诉应当有明确的请求和必要的证明材料，具体要求依照《工程建设项目招标投标活动投诉处理办法》）潜在投标人或其他利害关系人应当充分重视异议、投诉提出的时限，避免异议权、投诉权因时效原因而消失。</w:t>
      </w:r>
    </w:p>
    <w:p>
      <w:pPr>
        <w:snapToGrid w:val="0"/>
        <w:spacing w:line="500" w:lineRule="exact"/>
        <w:ind w:firstLine="476" w:firstLineChars="200"/>
        <w:outlineLvl w:val="1"/>
        <w:rPr>
          <w:rFonts w:ascii="宋体" w:hAnsi="宋体" w:cs="宋体"/>
          <w:b/>
          <w:bCs/>
          <w:color w:val="auto"/>
          <w:spacing w:val="-1"/>
          <w:sz w:val="24"/>
          <w:highlight w:val="none"/>
        </w:rPr>
      </w:pPr>
      <w:bookmarkStart w:id="21" w:name="_Toc9093"/>
      <w:bookmarkStart w:id="22" w:name="_Toc3052"/>
      <w:r>
        <w:rPr>
          <w:rFonts w:hint="eastAsia" w:cs="宋体"/>
          <w:b/>
          <w:bCs/>
          <w:color w:val="auto"/>
          <w:spacing w:val="-1"/>
          <w:sz w:val="24"/>
          <w:highlight w:val="none"/>
        </w:rPr>
        <w:t>1.</w:t>
      </w:r>
      <w:r>
        <w:rPr>
          <w:rFonts w:hint="eastAsia" w:ascii="宋体" w:hAnsi="宋体" w:cs="宋体"/>
          <w:b/>
          <w:bCs/>
          <w:color w:val="auto"/>
          <w:spacing w:val="-1"/>
          <w:sz w:val="24"/>
          <w:highlight w:val="none"/>
        </w:rPr>
        <w:t>10</w:t>
      </w:r>
      <w:r>
        <w:rPr>
          <w:rFonts w:hint="eastAsia" w:ascii="宋体" w:hAnsi="宋体" w:cs="宋体"/>
          <w:b/>
          <w:bCs/>
          <w:color w:val="auto"/>
          <w:spacing w:val="-1"/>
          <w:sz w:val="24"/>
          <w:highlight w:val="none"/>
          <w:lang w:val="en-US" w:eastAsia="zh-CN"/>
        </w:rPr>
        <w:t xml:space="preserve"> </w:t>
      </w:r>
      <w:r>
        <w:rPr>
          <w:rFonts w:hint="eastAsia" w:ascii="宋体" w:hAnsi="宋体" w:cs="宋体"/>
          <w:b/>
          <w:bCs/>
          <w:color w:val="auto"/>
          <w:spacing w:val="-1"/>
          <w:sz w:val="24"/>
          <w:highlight w:val="none"/>
        </w:rPr>
        <w:t>本招标公告未尽事宜，执行本工程的招标文件及有关法律法规规定。</w:t>
      </w:r>
      <w:bookmarkEnd w:id="21"/>
      <w:bookmarkEnd w:id="22"/>
    </w:p>
    <w:p>
      <w:pPr>
        <w:pStyle w:val="83"/>
        <w:widowControl w:val="0"/>
        <w:tabs>
          <w:tab w:val="left" w:pos="1201"/>
        </w:tabs>
        <w:autoSpaceDE w:val="0"/>
        <w:autoSpaceDN w:val="0"/>
        <w:spacing w:line="500" w:lineRule="exact"/>
        <w:ind w:right="403" w:firstLine="478"/>
        <w:outlineLvl w:val="1"/>
        <w:rPr>
          <w:rFonts w:ascii="宋体" w:hAnsi="宋体" w:cs="宋体"/>
          <w:b/>
          <w:bCs/>
          <w:color w:val="auto"/>
          <w:spacing w:val="-1"/>
          <w:sz w:val="24"/>
          <w:highlight w:val="none"/>
        </w:rPr>
      </w:pPr>
      <w:bookmarkStart w:id="23" w:name="_Toc10569"/>
      <w:bookmarkStart w:id="24" w:name="_Toc20245"/>
      <w:r>
        <w:rPr>
          <w:rFonts w:hint="eastAsia" w:ascii="宋体" w:hAnsi="宋体" w:eastAsia="宋体" w:cs="宋体"/>
          <w:b/>
          <w:bCs/>
          <w:color w:val="auto"/>
          <w:spacing w:val="-1"/>
          <w:sz w:val="24"/>
          <w:highlight w:val="none"/>
        </w:rPr>
        <w:t>1.11</w:t>
      </w:r>
      <w:r>
        <w:rPr>
          <w:rFonts w:hint="eastAsia" w:cs="宋体"/>
          <w:b/>
          <w:bCs/>
          <w:color w:val="auto"/>
          <w:spacing w:val="-1"/>
          <w:sz w:val="24"/>
          <w:highlight w:val="none"/>
          <w:lang w:val="en-US" w:eastAsia="zh-CN"/>
        </w:rPr>
        <w:t xml:space="preserve"> </w:t>
      </w:r>
      <w:r>
        <w:rPr>
          <w:rFonts w:hint="eastAsia" w:ascii="宋体" w:hAnsi="宋体" w:cs="宋体"/>
          <w:b/>
          <w:bCs/>
          <w:color w:val="auto"/>
          <w:spacing w:val="-1"/>
          <w:sz w:val="24"/>
          <w:highlight w:val="none"/>
        </w:rPr>
        <w:t>公告媒体</w:t>
      </w:r>
      <w:bookmarkEnd w:id="23"/>
      <w:bookmarkEnd w:id="24"/>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本次招标公告同时在广东省招标投标监管网</w:t>
      </w:r>
      <w:r>
        <w:rPr>
          <w:rFonts w:hint="eastAsia"/>
          <w:color w:val="auto"/>
          <w:highlight w:val="none"/>
        </w:rPr>
        <w:fldChar w:fldCharType="begin"/>
      </w:r>
      <w:r>
        <w:rPr>
          <w:color w:val="auto"/>
          <w:highlight w:val="none"/>
        </w:rPr>
        <w:instrText xml:space="preserve"> HYPERLINK "http://zbtb.gd.gov.cn/login" \h </w:instrText>
      </w:r>
      <w:r>
        <w:rPr>
          <w:rFonts w:hint="eastAsia"/>
          <w:color w:val="auto"/>
          <w:highlight w:val="none"/>
        </w:rPr>
        <w:fldChar w:fldCharType="separate"/>
      </w:r>
      <w:r>
        <w:rPr>
          <w:rFonts w:hint="eastAsia" w:ascii="宋体" w:hAnsi="宋体" w:cs="宋体"/>
          <w:color w:val="auto"/>
          <w:sz w:val="24"/>
          <w:highlight w:val="none"/>
        </w:rPr>
        <w:t>（http://zbtb.gd.gov.cn/login</w:t>
      </w:r>
      <w:r>
        <w:rPr>
          <w:rFonts w:hint="eastAsia" w:ascii="宋体" w:hAnsi="宋体" w:cs="宋体"/>
          <w:color w:val="auto"/>
          <w:sz w:val="24"/>
          <w:highlight w:val="none"/>
        </w:rPr>
        <w:fldChar w:fldCharType="end"/>
      </w:r>
      <w:r>
        <w:rPr>
          <w:rFonts w:hint="eastAsia" w:ascii="宋体" w:hAnsi="宋体" w:cs="宋体"/>
          <w:color w:val="auto"/>
          <w:sz w:val="24"/>
          <w:highlight w:val="none"/>
        </w:rPr>
        <w:t>）、广州公共资源交易中心网站（http://www.gzzb.gd.cn）上发布。公告内容和时间不一致时，以广州公共资源交易中心门户网站发布的为准。招标人的澄清（答疑）、补充、修改等文件一律通过广州公共资源交易中心门户网站发布。</w:t>
      </w:r>
    </w:p>
    <w:p>
      <w:pPr>
        <w:pStyle w:val="83"/>
        <w:widowControl w:val="0"/>
        <w:tabs>
          <w:tab w:val="left" w:pos="1201"/>
        </w:tabs>
        <w:autoSpaceDE w:val="0"/>
        <w:autoSpaceDN w:val="0"/>
        <w:spacing w:line="360" w:lineRule="auto"/>
        <w:ind w:right="403" w:firstLine="478"/>
        <w:outlineLvl w:val="1"/>
        <w:rPr>
          <w:rFonts w:ascii="宋体" w:hAnsi="宋体" w:cs="宋体"/>
          <w:b/>
          <w:bCs/>
          <w:color w:val="auto"/>
          <w:spacing w:val="-1"/>
          <w:sz w:val="24"/>
          <w:highlight w:val="none"/>
        </w:rPr>
      </w:pPr>
      <w:bookmarkStart w:id="25" w:name="_Toc10546"/>
      <w:r>
        <w:rPr>
          <w:rFonts w:hint="eastAsia" w:ascii="宋体" w:hAnsi="宋体" w:cs="宋体"/>
          <w:b/>
          <w:bCs/>
          <w:color w:val="auto"/>
          <w:spacing w:val="-1"/>
          <w:sz w:val="24"/>
          <w:highlight w:val="none"/>
        </w:rPr>
        <w:t>1.12 联系方式：</w:t>
      </w:r>
      <w:bookmarkEnd w:id="25"/>
    </w:p>
    <w:p>
      <w:pPr>
        <w:pStyle w:val="83"/>
        <w:widowControl w:val="0"/>
        <w:tabs>
          <w:tab w:val="left" w:pos="1201"/>
        </w:tabs>
        <w:autoSpaceDE w:val="0"/>
        <w:autoSpaceDN w:val="0"/>
        <w:spacing w:line="360" w:lineRule="auto"/>
        <w:ind w:left="420" w:leftChars="200" w:right="403" w:firstLine="0" w:firstLineChars="0"/>
        <w:rPr>
          <w:rFonts w:ascii="宋体" w:hAnsi="宋体" w:cs="宋体"/>
          <w:b/>
          <w:bCs/>
          <w:color w:val="auto"/>
          <w:spacing w:val="-1"/>
          <w:sz w:val="24"/>
          <w:highlight w:val="none"/>
        </w:rPr>
      </w:pPr>
      <w:r>
        <w:rPr>
          <w:rFonts w:hint="eastAsia" w:ascii="宋体" w:hAnsi="宋体" w:cs="宋体"/>
          <w:b/>
          <w:bCs/>
          <w:color w:val="auto"/>
          <w:spacing w:val="-1"/>
          <w:sz w:val="24"/>
          <w:highlight w:val="none"/>
        </w:rPr>
        <w:t>招标人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单位名称：廉江市住房和城乡建设局</w:t>
      </w:r>
    </w:p>
    <w:p>
      <w:pPr>
        <w:adjustRightInd w:val="0"/>
        <w:snapToGrid w:val="0"/>
        <w:spacing w:line="360" w:lineRule="auto"/>
        <w:ind w:firstLine="480" w:firstLineChars="200"/>
        <w:textAlignment w:val="baseline"/>
        <w:rPr>
          <w:rFonts w:ascii="宋体" w:hAnsi="宋体"/>
          <w:color w:val="auto"/>
          <w:sz w:val="24"/>
          <w:highlight w:val="none"/>
        </w:rPr>
      </w:pPr>
      <w:r>
        <w:rPr>
          <w:rFonts w:hint="eastAsia" w:ascii="宋体" w:hAnsi="宋体" w:cs="宋体"/>
          <w:color w:val="auto"/>
          <w:sz w:val="24"/>
          <w:highlight w:val="none"/>
        </w:rPr>
        <w:t>地址：</w:t>
      </w:r>
      <w:r>
        <w:rPr>
          <w:rFonts w:hint="eastAsia" w:ascii="宋体" w:hAnsi="宋体"/>
          <w:color w:val="auto"/>
          <w:sz w:val="24"/>
          <w:highlight w:val="none"/>
        </w:rPr>
        <w:t>湛江市廉江市中环三路2号</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黄宗隆</w:t>
      </w:r>
    </w:p>
    <w:p>
      <w:pPr>
        <w:adjustRightInd w:val="0"/>
        <w:snapToGrid w:val="0"/>
        <w:spacing w:line="360" w:lineRule="auto"/>
        <w:ind w:firstLine="480" w:firstLineChars="200"/>
        <w:textAlignment w:val="baseline"/>
        <w:rPr>
          <w:rFonts w:ascii="宋体" w:hAnsi="宋体" w:cs="宋体"/>
          <w:color w:val="auto"/>
          <w:kern w:val="0"/>
          <w:sz w:val="24"/>
          <w:highlight w:val="none"/>
        </w:rPr>
      </w:pPr>
      <w:r>
        <w:rPr>
          <w:rFonts w:hint="eastAsia" w:ascii="宋体" w:hAnsi="宋体" w:cs="宋体"/>
          <w:color w:val="auto"/>
          <w:sz w:val="24"/>
          <w:highlight w:val="none"/>
        </w:rPr>
        <w:t>联系方式：</w:t>
      </w:r>
      <w:r>
        <w:rPr>
          <w:rFonts w:hint="eastAsia" w:cs="宋体"/>
          <w:color w:val="auto"/>
          <w:sz w:val="24"/>
          <w:highlight w:val="none"/>
        </w:rPr>
        <w:t>0759-</w:t>
      </w:r>
      <w:r>
        <w:rPr>
          <w:rFonts w:hint="eastAsia" w:ascii="宋体" w:hAnsi="宋体" w:cs="宋体"/>
          <w:color w:val="auto"/>
          <w:kern w:val="0"/>
          <w:sz w:val="24"/>
          <w:highlight w:val="none"/>
        </w:rPr>
        <w:t>6683475</w:t>
      </w:r>
    </w:p>
    <w:p>
      <w:pPr>
        <w:adjustRightInd w:val="0"/>
        <w:snapToGrid w:val="0"/>
        <w:spacing w:line="360" w:lineRule="auto"/>
        <w:ind w:firstLine="476" w:firstLineChars="200"/>
        <w:textAlignment w:val="baseline"/>
        <w:rPr>
          <w:rFonts w:ascii="宋体" w:hAnsi="宋体" w:cs="宋体"/>
          <w:b/>
          <w:bCs/>
          <w:color w:val="auto"/>
          <w:spacing w:val="-1"/>
          <w:sz w:val="24"/>
          <w:highlight w:val="none"/>
        </w:rPr>
      </w:pPr>
      <w:r>
        <w:rPr>
          <w:rFonts w:hint="eastAsia" w:ascii="宋体" w:hAnsi="宋体" w:cs="宋体"/>
          <w:b/>
          <w:bCs/>
          <w:color w:val="auto"/>
          <w:spacing w:val="-1"/>
          <w:sz w:val="24"/>
          <w:highlight w:val="none"/>
        </w:rPr>
        <w:t>招标代理机构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单位名称：永道工程咨询有限公司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地址：广州市天河区华强路9号2701、2710房</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联系人：吴英娣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联系方式：0759-2822616、13729155679</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w:t>
      </w:r>
      <w:r>
        <w:rPr>
          <w:rFonts w:hint="eastAsia" w:ascii="宋体" w:hAnsi="宋体" w:cs="宋体"/>
          <w:color w:val="auto"/>
          <w:sz w:val="24"/>
          <w:highlight w:val="none"/>
          <w:lang w:val="en-US" w:eastAsia="zh-CN"/>
        </w:rPr>
        <w:t>箱</w:t>
      </w:r>
      <w:r>
        <w:rPr>
          <w:rFonts w:hint="eastAsia" w:ascii="宋体" w:hAnsi="宋体" w:cs="宋体"/>
          <w:color w:val="auto"/>
          <w:sz w:val="24"/>
          <w:highlight w:val="none"/>
        </w:rPr>
        <w:t>：zhanjiangyongdao@163.com</w:t>
      </w:r>
    </w:p>
    <w:p>
      <w:pPr>
        <w:pStyle w:val="47"/>
        <w:spacing w:line="360" w:lineRule="auto"/>
        <w:rPr>
          <w:rStyle w:val="27"/>
          <w:rFonts w:hAnsi="宋体"/>
          <w:color w:val="auto"/>
          <w:sz w:val="24"/>
          <w:szCs w:val="24"/>
          <w:highlight w:val="none"/>
        </w:rPr>
      </w:pPr>
      <w:r>
        <w:rPr>
          <w:rStyle w:val="27"/>
          <w:rFonts w:hint="eastAsia" w:hAnsi="宋体"/>
          <w:color w:val="auto"/>
          <w:sz w:val="24"/>
          <w:szCs w:val="24"/>
          <w:highlight w:val="none"/>
        </w:rPr>
        <w:t xml:space="preserve">                                       </w:t>
      </w:r>
      <w:r>
        <w:rPr>
          <w:rStyle w:val="27"/>
          <w:rFonts w:hint="eastAsia" w:hAnsi="宋体"/>
          <w:color w:val="auto"/>
          <w:sz w:val="24"/>
          <w:szCs w:val="24"/>
          <w:highlight w:val="none"/>
          <w:lang w:val="en-US" w:eastAsia="zh-CN"/>
        </w:rPr>
        <w:t xml:space="preserve">       </w:t>
      </w:r>
      <w:r>
        <w:rPr>
          <w:rStyle w:val="27"/>
          <w:rFonts w:hint="eastAsia" w:hAnsi="宋体"/>
          <w:color w:val="auto"/>
          <w:sz w:val="24"/>
          <w:szCs w:val="24"/>
          <w:highlight w:val="none"/>
        </w:rPr>
        <w:t xml:space="preserve"> </w:t>
      </w:r>
      <w:r>
        <w:rPr>
          <w:rStyle w:val="27"/>
          <w:rFonts w:hint="eastAsia" w:hAnsi="宋体"/>
          <w:color w:val="auto"/>
          <w:sz w:val="24"/>
          <w:szCs w:val="24"/>
          <w:highlight w:val="none"/>
          <w:lang w:val="en-US" w:eastAsia="zh-CN"/>
        </w:rPr>
        <w:t>2022</w:t>
      </w:r>
      <w:r>
        <w:rPr>
          <w:rStyle w:val="27"/>
          <w:rFonts w:hint="eastAsia" w:hAnsi="宋体"/>
          <w:color w:val="auto"/>
          <w:sz w:val="24"/>
          <w:szCs w:val="24"/>
          <w:highlight w:val="none"/>
        </w:rPr>
        <w:t>年</w:t>
      </w:r>
      <w:r>
        <w:rPr>
          <w:rStyle w:val="27"/>
          <w:rFonts w:hint="eastAsia" w:hAnsi="宋体"/>
          <w:color w:val="auto"/>
          <w:sz w:val="24"/>
          <w:szCs w:val="24"/>
          <w:highlight w:val="none"/>
          <w:u w:val="single"/>
        </w:rPr>
        <w:t xml:space="preserve">   </w:t>
      </w:r>
      <w:r>
        <w:rPr>
          <w:rStyle w:val="27"/>
          <w:rFonts w:hint="eastAsia" w:hAnsi="宋体"/>
          <w:color w:val="auto"/>
          <w:sz w:val="24"/>
          <w:szCs w:val="24"/>
          <w:highlight w:val="none"/>
        </w:rPr>
        <w:t>月</w:t>
      </w:r>
      <w:r>
        <w:rPr>
          <w:rStyle w:val="27"/>
          <w:rFonts w:hint="eastAsia" w:hAnsi="宋体"/>
          <w:color w:val="auto"/>
          <w:sz w:val="24"/>
          <w:szCs w:val="24"/>
          <w:highlight w:val="none"/>
          <w:u w:val="single"/>
        </w:rPr>
        <w:t xml:space="preserve">   </w:t>
      </w:r>
      <w:r>
        <w:rPr>
          <w:rStyle w:val="27"/>
          <w:rFonts w:hint="eastAsia" w:hAnsi="宋体"/>
          <w:color w:val="auto"/>
          <w:sz w:val="24"/>
          <w:szCs w:val="24"/>
          <w:highlight w:val="none"/>
        </w:rPr>
        <w:t>日</w:t>
      </w:r>
    </w:p>
    <w:p>
      <w:pPr>
        <w:pStyle w:val="47"/>
        <w:spacing w:line="360" w:lineRule="auto"/>
        <w:rPr>
          <w:rStyle w:val="27"/>
          <w:rFonts w:hAnsi="宋体"/>
          <w:color w:val="auto"/>
          <w:sz w:val="24"/>
          <w:szCs w:val="24"/>
          <w:highlight w:val="none"/>
        </w:rPr>
        <w:sectPr>
          <w:footerReference r:id="rId3" w:type="default"/>
          <w:pgSz w:w="11907" w:h="16840"/>
          <w:pgMar w:top="1020" w:right="1134" w:bottom="1020" w:left="1134" w:header="851" w:footer="992" w:gutter="567"/>
          <w:pgNumType w:start="1"/>
          <w:cols w:space="720" w:num="1"/>
          <w:docGrid w:type="linesAndChars" w:linePitch="312" w:charSpace="0"/>
        </w:sectPr>
      </w:pPr>
    </w:p>
    <w:p>
      <w:pPr>
        <w:pStyle w:val="3"/>
        <w:keepNext w:val="0"/>
        <w:keepLines w:val="0"/>
        <w:widowControl w:val="0"/>
        <w:tabs>
          <w:tab w:val="left" w:pos="1462"/>
        </w:tabs>
        <w:autoSpaceDE w:val="0"/>
        <w:autoSpaceDN w:val="0"/>
        <w:spacing w:before="173" w:after="240" w:line="360" w:lineRule="auto"/>
        <w:rPr>
          <w:rFonts w:asciiTheme="minorEastAsia" w:hAnsiTheme="minorEastAsia" w:eastAsiaTheme="minorEastAsia" w:cstheme="minorEastAsia"/>
          <w:color w:val="auto"/>
          <w:sz w:val="32"/>
          <w:szCs w:val="32"/>
          <w:highlight w:val="none"/>
        </w:rPr>
      </w:pPr>
      <w:bookmarkStart w:id="26" w:name="_Toc18365"/>
      <w:bookmarkStart w:id="27" w:name="_Toc6787"/>
      <w:bookmarkStart w:id="28" w:name="_Toc16901"/>
      <w:r>
        <w:rPr>
          <w:rFonts w:hint="eastAsia" w:asciiTheme="minorEastAsia" w:hAnsiTheme="minorEastAsia" w:eastAsiaTheme="minorEastAsia" w:cstheme="minorEastAsia"/>
          <w:color w:val="auto"/>
          <w:sz w:val="32"/>
          <w:szCs w:val="32"/>
          <w:highlight w:val="none"/>
        </w:rPr>
        <w:t>第二章 投标人须知</w:t>
      </w:r>
      <w:bookmarkEnd w:id="26"/>
      <w:bookmarkEnd w:id="27"/>
      <w:bookmarkEnd w:id="28"/>
    </w:p>
    <w:p>
      <w:pPr>
        <w:rPr>
          <w:color w:val="auto"/>
          <w:highlight w:val="none"/>
        </w:rPr>
      </w:pPr>
    </w:p>
    <w:p>
      <w:pPr>
        <w:jc w:val="center"/>
        <w:outlineLvl w:val="1"/>
        <w:rPr>
          <w:rStyle w:val="82"/>
          <w:color w:val="auto"/>
          <w:sz w:val="28"/>
          <w:szCs w:val="28"/>
          <w:highlight w:val="none"/>
        </w:rPr>
      </w:pPr>
      <w:bookmarkStart w:id="29" w:name="_Toc144974496"/>
      <w:bookmarkStart w:id="30" w:name="_Toc152045528"/>
      <w:bookmarkStart w:id="31" w:name="_Toc247513951"/>
      <w:bookmarkStart w:id="32" w:name="_Toc152042304"/>
      <w:bookmarkStart w:id="33" w:name="_Toc247527552"/>
      <w:bookmarkStart w:id="34" w:name="_Toc31336"/>
      <w:bookmarkStart w:id="35" w:name="_Toc27202"/>
      <w:bookmarkStart w:id="36" w:name="_Toc8435_WPSOffice_Level2"/>
      <w:bookmarkStart w:id="37" w:name="_Toc11654"/>
      <w:bookmarkStart w:id="38" w:name="_Toc6475_WPSOffice_Level2"/>
      <w:bookmarkStart w:id="39" w:name="_Toc474134325"/>
      <w:bookmarkStart w:id="40" w:name="_Toc18502"/>
      <w:bookmarkStart w:id="41" w:name="_Toc2344_WPSOffice_Level2"/>
      <w:bookmarkStart w:id="42" w:name="_Toc22632"/>
      <w:bookmarkStart w:id="43" w:name="_Toc5604_WPSOffice_Level2"/>
      <w:bookmarkStart w:id="44" w:name="_Toc7329"/>
      <w:r>
        <w:rPr>
          <w:rStyle w:val="82"/>
          <w:rFonts w:hint="eastAsia"/>
          <w:color w:val="auto"/>
          <w:sz w:val="28"/>
          <w:szCs w:val="28"/>
          <w:highlight w:val="none"/>
        </w:rPr>
        <w:t>投标人须知前</w:t>
      </w:r>
      <w:bookmarkEnd w:id="29"/>
      <w:bookmarkEnd w:id="30"/>
      <w:bookmarkEnd w:id="31"/>
      <w:bookmarkEnd w:id="32"/>
      <w:bookmarkEnd w:id="33"/>
      <w:r>
        <w:rPr>
          <w:rStyle w:val="82"/>
          <w:rFonts w:hint="eastAsia"/>
          <w:color w:val="auto"/>
          <w:sz w:val="28"/>
          <w:szCs w:val="28"/>
          <w:highlight w:val="none"/>
        </w:rPr>
        <w:t>表</w:t>
      </w:r>
      <w:bookmarkEnd w:id="34"/>
      <w:bookmarkEnd w:id="35"/>
      <w:bookmarkEnd w:id="36"/>
      <w:bookmarkEnd w:id="37"/>
      <w:bookmarkEnd w:id="38"/>
      <w:bookmarkEnd w:id="39"/>
      <w:bookmarkEnd w:id="40"/>
      <w:bookmarkEnd w:id="41"/>
      <w:bookmarkEnd w:id="42"/>
      <w:bookmarkEnd w:id="43"/>
    </w:p>
    <w:bookmarkEnd w:id="44"/>
    <w:tbl>
      <w:tblPr>
        <w:tblStyle w:val="23"/>
        <w:tblpPr w:leftFromText="180" w:rightFromText="180" w:vertAnchor="text" w:horzAnchor="page" w:tblpXSpec="center" w:tblpY="370"/>
        <w:tblOverlap w:val="never"/>
        <w:tblW w:w="9953" w:type="dxa"/>
        <w:jc w:val="center"/>
        <w:tblLayout w:type="fixed"/>
        <w:tblCellMar>
          <w:top w:w="0" w:type="dxa"/>
          <w:left w:w="108" w:type="dxa"/>
          <w:bottom w:w="0" w:type="dxa"/>
          <w:right w:w="108" w:type="dxa"/>
        </w:tblCellMar>
      </w:tblPr>
      <w:tblGrid>
        <w:gridCol w:w="1020"/>
        <w:gridCol w:w="1913"/>
        <w:gridCol w:w="7020"/>
      </w:tblGrid>
      <w:tr>
        <w:tblPrEx>
          <w:tblCellMar>
            <w:top w:w="0" w:type="dxa"/>
            <w:left w:w="108" w:type="dxa"/>
            <w:bottom w:w="0" w:type="dxa"/>
            <w:right w:w="108" w:type="dxa"/>
          </w:tblCellMar>
        </w:tblPrEx>
        <w:trPr>
          <w:trHeight w:val="472"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编列内容</w:t>
            </w:r>
          </w:p>
        </w:tc>
      </w:tr>
      <w:tr>
        <w:tblPrEx>
          <w:tblCellMar>
            <w:top w:w="0" w:type="dxa"/>
            <w:left w:w="108" w:type="dxa"/>
            <w:bottom w:w="0" w:type="dxa"/>
            <w:right w:w="108" w:type="dxa"/>
          </w:tblCellMar>
        </w:tblPrEx>
        <w:trPr>
          <w:trHeight w:val="1168"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称：廉江市住房和城乡建设局</w:t>
            </w:r>
          </w:p>
          <w:p>
            <w:pPr>
              <w:spacing w:line="3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地址：湛江市廉江市中环三路2号</w:t>
            </w:r>
          </w:p>
          <w:p>
            <w:pPr>
              <w:pStyle w:val="2"/>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黄宗隆</w:t>
            </w:r>
          </w:p>
          <w:p>
            <w:pPr>
              <w:pStyle w:val="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话：0759-6683475</w:t>
            </w:r>
          </w:p>
        </w:tc>
      </w:tr>
      <w:tr>
        <w:tblPrEx>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称：永道工程咨询有限公司</w:t>
            </w:r>
          </w:p>
          <w:p>
            <w:pPr>
              <w:spacing w:line="3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地址：广州市天河区华强路9号2701、2710房</w:t>
            </w:r>
          </w:p>
          <w:p>
            <w:pPr>
              <w:spacing w:line="3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联系人：吴英娣</w:t>
            </w:r>
          </w:p>
          <w:p>
            <w:pPr>
              <w:spacing w:line="3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话：0759-2822616、13729155679</w:t>
            </w:r>
          </w:p>
        </w:tc>
      </w:tr>
      <w:tr>
        <w:tblPrEx>
          <w:tblCellMar>
            <w:top w:w="0" w:type="dxa"/>
            <w:left w:w="108" w:type="dxa"/>
            <w:bottom w:w="0" w:type="dxa"/>
            <w:right w:w="108" w:type="dxa"/>
          </w:tblCellMar>
        </w:tblPrEx>
        <w:trPr>
          <w:trHeight w:val="48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239" w:leftChars="1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廉江市镇级污水管网及配套设施项目勘察设计</w:t>
            </w:r>
          </w:p>
        </w:tc>
      </w:tr>
      <w:tr>
        <w:tblPrEx>
          <w:tblCellMar>
            <w:top w:w="0" w:type="dxa"/>
            <w:left w:w="108" w:type="dxa"/>
            <w:bottom w:w="0" w:type="dxa"/>
            <w:right w:w="108" w:type="dxa"/>
          </w:tblCellMar>
        </w:tblPrEx>
        <w:trPr>
          <w:trHeight w:val="373"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工程位置</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湛江市廉江市河唇、新民、雅塘等15个镇</w:t>
            </w:r>
          </w:p>
        </w:tc>
      </w:tr>
      <w:tr>
        <w:tblPrEx>
          <w:tblCellMar>
            <w:top w:w="0" w:type="dxa"/>
            <w:left w:w="108" w:type="dxa"/>
            <w:bottom w:w="0" w:type="dxa"/>
            <w:right w:w="108" w:type="dxa"/>
          </w:tblCellMar>
        </w:tblPrEx>
        <w:trPr>
          <w:trHeight w:val="474"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lang w:val="en-US" w:eastAsia="zh-CN"/>
              </w:rPr>
              <w:t>申请</w:t>
            </w:r>
            <w:r>
              <w:rPr>
                <w:rFonts w:hint="eastAsia" w:ascii="宋体" w:hAnsi="宋体" w:eastAsia="宋体" w:cs="宋体"/>
                <w:color w:val="auto"/>
                <w:sz w:val="24"/>
                <w:szCs w:val="24"/>
                <w:highlight w:val="none"/>
              </w:rPr>
              <w:t>地方政府专项债券资金解决</w:t>
            </w:r>
          </w:p>
        </w:tc>
      </w:tr>
      <w:tr>
        <w:tblPrEx>
          <w:tblCellMar>
            <w:top w:w="0" w:type="dxa"/>
            <w:left w:w="108" w:type="dxa"/>
            <w:bottom w:w="0" w:type="dxa"/>
            <w:right w:w="108" w:type="dxa"/>
          </w:tblCellMar>
        </w:tblPrEx>
        <w:trPr>
          <w:trHeight w:val="557"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.1</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left="239" w:leftChars="114"/>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勘察设计总工期：90个日历天</w:t>
            </w:r>
          </w:p>
        </w:tc>
      </w:tr>
      <w:tr>
        <w:tblPrEx>
          <w:tblCellMar>
            <w:top w:w="0" w:type="dxa"/>
            <w:left w:w="108" w:type="dxa"/>
            <w:bottom w:w="0" w:type="dxa"/>
            <w:right w:w="108" w:type="dxa"/>
          </w:tblCellMar>
        </w:tblPrEx>
        <w:trPr>
          <w:trHeight w:val="39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投标人资质条件</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见第一章《招标公告》投标人资格</w:t>
            </w:r>
          </w:p>
        </w:tc>
      </w:tr>
      <w:tr>
        <w:tblPrEx>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1.4.9</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w:t>
            </w:r>
          </w:p>
        </w:tc>
      </w:tr>
      <w:tr>
        <w:tblPrEx>
          <w:tblCellMar>
            <w:top w:w="0" w:type="dxa"/>
            <w:left w:w="108" w:type="dxa"/>
            <w:bottom w:w="0" w:type="dxa"/>
            <w:right w:w="108" w:type="dxa"/>
          </w:tblCellMar>
        </w:tblPrEx>
        <w:trPr>
          <w:trHeight w:val="569"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费用承担和补偿</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不补偿</w:t>
            </w:r>
          </w:p>
        </w:tc>
      </w:tr>
      <w:tr>
        <w:tblPrEx>
          <w:tblCellMar>
            <w:top w:w="0" w:type="dxa"/>
            <w:left w:w="108" w:type="dxa"/>
            <w:bottom w:w="0" w:type="dxa"/>
            <w:right w:w="108" w:type="dxa"/>
          </w:tblCellMar>
        </w:tblPrEx>
        <w:trPr>
          <w:trHeight w:val="462"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tblPrEx>
          <w:tblCellMar>
            <w:top w:w="0" w:type="dxa"/>
            <w:left w:w="108" w:type="dxa"/>
            <w:bottom w:w="0" w:type="dxa"/>
            <w:right w:w="108" w:type="dxa"/>
          </w:tblCellMar>
        </w:tblPrEx>
        <w:trPr>
          <w:trHeight w:val="725"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投标人提出问题的截止时间</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日17 时 00 分</w:t>
            </w:r>
          </w:p>
        </w:tc>
      </w:tr>
      <w:tr>
        <w:tblPrEx>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1.5.6</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招标人书面澄清的时间</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开标前15天，须发出澄清答疑文件</w:t>
            </w:r>
          </w:p>
        </w:tc>
      </w:tr>
      <w:tr>
        <w:tblPrEx>
          <w:tblCellMar>
            <w:top w:w="0" w:type="dxa"/>
            <w:left w:w="108" w:type="dxa"/>
            <w:bottom w:w="0" w:type="dxa"/>
            <w:right w:w="108" w:type="dxa"/>
          </w:tblCellMar>
        </w:tblPrEx>
        <w:trPr>
          <w:trHeight w:val="1374"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rPr>
              <w:t>招标范围及内容</w:t>
            </w:r>
          </w:p>
        </w:tc>
        <w:tc>
          <w:tcPr>
            <w:tcW w:w="70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见第一章《招标公告》</w:t>
            </w:r>
            <w:r>
              <w:rPr>
                <w:rFonts w:hint="eastAsia" w:ascii="宋体" w:hAnsi="宋体" w:cs="宋体"/>
                <w:color w:val="auto"/>
                <w:sz w:val="24"/>
                <w:highlight w:val="none"/>
              </w:rPr>
              <w:t>招标范围及</w:t>
            </w:r>
            <w:r>
              <w:rPr>
                <w:rFonts w:hint="eastAsia" w:ascii="宋体" w:hAnsi="宋体" w:cs="宋体"/>
                <w:color w:val="auto"/>
                <w:sz w:val="24"/>
                <w:highlight w:val="none"/>
                <w:lang w:val="en-US" w:eastAsia="zh-CN"/>
              </w:rPr>
              <w:t>内容</w:t>
            </w:r>
          </w:p>
        </w:tc>
      </w:tr>
      <w:tr>
        <w:tblPrEx>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投标文件递交</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地址</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广州公共资源交易中心(广州市天河区天润路333号)    （具体时间及地点安排详见广州公共资源交易中心网站—项目查询（日程安排、答疑纪要）。</w:t>
            </w:r>
          </w:p>
        </w:tc>
      </w:tr>
      <w:tr>
        <w:tblPrEx>
          <w:tblCellMar>
            <w:top w:w="0" w:type="dxa"/>
            <w:left w:w="108" w:type="dxa"/>
            <w:bottom w:w="0" w:type="dxa"/>
            <w:right w:w="108" w:type="dxa"/>
          </w:tblCellMar>
        </w:tblPrEx>
        <w:trPr>
          <w:trHeight w:val="52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tc>
      </w:tr>
      <w:tr>
        <w:tblPrEx>
          <w:tblCellMar>
            <w:top w:w="0" w:type="dxa"/>
            <w:left w:w="108" w:type="dxa"/>
            <w:bottom w:w="0" w:type="dxa"/>
            <w:right w:w="108" w:type="dxa"/>
          </w:tblCellMar>
        </w:tblPrEx>
        <w:trPr>
          <w:trHeight w:val="477"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自开标之日起 </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w:t>
            </w:r>
          </w:p>
        </w:tc>
      </w:tr>
      <w:tr>
        <w:tblPrEx>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（1）投标保证金的金额：人民币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 壹拾  </w:t>
            </w:r>
            <w:r>
              <w:rPr>
                <w:rFonts w:hint="eastAsia" w:ascii="宋体" w:hAnsi="宋体" w:eastAsia="宋体" w:cs="宋体"/>
                <w:color w:val="auto"/>
                <w:sz w:val="24"/>
                <w:szCs w:val="24"/>
                <w:highlight w:val="none"/>
              </w:rPr>
              <w:t>万元</w:t>
            </w:r>
          </w:p>
          <w:p>
            <w:pPr>
              <w:spacing w:line="3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（2）投标保证金的形式：</w:t>
            </w:r>
          </w:p>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银行转账方式或者银行保函的方式缴交均可。</w:t>
            </w:r>
          </w:p>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该保证金必须在</w:t>
            </w: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时前汇到指定帐户，否则作废标处理。</w:t>
            </w:r>
          </w:p>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收款单位：永道工程咨询有限公司湛江分公司</w:t>
            </w:r>
          </w:p>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开户银行：中国银行湛江开发区支行</w:t>
            </w:r>
          </w:p>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银行账号：7237 6301 6204</w:t>
            </w:r>
          </w:p>
          <w:p>
            <w:pPr>
              <w:spacing w:line="300" w:lineRule="exac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注：①该保证金汇款凭证必须在用途栏注明</w:t>
            </w:r>
            <w:r>
              <w:rPr>
                <w:rFonts w:hint="eastAsia" w:ascii="宋体" w:hAnsi="宋体" w:eastAsia="宋体" w:cs="宋体"/>
                <w:b/>
                <w:bCs/>
                <w:color w:val="auto"/>
                <w:sz w:val="24"/>
                <w:szCs w:val="24"/>
                <w:highlight w:val="none"/>
                <w:u w:val="single"/>
              </w:rPr>
              <w:t>廉江市镇级污水管网及配套设施项目勘察设计（可简写）投标保证金</w:t>
            </w:r>
            <w:r>
              <w:rPr>
                <w:rFonts w:hint="eastAsia" w:ascii="宋体" w:hAnsi="宋体" w:eastAsia="宋体" w:cs="宋体"/>
                <w:color w:val="auto"/>
                <w:sz w:val="24"/>
                <w:szCs w:val="24"/>
                <w:highlight w:val="none"/>
                <w:u w:val="single"/>
              </w:rPr>
              <w:t>。</w:t>
            </w:r>
          </w:p>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②未按要求注明保证金汇款凭证，导致该笔保证金用途无法识别的，一切后果由投标人自己承担。</w:t>
            </w:r>
          </w:p>
          <w:p>
            <w:pPr>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③开标时，对于未能按要求交纳投标保证金的投标人，招标人将视为不响应招标文件而予以拒绝，其投标无效，责任由投标人自负。</w:t>
            </w:r>
          </w:p>
          <w:p>
            <w:pPr>
              <w:numPr>
                <w:ilvl w:val="0"/>
                <w:numId w:val="1"/>
              </w:numPr>
              <w:snapToGrid w:val="0"/>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银行保函：必须由投标人的基本账户银行出具（</w:t>
            </w:r>
            <w:r>
              <w:rPr>
                <w:rStyle w:val="27"/>
                <w:rFonts w:hint="eastAsia" w:ascii="宋体" w:hAnsi="宋体" w:eastAsia="宋体" w:cs="宋体"/>
                <w:color w:val="auto"/>
                <w:sz w:val="24"/>
                <w:szCs w:val="24"/>
                <w:highlight w:val="none"/>
              </w:rPr>
              <w:t>如基本户开户银行无出具投标保证金银行保函的业务权限，可由其上级银行出具投标保证金银行保函并附上相关证明材料。）</w:t>
            </w:r>
            <w:r>
              <w:rPr>
                <w:rFonts w:hint="eastAsia" w:ascii="宋体" w:hAnsi="宋体" w:eastAsia="宋体" w:cs="宋体"/>
                <w:color w:val="auto"/>
                <w:sz w:val="24"/>
                <w:szCs w:val="24"/>
                <w:highlight w:val="none"/>
              </w:rPr>
              <w:t>样式见“</w:t>
            </w:r>
            <w:r>
              <w:rPr>
                <w:rFonts w:hint="eastAsia" w:ascii="宋体" w:hAnsi="宋体" w:eastAsia="宋体" w:cs="宋体"/>
                <w:color w:val="auto"/>
                <w:sz w:val="24"/>
                <w:szCs w:val="24"/>
                <w:highlight w:val="none"/>
                <w:lang w:val="en-US" w:eastAsia="zh-CN"/>
              </w:rPr>
              <w:t>投标文件格式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p>
          <w:p>
            <w:pPr>
              <w:snapToGrid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投标保证金银行保函”于开标时单独提交保函原件。</w:t>
            </w:r>
          </w:p>
        </w:tc>
      </w:tr>
      <w:tr>
        <w:tblPrEx>
          <w:tblCellMar>
            <w:top w:w="0" w:type="dxa"/>
            <w:left w:w="108" w:type="dxa"/>
            <w:bottom w:w="0" w:type="dxa"/>
            <w:right w:w="108" w:type="dxa"/>
          </w:tblCellMar>
        </w:tblPrEx>
        <w:trPr>
          <w:trHeight w:val="122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份数</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（1）投标文件（商务、技术）1式5份，正本1份，副本4份；</w:t>
            </w:r>
          </w:p>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（2）电子文件各1份（无病毒U盘）；</w:t>
            </w:r>
          </w:p>
          <w:p>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（3）保密信封1份。</w:t>
            </w:r>
          </w:p>
        </w:tc>
      </w:tr>
      <w:tr>
        <w:tblPrEx>
          <w:tblCellMar>
            <w:top w:w="0" w:type="dxa"/>
            <w:left w:w="108" w:type="dxa"/>
            <w:bottom w:w="0" w:type="dxa"/>
            <w:right w:w="108" w:type="dxa"/>
          </w:tblCellMar>
        </w:tblPrEx>
        <w:trPr>
          <w:trHeight w:val="1443"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签字或盖章要求</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招标文件中已明示需盖章及签名之处，均须按格式要求加盖投标人公章并由投标人的法定代表人或其委托代理人签字或盖章。投标文件（商务）须加盖骑缝章。投标文件的副本可用正本复印，正本和副本如有不一致之处，以正本为准。</w:t>
            </w:r>
          </w:p>
        </w:tc>
      </w:tr>
      <w:tr>
        <w:tblPrEx>
          <w:tblCellMar>
            <w:top w:w="0" w:type="dxa"/>
            <w:left w:w="108" w:type="dxa"/>
            <w:bottom w:w="0" w:type="dxa"/>
            <w:right w:w="108" w:type="dxa"/>
          </w:tblCellMar>
        </w:tblPrEx>
        <w:trPr>
          <w:trHeight w:val="483"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投标报价要求</w:t>
            </w:r>
          </w:p>
        </w:tc>
        <w:tc>
          <w:tcPr>
            <w:tcW w:w="7020" w:type="dxa"/>
            <w:tcBorders>
              <w:top w:val="single" w:color="auto" w:sz="4" w:space="0"/>
              <w:left w:val="single" w:color="auto" w:sz="4" w:space="0"/>
              <w:bottom w:val="single" w:color="auto" w:sz="4" w:space="0"/>
              <w:right w:val="single" w:color="auto" w:sz="4" w:space="0"/>
            </w:tcBorders>
            <w:vAlign w:val="center"/>
          </w:tcPr>
          <w:p>
            <w:pPr>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本项目总投资约75307.62万元。勘察设计招标控制价2538.81万元，其中勘察费945.18万元，设计费1593.63万元。具体如下：</w:t>
            </w:r>
          </w:p>
          <w:p>
            <w:pPr>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一期勘察设计招标控制价1415.59万元，其中勘察费528.40万元（包括测量费264.20万元，物探费264.20万元）；设计费887.19万元（包括施工图设计费752.51万元，施工图预算编制费66.73万元，竣工图编制费67.95万元）；</w:t>
            </w:r>
          </w:p>
          <w:p>
            <w:pPr>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二期勘察设计招标控制价1123.22万元；勘察费416.78万元（包括工程勘察测量费208.39万元，物探费208.39万元）；设计费706.44万元（包括施工图设计费598.06万元，施工图预算编制费53.54万元，竣工图编制费54.84万元）。</w:t>
            </w:r>
          </w:p>
          <w:p>
            <w:pPr>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最终服务费结算金额计算以廉江市财政审定的预算结合廉江市人民政府廉府函[2018]327号规定进行计算，再乘以本次投标的成交下浮率。实际结算金额以廉江市财政审定为准。</w:t>
            </w:r>
          </w:p>
          <w:p>
            <w:pPr>
              <w:keepLines/>
              <w:snapToGrid w:val="0"/>
              <w:ind w:firstLine="480" w:firstLineChars="20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（3）投标人根据自身条件核算成本，投标时由投标人投标报价。</w:t>
            </w:r>
          </w:p>
          <w:p>
            <w:pPr>
              <w:keepLines/>
              <w:snapToGrid w:val="0"/>
              <w:ind w:firstLine="480" w:firstLineChars="20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 xml:space="preserve">（4）中标后以财政部门审定的工程勘察、设计费、施工预算的总价×（1-a）作为签订合同和拨付工程款的依据。 </w:t>
            </w:r>
          </w:p>
          <w:p>
            <w:pPr>
              <w:ind w:firstLine="480" w:firstLineChars="200"/>
              <w:jc w:val="left"/>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a=（最高投标限价-投标人投标报价）/最高投标限价</w:t>
            </w:r>
          </w:p>
        </w:tc>
      </w:tr>
      <w:tr>
        <w:tblPrEx>
          <w:tblCellMar>
            <w:top w:w="0" w:type="dxa"/>
            <w:left w:w="108" w:type="dxa"/>
            <w:bottom w:w="0" w:type="dxa"/>
            <w:right w:w="108" w:type="dxa"/>
          </w:tblCellMar>
        </w:tblPrEx>
        <w:trPr>
          <w:trHeight w:val="2883"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c>
          <w:tcPr>
            <w:tcW w:w="7020" w:type="dxa"/>
            <w:tcBorders>
              <w:top w:val="single" w:color="auto" w:sz="4" w:space="0"/>
              <w:left w:val="single" w:color="auto" w:sz="4" w:space="0"/>
              <w:bottom w:val="single" w:color="auto" w:sz="4" w:space="0"/>
              <w:right w:val="single" w:color="auto" w:sz="4" w:space="0"/>
            </w:tcBorders>
            <w:vAlign w:val="center"/>
          </w:tcPr>
          <w:p>
            <w:pPr>
              <w:keepLines/>
              <w:snapToGrid w:val="0"/>
              <w:ind w:firstLine="480" w:firstLineChars="20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（1）投标人根据自身条件核算成本，投标人应将勘察费、设计费相加得出最终投标总报价，投价以投报下浮率。投标下浮率保留小数点后两位，第三位四舍五入。</w:t>
            </w:r>
          </w:p>
          <w:p>
            <w:pPr>
              <w:keepLines/>
              <w:snapToGrid w:val="0"/>
              <w:ind w:firstLine="480" w:firstLineChars="20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（2）勘察费最终以财政部门审定价作为勘察费计费基价计算勘察费×（1-a）</w:t>
            </w:r>
          </w:p>
          <w:p>
            <w:pPr>
              <w:keepLines/>
              <w:snapToGrid w:val="0"/>
              <w:ind w:firstLine="480" w:firstLineChars="200"/>
              <w:rPr>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（3）设计费最终以审定的施工图预算价作为设计费计费基价计算设计费×（1-a）。</w:t>
            </w:r>
          </w:p>
        </w:tc>
      </w:tr>
      <w:tr>
        <w:tblPrEx>
          <w:tblCellMar>
            <w:top w:w="0" w:type="dxa"/>
            <w:left w:w="108" w:type="dxa"/>
            <w:bottom w:w="0" w:type="dxa"/>
            <w:right w:w="108" w:type="dxa"/>
          </w:tblCellMar>
        </w:tblPrEx>
        <w:trPr>
          <w:trHeight w:val="3875"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p>
        </w:tc>
        <w:tc>
          <w:tcPr>
            <w:tcW w:w="7020" w:type="dxa"/>
            <w:tcBorders>
              <w:top w:val="single" w:color="auto" w:sz="4" w:space="0"/>
              <w:left w:val="single" w:color="auto" w:sz="4" w:space="0"/>
              <w:bottom w:val="single" w:color="auto" w:sz="4" w:space="0"/>
              <w:right w:val="single" w:color="auto" w:sz="4" w:space="0"/>
            </w:tcBorders>
            <w:vAlign w:val="center"/>
          </w:tcPr>
          <w:p>
            <w:pPr>
              <w:keepLines/>
              <w:snapToGrid w:val="0"/>
              <w:ind w:firstLine="480" w:firstLineChars="20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lang w:val="en-US" w:eastAsia="zh-CN"/>
              </w:rPr>
              <w:t>详见1.5.8</w:t>
            </w:r>
            <w:r>
              <w:rPr>
                <w:rStyle w:val="27"/>
                <w:rFonts w:hint="eastAsia" w:ascii="宋体" w:hAnsi="宋体" w:eastAsia="宋体" w:cs="宋体"/>
                <w:color w:val="auto"/>
                <w:sz w:val="24"/>
                <w:szCs w:val="24"/>
                <w:highlight w:val="none"/>
              </w:rPr>
              <w:t xml:space="preserve">           </w:t>
            </w:r>
          </w:p>
          <w:p>
            <w:pPr>
              <w:keepLines/>
              <w:snapToGrid w:val="0"/>
              <w:ind w:firstLine="480" w:firstLineChars="200"/>
              <w:rPr>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注：（独立体或联合体主办方）投标人代表凭 《投标登记申请表》（可在广州公共资源交易中心-服务指南-资料下载-建设工程-投标登记申请表下载)）；法定代表人证明书原件、法定代表人授权委托证明书原件（仅限于法定代表人不出席而委托授权代表出席开标会的）、本人身份证原件、《联合体协议</w:t>
            </w:r>
            <w:r>
              <w:rPr>
                <w:rStyle w:val="27"/>
                <w:rFonts w:hint="eastAsia" w:ascii="宋体" w:hAnsi="宋体" w:cs="宋体"/>
                <w:color w:val="auto"/>
                <w:sz w:val="24"/>
                <w:szCs w:val="24"/>
                <w:highlight w:val="none"/>
                <w:lang w:val="en-US" w:eastAsia="zh-CN"/>
              </w:rPr>
              <w:t>书</w:t>
            </w:r>
            <w:r>
              <w:rPr>
                <w:rStyle w:val="27"/>
                <w:rFonts w:hint="eastAsia" w:ascii="宋体" w:hAnsi="宋体" w:eastAsia="宋体" w:cs="宋体"/>
                <w:color w:val="auto"/>
                <w:sz w:val="24"/>
                <w:szCs w:val="24"/>
                <w:highlight w:val="none"/>
              </w:rPr>
              <w:t>》（如有）递交投标文件，招标人或招标代理进行检验确认有效后，才接收其投标文件。所提交的纸质资料需装订完好，有遗漏缺项者招标人有权不接收其投标文件。如果投标人法定代表人或其授权委托人递交投标文件后不参加开标会议的，则视同投标人默认开标会议结果。</w:t>
            </w:r>
          </w:p>
        </w:tc>
      </w:tr>
      <w:tr>
        <w:tblPrEx>
          <w:tblCellMar>
            <w:top w:w="0" w:type="dxa"/>
            <w:left w:w="108" w:type="dxa"/>
            <w:bottom w:w="0" w:type="dxa"/>
            <w:right w:w="108" w:type="dxa"/>
          </w:tblCellMar>
        </w:tblPrEx>
        <w:trPr>
          <w:trHeight w:val="77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开标时间：同投标截止时间</w:t>
            </w:r>
          </w:p>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开标地点：同投标文件递交地点</w:t>
            </w:r>
          </w:p>
        </w:tc>
      </w:tr>
      <w:tr>
        <w:tblPrEx>
          <w:tblCellMar>
            <w:top w:w="0" w:type="dxa"/>
            <w:left w:w="108" w:type="dxa"/>
            <w:bottom w:w="0" w:type="dxa"/>
            <w:right w:w="108" w:type="dxa"/>
          </w:tblCellMar>
        </w:tblPrEx>
        <w:trPr>
          <w:trHeight w:val="2946"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.3</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主持人按下列程序进行开标：</w:t>
            </w:r>
          </w:p>
          <w:p>
            <w:pPr>
              <w:numPr>
                <w:ilvl w:val="0"/>
                <w:numId w:val="2"/>
              </w:num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宣布开标纪律；</w:t>
            </w:r>
          </w:p>
          <w:p>
            <w:pPr>
              <w:numPr>
                <w:ilvl w:val="0"/>
                <w:numId w:val="2"/>
              </w:num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公布在投标截止时间前递交投标文件的投标人名称</w:t>
            </w:r>
            <w:r>
              <w:rPr>
                <w:rFonts w:hint="eastAsia" w:ascii="宋体" w:hAnsi="宋体" w:eastAsia="宋体" w:cs="宋体"/>
                <w:color w:val="auto"/>
                <w:sz w:val="24"/>
                <w:szCs w:val="24"/>
                <w:highlight w:val="none"/>
                <w:lang w:val="en-US" w:eastAsia="zh-CN"/>
              </w:rPr>
              <w:t>；</w:t>
            </w:r>
          </w:p>
          <w:p>
            <w:pPr>
              <w:numPr>
                <w:ilvl w:val="0"/>
                <w:numId w:val="2"/>
              </w:num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检查投标文件的密封情况；</w:t>
            </w:r>
          </w:p>
          <w:p>
            <w:pPr>
              <w:numPr>
                <w:ilvl w:val="0"/>
                <w:numId w:val="2"/>
              </w:num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确定并宣布投标文件开标顺序；</w:t>
            </w:r>
          </w:p>
          <w:p>
            <w:pPr>
              <w:numPr>
                <w:ilvl w:val="0"/>
                <w:numId w:val="2"/>
              </w:num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按照宣布的开标顺序当众开标，并记录在案；</w:t>
            </w:r>
          </w:p>
          <w:p>
            <w:pPr>
              <w:numPr>
                <w:ilvl w:val="0"/>
                <w:numId w:val="2"/>
              </w:num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投标人代表、招标人代表、监督部门代表、招标代理机构代表等有关人员在开标记录上签字确认；</w:t>
            </w:r>
          </w:p>
          <w:p>
            <w:pPr>
              <w:numPr>
                <w:ilvl w:val="0"/>
                <w:numId w:val="2"/>
              </w:num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开标会议结束。</w:t>
            </w:r>
          </w:p>
        </w:tc>
      </w:tr>
      <w:tr>
        <w:tblPrEx>
          <w:tblCellMar>
            <w:top w:w="0" w:type="dxa"/>
            <w:left w:w="108" w:type="dxa"/>
            <w:bottom w:w="0" w:type="dxa"/>
            <w:right w:w="108" w:type="dxa"/>
          </w:tblCellMar>
        </w:tblPrEx>
        <w:trPr>
          <w:trHeight w:val="1085"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评标委员会的</w:t>
            </w:r>
          </w:p>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组建</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r>
              <w:rPr>
                <w:rFonts w:hint="eastAsia" w:ascii="宋体" w:hAnsi="宋体" w:eastAsia="宋体" w:cs="宋体"/>
                <w:color w:val="auto"/>
                <w:sz w:val="24"/>
                <w:szCs w:val="24"/>
                <w:highlight w:val="none"/>
                <w:u w:val="single"/>
              </w:rPr>
              <w:t xml:space="preserve"> 5</w:t>
            </w:r>
            <w:r>
              <w:rPr>
                <w:rFonts w:hint="eastAsia" w:ascii="宋体" w:hAnsi="宋体" w:eastAsia="宋体" w:cs="宋体"/>
                <w:color w:val="auto"/>
                <w:sz w:val="24"/>
                <w:szCs w:val="24"/>
                <w:highlight w:val="none"/>
              </w:rPr>
              <w:t>人。</w:t>
            </w:r>
          </w:p>
          <w:p>
            <w:pPr>
              <w:spacing w:line="3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评标专家确定方式：开标前从广东省综合评标评审专家库随机抽取</w:t>
            </w:r>
            <w:r>
              <w:rPr>
                <w:rFonts w:hint="eastAsia" w:ascii="宋体" w:hAnsi="宋体" w:eastAsia="宋体" w:cs="宋体"/>
                <w:color w:val="auto"/>
                <w:sz w:val="24"/>
                <w:szCs w:val="24"/>
                <w:highlight w:val="none"/>
                <w:lang w:eastAsia="zh-CN"/>
              </w:rPr>
              <w:t>。</w:t>
            </w:r>
          </w:p>
        </w:tc>
      </w:tr>
      <w:tr>
        <w:tblPrEx>
          <w:tblCellMar>
            <w:top w:w="0" w:type="dxa"/>
            <w:left w:w="108" w:type="dxa"/>
            <w:bottom w:w="0" w:type="dxa"/>
            <w:right w:w="108" w:type="dxa"/>
          </w:tblCellMar>
        </w:tblPrEx>
        <w:trPr>
          <w:trHeight w:val="73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确定中标</w:t>
            </w:r>
            <w:r>
              <w:rPr>
                <w:rFonts w:hint="eastAsia" w:ascii="宋体" w:hAnsi="宋体" w:eastAsia="宋体" w:cs="宋体"/>
                <w:color w:val="auto"/>
                <w:sz w:val="24"/>
                <w:szCs w:val="24"/>
                <w:highlight w:val="none"/>
                <w:lang w:val="en-US" w:eastAsia="zh-CN"/>
              </w:rPr>
              <w:t>单位</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推荐的中标候选人数：</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名</w:t>
            </w:r>
          </w:p>
        </w:tc>
      </w:tr>
      <w:tr>
        <w:tblPrEx>
          <w:tblCellMar>
            <w:top w:w="0" w:type="dxa"/>
            <w:left w:w="108" w:type="dxa"/>
            <w:bottom w:w="0" w:type="dxa"/>
            <w:right w:w="108" w:type="dxa"/>
          </w:tblCellMar>
        </w:tblPrEx>
        <w:trPr>
          <w:trHeight w:val="58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中标候选人公示媒介</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广州公共资源交易中心、广东省招标投标监管网</w:t>
            </w:r>
          </w:p>
        </w:tc>
      </w:tr>
      <w:tr>
        <w:tblPrEx>
          <w:tblCellMar>
            <w:top w:w="0" w:type="dxa"/>
            <w:left w:w="108" w:type="dxa"/>
            <w:bottom w:w="0" w:type="dxa"/>
            <w:right w:w="108" w:type="dxa"/>
          </w:tblCellMar>
        </w:tblPrEx>
        <w:trPr>
          <w:trHeight w:val="699"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3</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履约担保的形式：（现金或保函担保）</w:t>
            </w:r>
          </w:p>
          <w:p>
            <w:pPr>
              <w:spacing w:line="3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履约担保的金额：中标合同金额的</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w:t>
            </w:r>
          </w:p>
        </w:tc>
      </w:tr>
    </w:tbl>
    <w:p>
      <w:pPr>
        <w:spacing w:line="360" w:lineRule="auto"/>
        <w:ind w:firstLine="482" w:firstLineChars="200"/>
        <w:rPr>
          <w:rStyle w:val="27"/>
          <w:rFonts w:ascii="宋体" w:hAnsi="宋体"/>
          <w:b/>
          <w:color w:val="auto"/>
          <w:sz w:val="24"/>
          <w:highlight w:val="none"/>
        </w:rPr>
      </w:pPr>
      <w:bookmarkStart w:id="45" w:name="_Toc1898"/>
    </w:p>
    <w:p>
      <w:pPr>
        <w:rPr>
          <w:rStyle w:val="27"/>
          <w:rFonts w:hint="eastAsia" w:ascii="宋体" w:hAnsi="宋体"/>
          <w:b/>
          <w:color w:val="auto"/>
          <w:sz w:val="24"/>
          <w:highlight w:val="none"/>
        </w:rPr>
      </w:pPr>
      <w:bookmarkStart w:id="46" w:name="_Toc30664"/>
      <w:r>
        <w:rPr>
          <w:rStyle w:val="27"/>
          <w:rFonts w:hint="eastAsia" w:ascii="宋体" w:hAnsi="宋体"/>
          <w:b/>
          <w:color w:val="auto"/>
          <w:sz w:val="24"/>
          <w:highlight w:val="none"/>
        </w:rPr>
        <w:br w:type="page"/>
      </w:r>
    </w:p>
    <w:p>
      <w:pPr>
        <w:spacing w:line="360" w:lineRule="auto"/>
        <w:ind w:firstLine="482" w:firstLineChars="200"/>
        <w:outlineLvl w:val="1"/>
        <w:rPr>
          <w:rStyle w:val="27"/>
          <w:rFonts w:ascii="宋体" w:hAnsi="宋体"/>
          <w:color w:val="auto"/>
          <w:sz w:val="24"/>
          <w:highlight w:val="none"/>
        </w:rPr>
      </w:pPr>
      <w:r>
        <w:rPr>
          <w:rStyle w:val="27"/>
          <w:rFonts w:hint="eastAsia" w:ascii="宋体" w:hAnsi="宋体"/>
          <w:b/>
          <w:color w:val="auto"/>
          <w:sz w:val="24"/>
          <w:highlight w:val="none"/>
        </w:rPr>
        <w:t xml:space="preserve">2.1 </w:t>
      </w:r>
      <w:r>
        <w:rPr>
          <w:rStyle w:val="27"/>
          <w:rFonts w:ascii="宋体" w:hAnsi="宋体"/>
          <w:b/>
          <w:color w:val="auto"/>
          <w:sz w:val="24"/>
          <w:highlight w:val="none"/>
        </w:rPr>
        <w:t>释义</w:t>
      </w:r>
      <w:bookmarkEnd w:id="45"/>
      <w:bookmarkEnd w:id="46"/>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2.1.1“勘察”是指根据建设工程的要求，查明、分析、评价建设场地的地质地理环境特征和岩土工程条件，编制建设工程勘察文件的活动。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2.1.2“设计”是指根据建设工程的要求，对建设工程所需的技术、经济、资源、环境等条件进行综合分析、论证，编制建设工程设计文件的活动。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2.1.3“招标”是指发包人通过建设工程的勘察、设计等方案招标，将工程相应的任务发包给符合勘察设计资质条件的建设工程承包单位的行为。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2.1.4“招标人”是指提出招标项目、进行招标的法人或者其他组织。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2.1.5“招标代理机构”是指从事招标代理业务并提供相关服务的社会中介组织。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2.1.6“投标人”是指响应招标、参加投标竞争的法人或者其他组织。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2.1.7“监督机构”是指招标活动的监督机构。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2.1.8“招标管理机构”是指受监督机构委托管理招标活动的机构。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2.1.9“交易服务机构”是指为招标人和投标人提供场所、信息和咨询服务，见证招标过程，确认中标通知书的服务机构。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2.1.10“招标文件”是指招标人（招标代理机构）发出的包括招标预告、招标公告、招标程序和规则、技术规范、合同条件、附录、图表、说明、投资立项批准文件、建设用地批准文件及其它一切补充资料的书面文件和电子文件。</w:t>
      </w:r>
    </w:p>
    <w:p>
      <w:pPr>
        <w:spacing w:line="360" w:lineRule="auto"/>
        <w:ind w:firstLine="482" w:firstLineChars="200"/>
        <w:outlineLvl w:val="1"/>
        <w:rPr>
          <w:rStyle w:val="27"/>
          <w:rFonts w:ascii="宋体" w:hAnsi="宋体"/>
          <w:b/>
          <w:color w:val="auto"/>
          <w:sz w:val="24"/>
          <w:szCs w:val="22"/>
          <w:highlight w:val="none"/>
        </w:rPr>
      </w:pPr>
      <w:bookmarkStart w:id="47" w:name="_Toc17424"/>
      <w:bookmarkStart w:id="48" w:name="_Toc17679"/>
      <w:r>
        <w:rPr>
          <w:rStyle w:val="27"/>
          <w:rFonts w:ascii="宋体" w:hAnsi="宋体"/>
          <w:b/>
          <w:color w:val="auto"/>
          <w:sz w:val="24"/>
          <w:szCs w:val="22"/>
          <w:highlight w:val="none"/>
        </w:rPr>
        <w:t>2.2 免责条款</w:t>
      </w:r>
      <w:bookmarkEnd w:id="47"/>
      <w:bookmarkEnd w:id="48"/>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2.2.1招标文件的解释权归招标人所有，招标人有权在法律允许范围内调整本次招标活动的细节及保留最终解释权。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2.2.2招标人不受将合同授予任何投标人的约束，招标人有权接受任何一份投标文件的全部或部分内容。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2.2.3招标人向投标人提供的资料和数据，是招标人现有的能使投标人利用的资料，招标人对投标人由此而作出的推论、理解和结论概不负责。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2.2.4投标人应承担其现场考察、编制和提交投标文件有关的一切费用、损害和人身伤亡事故责任，不管投标结果如何，招标人对上述费用不负任何责任。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2.2.5招标人对投标人的失误不负任何责任。</w:t>
      </w:r>
    </w:p>
    <w:p>
      <w:pPr>
        <w:spacing w:line="360" w:lineRule="auto"/>
        <w:ind w:firstLine="482" w:firstLineChars="200"/>
        <w:outlineLvl w:val="1"/>
        <w:rPr>
          <w:rStyle w:val="27"/>
          <w:rFonts w:ascii="宋体" w:hAnsi="宋体"/>
          <w:b/>
          <w:color w:val="auto"/>
          <w:sz w:val="24"/>
          <w:szCs w:val="22"/>
          <w:highlight w:val="none"/>
        </w:rPr>
      </w:pPr>
      <w:bookmarkStart w:id="49" w:name="_Toc30533"/>
      <w:bookmarkStart w:id="50" w:name="_Toc4234"/>
      <w:r>
        <w:rPr>
          <w:rStyle w:val="27"/>
          <w:rFonts w:ascii="宋体" w:hAnsi="宋体"/>
          <w:b/>
          <w:color w:val="auto"/>
          <w:sz w:val="24"/>
          <w:szCs w:val="22"/>
          <w:highlight w:val="none"/>
        </w:rPr>
        <w:t>2.3 招标文件效力</w:t>
      </w:r>
      <w:bookmarkEnd w:id="49"/>
      <w:bookmarkEnd w:id="50"/>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2.3.1招标文件是招标人发出的要约寻求，投标人参加投标均视为承认招标公告、招标文件及附件的所有条款,并承诺一旦中标将按招标文件、投标文件、合同条款、技术规范要求的质量和进度完成全部委托任务。</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2.3.2招标人或招标代理机构与投标人之间使用电子邮箱传送的文件，与公开登载的文件或者盖章发出的文件一样具有同等效力。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2.3.3招标人通过交易服务机构公开登载的文件，与盖章发出的文件一样具有同等效力。</w:t>
      </w:r>
    </w:p>
    <w:p>
      <w:pPr>
        <w:snapToGrid w:val="0"/>
        <w:spacing w:line="360" w:lineRule="auto"/>
        <w:ind w:firstLine="482" w:firstLineChars="200"/>
        <w:rPr>
          <w:rStyle w:val="27"/>
          <w:rFonts w:ascii="宋体" w:hAnsi="宋体"/>
          <w:color w:val="auto"/>
          <w:sz w:val="24"/>
          <w:highlight w:val="none"/>
        </w:rPr>
      </w:pPr>
      <w:bookmarkStart w:id="51" w:name="_Toc18997"/>
      <w:bookmarkStart w:id="52" w:name="_Toc23437"/>
      <w:r>
        <w:rPr>
          <w:rStyle w:val="27"/>
          <w:rFonts w:hint="eastAsia" w:ascii="宋体" w:hAnsi="宋体"/>
          <w:b/>
          <w:color w:val="auto"/>
          <w:sz w:val="24"/>
          <w:highlight w:val="none"/>
        </w:rPr>
        <w:t>2.4</w:t>
      </w:r>
      <w:bookmarkEnd w:id="51"/>
      <w:bookmarkEnd w:id="52"/>
      <w:bookmarkStart w:id="53" w:name="_Toc11681"/>
      <w:bookmarkStart w:id="54" w:name="_Toc543"/>
      <w:r>
        <w:rPr>
          <w:rStyle w:val="27"/>
          <w:rFonts w:hint="eastAsia" w:ascii="宋体" w:hAnsi="宋体"/>
          <w:b/>
          <w:color w:val="auto"/>
          <w:sz w:val="24"/>
          <w:highlight w:val="none"/>
        </w:rPr>
        <w:t xml:space="preserve"> </w:t>
      </w:r>
      <w:r>
        <w:rPr>
          <w:rStyle w:val="27"/>
          <w:rFonts w:ascii="宋体" w:hAnsi="宋体"/>
          <w:b/>
          <w:color w:val="auto"/>
          <w:sz w:val="24"/>
          <w:highlight w:val="none"/>
        </w:rPr>
        <w:t>现场考察</w:t>
      </w:r>
      <w:bookmarkEnd w:id="53"/>
      <w:bookmarkEnd w:id="54"/>
    </w:p>
    <w:p>
      <w:pPr>
        <w:spacing w:line="360" w:lineRule="auto"/>
        <w:ind w:firstLine="480" w:firstLineChars="200"/>
        <w:jc w:val="left"/>
        <w:rPr>
          <w:rStyle w:val="27"/>
          <w:rFonts w:ascii="宋体" w:hAnsi="宋体"/>
          <w:color w:val="auto"/>
          <w:sz w:val="24"/>
          <w:highlight w:val="none"/>
        </w:rPr>
      </w:pPr>
      <w:r>
        <w:rPr>
          <w:rStyle w:val="27"/>
          <w:rFonts w:hint="eastAsia" w:ascii="宋体" w:hAnsi="宋体"/>
          <w:color w:val="auto"/>
          <w:sz w:val="24"/>
          <w:highlight w:val="none"/>
        </w:rPr>
        <w:t>2</w:t>
      </w:r>
      <w:r>
        <w:rPr>
          <w:rStyle w:val="27"/>
          <w:rFonts w:ascii="宋体" w:hAnsi="宋体"/>
          <w:color w:val="auto"/>
          <w:sz w:val="24"/>
          <w:highlight w:val="none"/>
        </w:rPr>
        <w:t>.</w:t>
      </w:r>
      <w:r>
        <w:rPr>
          <w:rStyle w:val="27"/>
          <w:rFonts w:hint="eastAsia" w:ascii="宋体" w:hAnsi="宋体"/>
          <w:color w:val="auto"/>
          <w:sz w:val="24"/>
          <w:highlight w:val="none"/>
          <w:lang w:val="en-US" w:eastAsia="zh-CN"/>
        </w:rPr>
        <w:t>4</w:t>
      </w:r>
      <w:r>
        <w:rPr>
          <w:rStyle w:val="27"/>
          <w:rFonts w:ascii="宋体" w:hAnsi="宋体"/>
          <w:color w:val="auto"/>
          <w:sz w:val="24"/>
          <w:highlight w:val="none"/>
        </w:rPr>
        <w:t>.1本项目招标人不组织现场考察，投标人可自行考察，由此而产生的一切费用由投标人自行承担。</w:t>
      </w:r>
    </w:p>
    <w:p>
      <w:pPr>
        <w:spacing w:line="360" w:lineRule="auto"/>
        <w:ind w:firstLine="482" w:firstLineChars="200"/>
        <w:outlineLvl w:val="1"/>
        <w:rPr>
          <w:rStyle w:val="27"/>
          <w:rFonts w:ascii="宋体" w:hAnsi="宋体"/>
          <w:color w:val="auto"/>
          <w:sz w:val="24"/>
          <w:highlight w:val="none"/>
        </w:rPr>
      </w:pPr>
      <w:bookmarkStart w:id="55" w:name="_Toc25562"/>
      <w:bookmarkStart w:id="56" w:name="_Toc27847"/>
      <w:r>
        <w:rPr>
          <w:rStyle w:val="27"/>
          <w:rFonts w:hint="eastAsia" w:ascii="宋体" w:hAnsi="宋体" w:cs="宋体"/>
          <w:b/>
          <w:bCs/>
          <w:color w:val="auto"/>
          <w:sz w:val="24"/>
          <w:highlight w:val="none"/>
        </w:rPr>
        <w:t>2.</w:t>
      </w:r>
      <w:r>
        <w:rPr>
          <w:rStyle w:val="27"/>
          <w:rFonts w:hint="eastAsia" w:ascii="宋体" w:hAnsi="宋体" w:cs="宋体"/>
          <w:b/>
          <w:bCs/>
          <w:color w:val="auto"/>
          <w:sz w:val="24"/>
          <w:highlight w:val="none"/>
          <w:lang w:val="en-US" w:eastAsia="zh-CN"/>
        </w:rPr>
        <w:t>5</w:t>
      </w:r>
      <w:r>
        <w:rPr>
          <w:rStyle w:val="27"/>
          <w:rFonts w:hint="eastAsia" w:ascii="宋体" w:hAnsi="宋体" w:cs="宋体"/>
          <w:b/>
          <w:bCs/>
          <w:color w:val="auto"/>
          <w:sz w:val="24"/>
          <w:highlight w:val="none"/>
        </w:rPr>
        <w:t xml:space="preserve"> </w:t>
      </w:r>
      <w:r>
        <w:rPr>
          <w:rStyle w:val="27"/>
          <w:rFonts w:ascii="宋体" w:hAnsi="宋体" w:cs="宋体"/>
          <w:b/>
          <w:bCs/>
          <w:color w:val="auto"/>
          <w:sz w:val="24"/>
          <w:highlight w:val="none"/>
        </w:rPr>
        <w:t>质疑和澄清</w:t>
      </w:r>
      <w:bookmarkEnd w:id="55"/>
      <w:bookmarkEnd w:id="56"/>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.1投标人应认真审阅招标文件和有关资料，尽力澄清一切疑点，对工程现场和周围环境进行勘察，以获取编制投标文件和签署合同所需的所有资料。</w:t>
      </w:r>
    </w:p>
    <w:p>
      <w:pPr>
        <w:spacing w:line="360" w:lineRule="auto"/>
        <w:ind w:firstLine="480" w:firstLineChars="200"/>
        <w:rPr>
          <w:rFonts w:ascii="宋体" w:hAnsi="宋体" w:cs="宋体"/>
          <w:iCs/>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.2投标人下载招标文件后，应仔细检查招标文件的所有内容，需要招标人或招标代理机构解释或说明的问题请按照招标公告的规定在截止时间前，</w:t>
      </w:r>
      <w:r>
        <w:rPr>
          <w:rFonts w:hint="eastAsia" w:ascii="宋体" w:hAnsi="宋体" w:cs="宋体"/>
          <w:iCs/>
          <w:color w:val="auto"/>
          <w:sz w:val="24"/>
          <w:highlight w:val="none"/>
        </w:rPr>
        <w:t>投标人的疑问通过广州公共资源交易中心交易平台提交；网上答疑的操作指南为：登陆广州公共资源交易中心网站→进入交易业务/</w:t>
      </w:r>
      <w:r>
        <w:rPr>
          <w:color w:val="auto"/>
          <w:highlight w:val="none"/>
        </w:rPr>
        <w:fldChar w:fldCharType="begin"/>
      </w:r>
      <w:r>
        <w:rPr>
          <w:color w:val="auto"/>
          <w:highlight w:val="none"/>
        </w:rPr>
        <w:instrText xml:space="preserve"> HYPERLINK "http://ggzy.gz.gov.cn/jyywjsgcfwjzzbgg/index.jhtml" </w:instrText>
      </w:r>
      <w:r>
        <w:rPr>
          <w:color w:val="auto"/>
          <w:highlight w:val="none"/>
        </w:rPr>
        <w:fldChar w:fldCharType="separate"/>
      </w:r>
      <w:r>
        <w:rPr>
          <w:rFonts w:hint="eastAsia" w:ascii="宋体" w:hAnsi="宋体" w:cs="宋体"/>
          <w:iCs/>
          <w:color w:val="auto"/>
          <w:sz w:val="24"/>
          <w:highlight w:val="none"/>
        </w:rPr>
        <w:t>建设工程</w:t>
      </w:r>
      <w:r>
        <w:rPr>
          <w:rFonts w:hint="eastAsia" w:ascii="宋体" w:hAnsi="宋体" w:cs="宋体"/>
          <w:iCs/>
          <w:color w:val="auto"/>
          <w:sz w:val="24"/>
          <w:highlight w:val="none"/>
        </w:rPr>
        <w:fldChar w:fldCharType="end"/>
      </w:r>
      <w:r>
        <w:rPr>
          <w:rFonts w:hint="eastAsia" w:ascii="宋体" w:hAnsi="宋体" w:cs="宋体"/>
          <w:iCs/>
          <w:color w:val="auto"/>
          <w:sz w:val="24"/>
          <w:highlight w:val="none"/>
        </w:rPr>
        <w:t xml:space="preserve"> “网上答疑”专区→通过项目编号或名称找到所需的项目→在上述的答疑时间内点击“提问”→登录系统进入到提问区域→无记名或匿名提出问题以及查看所有的问题。</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3投标人需要澄清的一切问题应在投标截止时间前15日到广州公共资源交易中心网站进行网上答疑。招标人应在递交投标文件截止时间15日前解答投标人对招标文件提出的疑问，形成答疑纪要，在广州公共资源交易中心网站“招标答疑”专区发布。不足15日的，招标人应当顺延投标文件的截止时间。补充材料是招标文件的组成部分，对投标人起约束作用。补充材料如与原招标文件不符，以最新的修改为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.4提交投标文件截止时间十五日前，招标人可以澄清或者修改已发出的招标文件。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招标答疑纪要一经在广州公共资源交易中心网站发布，视作已发放给所有投标人。</w:t>
      </w:r>
    </w:p>
    <w:p>
      <w:pPr>
        <w:spacing w:line="360" w:lineRule="auto"/>
        <w:ind w:firstLine="482" w:firstLineChars="200"/>
        <w:outlineLvl w:val="1"/>
        <w:rPr>
          <w:color w:val="auto"/>
          <w:highlight w:val="none"/>
        </w:rPr>
      </w:pPr>
      <w:bookmarkStart w:id="57" w:name="_Toc37"/>
      <w:bookmarkStart w:id="58" w:name="_Toc29223"/>
      <w:r>
        <w:rPr>
          <w:rStyle w:val="27"/>
          <w:rFonts w:hint="eastAsia" w:ascii="宋体" w:hAnsi="宋体" w:cs="宋体"/>
          <w:b/>
          <w:bCs/>
          <w:color w:val="auto"/>
          <w:sz w:val="24"/>
          <w:highlight w:val="none"/>
        </w:rPr>
        <w:t>2.</w:t>
      </w:r>
      <w:r>
        <w:rPr>
          <w:rStyle w:val="27"/>
          <w:rFonts w:hint="eastAsia" w:ascii="宋体" w:hAnsi="宋体" w:cs="宋体"/>
          <w:b/>
          <w:bCs/>
          <w:color w:val="auto"/>
          <w:sz w:val="24"/>
          <w:highlight w:val="none"/>
          <w:lang w:val="en-US" w:eastAsia="zh-CN"/>
        </w:rPr>
        <w:t>6</w:t>
      </w:r>
      <w:r>
        <w:rPr>
          <w:rStyle w:val="27"/>
          <w:rFonts w:hint="eastAsia" w:ascii="宋体" w:hAnsi="宋体" w:cs="宋体"/>
          <w:b/>
          <w:bCs/>
          <w:color w:val="auto"/>
          <w:sz w:val="24"/>
          <w:highlight w:val="none"/>
        </w:rPr>
        <w:t xml:space="preserve"> </w:t>
      </w:r>
      <w:r>
        <w:rPr>
          <w:rStyle w:val="27"/>
          <w:rFonts w:ascii="宋体" w:hAnsi="宋体" w:cs="宋体"/>
          <w:b/>
          <w:bCs/>
          <w:color w:val="auto"/>
          <w:sz w:val="24"/>
          <w:highlight w:val="none"/>
        </w:rPr>
        <w:t>投标文件</w:t>
      </w:r>
      <w:bookmarkEnd w:id="57"/>
      <w:bookmarkEnd w:id="58"/>
    </w:p>
    <w:p>
      <w:pPr>
        <w:snapToGrid w:val="0"/>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olor w:val="auto"/>
          <w:sz w:val="24"/>
          <w:highlight w:val="none"/>
        </w:rPr>
        <w:t>投标文件由商务文件和技术文件两部分组成。各部分投标文件应分别编制，各自独立包装。</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.2投标文件一式5份（若涉及到保密信封、电子文件各提供一份即可），其中正本1份，封面标注“正本”字样，副本4份，封面标注“副本”字样。正本与副本不符的内容，以正本为准。</w:t>
      </w:r>
    </w:p>
    <w:p>
      <w:pPr>
        <w:spacing w:line="360" w:lineRule="auto"/>
        <w:ind w:firstLine="480" w:firstLineChars="200"/>
        <w:rPr>
          <w:rStyle w:val="27"/>
          <w:rFonts w:ascii="宋体" w:hAnsi="宋体" w:cs="宋体"/>
          <w:b/>
          <w:bCs/>
          <w:color w:val="auto"/>
          <w:sz w:val="24"/>
          <w:szCs w:val="22"/>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.3</w:t>
      </w:r>
      <w:r>
        <w:rPr>
          <w:rStyle w:val="27"/>
          <w:rFonts w:hint="eastAsia" w:ascii="宋体" w:hAnsi="宋体" w:cs="宋体"/>
          <w:b/>
          <w:bCs/>
          <w:color w:val="auto"/>
          <w:sz w:val="24"/>
          <w:szCs w:val="22"/>
          <w:highlight w:val="none"/>
        </w:rPr>
        <w:t>商务文件（含资格审查文件）编制要求</w:t>
      </w:r>
    </w:p>
    <w:p>
      <w:pPr>
        <w:pStyle w:val="14"/>
        <w:spacing w:line="360" w:lineRule="auto"/>
        <w:ind w:firstLine="480" w:firstLineChars="200"/>
        <w:rPr>
          <w:rFonts w:hAnsi="宋体"/>
          <w:color w:val="auto"/>
          <w:sz w:val="24"/>
          <w:highlight w:val="none"/>
        </w:rPr>
      </w:pPr>
      <w:r>
        <w:rPr>
          <w:rFonts w:hint="eastAsia" w:hAnsi="宋体"/>
          <w:color w:val="auto"/>
          <w:sz w:val="24"/>
          <w:highlight w:val="none"/>
        </w:rPr>
        <w:t>2.</w:t>
      </w:r>
      <w:r>
        <w:rPr>
          <w:rFonts w:hint="eastAsia" w:hAnsi="宋体"/>
          <w:color w:val="auto"/>
          <w:sz w:val="24"/>
          <w:highlight w:val="none"/>
          <w:lang w:val="en-US" w:eastAsia="zh-CN"/>
        </w:rPr>
        <w:t>6</w:t>
      </w:r>
      <w:r>
        <w:rPr>
          <w:rFonts w:hint="eastAsia" w:hAnsi="宋体"/>
          <w:color w:val="auto"/>
          <w:sz w:val="24"/>
          <w:highlight w:val="none"/>
        </w:rPr>
        <w:t xml:space="preserve">.3.1 </w:t>
      </w:r>
      <w:r>
        <w:rPr>
          <w:rFonts w:hint="eastAsia" w:hAnsi="宋体"/>
          <w:color w:val="auto"/>
          <w:sz w:val="24"/>
          <w:szCs w:val="24"/>
          <w:highlight w:val="none"/>
        </w:rPr>
        <w:t>商务文件由下列资料组成：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（1）封面 （按招标人提供的格式）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（2）目录 </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（3）</w:t>
      </w:r>
      <w:r>
        <w:rPr>
          <w:rStyle w:val="27"/>
          <w:rFonts w:ascii="宋体" w:hAnsi="宋体"/>
          <w:color w:val="auto"/>
          <w:sz w:val="24"/>
          <w:highlight w:val="none"/>
        </w:rPr>
        <w:t>投标函</w:t>
      </w:r>
      <w:r>
        <w:rPr>
          <w:rStyle w:val="27"/>
          <w:rFonts w:hint="eastAsia" w:ascii="宋体" w:hAnsi="宋体"/>
          <w:color w:val="auto"/>
          <w:sz w:val="24"/>
          <w:highlight w:val="none"/>
        </w:rPr>
        <w:t>及</w:t>
      </w:r>
      <w:r>
        <w:rPr>
          <w:rFonts w:hint="eastAsia" w:ascii="宋体" w:hAnsi="宋体" w:cs="宋体"/>
          <w:color w:val="auto"/>
          <w:sz w:val="24"/>
          <w:highlight w:val="none"/>
        </w:rPr>
        <w:t>联合体投标协议书</w:t>
      </w:r>
      <w:r>
        <w:rPr>
          <w:rFonts w:hint="eastAsia" w:ascii="宋体" w:hAnsi="宋体"/>
          <w:color w:val="auto"/>
          <w:sz w:val="24"/>
          <w:highlight w:val="none"/>
        </w:rPr>
        <w:t>（如果有）</w:t>
      </w:r>
    </w:p>
    <w:p>
      <w:pPr>
        <w:spacing w:line="360" w:lineRule="auto"/>
        <w:ind w:firstLine="480" w:firstLineChars="200"/>
        <w:rPr>
          <w:rFonts w:hint="default" w:ascii="宋体" w:hAnsi="宋体" w:eastAsia="宋体"/>
          <w:color w:val="auto"/>
          <w:sz w:val="24"/>
          <w:highlight w:val="none"/>
          <w:lang w:val="en-US" w:eastAsia="zh-CN"/>
        </w:rPr>
      </w:pPr>
      <w:r>
        <w:rPr>
          <w:rStyle w:val="27"/>
          <w:rFonts w:hint="eastAsia" w:ascii="宋体" w:hAnsi="宋体"/>
          <w:color w:val="auto"/>
          <w:sz w:val="24"/>
          <w:highlight w:val="none"/>
        </w:rPr>
        <w:t>（</w:t>
      </w:r>
      <w:r>
        <w:rPr>
          <w:rFonts w:hint="eastAsia" w:ascii="宋体" w:hAnsi="宋体"/>
          <w:color w:val="auto"/>
          <w:sz w:val="24"/>
          <w:highlight w:val="none"/>
        </w:rPr>
        <w:t>4）</w:t>
      </w:r>
      <w:r>
        <w:rPr>
          <w:rFonts w:hint="eastAsia" w:ascii="宋体" w:hAnsi="宋体" w:cs="宋体"/>
          <w:color w:val="auto"/>
          <w:sz w:val="24"/>
          <w:highlight w:val="none"/>
          <w:lang w:val="en-US" w:eastAsia="zh-CN"/>
        </w:rPr>
        <w:t>投标报价书</w:t>
      </w:r>
    </w:p>
    <w:p>
      <w:pPr>
        <w:spacing w:line="360" w:lineRule="auto"/>
        <w:ind w:firstLine="480" w:firstLineChars="200"/>
        <w:rPr>
          <w:rFonts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法定代表人证明书及法人授权委托书</w:t>
      </w:r>
      <w:r>
        <w:rPr>
          <w:rFonts w:hint="eastAsia" w:hAnsi="宋体"/>
          <w:color w:val="auto"/>
          <w:sz w:val="24"/>
          <w:highlight w:val="none"/>
        </w:rPr>
        <w:t>（</w:t>
      </w:r>
      <w:r>
        <w:rPr>
          <w:rFonts w:hint="eastAsia" w:ascii="宋体" w:hAnsi="宋体"/>
          <w:color w:val="auto"/>
          <w:sz w:val="24"/>
          <w:highlight w:val="none"/>
        </w:rPr>
        <w:t>按招标人提供的格式）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）投标保证金</w:t>
      </w:r>
      <w:r>
        <w:rPr>
          <w:rFonts w:hint="eastAsia" w:ascii="宋体" w:hAnsi="宋体"/>
          <w:color w:val="auto"/>
          <w:sz w:val="24"/>
          <w:highlight w:val="none"/>
          <w:lang w:val="en-US" w:eastAsia="zh-CN"/>
        </w:rPr>
        <w:t>汇款凭证或投标保证金</w:t>
      </w:r>
      <w:r>
        <w:rPr>
          <w:rFonts w:hint="eastAsia" w:ascii="宋体" w:hAnsi="宋体"/>
          <w:color w:val="auto"/>
          <w:sz w:val="24"/>
          <w:highlight w:val="none"/>
        </w:rPr>
        <w:t>银行保函（仅供参考）（如果有）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（7）投标人基本情况表</w:t>
      </w:r>
      <w:r>
        <w:rPr>
          <w:rFonts w:hint="eastAsia" w:hAnsi="宋体"/>
          <w:color w:val="auto"/>
          <w:sz w:val="24"/>
          <w:highlight w:val="none"/>
        </w:rPr>
        <w:t>（</w:t>
      </w:r>
      <w:r>
        <w:rPr>
          <w:rFonts w:hint="eastAsia" w:ascii="宋体" w:hAnsi="宋体"/>
          <w:color w:val="auto"/>
          <w:sz w:val="24"/>
          <w:highlight w:val="none"/>
        </w:rPr>
        <w:t>按招标人提供的格式）</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（8）近年完成的类似项目情况表</w:t>
      </w:r>
      <w:r>
        <w:rPr>
          <w:rFonts w:hint="eastAsia" w:hAnsi="宋体"/>
          <w:color w:val="auto"/>
          <w:sz w:val="24"/>
          <w:highlight w:val="none"/>
        </w:rPr>
        <w:t>（</w:t>
      </w:r>
      <w:r>
        <w:rPr>
          <w:rFonts w:hint="eastAsia" w:ascii="宋体" w:hAnsi="宋体"/>
          <w:color w:val="auto"/>
          <w:sz w:val="24"/>
          <w:highlight w:val="none"/>
        </w:rPr>
        <w:t>按招标人提供的格式）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9）拟</w:t>
      </w:r>
      <w:r>
        <w:rPr>
          <w:rFonts w:hint="eastAsia" w:ascii="宋体" w:hAnsi="宋体"/>
          <w:color w:val="auto"/>
          <w:sz w:val="24"/>
          <w:highlight w:val="none"/>
        </w:rPr>
        <w:t>派本项目</w:t>
      </w:r>
      <w:r>
        <w:rPr>
          <w:rFonts w:hint="eastAsia" w:ascii="宋体" w:hAnsi="宋体"/>
          <w:color w:val="auto"/>
          <w:sz w:val="24"/>
          <w:highlight w:val="none"/>
          <w:lang w:val="en-US" w:eastAsia="zh-CN"/>
        </w:rPr>
        <w:t>团队</w:t>
      </w:r>
      <w:r>
        <w:rPr>
          <w:rFonts w:hint="eastAsia" w:ascii="宋体" w:hAnsi="宋体"/>
          <w:color w:val="auto"/>
          <w:sz w:val="24"/>
          <w:highlight w:val="none"/>
        </w:rPr>
        <w:t>人员</w:t>
      </w:r>
      <w:r>
        <w:rPr>
          <w:rFonts w:hint="eastAsia" w:hAnsi="宋体"/>
          <w:color w:val="auto"/>
          <w:sz w:val="24"/>
          <w:highlight w:val="none"/>
        </w:rPr>
        <w:t>（</w:t>
      </w:r>
      <w:r>
        <w:rPr>
          <w:rFonts w:hint="eastAsia" w:ascii="宋体" w:hAnsi="宋体"/>
          <w:color w:val="auto"/>
          <w:sz w:val="24"/>
          <w:highlight w:val="none"/>
        </w:rPr>
        <w:t>按招标人提供的格式）</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w:t>
      </w:r>
      <w:r>
        <w:rPr>
          <w:rFonts w:hint="eastAsia" w:ascii="宋体" w:hAnsi="宋体"/>
          <w:color w:val="auto"/>
          <w:sz w:val="24"/>
          <w:highlight w:val="none"/>
          <w:lang w:val="en-US" w:eastAsia="zh-CN"/>
        </w:rPr>
        <w:t>拟</w:t>
      </w:r>
      <w:r>
        <w:rPr>
          <w:rFonts w:hint="eastAsia" w:ascii="宋体" w:hAnsi="宋体"/>
          <w:color w:val="auto"/>
          <w:sz w:val="24"/>
          <w:highlight w:val="none"/>
        </w:rPr>
        <w:t>派本项目主要专业人员承诺书</w:t>
      </w:r>
      <w:r>
        <w:rPr>
          <w:rFonts w:hint="eastAsia" w:hAnsi="宋体"/>
          <w:color w:val="auto"/>
          <w:sz w:val="24"/>
          <w:highlight w:val="none"/>
        </w:rPr>
        <w:t>（</w:t>
      </w:r>
      <w:r>
        <w:rPr>
          <w:rFonts w:hint="eastAsia" w:ascii="宋体" w:hAnsi="宋体"/>
          <w:color w:val="auto"/>
          <w:sz w:val="24"/>
          <w:highlight w:val="none"/>
        </w:rPr>
        <w:t>按招标人提供的格式）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11</w:t>
      </w:r>
      <w:r>
        <w:rPr>
          <w:rFonts w:hint="eastAsia" w:ascii="宋体" w:hAnsi="宋体"/>
          <w:color w:val="auto"/>
          <w:sz w:val="24"/>
          <w:highlight w:val="none"/>
          <w:lang w:eastAsia="zh-CN"/>
        </w:rPr>
        <w:t>）</w:t>
      </w:r>
      <w:r>
        <w:rPr>
          <w:rFonts w:hint="eastAsia" w:ascii="宋体" w:hAnsi="宋体" w:cs="宋体"/>
          <w:color w:val="auto"/>
          <w:sz w:val="24"/>
          <w:highlight w:val="none"/>
        </w:rPr>
        <w:t>勘察设计进度计划、质量保证和技术服务措施承诺书</w:t>
      </w:r>
      <w:r>
        <w:rPr>
          <w:rFonts w:hint="eastAsia" w:hAnsi="宋体"/>
          <w:color w:val="auto"/>
          <w:sz w:val="24"/>
          <w:highlight w:val="none"/>
        </w:rPr>
        <w:t>（</w:t>
      </w:r>
      <w:r>
        <w:rPr>
          <w:rFonts w:hint="eastAsia" w:ascii="宋体" w:hAnsi="宋体"/>
          <w:color w:val="auto"/>
          <w:sz w:val="24"/>
          <w:highlight w:val="none"/>
        </w:rPr>
        <w:t>按招标人提供的格式）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）中标服务费承诺书</w:t>
      </w:r>
      <w:r>
        <w:rPr>
          <w:rFonts w:hint="eastAsia" w:hAnsi="宋体"/>
          <w:color w:val="auto"/>
          <w:sz w:val="24"/>
          <w:highlight w:val="none"/>
        </w:rPr>
        <w:t>（</w:t>
      </w:r>
      <w:r>
        <w:rPr>
          <w:rFonts w:hint="eastAsia" w:ascii="宋体" w:hAnsi="宋体"/>
          <w:color w:val="auto"/>
          <w:sz w:val="24"/>
          <w:highlight w:val="none"/>
        </w:rPr>
        <w:t>按招标人提供的格式）</w:t>
      </w:r>
    </w:p>
    <w:p>
      <w:pPr>
        <w:spacing w:line="360" w:lineRule="auto"/>
        <w:ind w:left="599" w:leftChars="228" w:hanging="120" w:hangingChars="50"/>
        <w:jc w:val="left"/>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13</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投标人认为有必要提供的资料</w:t>
      </w:r>
    </w:p>
    <w:p>
      <w:pPr>
        <w:spacing w:line="360" w:lineRule="auto"/>
        <w:ind w:firstLine="482" w:firstLineChars="200"/>
        <w:jc w:val="left"/>
        <w:rPr>
          <w:rFonts w:ascii="宋体" w:hAnsi="宋体"/>
          <w:color w:val="auto"/>
          <w:sz w:val="24"/>
          <w:highlight w:val="none"/>
          <w:u w:val="single"/>
        </w:rPr>
      </w:pPr>
      <w:r>
        <w:rPr>
          <w:rFonts w:hint="eastAsia" w:ascii="宋体" w:hAnsi="宋体"/>
          <w:b/>
          <w:color w:val="auto"/>
          <w:sz w:val="24"/>
          <w:highlight w:val="none"/>
          <w:u w:val="single"/>
        </w:rPr>
        <w:t>注：商务文件（含资格审查文件）资料须加盖投标单位公章。同时还要附上电子文件U盘1套，随纸质文本文件一起提交。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6</w:t>
      </w:r>
      <w:r>
        <w:rPr>
          <w:rFonts w:hint="eastAsia" w:ascii="宋体" w:hAnsi="宋体"/>
          <w:color w:val="auto"/>
          <w:sz w:val="24"/>
          <w:highlight w:val="none"/>
        </w:rPr>
        <w:t>.3.2商务投标文件的密封要求：投标人应确保投标文件密闭封装，外包装材料不应留有可在包封后添加或抽取投标文件的空隙。</w:t>
      </w:r>
      <w:r>
        <w:rPr>
          <w:rFonts w:hint="eastAsia" w:ascii="宋体" w:hAnsi="宋体"/>
          <w:b w:val="0"/>
          <w:bCs w:val="0"/>
          <w:color w:val="auto"/>
          <w:sz w:val="24"/>
          <w:highlight w:val="none"/>
          <w:lang w:val="en-US" w:eastAsia="zh-CN"/>
        </w:rPr>
        <w:t>详见2.7</w:t>
      </w:r>
      <w:r>
        <w:rPr>
          <w:rStyle w:val="27"/>
          <w:rFonts w:hint="eastAsia" w:ascii="宋体" w:hAnsi="宋体" w:cs="宋体"/>
          <w:b w:val="0"/>
          <w:bCs w:val="0"/>
          <w:color w:val="auto"/>
          <w:sz w:val="24"/>
          <w:szCs w:val="22"/>
          <w:highlight w:val="none"/>
        </w:rPr>
        <w:t>投标文件的密封和标记</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6</w:t>
      </w:r>
      <w:r>
        <w:rPr>
          <w:rFonts w:hint="eastAsia" w:ascii="宋体" w:hAnsi="宋体"/>
          <w:color w:val="auto"/>
          <w:sz w:val="24"/>
          <w:highlight w:val="none"/>
        </w:rPr>
        <w:t>.3.3接收投标文件时，如果包封上没有按上述规定密封或加写标志，招标人予以拒绝，并退还给投标人。</w:t>
      </w:r>
    </w:p>
    <w:p>
      <w:pPr>
        <w:spacing w:line="360" w:lineRule="auto"/>
        <w:ind w:firstLine="480" w:firstLineChars="200"/>
        <w:rPr>
          <w:rFonts w:ascii="宋体" w:hAnsi="宋体"/>
          <w:b/>
          <w:bCs/>
          <w:color w:val="auto"/>
          <w:sz w:val="24"/>
          <w:highlight w:val="none"/>
        </w:rPr>
      </w:pPr>
      <w:bookmarkStart w:id="59" w:name="_Toc27561"/>
      <w:r>
        <w:rPr>
          <w:rFonts w:hint="eastAsia" w:ascii="宋体" w:hAnsi="宋体"/>
          <w:color w:val="auto"/>
          <w:sz w:val="24"/>
          <w:highlight w:val="none"/>
        </w:rPr>
        <w:t>2.</w:t>
      </w:r>
      <w:r>
        <w:rPr>
          <w:rFonts w:hint="eastAsia" w:ascii="宋体" w:hAnsi="宋体"/>
          <w:color w:val="auto"/>
          <w:sz w:val="24"/>
          <w:highlight w:val="none"/>
          <w:lang w:val="en-US" w:eastAsia="zh-CN"/>
        </w:rPr>
        <w:t>6</w:t>
      </w:r>
      <w:r>
        <w:rPr>
          <w:rFonts w:hint="eastAsia" w:ascii="宋体" w:hAnsi="宋体"/>
          <w:color w:val="auto"/>
          <w:sz w:val="24"/>
          <w:highlight w:val="none"/>
        </w:rPr>
        <w:t>.4</w:t>
      </w:r>
      <w:r>
        <w:rPr>
          <w:rFonts w:hint="eastAsia" w:ascii="宋体" w:hAnsi="宋体"/>
          <w:b/>
          <w:bCs/>
          <w:color w:val="auto"/>
          <w:sz w:val="24"/>
          <w:highlight w:val="none"/>
        </w:rPr>
        <w:t xml:space="preserve"> 技术文件编制要求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6</w:t>
      </w:r>
      <w:r>
        <w:rPr>
          <w:rFonts w:hint="eastAsia" w:ascii="宋体" w:hAnsi="宋体"/>
          <w:color w:val="auto"/>
          <w:sz w:val="24"/>
          <w:highlight w:val="none"/>
        </w:rPr>
        <w:t xml:space="preserve">.4.1 </w:t>
      </w:r>
      <w:r>
        <w:rPr>
          <w:rFonts w:hint="eastAsia" w:ascii="宋体" w:hAnsi="宋体"/>
          <w:b/>
          <w:color w:val="auto"/>
          <w:sz w:val="24"/>
          <w:highlight w:val="none"/>
        </w:rPr>
        <w:t>技术文件由下列资料组成：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 保密信封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 </w:t>
      </w:r>
      <w:r>
        <w:rPr>
          <w:rFonts w:hint="eastAsia" w:ascii="宋体" w:hAnsi="宋体"/>
          <w:color w:val="auto"/>
          <w:sz w:val="24"/>
          <w:highlight w:val="none"/>
          <w:lang w:val="en-US" w:eastAsia="zh-CN"/>
        </w:rPr>
        <w:t>技术文件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 电子文件</w:t>
      </w:r>
      <w:r>
        <w:rPr>
          <w:rFonts w:hint="eastAsia"/>
          <w:color w:val="auto"/>
          <w:sz w:val="24"/>
          <w:highlight w:val="none"/>
        </w:rPr>
        <w:t>（无病毒U盘）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6</w:t>
      </w:r>
      <w:r>
        <w:rPr>
          <w:rFonts w:hint="eastAsia" w:ascii="宋体" w:hAnsi="宋体"/>
          <w:color w:val="auto"/>
          <w:sz w:val="24"/>
          <w:highlight w:val="none"/>
        </w:rPr>
        <w:t>.4.2保密信封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保密信封袋内的内容为 A3 规格制作的</w:t>
      </w:r>
      <w:r>
        <w:rPr>
          <w:rFonts w:hint="eastAsia" w:ascii="宋体" w:hAnsi="宋体" w:cs="宋体"/>
          <w:color w:val="auto"/>
          <w:sz w:val="24"/>
          <w:highlight w:val="none"/>
          <w:lang w:val="en-US" w:eastAsia="zh-CN"/>
        </w:rPr>
        <w:t>表现</w:t>
      </w:r>
      <w:r>
        <w:rPr>
          <w:rFonts w:hint="eastAsia" w:ascii="宋体" w:hAnsi="宋体" w:cs="宋体"/>
          <w:color w:val="auto"/>
          <w:sz w:val="24"/>
          <w:highlight w:val="none"/>
        </w:rPr>
        <w:t>图，</w:t>
      </w:r>
      <w:r>
        <w:rPr>
          <w:rFonts w:hint="eastAsia" w:ascii="宋体" w:hAnsi="宋体"/>
          <w:color w:val="auto"/>
          <w:sz w:val="24"/>
          <w:highlight w:val="none"/>
        </w:rPr>
        <w:t>加盖投标人公章，项目负责人署名。内容应与设计方案一致（并注明图纸在设计方案中的页码或图号），用于分辨投标文件对应的投标人身份。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（2）保密信封用不透明信封独立密封，外面标注“项目名称”及“保密信封”字样。</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6</w:t>
      </w:r>
      <w:r>
        <w:rPr>
          <w:rFonts w:hint="eastAsia" w:ascii="宋体" w:hAnsi="宋体"/>
          <w:color w:val="auto"/>
          <w:sz w:val="24"/>
          <w:highlight w:val="none"/>
        </w:rPr>
        <w:t>.4.3</w:t>
      </w:r>
      <w:r>
        <w:rPr>
          <w:rFonts w:hint="eastAsia" w:ascii="宋体" w:hAnsi="宋体" w:cs="宋体"/>
          <w:color w:val="auto"/>
          <w:sz w:val="24"/>
          <w:highlight w:val="none"/>
        </w:rPr>
        <w:t>技术</w:t>
      </w:r>
      <w:r>
        <w:rPr>
          <w:rFonts w:hint="eastAsia" w:ascii="宋体" w:hAnsi="宋体" w:cs="宋体"/>
          <w:color w:val="auto"/>
          <w:sz w:val="24"/>
          <w:highlight w:val="none"/>
          <w:lang w:val="en-US" w:eastAsia="zh-CN"/>
        </w:rPr>
        <w:t>文件</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封面（格式自拟）</w:t>
      </w:r>
      <w:r>
        <w:rPr>
          <w:rFonts w:hint="eastAsia" w:ascii="宋体" w:hAnsi="宋体" w:cs="宋体"/>
          <w:color w:val="auto"/>
          <w:sz w:val="24"/>
          <w:highlight w:val="none"/>
          <w:lang w:eastAsia="zh-CN"/>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统一使用背景为白色或只能有暗纹的白色软皮纸质，封面只需写明“</w:t>
      </w:r>
      <w:r>
        <w:rPr>
          <w:rFonts w:hint="eastAsia"/>
          <w:color w:val="auto"/>
          <w:sz w:val="24"/>
          <w:highlight w:val="none"/>
        </w:rPr>
        <w:t>廉江市镇级污水管网及配套设施项目勘察设计</w:t>
      </w:r>
      <w:r>
        <w:rPr>
          <w:rFonts w:hint="eastAsia" w:ascii="宋体" w:hAnsi="宋体" w:cs="宋体"/>
          <w:color w:val="auto"/>
          <w:sz w:val="24"/>
          <w:highlight w:val="none"/>
          <w:lang w:val="en-US" w:eastAsia="zh-CN"/>
        </w:rPr>
        <w:t>技术文件</w:t>
      </w:r>
      <w:r>
        <w:rPr>
          <w:rFonts w:hint="eastAsia" w:ascii="宋体" w:hAnsi="宋体" w:cs="宋体"/>
          <w:color w:val="auto"/>
          <w:sz w:val="24"/>
          <w:highlight w:val="none"/>
        </w:rPr>
        <w:t>”、“正本或副本”的字样。</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目录</w:t>
      </w:r>
    </w:p>
    <w:p>
      <w:pPr>
        <w:numPr>
          <w:ilvl w:val="0"/>
          <w:numId w:val="0"/>
        </w:numPr>
        <w:shd w:val="clear"/>
        <w:snapToGri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总体布局（总体思路）</w:t>
      </w:r>
    </w:p>
    <w:p>
      <w:pPr>
        <w:shd w:val="clea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设计</w:t>
      </w:r>
      <w:r>
        <w:rPr>
          <w:rFonts w:hint="eastAsia" w:ascii="宋体" w:hAnsi="宋体" w:cs="宋体"/>
          <w:color w:val="auto"/>
          <w:sz w:val="24"/>
          <w:highlight w:val="none"/>
          <w:lang w:val="en-US" w:eastAsia="zh-CN"/>
        </w:rPr>
        <w:t>方案：</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a</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对</w:t>
      </w:r>
      <w:r>
        <w:rPr>
          <w:rFonts w:hint="eastAsia" w:ascii="宋体" w:hAnsi="宋体" w:cs="宋体"/>
          <w:color w:val="auto"/>
          <w:sz w:val="24"/>
          <w:highlight w:val="none"/>
          <w:lang w:val="en-US"/>
        </w:rPr>
        <w:t>项目</w:t>
      </w:r>
      <w:r>
        <w:rPr>
          <w:rFonts w:hint="eastAsia" w:ascii="宋体" w:hAnsi="宋体" w:cs="宋体"/>
          <w:color w:val="auto"/>
          <w:sz w:val="24"/>
          <w:highlight w:val="none"/>
        </w:rPr>
        <w:t>重点</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难点</w:t>
      </w:r>
      <w:r>
        <w:rPr>
          <w:rFonts w:hint="eastAsia" w:ascii="宋体" w:hAnsi="宋体" w:cs="宋体"/>
          <w:color w:val="auto"/>
          <w:sz w:val="24"/>
          <w:highlight w:val="none"/>
          <w:lang w:val="en-US" w:eastAsia="zh-CN"/>
        </w:rPr>
        <w:t>分析</w:t>
      </w:r>
      <w:r>
        <w:rPr>
          <w:rFonts w:hint="eastAsia" w:ascii="宋体" w:hAnsi="宋体" w:cs="宋体"/>
          <w:color w:val="auto"/>
          <w:sz w:val="24"/>
          <w:highlight w:val="none"/>
        </w:rPr>
        <w:t>；</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（b）</w:t>
      </w:r>
      <w:r>
        <w:rPr>
          <w:rFonts w:hint="eastAsia" w:ascii="宋体" w:hAnsi="宋体" w:cs="宋体"/>
          <w:color w:val="auto"/>
          <w:sz w:val="24"/>
          <w:highlight w:val="none"/>
        </w:rPr>
        <w:t>对现状了解程度；</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（c</w:t>
      </w:r>
      <w:r>
        <w:rPr>
          <w:rFonts w:hint="eastAsia" w:ascii="宋体" w:hAnsi="宋体" w:cs="宋体"/>
          <w:color w:val="auto"/>
          <w:sz w:val="24"/>
          <w:highlight w:val="none"/>
          <w:lang w:eastAsia="zh-CN"/>
        </w:rPr>
        <w:t>）</w:t>
      </w:r>
      <w:r>
        <w:rPr>
          <w:rFonts w:hint="eastAsia" w:ascii="宋体" w:hAnsi="宋体" w:cs="宋体"/>
          <w:color w:val="auto"/>
          <w:sz w:val="24"/>
          <w:highlight w:val="none"/>
        </w:rPr>
        <w:t>设计方案；</w:t>
      </w:r>
    </w:p>
    <w:p>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（d</w:t>
      </w:r>
      <w:r>
        <w:rPr>
          <w:rFonts w:hint="eastAsia" w:ascii="宋体" w:hAnsi="宋体" w:cs="宋体"/>
          <w:color w:val="auto"/>
          <w:sz w:val="24"/>
          <w:highlight w:val="none"/>
          <w:lang w:eastAsia="zh-CN"/>
        </w:rPr>
        <w:t>）</w:t>
      </w:r>
      <w:r>
        <w:rPr>
          <w:rFonts w:hint="eastAsia" w:ascii="宋体" w:hAnsi="宋体" w:cs="宋体"/>
          <w:color w:val="auto"/>
          <w:sz w:val="24"/>
          <w:highlight w:val="none"/>
        </w:rPr>
        <w:t>组织机构及分工；</w:t>
      </w:r>
    </w:p>
    <w:p>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勘察方案</w:t>
      </w:r>
      <w:r>
        <w:rPr>
          <w:rFonts w:hint="eastAsia" w:ascii="宋体" w:hAnsi="宋体" w:cs="宋体"/>
          <w:color w:val="auto"/>
          <w:sz w:val="24"/>
          <w:highlight w:val="none"/>
          <w:lang w:eastAsia="zh-CN"/>
        </w:rPr>
        <w:t>：</w:t>
      </w:r>
    </w:p>
    <w:p>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rPr>
        <w:t>a</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项目理解；</w:t>
      </w:r>
    </w:p>
    <w:p>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rPr>
        <w:t>b</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勘察方案；</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rPr>
        <w:t>c</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组织机构及分工</w:t>
      </w:r>
      <w:r>
        <w:rPr>
          <w:rFonts w:hint="eastAsia" w:ascii="宋体" w:hAnsi="宋体" w:cs="宋体"/>
          <w:color w:val="auto"/>
          <w:sz w:val="24"/>
          <w:highlight w:val="none"/>
          <w:lang w:val="en-US" w:eastAsia="zh-CN"/>
        </w:rPr>
        <w:t>；</w:t>
      </w:r>
    </w:p>
    <w:p>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进度计划及质量保证</w:t>
      </w:r>
      <w:r>
        <w:rPr>
          <w:rFonts w:hint="eastAsia" w:ascii="宋体" w:hAnsi="宋体" w:cs="宋体"/>
          <w:color w:val="auto"/>
          <w:sz w:val="24"/>
          <w:highlight w:val="none"/>
          <w:lang w:eastAsia="zh-CN"/>
        </w:rPr>
        <w:t>。</w:t>
      </w:r>
    </w:p>
    <w:p>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投标人认为有必要提供的其他资料</w:t>
      </w:r>
      <w:r>
        <w:rPr>
          <w:rFonts w:hint="eastAsia" w:ascii="宋体" w:hAnsi="宋体" w:cs="宋体"/>
          <w:color w:val="auto"/>
          <w:sz w:val="24"/>
          <w:highlight w:val="none"/>
          <w:lang w:eastAsia="zh-CN"/>
        </w:rPr>
        <w:t>。</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技术文件用不透明信封独立密封，外面标注“项目名称”及“技术文件”字样。</w:t>
      </w:r>
    </w:p>
    <w:p>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2.</w:t>
      </w:r>
      <w:r>
        <w:rPr>
          <w:rFonts w:hint="eastAsia" w:ascii="宋体" w:hAnsi="宋体"/>
          <w:b/>
          <w:bCs/>
          <w:color w:val="auto"/>
          <w:sz w:val="24"/>
          <w:highlight w:val="none"/>
          <w:lang w:val="en-US" w:eastAsia="zh-CN"/>
        </w:rPr>
        <w:t>6</w:t>
      </w:r>
      <w:r>
        <w:rPr>
          <w:rFonts w:hint="eastAsia" w:ascii="宋体" w:hAnsi="宋体"/>
          <w:b/>
          <w:bCs/>
          <w:color w:val="auto"/>
          <w:sz w:val="24"/>
          <w:highlight w:val="none"/>
        </w:rPr>
        <w:t>.4保密要求及其他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6</w:t>
      </w:r>
      <w:r>
        <w:rPr>
          <w:rFonts w:hint="eastAsia" w:ascii="宋体" w:hAnsi="宋体"/>
          <w:color w:val="auto"/>
          <w:sz w:val="24"/>
          <w:highlight w:val="none"/>
        </w:rPr>
        <w:t>.4.1技术投标文件必须隐匿投标人及专业技术人员的名称，除保密信封内的分辨投标人身份的文件外，投标人不得在技术文件的设计方案、</w:t>
      </w:r>
      <w:r>
        <w:rPr>
          <w:rFonts w:hint="eastAsia" w:ascii="宋体" w:hAnsi="宋体"/>
          <w:color w:val="auto"/>
          <w:sz w:val="24"/>
          <w:highlight w:val="none"/>
          <w:lang w:val="en-US" w:eastAsia="zh-CN"/>
        </w:rPr>
        <w:t>勘察方案、</w:t>
      </w:r>
      <w:r>
        <w:rPr>
          <w:rFonts w:hint="eastAsia" w:ascii="宋体" w:hAnsi="宋体"/>
          <w:color w:val="auto"/>
          <w:sz w:val="24"/>
          <w:highlight w:val="none"/>
        </w:rPr>
        <w:t>电子文件标注或做任何可以辨认投标人及专业技术人员身份的名称、印章、商标。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6</w:t>
      </w:r>
      <w:r>
        <w:rPr>
          <w:rFonts w:hint="eastAsia" w:ascii="宋体" w:hAnsi="宋体"/>
          <w:color w:val="auto"/>
          <w:sz w:val="24"/>
          <w:highlight w:val="none"/>
        </w:rPr>
        <w:t>.4.2技术文件接收时不得启封，送达评标地点后，由</w:t>
      </w:r>
      <w:r>
        <w:rPr>
          <w:rFonts w:hint="eastAsia" w:ascii="宋体" w:hAnsi="宋体"/>
          <w:color w:val="auto"/>
          <w:sz w:val="24"/>
          <w:highlight w:val="none"/>
          <w:lang w:val="en-US" w:eastAsia="zh-CN"/>
        </w:rPr>
        <w:t>交</w:t>
      </w:r>
      <w:r>
        <w:rPr>
          <w:rFonts w:hint="eastAsia" w:ascii="宋体" w:hAnsi="宋体"/>
          <w:color w:val="auto"/>
          <w:sz w:val="24"/>
          <w:highlight w:val="none"/>
        </w:rPr>
        <w:t>易</w:t>
      </w:r>
      <w:r>
        <w:rPr>
          <w:rFonts w:hint="eastAsia" w:ascii="宋体" w:hAnsi="宋体"/>
          <w:color w:val="auto"/>
          <w:sz w:val="24"/>
          <w:highlight w:val="none"/>
          <w:lang w:val="en-US" w:eastAsia="zh-CN"/>
        </w:rPr>
        <w:t>服务机构</w:t>
      </w:r>
      <w:r>
        <w:rPr>
          <w:rFonts w:hint="eastAsia" w:ascii="宋体" w:hAnsi="宋体"/>
          <w:color w:val="auto"/>
          <w:sz w:val="24"/>
          <w:highlight w:val="none"/>
        </w:rPr>
        <w:t>见证人启封并编号，参与开标、评标的其他人员应当回避。评标结果揭晓前，负责编号的工作人员不得向他人透露投标文件编号的情况。</w:t>
      </w:r>
    </w:p>
    <w:p>
      <w:pPr>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6</w:t>
      </w:r>
      <w:r>
        <w:rPr>
          <w:rFonts w:hint="eastAsia" w:ascii="宋体" w:hAnsi="宋体"/>
          <w:color w:val="auto"/>
          <w:sz w:val="24"/>
          <w:highlight w:val="none"/>
        </w:rPr>
        <w:t xml:space="preserve">.4.3 </w:t>
      </w:r>
      <w:r>
        <w:rPr>
          <w:rFonts w:hint="eastAsia" w:ascii="宋体" w:hAnsi="宋体" w:cs="宋体"/>
          <w:color w:val="auto"/>
          <w:sz w:val="24"/>
          <w:highlight w:val="none"/>
        </w:rPr>
        <w:t>投标文件除非另有规定，否则投标文件的计量单位宜采用国际标准计量单位，尺寸齐全、准确，所有文字说明和文字标注以中文为准，报价均为人民币，时间均为北京时间。</w:t>
      </w:r>
    </w:p>
    <w:p>
      <w:pPr>
        <w:spacing w:line="360" w:lineRule="auto"/>
        <w:ind w:firstLine="482" w:firstLineChars="200"/>
        <w:outlineLvl w:val="1"/>
        <w:rPr>
          <w:rStyle w:val="27"/>
          <w:rFonts w:ascii="宋体" w:hAnsi="宋体" w:cs="宋体"/>
          <w:b/>
          <w:bCs/>
          <w:color w:val="auto"/>
          <w:sz w:val="24"/>
          <w:szCs w:val="22"/>
          <w:highlight w:val="none"/>
        </w:rPr>
      </w:pPr>
      <w:bookmarkStart w:id="60" w:name="_Toc12462"/>
      <w:bookmarkStart w:id="61" w:name="_Toc3340"/>
      <w:r>
        <w:rPr>
          <w:rStyle w:val="27"/>
          <w:rFonts w:hint="eastAsia" w:ascii="宋体" w:hAnsi="宋体" w:cs="宋体"/>
          <w:b/>
          <w:bCs/>
          <w:color w:val="auto"/>
          <w:sz w:val="24"/>
          <w:szCs w:val="22"/>
          <w:highlight w:val="none"/>
        </w:rPr>
        <w:t>2.</w:t>
      </w:r>
      <w:r>
        <w:rPr>
          <w:rStyle w:val="27"/>
          <w:rFonts w:hint="eastAsia" w:ascii="宋体" w:hAnsi="宋体" w:cs="宋体"/>
          <w:b/>
          <w:bCs/>
          <w:color w:val="auto"/>
          <w:sz w:val="24"/>
          <w:szCs w:val="22"/>
          <w:highlight w:val="none"/>
          <w:lang w:val="en-US" w:eastAsia="zh-CN"/>
        </w:rPr>
        <w:t>7</w:t>
      </w:r>
      <w:r>
        <w:rPr>
          <w:rStyle w:val="27"/>
          <w:rFonts w:hint="eastAsia" w:ascii="宋体" w:hAnsi="宋体" w:cs="宋体"/>
          <w:b/>
          <w:bCs/>
          <w:color w:val="auto"/>
          <w:sz w:val="24"/>
          <w:szCs w:val="22"/>
          <w:highlight w:val="none"/>
        </w:rPr>
        <w:t>投标文件的密封和标记</w:t>
      </w:r>
      <w:bookmarkEnd w:id="60"/>
      <w:bookmarkEnd w:id="61"/>
    </w:p>
    <w:p>
      <w:pPr>
        <w:spacing w:line="360" w:lineRule="auto"/>
        <w:ind w:firstLine="480" w:firstLineChars="200"/>
        <w:rPr>
          <w:rFonts w:ascii="宋体" w:hAnsi="宋体"/>
          <w:b/>
          <w:color w:val="auto"/>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投标人应将商务文件、技术文件、电子文件（U盘）、保密信封分别装在三个密封袋内，即：“①投标文件商务部分的正本、副本及电子文件（U盘）为一个密封袋；商务标文件以A4规格编排装订成册，一式五份（其中正本一份，封面标注“正本”字样；副本四份，封面标注“副本”字样）。正本与副本不符的内容，以正本为准。以上资料加盖投标人公章。商务文件用不透明包装袋包装密封并加盖投标人公章，包装袋外面标注“商务文件”字样，并写明招标人名称、项目名称、投标人名称和“在年月日时前不得开启”</w:t>
      </w:r>
      <w:r>
        <w:rPr>
          <w:rFonts w:hint="eastAsia" w:ascii="宋体" w:hAnsi="宋体"/>
          <w:b/>
          <w:color w:val="auto"/>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②技术文件正本、副本和电子文件（U盘）合为一个密封袋；③技术</w:t>
      </w:r>
      <w:r>
        <w:rPr>
          <w:rFonts w:hint="eastAsia" w:ascii="宋体" w:hAnsi="宋体" w:cs="宋体"/>
          <w:color w:val="auto"/>
          <w:sz w:val="24"/>
          <w:highlight w:val="none"/>
          <w:lang w:val="en-US" w:eastAsia="zh-CN"/>
        </w:rPr>
        <w:t>文件</w:t>
      </w:r>
      <w:r>
        <w:rPr>
          <w:rFonts w:hint="eastAsia" w:ascii="宋体" w:hAnsi="宋体" w:cs="宋体"/>
          <w:color w:val="auto"/>
          <w:sz w:val="24"/>
          <w:highlight w:val="none"/>
        </w:rPr>
        <w:t>的保密信封为一个密封袋”。</w:t>
      </w:r>
    </w:p>
    <w:p>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注：</w:t>
      </w:r>
      <w:r>
        <w:rPr>
          <w:rFonts w:hint="eastAsia" w:ascii="宋体" w:hAnsi="宋体" w:cs="宋体"/>
          <w:color w:val="auto"/>
          <w:sz w:val="24"/>
          <w:highlight w:val="none"/>
          <w:u w:val="single"/>
        </w:rPr>
        <w:t>②③</w:t>
      </w:r>
      <w:r>
        <w:rPr>
          <w:rFonts w:hint="eastAsia" w:ascii="宋体" w:hAnsi="宋体" w:cs="宋体"/>
          <w:b/>
          <w:bCs/>
          <w:color w:val="auto"/>
          <w:sz w:val="24"/>
          <w:highlight w:val="none"/>
          <w:u w:val="single"/>
        </w:rPr>
        <w:t>密封袋上标明“×××技术文件”字样外，均不得出现投标人名称。</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保密信封袋独立</w:t>
      </w:r>
      <w:r>
        <w:rPr>
          <w:rFonts w:hint="eastAsia" w:cs="宋体"/>
          <w:color w:val="auto"/>
          <w:sz w:val="24"/>
          <w:highlight w:val="none"/>
        </w:rPr>
        <w:t>密封</w:t>
      </w:r>
      <w:r>
        <w:rPr>
          <w:rFonts w:hint="eastAsia" w:ascii="宋体" w:hAnsi="宋体" w:cs="宋体"/>
          <w:color w:val="auto"/>
          <w:sz w:val="24"/>
          <w:highlight w:val="none"/>
        </w:rPr>
        <w:t>保管，揭晓评标结果前，任何人不得开启保密信封。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投标文件</w:t>
      </w:r>
      <w:r>
        <w:rPr>
          <w:rFonts w:hint="eastAsia"/>
          <w:color w:val="auto"/>
          <w:sz w:val="24"/>
          <w:highlight w:val="none"/>
        </w:rPr>
        <w:t>（商务、技术）</w:t>
      </w:r>
      <w:r>
        <w:rPr>
          <w:rFonts w:hint="eastAsia" w:ascii="宋体" w:hAnsi="宋体" w:cs="宋体"/>
          <w:color w:val="auto"/>
          <w:sz w:val="24"/>
          <w:highlight w:val="none"/>
        </w:rPr>
        <w:t>一式五份（</w:t>
      </w:r>
      <w:r>
        <w:rPr>
          <w:rFonts w:hint="eastAsia" w:cs="宋体"/>
          <w:color w:val="auto"/>
          <w:sz w:val="24"/>
          <w:highlight w:val="none"/>
        </w:rPr>
        <w:t>电子文件</w:t>
      </w:r>
      <w:r>
        <w:rPr>
          <w:rFonts w:hint="eastAsia" w:ascii="宋体" w:hAnsi="宋体" w:cs="宋体"/>
          <w:color w:val="auto"/>
          <w:sz w:val="24"/>
          <w:highlight w:val="none"/>
        </w:rPr>
        <w:t>U盘各一份、保密信封一份），其中正本一份、副本四份，当正副本不一致时，以正本为准。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签字或盖章要求：在招标文件中已明示需盖章及签名之处，均须按格式要求加盖投标人公章并由投标人的法定代表人或其委托代理人签字或盖章。投标文件（商务）须加盖骑缝章。投标文件的副本可用正本复印，正本和副本如有不一致之处，以正本为准。</w:t>
      </w:r>
    </w:p>
    <w:p>
      <w:pPr>
        <w:spacing w:line="360" w:lineRule="auto"/>
        <w:ind w:firstLine="482" w:firstLineChars="200"/>
        <w:outlineLvl w:val="1"/>
        <w:rPr>
          <w:rStyle w:val="27"/>
          <w:rFonts w:ascii="宋体" w:hAnsi="宋体" w:cs="宋体"/>
          <w:b/>
          <w:bCs/>
          <w:color w:val="auto"/>
          <w:sz w:val="24"/>
          <w:szCs w:val="22"/>
          <w:highlight w:val="none"/>
        </w:rPr>
      </w:pPr>
      <w:bookmarkStart w:id="62" w:name="_Toc27923"/>
      <w:bookmarkStart w:id="63" w:name="_Toc9454"/>
      <w:r>
        <w:rPr>
          <w:rStyle w:val="27"/>
          <w:rFonts w:hint="eastAsia" w:ascii="宋体" w:hAnsi="宋体" w:cs="宋体"/>
          <w:b/>
          <w:bCs/>
          <w:color w:val="auto"/>
          <w:sz w:val="24"/>
          <w:szCs w:val="22"/>
          <w:highlight w:val="none"/>
        </w:rPr>
        <w:t>2.</w:t>
      </w:r>
      <w:r>
        <w:rPr>
          <w:rStyle w:val="27"/>
          <w:rFonts w:hint="eastAsia" w:ascii="宋体" w:hAnsi="宋体" w:cs="宋体"/>
          <w:b/>
          <w:bCs/>
          <w:color w:val="auto"/>
          <w:sz w:val="24"/>
          <w:szCs w:val="22"/>
          <w:highlight w:val="none"/>
          <w:lang w:val="en-US" w:eastAsia="zh-CN"/>
        </w:rPr>
        <w:t>8</w:t>
      </w:r>
      <w:r>
        <w:rPr>
          <w:rStyle w:val="27"/>
          <w:rFonts w:hint="eastAsia" w:ascii="宋体" w:hAnsi="宋体" w:cs="宋体"/>
          <w:b/>
          <w:bCs/>
          <w:color w:val="auto"/>
          <w:sz w:val="24"/>
          <w:szCs w:val="22"/>
          <w:highlight w:val="none"/>
        </w:rPr>
        <w:t>投标报价</w:t>
      </w:r>
      <w:bookmarkEnd w:id="62"/>
      <w:bookmarkEnd w:id="63"/>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 投标人应按“投标文件格式”的要求填写投标报价书。</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 招标人设有投标限价的，投标人的投标报价不得超出投标限价，投标限价或其计算方法在投标人须知前附表中载明。</w:t>
      </w:r>
    </w:p>
    <w:p>
      <w:pPr>
        <w:spacing w:line="360" w:lineRule="auto"/>
        <w:ind w:firstLine="482" w:firstLineChars="200"/>
        <w:outlineLvl w:val="1"/>
        <w:rPr>
          <w:rStyle w:val="27"/>
          <w:rFonts w:ascii="宋体" w:hAnsi="宋体" w:cs="宋体"/>
          <w:b/>
          <w:bCs/>
          <w:color w:val="auto"/>
          <w:sz w:val="24"/>
          <w:szCs w:val="22"/>
          <w:highlight w:val="none"/>
        </w:rPr>
      </w:pPr>
      <w:bookmarkStart w:id="64" w:name="_Toc13748"/>
      <w:bookmarkStart w:id="65" w:name="_Toc25646"/>
      <w:r>
        <w:rPr>
          <w:rStyle w:val="27"/>
          <w:rFonts w:hint="eastAsia" w:ascii="宋体" w:hAnsi="宋体" w:cs="宋体"/>
          <w:b/>
          <w:bCs/>
          <w:color w:val="auto"/>
          <w:sz w:val="24"/>
          <w:szCs w:val="22"/>
          <w:highlight w:val="none"/>
        </w:rPr>
        <w:t>2.</w:t>
      </w:r>
      <w:r>
        <w:rPr>
          <w:rStyle w:val="27"/>
          <w:rFonts w:hint="eastAsia" w:ascii="宋体" w:hAnsi="宋体" w:cs="宋体"/>
          <w:b/>
          <w:bCs/>
          <w:color w:val="auto"/>
          <w:sz w:val="24"/>
          <w:szCs w:val="22"/>
          <w:highlight w:val="none"/>
          <w:lang w:val="en-US" w:eastAsia="zh-CN"/>
        </w:rPr>
        <w:t>9</w:t>
      </w:r>
      <w:r>
        <w:rPr>
          <w:rStyle w:val="27"/>
          <w:rFonts w:hint="eastAsia" w:ascii="宋体" w:hAnsi="宋体" w:cs="宋体"/>
          <w:b/>
          <w:bCs/>
          <w:color w:val="auto"/>
          <w:sz w:val="24"/>
          <w:szCs w:val="22"/>
          <w:highlight w:val="none"/>
        </w:rPr>
        <w:t xml:space="preserve"> 投标有效期</w:t>
      </w:r>
      <w:bookmarkEnd w:id="64"/>
      <w:bookmarkEnd w:id="65"/>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（1）除投标人须知前附表另有规定外，投标有效期为</w:t>
      </w:r>
      <w:r>
        <w:rPr>
          <w:rFonts w:hint="eastAsia" w:ascii="宋体" w:hAnsi="宋体" w:cs="宋体"/>
          <w:color w:val="auto"/>
          <w:sz w:val="24"/>
          <w:highlight w:val="none"/>
          <w:u w:val="single"/>
        </w:rPr>
        <w:t>90</w:t>
      </w:r>
      <w:r>
        <w:rPr>
          <w:rFonts w:hint="eastAsia" w:ascii="宋体" w:hAnsi="宋体" w:cs="宋体"/>
          <w:color w:val="auto"/>
          <w:sz w:val="24"/>
          <w:highlight w:val="none"/>
        </w:rPr>
        <w:t>天。</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（2）在投标有效期内，投标人撤销或修改其投标文件的，应承担招标文件和法律规定的责任。</w:t>
      </w:r>
    </w:p>
    <w:p>
      <w:pPr>
        <w:snapToGrid w:val="0"/>
        <w:spacing w:line="360" w:lineRule="auto"/>
        <w:ind w:firstLine="480" w:firstLineChars="200"/>
        <w:rPr>
          <w:color w:val="auto"/>
          <w:highlight w:val="none"/>
        </w:rPr>
      </w:pPr>
      <w:r>
        <w:rPr>
          <w:rFonts w:hint="eastAsia" w:ascii="宋体" w:hAnsi="宋体" w:cs="宋体"/>
          <w:color w:val="auto"/>
          <w:sz w:val="24"/>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firstLineChars="200"/>
        <w:outlineLvl w:val="1"/>
        <w:rPr>
          <w:rStyle w:val="27"/>
          <w:rFonts w:ascii="宋体" w:hAnsi="宋体" w:cs="宋体"/>
          <w:b/>
          <w:bCs/>
          <w:color w:val="auto"/>
          <w:sz w:val="24"/>
          <w:szCs w:val="22"/>
          <w:highlight w:val="none"/>
        </w:rPr>
      </w:pPr>
      <w:bookmarkStart w:id="66" w:name="_Toc32110"/>
      <w:bookmarkStart w:id="67" w:name="_Toc32148"/>
      <w:r>
        <w:rPr>
          <w:rStyle w:val="27"/>
          <w:rFonts w:hint="eastAsia" w:ascii="宋体" w:hAnsi="宋体" w:cs="宋体"/>
          <w:b/>
          <w:bCs/>
          <w:color w:val="auto"/>
          <w:sz w:val="24"/>
          <w:szCs w:val="22"/>
          <w:highlight w:val="none"/>
        </w:rPr>
        <w:t>2.1</w:t>
      </w:r>
      <w:r>
        <w:rPr>
          <w:rStyle w:val="27"/>
          <w:rFonts w:hint="eastAsia" w:ascii="宋体" w:hAnsi="宋体" w:cs="宋体"/>
          <w:b/>
          <w:bCs/>
          <w:color w:val="auto"/>
          <w:sz w:val="24"/>
          <w:szCs w:val="22"/>
          <w:highlight w:val="none"/>
          <w:lang w:val="en-US" w:eastAsia="zh-CN"/>
        </w:rPr>
        <w:t>0</w:t>
      </w:r>
      <w:r>
        <w:rPr>
          <w:rStyle w:val="27"/>
          <w:rFonts w:hint="eastAsia" w:ascii="宋体" w:hAnsi="宋体" w:cs="宋体"/>
          <w:b/>
          <w:bCs/>
          <w:color w:val="auto"/>
          <w:sz w:val="24"/>
          <w:szCs w:val="22"/>
          <w:highlight w:val="none"/>
        </w:rPr>
        <w:t xml:space="preserve"> 开标、投标时间和地点</w:t>
      </w:r>
      <w:bookmarkEnd w:id="66"/>
      <w:bookmarkEnd w:id="67"/>
    </w:p>
    <w:p>
      <w:pPr>
        <w:spacing w:line="360" w:lineRule="auto"/>
        <w:ind w:firstLine="480" w:firstLineChars="200"/>
        <w:jc w:val="left"/>
        <w:rPr>
          <w:rStyle w:val="27"/>
          <w:rFonts w:ascii="宋体" w:hAnsi="宋体"/>
          <w:color w:val="auto"/>
          <w:sz w:val="24"/>
          <w:highlight w:val="none"/>
        </w:rPr>
      </w:pPr>
      <w:r>
        <w:rPr>
          <w:rStyle w:val="27"/>
          <w:rFonts w:hint="eastAsia" w:ascii="宋体" w:hAnsi="宋体"/>
          <w:color w:val="auto"/>
          <w:sz w:val="24"/>
          <w:highlight w:val="none"/>
        </w:rPr>
        <w:t>2.1</w:t>
      </w:r>
      <w:r>
        <w:rPr>
          <w:rStyle w:val="27"/>
          <w:rFonts w:hint="eastAsia" w:ascii="宋体" w:hAnsi="宋体"/>
          <w:color w:val="auto"/>
          <w:sz w:val="24"/>
          <w:highlight w:val="none"/>
          <w:lang w:val="en-US" w:eastAsia="zh-CN"/>
        </w:rPr>
        <w:t>0</w:t>
      </w:r>
      <w:r>
        <w:rPr>
          <w:rStyle w:val="27"/>
          <w:rFonts w:ascii="宋体" w:hAnsi="宋体"/>
          <w:color w:val="auto"/>
          <w:sz w:val="24"/>
          <w:highlight w:val="none"/>
        </w:rPr>
        <w:t>.1投标截止时间与开标时间一致：</w:t>
      </w:r>
      <w:r>
        <w:rPr>
          <w:rStyle w:val="27"/>
          <w:rFonts w:hint="eastAsia" w:ascii="宋体" w:hAnsi="宋体"/>
          <w:color w:val="auto"/>
          <w:sz w:val="24"/>
          <w:highlight w:val="none"/>
          <w:u w:val="single"/>
        </w:rPr>
        <w:t>详见招标公告</w:t>
      </w:r>
      <w:r>
        <w:rPr>
          <w:rStyle w:val="27"/>
          <w:rFonts w:ascii="宋体" w:hAnsi="宋体"/>
          <w:color w:val="auto"/>
          <w:sz w:val="24"/>
          <w:highlight w:val="none"/>
        </w:rPr>
        <w:t>。</w:t>
      </w:r>
    </w:p>
    <w:p>
      <w:pPr>
        <w:spacing w:line="360" w:lineRule="auto"/>
        <w:ind w:firstLine="480" w:firstLineChars="200"/>
        <w:rPr>
          <w:rStyle w:val="27"/>
          <w:rFonts w:ascii="宋体" w:hAnsi="宋体"/>
          <w:color w:val="auto"/>
          <w:sz w:val="24"/>
          <w:highlight w:val="none"/>
        </w:rPr>
      </w:pPr>
      <w:r>
        <w:rPr>
          <w:rStyle w:val="27"/>
          <w:rFonts w:hint="eastAsia" w:ascii="宋体" w:hAnsi="宋体"/>
          <w:color w:val="auto"/>
          <w:sz w:val="24"/>
          <w:highlight w:val="none"/>
        </w:rPr>
        <w:t>2.1</w:t>
      </w:r>
      <w:r>
        <w:rPr>
          <w:rStyle w:val="27"/>
          <w:rFonts w:hint="eastAsia" w:ascii="宋体" w:hAnsi="宋体"/>
          <w:color w:val="auto"/>
          <w:sz w:val="24"/>
          <w:highlight w:val="none"/>
          <w:lang w:val="en-US" w:eastAsia="zh-CN"/>
        </w:rPr>
        <w:t>0</w:t>
      </w:r>
      <w:r>
        <w:rPr>
          <w:rStyle w:val="27"/>
          <w:rFonts w:ascii="宋体" w:hAnsi="宋体"/>
          <w:color w:val="auto"/>
          <w:sz w:val="24"/>
          <w:highlight w:val="none"/>
        </w:rPr>
        <w:t>.2</w:t>
      </w:r>
      <w:r>
        <w:rPr>
          <w:rStyle w:val="27"/>
          <w:rFonts w:ascii="宋体" w:hAnsi="宋体"/>
          <w:color w:val="auto"/>
          <w:sz w:val="24"/>
          <w:highlight w:val="none"/>
          <w:u w:val="single"/>
        </w:rPr>
        <w:t>具体投标截止时间和地点以广州公共资源交易中心网站发布的为准</w:t>
      </w:r>
      <w:r>
        <w:rPr>
          <w:rStyle w:val="27"/>
          <w:rFonts w:ascii="宋体" w:hAnsi="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.3开标程序</w:t>
      </w:r>
    </w:p>
    <w:p>
      <w:pPr>
        <w:snapToGrid w:val="0"/>
        <w:spacing w:line="360" w:lineRule="auto"/>
        <w:ind w:firstLine="480" w:firstLineChars="200"/>
        <w:rPr>
          <w:rFonts w:ascii="宋体" w:hAnsi="宋体" w:cs="宋体"/>
          <w:color w:val="auto"/>
          <w:sz w:val="24"/>
          <w:highlight w:val="none"/>
        </w:rPr>
      </w:pPr>
      <w:r>
        <w:rPr>
          <w:rStyle w:val="27"/>
          <w:rFonts w:ascii="宋体" w:hAnsi="宋体"/>
          <w:color w:val="auto"/>
          <w:sz w:val="24"/>
          <w:highlight w:val="none"/>
        </w:rPr>
        <w:t>按投标人须知前表</w:t>
      </w:r>
      <w:r>
        <w:rPr>
          <w:rStyle w:val="27"/>
          <w:rFonts w:hint="eastAsia" w:ascii="宋体" w:hAnsi="宋体"/>
          <w:color w:val="auto"/>
          <w:sz w:val="24"/>
          <w:highlight w:val="none"/>
        </w:rPr>
        <w:t>的内容进行。</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.4开标异议</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投标人对开标有异议的，应当在开标现场提出，招标人当场作出答复，并制作记录。对无正当理由、无视秩序纪律取闹者，视为弃权处理，招标人保留追究其违约责任。</w:t>
      </w:r>
    </w:p>
    <w:p>
      <w:pPr>
        <w:keepNext w:val="0"/>
        <w:keepLines w:val="0"/>
        <w:pageBreakBefore w:val="0"/>
        <w:widowControl/>
        <w:kinsoku/>
        <w:wordWrap/>
        <w:overflowPunct/>
        <w:topLinePunct w:val="0"/>
        <w:autoSpaceDE/>
        <w:autoSpaceDN/>
        <w:bidi w:val="0"/>
        <w:adjustRightInd/>
        <w:spacing w:line="360" w:lineRule="auto"/>
        <w:ind w:firstLine="482" w:firstLineChars="200"/>
        <w:outlineLvl w:val="1"/>
        <w:rPr>
          <w:rStyle w:val="27"/>
          <w:rFonts w:ascii="宋体" w:hAnsi="宋体" w:cs="宋体"/>
          <w:b/>
          <w:bCs/>
          <w:color w:val="auto"/>
          <w:sz w:val="24"/>
          <w:szCs w:val="22"/>
          <w:highlight w:val="none"/>
        </w:rPr>
      </w:pPr>
      <w:bookmarkStart w:id="68" w:name="_Toc27917"/>
      <w:r>
        <w:rPr>
          <w:rStyle w:val="27"/>
          <w:rFonts w:hint="eastAsia" w:ascii="宋体" w:hAnsi="宋体" w:cs="宋体"/>
          <w:b/>
          <w:bCs/>
          <w:color w:val="auto"/>
          <w:sz w:val="24"/>
          <w:szCs w:val="22"/>
          <w:highlight w:val="none"/>
        </w:rPr>
        <w:t>2.1</w:t>
      </w:r>
      <w:r>
        <w:rPr>
          <w:rStyle w:val="27"/>
          <w:rFonts w:hint="eastAsia" w:ascii="宋体" w:hAnsi="宋体" w:cs="宋体"/>
          <w:b/>
          <w:bCs/>
          <w:color w:val="auto"/>
          <w:sz w:val="24"/>
          <w:szCs w:val="22"/>
          <w:highlight w:val="none"/>
          <w:lang w:val="en-US" w:eastAsia="zh-CN"/>
        </w:rPr>
        <w:t>1</w:t>
      </w:r>
      <w:r>
        <w:rPr>
          <w:rStyle w:val="27"/>
          <w:rFonts w:hint="eastAsia" w:ascii="宋体" w:hAnsi="宋体" w:cs="宋体"/>
          <w:b/>
          <w:bCs/>
          <w:color w:val="auto"/>
          <w:sz w:val="24"/>
          <w:szCs w:val="22"/>
          <w:highlight w:val="none"/>
        </w:rPr>
        <w:t>投标保证金</w:t>
      </w:r>
      <w:bookmarkEnd w:id="59"/>
      <w:bookmarkEnd w:id="68"/>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Style w:val="27"/>
          <w:rFonts w:ascii="宋体" w:hAnsi="宋体"/>
          <w:color w:val="auto"/>
          <w:sz w:val="24"/>
          <w:highlight w:val="none"/>
        </w:rPr>
      </w:pPr>
      <w:r>
        <w:rPr>
          <w:rStyle w:val="27"/>
          <w:rFonts w:hint="eastAsia" w:ascii="宋体" w:hAnsi="宋体"/>
          <w:color w:val="auto"/>
          <w:sz w:val="24"/>
          <w:highlight w:val="none"/>
        </w:rPr>
        <w:t>2.1</w:t>
      </w:r>
      <w:r>
        <w:rPr>
          <w:rStyle w:val="27"/>
          <w:rFonts w:hint="eastAsia" w:ascii="宋体" w:hAnsi="宋体"/>
          <w:color w:val="auto"/>
          <w:sz w:val="24"/>
          <w:highlight w:val="none"/>
          <w:lang w:val="en-US" w:eastAsia="zh-CN"/>
        </w:rPr>
        <w:t>1</w:t>
      </w:r>
      <w:r>
        <w:rPr>
          <w:rStyle w:val="27"/>
          <w:rFonts w:ascii="宋体" w:hAnsi="宋体"/>
          <w:color w:val="auto"/>
          <w:sz w:val="24"/>
          <w:highlight w:val="none"/>
        </w:rPr>
        <w:t>.1 投标人在递交投标文件的同时，应按投标人须知前附表规定的金额、担保形式和</w:t>
      </w:r>
      <w:r>
        <w:rPr>
          <w:rStyle w:val="27"/>
          <w:rFonts w:hint="eastAsia" w:ascii="宋体" w:hAnsi="宋体"/>
          <w:color w:val="auto"/>
          <w:sz w:val="24"/>
          <w:highlight w:val="none"/>
        </w:rPr>
        <w:t>第五</w:t>
      </w:r>
      <w:r>
        <w:rPr>
          <w:rStyle w:val="27"/>
          <w:rFonts w:ascii="宋体" w:hAnsi="宋体"/>
          <w:color w:val="auto"/>
          <w:sz w:val="24"/>
          <w:highlight w:val="none"/>
        </w:rPr>
        <w:t>章“投标文件格式”规定的投标保证金格式递交投标保证金，并作为其投标文件的组成部分。联合体投标的，其投标保证金由</w:t>
      </w:r>
      <w:r>
        <w:rPr>
          <w:rStyle w:val="27"/>
          <w:rFonts w:hint="eastAsia" w:ascii="宋体" w:hAnsi="宋体"/>
          <w:color w:val="auto"/>
          <w:sz w:val="24"/>
          <w:highlight w:val="none"/>
          <w:lang w:val="en-US" w:eastAsia="zh-CN"/>
        </w:rPr>
        <w:t>主办方</w:t>
      </w:r>
      <w:r>
        <w:rPr>
          <w:rStyle w:val="27"/>
          <w:rFonts w:ascii="宋体" w:hAnsi="宋体"/>
          <w:color w:val="auto"/>
          <w:sz w:val="24"/>
          <w:highlight w:val="none"/>
        </w:rPr>
        <w:t>递交，并应符合投标人须知前附表的规定。</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.2投标人不按要求提交投标保证金的，评标委员会将否决其投标。</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Style w:val="27"/>
          <w:rFonts w:ascii="宋体" w:hAnsi="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w:t>
      </w:r>
      <w:r>
        <w:rPr>
          <w:rStyle w:val="27"/>
          <w:rFonts w:ascii="宋体" w:hAnsi="宋体"/>
          <w:color w:val="auto"/>
          <w:sz w:val="24"/>
          <w:highlight w:val="none"/>
        </w:rPr>
        <w:t>未中标投标人的投标保证金将在发出中标通知书后5个工作日内返还；中标人的投标保证金，在按要求提供</w:t>
      </w:r>
      <w:r>
        <w:rPr>
          <w:rStyle w:val="27"/>
          <w:rFonts w:hint="eastAsia" w:ascii="宋体" w:hAnsi="宋体"/>
          <w:color w:val="auto"/>
          <w:sz w:val="24"/>
          <w:highlight w:val="none"/>
        </w:rPr>
        <w:t>履约</w:t>
      </w:r>
      <w:r>
        <w:rPr>
          <w:rStyle w:val="27"/>
          <w:rFonts w:ascii="宋体" w:hAnsi="宋体"/>
          <w:color w:val="auto"/>
          <w:sz w:val="24"/>
          <w:highlight w:val="none"/>
        </w:rPr>
        <w:t>保证金并签署编制合同后5个工作日内予以退还。</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.4 如投标人出现下列情况之一的，其投标保证金不予退还：</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①</w:t>
      </w:r>
      <w:r>
        <w:rPr>
          <w:rStyle w:val="27"/>
          <w:rFonts w:ascii="宋体" w:hAnsi="宋体"/>
          <w:color w:val="auto"/>
          <w:sz w:val="24"/>
          <w:highlight w:val="none"/>
        </w:rPr>
        <w:t>投标人在规定的投标有效期内撤销或修改其投标文件；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②投标人在投标过程中有违反招标投标法律法规行为的；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③中标人放弃中标资格；</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④中标人未能在规定期限内按招标文件要求签署合同。</w:t>
      </w:r>
    </w:p>
    <w:p>
      <w:pPr>
        <w:spacing w:line="360" w:lineRule="auto"/>
        <w:ind w:firstLine="482" w:firstLineChars="200"/>
        <w:outlineLvl w:val="1"/>
        <w:rPr>
          <w:rStyle w:val="27"/>
          <w:rFonts w:ascii="宋体" w:hAnsi="宋体" w:cs="宋体"/>
          <w:b/>
          <w:bCs/>
          <w:color w:val="auto"/>
          <w:sz w:val="24"/>
          <w:szCs w:val="22"/>
          <w:highlight w:val="none"/>
        </w:rPr>
      </w:pPr>
      <w:bookmarkStart w:id="69" w:name="_Toc26690"/>
      <w:bookmarkStart w:id="70" w:name="_Toc4598"/>
      <w:r>
        <w:rPr>
          <w:rStyle w:val="27"/>
          <w:rFonts w:hint="eastAsia" w:ascii="宋体" w:hAnsi="宋体" w:cs="宋体"/>
          <w:b/>
          <w:bCs/>
          <w:color w:val="auto"/>
          <w:sz w:val="24"/>
          <w:szCs w:val="22"/>
          <w:highlight w:val="none"/>
        </w:rPr>
        <w:t>2.1</w:t>
      </w:r>
      <w:bookmarkEnd w:id="69"/>
      <w:bookmarkEnd w:id="70"/>
      <w:r>
        <w:rPr>
          <w:rStyle w:val="27"/>
          <w:rFonts w:hint="eastAsia" w:ascii="宋体" w:hAnsi="宋体" w:cs="宋体"/>
          <w:b/>
          <w:bCs/>
          <w:color w:val="auto"/>
          <w:sz w:val="24"/>
          <w:szCs w:val="22"/>
          <w:highlight w:val="none"/>
          <w:lang w:val="en-US" w:eastAsia="zh-CN"/>
        </w:rPr>
        <w:t>2</w:t>
      </w:r>
      <w:r>
        <w:rPr>
          <w:rFonts w:hint="eastAsia" w:ascii="宋体" w:hAnsi="宋体"/>
          <w:b/>
          <w:color w:val="auto"/>
          <w:sz w:val="24"/>
          <w:highlight w:val="none"/>
        </w:rPr>
        <w:t>有下列情况之一者由招标代理机构当场宣布投标文件无效，不进入评标程序</w:t>
      </w:r>
      <w:r>
        <w:rPr>
          <w:rFonts w:hint="eastAsia" w:ascii="宋体" w:hAnsi="宋体"/>
          <w:b/>
          <w:bCs/>
          <w:color w:val="auto"/>
          <w:sz w:val="24"/>
          <w:highlight w:val="none"/>
        </w:rPr>
        <w:t>：</w:t>
      </w:r>
    </w:p>
    <w:p>
      <w:pPr>
        <w:pStyle w:val="47"/>
        <w:spacing w:line="360" w:lineRule="auto"/>
        <w:ind w:firstLine="480" w:firstLineChars="200"/>
        <w:rPr>
          <w:rStyle w:val="27"/>
          <w:rFonts w:hAnsi="宋体"/>
          <w:color w:val="auto"/>
          <w:sz w:val="24"/>
          <w:szCs w:val="24"/>
          <w:highlight w:val="none"/>
        </w:rPr>
      </w:pPr>
      <w:r>
        <w:rPr>
          <w:rStyle w:val="27"/>
          <w:rFonts w:hAnsi="宋体"/>
          <w:color w:val="auto"/>
          <w:sz w:val="24"/>
          <w:szCs w:val="24"/>
          <w:highlight w:val="none"/>
        </w:rPr>
        <w:t>（1）</w:t>
      </w:r>
      <w:r>
        <w:rPr>
          <w:rFonts w:hint="eastAsia" w:ascii="宋体" w:hAnsi="宋体"/>
          <w:color w:val="auto"/>
          <w:sz w:val="24"/>
          <w:highlight w:val="none"/>
        </w:rPr>
        <w:t>逾期送达的；</w:t>
      </w:r>
    </w:p>
    <w:p>
      <w:pPr>
        <w:pStyle w:val="47"/>
        <w:spacing w:line="360" w:lineRule="auto"/>
        <w:ind w:firstLine="480" w:firstLineChars="200"/>
        <w:rPr>
          <w:rStyle w:val="27"/>
          <w:rFonts w:hAnsi="宋体"/>
          <w:color w:val="auto"/>
          <w:sz w:val="24"/>
          <w:szCs w:val="24"/>
          <w:highlight w:val="none"/>
        </w:rPr>
      </w:pPr>
      <w:r>
        <w:rPr>
          <w:rStyle w:val="27"/>
          <w:rFonts w:hAnsi="宋体"/>
          <w:color w:val="auto"/>
          <w:sz w:val="24"/>
          <w:szCs w:val="24"/>
          <w:highlight w:val="none"/>
        </w:rPr>
        <w:t>（2）</w:t>
      </w:r>
      <w:r>
        <w:rPr>
          <w:rStyle w:val="27"/>
          <w:rFonts w:hint="eastAsia" w:hAnsi="宋体"/>
          <w:color w:val="auto"/>
          <w:sz w:val="24"/>
          <w:szCs w:val="24"/>
          <w:highlight w:val="none"/>
          <w:lang w:val="en-US" w:eastAsia="zh-CN"/>
        </w:rPr>
        <w:t>投标文件</w:t>
      </w:r>
      <w:r>
        <w:rPr>
          <w:rFonts w:hint="eastAsia" w:ascii="宋体" w:hAnsi="宋体"/>
          <w:color w:val="auto"/>
          <w:sz w:val="24"/>
          <w:highlight w:val="none"/>
        </w:rPr>
        <w:t>未密封，或者密封要求不符合招标文件要求</w:t>
      </w:r>
      <w:r>
        <w:rPr>
          <w:rStyle w:val="27"/>
          <w:rFonts w:hAnsi="宋体"/>
          <w:color w:val="auto"/>
          <w:sz w:val="24"/>
          <w:szCs w:val="24"/>
          <w:highlight w:val="none"/>
        </w:rPr>
        <w:t>；</w:t>
      </w:r>
    </w:p>
    <w:p>
      <w:pPr>
        <w:pStyle w:val="47"/>
        <w:spacing w:line="360" w:lineRule="auto"/>
        <w:ind w:firstLine="480" w:firstLineChars="200"/>
        <w:rPr>
          <w:rStyle w:val="27"/>
          <w:rFonts w:hint="eastAsia" w:hAnsi="宋体" w:eastAsia="宋体"/>
          <w:color w:val="auto"/>
          <w:sz w:val="24"/>
          <w:szCs w:val="24"/>
          <w:highlight w:val="none"/>
          <w:lang w:eastAsia="zh-CN"/>
        </w:rPr>
      </w:pPr>
      <w:r>
        <w:rPr>
          <w:rStyle w:val="27"/>
          <w:rFonts w:hAnsi="宋体"/>
          <w:color w:val="auto"/>
          <w:sz w:val="24"/>
          <w:szCs w:val="24"/>
          <w:highlight w:val="none"/>
        </w:rPr>
        <w:t>（3）与本招标项目的其他投标人为同一个单位负责人</w:t>
      </w:r>
      <w:r>
        <w:rPr>
          <w:rStyle w:val="27"/>
          <w:rFonts w:hint="eastAsia" w:hAnsi="宋体"/>
          <w:color w:val="auto"/>
          <w:sz w:val="24"/>
          <w:szCs w:val="24"/>
          <w:highlight w:val="none"/>
          <w:lang w:eastAsia="zh-CN"/>
        </w:rPr>
        <w:t>。</w:t>
      </w:r>
    </w:p>
    <w:p>
      <w:pPr>
        <w:spacing w:line="360" w:lineRule="auto"/>
        <w:ind w:firstLine="482" w:firstLineChars="200"/>
        <w:outlineLvl w:val="1"/>
        <w:rPr>
          <w:rStyle w:val="27"/>
          <w:rFonts w:ascii="宋体" w:hAnsi="宋体"/>
          <w:b/>
          <w:color w:val="auto"/>
          <w:sz w:val="24"/>
          <w:szCs w:val="22"/>
          <w:highlight w:val="none"/>
        </w:rPr>
      </w:pPr>
      <w:bookmarkStart w:id="71" w:name="_Toc12097"/>
      <w:bookmarkStart w:id="72" w:name="_Toc31991"/>
      <w:r>
        <w:rPr>
          <w:rStyle w:val="27"/>
          <w:rFonts w:hint="eastAsia" w:ascii="宋体" w:hAnsi="宋体"/>
          <w:b/>
          <w:color w:val="auto"/>
          <w:sz w:val="24"/>
          <w:szCs w:val="22"/>
          <w:highlight w:val="none"/>
        </w:rPr>
        <w:t>2.1</w:t>
      </w:r>
      <w:r>
        <w:rPr>
          <w:rStyle w:val="27"/>
          <w:rFonts w:hint="eastAsia" w:ascii="宋体" w:hAnsi="宋体"/>
          <w:b/>
          <w:color w:val="auto"/>
          <w:sz w:val="24"/>
          <w:szCs w:val="22"/>
          <w:highlight w:val="none"/>
          <w:lang w:val="en-US" w:eastAsia="zh-CN"/>
        </w:rPr>
        <w:t>3</w:t>
      </w:r>
      <w:r>
        <w:rPr>
          <w:rStyle w:val="27"/>
          <w:rFonts w:ascii="宋体" w:hAnsi="宋体"/>
          <w:b/>
          <w:color w:val="auto"/>
          <w:sz w:val="24"/>
          <w:szCs w:val="22"/>
          <w:highlight w:val="none"/>
        </w:rPr>
        <w:t>履约保证金</w:t>
      </w:r>
      <w:bookmarkEnd w:id="71"/>
      <w:bookmarkEnd w:id="72"/>
    </w:p>
    <w:p>
      <w:pPr>
        <w:pStyle w:val="67"/>
        <w:spacing w:line="500" w:lineRule="exact"/>
        <w:ind w:firstLine="480" w:firstLineChars="200"/>
        <w:rPr>
          <w:rStyle w:val="45"/>
          <w:rFonts w:asciiTheme="minorEastAsia" w:hAnsiTheme="minorEastAsia" w:eastAsiaTheme="minorEastAsia" w:cstheme="minorEastAsia"/>
          <w:color w:val="auto"/>
          <w:sz w:val="24"/>
          <w:highlight w:val="none"/>
        </w:rPr>
      </w:pPr>
      <w:r>
        <w:rPr>
          <w:rStyle w:val="45"/>
          <w:rFonts w:hint="eastAsia" w:asciiTheme="minorEastAsia" w:hAnsiTheme="minorEastAsia" w:eastAsiaTheme="minorEastAsia" w:cstheme="minorEastAsia"/>
          <w:color w:val="auto"/>
          <w:sz w:val="24"/>
          <w:highlight w:val="none"/>
        </w:rPr>
        <w:t>为了保证项目服务的顺利进行，招标人保证按合同规定拔付工程进度款同时投标人必须提供合同金额</w:t>
      </w:r>
      <w:r>
        <w:rPr>
          <w:rStyle w:val="45"/>
          <w:rFonts w:hint="eastAsia" w:asciiTheme="minorEastAsia" w:hAnsiTheme="minorEastAsia" w:eastAsiaTheme="minorEastAsia" w:cstheme="minorEastAsia"/>
          <w:color w:val="auto"/>
          <w:sz w:val="24"/>
          <w:highlight w:val="none"/>
          <w:u w:val="single"/>
        </w:rPr>
        <w:t xml:space="preserve"> 3 %</w:t>
      </w:r>
      <w:r>
        <w:rPr>
          <w:rStyle w:val="45"/>
          <w:rFonts w:hint="eastAsia" w:asciiTheme="minorEastAsia" w:hAnsiTheme="minorEastAsia" w:eastAsiaTheme="minorEastAsia" w:cstheme="minorEastAsia"/>
          <w:color w:val="auto"/>
          <w:sz w:val="24"/>
          <w:highlight w:val="none"/>
        </w:rPr>
        <w:t>的履约保证金（现金或保函担保）。中标人在接到招标人发出的中标通知书后30天内将履约保证金转入招标人指定的银行</w:t>
      </w:r>
      <w:r>
        <w:rPr>
          <w:rStyle w:val="45"/>
          <w:rFonts w:hint="eastAsia" w:asciiTheme="minorEastAsia" w:hAnsiTheme="minorEastAsia" w:eastAsiaTheme="minorEastAsia" w:cstheme="minorEastAsia"/>
          <w:bCs/>
          <w:color w:val="auto"/>
          <w:sz w:val="24"/>
          <w:highlight w:val="none"/>
        </w:rPr>
        <w:t>账</w:t>
      </w:r>
      <w:r>
        <w:rPr>
          <w:rStyle w:val="45"/>
          <w:rFonts w:hint="eastAsia" w:asciiTheme="minorEastAsia" w:hAnsiTheme="minorEastAsia" w:eastAsiaTheme="minorEastAsia" w:cstheme="minorEastAsia"/>
          <w:color w:val="auto"/>
          <w:sz w:val="24"/>
          <w:highlight w:val="none"/>
        </w:rPr>
        <w:t>户，并凭银行出具的资金转入有效证明和招标人确认该款项到帐后到招标人财务处领取履约保证金收款收据或向招标人提供担保函。若中标人未能在上述规定时间内将该履约保证金转到招标人指定帐户并向招标人提交银行出具的资金转入有效证明或保函时，招标人即取消该中标人的中标资格，没收其投标保证金，并确认排名第二的中标候选人为中标人。</w:t>
      </w:r>
    </w:p>
    <w:p>
      <w:pPr>
        <w:pStyle w:val="67"/>
        <w:spacing w:line="500" w:lineRule="exact"/>
        <w:ind w:firstLine="480" w:firstLineChars="200"/>
        <w:rPr>
          <w:rStyle w:val="45"/>
          <w:rFonts w:ascii="宋体"/>
          <w:color w:val="auto"/>
          <w:sz w:val="24"/>
          <w:highlight w:val="none"/>
        </w:rPr>
      </w:pPr>
      <w:r>
        <w:rPr>
          <w:rStyle w:val="45"/>
          <w:rFonts w:ascii="宋体"/>
          <w:color w:val="auto"/>
          <w:sz w:val="24"/>
          <w:highlight w:val="none"/>
        </w:rPr>
        <w:t>中标人在合同履行过程中如有违约行为，招标人可视情况全部或部分没收其履约保证金，并按合同有关条款追究其违约责任。</w:t>
      </w:r>
    </w:p>
    <w:p>
      <w:pPr>
        <w:pStyle w:val="67"/>
        <w:spacing w:line="500" w:lineRule="exact"/>
        <w:ind w:firstLine="480" w:firstLineChars="200"/>
        <w:rPr>
          <w:rFonts w:asciiTheme="minorEastAsia" w:hAnsiTheme="minorEastAsia" w:eastAsiaTheme="minorEastAsia" w:cstheme="minorEastAsia"/>
          <w:color w:val="auto"/>
          <w:sz w:val="32"/>
          <w:szCs w:val="32"/>
          <w:highlight w:val="none"/>
        </w:rPr>
      </w:pPr>
      <w:r>
        <w:rPr>
          <w:rStyle w:val="45"/>
          <w:rFonts w:ascii="宋体"/>
          <w:color w:val="auto"/>
          <w:sz w:val="24"/>
          <w:highlight w:val="none"/>
        </w:rPr>
        <w:t>如中标人在合同履行过程中没有违约责任，发包人在本项目完成后由招标人无息退还中标人。</w:t>
      </w:r>
    </w:p>
    <w:p>
      <w:pPr>
        <w:spacing w:line="360" w:lineRule="auto"/>
        <w:ind w:firstLine="482" w:firstLineChars="200"/>
        <w:outlineLvl w:val="1"/>
        <w:rPr>
          <w:rStyle w:val="27"/>
          <w:rFonts w:ascii="宋体" w:hAnsi="宋体"/>
          <w:b/>
          <w:color w:val="auto"/>
          <w:sz w:val="24"/>
          <w:szCs w:val="22"/>
          <w:highlight w:val="none"/>
        </w:rPr>
      </w:pPr>
      <w:bookmarkStart w:id="73" w:name="_Toc16973"/>
      <w:bookmarkStart w:id="74" w:name="_Toc15672"/>
      <w:r>
        <w:rPr>
          <w:rStyle w:val="27"/>
          <w:rFonts w:hint="eastAsia" w:ascii="宋体" w:hAnsi="宋体"/>
          <w:b/>
          <w:color w:val="auto"/>
          <w:sz w:val="24"/>
          <w:szCs w:val="22"/>
          <w:highlight w:val="none"/>
        </w:rPr>
        <w:t>2.1</w:t>
      </w:r>
      <w:r>
        <w:rPr>
          <w:rStyle w:val="27"/>
          <w:rFonts w:hint="eastAsia" w:ascii="宋体" w:hAnsi="宋体"/>
          <w:b/>
          <w:color w:val="auto"/>
          <w:sz w:val="24"/>
          <w:szCs w:val="22"/>
          <w:highlight w:val="none"/>
          <w:lang w:val="en-US" w:eastAsia="zh-CN"/>
        </w:rPr>
        <w:t>4</w:t>
      </w:r>
      <w:r>
        <w:rPr>
          <w:rStyle w:val="27"/>
          <w:rFonts w:hint="eastAsia" w:ascii="宋体" w:hAnsi="宋体"/>
          <w:b/>
          <w:color w:val="auto"/>
          <w:sz w:val="24"/>
          <w:szCs w:val="22"/>
          <w:highlight w:val="none"/>
        </w:rPr>
        <w:t>其他</w:t>
      </w:r>
      <w:bookmarkEnd w:id="73"/>
      <w:bookmarkEnd w:id="74"/>
    </w:p>
    <w:p>
      <w:pPr>
        <w:pStyle w:val="67"/>
        <w:spacing w:line="500" w:lineRule="exact"/>
        <w:ind w:firstLine="480" w:firstLineChars="200"/>
        <w:rPr>
          <w:rStyle w:val="45"/>
          <w:rFonts w:ascii="宋体"/>
          <w:color w:val="auto"/>
          <w:sz w:val="24"/>
          <w:highlight w:val="none"/>
        </w:rPr>
      </w:pPr>
      <w:r>
        <w:rPr>
          <w:rStyle w:val="45"/>
          <w:rFonts w:hint="eastAsia" w:ascii="宋体"/>
          <w:color w:val="auto"/>
          <w:sz w:val="24"/>
          <w:highlight w:val="none"/>
        </w:rPr>
        <w:t xml:space="preserve"> 1、本项目中标服务费及开评标相关费用由中标人承担。本项目的中标服务费由中标人在领取《中标通知书》时向采购代理机构一次性交纳中标服务费及开评标相关费用，参照国家颁布的《招标代理服务收费管理暂行办法》（国家发展计划委员会计价格[2002]1980号）和《关于招标代理服务收费有关问题的通知》（发改办价格［2003］857号）和《国家发展改革委关于降低部分建设目收费标准规范收费行为等有关问题的通知》（发改价格[2011]534号）的规定和标准执行，收费金额按差额定率累进法计算。</w:t>
      </w:r>
    </w:p>
    <w:p>
      <w:pPr>
        <w:pStyle w:val="67"/>
        <w:spacing w:line="500" w:lineRule="exact"/>
        <w:ind w:firstLine="480" w:firstLineChars="200"/>
        <w:rPr>
          <w:rStyle w:val="45"/>
          <w:rFonts w:ascii="宋体"/>
          <w:color w:val="auto"/>
          <w:sz w:val="24"/>
          <w:highlight w:val="none"/>
        </w:rPr>
      </w:pPr>
      <w:r>
        <w:rPr>
          <w:rStyle w:val="45"/>
          <w:rFonts w:hint="eastAsia" w:ascii="宋体"/>
          <w:color w:val="auto"/>
          <w:sz w:val="24"/>
          <w:highlight w:val="none"/>
        </w:rPr>
        <w:t>具体收费标准按下表计算：</w:t>
      </w:r>
    </w:p>
    <w:tbl>
      <w:tblPr>
        <w:tblStyle w:val="23"/>
        <w:tblW w:w="8516" w:type="dxa"/>
        <w:jc w:val="center"/>
        <w:tblLayout w:type="fixed"/>
        <w:tblCellMar>
          <w:top w:w="0" w:type="dxa"/>
          <w:left w:w="15" w:type="dxa"/>
          <w:bottom w:w="0" w:type="dxa"/>
          <w:right w:w="15" w:type="dxa"/>
        </w:tblCellMar>
      </w:tblPr>
      <w:tblGrid>
        <w:gridCol w:w="1293"/>
        <w:gridCol w:w="1262"/>
        <w:gridCol w:w="945"/>
        <w:gridCol w:w="1252"/>
        <w:gridCol w:w="1089"/>
        <w:gridCol w:w="1166"/>
        <w:gridCol w:w="1509"/>
      </w:tblGrid>
      <w:tr>
        <w:tblPrEx>
          <w:tblCellMar>
            <w:top w:w="0" w:type="dxa"/>
            <w:left w:w="15" w:type="dxa"/>
            <w:bottom w:w="0" w:type="dxa"/>
            <w:right w:w="15" w:type="dxa"/>
          </w:tblCellMar>
        </w:tblPrEx>
        <w:trPr>
          <w:trHeight w:val="941"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4"/>
                <w:highlight w:val="none"/>
              </w:rPr>
            </w:pPr>
            <w:r>
              <w:rPr>
                <w:rFonts w:hint="eastAsia" w:ascii="宋体" w:hAnsi="宋体" w:cs="宋体"/>
                <w:color w:val="auto"/>
                <w:sz w:val="24"/>
                <w:highlight w:val="none"/>
              </w:rPr>
              <w:t>收费项目</w:t>
            </w:r>
          </w:p>
        </w:tc>
        <w:tc>
          <w:tcPr>
            <w:tcW w:w="1262"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auto"/>
                <w:sz w:val="24"/>
                <w:highlight w:val="none"/>
              </w:rPr>
            </w:pPr>
            <w:r>
              <w:rPr>
                <w:rFonts w:hint="eastAsia" w:ascii="宋体" w:hAnsi="宋体" w:cs="宋体"/>
                <w:color w:val="auto"/>
                <w:sz w:val="24"/>
                <w:highlight w:val="none"/>
              </w:rPr>
              <w:t>费率/费用（万元）</w:t>
            </w:r>
          </w:p>
        </w:tc>
        <w:tc>
          <w:tcPr>
            <w:tcW w:w="945"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auto"/>
                <w:sz w:val="24"/>
                <w:highlight w:val="none"/>
              </w:rPr>
            </w:pPr>
            <w:r>
              <w:rPr>
                <w:rFonts w:hint="eastAsia" w:ascii="宋体" w:hAnsi="宋体" w:cs="宋体"/>
                <w:color w:val="auto"/>
                <w:sz w:val="24"/>
                <w:highlight w:val="none"/>
              </w:rPr>
              <w:t>100以下</w:t>
            </w:r>
          </w:p>
          <w:p>
            <w:pPr>
              <w:jc w:val="center"/>
              <w:textAlignment w:val="center"/>
              <w:rPr>
                <w:rFonts w:ascii="宋体" w:hAnsi="宋体" w:cs="宋体"/>
                <w:color w:val="auto"/>
                <w:sz w:val="24"/>
                <w:highlight w:val="none"/>
              </w:rPr>
            </w:pPr>
            <w:r>
              <w:rPr>
                <w:rFonts w:hint="eastAsia" w:ascii="宋体" w:hAnsi="宋体" w:cs="宋体"/>
                <w:color w:val="auto"/>
                <w:sz w:val="24"/>
                <w:highlight w:val="none"/>
              </w:rPr>
              <w:t>（含100）</w:t>
            </w:r>
          </w:p>
        </w:tc>
        <w:tc>
          <w:tcPr>
            <w:tcW w:w="1252"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auto"/>
                <w:sz w:val="24"/>
                <w:highlight w:val="none"/>
              </w:rPr>
            </w:pPr>
            <w:r>
              <w:rPr>
                <w:rFonts w:hint="eastAsia" w:ascii="宋体" w:hAnsi="宋体" w:cs="宋体"/>
                <w:color w:val="auto"/>
                <w:sz w:val="24"/>
                <w:highlight w:val="none"/>
              </w:rPr>
              <w:t>100~500</w:t>
            </w:r>
          </w:p>
          <w:p>
            <w:pPr>
              <w:jc w:val="center"/>
              <w:textAlignment w:val="center"/>
              <w:rPr>
                <w:rFonts w:ascii="宋体" w:hAnsi="宋体" w:cs="宋体"/>
                <w:color w:val="auto"/>
                <w:sz w:val="24"/>
                <w:highlight w:val="none"/>
              </w:rPr>
            </w:pPr>
            <w:r>
              <w:rPr>
                <w:rFonts w:hint="eastAsia" w:ascii="宋体" w:hAnsi="宋体" w:cs="宋体"/>
                <w:color w:val="auto"/>
                <w:sz w:val="24"/>
                <w:highlight w:val="none"/>
              </w:rPr>
              <w:t>（含500）</w:t>
            </w:r>
          </w:p>
        </w:tc>
        <w:tc>
          <w:tcPr>
            <w:tcW w:w="1089"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auto"/>
                <w:sz w:val="24"/>
                <w:highlight w:val="none"/>
              </w:rPr>
            </w:pPr>
            <w:r>
              <w:rPr>
                <w:rFonts w:hint="eastAsia" w:ascii="宋体" w:hAnsi="宋体" w:cs="宋体"/>
                <w:color w:val="auto"/>
                <w:sz w:val="24"/>
                <w:highlight w:val="none"/>
              </w:rPr>
              <w:t>500~1000 （含1000）</w:t>
            </w:r>
          </w:p>
        </w:tc>
        <w:tc>
          <w:tcPr>
            <w:tcW w:w="1166"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auto"/>
                <w:sz w:val="24"/>
                <w:highlight w:val="none"/>
              </w:rPr>
            </w:pPr>
            <w:r>
              <w:rPr>
                <w:rFonts w:hint="eastAsia" w:ascii="宋体" w:hAnsi="宋体" w:cs="宋体"/>
                <w:color w:val="auto"/>
                <w:sz w:val="24"/>
                <w:highlight w:val="none"/>
              </w:rPr>
              <w:t>1000~5000</w:t>
            </w:r>
          </w:p>
          <w:p>
            <w:pPr>
              <w:jc w:val="center"/>
              <w:textAlignment w:val="center"/>
              <w:rPr>
                <w:rFonts w:ascii="宋体" w:hAnsi="宋体" w:cs="宋体"/>
                <w:color w:val="auto"/>
                <w:sz w:val="24"/>
                <w:highlight w:val="none"/>
              </w:rPr>
            </w:pPr>
            <w:r>
              <w:rPr>
                <w:rFonts w:hint="eastAsia" w:ascii="宋体" w:hAnsi="宋体" w:cs="宋体"/>
                <w:color w:val="auto"/>
                <w:sz w:val="24"/>
                <w:highlight w:val="none"/>
              </w:rPr>
              <w:t>（含5000）</w:t>
            </w:r>
          </w:p>
        </w:tc>
        <w:tc>
          <w:tcPr>
            <w:tcW w:w="1509"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s="宋体"/>
                <w:color w:val="auto"/>
                <w:sz w:val="24"/>
                <w:highlight w:val="none"/>
              </w:rPr>
            </w:pPr>
            <w:r>
              <w:rPr>
                <w:rFonts w:hint="eastAsia" w:ascii="宋体" w:hAnsi="宋体" w:cs="宋体"/>
                <w:color w:val="auto"/>
                <w:sz w:val="24"/>
                <w:highlight w:val="none"/>
              </w:rPr>
              <w:t>5000~10000（含10000）</w:t>
            </w:r>
          </w:p>
        </w:tc>
      </w:tr>
      <w:tr>
        <w:tblPrEx>
          <w:tblCellMar>
            <w:top w:w="0" w:type="dxa"/>
            <w:left w:w="15" w:type="dxa"/>
            <w:bottom w:w="0" w:type="dxa"/>
            <w:right w:w="15" w:type="dxa"/>
          </w:tblCellMar>
        </w:tblPrEx>
        <w:trPr>
          <w:trHeight w:val="435"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26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费率</w:t>
            </w:r>
          </w:p>
        </w:tc>
        <w:tc>
          <w:tcPr>
            <w:tcW w:w="945"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125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1.1%</w:t>
            </w:r>
          </w:p>
        </w:tc>
        <w:tc>
          <w:tcPr>
            <w:tcW w:w="1089"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0.8%</w:t>
            </w:r>
          </w:p>
        </w:tc>
        <w:tc>
          <w:tcPr>
            <w:tcW w:w="116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0.5%</w:t>
            </w:r>
          </w:p>
        </w:tc>
        <w:tc>
          <w:tcPr>
            <w:tcW w:w="1509"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0.25%</w:t>
            </w:r>
          </w:p>
        </w:tc>
      </w:tr>
      <w:tr>
        <w:tblPrEx>
          <w:tblCellMar>
            <w:top w:w="0" w:type="dxa"/>
            <w:left w:w="15" w:type="dxa"/>
            <w:bottom w:w="0" w:type="dxa"/>
            <w:right w:w="15" w:type="dxa"/>
          </w:tblCellMar>
        </w:tblPrEx>
        <w:trPr>
          <w:trHeight w:val="464"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126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费率</w:t>
            </w:r>
          </w:p>
        </w:tc>
        <w:tc>
          <w:tcPr>
            <w:tcW w:w="945"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125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0.8%</w:t>
            </w:r>
          </w:p>
        </w:tc>
        <w:tc>
          <w:tcPr>
            <w:tcW w:w="1089"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0.45%</w:t>
            </w:r>
          </w:p>
        </w:tc>
        <w:tc>
          <w:tcPr>
            <w:tcW w:w="116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0.25%</w:t>
            </w:r>
          </w:p>
        </w:tc>
        <w:tc>
          <w:tcPr>
            <w:tcW w:w="1509"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0.1%</w:t>
            </w:r>
          </w:p>
        </w:tc>
      </w:tr>
      <w:tr>
        <w:tblPrEx>
          <w:tblCellMar>
            <w:top w:w="0" w:type="dxa"/>
            <w:left w:w="15" w:type="dxa"/>
            <w:bottom w:w="0" w:type="dxa"/>
            <w:right w:w="15" w:type="dxa"/>
          </w:tblCellMar>
        </w:tblPrEx>
        <w:trPr>
          <w:trHeight w:val="469"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工程招标</w:t>
            </w:r>
          </w:p>
        </w:tc>
        <w:tc>
          <w:tcPr>
            <w:tcW w:w="126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费率</w:t>
            </w:r>
          </w:p>
        </w:tc>
        <w:tc>
          <w:tcPr>
            <w:tcW w:w="945"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1.0%</w:t>
            </w:r>
          </w:p>
        </w:tc>
        <w:tc>
          <w:tcPr>
            <w:tcW w:w="1252"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0.7%</w:t>
            </w:r>
          </w:p>
        </w:tc>
        <w:tc>
          <w:tcPr>
            <w:tcW w:w="1089"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0.55%</w:t>
            </w:r>
          </w:p>
        </w:tc>
        <w:tc>
          <w:tcPr>
            <w:tcW w:w="1166"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0.35%</w:t>
            </w:r>
          </w:p>
        </w:tc>
        <w:tc>
          <w:tcPr>
            <w:tcW w:w="1509" w:type="dxa"/>
            <w:tcBorders>
              <w:top w:val="single" w:color="000000" w:sz="4" w:space="0"/>
              <w:left w:val="nil"/>
              <w:bottom w:val="single" w:color="000000" w:sz="4" w:space="0"/>
              <w:right w:val="single" w:color="000000" w:sz="4" w:space="0"/>
            </w:tcBorders>
            <w:vAlign w:val="center"/>
          </w:tcPr>
          <w:p>
            <w:pPr>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rPr>
              <w:t>0.2%</w:t>
            </w:r>
          </w:p>
        </w:tc>
      </w:tr>
    </w:tbl>
    <w:p>
      <w:pPr>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（1）以《中标通知书》确定的中标总金额作为收费的计算基数。</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（2）评委费按实际发生由中标人支付。</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（3）中标服务费为中标服务费和及开评标相关费用总和。</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（4）币种与《中标通知书》的币种相同。</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2、同时，中标人应全额支付广州公共资源交易服务费，确认中标单位后凭广州公共资源交易中心缴费通知书缴纳。</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3、中标人中标后，必须按招标文件要求向代理机构直接缴交中标服务费及开评标相关费用和全额缴纳广州公共资源交易服务费。中标人不按要求交齐以上费用的，代理机构将保留进一步追索权利。</w:t>
      </w:r>
    </w:p>
    <w:p>
      <w:pPr>
        <w:spacing w:line="360" w:lineRule="auto"/>
        <w:ind w:firstLine="48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4"/>
          <w:highlight w:val="none"/>
        </w:rPr>
        <w:t>4、</w:t>
      </w:r>
      <w:r>
        <w:rPr>
          <w:rStyle w:val="45"/>
          <w:rFonts w:hint="eastAsia" w:ascii="宋体"/>
          <w:color w:val="auto"/>
          <w:sz w:val="24"/>
          <w:highlight w:val="none"/>
        </w:rPr>
        <w:t>中标服务费及开评标相关费用、交易服务费</w:t>
      </w:r>
      <w:r>
        <w:rPr>
          <w:rFonts w:hint="eastAsia" w:asciiTheme="minorEastAsia" w:hAnsiTheme="minorEastAsia" w:eastAsiaTheme="minorEastAsia" w:cstheme="minorEastAsia"/>
          <w:color w:val="auto"/>
          <w:sz w:val="24"/>
          <w:highlight w:val="none"/>
        </w:rPr>
        <w:t>不在投标报价中单列。</w:t>
      </w:r>
      <w:r>
        <w:rPr>
          <w:rFonts w:hint="eastAsia" w:asciiTheme="minorEastAsia" w:hAnsiTheme="minorEastAsia" w:eastAsiaTheme="minorEastAsia" w:cstheme="minorEastAsia"/>
          <w:color w:val="auto"/>
          <w:sz w:val="32"/>
          <w:szCs w:val="32"/>
          <w:highlight w:val="none"/>
        </w:rPr>
        <w:br w:type="page"/>
      </w:r>
    </w:p>
    <w:p>
      <w:pPr>
        <w:pStyle w:val="3"/>
        <w:keepNext w:val="0"/>
        <w:keepLines w:val="0"/>
        <w:widowControl w:val="0"/>
        <w:tabs>
          <w:tab w:val="left" w:pos="1462"/>
        </w:tabs>
        <w:autoSpaceDE w:val="0"/>
        <w:autoSpaceDN w:val="0"/>
        <w:spacing w:before="173" w:after="240" w:line="360" w:lineRule="auto"/>
        <w:rPr>
          <w:rFonts w:asciiTheme="minorEastAsia" w:hAnsiTheme="minorEastAsia" w:eastAsiaTheme="minorEastAsia" w:cstheme="minorEastAsia"/>
          <w:color w:val="auto"/>
          <w:sz w:val="32"/>
          <w:szCs w:val="32"/>
          <w:highlight w:val="none"/>
        </w:rPr>
      </w:pPr>
      <w:bookmarkStart w:id="75" w:name="_Toc25749"/>
      <w:bookmarkStart w:id="76" w:name="_Toc24189"/>
      <w:bookmarkStart w:id="77" w:name="_Toc18429"/>
      <w:r>
        <w:rPr>
          <w:rFonts w:hint="eastAsia" w:asciiTheme="minorEastAsia" w:hAnsiTheme="minorEastAsia" w:eastAsiaTheme="minorEastAsia" w:cstheme="minorEastAsia"/>
          <w:color w:val="auto"/>
          <w:sz w:val="32"/>
          <w:szCs w:val="32"/>
          <w:highlight w:val="none"/>
        </w:rPr>
        <w:t>第三章 评标定标</w:t>
      </w:r>
      <w:bookmarkEnd w:id="75"/>
      <w:bookmarkEnd w:id="76"/>
    </w:p>
    <w:p>
      <w:pPr>
        <w:pStyle w:val="3"/>
        <w:keepNext w:val="0"/>
        <w:keepLines w:val="0"/>
        <w:widowControl w:val="0"/>
        <w:tabs>
          <w:tab w:val="left" w:pos="1462"/>
        </w:tabs>
        <w:autoSpaceDE w:val="0"/>
        <w:autoSpaceDN w:val="0"/>
        <w:spacing w:before="173" w:after="240" w:line="360" w:lineRule="auto"/>
        <w:rPr>
          <w:rStyle w:val="27"/>
          <w:rFonts w:hAnsi="宋体" w:cs="宋体"/>
          <w:color w:val="auto"/>
          <w:sz w:val="32"/>
          <w:szCs w:val="32"/>
          <w:highlight w:val="none"/>
        </w:rPr>
      </w:pPr>
      <w:r>
        <w:rPr>
          <w:rStyle w:val="27"/>
          <w:rFonts w:hint="eastAsia" w:hAnsi="宋体" w:cs="宋体"/>
          <w:color w:val="auto"/>
          <w:sz w:val="32"/>
          <w:szCs w:val="32"/>
          <w:highlight w:val="none"/>
        </w:rPr>
        <w:t xml:space="preserve"> </w:t>
      </w:r>
      <w:bookmarkStart w:id="78" w:name="_Toc28882"/>
      <w:r>
        <w:rPr>
          <w:rStyle w:val="27"/>
          <w:rFonts w:hint="eastAsia" w:hAnsi="宋体" w:cs="宋体"/>
          <w:color w:val="auto"/>
          <w:sz w:val="32"/>
          <w:szCs w:val="32"/>
          <w:highlight w:val="none"/>
        </w:rPr>
        <w:t>（</w:t>
      </w:r>
      <w:r>
        <w:rPr>
          <w:rStyle w:val="27"/>
          <w:rFonts w:hAnsi="宋体" w:cs="宋体"/>
          <w:color w:val="auto"/>
          <w:sz w:val="32"/>
          <w:szCs w:val="32"/>
          <w:highlight w:val="none"/>
        </w:rPr>
        <w:t>设计团队综合</w:t>
      </w:r>
      <w:r>
        <w:rPr>
          <w:rStyle w:val="27"/>
          <w:rFonts w:hint="eastAsia" w:hAnsi="宋体" w:cs="宋体"/>
          <w:color w:val="auto"/>
          <w:sz w:val="32"/>
          <w:szCs w:val="32"/>
          <w:highlight w:val="none"/>
        </w:rPr>
        <w:t>评分</w:t>
      </w:r>
      <w:r>
        <w:rPr>
          <w:rStyle w:val="27"/>
          <w:rFonts w:hAnsi="宋体" w:cs="宋体"/>
          <w:color w:val="auto"/>
          <w:sz w:val="32"/>
          <w:szCs w:val="32"/>
          <w:highlight w:val="none"/>
        </w:rPr>
        <w:t>评审法）</w:t>
      </w:r>
      <w:bookmarkEnd w:id="77"/>
      <w:bookmarkEnd w:id="78"/>
    </w:p>
    <w:p>
      <w:pPr>
        <w:spacing w:line="360" w:lineRule="auto"/>
        <w:ind w:firstLine="482" w:firstLineChars="200"/>
        <w:outlineLvl w:val="1"/>
        <w:rPr>
          <w:rStyle w:val="27"/>
          <w:rFonts w:ascii="宋体" w:hAnsi="宋体"/>
          <w:color w:val="auto"/>
          <w:sz w:val="24"/>
          <w:highlight w:val="none"/>
        </w:rPr>
      </w:pPr>
      <w:bookmarkStart w:id="79" w:name="_Toc21778"/>
      <w:bookmarkStart w:id="80" w:name="_Toc25377"/>
      <w:r>
        <w:rPr>
          <w:rStyle w:val="27"/>
          <w:rFonts w:hint="eastAsia" w:ascii="宋体" w:hAnsi="宋体" w:cs="宋体"/>
          <w:b/>
          <w:bCs/>
          <w:color w:val="auto"/>
          <w:sz w:val="24"/>
          <w:highlight w:val="none"/>
        </w:rPr>
        <w:t xml:space="preserve">3.1 </w:t>
      </w:r>
      <w:r>
        <w:rPr>
          <w:rStyle w:val="27"/>
          <w:rFonts w:ascii="宋体" w:hAnsi="宋体" w:cs="宋体"/>
          <w:b/>
          <w:bCs/>
          <w:color w:val="auto"/>
          <w:sz w:val="24"/>
          <w:highlight w:val="none"/>
        </w:rPr>
        <w:t>否决投标</w:t>
      </w:r>
      <w:bookmarkEnd w:id="79"/>
      <w:bookmarkEnd w:id="80"/>
    </w:p>
    <w:p>
      <w:pPr>
        <w:spacing w:line="360" w:lineRule="auto"/>
        <w:ind w:firstLine="480" w:firstLineChars="200"/>
        <w:rPr>
          <w:rStyle w:val="27"/>
          <w:rFonts w:ascii="宋体" w:hAnsi="宋体"/>
          <w:color w:val="auto"/>
          <w:sz w:val="24"/>
          <w:szCs w:val="22"/>
          <w:highlight w:val="none"/>
        </w:rPr>
      </w:pPr>
      <w:r>
        <w:rPr>
          <w:rStyle w:val="27"/>
          <w:rFonts w:hint="eastAsia" w:ascii="宋体" w:hAnsi="宋体"/>
          <w:color w:val="auto"/>
          <w:sz w:val="24"/>
          <w:szCs w:val="22"/>
          <w:highlight w:val="none"/>
        </w:rPr>
        <w:t>3.1.1商务文件有下列情况之一的，由评标委员会确定其为废标：</w:t>
      </w:r>
    </w:p>
    <w:p>
      <w:pPr>
        <w:spacing w:line="360" w:lineRule="auto"/>
        <w:ind w:firstLine="480" w:firstLineChars="200"/>
        <w:rPr>
          <w:rStyle w:val="27"/>
          <w:rFonts w:ascii="宋体" w:hAnsi="宋体"/>
          <w:color w:val="auto"/>
          <w:sz w:val="24"/>
          <w:szCs w:val="22"/>
          <w:highlight w:val="none"/>
        </w:rPr>
      </w:pPr>
      <w:r>
        <w:rPr>
          <w:rStyle w:val="27"/>
          <w:rFonts w:hint="eastAsia" w:ascii="宋体" w:hAnsi="宋体"/>
          <w:color w:val="auto"/>
          <w:sz w:val="24"/>
          <w:szCs w:val="22"/>
          <w:highlight w:val="none"/>
        </w:rPr>
        <w:t>(a)投标人与招标人、评标委员会成员或者其他投标人串通投标；</w:t>
      </w:r>
    </w:p>
    <w:p>
      <w:pPr>
        <w:spacing w:line="360" w:lineRule="auto"/>
        <w:ind w:firstLine="480" w:firstLineChars="200"/>
        <w:rPr>
          <w:rStyle w:val="27"/>
          <w:rFonts w:ascii="宋体" w:hAnsi="宋体"/>
          <w:color w:val="auto"/>
          <w:sz w:val="24"/>
          <w:szCs w:val="22"/>
          <w:highlight w:val="none"/>
        </w:rPr>
      </w:pPr>
      <w:r>
        <w:rPr>
          <w:rStyle w:val="27"/>
          <w:rFonts w:hint="eastAsia" w:ascii="宋体" w:hAnsi="宋体"/>
          <w:color w:val="auto"/>
          <w:sz w:val="24"/>
          <w:szCs w:val="22"/>
          <w:highlight w:val="none"/>
        </w:rPr>
        <w:t>(b)以联合体形式投标的，未向招标人提交联合体投标协议书；</w:t>
      </w:r>
    </w:p>
    <w:p>
      <w:pPr>
        <w:spacing w:line="360" w:lineRule="auto"/>
        <w:ind w:firstLine="480" w:firstLineChars="200"/>
        <w:rPr>
          <w:rStyle w:val="27"/>
          <w:rFonts w:ascii="宋体" w:hAnsi="宋体"/>
          <w:color w:val="auto"/>
          <w:sz w:val="24"/>
          <w:szCs w:val="22"/>
          <w:highlight w:val="none"/>
        </w:rPr>
      </w:pPr>
      <w:r>
        <w:rPr>
          <w:rStyle w:val="27"/>
          <w:rFonts w:hint="eastAsia" w:ascii="宋体" w:hAnsi="宋体"/>
          <w:color w:val="auto"/>
          <w:sz w:val="24"/>
          <w:szCs w:val="22"/>
          <w:highlight w:val="none"/>
        </w:rPr>
        <w:t>(C)商务文件未加盖投标人公章，也未经法定代表人或者其授权代表签字；</w:t>
      </w:r>
    </w:p>
    <w:p>
      <w:pPr>
        <w:spacing w:line="360" w:lineRule="auto"/>
        <w:ind w:firstLine="480" w:firstLineChars="200"/>
        <w:rPr>
          <w:rStyle w:val="27"/>
          <w:rFonts w:ascii="宋体" w:hAnsi="宋体"/>
          <w:color w:val="auto"/>
          <w:sz w:val="24"/>
          <w:szCs w:val="22"/>
          <w:highlight w:val="none"/>
        </w:rPr>
      </w:pPr>
      <w:r>
        <w:rPr>
          <w:rStyle w:val="27"/>
          <w:rFonts w:hint="eastAsia" w:ascii="宋体" w:hAnsi="宋体"/>
          <w:color w:val="auto"/>
          <w:sz w:val="24"/>
          <w:szCs w:val="22"/>
          <w:highlight w:val="none"/>
        </w:rPr>
        <w:t>(d)商务文件中有招标人不能接受的偏差，并且投标人拒绝书面撤回偏差；</w:t>
      </w:r>
    </w:p>
    <w:p>
      <w:pPr>
        <w:spacing w:line="360" w:lineRule="auto"/>
        <w:ind w:firstLine="480" w:firstLineChars="200"/>
        <w:rPr>
          <w:rStyle w:val="27"/>
          <w:rFonts w:ascii="宋体" w:hAnsi="宋体"/>
          <w:color w:val="auto"/>
          <w:sz w:val="24"/>
          <w:szCs w:val="22"/>
          <w:highlight w:val="none"/>
        </w:rPr>
      </w:pPr>
      <w:r>
        <w:rPr>
          <w:rStyle w:val="27"/>
          <w:rFonts w:hint="eastAsia" w:ascii="宋体" w:hAnsi="宋体"/>
          <w:color w:val="auto"/>
          <w:sz w:val="24"/>
          <w:szCs w:val="22"/>
          <w:highlight w:val="none"/>
        </w:rPr>
        <w:t>(e)未按照招标文件要求进行投标报价的；</w:t>
      </w:r>
    </w:p>
    <w:p>
      <w:pPr>
        <w:spacing w:line="360" w:lineRule="auto"/>
        <w:ind w:firstLine="480" w:firstLineChars="200"/>
        <w:rPr>
          <w:rStyle w:val="27"/>
          <w:rFonts w:ascii="宋体" w:hAnsi="宋体"/>
          <w:color w:val="auto"/>
          <w:sz w:val="24"/>
          <w:szCs w:val="22"/>
          <w:highlight w:val="none"/>
        </w:rPr>
      </w:pPr>
      <w:r>
        <w:rPr>
          <w:rStyle w:val="27"/>
          <w:rFonts w:hint="eastAsia" w:ascii="宋体" w:hAnsi="宋体"/>
          <w:color w:val="auto"/>
          <w:sz w:val="24"/>
          <w:szCs w:val="22"/>
          <w:highlight w:val="none"/>
        </w:rPr>
        <w:t>(f)未按招标文件规定的格式填写，内容不全或者关键字迹模糊无法辨认的；</w:t>
      </w:r>
    </w:p>
    <w:p>
      <w:pPr>
        <w:spacing w:line="360" w:lineRule="auto"/>
        <w:ind w:firstLine="480" w:firstLineChars="200"/>
        <w:rPr>
          <w:rStyle w:val="27"/>
          <w:rFonts w:ascii="宋体" w:hAnsi="宋体"/>
          <w:color w:val="auto"/>
          <w:sz w:val="24"/>
          <w:szCs w:val="22"/>
          <w:highlight w:val="none"/>
        </w:rPr>
      </w:pPr>
      <w:r>
        <w:rPr>
          <w:rStyle w:val="27"/>
          <w:rFonts w:hint="eastAsia" w:ascii="宋体" w:hAnsi="宋体"/>
          <w:color w:val="auto"/>
          <w:sz w:val="24"/>
          <w:szCs w:val="22"/>
          <w:highlight w:val="none"/>
        </w:rPr>
        <w:t>(g)证明材料有弄虚作假者；</w:t>
      </w:r>
    </w:p>
    <w:p>
      <w:pPr>
        <w:spacing w:line="360" w:lineRule="auto"/>
        <w:ind w:firstLine="480" w:firstLineChars="200"/>
        <w:rPr>
          <w:rStyle w:val="27"/>
          <w:rFonts w:ascii="宋体" w:hAnsi="宋体"/>
          <w:color w:val="auto"/>
          <w:sz w:val="24"/>
          <w:szCs w:val="22"/>
          <w:highlight w:val="none"/>
        </w:rPr>
      </w:pPr>
      <w:r>
        <w:rPr>
          <w:rStyle w:val="27"/>
          <w:rFonts w:hint="eastAsia" w:ascii="宋体" w:hAnsi="宋体"/>
          <w:color w:val="auto"/>
          <w:sz w:val="24"/>
          <w:szCs w:val="22"/>
          <w:highlight w:val="none"/>
        </w:rPr>
        <w:t>(h)不按第二章投标文件编制要求编制的投标文件；</w:t>
      </w:r>
    </w:p>
    <w:p>
      <w:pPr>
        <w:spacing w:line="360" w:lineRule="auto"/>
        <w:ind w:firstLine="480" w:firstLineChars="200"/>
        <w:rPr>
          <w:rStyle w:val="27"/>
          <w:rFonts w:ascii="宋体" w:hAnsi="宋体"/>
          <w:color w:val="auto"/>
          <w:sz w:val="24"/>
          <w:szCs w:val="22"/>
          <w:highlight w:val="none"/>
        </w:rPr>
      </w:pPr>
      <w:r>
        <w:rPr>
          <w:rStyle w:val="27"/>
          <w:rFonts w:hint="eastAsia" w:ascii="宋体" w:hAnsi="宋体"/>
          <w:color w:val="auto"/>
          <w:sz w:val="24"/>
          <w:szCs w:val="22"/>
          <w:highlight w:val="none"/>
        </w:rPr>
        <w:t>(i)未按招标文件要求缴纳投标保证金（银行保函)；</w:t>
      </w:r>
    </w:p>
    <w:p>
      <w:pPr>
        <w:spacing w:line="360" w:lineRule="auto"/>
        <w:ind w:firstLine="480" w:firstLineChars="200"/>
        <w:rPr>
          <w:rStyle w:val="27"/>
          <w:rFonts w:ascii="宋体" w:hAnsi="宋体"/>
          <w:color w:val="auto"/>
          <w:sz w:val="24"/>
          <w:szCs w:val="22"/>
          <w:highlight w:val="none"/>
        </w:rPr>
      </w:pPr>
      <w:r>
        <w:rPr>
          <w:rStyle w:val="27"/>
          <w:rFonts w:hint="eastAsia" w:ascii="宋体" w:hAnsi="宋体"/>
          <w:color w:val="auto"/>
          <w:sz w:val="24"/>
          <w:szCs w:val="22"/>
          <w:highlight w:val="none"/>
        </w:rPr>
        <w:t>(j)未按照要求（必要时）对投标文件进行澄清、说明或者补正；</w:t>
      </w:r>
    </w:p>
    <w:p>
      <w:pPr>
        <w:spacing w:line="360" w:lineRule="auto"/>
        <w:ind w:firstLine="480" w:firstLineChars="200"/>
        <w:rPr>
          <w:rStyle w:val="27"/>
          <w:rFonts w:ascii="宋体" w:hAnsi="宋体"/>
          <w:color w:val="auto"/>
          <w:sz w:val="24"/>
          <w:szCs w:val="22"/>
          <w:highlight w:val="none"/>
        </w:rPr>
      </w:pPr>
      <w:r>
        <w:rPr>
          <w:rStyle w:val="27"/>
          <w:rFonts w:hint="eastAsia" w:ascii="宋体" w:hAnsi="宋体"/>
          <w:color w:val="auto"/>
          <w:sz w:val="24"/>
          <w:szCs w:val="22"/>
          <w:highlight w:val="none"/>
        </w:rPr>
        <w:t>(k)违反有关法律法规及规定的，如投标文件互相雷同、投标人与招标人存在利害关系等情况的。</w:t>
      </w:r>
    </w:p>
    <w:p>
      <w:pPr>
        <w:spacing w:line="360" w:lineRule="auto"/>
        <w:ind w:firstLine="480" w:firstLineChars="200"/>
        <w:rPr>
          <w:rStyle w:val="27"/>
          <w:rFonts w:ascii="宋体" w:hAnsi="宋体"/>
          <w:color w:val="auto"/>
          <w:sz w:val="24"/>
          <w:szCs w:val="22"/>
          <w:highlight w:val="none"/>
        </w:rPr>
      </w:pPr>
      <w:r>
        <w:rPr>
          <w:rStyle w:val="27"/>
          <w:rFonts w:hint="eastAsia" w:ascii="宋体" w:hAnsi="宋体"/>
          <w:color w:val="auto"/>
          <w:sz w:val="24"/>
          <w:szCs w:val="22"/>
          <w:highlight w:val="none"/>
        </w:rPr>
        <w:t>3.1.2技术投标文件有下列情况之一的，由评标委员会确定其为废标：</w:t>
      </w:r>
    </w:p>
    <w:p>
      <w:pPr>
        <w:spacing w:line="360" w:lineRule="auto"/>
        <w:ind w:firstLine="480" w:firstLineChars="200"/>
        <w:rPr>
          <w:rStyle w:val="27"/>
          <w:rFonts w:ascii="宋体" w:hAnsi="宋体"/>
          <w:color w:val="auto"/>
          <w:sz w:val="24"/>
          <w:szCs w:val="22"/>
          <w:highlight w:val="none"/>
        </w:rPr>
      </w:pPr>
      <w:r>
        <w:rPr>
          <w:rStyle w:val="27"/>
          <w:rFonts w:hint="eastAsia" w:ascii="宋体" w:hAnsi="宋体"/>
          <w:color w:val="auto"/>
          <w:sz w:val="24"/>
          <w:szCs w:val="22"/>
          <w:highlight w:val="none"/>
        </w:rPr>
        <w:t xml:space="preserve">(a)投标人在设计方案内标注名称、印章、商标等记认符号（或使人辨认出投标人或其专业技术人员的身份） </w:t>
      </w:r>
    </w:p>
    <w:p>
      <w:pPr>
        <w:spacing w:line="360" w:lineRule="auto"/>
        <w:ind w:firstLine="480" w:firstLineChars="200"/>
        <w:rPr>
          <w:rStyle w:val="27"/>
          <w:rFonts w:ascii="宋体" w:hAnsi="宋体"/>
          <w:color w:val="auto"/>
          <w:sz w:val="24"/>
          <w:szCs w:val="22"/>
          <w:highlight w:val="none"/>
        </w:rPr>
      </w:pPr>
      <w:r>
        <w:rPr>
          <w:rStyle w:val="27"/>
          <w:rFonts w:hint="eastAsia" w:ascii="宋体" w:hAnsi="宋体"/>
          <w:color w:val="auto"/>
          <w:sz w:val="24"/>
          <w:szCs w:val="22"/>
          <w:highlight w:val="none"/>
        </w:rPr>
        <w:t>(b)有互相雷同或串通投标的。</w:t>
      </w:r>
    </w:p>
    <w:p>
      <w:pPr>
        <w:spacing w:line="360" w:lineRule="auto"/>
        <w:ind w:firstLine="480" w:firstLineChars="200"/>
        <w:rPr>
          <w:rStyle w:val="27"/>
          <w:rFonts w:ascii="宋体" w:hAnsi="宋体"/>
          <w:color w:val="auto"/>
          <w:sz w:val="24"/>
          <w:szCs w:val="22"/>
          <w:highlight w:val="none"/>
        </w:rPr>
      </w:pPr>
      <w:r>
        <w:rPr>
          <w:rStyle w:val="27"/>
          <w:rFonts w:hint="eastAsia" w:ascii="宋体" w:hAnsi="宋体"/>
          <w:color w:val="auto"/>
          <w:sz w:val="24"/>
          <w:szCs w:val="22"/>
          <w:highlight w:val="none"/>
        </w:rPr>
        <w:t xml:space="preserve">(c)有明显抄袭行为。 </w:t>
      </w:r>
    </w:p>
    <w:p>
      <w:pPr>
        <w:spacing w:line="360" w:lineRule="auto"/>
        <w:ind w:firstLine="480" w:firstLineChars="200"/>
        <w:rPr>
          <w:rStyle w:val="27"/>
          <w:rFonts w:ascii="宋体" w:hAnsi="宋体"/>
          <w:color w:val="auto"/>
          <w:sz w:val="24"/>
          <w:szCs w:val="22"/>
          <w:highlight w:val="none"/>
        </w:rPr>
      </w:pPr>
      <w:r>
        <w:rPr>
          <w:rStyle w:val="27"/>
          <w:rFonts w:hint="eastAsia" w:ascii="宋体" w:hAnsi="宋体"/>
          <w:color w:val="auto"/>
          <w:sz w:val="24"/>
          <w:szCs w:val="22"/>
          <w:highlight w:val="none"/>
        </w:rPr>
        <w:t>(d)侵犯他人著作权和特许权。</w:t>
      </w:r>
    </w:p>
    <w:p>
      <w:pPr>
        <w:spacing w:line="360" w:lineRule="auto"/>
        <w:ind w:firstLine="480" w:firstLineChars="200"/>
        <w:rPr>
          <w:rStyle w:val="27"/>
          <w:rFonts w:ascii="宋体" w:hAnsi="宋体"/>
          <w:color w:val="auto"/>
          <w:sz w:val="24"/>
          <w:szCs w:val="22"/>
          <w:highlight w:val="none"/>
        </w:rPr>
      </w:pPr>
      <w:r>
        <w:rPr>
          <w:rStyle w:val="27"/>
          <w:rFonts w:hint="eastAsia" w:ascii="宋体" w:hAnsi="宋体"/>
          <w:color w:val="auto"/>
          <w:sz w:val="24"/>
          <w:szCs w:val="22"/>
          <w:highlight w:val="none"/>
        </w:rPr>
        <w:t>(e)不按第二章投标文件编制要求编制投标文件。</w:t>
      </w:r>
    </w:p>
    <w:p>
      <w:pPr>
        <w:spacing w:line="360" w:lineRule="auto"/>
        <w:ind w:firstLine="480" w:firstLineChars="200"/>
        <w:rPr>
          <w:rStyle w:val="27"/>
          <w:rFonts w:ascii="宋体" w:hAnsi="宋体"/>
          <w:color w:val="auto"/>
          <w:sz w:val="24"/>
          <w:highlight w:val="none"/>
        </w:rPr>
      </w:pPr>
      <w:r>
        <w:rPr>
          <w:rStyle w:val="27"/>
          <w:rFonts w:hint="eastAsia" w:ascii="宋体" w:hAnsi="宋体"/>
          <w:color w:val="auto"/>
          <w:sz w:val="24"/>
          <w:highlight w:val="none"/>
        </w:rPr>
        <w:t>3</w:t>
      </w:r>
      <w:r>
        <w:rPr>
          <w:rStyle w:val="27"/>
          <w:rFonts w:ascii="宋体" w:hAnsi="宋体"/>
          <w:color w:val="auto"/>
          <w:sz w:val="24"/>
          <w:highlight w:val="none"/>
        </w:rPr>
        <w:t>.1.</w:t>
      </w:r>
      <w:r>
        <w:rPr>
          <w:rStyle w:val="27"/>
          <w:rFonts w:hint="eastAsia" w:ascii="宋体" w:hAnsi="宋体"/>
          <w:color w:val="auto"/>
          <w:sz w:val="24"/>
          <w:highlight w:val="none"/>
        </w:rPr>
        <w:t>3</w:t>
      </w:r>
      <w:r>
        <w:rPr>
          <w:rStyle w:val="27"/>
          <w:rFonts w:ascii="宋体" w:hAnsi="宋体"/>
          <w:color w:val="auto"/>
          <w:sz w:val="24"/>
          <w:highlight w:val="none"/>
        </w:rPr>
        <w:t>投标人有下列情况之一的，确定为串通投标：</w:t>
      </w:r>
    </w:p>
    <w:p>
      <w:pPr>
        <w:spacing w:line="360" w:lineRule="auto"/>
        <w:ind w:left="821" w:hanging="820" w:hangingChars="342"/>
        <w:rPr>
          <w:rStyle w:val="27"/>
          <w:rFonts w:ascii="宋体" w:hAnsi="宋体"/>
          <w:color w:val="auto"/>
          <w:sz w:val="24"/>
          <w:highlight w:val="none"/>
        </w:rPr>
      </w:pPr>
      <w:r>
        <w:rPr>
          <w:rStyle w:val="27"/>
          <w:rFonts w:ascii="宋体" w:hAnsi="宋体"/>
          <w:color w:val="auto"/>
          <w:sz w:val="24"/>
          <w:highlight w:val="none"/>
        </w:rPr>
        <w:t xml:space="preserve">  </w:t>
      </w:r>
      <w:r>
        <w:rPr>
          <w:rStyle w:val="27"/>
          <w:rFonts w:hint="eastAsia" w:ascii="宋体" w:hAnsi="宋体"/>
          <w:color w:val="auto"/>
          <w:sz w:val="24"/>
          <w:highlight w:val="none"/>
        </w:rPr>
        <w:t xml:space="preserve">  </w:t>
      </w:r>
      <w:r>
        <w:rPr>
          <w:rStyle w:val="27"/>
          <w:rFonts w:ascii="宋体" w:hAnsi="宋体"/>
          <w:color w:val="auto"/>
          <w:sz w:val="24"/>
          <w:highlight w:val="none"/>
        </w:rPr>
        <w:t>(a) 递交投标文件前，投标人私下向招标人或其雇员出示或告知投标文件内容；</w:t>
      </w:r>
    </w:p>
    <w:p>
      <w:pPr>
        <w:spacing w:line="360" w:lineRule="auto"/>
        <w:rPr>
          <w:rStyle w:val="27"/>
          <w:rFonts w:ascii="宋体" w:hAnsi="宋体"/>
          <w:color w:val="auto"/>
          <w:sz w:val="24"/>
          <w:highlight w:val="none"/>
        </w:rPr>
      </w:pPr>
      <w:r>
        <w:rPr>
          <w:rStyle w:val="27"/>
          <w:rFonts w:ascii="宋体" w:hAnsi="宋体"/>
          <w:color w:val="auto"/>
          <w:sz w:val="24"/>
          <w:highlight w:val="none"/>
        </w:rPr>
        <w:t xml:space="preserve"> </w:t>
      </w:r>
      <w:r>
        <w:rPr>
          <w:rStyle w:val="27"/>
          <w:rFonts w:hint="eastAsia" w:ascii="宋体" w:hAnsi="宋体"/>
          <w:color w:val="auto"/>
          <w:sz w:val="24"/>
          <w:highlight w:val="none"/>
        </w:rPr>
        <w:t xml:space="preserve">   </w:t>
      </w:r>
      <w:r>
        <w:rPr>
          <w:rStyle w:val="27"/>
          <w:rFonts w:ascii="宋体" w:hAnsi="宋体"/>
          <w:color w:val="auto"/>
          <w:sz w:val="24"/>
          <w:highlight w:val="none"/>
        </w:rPr>
        <w:t>(b) 评标表决结束前，投标人私下向评标委员会成员出示或告知投标文件内容；</w:t>
      </w:r>
    </w:p>
    <w:p>
      <w:pPr>
        <w:spacing w:line="360" w:lineRule="auto"/>
        <w:rPr>
          <w:rStyle w:val="27"/>
          <w:rFonts w:ascii="宋体" w:hAnsi="宋体"/>
          <w:color w:val="auto"/>
          <w:sz w:val="24"/>
          <w:highlight w:val="none"/>
        </w:rPr>
      </w:pPr>
      <w:r>
        <w:rPr>
          <w:rStyle w:val="27"/>
          <w:rFonts w:ascii="宋体" w:hAnsi="宋体"/>
          <w:color w:val="auto"/>
          <w:sz w:val="24"/>
          <w:highlight w:val="none"/>
        </w:rPr>
        <w:t xml:space="preserve">   </w:t>
      </w:r>
      <w:r>
        <w:rPr>
          <w:rStyle w:val="27"/>
          <w:rFonts w:hint="eastAsia" w:ascii="宋体" w:hAnsi="宋体"/>
          <w:color w:val="auto"/>
          <w:sz w:val="24"/>
          <w:highlight w:val="none"/>
        </w:rPr>
        <w:t xml:space="preserve"> </w:t>
      </w:r>
      <w:r>
        <w:rPr>
          <w:rStyle w:val="27"/>
          <w:rFonts w:ascii="宋体" w:hAnsi="宋体"/>
          <w:color w:val="auto"/>
          <w:sz w:val="24"/>
          <w:highlight w:val="none"/>
        </w:rPr>
        <w:t>(c)评标结果揭晓前，投标人与招标人就投标价格、投标方案等实质性内容进行谈判。</w:t>
      </w:r>
    </w:p>
    <w:p>
      <w:pPr>
        <w:spacing w:line="360" w:lineRule="auto"/>
        <w:ind w:firstLine="480" w:firstLineChars="200"/>
        <w:rPr>
          <w:rStyle w:val="27"/>
          <w:rFonts w:ascii="宋体" w:hAnsi="宋体" w:cs="宋体"/>
          <w:bCs/>
          <w:color w:val="auto"/>
          <w:sz w:val="24"/>
          <w:highlight w:val="none"/>
        </w:rPr>
      </w:pPr>
      <w:r>
        <w:rPr>
          <w:rStyle w:val="27"/>
          <w:rFonts w:hint="eastAsia" w:ascii="宋体" w:hAnsi="宋体"/>
          <w:color w:val="auto"/>
          <w:sz w:val="24"/>
          <w:highlight w:val="none"/>
        </w:rPr>
        <w:t>3</w:t>
      </w:r>
      <w:r>
        <w:rPr>
          <w:rStyle w:val="27"/>
          <w:rFonts w:ascii="宋体" w:hAnsi="宋体"/>
          <w:color w:val="auto"/>
          <w:sz w:val="24"/>
          <w:highlight w:val="none"/>
        </w:rPr>
        <w:t>.1.</w:t>
      </w:r>
      <w:r>
        <w:rPr>
          <w:rStyle w:val="27"/>
          <w:rFonts w:hint="eastAsia" w:ascii="宋体" w:hAnsi="宋体"/>
          <w:color w:val="auto"/>
          <w:sz w:val="24"/>
          <w:highlight w:val="none"/>
        </w:rPr>
        <w:t>4</w:t>
      </w:r>
      <w:r>
        <w:rPr>
          <w:rStyle w:val="27"/>
          <w:rFonts w:ascii="宋体" w:hAnsi="宋体" w:cs="宋体"/>
          <w:bCs/>
          <w:color w:val="auto"/>
          <w:sz w:val="24"/>
          <w:highlight w:val="none"/>
        </w:rPr>
        <w:t>发生下列情形之一的，招标人可以重新组织招标：</w:t>
      </w:r>
    </w:p>
    <w:p>
      <w:pPr>
        <w:spacing w:line="360" w:lineRule="auto"/>
        <w:ind w:firstLine="484" w:firstLineChars="202"/>
        <w:rPr>
          <w:rStyle w:val="27"/>
          <w:rFonts w:ascii="宋体" w:hAnsi="宋体" w:cs="宋体"/>
          <w:bCs/>
          <w:color w:val="auto"/>
          <w:sz w:val="24"/>
          <w:highlight w:val="none"/>
          <w:u w:val="single"/>
        </w:rPr>
      </w:pPr>
      <w:r>
        <w:rPr>
          <w:rStyle w:val="27"/>
          <w:rFonts w:ascii="宋体" w:hAnsi="宋体"/>
          <w:color w:val="auto"/>
          <w:sz w:val="24"/>
          <w:highlight w:val="none"/>
        </w:rPr>
        <w:t>(a)递交投标文件或通过资格审查的投标人不足三人</w:t>
      </w:r>
      <w:r>
        <w:rPr>
          <w:rStyle w:val="27"/>
          <w:rFonts w:ascii="宋体" w:hAnsi="宋体" w:cs="宋体"/>
          <w:bCs/>
          <w:color w:val="auto"/>
          <w:sz w:val="24"/>
          <w:highlight w:val="none"/>
        </w:rPr>
        <w:t>；</w:t>
      </w:r>
    </w:p>
    <w:p>
      <w:pPr>
        <w:spacing w:line="360" w:lineRule="auto"/>
        <w:ind w:firstLine="484" w:firstLineChars="202"/>
        <w:rPr>
          <w:rStyle w:val="27"/>
          <w:rFonts w:ascii="宋体" w:hAnsi="宋体" w:cs="宋体"/>
          <w:bCs/>
          <w:color w:val="auto"/>
          <w:sz w:val="24"/>
          <w:highlight w:val="none"/>
        </w:rPr>
      </w:pPr>
      <w:r>
        <w:rPr>
          <w:rStyle w:val="27"/>
          <w:rFonts w:ascii="宋体" w:hAnsi="宋体" w:cs="宋体"/>
          <w:bCs/>
          <w:color w:val="auto"/>
          <w:sz w:val="24"/>
          <w:highlight w:val="none"/>
        </w:rPr>
        <w:t>(b)投标人少于三人，或者同意延长投标有效期的投标人少于三人；</w:t>
      </w:r>
    </w:p>
    <w:p>
      <w:pPr>
        <w:spacing w:line="360" w:lineRule="auto"/>
        <w:ind w:firstLine="484" w:firstLineChars="202"/>
        <w:rPr>
          <w:rStyle w:val="27"/>
          <w:rFonts w:ascii="宋体" w:hAnsi="宋体" w:cs="宋体"/>
          <w:bCs/>
          <w:color w:val="auto"/>
          <w:sz w:val="24"/>
          <w:highlight w:val="none"/>
        </w:rPr>
      </w:pPr>
      <w:r>
        <w:rPr>
          <w:rStyle w:val="27"/>
          <w:rFonts w:ascii="宋体" w:hAnsi="宋体" w:cs="宋体"/>
          <w:bCs/>
          <w:color w:val="auto"/>
          <w:sz w:val="24"/>
          <w:highlight w:val="none"/>
        </w:rPr>
        <w:t>(c)所有投标被否决，或者经评议有效投标的投标人少于三人；</w:t>
      </w:r>
    </w:p>
    <w:p>
      <w:pPr>
        <w:spacing w:line="360" w:lineRule="auto"/>
        <w:ind w:firstLine="484" w:firstLineChars="202"/>
        <w:rPr>
          <w:rStyle w:val="27"/>
          <w:rFonts w:ascii="宋体" w:hAnsi="宋体"/>
          <w:color w:val="auto"/>
          <w:sz w:val="24"/>
          <w:highlight w:val="none"/>
        </w:rPr>
      </w:pPr>
      <w:r>
        <w:rPr>
          <w:rStyle w:val="27"/>
          <w:rFonts w:ascii="宋体" w:hAnsi="宋体" w:cs="宋体"/>
          <w:bCs/>
          <w:color w:val="auto"/>
          <w:sz w:val="24"/>
          <w:highlight w:val="none"/>
        </w:rPr>
        <w:t>(d)经项目审批部门会同行业主管部门裁定招标投标结果无效。</w:t>
      </w:r>
    </w:p>
    <w:p>
      <w:pPr>
        <w:spacing w:line="360" w:lineRule="auto"/>
        <w:ind w:firstLine="480" w:firstLineChars="200"/>
        <w:rPr>
          <w:rStyle w:val="27"/>
          <w:rFonts w:ascii="宋体" w:hAnsi="宋体"/>
          <w:color w:val="auto"/>
          <w:sz w:val="24"/>
          <w:highlight w:val="none"/>
        </w:rPr>
      </w:pPr>
      <w:r>
        <w:rPr>
          <w:rStyle w:val="27"/>
          <w:rFonts w:hint="eastAsia" w:ascii="宋体" w:hAnsi="宋体"/>
          <w:color w:val="auto"/>
          <w:sz w:val="24"/>
          <w:highlight w:val="none"/>
        </w:rPr>
        <w:t>3</w:t>
      </w:r>
      <w:r>
        <w:rPr>
          <w:rStyle w:val="27"/>
          <w:rFonts w:ascii="宋体" w:hAnsi="宋体"/>
          <w:color w:val="auto"/>
          <w:sz w:val="24"/>
          <w:highlight w:val="none"/>
        </w:rPr>
        <w:t>.1.</w:t>
      </w:r>
      <w:r>
        <w:rPr>
          <w:rStyle w:val="27"/>
          <w:rFonts w:hint="eastAsia" w:ascii="宋体" w:hAnsi="宋体"/>
          <w:color w:val="auto"/>
          <w:sz w:val="24"/>
          <w:highlight w:val="none"/>
        </w:rPr>
        <w:t>5</w:t>
      </w:r>
      <w:r>
        <w:rPr>
          <w:rStyle w:val="27"/>
          <w:rFonts w:ascii="宋体" w:hAnsi="宋体"/>
          <w:color w:val="auto"/>
          <w:sz w:val="24"/>
          <w:highlight w:val="none"/>
        </w:rPr>
        <w:t>否决投标的决定由评标委员会作出，其他投标人无权干涉。</w:t>
      </w:r>
    </w:p>
    <w:p>
      <w:pPr>
        <w:spacing w:line="360" w:lineRule="auto"/>
        <w:ind w:firstLine="480" w:firstLineChars="200"/>
        <w:rPr>
          <w:rStyle w:val="27"/>
          <w:rFonts w:ascii="宋体" w:hAnsi="宋体"/>
          <w:color w:val="auto"/>
          <w:sz w:val="24"/>
          <w:highlight w:val="none"/>
        </w:rPr>
      </w:pPr>
      <w:r>
        <w:rPr>
          <w:rStyle w:val="27"/>
          <w:rFonts w:hint="eastAsia" w:ascii="宋体" w:hAnsi="宋体"/>
          <w:color w:val="auto"/>
          <w:sz w:val="24"/>
          <w:highlight w:val="none"/>
        </w:rPr>
        <w:t>3</w:t>
      </w:r>
      <w:r>
        <w:rPr>
          <w:rStyle w:val="27"/>
          <w:rFonts w:ascii="宋体" w:hAnsi="宋体"/>
          <w:color w:val="auto"/>
          <w:sz w:val="24"/>
          <w:highlight w:val="none"/>
        </w:rPr>
        <w:t>.1.</w:t>
      </w:r>
      <w:r>
        <w:rPr>
          <w:rStyle w:val="27"/>
          <w:rFonts w:hint="eastAsia" w:ascii="宋体" w:hAnsi="宋体"/>
          <w:color w:val="auto"/>
          <w:sz w:val="24"/>
          <w:highlight w:val="none"/>
        </w:rPr>
        <w:t>6</w:t>
      </w:r>
      <w:r>
        <w:rPr>
          <w:rStyle w:val="27"/>
          <w:rFonts w:ascii="宋体" w:hAnsi="宋体"/>
          <w:color w:val="auto"/>
          <w:sz w:val="24"/>
          <w:highlight w:val="none"/>
        </w:rPr>
        <w:t xml:space="preserve">  投标文件如果隐瞒不符合评审标准的事实，一切法律责任由投标人承担。</w:t>
      </w:r>
    </w:p>
    <w:p>
      <w:pPr>
        <w:pStyle w:val="47"/>
        <w:spacing w:line="360" w:lineRule="auto"/>
        <w:ind w:firstLine="482" w:firstLineChars="200"/>
        <w:outlineLvl w:val="1"/>
        <w:rPr>
          <w:rStyle w:val="27"/>
          <w:rFonts w:hAnsi="宋体"/>
          <w:color w:val="auto"/>
          <w:sz w:val="24"/>
          <w:szCs w:val="24"/>
          <w:highlight w:val="none"/>
        </w:rPr>
      </w:pPr>
      <w:bookmarkStart w:id="81" w:name="_Toc32269"/>
      <w:bookmarkStart w:id="82" w:name="_Toc9947"/>
      <w:r>
        <w:rPr>
          <w:rStyle w:val="27"/>
          <w:rFonts w:hint="eastAsia" w:hAnsi="宋体" w:cs="宋体"/>
          <w:b/>
          <w:bCs/>
          <w:color w:val="auto"/>
          <w:sz w:val="24"/>
          <w:szCs w:val="24"/>
          <w:highlight w:val="none"/>
        </w:rPr>
        <w:t>3</w:t>
      </w:r>
      <w:r>
        <w:rPr>
          <w:rStyle w:val="27"/>
          <w:rFonts w:hAnsi="宋体" w:cs="宋体"/>
          <w:b/>
          <w:bCs/>
          <w:color w:val="auto"/>
          <w:sz w:val="24"/>
          <w:szCs w:val="24"/>
          <w:highlight w:val="none"/>
        </w:rPr>
        <w:t>.2  评标委员会</w:t>
      </w:r>
      <w:bookmarkEnd w:id="81"/>
      <w:bookmarkEnd w:id="82"/>
    </w:p>
    <w:p>
      <w:pPr>
        <w:spacing w:line="360" w:lineRule="auto"/>
        <w:ind w:firstLine="480" w:firstLineChars="200"/>
        <w:rPr>
          <w:rStyle w:val="27"/>
          <w:rFonts w:hAnsi="宋体"/>
          <w:color w:val="auto"/>
          <w:sz w:val="24"/>
          <w:highlight w:val="none"/>
        </w:rPr>
      </w:pPr>
      <w:r>
        <w:rPr>
          <w:rStyle w:val="27"/>
          <w:rFonts w:hint="eastAsia" w:ascii="宋体" w:hAnsi="宋体" w:eastAsia="宋体" w:cs="宋体"/>
          <w:color w:val="auto"/>
          <w:sz w:val="24"/>
          <w:highlight w:val="none"/>
        </w:rPr>
        <w:t xml:space="preserve">3.2.1 </w:t>
      </w:r>
      <w:r>
        <w:rPr>
          <w:rStyle w:val="27"/>
          <w:rFonts w:hAnsi="宋体"/>
          <w:color w:val="auto"/>
          <w:sz w:val="24"/>
          <w:highlight w:val="none"/>
        </w:rPr>
        <w:t>评标委员会由招标人依法组建：</w:t>
      </w:r>
      <w:r>
        <w:rPr>
          <w:rStyle w:val="27"/>
          <w:rFonts w:hAnsi="宋体"/>
          <w:color w:val="auto"/>
          <w:sz w:val="24"/>
          <w:highlight w:val="none"/>
          <w:u w:val="single"/>
        </w:rPr>
        <w:t xml:space="preserve"> 5</w:t>
      </w:r>
      <w:r>
        <w:rPr>
          <w:rStyle w:val="27"/>
          <w:rFonts w:hint="eastAsia" w:hAnsi="宋体"/>
          <w:color w:val="auto"/>
          <w:sz w:val="24"/>
          <w:highlight w:val="none"/>
          <w:u w:val="single"/>
        </w:rPr>
        <w:t xml:space="preserve"> </w:t>
      </w:r>
      <w:r>
        <w:rPr>
          <w:rStyle w:val="27"/>
          <w:rFonts w:hint="eastAsia" w:hAnsi="宋体"/>
          <w:color w:val="auto"/>
          <w:sz w:val="24"/>
          <w:highlight w:val="none"/>
        </w:rPr>
        <w:t>人，</w:t>
      </w:r>
      <w:r>
        <w:rPr>
          <w:rFonts w:hint="eastAsia" w:ascii="Times New Roman" w:hAnsi="Times New Roman" w:eastAsia="宋体" w:cs="Times New Roman"/>
          <w:color w:val="auto"/>
          <w:sz w:val="24"/>
          <w:highlight w:val="none"/>
        </w:rPr>
        <w:t>开标前从广东省综合评标评审专家库随机抽取</w:t>
      </w:r>
      <w:r>
        <w:rPr>
          <w:rFonts w:hint="eastAsia" w:ascii="Times New Roman" w:hAnsi="Times New Roman" w:eastAsia="宋体" w:cs="Times New Roman"/>
          <w:color w:val="auto"/>
          <w:sz w:val="24"/>
          <w:highlight w:val="none"/>
          <w:lang w:eastAsia="zh-CN"/>
        </w:rPr>
        <w:t>。</w:t>
      </w:r>
    </w:p>
    <w:p>
      <w:pPr>
        <w:pStyle w:val="47"/>
        <w:spacing w:line="360" w:lineRule="auto"/>
        <w:ind w:firstLine="480" w:firstLineChars="200"/>
        <w:rPr>
          <w:rStyle w:val="27"/>
          <w:rFonts w:hAnsi="宋体"/>
          <w:color w:val="auto"/>
          <w:sz w:val="24"/>
          <w:szCs w:val="24"/>
          <w:highlight w:val="none"/>
        </w:rPr>
      </w:pPr>
      <w:r>
        <w:rPr>
          <w:rStyle w:val="27"/>
          <w:rFonts w:hint="eastAsia" w:hAnsi="宋体"/>
          <w:color w:val="auto"/>
          <w:sz w:val="24"/>
          <w:szCs w:val="24"/>
          <w:highlight w:val="none"/>
        </w:rPr>
        <w:t>3.2.2 评标委员会随机产生一名负责人，主持评审工作。</w:t>
      </w:r>
    </w:p>
    <w:p>
      <w:pPr>
        <w:pStyle w:val="47"/>
        <w:spacing w:line="360" w:lineRule="auto"/>
        <w:ind w:firstLine="480" w:firstLineChars="200"/>
        <w:rPr>
          <w:rStyle w:val="27"/>
          <w:rFonts w:hAnsi="宋体"/>
          <w:color w:val="auto"/>
          <w:sz w:val="24"/>
          <w:szCs w:val="24"/>
          <w:highlight w:val="none"/>
        </w:rPr>
      </w:pPr>
      <w:r>
        <w:rPr>
          <w:rStyle w:val="27"/>
          <w:rFonts w:hint="eastAsia" w:hAnsi="宋体"/>
          <w:color w:val="auto"/>
          <w:sz w:val="24"/>
          <w:szCs w:val="24"/>
          <w:highlight w:val="none"/>
        </w:rPr>
        <w:t>3.2.3 评标委员会成员至少应了解和熟悉招标的目标、范围、性质、主要技术要求和标准、商务条款、评标标准、评标方法和在评标过程中考虑的相关因素，并对所提出的评审意见承担个人责任。</w:t>
      </w:r>
    </w:p>
    <w:p>
      <w:pPr>
        <w:pStyle w:val="47"/>
        <w:spacing w:line="360" w:lineRule="auto"/>
        <w:ind w:firstLine="480" w:firstLineChars="200"/>
        <w:rPr>
          <w:rStyle w:val="27"/>
          <w:rFonts w:hAnsi="宋体"/>
          <w:color w:val="auto"/>
          <w:sz w:val="24"/>
          <w:szCs w:val="24"/>
          <w:highlight w:val="none"/>
        </w:rPr>
      </w:pPr>
      <w:r>
        <w:rPr>
          <w:rStyle w:val="27"/>
          <w:rFonts w:hint="eastAsia" w:hAnsi="宋体"/>
          <w:color w:val="auto"/>
          <w:sz w:val="24"/>
          <w:szCs w:val="24"/>
          <w:highlight w:val="none"/>
        </w:rPr>
        <w:t>3</w:t>
      </w:r>
      <w:r>
        <w:rPr>
          <w:rStyle w:val="27"/>
          <w:rFonts w:hAnsi="宋体"/>
          <w:color w:val="auto"/>
          <w:sz w:val="24"/>
          <w:szCs w:val="24"/>
          <w:highlight w:val="none"/>
        </w:rPr>
        <w:t>.2.4 下列人员不得担任评标委员会成员：</w:t>
      </w:r>
    </w:p>
    <w:p>
      <w:pPr>
        <w:pStyle w:val="47"/>
        <w:spacing w:line="360" w:lineRule="auto"/>
        <w:ind w:left="410" w:hanging="410" w:hangingChars="171"/>
        <w:rPr>
          <w:rStyle w:val="27"/>
          <w:rFonts w:hAnsi="宋体"/>
          <w:color w:val="auto"/>
          <w:sz w:val="24"/>
          <w:szCs w:val="24"/>
          <w:highlight w:val="none"/>
        </w:rPr>
      </w:pPr>
      <w:r>
        <w:rPr>
          <w:rStyle w:val="27"/>
          <w:rFonts w:hAnsi="宋体"/>
          <w:color w:val="auto"/>
          <w:sz w:val="24"/>
          <w:szCs w:val="24"/>
          <w:highlight w:val="none"/>
        </w:rPr>
        <w:t xml:space="preserve">  </w:t>
      </w:r>
      <w:r>
        <w:rPr>
          <w:rStyle w:val="27"/>
          <w:rFonts w:hint="eastAsia" w:hAnsi="宋体"/>
          <w:color w:val="auto"/>
          <w:sz w:val="24"/>
          <w:szCs w:val="24"/>
          <w:highlight w:val="none"/>
        </w:rPr>
        <w:t xml:space="preserve">  </w:t>
      </w:r>
      <w:r>
        <w:rPr>
          <w:rStyle w:val="27"/>
          <w:rFonts w:hAnsi="宋体"/>
          <w:color w:val="auto"/>
          <w:sz w:val="24"/>
          <w:szCs w:val="24"/>
          <w:highlight w:val="none"/>
        </w:rPr>
        <w:t>(a) 不熟悉评审本项目所必须的专业知识；</w:t>
      </w:r>
    </w:p>
    <w:p>
      <w:pPr>
        <w:pStyle w:val="47"/>
        <w:spacing w:line="360" w:lineRule="auto"/>
        <w:ind w:left="410" w:hanging="410" w:hangingChars="171"/>
        <w:rPr>
          <w:rStyle w:val="27"/>
          <w:rFonts w:hAnsi="宋体"/>
          <w:color w:val="auto"/>
          <w:sz w:val="24"/>
          <w:szCs w:val="24"/>
          <w:highlight w:val="none"/>
        </w:rPr>
      </w:pPr>
      <w:r>
        <w:rPr>
          <w:rStyle w:val="27"/>
          <w:rFonts w:hAnsi="宋体"/>
          <w:color w:val="auto"/>
          <w:sz w:val="24"/>
          <w:szCs w:val="24"/>
          <w:highlight w:val="none"/>
        </w:rPr>
        <w:t xml:space="preserve">   </w:t>
      </w:r>
      <w:r>
        <w:rPr>
          <w:rStyle w:val="27"/>
          <w:rFonts w:hint="eastAsia" w:hAnsi="宋体"/>
          <w:color w:val="auto"/>
          <w:sz w:val="24"/>
          <w:szCs w:val="24"/>
          <w:highlight w:val="none"/>
        </w:rPr>
        <w:t xml:space="preserve"> </w:t>
      </w:r>
      <w:r>
        <w:rPr>
          <w:rStyle w:val="27"/>
          <w:rFonts w:hAnsi="宋体"/>
          <w:color w:val="auto"/>
          <w:sz w:val="24"/>
          <w:szCs w:val="24"/>
          <w:highlight w:val="none"/>
        </w:rPr>
        <w:t>(b)评标前浏览过本项目的某个投标文件；</w:t>
      </w:r>
    </w:p>
    <w:p>
      <w:pPr>
        <w:pStyle w:val="47"/>
        <w:spacing w:line="360" w:lineRule="auto"/>
        <w:ind w:left="410" w:hanging="410" w:hangingChars="171"/>
        <w:rPr>
          <w:rStyle w:val="27"/>
          <w:rFonts w:hAnsi="宋体"/>
          <w:color w:val="auto"/>
          <w:sz w:val="24"/>
          <w:szCs w:val="24"/>
          <w:highlight w:val="none"/>
        </w:rPr>
      </w:pPr>
      <w:r>
        <w:rPr>
          <w:rStyle w:val="27"/>
          <w:rFonts w:hAnsi="宋体"/>
          <w:color w:val="auto"/>
          <w:sz w:val="24"/>
          <w:szCs w:val="24"/>
          <w:highlight w:val="none"/>
        </w:rPr>
        <w:t xml:space="preserve">   </w:t>
      </w:r>
      <w:r>
        <w:rPr>
          <w:rStyle w:val="27"/>
          <w:rFonts w:hint="eastAsia" w:hAnsi="宋体"/>
          <w:color w:val="auto"/>
          <w:sz w:val="24"/>
          <w:szCs w:val="24"/>
          <w:highlight w:val="none"/>
        </w:rPr>
        <w:t xml:space="preserve"> </w:t>
      </w:r>
      <w:r>
        <w:rPr>
          <w:rStyle w:val="27"/>
          <w:rFonts w:hAnsi="宋体"/>
          <w:color w:val="auto"/>
          <w:sz w:val="24"/>
          <w:szCs w:val="24"/>
          <w:highlight w:val="none"/>
        </w:rPr>
        <w:t>(c)与投标人有利害关系；</w:t>
      </w:r>
    </w:p>
    <w:p>
      <w:pPr>
        <w:pStyle w:val="47"/>
        <w:spacing w:line="360" w:lineRule="auto"/>
        <w:rPr>
          <w:rStyle w:val="27"/>
          <w:rFonts w:hAnsi="宋体"/>
          <w:color w:val="auto"/>
          <w:sz w:val="24"/>
          <w:szCs w:val="24"/>
          <w:highlight w:val="none"/>
        </w:rPr>
      </w:pPr>
      <w:r>
        <w:rPr>
          <w:rStyle w:val="27"/>
          <w:rFonts w:hAnsi="宋体"/>
          <w:color w:val="auto"/>
          <w:sz w:val="24"/>
          <w:szCs w:val="24"/>
          <w:highlight w:val="none"/>
        </w:rPr>
        <w:t xml:space="preserve">   </w:t>
      </w:r>
      <w:r>
        <w:rPr>
          <w:rStyle w:val="27"/>
          <w:rFonts w:hint="eastAsia" w:hAnsi="宋体"/>
          <w:color w:val="auto"/>
          <w:sz w:val="24"/>
          <w:szCs w:val="24"/>
          <w:highlight w:val="none"/>
        </w:rPr>
        <w:t xml:space="preserve"> </w:t>
      </w:r>
      <w:r>
        <w:rPr>
          <w:rStyle w:val="27"/>
          <w:rFonts w:hAnsi="宋体"/>
          <w:color w:val="auto"/>
          <w:sz w:val="24"/>
          <w:szCs w:val="24"/>
          <w:highlight w:val="none"/>
        </w:rPr>
        <w:t>(d) 招标代理机构的工作人员。</w:t>
      </w:r>
    </w:p>
    <w:p>
      <w:pPr>
        <w:pStyle w:val="47"/>
        <w:spacing w:line="360" w:lineRule="auto"/>
        <w:ind w:firstLine="480" w:firstLineChars="200"/>
        <w:rPr>
          <w:rStyle w:val="27"/>
          <w:rFonts w:hAnsi="宋体"/>
          <w:color w:val="auto"/>
          <w:sz w:val="24"/>
          <w:szCs w:val="24"/>
          <w:highlight w:val="none"/>
        </w:rPr>
      </w:pPr>
      <w:r>
        <w:rPr>
          <w:rStyle w:val="27"/>
          <w:rFonts w:hint="eastAsia" w:hAnsi="宋体"/>
          <w:color w:val="auto"/>
          <w:sz w:val="24"/>
          <w:szCs w:val="24"/>
          <w:highlight w:val="none"/>
        </w:rPr>
        <w:t>3.2.5评标委员会成员不得私下接触投标人，不得收受投标人的财物或者其他好处。</w:t>
      </w:r>
    </w:p>
    <w:p>
      <w:pPr>
        <w:pStyle w:val="47"/>
        <w:spacing w:line="360" w:lineRule="auto"/>
        <w:ind w:firstLine="480" w:firstLineChars="200"/>
        <w:rPr>
          <w:rStyle w:val="27"/>
          <w:rFonts w:hAnsi="宋体"/>
          <w:color w:val="auto"/>
          <w:sz w:val="24"/>
          <w:szCs w:val="24"/>
          <w:highlight w:val="none"/>
        </w:rPr>
      </w:pPr>
      <w:r>
        <w:rPr>
          <w:rStyle w:val="27"/>
          <w:rFonts w:hint="eastAsia" w:hAnsi="宋体"/>
          <w:color w:val="auto"/>
          <w:sz w:val="24"/>
          <w:szCs w:val="24"/>
          <w:highlight w:val="none"/>
        </w:rPr>
        <w:t>3.2.6评标委员会开展工作期间发生的费用和劳务报酬由中标人承担。</w:t>
      </w:r>
    </w:p>
    <w:p>
      <w:pPr>
        <w:pStyle w:val="47"/>
        <w:spacing w:line="360" w:lineRule="auto"/>
        <w:ind w:firstLine="480" w:firstLineChars="200"/>
        <w:rPr>
          <w:rStyle w:val="27"/>
          <w:rFonts w:hAnsi="宋体"/>
          <w:color w:val="auto"/>
          <w:sz w:val="24"/>
          <w:szCs w:val="24"/>
          <w:highlight w:val="none"/>
        </w:rPr>
      </w:pPr>
      <w:r>
        <w:rPr>
          <w:rStyle w:val="27"/>
          <w:rFonts w:hint="eastAsia" w:hAnsi="宋体"/>
          <w:color w:val="auto"/>
          <w:sz w:val="24"/>
          <w:szCs w:val="24"/>
          <w:highlight w:val="none"/>
        </w:rPr>
        <w:t>3</w:t>
      </w:r>
      <w:r>
        <w:rPr>
          <w:rStyle w:val="27"/>
          <w:rFonts w:hAnsi="宋体"/>
          <w:color w:val="auto"/>
          <w:sz w:val="24"/>
          <w:szCs w:val="24"/>
          <w:highlight w:val="none"/>
        </w:rPr>
        <w:t>.2.7评标结果在评标结束后公示，接受公众监督。</w:t>
      </w:r>
    </w:p>
    <w:p>
      <w:pPr>
        <w:spacing w:line="360" w:lineRule="auto"/>
        <w:ind w:firstLine="482" w:firstLineChars="200"/>
        <w:outlineLvl w:val="1"/>
        <w:rPr>
          <w:rStyle w:val="27"/>
          <w:rFonts w:ascii="宋体" w:hAnsi="宋体"/>
          <w:color w:val="auto"/>
          <w:sz w:val="24"/>
          <w:highlight w:val="none"/>
        </w:rPr>
      </w:pPr>
      <w:bookmarkStart w:id="83" w:name="_Toc10643"/>
      <w:bookmarkStart w:id="84" w:name="_Toc19505"/>
      <w:r>
        <w:rPr>
          <w:rStyle w:val="27"/>
          <w:rFonts w:hint="eastAsia" w:ascii="宋体" w:hAnsi="宋体" w:cs="宋体"/>
          <w:b/>
          <w:bCs/>
          <w:color w:val="auto"/>
          <w:sz w:val="24"/>
          <w:highlight w:val="none"/>
        </w:rPr>
        <w:t>3</w:t>
      </w:r>
      <w:r>
        <w:rPr>
          <w:rStyle w:val="27"/>
          <w:rFonts w:ascii="宋体" w:hAnsi="宋体" w:cs="宋体"/>
          <w:b/>
          <w:bCs/>
          <w:color w:val="auto"/>
          <w:sz w:val="24"/>
          <w:highlight w:val="none"/>
        </w:rPr>
        <w:t>.3 评标原则</w:t>
      </w:r>
      <w:bookmarkEnd w:id="83"/>
      <w:bookmarkEnd w:id="84"/>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3.3.1评标委员会根据招标文件规定的评标标准和方法，对投标文件进行评审和比较，招标文件中没有规定的标准和方法不得作为评标的依据。</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3.3.2开标、评标过程发现的问题和产生的纠纷，由评标委员会负责裁决。裁决前，评标委员会应认真阅读招标文件的规定，并征询招标人、招标代理机构、交易服务机构、招标管理机构、监督机构等各方代表的意见。除非符合否决投标的条件，否则投标文件存在的其他缺陷和失误，由评标委员会在评估时综合考虑，不作否决投标处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pPr>
        <w:pStyle w:val="47"/>
        <w:spacing w:line="360" w:lineRule="auto"/>
        <w:ind w:firstLine="480" w:firstLineChars="200"/>
        <w:rPr>
          <w:rStyle w:val="27"/>
          <w:rFonts w:hAnsi="宋体"/>
          <w:color w:val="auto"/>
          <w:sz w:val="24"/>
          <w:szCs w:val="24"/>
          <w:highlight w:val="none"/>
        </w:rPr>
      </w:pPr>
      <w:r>
        <w:rPr>
          <w:rStyle w:val="27"/>
          <w:rFonts w:hint="eastAsia" w:hAnsi="宋体"/>
          <w:color w:val="auto"/>
          <w:sz w:val="24"/>
          <w:szCs w:val="24"/>
          <w:highlight w:val="none"/>
        </w:rPr>
        <w:t>3.3.</w:t>
      </w:r>
      <w:r>
        <w:rPr>
          <w:rStyle w:val="27"/>
          <w:rFonts w:hint="eastAsia" w:hAnsi="宋体"/>
          <w:color w:val="auto"/>
          <w:sz w:val="24"/>
          <w:szCs w:val="24"/>
          <w:highlight w:val="none"/>
          <w:lang w:val="en-US" w:eastAsia="zh-CN"/>
        </w:rPr>
        <w:t>4</w:t>
      </w:r>
      <w:r>
        <w:rPr>
          <w:rStyle w:val="27"/>
          <w:rFonts w:hint="eastAsia" w:hAnsi="宋体"/>
          <w:color w:val="auto"/>
          <w:sz w:val="24"/>
          <w:szCs w:val="24"/>
          <w:highlight w:val="none"/>
        </w:rPr>
        <w:t>如果少数投标人超越招标文件要求提交了模型、演示动画、特殊规格展示图纸或发生其他特殊情况，评标委员会对超越招标文件要求的内容不进行评审，只评审该投标文件符合要求的内容。</w:t>
      </w:r>
    </w:p>
    <w:p>
      <w:pPr>
        <w:pStyle w:val="47"/>
        <w:spacing w:line="360" w:lineRule="auto"/>
        <w:ind w:firstLine="480" w:firstLineChars="200"/>
        <w:rPr>
          <w:rStyle w:val="27"/>
          <w:rFonts w:hAnsi="宋体"/>
          <w:color w:val="auto"/>
          <w:sz w:val="24"/>
          <w:szCs w:val="24"/>
          <w:highlight w:val="none"/>
        </w:rPr>
      </w:pPr>
      <w:r>
        <w:rPr>
          <w:rStyle w:val="27"/>
          <w:rFonts w:hint="eastAsia" w:hAnsi="宋体"/>
          <w:color w:val="auto"/>
          <w:sz w:val="24"/>
          <w:szCs w:val="24"/>
          <w:highlight w:val="none"/>
        </w:rPr>
        <w:t>3.3.</w:t>
      </w:r>
      <w:r>
        <w:rPr>
          <w:rStyle w:val="27"/>
          <w:rFonts w:hint="eastAsia" w:hAnsi="宋体"/>
          <w:color w:val="auto"/>
          <w:sz w:val="24"/>
          <w:szCs w:val="24"/>
          <w:highlight w:val="none"/>
          <w:lang w:val="en-US" w:eastAsia="zh-CN"/>
        </w:rPr>
        <w:t>5</w:t>
      </w:r>
      <w:r>
        <w:rPr>
          <w:rStyle w:val="27"/>
          <w:rFonts w:hint="eastAsia" w:hAnsi="宋体"/>
          <w:color w:val="auto"/>
          <w:sz w:val="24"/>
          <w:szCs w:val="24"/>
          <w:highlight w:val="none"/>
        </w:rPr>
        <w:t>评标委员会经评审，递交投标文件或通过资格审查的投标人不足三人，可以否决所有投标。如果所有投标被否决而重新招标，评标委员会成员及其从业机构不得参加投标。</w:t>
      </w:r>
    </w:p>
    <w:p>
      <w:pPr>
        <w:pStyle w:val="47"/>
        <w:spacing w:line="360" w:lineRule="auto"/>
        <w:ind w:firstLine="482" w:firstLineChars="200"/>
        <w:outlineLvl w:val="1"/>
        <w:rPr>
          <w:rStyle w:val="27"/>
          <w:rFonts w:hAnsi="宋体" w:cs="宋体"/>
          <w:b/>
          <w:bCs/>
          <w:color w:val="auto"/>
          <w:sz w:val="24"/>
          <w:szCs w:val="24"/>
          <w:highlight w:val="none"/>
        </w:rPr>
      </w:pPr>
      <w:bookmarkStart w:id="85" w:name="_Toc7711"/>
      <w:bookmarkStart w:id="86" w:name="_Toc30906"/>
      <w:r>
        <w:rPr>
          <w:rStyle w:val="27"/>
          <w:rFonts w:hint="eastAsia" w:hAnsi="宋体" w:cs="宋体"/>
          <w:b/>
          <w:bCs/>
          <w:color w:val="auto"/>
          <w:sz w:val="24"/>
          <w:szCs w:val="24"/>
          <w:highlight w:val="none"/>
        </w:rPr>
        <w:t xml:space="preserve">3.4 </w:t>
      </w:r>
      <w:r>
        <w:rPr>
          <w:rStyle w:val="27"/>
          <w:rFonts w:hAnsi="宋体" w:cs="宋体"/>
          <w:b/>
          <w:bCs/>
          <w:color w:val="auto"/>
          <w:sz w:val="24"/>
          <w:szCs w:val="24"/>
          <w:highlight w:val="none"/>
        </w:rPr>
        <w:t>评标与定标办法</w:t>
      </w:r>
      <w:bookmarkEnd w:id="85"/>
      <w:bookmarkEnd w:id="86"/>
    </w:p>
    <w:p>
      <w:pPr>
        <w:pStyle w:val="53"/>
        <w:spacing w:line="360" w:lineRule="auto"/>
        <w:ind w:firstLine="482" w:firstLineChars="200"/>
        <w:rPr>
          <w:rStyle w:val="27"/>
          <w:rFonts w:ascii="宋体" w:hAnsi="宋体"/>
          <w:color w:val="auto"/>
          <w:sz w:val="24"/>
          <w:szCs w:val="24"/>
          <w:highlight w:val="none"/>
        </w:rPr>
      </w:pPr>
      <w:r>
        <w:rPr>
          <w:rStyle w:val="27"/>
          <w:rFonts w:hint="eastAsia" w:ascii="宋体" w:hAnsi="宋体"/>
          <w:color w:val="auto"/>
          <w:sz w:val="24"/>
          <w:szCs w:val="24"/>
          <w:highlight w:val="none"/>
        </w:rPr>
        <w:t>3.4.1</w:t>
      </w:r>
      <w:r>
        <w:rPr>
          <w:rStyle w:val="27"/>
          <w:rFonts w:ascii="宋体" w:hAnsi="宋体"/>
          <w:color w:val="auto"/>
          <w:sz w:val="24"/>
          <w:szCs w:val="24"/>
          <w:highlight w:val="none"/>
        </w:rPr>
        <w:t>评标办法</w:t>
      </w:r>
    </w:p>
    <w:p>
      <w:pPr>
        <w:spacing w:line="360" w:lineRule="auto"/>
        <w:ind w:firstLine="480" w:firstLineChars="200"/>
        <w:rPr>
          <w:rStyle w:val="27"/>
          <w:rFonts w:ascii="宋体" w:hAnsi="宋体"/>
          <w:color w:val="auto"/>
          <w:sz w:val="24"/>
          <w:highlight w:val="none"/>
        </w:rPr>
      </w:pPr>
      <w:r>
        <w:rPr>
          <w:rStyle w:val="27"/>
          <w:rFonts w:hint="eastAsia" w:ascii="宋体" w:hAnsi="宋体"/>
          <w:color w:val="auto"/>
          <w:sz w:val="24"/>
          <w:highlight w:val="none"/>
        </w:rPr>
        <w:t>3</w:t>
      </w:r>
      <w:r>
        <w:rPr>
          <w:rStyle w:val="27"/>
          <w:rFonts w:ascii="宋体" w:hAnsi="宋体"/>
          <w:color w:val="auto"/>
          <w:sz w:val="24"/>
          <w:highlight w:val="none"/>
        </w:rPr>
        <w:t>.</w:t>
      </w:r>
      <w:r>
        <w:rPr>
          <w:rStyle w:val="27"/>
          <w:rFonts w:hint="eastAsia" w:ascii="宋体" w:hAnsi="宋体"/>
          <w:color w:val="auto"/>
          <w:sz w:val="24"/>
          <w:highlight w:val="none"/>
        </w:rPr>
        <w:t>4</w:t>
      </w:r>
      <w:r>
        <w:rPr>
          <w:rStyle w:val="27"/>
          <w:rFonts w:ascii="宋体" w:hAnsi="宋体"/>
          <w:color w:val="auto"/>
          <w:sz w:val="24"/>
          <w:highlight w:val="none"/>
        </w:rPr>
        <w:t>.1</w:t>
      </w:r>
      <w:r>
        <w:rPr>
          <w:rStyle w:val="27"/>
          <w:rFonts w:hint="eastAsia" w:ascii="宋体" w:hAnsi="宋体"/>
          <w:color w:val="auto"/>
          <w:sz w:val="24"/>
          <w:highlight w:val="none"/>
        </w:rPr>
        <w:t>.1</w:t>
      </w:r>
      <w:r>
        <w:rPr>
          <w:rStyle w:val="27"/>
          <w:rFonts w:ascii="宋体" w:hAnsi="宋体"/>
          <w:color w:val="auto"/>
          <w:sz w:val="24"/>
          <w:highlight w:val="none"/>
        </w:rPr>
        <w:t>本招标项目评标定标办法采用</w:t>
      </w:r>
      <w:r>
        <w:rPr>
          <w:rStyle w:val="27"/>
          <w:rFonts w:hint="eastAsia" w:ascii="宋体" w:hAnsi="宋体"/>
          <w:color w:val="auto"/>
          <w:sz w:val="24"/>
          <w:highlight w:val="none"/>
        </w:rPr>
        <w:t>设计团队</w:t>
      </w:r>
      <w:r>
        <w:rPr>
          <w:rStyle w:val="27"/>
          <w:rFonts w:ascii="宋体" w:hAnsi="宋体"/>
          <w:color w:val="auto"/>
          <w:sz w:val="24"/>
          <w:highlight w:val="none"/>
        </w:rPr>
        <w:t>综合</w:t>
      </w:r>
      <w:r>
        <w:rPr>
          <w:rStyle w:val="27"/>
          <w:rFonts w:hint="eastAsia" w:ascii="宋体" w:hAnsi="宋体"/>
          <w:color w:val="auto"/>
          <w:sz w:val="24"/>
          <w:highlight w:val="none"/>
        </w:rPr>
        <w:t>评分评审法</w:t>
      </w:r>
      <w:r>
        <w:rPr>
          <w:rStyle w:val="27"/>
          <w:rFonts w:ascii="宋体" w:hAnsi="宋体"/>
          <w:color w:val="auto"/>
          <w:sz w:val="24"/>
          <w:highlight w:val="none"/>
        </w:rPr>
        <w:t>。</w:t>
      </w:r>
    </w:p>
    <w:p>
      <w:pPr>
        <w:spacing w:line="360" w:lineRule="auto"/>
        <w:ind w:firstLine="480" w:firstLineChars="200"/>
        <w:rPr>
          <w:rStyle w:val="27"/>
          <w:rFonts w:ascii="宋体" w:hAnsi="宋体"/>
          <w:color w:val="auto"/>
          <w:sz w:val="24"/>
          <w:highlight w:val="none"/>
        </w:rPr>
      </w:pPr>
      <w:r>
        <w:rPr>
          <w:rStyle w:val="27"/>
          <w:rFonts w:hint="eastAsia" w:ascii="宋体" w:hAnsi="宋体"/>
          <w:color w:val="auto"/>
          <w:sz w:val="24"/>
          <w:highlight w:val="none"/>
        </w:rPr>
        <w:t>3.4.</w:t>
      </w:r>
      <w:r>
        <w:rPr>
          <w:rStyle w:val="27"/>
          <w:rFonts w:ascii="宋体" w:hAnsi="宋体"/>
          <w:color w:val="auto"/>
          <w:sz w:val="24"/>
          <w:highlight w:val="none"/>
        </w:rPr>
        <w:t>1.2评标分项分值权重（满分100分）：</w:t>
      </w:r>
    </w:p>
    <w:p>
      <w:pPr>
        <w:spacing w:line="360" w:lineRule="auto"/>
        <w:ind w:firstLine="480" w:firstLineChars="200"/>
        <w:rPr>
          <w:rStyle w:val="27"/>
          <w:rFonts w:ascii="宋体" w:hAnsi="宋体"/>
          <w:color w:val="auto"/>
          <w:sz w:val="24"/>
          <w:highlight w:val="none"/>
        </w:rPr>
      </w:pPr>
      <w:r>
        <w:rPr>
          <w:rStyle w:val="27"/>
          <w:rFonts w:ascii="宋体" w:hAnsi="宋体"/>
          <w:color w:val="auto"/>
          <w:sz w:val="24"/>
          <w:highlight w:val="none"/>
        </w:rPr>
        <w:t>①技术</w:t>
      </w:r>
      <w:r>
        <w:rPr>
          <w:rStyle w:val="27"/>
          <w:rFonts w:hint="eastAsia" w:ascii="宋体" w:hAnsi="宋体"/>
          <w:color w:val="auto"/>
          <w:sz w:val="24"/>
          <w:highlight w:val="none"/>
          <w:lang w:val="en-US" w:eastAsia="zh-CN"/>
        </w:rPr>
        <w:t>文件</w:t>
      </w:r>
      <w:r>
        <w:rPr>
          <w:rStyle w:val="27"/>
          <w:rFonts w:ascii="宋体" w:hAnsi="宋体"/>
          <w:color w:val="auto"/>
          <w:sz w:val="24"/>
          <w:highlight w:val="none"/>
        </w:rPr>
        <w:t>（</w:t>
      </w:r>
      <w:r>
        <w:rPr>
          <w:rStyle w:val="27"/>
          <w:rFonts w:hint="eastAsia" w:ascii="宋体" w:hAnsi="宋体"/>
          <w:color w:val="auto"/>
          <w:sz w:val="24"/>
          <w:highlight w:val="none"/>
        </w:rPr>
        <w:t>40</w:t>
      </w:r>
      <w:r>
        <w:rPr>
          <w:rStyle w:val="27"/>
          <w:rFonts w:ascii="宋体" w:hAnsi="宋体"/>
          <w:color w:val="auto"/>
          <w:sz w:val="24"/>
          <w:highlight w:val="none"/>
        </w:rPr>
        <w:t>分）；</w:t>
      </w:r>
    </w:p>
    <w:p>
      <w:pPr>
        <w:spacing w:line="360" w:lineRule="auto"/>
        <w:ind w:firstLine="480" w:firstLineChars="200"/>
        <w:rPr>
          <w:rStyle w:val="27"/>
          <w:rFonts w:ascii="宋体" w:hAnsi="宋体"/>
          <w:color w:val="auto"/>
          <w:sz w:val="24"/>
          <w:highlight w:val="none"/>
        </w:rPr>
      </w:pPr>
      <w:r>
        <w:rPr>
          <w:rStyle w:val="27"/>
          <w:rFonts w:ascii="宋体" w:hAnsi="宋体"/>
          <w:color w:val="auto"/>
          <w:sz w:val="24"/>
          <w:highlight w:val="none"/>
        </w:rPr>
        <w:t>②商务</w:t>
      </w:r>
      <w:r>
        <w:rPr>
          <w:rStyle w:val="27"/>
          <w:rFonts w:hint="eastAsia" w:ascii="宋体" w:hAnsi="宋体"/>
          <w:color w:val="auto"/>
          <w:sz w:val="24"/>
          <w:highlight w:val="none"/>
          <w:lang w:val="en-US" w:eastAsia="zh-CN"/>
        </w:rPr>
        <w:t>文件</w:t>
      </w:r>
      <w:r>
        <w:rPr>
          <w:rStyle w:val="27"/>
          <w:rFonts w:ascii="宋体" w:hAnsi="宋体"/>
          <w:color w:val="auto"/>
          <w:sz w:val="24"/>
          <w:highlight w:val="none"/>
        </w:rPr>
        <w:t>（</w:t>
      </w:r>
      <w:r>
        <w:rPr>
          <w:rStyle w:val="27"/>
          <w:rFonts w:hint="eastAsia" w:ascii="宋体" w:hAnsi="宋体"/>
          <w:color w:val="auto"/>
          <w:sz w:val="24"/>
          <w:highlight w:val="none"/>
        </w:rPr>
        <w:t>60</w:t>
      </w:r>
      <w:r>
        <w:rPr>
          <w:rStyle w:val="27"/>
          <w:rFonts w:ascii="宋体" w:hAnsi="宋体"/>
          <w:color w:val="auto"/>
          <w:sz w:val="24"/>
          <w:highlight w:val="none"/>
        </w:rPr>
        <w:t>分）。</w:t>
      </w:r>
    </w:p>
    <w:p>
      <w:pPr>
        <w:spacing w:line="360" w:lineRule="auto"/>
        <w:ind w:firstLine="480" w:firstLineChars="200"/>
        <w:rPr>
          <w:rStyle w:val="27"/>
          <w:rFonts w:ascii="宋体" w:hAnsi="宋体"/>
          <w:color w:val="auto"/>
          <w:sz w:val="24"/>
          <w:highlight w:val="none"/>
        </w:rPr>
      </w:pPr>
      <w:r>
        <w:rPr>
          <w:rStyle w:val="27"/>
          <w:rFonts w:hint="eastAsia" w:ascii="宋体" w:hAnsi="宋体"/>
          <w:color w:val="auto"/>
          <w:sz w:val="24"/>
          <w:highlight w:val="none"/>
        </w:rPr>
        <w:t>具体评分细则详见（附表四《技术文件评分表》、附表五《商务文件评分表》）。</w:t>
      </w:r>
    </w:p>
    <w:p>
      <w:pPr>
        <w:snapToGrid w:val="0"/>
        <w:spacing w:line="360" w:lineRule="auto"/>
        <w:ind w:firstLine="525" w:firstLineChars="218"/>
        <w:rPr>
          <w:rStyle w:val="27"/>
          <w:rFonts w:ascii="宋体" w:hAnsi="宋体"/>
          <w:b/>
          <w:color w:val="auto"/>
          <w:sz w:val="24"/>
          <w:highlight w:val="none"/>
        </w:rPr>
      </w:pPr>
      <w:r>
        <w:rPr>
          <w:rStyle w:val="27"/>
          <w:rFonts w:hint="eastAsia" w:ascii="宋体" w:hAnsi="宋体"/>
          <w:b/>
          <w:color w:val="auto"/>
          <w:sz w:val="24"/>
          <w:highlight w:val="none"/>
        </w:rPr>
        <w:t>3.4</w:t>
      </w:r>
      <w:r>
        <w:rPr>
          <w:rStyle w:val="27"/>
          <w:rFonts w:ascii="宋体" w:hAnsi="宋体"/>
          <w:b/>
          <w:color w:val="auto"/>
          <w:sz w:val="24"/>
          <w:highlight w:val="none"/>
        </w:rPr>
        <w:t>.2评标程序</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 xml:space="preserve">3.4.2.1 </w:t>
      </w:r>
      <w:r>
        <w:rPr>
          <w:rFonts w:hint="eastAsia" w:ascii="宋体" w:hAnsi="宋体" w:cs="宋体"/>
          <w:color w:val="auto"/>
          <w:sz w:val="24"/>
          <w:highlight w:val="none"/>
        </w:rPr>
        <w:t>技术文件送达评标地点前不得启封。技术文件送达评标地点后，由交易中心见证人启封并编号。编号时评标委员会成员应当回避，编号工作完成后，技术文件交给评标委员会评审。</w:t>
      </w:r>
    </w:p>
    <w:p>
      <w:pPr>
        <w:spacing w:line="360" w:lineRule="auto"/>
        <w:ind w:firstLine="480" w:firstLineChars="200"/>
        <w:rPr>
          <w:rStyle w:val="27"/>
          <w:rFonts w:ascii="宋体" w:hAnsi="宋体"/>
          <w:color w:val="auto"/>
          <w:sz w:val="24"/>
          <w:highlight w:val="none"/>
        </w:rPr>
      </w:pPr>
      <w:r>
        <w:rPr>
          <w:rStyle w:val="27"/>
          <w:rFonts w:ascii="宋体" w:hAnsi="宋体"/>
          <w:color w:val="auto"/>
          <w:sz w:val="24"/>
          <w:highlight w:val="none"/>
        </w:rPr>
        <w:t>（1）评审主要是审查投标文件是否实质上响应招标文件要求。</w:t>
      </w:r>
    </w:p>
    <w:p>
      <w:pPr>
        <w:spacing w:line="360" w:lineRule="auto"/>
        <w:ind w:firstLine="480" w:firstLineChars="200"/>
        <w:rPr>
          <w:rStyle w:val="27"/>
          <w:rFonts w:ascii="宋体" w:hAnsi="宋体"/>
          <w:color w:val="auto"/>
          <w:sz w:val="24"/>
          <w:highlight w:val="none"/>
        </w:rPr>
      </w:pPr>
      <w:r>
        <w:rPr>
          <w:rStyle w:val="27"/>
          <w:rFonts w:ascii="宋体" w:hAnsi="宋体"/>
          <w:color w:val="auto"/>
          <w:sz w:val="24"/>
          <w:highlight w:val="none"/>
        </w:rPr>
        <w:t>（2）实质上响应招标文件要求的投标文件是指基本符合招标文件提出的要求，无重大偏离或保留。</w:t>
      </w:r>
    </w:p>
    <w:p>
      <w:pPr>
        <w:spacing w:line="360" w:lineRule="auto"/>
        <w:ind w:firstLine="480" w:firstLineChars="200"/>
        <w:rPr>
          <w:rStyle w:val="27"/>
          <w:rFonts w:ascii="宋体" w:hAnsi="宋体"/>
          <w:color w:val="auto"/>
          <w:sz w:val="24"/>
          <w:highlight w:val="none"/>
        </w:rPr>
      </w:pPr>
      <w:r>
        <w:rPr>
          <w:rStyle w:val="27"/>
          <w:rFonts w:ascii="宋体" w:hAnsi="宋体"/>
          <w:color w:val="auto"/>
          <w:sz w:val="24"/>
          <w:highlight w:val="none"/>
        </w:rPr>
        <w:t>（3）重大偏离或保留是指下列情况之一：</w:t>
      </w:r>
    </w:p>
    <w:p>
      <w:pPr>
        <w:spacing w:line="360" w:lineRule="auto"/>
        <w:ind w:firstLine="480" w:firstLineChars="200"/>
        <w:rPr>
          <w:rStyle w:val="27"/>
          <w:rFonts w:ascii="宋体" w:hAnsi="宋体"/>
          <w:color w:val="auto"/>
          <w:sz w:val="24"/>
          <w:highlight w:val="none"/>
        </w:rPr>
      </w:pPr>
      <w:r>
        <w:rPr>
          <w:rStyle w:val="27"/>
          <w:rFonts w:ascii="宋体" w:hAnsi="宋体"/>
          <w:color w:val="auto"/>
          <w:sz w:val="24"/>
          <w:highlight w:val="none"/>
        </w:rPr>
        <w:t>①对投标的工作范围和工作内容有实质性修改；</w:t>
      </w:r>
    </w:p>
    <w:p>
      <w:pPr>
        <w:spacing w:line="360" w:lineRule="auto"/>
        <w:ind w:firstLine="480" w:firstLineChars="200"/>
        <w:rPr>
          <w:rStyle w:val="27"/>
          <w:rFonts w:ascii="宋体" w:hAnsi="宋体"/>
          <w:color w:val="auto"/>
          <w:sz w:val="24"/>
          <w:highlight w:val="none"/>
        </w:rPr>
      </w:pPr>
      <w:r>
        <w:rPr>
          <w:rStyle w:val="27"/>
          <w:rFonts w:ascii="宋体" w:hAnsi="宋体"/>
          <w:color w:val="auto"/>
          <w:sz w:val="24"/>
          <w:highlight w:val="none"/>
        </w:rPr>
        <w:t>②对合同中规定的双方的权利和义务作实质性修改；</w:t>
      </w:r>
    </w:p>
    <w:p>
      <w:pPr>
        <w:spacing w:line="360" w:lineRule="auto"/>
        <w:ind w:firstLine="480" w:firstLineChars="200"/>
        <w:rPr>
          <w:rStyle w:val="27"/>
          <w:rFonts w:ascii="宋体" w:hAnsi="宋体"/>
          <w:color w:val="auto"/>
          <w:sz w:val="24"/>
          <w:highlight w:val="none"/>
        </w:rPr>
      </w:pPr>
      <w:r>
        <w:rPr>
          <w:rStyle w:val="27"/>
          <w:rFonts w:ascii="宋体" w:hAnsi="宋体"/>
          <w:color w:val="auto"/>
          <w:sz w:val="24"/>
          <w:highlight w:val="none"/>
        </w:rPr>
        <w:t>③纠正这种偏差或保留将会对投标竞争产生不公正的影响；</w:t>
      </w:r>
    </w:p>
    <w:p>
      <w:pPr>
        <w:spacing w:line="360" w:lineRule="auto"/>
        <w:ind w:firstLine="480" w:firstLineChars="200"/>
        <w:rPr>
          <w:rStyle w:val="27"/>
          <w:rFonts w:ascii="宋体" w:hAnsi="宋体"/>
          <w:color w:val="auto"/>
          <w:sz w:val="24"/>
          <w:highlight w:val="none"/>
        </w:rPr>
      </w:pPr>
      <w:r>
        <w:rPr>
          <w:rStyle w:val="27"/>
          <w:rFonts w:ascii="宋体" w:hAnsi="宋体"/>
          <w:color w:val="auto"/>
          <w:sz w:val="24"/>
          <w:highlight w:val="none"/>
        </w:rPr>
        <w:t>④实质上未响应招标文件的投标文件将被拒绝，也不允许投标人在开标后改正其不响应招标文件的偏离或保留。</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3.4.2.2</w:t>
      </w:r>
      <w:r>
        <w:rPr>
          <w:rStyle w:val="27"/>
          <w:rFonts w:ascii="宋体" w:hAnsi="宋体"/>
          <w:color w:val="auto"/>
          <w:sz w:val="24"/>
          <w:highlight w:val="none"/>
        </w:rPr>
        <w:t>评标委员会成员领取招标文件，阅读招标文件，对招标文件内容有疑问的，由招标人代表</w:t>
      </w:r>
      <w:r>
        <w:rPr>
          <w:rStyle w:val="27"/>
          <w:rFonts w:hint="eastAsia" w:ascii="宋体" w:hAnsi="宋体"/>
          <w:color w:val="auto"/>
          <w:sz w:val="24"/>
          <w:highlight w:val="none"/>
        </w:rPr>
        <w:t>或招标代理机构</w:t>
      </w:r>
      <w:r>
        <w:rPr>
          <w:rStyle w:val="27"/>
          <w:rFonts w:ascii="宋体" w:hAnsi="宋体"/>
          <w:color w:val="auto"/>
          <w:sz w:val="24"/>
          <w:highlight w:val="none"/>
        </w:rPr>
        <w:t>负责澄清。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3.4.2.3 评标的具体流程</w:t>
      </w:r>
    </w:p>
    <w:p>
      <w:pPr>
        <w:spacing w:line="360" w:lineRule="auto"/>
        <w:ind w:firstLine="480" w:firstLineChars="200"/>
        <w:rPr>
          <w:rFonts w:ascii="宋体" w:hAnsi="宋体" w:cs="宋体"/>
          <w:color w:val="auto"/>
          <w:sz w:val="24"/>
          <w:highlight w:val="none"/>
        </w:rPr>
      </w:pPr>
      <w:bookmarkStart w:id="87" w:name="_Toc36623011"/>
      <w:r>
        <w:rPr>
          <w:rFonts w:hint="eastAsia" w:ascii="宋体" w:hAnsi="宋体" w:cs="宋体"/>
          <w:color w:val="auto"/>
          <w:sz w:val="24"/>
          <w:highlight w:val="none"/>
        </w:rPr>
        <w:t>(a) 评标委员会首先按《资格审查表》对各投标文件进行评审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编写资格审查报告。</w:t>
      </w:r>
      <w:r>
        <w:rPr>
          <w:rFonts w:hint="eastAsia" w:ascii="宋体" w:hAnsi="宋体" w:cs="宋体"/>
          <w:color w:val="auto"/>
          <w:sz w:val="24"/>
          <w:highlight w:val="none"/>
        </w:rPr>
        <w:t>只有通过资格审查的投标文件方可进入下一阶段的评审。如果有废标提议，则评标委员会成员共同表决，按照少数服从多数的原则决定是否废标。</w:t>
      </w:r>
    </w:p>
    <w:bookmarkEnd w:id="87"/>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 评标委员会</w:t>
      </w: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《商务文件有效性审查表》对各投标文件进行评审，只有通过商务有效性审查的投标文件方可进入下一阶段的评审。如果有废标提议，则评标委员会成员共同表决，按照少数服从多数的原则决定是否废标。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 评标委员会</w:t>
      </w: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《商务文件评分表》对</w:t>
      </w:r>
      <w:r>
        <w:rPr>
          <w:rFonts w:hint="eastAsia" w:ascii="宋体" w:hAnsi="宋体" w:cs="宋体"/>
          <w:color w:val="auto"/>
          <w:sz w:val="24"/>
          <w:highlight w:val="none"/>
          <w:lang w:val="en-US" w:eastAsia="zh-CN"/>
        </w:rPr>
        <w:t>各</w:t>
      </w:r>
      <w:r>
        <w:rPr>
          <w:rFonts w:hint="eastAsia" w:ascii="宋体" w:hAnsi="宋体" w:cs="宋体"/>
          <w:color w:val="auto"/>
          <w:sz w:val="24"/>
          <w:highlight w:val="none"/>
        </w:rPr>
        <w:t>投标单位的商务文件进行综合评</w:t>
      </w:r>
      <w:r>
        <w:rPr>
          <w:rFonts w:hint="eastAsia" w:ascii="宋体" w:hAnsi="宋体" w:cs="宋体"/>
          <w:color w:val="auto"/>
          <w:sz w:val="24"/>
          <w:highlight w:val="none"/>
          <w:lang w:val="en-US" w:eastAsia="zh-CN"/>
        </w:rPr>
        <w:t>审，</w:t>
      </w:r>
      <w:r>
        <w:rPr>
          <w:rFonts w:hint="eastAsia" w:ascii="宋体" w:hAnsi="宋体"/>
          <w:color w:val="auto"/>
          <w:sz w:val="24"/>
          <w:highlight w:val="none"/>
        </w:rPr>
        <w:t>评标委员会</w:t>
      </w:r>
      <w:r>
        <w:rPr>
          <w:rFonts w:hint="eastAsia" w:ascii="宋体" w:hAnsi="宋体"/>
          <w:color w:val="auto"/>
          <w:sz w:val="24"/>
          <w:highlight w:val="none"/>
          <w:lang w:val="en-US" w:eastAsia="zh-CN"/>
        </w:rPr>
        <w:t>所有</w:t>
      </w:r>
      <w:r>
        <w:rPr>
          <w:rFonts w:hint="eastAsia" w:ascii="宋体" w:hAnsi="宋体"/>
          <w:color w:val="auto"/>
          <w:sz w:val="24"/>
          <w:highlight w:val="none"/>
        </w:rPr>
        <w:t>成员共同评定商务</w:t>
      </w:r>
      <w:r>
        <w:rPr>
          <w:rFonts w:hint="eastAsia" w:ascii="宋体" w:hAnsi="宋体"/>
          <w:color w:val="auto"/>
          <w:sz w:val="24"/>
          <w:highlight w:val="none"/>
          <w:lang w:val="en-US" w:eastAsia="zh-CN"/>
        </w:rPr>
        <w:t>文件分</w:t>
      </w:r>
      <w:r>
        <w:rPr>
          <w:rFonts w:hint="eastAsia" w:ascii="宋体" w:hAnsi="宋体"/>
          <w:color w:val="auto"/>
          <w:sz w:val="24"/>
          <w:highlight w:val="none"/>
        </w:rPr>
        <w:t>值</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 评标委员会</w:t>
      </w: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《技术文件有效性审查表》对各投标</w:t>
      </w:r>
      <w:r>
        <w:rPr>
          <w:rFonts w:hint="eastAsia" w:ascii="宋体" w:hAnsi="宋体" w:cs="宋体"/>
          <w:color w:val="auto"/>
          <w:sz w:val="24"/>
          <w:highlight w:val="none"/>
          <w:lang w:val="en-US" w:eastAsia="zh-CN"/>
        </w:rPr>
        <w:t>单位的技术</w:t>
      </w:r>
      <w:r>
        <w:rPr>
          <w:rFonts w:hint="eastAsia" w:ascii="宋体" w:hAnsi="宋体" w:cs="宋体"/>
          <w:color w:val="auto"/>
          <w:sz w:val="24"/>
          <w:highlight w:val="none"/>
        </w:rPr>
        <w:t>文件进行评审，只有通过技术有效性审查的投标文件方可进入下一阶段的评审。如果有废标提议，则评标委员会成员共同表决，按照少数服从多数的原则决定是否废标。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 评标委员会</w:t>
      </w: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《技术文件评分表》对各投标单位的技术文件进行综合评</w:t>
      </w:r>
      <w:r>
        <w:rPr>
          <w:rFonts w:hint="eastAsia" w:ascii="宋体" w:hAnsi="宋体" w:cs="宋体"/>
          <w:color w:val="auto"/>
          <w:sz w:val="24"/>
          <w:highlight w:val="none"/>
          <w:lang w:val="en-US" w:eastAsia="zh-CN"/>
        </w:rPr>
        <w:t>审，</w:t>
      </w:r>
      <w:r>
        <w:rPr>
          <w:rFonts w:hint="eastAsia" w:ascii="宋体" w:hAnsi="宋体"/>
          <w:color w:val="auto"/>
          <w:sz w:val="24"/>
          <w:highlight w:val="none"/>
        </w:rPr>
        <w:t>评标委员会</w:t>
      </w:r>
      <w:r>
        <w:rPr>
          <w:rFonts w:hint="eastAsia" w:ascii="宋体" w:hAnsi="宋体"/>
          <w:color w:val="auto"/>
          <w:sz w:val="24"/>
          <w:highlight w:val="none"/>
          <w:lang w:val="en-US" w:eastAsia="zh-CN"/>
        </w:rPr>
        <w:t>所有</w:t>
      </w:r>
      <w:r>
        <w:rPr>
          <w:rFonts w:hint="eastAsia" w:ascii="宋体" w:hAnsi="宋体"/>
          <w:color w:val="auto"/>
          <w:sz w:val="24"/>
          <w:highlight w:val="none"/>
        </w:rPr>
        <w:t>成员评分</w:t>
      </w:r>
      <w:r>
        <w:rPr>
          <w:rFonts w:hint="eastAsia" w:ascii="宋体" w:hAnsi="宋体"/>
          <w:color w:val="auto"/>
          <w:sz w:val="24"/>
          <w:highlight w:val="none"/>
          <w:lang w:val="en-US" w:eastAsia="zh-CN"/>
        </w:rPr>
        <w:t>的</w:t>
      </w:r>
      <w:r>
        <w:rPr>
          <w:rFonts w:hint="eastAsia" w:ascii="宋体" w:hAnsi="宋体"/>
          <w:color w:val="auto"/>
          <w:sz w:val="24"/>
          <w:highlight w:val="none"/>
        </w:rPr>
        <w:t>平均值即为投标人的技术</w:t>
      </w:r>
      <w:r>
        <w:rPr>
          <w:rFonts w:hint="eastAsia" w:ascii="宋体" w:hAnsi="宋体"/>
          <w:color w:val="auto"/>
          <w:sz w:val="24"/>
          <w:highlight w:val="none"/>
          <w:lang w:val="en-US" w:eastAsia="zh-CN"/>
        </w:rPr>
        <w:t>文件</w:t>
      </w:r>
      <w:r>
        <w:rPr>
          <w:rFonts w:hint="eastAsia" w:ascii="宋体" w:hAnsi="宋体"/>
          <w:color w:val="auto"/>
          <w:sz w:val="24"/>
          <w:highlight w:val="none"/>
        </w:rPr>
        <w:t>得分</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(f) 分数出现小数点，保留小数点后二位，第三位小数四舍五入。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(g) 揭晓投标人名称。评标委员会开启保密信封，核对投标人身份并记录。</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(h) 计算各投标人的综合得分，投标人的综合得分（满分100分）＝商务文件得分+技术文件得分</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(i) 评标委员会</w:t>
      </w:r>
      <w:r>
        <w:rPr>
          <w:rFonts w:hint="eastAsia" w:ascii="宋体" w:hAnsi="宋体" w:cs="宋体"/>
          <w:color w:val="auto"/>
          <w:sz w:val="24"/>
          <w:highlight w:val="none"/>
          <w:lang w:val="en-US" w:eastAsia="zh-CN"/>
        </w:rPr>
        <w:t>根据评审结果</w:t>
      </w:r>
      <w:r>
        <w:rPr>
          <w:rFonts w:hint="eastAsia" w:ascii="宋体" w:hAnsi="宋体" w:cs="宋体"/>
          <w:color w:val="auto"/>
          <w:sz w:val="24"/>
          <w:highlight w:val="none"/>
        </w:rPr>
        <w:t>编写、签署评标报告，向招标人推荐综合得分最高的前三名中标候选人并标明排列顺序，评标报告由评标委员会全体成员签名，对评标结论持有异议的评标委员会成员可以书面方式阐述其不同意见和理由。</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(j) 评标委员会向招标人提交书面评标报告，评标过程中使用的文件、表格以及其他资料应当即时归还招标人（或招标代理机构）。</w:t>
      </w:r>
    </w:p>
    <w:p>
      <w:pPr>
        <w:spacing w:line="360" w:lineRule="auto"/>
        <w:ind w:firstLine="482" w:firstLineChars="200"/>
        <w:outlineLvl w:val="1"/>
        <w:rPr>
          <w:rStyle w:val="27"/>
          <w:rFonts w:ascii="宋体" w:hAnsi="宋体"/>
          <w:b/>
          <w:color w:val="auto"/>
          <w:sz w:val="24"/>
          <w:szCs w:val="22"/>
          <w:highlight w:val="none"/>
        </w:rPr>
      </w:pPr>
      <w:bookmarkStart w:id="88" w:name="_Toc4914"/>
      <w:bookmarkStart w:id="89" w:name="_Toc23444"/>
      <w:r>
        <w:rPr>
          <w:rStyle w:val="27"/>
          <w:rFonts w:hint="eastAsia" w:ascii="宋体" w:hAnsi="宋体"/>
          <w:b/>
          <w:color w:val="auto"/>
          <w:sz w:val="24"/>
          <w:highlight w:val="none"/>
        </w:rPr>
        <w:t xml:space="preserve">3.5 </w:t>
      </w:r>
      <w:bookmarkEnd w:id="88"/>
      <w:bookmarkEnd w:id="89"/>
      <w:bookmarkStart w:id="90" w:name="_Toc29891"/>
      <w:bookmarkStart w:id="91" w:name="_Toc24156"/>
      <w:r>
        <w:rPr>
          <w:rStyle w:val="27"/>
          <w:rFonts w:hint="eastAsia" w:ascii="宋体" w:hAnsi="宋体"/>
          <w:b/>
          <w:color w:val="auto"/>
          <w:sz w:val="24"/>
          <w:szCs w:val="22"/>
          <w:highlight w:val="none"/>
        </w:rPr>
        <w:t xml:space="preserve"> </w:t>
      </w:r>
      <w:r>
        <w:rPr>
          <w:rStyle w:val="27"/>
          <w:rFonts w:ascii="宋体" w:hAnsi="宋体"/>
          <w:b/>
          <w:color w:val="auto"/>
          <w:sz w:val="24"/>
          <w:szCs w:val="22"/>
          <w:highlight w:val="none"/>
        </w:rPr>
        <w:t>确定中标单位</w:t>
      </w:r>
      <w:bookmarkEnd w:id="90"/>
      <w:bookmarkEnd w:id="91"/>
    </w:p>
    <w:p>
      <w:pPr>
        <w:pStyle w:val="31"/>
        <w:spacing w:line="360" w:lineRule="auto"/>
        <w:ind w:firstLine="480" w:firstLineChars="200"/>
        <w:rPr>
          <w:rStyle w:val="27"/>
          <w:rFonts w:ascii="宋体" w:hAnsi="宋体"/>
          <w:color w:val="auto"/>
          <w:sz w:val="24"/>
          <w:szCs w:val="24"/>
          <w:highlight w:val="none"/>
        </w:rPr>
      </w:pPr>
      <w:r>
        <w:rPr>
          <w:rStyle w:val="27"/>
          <w:rFonts w:ascii="宋体" w:hAnsi="宋体"/>
          <w:color w:val="auto"/>
          <w:sz w:val="24"/>
          <w:szCs w:val="24"/>
          <w:highlight w:val="none"/>
        </w:rPr>
        <w:t>招标人根据评标委员会提供的评标报告和推荐的中标候选人排列的先后顺序确定排名第一的中标候选人为中标人，并在广东省招投标监管网及广州公共资源</w:t>
      </w:r>
      <w:bookmarkStart w:id="365" w:name="_GoBack"/>
      <w:r>
        <w:rPr>
          <w:rStyle w:val="27"/>
          <w:rFonts w:ascii="宋体" w:hAnsi="宋体"/>
          <w:color w:val="auto"/>
          <w:sz w:val="24"/>
          <w:szCs w:val="24"/>
          <w:highlight w:val="none"/>
        </w:rPr>
        <w:t>交易中心</w:t>
      </w:r>
      <w:bookmarkEnd w:id="365"/>
      <w:r>
        <w:rPr>
          <w:rStyle w:val="27"/>
          <w:rFonts w:ascii="宋体" w:hAnsi="宋体"/>
          <w:color w:val="auto"/>
          <w:sz w:val="24"/>
          <w:szCs w:val="24"/>
          <w:highlight w:val="none"/>
        </w:rPr>
        <w:t>网上将中标候选人公示三日</w:t>
      </w:r>
      <w:r>
        <w:rPr>
          <w:rStyle w:val="27"/>
          <w:rFonts w:hint="eastAsia" w:ascii="宋体" w:hAnsi="宋体"/>
          <w:color w:val="auto"/>
          <w:sz w:val="24"/>
          <w:szCs w:val="24"/>
          <w:highlight w:val="none"/>
        </w:rPr>
        <w:t>（最后一日为工作日）</w:t>
      </w:r>
      <w:r>
        <w:rPr>
          <w:rStyle w:val="27"/>
          <w:rFonts w:ascii="宋体" w:hAnsi="宋体"/>
          <w:color w:val="auto"/>
          <w:sz w:val="24"/>
          <w:szCs w:val="24"/>
          <w:highlight w:val="none"/>
        </w:rPr>
        <w:t>，如在公示期间有接到异议的，经核实若存在与本招标文件废标条件相符的，可废除其中标资格；排名第一的中标候选人被废除中标资格的，确定排名第二的中标候选人为中标人。排名第一的中标候选人放弃中标的、因不可抗力提出不能履行合同的，招标人可以确定排名第二的中标候选人为中标人。排名第二的中标候选人出现前款规定同样原因的，招标人可以确定排名第三的中标候选人为中标人。</w:t>
      </w:r>
    </w:p>
    <w:p>
      <w:pPr>
        <w:pStyle w:val="31"/>
        <w:spacing w:line="360" w:lineRule="auto"/>
        <w:ind w:firstLine="480" w:firstLineChars="200"/>
        <w:rPr>
          <w:rStyle w:val="27"/>
          <w:rFonts w:ascii="宋体" w:hAnsi="宋体"/>
          <w:color w:val="auto"/>
          <w:sz w:val="24"/>
          <w:szCs w:val="24"/>
          <w:highlight w:val="none"/>
        </w:rPr>
      </w:pPr>
      <w:r>
        <w:rPr>
          <w:rStyle w:val="27"/>
          <w:rFonts w:ascii="宋体" w:hAnsi="宋体"/>
          <w:color w:val="auto"/>
          <w:sz w:val="24"/>
          <w:szCs w:val="24"/>
          <w:highlight w:val="none"/>
        </w:rPr>
        <w:t>招标</w:t>
      </w:r>
      <w:r>
        <w:rPr>
          <w:rStyle w:val="27"/>
          <w:rFonts w:hint="eastAsia" w:ascii="宋体" w:hAnsi="宋体"/>
          <w:color w:val="auto"/>
          <w:sz w:val="24"/>
          <w:szCs w:val="24"/>
          <w:highlight w:val="none"/>
          <w:lang w:val="en-US" w:eastAsia="zh-CN"/>
        </w:rPr>
        <w:t>人</w:t>
      </w:r>
      <w:r>
        <w:rPr>
          <w:rStyle w:val="27"/>
          <w:rFonts w:ascii="宋体" w:hAnsi="宋体"/>
          <w:color w:val="auto"/>
          <w:sz w:val="24"/>
          <w:szCs w:val="24"/>
          <w:highlight w:val="none"/>
        </w:rPr>
        <w:t>没有义务向未中标的投标人解释不中标的理由。</w:t>
      </w:r>
    </w:p>
    <w:p>
      <w:pPr>
        <w:spacing w:line="360" w:lineRule="auto"/>
        <w:ind w:firstLine="482" w:firstLineChars="200"/>
        <w:outlineLvl w:val="1"/>
        <w:rPr>
          <w:rStyle w:val="27"/>
          <w:rFonts w:ascii="宋体" w:hAnsi="宋体"/>
          <w:b/>
          <w:color w:val="auto"/>
          <w:sz w:val="24"/>
          <w:szCs w:val="22"/>
          <w:highlight w:val="none"/>
        </w:rPr>
      </w:pPr>
      <w:bookmarkStart w:id="92" w:name="_Toc18839"/>
      <w:bookmarkStart w:id="93" w:name="_Toc16190"/>
      <w:r>
        <w:rPr>
          <w:rStyle w:val="27"/>
          <w:rFonts w:hint="eastAsia" w:ascii="宋体" w:hAnsi="宋体"/>
          <w:b/>
          <w:color w:val="auto"/>
          <w:sz w:val="24"/>
          <w:szCs w:val="22"/>
          <w:highlight w:val="none"/>
        </w:rPr>
        <w:t>3.</w:t>
      </w:r>
      <w:r>
        <w:rPr>
          <w:rStyle w:val="27"/>
          <w:rFonts w:hint="eastAsia" w:ascii="宋体" w:hAnsi="宋体"/>
          <w:b/>
          <w:color w:val="auto"/>
          <w:sz w:val="24"/>
          <w:szCs w:val="22"/>
          <w:highlight w:val="none"/>
          <w:lang w:val="en-US" w:eastAsia="zh-CN"/>
        </w:rPr>
        <w:t>6</w:t>
      </w:r>
      <w:r>
        <w:rPr>
          <w:rStyle w:val="27"/>
          <w:rFonts w:hint="eastAsia" w:ascii="宋体" w:hAnsi="宋体"/>
          <w:b/>
          <w:color w:val="auto"/>
          <w:sz w:val="24"/>
          <w:szCs w:val="22"/>
          <w:highlight w:val="none"/>
        </w:rPr>
        <w:t xml:space="preserve"> </w:t>
      </w:r>
      <w:r>
        <w:rPr>
          <w:rStyle w:val="27"/>
          <w:rFonts w:ascii="宋体" w:hAnsi="宋体"/>
          <w:b/>
          <w:color w:val="auto"/>
          <w:sz w:val="24"/>
          <w:szCs w:val="22"/>
          <w:highlight w:val="none"/>
        </w:rPr>
        <w:t>授予合同</w:t>
      </w:r>
      <w:bookmarkEnd w:id="92"/>
      <w:bookmarkEnd w:id="93"/>
    </w:p>
    <w:p>
      <w:pPr>
        <w:pStyle w:val="53"/>
        <w:spacing w:line="360" w:lineRule="auto"/>
        <w:ind w:firstLine="482" w:firstLineChars="200"/>
        <w:rPr>
          <w:rStyle w:val="27"/>
          <w:rFonts w:ascii="宋体" w:hAnsi="宋体"/>
          <w:color w:val="auto"/>
          <w:sz w:val="24"/>
          <w:szCs w:val="24"/>
          <w:highlight w:val="none"/>
        </w:rPr>
      </w:pPr>
      <w:r>
        <w:rPr>
          <w:rStyle w:val="27"/>
          <w:rFonts w:hint="eastAsia" w:ascii="宋体" w:hAnsi="宋体"/>
          <w:color w:val="auto"/>
          <w:sz w:val="24"/>
          <w:szCs w:val="24"/>
          <w:highlight w:val="none"/>
        </w:rPr>
        <w:t>3.</w:t>
      </w:r>
      <w:r>
        <w:rPr>
          <w:rStyle w:val="27"/>
          <w:rFonts w:hint="eastAsia" w:ascii="宋体" w:hAnsi="宋体"/>
          <w:color w:val="auto"/>
          <w:sz w:val="24"/>
          <w:szCs w:val="24"/>
          <w:highlight w:val="none"/>
          <w:lang w:val="en-US" w:eastAsia="zh-CN"/>
        </w:rPr>
        <w:t>6</w:t>
      </w:r>
      <w:r>
        <w:rPr>
          <w:rStyle w:val="27"/>
          <w:rFonts w:ascii="宋体" w:hAnsi="宋体"/>
          <w:color w:val="auto"/>
          <w:sz w:val="24"/>
          <w:szCs w:val="24"/>
          <w:highlight w:val="none"/>
        </w:rPr>
        <w:t>.1 中标通知书</w:t>
      </w:r>
    </w:p>
    <w:p>
      <w:pPr>
        <w:pStyle w:val="31"/>
        <w:spacing w:line="360" w:lineRule="auto"/>
        <w:ind w:firstLine="480" w:firstLineChars="200"/>
        <w:rPr>
          <w:rStyle w:val="27"/>
          <w:rFonts w:ascii="宋体" w:hAnsi="宋体"/>
          <w:color w:val="auto"/>
          <w:sz w:val="24"/>
          <w:szCs w:val="24"/>
          <w:highlight w:val="none"/>
        </w:rPr>
      </w:pPr>
      <w:r>
        <w:rPr>
          <w:rStyle w:val="27"/>
          <w:rFonts w:ascii="宋体" w:hAnsi="宋体"/>
          <w:color w:val="auto"/>
          <w:sz w:val="24"/>
          <w:szCs w:val="24"/>
          <w:highlight w:val="none"/>
        </w:rPr>
        <w:t>（1）评标结果公示后，如无异议，招标人将以书面函件的形式向确定为中标的投标人发出中标通知书，中标通知书将成为合同的组成部分。</w:t>
      </w:r>
    </w:p>
    <w:p>
      <w:pPr>
        <w:pStyle w:val="31"/>
        <w:spacing w:line="360" w:lineRule="auto"/>
        <w:ind w:firstLine="480" w:firstLineChars="200"/>
        <w:rPr>
          <w:rStyle w:val="27"/>
          <w:rFonts w:ascii="宋体" w:hAnsi="宋体"/>
          <w:color w:val="auto"/>
          <w:sz w:val="24"/>
          <w:szCs w:val="24"/>
          <w:highlight w:val="none"/>
        </w:rPr>
      </w:pPr>
      <w:r>
        <w:rPr>
          <w:rStyle w:val="27"/>
          <w:rFonts w:ascii="宋体" w:hAnsi="宋体"/>
          <w:color w:val="auto"/>
          <w:sz w:val="24"/>
          <w:szCs w:val="24"/>
          <w:highlight w:val="none"/>
        </w:rPr>
        <w:t>（2）招标</w:t>
      </w:r>
      <w:r>
        <w:rPr>
          <w:rStyle w:val="27"/>
          <w:rFonts w:hint="eastAsia" w:ascii="宋体" w:hAnsi="宋体"/>
          <w:color w:val="auto"/>
          <w:sz w:val="24"/>
          <w:szCs w:val="24"/>
          <w:highlight w:val="none"/>
          <w:lang w:val="en-US" w:eastAsia="zh-CN"/>
        </w:rPr>
        <w:t>人</w:t>
      </w:r>
      <w:r>
        <w:rPr>
          <w:rStyle w:val="27"/>
          <w:rFonts w:ascii="宋体" w:hAnsi="宋体"/>
          <w:color w:val="auto"/>
          <w:sz w:val="24"/>
          <w:szCs w:val="24"/>
          <w:highlight w:val="none"/>
        </w:rPr>
        <w:t>将及时将中标结果通知所有的投标人。</w:t>
      </w:r>
    </w:p>
    <w:p>
      <w:pPr>
        <w:pStyle w:val="31"/>
        <w:spacing w:line="360" w:lineRule="auto"/>
        <w:ind w:firstLine="480" w:firstLineChars="200"/>
        <w:rPr>
          <w:rStyle w:val="27"/>
          <w:rFonts w:ascii="宋体" w:hAnsi="宋体"/>
          <w:color w:val="auto"/>
          <w:sz w:val="24"/>
          <w:szCs w:val="24"/>
          <w:highlight w:val="none"/>
        </w:rPr>
      </w:pPr>
      <w:r>
        <w:rPr>
          <w:rStyle w:val="27"/>
          <w:rFonts w:ascii="宋体" w:hAnsi="宋体"/>
          <w:color w:val="auto"/>
          <w:sz w:val="24"/>
          <w:szCs w:val="24"/>
          <w:highlight w:val="none"/>
        </w:rPr>
        <w:t>（3）中标通知书对招标单位和中标人均具有法律效力。中标通知书发出后，招标</w:t>
      </w:r>
      <w:r>
        <w:rPr>
          <w:rStyle w:val="27"/>
          <w:rFonts w:hint="eastAsia" w:ascii="宋体" w:hAnsi="宋体"/>
          <w:color w:val="auto"/>
          <w:sz w:val="24"/>
          <w:szCs w:val="24"/>
          <w:highlight w:val="none"/>
          <w:lang w:val="en-US" w:eastAsia="zh-CN"/>
        </w:rPr>
        <w:t>人</w:t>
      </w:r>
      <w:r>
        <w:rPr>
          <w:rStyle w:val="27"/>
          <w:rFonts w:ascii="宋体" w:hAnsi="宋体"/>
          <w:color w:val="auto"/>
          <w:sz w:val="24"/>
          <w:szCs w:val="24"/>
          <w:highlight w:val="none"/>
        </w:rPr>
        <w:t>无合理原因而改变中标结果的，或中标人放弃中标的，应依法承担法律责任。</w:t>
      </w:r>
    </w:p>
    <w:p>
      <w:pPr>
        <w:pStyle w:val="53"/>
        <w:spacing w:line="360" w:lineRule="auto"/>
        <w:ind w:firstLine="482" w:firstLineChars="200"/>
        <w:rPr>
          <w:rStyle w:val="27"/>
          <w:rFonts w:ascii="宋体" w:hAnsi="宋体"/>
          <w:color w:val="auto"/>
          <w:sz w:val="24"/>
          <w:szCs w:val="24"/>
          <w:highlight w:val="none"/>
        </w:rPr>
      </w:pPr>
      <w:r>
        <w:rPr>
          <w:rStyle w:val="27"/>
          <w:rFonts w:hint="eastAsia" w:ascii="宋体" w:hAnsi="宋体"/>
          <w:color w:val="auto"/>
          <w:sz w:val="24"/>
          <w:szCs w:val="24"/>
          <w:highlight w:val="none"/>
        </w:rPr>
        <w:t>3.</w:t>
      </w:r>
      <w:r>
        <w:rPr>
          <w:rStyle w:val="27"/>
          <w:rFonts w:hint="eastAsia" w:ascii="宋体" w:hAnsi="宋体"/>
          <w:color w:val="auto"/>
          <w:sz w:val="24"/>
          <w:szCs w:val="24"/>
          <w:highlight w:val="none"/>
          <w:lang w:val="en-US" w:eastAsia="zh-CN"/>
        </w:rPr>
        <w:t>6</w:t>
      </w:r>
      <w:r>
        <w:rPr>
          <w:rStyle w:val="27"/>
          <w:rFonts w:ascii="宋体" w:hAnsi="宋体"/>
          <w:color w:val="auto"/>
          <w:sz w:val="24"/>
          <w:szCs w:val="24"/>
          <w:highlight w:val="none"/>
        </w:rPr>
        <w:t>.2签订合同</w:t>
      </w:r>
    </w:p>
    <w:p>
      <w:pPr>
        <w:pStyle w:val="31"/>
        <w:spacing w:line="360" w:lineRule="auto"/>
        <w:ind w:firstLine="480" w:firstLineChars="200"/>
        <w:rPr>
          <w:rStyle w:val="27"/>
          <w:rFonts w:ascii="宋体" w:hAnsi="宋体"/>
          <w:color w:val="auto"/>
          <w:sz w:val="24"/>
          <w:szCs w:val="24"/>
          <w:highlight w:val="none"/>
        </w:rPr>
      </w:pPr>
      <w:r>
        <w:rPr>
          <w:rStyle w:val="27"/>
          <w:rFonts w:ascii="宋体" w:hAnsi="宋体"/>
          <w:color w:val="auto"/>
          <w:sz w:val="24"/>
          <w:szCs w:val="24"/>
          <w:highlight w:val="none"/>
        </w:rPr>
        <w:t>（1）在发出中标通知书后的30天内，招标人将邀请中标人派代表前来商议、签订合同。</w:t>
      </w:r>
    </w:p>
    <w:p>
      <w:pPr>
        <w:pStyle w:val="31"/>
        <w:spacing w:line="360" w:lineRule="auto"/>
        <w:ind w:firstLine="480" w:firstLineChars="200"/>
        <w:rPr>
          <w:rStyle w:val="27"/>
          <w:rFonts w:ascii="宋体" w:hAnsi="宋体"/>
          <w:color w:val="auto"/>
          <w:sz w:val="24"/>
          <w:szCs w:val="24"/>
          <w:highlight w:val="none"/>
        </w:rPr>
      </w:pPr>
      <w:r>
        <w:rPr>
          <w:rStyle w:val="27"/>
          <w:rFonts w:ascii="宋体" w:hAnsi="宋体"/>
          <w:color w:val="auto"/>
          <w:sz w:val="24"/>
          <w:szCs w:val="24"/>
          <w:highlight w:val="none"/>
        </w:rPr>
        <w:t>（2）招标</w:t>
      </w:r>
      <w:r>
        <w:rPr>
          <w:rStyle w:val="27"/>
          <w:rFonts w:hint="eastAsia" w:ascii="宋体" w:hAnsi="宋体"/>
          <w:color w:val="auto"/>
          <w:sz w:val="24"/>
          <w:szCs w:val="24"/>
          <w:highlight w:val="none"/>
          <w:lang w:val="en-US" w:eastAsia="zh-CN"/>
        </w:rPr>
        <w:t>人</w:t>
      </w:r>
      <w:r>
        <w:rPr>
          <w:rStyle w:val="27"/>
          <w:rFonts w:ascii="宋体" w:hAnsi="宋体"/>
          <w:color w:val="auto"/>
          <w:sz w:val="24"/>
          <w:szCs w:val="24"/>
          <w:highlight w:val="none"/>
        </w:rPr>
        <w:t>以本工程招标文件、招标答疑纪要及其补充资料和中标人的投标文件、投标承诺及合同条款为依据，与中标人签订合同。</w:t>
      </w:r>
    </w:p>
    <w:p>
      <w:pPr>
        <w:pStyle w:val="31"/>
        <w:spacing w:line="360" w:lineRule="auto"/>
        <w:ind w:firstLine="480" w:firstLineChars="200"/>
        <w:rPr>
          <w:rStyle w:val="27"/>
          <w:rFonts w:ascii="宋体" w:hAnsi="宋体"/>
          <w:color w:val="auto"/>
          <w:sz w:val="24"/>
          <w:szCs w:val="24"/>
          <w:highlight w:val="none"/>
        </w:rPr>
      </w:pPr>
      <w:r>
        <w:rPr>
          <w:rStyle w:val="27"/>
          <w:rFonts w:ascii="宋体" w:hAnsi="宋体"/>
          <w:color w:val="auto"/>
          <w:sz w:val="24"/>
          <w:szCs w:val="24"/>
          <w:highlight w:val="none"/>
        </w:rPr>
        <w:t>（3）中标人在签订合同时对上述文件有异议或增加招标文件外的要求，不愿遵照执行招标文件的条款时，招标人将没收其投标保证金，取消其中标资格，确认评标结果排位第二名的投标人为中标单位。</w:t>
      </w:r>
    </w:p>
    <w:p>
      <w:pPr>
        <w:pStyle w:val="31"/>
        <w:spacing w:line="360" w:lineRule="auto"/>
        <w:ind w:firstLine="480" w:firstLineChars="200"/>
        <w:rPr>
          <w:rStyle w:val="27"/>
          <w:rFonts w:ascii="宋体" w:hAnsi="宋体"/>
          <w:color w:val="auto"/>
          <w:sz w:val="24"/>
          <w:szCs w:val="24"/>
          <w:highlight w:val="none"/>
        </w:rPr>
      </w:pPr>
      <w:r>
        <w:rPr>
          <w:rStyle w:val="27"/>
          <w:rFonts w:ascii="宋体" w:hAnsi="宋体"/>
          <w:color w:val="auto"/>
          <w:sz w:val="24"/>
          <w:szCs w:val="24"/>
          <w:highlight w:val="none"/>
        </w:rPr>
        <w:t>若中标人未能在招标文件规定时间内向招标人提交</w:t>
      </w:r>
      <w:r>
        <w:rPr>
          <w:rStyle w:val="27"/>
          <w:rFonts w:hint="eastAsia" w:ascii="宋体" w:hAnsi="宋体"/>
          <w:color w:val="auto"/>
          <w:sz w:val="24"/>
          <w:szCs w:val="24"/>
          <w:highlight w:val="none"/>
          <w:u w:val="single"/>
          <w:lang w:val="en-US" w:eastAsia="zh-CN"/>
        </w:rPr>
        <w:t xml:space="preserve"> </w:t>
      </w:r>
      <w:r>
        <w:rPr>
          <w:rStyle w:val="27"/>
          <w:rFonts w:ascii="宋体" w:hAnsi="宋体"/>
          <w:color w:val="auto"/>
          <w:sz w:val="24"/>
          <w:szCs w:val="24"/>
          <w:highlight w:val="none"/>
          <w:u w:val="single"/>
        </w:rPr>
        <w:t>银行</w:t>
      </w:r>
      <w:r>
        <w:rPr>
          <w:rStyle w:val="27"/>
          <w:rFonts w:hint="eastAsia" w:ascii="宋体" w:hAnsi="宋体"/>
          <w:color w:val="auto"/>
          <w:sz w:val="24"/>
          <w:szCs w:val="24"/>
          <w:highlight w:val="none"/>
          <w:u w:val="single"/>
          <w:lang w:val="en-US" w:eastAsia="zh-CN"/>
        </w:rPr>
        <w:t xml:space="preserve"> </w:t>
      </w:r>
      <w:r>
        <w:rPr>
          <w:rStyle w:val="27"/>
          <w:rFonts w:ascii="宋体" w:hAnsi="宋体"/>
          <w:color w:val="auto"/>
          <w:sz w:val="24"/>
          <w:szCs w:val="24"/>
          <w:highlight w:val="none"/>
        </w:rPr>
        <w:t>出具的资金（履约保证金）转入有效证明</w:t>
      </w:r>
      <w:r>
        <w:rPr>
          <w:rStyle w:val="27"/>
          <w:rFonts w:ascii="宋体" w:hAnsi="宋体"/>
          <w:color w:val="auto"/>
          <w:sz w:val="24"/>
          <w:szCs w:val="24"/>
          <w:highlight w:val="none"/>
          <w:u w:val="single"/>
        </w:rPr>
        <w:t>或保函</w:t>
      </w:r>
      <w:r>
        <w:rPr>
          <w:rStyle w:val="27"/>
          <w:rFonts w:hint="eastAsia" w:ascii="宋体" w:hAnsi="宋体"/>
          <w:color w:val="auto"/>
          <w:sz w:val="24"/>
          <w:szCs w:val="24"/>
          <w:highlight w:val="none"/>
          <w:u w:val="single"/>
          <w:lang w:val="en-US" w:eastAsia="zh-CN"/>
        </w:rPr>
        <w:t xml:space="preserve"> </w:t>
      </w:r>
      <w:r>
        <w:rPr>
          <w:rStyle w:val="27"/>
          <w:rFonts w:ascii="宋体" w:hAnsi="宋体"/>
          <w:color w:val="auto"/>
          <w:sz w:val="24"/>
          <w:szCs w:val="24"/>
          <w:highlight w:val="none"/>
        </w:rPr>
        <w:t>时，招标人即取消该中标人的中标资格，没收其投标保证金，并确认排名第二的中标候选人为中标人。</w:t>
      </w:r>
    </w:p>
    <w:p>
      <w:pPr>
        <w:pStyle w:val="31"/>
        <w:spacing w:line="360" w:lineRule="auto"/>
        <w:ind w:firstLine="480" w:firstLineChars="200"/>
        <w:rPr>
          <w:rStyle w:val="27"/>
          <w:rFonts w:ascii="宋体" w:hAnsi="宋体"/>
          <w:color w:val="auto"/>
          <w:sz w:val="24"/>
          <w:szCs w:val="24"/>
          <w:highlight w:val="none"/>
          <w:u w:val="single"/>
        </w:rPr>
      </w:pPr>
      <w:r>
        <w:rPr>
          <w:rStyle w:val="27"/>
          <w:rFonts w:ascii="宋体" w:hAnsi="宋体"/>
          <w:color w:val="auto"/>
          <w:sz w:val="24"/>
          <w:szCs w:val="24"/>
          <w:highlight w:val="none"/>
        </w:rPr>
        <w:t>招标</w:t>
      </w:r>
      <w:r>
        <w:rPr>
          <w:rStyle w:val="27"/>
          <w:rFonts w:hint="eastAsia" w:ascii="宋体" w:hAnsi="宋体"/>
          <w:color w:val="auto"/>
          <w:sz w:val="24"/>
          <w:szCs w:val="24"/>
          <w:highlight w:val="none"/>
          <w:lang w:val="en-US" w:eastAsia="zh-CN"/>
        </w:rPr>
        <w:t>人</w:t>
      </w:r>
      <w:r>
        <w:rPr>
          <w:rStyle w:val="27"/>
          <w:rFonts w:ascii="宋体" w:hAnsi="宋体"/>
          <w:color w:val="auto"/>
          <w:sz w:val="24"/>
          <w:szCs w:val="24"/>
          <w:highlight w:val="none"/>
        </w:rPr>
        <w:t>和中标人将在自中标通知书发出之日起30日内，按照招标文件和中标人的投标文件订立书面合同，若因中标人原因不能在30天内与招标单位签订书面合同，招标</w:t>
      </w:r>
      <w:r>
        <w:rPr>
          <w:rStyle w:val="27"/>
          <w:rFonts w:hint="eastAsia" w:ascii="宋体" w:hAnsi="宋体"/>
          <w:color w:val="auto"/>
          <w:sz w:val="24"/>
          <w:szCs w:val="24"/>
          <w:highlight w:val="none"/>
          <w:lang w:val="en-US" w:eastAsia="zh-CN"/>
        </w:rPr>
        <w:t>人</w:t>
      </w:r>
      <w:r>
        <w:rPr>
          <w:rStyle w:val="27"/>
          <w:rFonts w:ascii="宋体" w:hAnsi="宋体"/>
          <w:color w:val="auto"/>
          <w:sz w:val="24"/>
          <w:szCs w:val="24"/>
          <w:highlight w:val="none"/>
        </w:rPr>
        <w:t>将取消其中标资格，并确认排名第二的投标人为中标人。招标</w:t>
      </w:r>
      <w:r>
        <w:rPr>
          <w:rStyle w:val="27"/>
          <w:rFonts w:hint="eastAsia" w:ascii="宋体" w:hAnsi="宋体"/>
          <w:color w:val="auto"/>
          <w:sz w:val="24"/>
          <w:szCs w:val="24"/>
          <w:highlight w:val="none"/>
          <w:lang w:val="en-US" w:eastAsia="zh-CN"/>
        </w:rPr>
        <w:t>人</w:t>
      </w:r>
      <w:r>
        <w:rPr>
          <w:rStyle w:val="27"/>
          <w:rFonts w:ascii="宋体" w:hAnsi="宋体"/>
          <w:color w:val="auto"/>
          <w:sz w:val="24"/>
          <w:szCs w:val="24"/>
          <w:highlight w:val="none"/>
        </w:rPr>
        <w:t>将通知排名在前3名的投标人要求延长投标有效期30天。</w:t>
      </w:r>
    </w:p>
    <w:p>
      <w:pPr>
        <w:spacing w:line="360" w:lineRule="auto"/>
        <w:ind w:firstLine="487" w:firstLineChars="202"/>
        <w:rPr>
          <w:rStyle w:val="27"/>
          <w:rFonts w:ascii="宋体" w:hAnsi="宋体"/>
          <w:b/>
          <w:bCs/>
          <w:color w:val="auto"/>
          <w:sz w:val="24"/>
          <w:highlight w:val="none"/>
        </w:rPr>
      </w:pPr>
      <w:bookmarkStart w:id="94" w:name="_Toc31030"/>
      <w:r>
        <w:rPr>
          <w:rStyle w:val="27"/>
          <w:rFonts w:hint="eastAsia" w:ascii="宋体" w:hAnsi="宋体"/>
          <w:b/>
          <w:bCs/>
          <w:color w:val="auto"/>
          <w:sz w:val="24"/>
          <w:highlight w:val="none"/>
        </w:rPr>
        <w:t>3.</w:t>
      </w:r>
      <w:bookmarkEnd w:id="94"/>
      <w:bookmarkStart w:id="95" w:name="_Toc20470"/>
      <w:r>
        <w:rPr>
          <w:rStyle w:val="27"/>
          <w:rFonts w:hint="eastAsia" w:ascii="宋体" w:hAnsi="宋体"/>
          <w:b/>
          <w:bCs/>
          <w:color w:val="auto"/>
          <w:sz w:val="24"/>
          <w:highlight w:val="none"/>
          <w:lang w:val="en-US" w:eastAsia="zh-CN"/>
        </w:rPr>
        <w:t>7</w:t>
      </w:r>
      <w:r>
        <w:rPr>
          <w:rStyle w:val="27"/>
          <w:rFonts w:hint="eastAsia" w:ascii="宋体" w:hAnsi="宋体"/>
          <w:b/>
          <w:bCs/>
          <w:color w:val="auto"/>
          <w:sz w:val="24"/>
          <w:highlight w:val="none"/>
        </w:rPr>
        <w:t xml:space="preserve"> 其他</w:t>
      </w:r>
      <w:bookmarkEnd w:id="95"/>
    </w:p>
    <w:p>
      <w:pPr>
        <w:spacing w:line="360" w:lineRule="auto"/>
        <w:ind w:firstLine="480" w:firstLineChars="200"/>
        <w:rPr>
          <w:rStyle w:val="27"/>
          <w:rFonts w:ascii="宋体" w:hAnsi="宋体"/>
          <w:color w:val="auto"/>
          <w:sz w:val="24"/>
          <w:highlight w:val="none"/>
        </w:rPr>
      </w:pPr>
      <w:r>
        <w:rPr>
          <w:rStyle w:val="27"/>
          <w:rFonts w:hint="eastAsia" w:ascii="宋体" w:hAnsi="宋体"/>
          <w:color w:val="auto"/>
          <w:sz w:val="24"/>
          <w:highlight w:val="none"/>
        </w:rPr>
        <w:t>3.</w:t>
      </w:r>
      <w:r>
        <w:rPr>
          <w:rStyle w:val="27"/>
          <w:rFonts w:hint="eastAsia" w:ascii="宋体" w:hAnsi="宋体"/>
          <w:color w:val="auto"/>
          <w:sz w:val="24"/>
          <w:highlight w:val="none"/>
          <w:lang w:val="en-US" w:eastAsia="zh-CN"/>
        </w:rPr>
        <w:t>7</w:t>
      </w:r>
      <w:r>
        <w:rPr>
          <w:rStyle w:val="27"/>
          <w:rFonts w:ascii="宋体" w:hAnsi="宋体"/>
          <w:color w:val="auto"/>
          <w:sz w:val="24"/>
          <w:highlight w:val="none"/>
        </w:rPr>
        <w:t>.1 投标人按招标文件要求递交的所有复印件，</w:t>
      </w:r>
      <w:r>
        <w:rPr>
          <w:rStyle w:val="27"/>
          <w:rFonts w:hint="eastAsia" w:ascii="宋体" w:hAnsi="宋体"/>
          <w:color w:val="auto"/>
          <w:sz w:val="24"/>
          <w:highlight w:val="none"/>
        </w:rPr>
        <w:t>必须真实有效</w:t>
      </w:r>
      <w:r>
        <w:rPr>
          <w:rStyle w:val="27"/>
          <w:rFonts w:ascii="宋体" w:hAnsi="宋体"/>
          <w:color w:val="auto"/>
          <w:sz w:val="24"/>
          <w:highlight w:val="none"/>
        </w:rPr>
        <w:t>。若存在虚假材料，一经发现或被投诉，经确认证实后，招标人将取消其中标资格，并上报给相关主管部门予以通报。</w:t>
      </w:r>
    </w:p>
    <w:p>
      <w:pPr>
        <w:spacing w:line="360" w:lineRule="auto"/>
        <w:ind w:firstLine="480" w:firstLineChars="200"/>
        <w:rPr>
          <w:rStyle w:val="27"/>
          <w:rFonts w:ascii="宋体" w:hAnsi="宋体"/>
          <w:color w:val="auto"/>
          <w:sz w:val="24"/>
          <w:highlight w:val="none"/>
        </w:rPr>
      </w:pPr>
      <w:r>
        <w:rPr>
          <w:rStyle w:val="27"/>
          <w:rFonts w:hint="eastAsia" w:ascii="宋体" w:hAnsi="宋体"/>
          <w:color w:val="auto"/>
          <w:sz w:val="24"/>
          <w:highlight w:val="none"/>
        </w:rPr>
        <w:t>3.</w:t>
      </w:r>
      <w:r>
        <w:rPr>
          <w:rStyle w:val="27"/>
          <w:rFonts w:hint="eastAsia" w:ascii="宋体" w:hAnsi="宋体"/>
          <w:color w:val="auto"/>
          <w:sz w:val="24"/>
          <w:highlight w:val="none"/>
          <w:lang w:val="en-US" w:eastAsia="zh-CN"/>
        </w:rPr>
        <w:t>7</w:t>
      </w:r>
      <w:r>
        <w:rPr>
          <w:rStyle w:val="27"/>
          <w:rFonts w:ascii="宋体" w:hAnsi="宋体"/>
          <w:color w:val="auto"/>
          <w:sz w:val="24"/>
          <w:highlight w:val="none"/>
        </w:rPr>
        <w:t>.2 投标人获得中标资格后，招标人</w:t>
      </w:r>
      <w:r>
        <w:rPr>
          <w:rStyle w:val="27"/>
          <w:rFonts w:hint="eastAsia" w:ascii="宋体" w:hAnsi="宋体"/>
          <w:color w:val="auto"/>
          <w:sz w:val="24"/>
          <w:highlight w:val="none"/>
          <w:lang w:val="en-US" w:eastAsia="zh-CN"/>
        </w:rPr>
        <w:t>可根据需要要求中标人</w:t>
      </w:r>
      <w:r>
        <w:rPr>
          <w:rStyle w:val="27"/>
          <w:rFonts w:ascii="宋体" w:hAnsi="宋体"/>
          <w:color w:val="auto"/>
          <w:sz w:val="24"/>
          <w:highlight w:val="none"/>
        </w:rPr>
        <w:t>提供投标文件中的所有复印进行原件核对，若复印件与原件不符或存在虚假材料，一经发现或被投诉，经确认证实后，招标人将取消其中标资格，并上报给相关主管部门予以通报。</w:t>
      </w:r>
    </w:p>
    <w:p>
      <w:pPr>
        <w:spacing w:line="360" w:lineRule="auto"/>
        <w:ind w:firstLine="480" w:firstLineChars="200"/>
        <w:rPr>
          <w:rStyle w:val="27"/>
          <w:color w:val="auto"/>
          <w:highlight w:val="none"/>
        </w:rPr>
      </w:pPr>
      <w:r>
        <w:rPr>
          <w:rStyle w:val="27"/>
          <w:rFonts w:hint="eastAsia" w:ascii="宋体" w:hAnsi="宋体"/>
          <w:color w:val="auto"/>
          <w:sz w:val="24"/>
          <w:highlight w:val="none"/>
        </w:rPr>
        <w:t>3.</w:t>
      </w:r>
      <w:r>
        <w:rPr>
          <w:rStyle w:val="27"/>
          <w:rFonts w:hint="eastAsia" w:ascii="宋体" w:hAnsi="宋体"/>
          <w:color w:val="auto"/>
          <w:sz w:val="24"/>
          <w:highlight w:val="none"/>
          <w:lang w:val="en-US" w:eastAsia="zh-CN"/>
        </w:rPr>
        <w:t>7</w:t>
      </w:r>
      <w:r>
        <w:rPr>
          <w:rStyle w:val="27"/>
          <w:rFonts w:ascii="宋体" w:hAnsi="宋体"/>
          <w:color w:val="auto"/>
          <w:sz w:val="24"/>
          <w:highlight w:val="none"/>
        </w:rPr>
        <w:t>.3投标人如在本项目中存在串通投标、弄虚作假、行贿情形的，中标无效，该投标人将被招标人列入黑名单并限制其投标。行政监督部门将对其违法行为进行政处罚并通报。</w:t>
      </w:r>
    </w:p>
    <w:p>
      <w:pPr>
        <w:rPr>
          <w:rStyle w:val="27"/>
          <w:rFonts w:ascii="宋体" w:hAnsi="宋体"/>
          <w:color w:val="auto"/>
          <w:sz w:val="24"/>
          <w:highlight w:val="none"/>
        </w:rPr>
      </w:pPr>
      <w:r>
        <w:rPr>
          <w:rStyle w:val="27"/>
          <w:rFonts w:ascii="宋体" w:hAnsi="宋体"/>
          <w:color w:val="auto"/>
          <w:sz w:val="24"/>
          <w:highlight w:val="none"/>
        </w:rPr>
        <w:br w:type="page"/>
      </w:r>
    </w:p>
    <w:p>
      <w:pPr>
        <w:tabs>
          <w:tab w:val="left" w:pos="720"/>
        </w:tabs>
        <w:snapToGrid w:val="0"/>
        <w:spacing w:line="460" w:lineRule="exact"/>
        <w:jc w:val="center"/>
        <w:outlineLvl w:val="1"/>
        <w:rPr>
          <w:rFonts w:ascii="宋体" w:hAnsi="宋体"/>
          <w:b/>
          <w:color w:val="auto"/>
          <w:sz w:val="28"/>
          <w:highlight w:val="none"/>
        </w:rPr>
      </w:pPr>
      <w:bookmarkStart w:id="96" w:name="_Toc20693"/>
      <w:bookmarkStart w:id="97" w:name="_Toc2827"/>
      <w:r>
        <w:rPr>
          <w:rFonts w:hint="eastAsia" w:ascii="宋体" w:hAnsi="宋体"/>
          <w:b/>
          <w:color w:val="auto"/>
          <w:sz w:val="28"/>
          <w:highlight w:val="none"/>
        </w:rPr>
        <w:t>附表一 资格审查表</w:t>
      </w:r>
      <w:bookmarkEnd w:id="96"/>
      <w:bookmarkEnd w:id="97"/>
    </w:p>
    <w:p>
      <w:pPr>
        <w:tabs>
          <w:tab w:val="left" w:pos="720"/>
        </w:tabs>
        <w:adjustRightInd w:val="0"/>
        <w:snapToGrid w:val="0"/>
        <w:spacing w:before="120" w:beforeLines="50"/>
        <w:ind w:firstLine="368"/>
        <w:rPr>
          <w:b/>
          <w:bCs/>
          <w:color w:val="auto"/>
          <w:sz w:val="24"/>
          <w:highlight w:val="none"/>
        </w:rPr>
      </w:pPr>
      <w:r>
        <w:rPr>
          <w:rFonts w:hint="eastAsia" w:cs="宋体"/>
          <w:b/>
          <w:bCs/>
          <w:color w:val="auto"/>
          <w:sz w:val="24"/>
          <w:highlight w:val="none"/>
        </w:rPr>
        <w:t>项目名称：</w:t>
      </w:r>
    </w:p>
    <w:tbl>
      <w:tblPr>
        <w:tblStyle w:val="23"/>
        <w:tblpPr w:leftFromText="180" w:rightFromText="180" w:vertAnchor="text" w:horzAnchor="margin" w:tblpXSpec="center" w:tblpY="161"/>
        <w:tblOverlap w:val="never"/>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6139"/>
        <w:gridCol w:w="948"/>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54" w:type="dxa"/>
            <w:vAlign w:val="center"/>
          </w:tcPr>
          <w:p>
            <w:pPr>
              <w:tabs>
                <w:tab w:val="left" w:pos="720"/>
              </w:tabs>
              <w:snapToGrid w:val="0"/>
              <w:jc w:val="center"/>
              <w:rPr>
                <w:color w:val="auto"/>
                <w:sz w:val="24"/>
                <w:highlight w:val="none"/>
              </w:rPr>
            </w:pPr>
            <w:r>
              <w:rPr>
                <w:rFonts w:hint="eastAsia" w:cs="宋体"/>
                <w:color w:val="auto"/>
                <w:sz w:val="24"/>
                <w:highlight w:val="none"/>
              </w:rPr>
              <w:t>编号</w:t>
            </w:r>
          </w:p>
        </w:tc>
        <w:tc>
          <w:tcPr>
            <w:tcW w:w="6139" w:type="dxa"/>
            <w:tcBorders>
              <w:tl2br w:val="single" w:color="auto" w:sz="4" w:space="0"/>
            </w:tcBorders>
            <w:vAlign w:val="center"/>
          </w:tcPr>
          <w:p>
            <w:pPr>
              <w:tabs>
                <w:tab w:val="left" w:pos="720"/>
              </w:tabs>
              <w:snapToGrid w:val="0"/>
              <w:ind w:firstLine="3360" w:firstLineChars="1400"/>
              <w:rPr>
                <w:color w:val="auto"/>
                <w:sz w:val="24"/>
                <w:highlight w:val="none"/>
              </w:rPr>
            </w:pPr>
            <w:r>
              <w:rPr>
                <w:rFonts w:hint="eastAsia" w:cs="宋体"/>
                <w:color w:val="auto"/>
                <w:sz w:val="24"/>
                <w:highlight w:val="none"/>
              </w:rPr>
              <w:t>投标人名称</w:t>
            </w:r>
          </w:p>
          <w:p>
            <w:pPr>
              <w:tabs>
                <w:tab w:val="left" w:pos="720"/>
              </w:tabs>
              <w:snapToGrid w:val="0"/>
              <w:rPr>
                <w:color w:val="auto"/>
                <w:sz w:val="24"/>
                <w:highlight w:val="none"/>
              </w:rPr>
            </w:pPr>
            <w:r>
              <w:rPr>
                <w:rFonts w:hint="eastAsia" w:cs="宋体"/>
                <w:color w:val="auto"/>
                <w:sz w:val="24"/>
                <w:highlight w:val="none"/>
              </w:rPr>
              <w:t>审查项目</w:t>
            </w:r>
          </w:p>
        </w:tc>
        <w:tc>
          <w:tcPr>
            <w:tcW w:w="948" w:type="dxa"/>
            <w:vAlign w:val="center"/>
          </w:tcPr>
          <w:p>
            <w:pPr>
              <w:tabs>
                <w:tab w:val="left" w:pos="720"/>
              </w:tabs>
              <w:snapToGrid w:val="0"/>
              <w:jc w:val="center"/>
              <w:rPr>
                <w:color w:val="auto"/>
                <w:sz w:val="24"/>
                <w:highlight w:val="none"/>
              </w:rPr>
            </w:pPr>
          </w:p>
        </w:tc>
        <w:tc>
          <w:tcPr>
            <w:tcW w:w="567" w:type="dxa"/>
            <w:vAlign w:val="center"/>
          </w:tcPr>
          <w:p>
            <w:pPr>
              <w:tabs>
                <w:tab w:val="left" w:pos="720"/>
              </w:tabs>
              <w:snapToGrid w:val="0"/>
              <w:jc w:val="center"/>
              <w:rPr>
                <w:color w:val="auto"/>
                <w:sz w:val="24"/>
                <w:highlight w:val="none"/>
              </w:rPr>
            </w:pPr>
          </w:p>
        </w:tc>
        <w:tc>
          <w:tcPr>
            <w:tcW w:w="709" w:type="dxa"/>
            <w:vAlign w:val="center"/>
          </w:tcPr>
          <w:p>
            <w:pPr>
              <w:tabs>
                <w:tab w:val="left" w:pos="720"/>
              </w:tabs>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54" w:type="dxa"/>
            <w:vAlign w:val="center"/>
          </w:tcPr>
          <w:p>
            <w:pPr>
              <w:tabs>
                <w:tab w:val="left" w:pos="720"/>
              </w:tabs>
              <w:snapToGrid w:val="0"/>
              <w:jc w:val="center"/>
              <w:rPr>
                <w:color w:val="auto"/>
                <w:sz w:val="24"/>
                <w:highlight w:val="none"/>
              </w:rPr>
            </w:pPr>
            <w:r>
              <w:rPr>
                <w:color w:val="auto"/>
                <w:sz w:val="24"/>
                <w:highlight w:val="none"/>
              </w:rPr>
              <w:t>1</w:t>
            </w:r>
          </w:p>
        </w:tc>
        <w:tc>
          <w:tcPr>
            <w:tcW w:w="6139" w:type="dxa"/>
            <w:vAlign w:val="center"/>
          </w:tcPr>
          <w:p>
            <w:pPr>
              <w:tabs>
                <w:tab w:val="left" w:pos="720"/>
              </w:tabs>
              <w:snapToGrid w:val="0"/>
              <w:rPr>
                <w:rFonts w:cs="宋体"/>
                <w:color w:val="auto"/>
                <w:kern w:val="0"/>
                <w:sz w:val="24"/>
                <w:highlight w:val="none"/>
              </w:rPr>
            </w:pPr>
            <w:r>
              <w:rPr>
                <w:rFonts w:hint="eastAsia" w:ascii="宋体" w:hAnsi="宋体" w:cs="宋体"/>
                <w:color w:val="auto"/>
                <w:sz w:val="24"/>
                <w:highlight w:val="none"/>
              </w:rPr>
              <w:t>投标人具有独立法人资格，持有工商行政管理部门核发的法人营业执照，按国家法律经营。</w:t>
            </w:r>
          </w:p>
        </w:tc>
        <w:tc>
          <w:tcPr>
            <w:tcW w:w="948" w:type="dxa"/>
            <w:vAlign w:val="center"/>
          </w:tcPr>
          <w:p>
            <w:pPr>
              <w:tabs>
                <w:tab w:val="left" w:pos="720"/>
              </w:tabs>
              <w:snapToGrid w:val="0"/>
              <w:jc w:val="center"/>
              <w:rPr>
                <w:color w:val="auto"/>
                <w:sz w:val="24"/>
                <w:highlight w:val="none"/>
              </w:rPr>
            </w:pPr>
          </w:p>
        </w:tc>
        <w:tc>
          <w:tcPr>
            <w:tcW w:w="567" w:type="dxa"/>
            <w:vAlign w:val="center"/>
          </w:tcPr>
          <w:p>
            <w:pPr>
              <w:tabs>
                <w:tab w:val="left" w:pos="720"/>
              </w:tabs>
              <w:snapToGrid w:val="0"/>
              <w:jc w:val="center"/>
              <w:rPr>
                <w:color w:val="auto"/>
                <w:sz w:val="24"/>
                <w:highlight w:val="none"/>
              </w:rPr>
            </w:pPr>
          </w:p>
        </w:tc>
        <w:tc>
          <w:tcPr>
            <w:tcW w:w="709" w:type="dxa"/>
            <w:vAlign w:val="center"/>
          </w:tcPr>
          <w:p>
            <w:pPr>
              <w:tabs>
                <w:tab w:val="left" w:pos="720"/>
              </w:tabs>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54" w:type="dxa"/>
            <w:vAlign w:val="center"/>
          </w:tcPr>
          <w:p>
            <w:pPr>
              <w:tabs>
                <w:tab w:val="left" w:pos="720"/>
              </w:tabs>
              <w:snapToGrid w:val="0"/>
              <w:jc w:val="center"/>
              <w:rPr>
                <w:color w:val="auto"/>
                <w:sz w:val="24"/>
                <w:highlight w:val="none"/>
              </w:rPr>
            </w:pPr>
            <w:r>
              <w:rPr>
                <w:color w:val="auto"/>
                <w:sz w:val="24"/>
                <w:highlight w:val="none"/>
              </w:rPr>
              <w:t>2</w:t>
            </w:r>
          </w:p>
        </w:tc>
        <w:tc>
          <w:tcPr>
            <w:tcW w:w="6139" w:type="dxa"/>
            <w:vAlign w:val="center"/>
          </w:tcPr>
          <w:p>
            <w:pPr>
              <w:pStyle w:val="2"/>
              <w:rPr>
                <w:rFonts w:cs="宋体"/>
                <w:color w:val="auto"/>
                <w:kern w:val="0"/>
                <w:sz w:val="24"/>
                <w:highlight w:val="none"/>
              </w:rPr>
            </w:pPr>
            <w:r>
              <w:rPr>
                <w:rFonts w:hint="eastAsia" w:cs="宋体"/>
                <w:color w:val="auto"/>
                <w:kern w:val="0"/>
                <w:sz w:val="24"/>
                <w:highlight w:val="none"/>
              </w:rPr>
              <w:t>投标人须同时具备建设行政主管部门颁发的以下工程设计</w:t>
            </w:r>
            <w:r>
              <w:rPr>
                <w:rFonts w:hint="eastAsia" w:cs="宋体"/>
                <w:color w:val="auto"/>
                <w:kern w:val="0"/>
                <w:sz w:val="24"/>
                <w:highlight w:val="none"/>
                <w:lang w:eastAsia="zh-CN"/>
              </w:rPr>
              <w:t>、工程勘察</w:t>
            </w:r>
            <w:r>
              <w:rPr>
                <w:rFonts w:hint="eastAsia" w:cs="宋体"/>
                <w:color w:val="auto"/>
                <w:kern w:val="0"/>
                <w:sz w:val="24"/>
                <w:highlight w:val="none"/>
              </w:rPr>
              <w:t>资质证书:</w:t>
            </w:r>
          </w:p>
          <w:p>
            <w:pPr>
              <w:pStyle w:val="2"/>
              <w:rPr>
                <w:rFonts w:hint="eastAsia" w:cs="宋体"/>
                <w:color w:val="auto"/>
                <w:kern w:val="0"/>
                <w:sz w:val="24"/>
                <w:highlight w:val="none"/>
              </w:rPr>
            </w:pPr>
            <w:r>
              <w:rPr>
                <w:rFonts w:hint="eastAsia" w:cs="宋体"/>
                <w:color w:val="auto"/>
                <w:kern w:val="0"/>
                <w:sz w:val="24"/>
                <w:highlight w:val="none"/>
              </w:rPr>
              <w:t>1.工程设计【具备（1）或（2）】</w:t>
            </w:r>
          </w:p>
          <w:p>
            <w:pPr>
              <w:pStyle w:val="2"/>
              <w:rPr>
                <w:rFonts w:hint="eastAsia" w:cs="宋体"/>
                <w:color w:val="auto"/>
                <w:kern w:val="0"/>
                <w:sz w:val="24"/>
                <w:highlight w:val="none"/>
              </w:rPr>
            </w:pPr>
            <w:r>
              <w:rPr>
                <w:rFonts w:hint="eastAsia" w:cs="宋体"/>
                <w:color w:val="auto"/>
                <w:kern w:val="0"/>
                <w:sz w:val="24"/>
                <w:highlight w:val="none"/>
              </w:rPr>
              <w:t>（1）工程设计综合甲级资质</w:t>
            </w:r>
          </w:p>
          <w:p>
            <w:pPr>
              <w:pStyle w:val="2"/>
              <w:rPr>
                <w:rFonts w:hint="eastAsia" w:cs="宋体"/>
                <w:color w:val="auto"/>
                <w:kern w:val="0"/>
                <w:sz w:val="24"/>
                <w:highlight w:val="none"/>
              </w:rPr>
            </w:pPr>
            <w:r>
              <w:rPr>
                <w:rFonts w:hint="eastAsia" w:cs="宋体"/>
                <w:color w:val="auto"/>
                <w:kern w:val="0"/>
                <w:sz w:val="24"/>
                <w:highlight w:val="none"/>
              </w:rPr>
              <w:t>（2）或同时具备以下①和②</w:t>
            </w:r>
          </w:p>
          <w:p>
            <w:pPr>
              <w:pStyle w:val="2"/>
              <w:rPr>
                <w:rFonts w:hint="eastAsia" w:cs="宋体"/>
                <w:color w:val="auto"/>
                <w:kern w:val="0"/>
                <w:sz w:val="24"/>
                <w:highlight w:val="none"/>
              </w:rPr>
            </w:pPr>
            <w:r>
              <w:rPr>
                <w:rFonts w:hint="eastAsia" w:cs="宋体"/>
                <w:color w:val="auto"/>
                <w:kern w:val="0"/>
                <w:sz w:val="24"/>
                <w:highlight w:val="none"/>
              </w:rPr>
              <w:t>①市政行业工程设计丙级（或以上）或市政行业（排水工程）专业乙级（或以上设计资质）；</w:t>
            </w:r>
          </w:p>
          <w:p>
            <w:pPr>
              <w:pStyle w:val="2"/>
              <w:rPr>
                <w:rFonts w:hint="eastAsia" w:cs="宋体"/>
                <w:color w:val="auto"/>
                <w:kern w:val="0"/>
                <w:sz w:val="24"/>
                <w:highlight w:val="none"/>
              </w:rPr>
            </w:pPr>
            <w:r>
              <w:rPr>
                <w:rFonts w:hint="eastAsia" w:cs="宋体"/>
                <w:color w:val="auto"/>
                <w:kern w:val="0"/>
                <w:sz w:val="24"/>
                <w:highlight w:val="none"/>
              </w:rPr>
              <w:t>②建筑行业工程设计乙级资质（或以上）或建筑行业（建筑工程）专业乙级（或以上设计资质）。</w:t>
            </w:r>
          </w:p>
          <w:p>
            <w:pPr>
              <w:pStyle w:val="2"/>
              <w:rPr>
                <w:rFonts w:hint="eastAsia" w:cs="宋体"/>
                <w:color w:val="auto"/>
                <w:kern w:val="0"/>
                <w:sz w:val="24"/>
                <w:highlight w:val="none"/>
              </w:rPr>
            </w:pPr>
            <w:r>
              <w:rPr>
                <w:rFonts w:hint="eastAsia" w:cs="宋体"/>
                <w:color w:val="auto"/>
                <w:kern w:val="0"/>
                <w:sz w:val="24"/>
                <w:highlight w:val="none"/>
              </w:rPr>
              <w:t>2.工程勘察【具备（1）或（2）】</w:t>
            </w:r>
          </w:p>
          <w:p>
            <w:pPr>
              <w:pStyle w:val="2"/>
              <w:rPr>
                <w:rFonts w:hint="eastAsia" w:cs="宋体"/>
                <w:color w:val="auto"/>
                <w:kern w:val="0"/>
                <w:sz w:val="24"/>
                <w:highlight w:val="none"/>
                <w:lang w:val="en-US" w:eastAsia="zh-CN"/>
              </w:rPr>
            </w:pPr>
            <w:r>
              <w:rPr>
                <w:rFonts w:hint="eastAsia" w:cs="宋体"/>
                <w:color w:val="auto"/>
                <w:kern w:val="0"/>
                <w:sz w:val="24"/>
                <w:highlight w:val="none"/>
              </w:rPr>
              <w:t>（1）工程勘察综合甲级资质</w:t>
            </w:r>
            <w:r>
              <w:rPr>
                <w:rFonts w:hint="eastAsia" w:cs="宋体"/>
                <w:color w:val="auto"/>
                <w:kern w:val="0"/>
                <w:sz w:val="24"/>
                <w:highlight w:val="none"/>
                <w:lang w:val="en-US" w:eastAsia="zh-CN"/>
              </w:rPr>
              <w:t>；</w:t>
            </w:r>
          </w:p>
          <w:p>
            <w:pPr>
              <w:pStyle w:val="2"/>
              <w:rPr>
                <w:rFonts w:hint="eastAsia" w:cs="宋体"/>
                <w:color w:val="auto"/>
                <w:kern w:val="0"/>
                <w:sz w:val="24"/>
                <w:highlight w:val="none"/>
              </w:rPr>
            </w:pPr>
            <w:r>
              <w:rPr>
                <w:rFonts w:hint="eastAsia" w:cs="宋体"/>
                <w:color w:val="auto"/>
                <w:kern w:val="0"/>
                <w:sz w:val="24"/>
                <w:highlight w:val="none"/>
              </w:rPr>
              <w:t>（2）或工程勘察专业（岩土工程勘察、工程测量）丙级（或以上）资质。</w:t>
            </w:r>
          </w:p>
          <w:p>
            <w:pPr>
              <w:pStyle w:val="2"/>
              <w:rPr>
                <w:rFonts w:cs="宋体"/>
                <w:color w:val="auto"/>
                <w:kern w:val="0"/>
                <w:sz w:val="24"/>
                <w:highlight w:val="none"/>
              </w:rPr>
            </w:pPr>
            <w:r>
              <w:rPr>
                <w:rFonts w:hint="eastAsia" w:cs="宋体"/>
                <w:color w:val="auto"/>
                <w:kern w:val="0"/>
                <w:sz w:val="24"/>
                <w:highlight w:val="none"/>
              </w:rPr>
              <w:t>[注]要求同时具备2项或以上资质证书的，投标人可以组成联合体投标。联合体主办方必须是具备上述第1点中设计资质的设计单位，联合体各方（包括主办方及联合体成员）不得再单独或与其他单位组成联合体参与本项目投标。</w:t>
            </w:r>
          </w:p>
        </w:tc>
        <w:tc>
          <w:tcPr>
            <w:tcW w:w="948" w:type="dxa"/>
            <w:vAlign w:val="center"/>
          </w:tcPr>
          <w:p>
            <w:pPr>
              <w:tabs>
                <w:tab w:val="left" w:pos="720"/>
              </w:tabs>
              <w:snapToGrid w:val="0"/>
              <w:jc w:val="center"/>
              <w:rPr>
                <w:color w:val="auto"/>
                <w:sz w:val="24"/>
                <w:highlight w:val="none"/>
              </w:rPr>
            </w:pPr>
          </w:p>
        </w:tc>
        <w:tc>
          <w:tcPr>
            <w:tcW w:w="567" w:type="dxa"/>
            <w:vAlign w:val="center"/>
          </w:tcPr>
          <w:p>
            <w:pPr>
              <w:tabs>
                <w:tab w:val="left" w:pos="720"/>
              </w:tabs>
              <w:snapToGrid w:val="0"/>
              <w:jc w:val="center"/>
              <w:rPr>
                <w:color w:val="auto"/>
                <w:sz w:val="24"/>
                <w:highlight w:val="none"/>
              </w:rPr>
            </w:pPr>
          </w:p>
        </w:tc>
        <w:tc>
          <w:tcPr>
            <w:tcW w:w="709" w:type="dxa"/>
            <w:vAlign w:val="center"/>
          </w:tcPr>
          <w:p>
            <w:pPr>
              <w:tabs>
                <w:tab w:val="left" w:pos="720"/>
              </w:tabs>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54" w:type="dxa"/>
            <w:vAlign w:val="center"/>
          </w:tcPr>
          <w:p>
            <w:pPr>
              <w:tabs>
                <w:tab w:val="left" w:pos="720"/>
              </w:tabs>
              <w:snapToGrid w:val="0"/>
              <w:jc w:val="center"/>
              <w:rPr>
                <w:color w:val="auto"/>
                <w:sz w:val="24"/>
                <w:highlight w:val="none"/>
              </w:rPr>
            </w:pPr>
            <w:r>
              <w:rPr>
                <w:rFonts w:hint="eastAsia"/>
                <w:color w:val="auto"/>
                <w:sz w:val="24"/>
                <w:highlight w:val="none"/>
              </w:rPr>
              <w:t>3</w:t>
            </w:r>
          </w:p>
        </w:tc>
        <w:tc>
          <w:tcPr>
            <w:tcW w:w="6139"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cs="宋体"/>
                <w:color w:val="auto"/>
                <w:kern w:val="0"/>
                <w:sz w:val="24"/>
                <w:highlight w:val="none"/>
              </w:rPr>
            </w:pPr>
            <w:r>
              <w:rPr>
                <w:rFonts w:hint="eastAsia" w:ascii="宋体" w:hAnsi="宋体" w:eastAsia="宋体" w:cs="宋体"/>
                <w:color w:val="auto"/>
                <w:kern w:val="2"/>
                <w:sz w:val="24"/>
                <w:szCs w:val="24"/>
                <w:highlight w:val="none"/>
                <w:u w:val="none"/>
                <w:lang w:val="en-US" w:eastAsia="zh-CN" w:bidi="ar-SA"/>
              </w:rPr>
              <w:t>投标申请人委派的项目负责人必须是本单位在册人员，须具备给水排水专业高级工程师或以上技术职称。</w:t>
            </w:r>
          </w:p>
        </w:tc>
        <w:tc>
          <w:tcPr>
            <w:tcW w:w="948" w:type="dxa"/>
            <w:vAlign w:val="center"/>
          </w:tcPr>
          <w:p>
            <w:pPr>
              <w:tabs>
                <w:tab w:val="left" w:pos="720"/>
              </w:tabs>
              <w:snapToGrid w:val="0"/>
              <w:jc w:val="center"/>
              <w:rPr>
                <w:color w:val="auto"/>
                <w:sz w:val="24"/>
                <w:highlight w:val="none"/>
              </w:rPr>
            </w:pPr>
          </w:p>
        </w:tc>
        <w:tc>
          <w:tcPr>
            <w:tcW w:w="567" w:type="dxa"/>
            <w:vAlign w:val="center"/>
          </w:tcPr>
          <w:p>
            <w:pPr>
              <w:tabs>
                <w:tab w:val="left" w:pos="720"/>
              </w:tabs>
              <w:snapToGrid w:val="0"/>
              <w:jc w:val="center"/>
              <w:rPr>
                <w:color w:val="auto"/>
                <w:sz w:val="24"/>
                <w:highlight w:val="none"/>
              </w:rPr>
            </w:pPr>
          </w:p>
        </w:tc>
        <w:tc>
          <w:tcPr>
            <w:tcW w:w="709" w:type="dxa"/>
            <w:vAlign w:val="center"/>
          </w:tcPr>
          <w:p>
            <w:pPr>
              <w:tabs>
                <w:tab w:val="left" w:pos="720"/>
              </w:tabs>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754" w:type="dxa"/>
            <w:vAlign w:val="center"/>
          </w:tcPr>
          <w:p>
            <w:pPr>
              <w:tabs>
                <w:tab w:val="left" w:pos="720"/>
              </w:tabs>
              <w:snapToGrid w:val="0"/>
              <w:jc w:val="center"/>
              <w:rPr>
                <w:color w:val="auto"/>
                <w:sz w:val="24"/>
                <w:highlight w:val="none"/>
              </w:rPr>
            </w:pPr>
            <w:r>
              <w:rPr>
                <w:rFonts w:hint="eastAsia"/>
                <w:color w:val="auto"/>
                <w:sz w:val="24"/>
                <w:highlight w:val="none"/>
              </w:rPr>
              <w:t>4</w:t>
            </w:r>
          </w:p>
        </w:tc>
        <w:tc>
          <w:tcPr>
            <w:tcW w:w="6139" w:type="dxa"/>
            <w:vAlign w:val="center"/>
          </w:tcPr>
          <w:p>
            <w:pPr>
              <w:tabs>
                <w:tab w:val="left" w:pos="720"/>
              </w:tabs>
              <w:snapToGrid w:val="0"/>
              <w:rPr>
                <w:rFonts w:cs="宋体"/>
                <w:color w:val="auto"/>
                <w:kern w:val="0"/>
                <w:sz w:val="24"/>
                <w:highlight w:val="none"/>
              </w:rPr>
            </w:pPr>
            <w:r>
              <w:rPr>
                <w:rFonts w:hint="eastAsia" w:cs="宋体"/>
                <w:color w:val="auto"/>
                <w:kern w:val="0"/>
                <w:sz w:val="24"/>
                <w:highlight w:val="none"/>
              </w:rPr>
              <w:t>在“信用中国”网站（http://www.creditchina.gov.cn/)中未被列入失信被执行人名单的投标人 ，在国家企业信用信息公示系统（www.gsxt.gov.cn）中未被列入严重违法失信企业名单的投标人。</w:t>
            </w:r>
          </w:p>
        </w:tc>
        <w:tc>
          <w:tcPr>
            <w:tcW w:w="948" w:type="dxa"/>
            <w:vAlign w:val="center"/>
          </w:tcPr>
          <w:p>
            <w:pPr>
              <w:tabs>
                <w:tab w:val="left" w:pos="720"/>
              </w:tabs>
              <w:snapToGrid w:val="0"/>
              <w:jc w:val="center"/>
              <w:rPr>
                <w:color w:val="auto"/>
                <w:sz w:val="24"/>
                <w:highlight w:val="none"/>
              </w:rPr>
            </w:pPr>
          </w:p>
        </w:tc>
        <w:tc>
          <w:tcPr>
            <w:tcW w:w="567" w:type="dxa"/>
            <w:vAlign w:val="center"/>
          </w:tcPr>
          <w:p>
            <w:pPr>
              <w:tabs>
                <w:tab w:val="left" w:pos="720"/>
              </w:tabs>
              <w:snapToGrid w:val="0"/>
              <w:jc w:val="center"/>
              <w:rPr>
                <w:color w:val="auto"/>
                <w:sz w:val="24"/>
                <w:highlight w:val="none"/>
              </w:rPr>
            </w:pPr>
          </w:p>
        </w:tc>
        <w:tc>
          <w:tcPr>
            <w:tcW w:w="709" w:type="dxa"/>
            <w:vAlign w:val="center"/>
          </w:tcPr>
          <w:p>
            <w:pPr>
              <w:tabs>
                <w:tab w:val="left" w:pos="720"/>
              </w:tabs>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54" w:type="dxa"/>
            <w:vAlign w:val="center"/>
          </w:tcPr>
          <w:p>
            <w:pPr>
              <w:tabs>
                <w:tab w:val="left" w:pos="720"/>
              </w:tabs>
              <w:snapToGrid w:val="0"/>
              <w:jc w:val="center"/>
              <w:rPr>
                <w:color w:val="auto"/>
                <w:sz w:val="24"/>
                <w:highlight w:val="none"/>
              </w:rPr>
            </w:pPr>
            <w:r>
              <w:rPr>
                <w:rFonts w:hint="eastAsia"/>
                <w:color w:val="auto"/>
                <w:sz w:val="24"/>
                <w:highlight w:val="none"/>
              </w:rPr>
              <w:t>5</w:t>
            </w:r>
          </w:p>
        </w:tc>
        <w:tc>
          <w:tcPr>
            <w:tcW w:w="6139" w:type="dxa"/>
            <w:vAlign w:val="center"/>
          </w:tcPr>
          <w:p>
            <w:pPr>
              <w:tabs>
                <w:tab w:val="left" w:pos="720"/>
              </w:tabs>
              <w:snapToGrid w:val="0"/>
              <w:rPr>
                <w:rFonts w:hint="eastAsia" w:eastAsia="宋体" w:cs="宋体"/>
                <w:color w:val="auto"/>
                <w:kern w:val="0"/>
                <w:sz w:val="24"/>
                <w:highlight w:val="none"/>
                <w:lang w:eastAsia="zh-CN"/>
              </w:rPr>
            </w:pPr>
            <w:r>
              <w:rPr>
                <w:rFonts w:hint="eastAsia" w:cs="宋体"/>
                <w:color w:val="auto"/>
                <w:kern w:val="0"/>
                <w:sz w:val="24"/>
                <w:highlight w:val="none"/>
              </w:rPr>
              <w:t>本次招标只接受投标人的总公司报名</w:t>
            </w:r>
            <w:r>
              <w:rPr>
                <w:rFonts w:hint="eastAsia" w:cs="宋体"/>
                <w:color w:val="auto"/>
                <w:kern w:val="0"/>
                <w:sz w:val="24"/>
                <w:highlight w:val="none"/>
                <w:lang w:eastAsia="zh-CN"/>
              </w:rPr>
              <w:t>。</w:t>
            </w:r>
          </w:p>
        </w:tc>
        <w:tc>
          <w:tcPr>
            <w:tcW w:w="948" w:type="dxa"/>
            <w:vAlign w:val="center"/>
          </w:tcPr>
          <w:p>
            <w:pPr>
              <w:tabs>
                <w:tab w:val="left" w:pos="720"/>
              </w:tabs>
              <w:snapToGrid w:val="0"/>
              <w:jc w:val="center"/>
              <w:rPr>
                <w:color w:val="auto"/>
                <w:sz w:val="24"/>
                <w:highlight w:val="none"/>
              </w:rPr>
            </w:pPr>
          </w:p>
        </w:tc>
        <w:tc>
          <w:tcPr>
            <w:tcW w:w="567" w:type="dxa"/>
            <w:vAlign w:val="center"/>
          </w:tcPr>
          <w:p>
            <w:pPr>
              <w:tabs>
                <w:tab w:val="left" w:pos="720"/>
              </w:tabs>
              <w:snapToGrid w:val="0"/>
              <w:jc w:val="center"/>
              <w:rPr>
                <w:color w:val="auto"/>
                <w:sz w:val="24"/>
                <w:highlight w:val="none"/>
              </w:rPr>
            </w:pPr>
          </w:p>
        </w:tc>
        <w:tc>
          <w:tcPr>
            <w:tcW w:w="709" w:type="dxa"/>
            <w:vAlign w:val="center"/>
          </w:tcPr>
          <w:p>
            <w:pPr>
              <w:tabs>
                <w:tab w:val="left" w:pos="720"/>
              </w:tabs>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4" w:type="dxa"/>
            <w:vAlign w:val="center"/>
          </w:tcPr>
          <w:p>
            <w:pPr>
              <w:tabs>
                <w:tab w:val="left" w:pos="720"/>
              </w:tabs>
              <w:snapToGrid w:val="0"/>
              <w:rPr>
                <w:rFonts w:cs="宋体"/>
                <w:color w:val="auto"/>
                <w:kern w:val="0"/>
                <w:sz w:val="24"/>
                <w:highlight w:val="none"/>
              </w:rPr>
            </w:pPr>
            <w:r>
              <w:rPr>
                <w:rFonts w:hint="eastAsia" w:cs="宋体"/>
                <w:color w:val="auto"/>
                <w:kern w:val="0"/>
                <w:sz w:val="24"/>
                <w:highlight w:val="none"/>
              </w:rPr>
              <w:t>结论</w:t>
            </w:r>
          </w:p>
        </w:tc>
        <w:tc>
          <w:tcPr>
            <w:tcW w:w="6139" w:type="dxa"/>
            <w:vAlign w:val="center"/>
          </w:tcPr>
          <w:p>
            <w:pPr>
              <w:tabs>
                <w:tab w:val="left" w:pos="720"/>
              </w:tabs>
              <w:snapToGrid w:val="0"/>
              <w:rPr>
                <w:rFonts w:cs="宋体"/>
                <w:color w:val="auto"/>
                <w:kern w:val="0"/>
                <w:sz w:val="24"/>
                <w:highlight w:val="none"/>
              </w:rPr>
            </w:pPr>
            <w:r>
              <w:rPr>
                <w:rFonts w:hint="eastAsia" w:cs="宋体"/>
                <w:color w:val="auto"/>
                <w:kern w:val="0"/>
                <w:sz w:val="24"/>
                <w:highlight w:val="none"/>
              </w:rPr>
              <w:t>是否</w:t>
            </w:r>
            <w:r>
              <w:rPr>
                <w:rFonts w:hint="eastAsia" w:cs="宋体"/>
                <w:color w:val="auto"/>
                <w:kern w:val="0"/>
                <w:sz w:val="24"/>
                <w:highlight w:val="none"/>
                <w:lang w:val="en-US" w:eastAsia="zh-CN"/>
              </w:rPr>
              <w:t>合格</w:t>
            </w:r>
            <w:r>
              <w:rPr>
                <w:rFonts w:hint="eastAsia" w:cs="宋体"/>
                <w:color w:val="auto"/>
                <w:kern w:val="0"/>
                <w:sz w:val="24"/>
                <w:highlight w:val="none"/>
              </w:rPr>
              <w:t>并进入下一阶段评审</w:t>
            </w:r>
          </w:p>
        </w:tc>
        <w:tc>
          <w:tcPr>
            <w:tcW w:w="948" w:type="dxa"/>
          </w:tcPr>
          <w:p>
            <w:pPr>
              <w:rPr>
                <w:color w:val="auto"/>
                <w:sz w:val="24"/>
                <w:highlight w:val="none"/>
                <w:u w:val="single"/>
              </w:rPr>
            </w:pPr>
          </w:p>
        </w:tc>
        <w:tc>
          <w:tcPr>
            <w:tcW w:w="567" w:type="dxa"/>
          </w:tcPr>
          <w:p>
            <w:pPr>
              <w:rPr>
                <w:color w:val="auto"/>
                <w:sz w:val="24"/>
                <w:highlight w:val="none"/>
                <w:u w:val="single"/>
              </w:rPr>
            </w:pPr>
          </w:p>
        </w:tc>
        <w:tc>
          <w:tcPr>
            <w:tcW w:w="709" w:type="dxa"/>
          </w:tcPr>
          <w:p>
            <w:pPr>
              <w:rPr>
                <w:color w:val="auto"/>
                <w:sz w:val="24"/>
                <w:highlight w:val="none"/>
                <w:u w:val="single"/>
              </w:rPr>
            </w:pPr>
          </w:p>
        </w:tc>
      </w:tr>
    </w:tbl>
    <w:p>
      <w:pPr>
        <w:pStyle w:val="10"/>
        <w:widowControl w:val="0"/>
        <w:autoSpaceDE w:val="0"/>
        <w:autoSpaceDN w:val="0"/>
        <w:spacing w:before="160"/>
        <w:rPr>
          <w:rFonts w:ascii="宋体" w:hAnsi="宋体" w:cs="宋体"/>
          <w:b/>
          <w:bCs/>
          <w:color w:val="auto"/>
          <w:sz w:val="18"/>
          <w:szCs w:val="18"/>
          <w:highlight w:val="none"/>
        </w:rPr>
      </w:pPr>
      <w:r>
        <w:rPr>
          <w:rFonts w:hint="eastAsia" w:ascii="宋体" w:hAnsi="宋体" w:cs="宋体"/>
          <w:b/>
          <w:bCs/>
          <w:color w:val="auto"/>
          <w:sz w:val="18"/>
          <w:szCs w:val="18"/>
          <w:highlight w:val="none"/>
        </w:rPr>
        <w:t>备注：</w:t>
      </w:r>
    </w:p>
    <w:p>
      <w:pPr>
        <w:pStyle w:val="10"/>
        <w:widowControl w:val="0"/>
        <w:autoSpaceDE w:val="0"/>
        <w:autoSpaceDN w:val="0"/>
        <w:rPr>
          <w:rFonts w:ascii="宋体" w:hAnsi="宋体" w:cs="宋体"/>
          <w:b/>
          <w:bCs/>
          <w:color w:val="auto"/>
          <w:sz w:val="18"/>
          <w:szCs w:val="18"/>
          <w:highlight w:val="none"/>
        </w:rPr>
      </w:pPr>
      <w:r>
        <w:rPr>
          <w:rFonts w:hint="eastAsia" w:ascii="宋体" w:hAnsi="宋体" w:cs="宋体"/>
          <w:b/>
          <w:bCs/>
          <w:color w:val="auto"/>
          <w:sz w:val="18"/>
          <w:szCs w:val="18"/>
          <w:highlight w:val="none"/>
        </w:rPr>
        <w:t>1、每一项目符合的打“</w:t>
      </w:r>
      <w:r>
        <w:rPr>
          <w:rFonts w:ascii="Arial" w:hAnsi="Arial" w:cs="Arial"/>
          <w:b/>
          <w:bCs/>
          <w:color w:val="auto"/>
          <w:sz w:val="18"/>
          <w:szCs w:val="18"/>
          <w:highlight w:val="none"/>
        </w:rPr>
        <w:t>√</w:t>
      </w:r>
      <w:r>
        <w:rPr>
          <w:rFonts w:hint="eastAsia" w:ascii="宋体" w:hAnsi="宋体" w:cs="宋体"/>
          <w:b/>
          <w:bCs/>
          <w:color w:val="auto"/>
          <w:sz w:val="18"/>
          <w:szCs w:val="18"/>
          <w:highlight w:val="none"/>
        </w:rPr>
        <w:t>”，不符合的打“×”；</w:t>
      </w:r>
    </w:p>
    <w:p>
      <w:pPr>
        <w:pStyle w:val="10"/>
        <w:widowControl w:val="0"/>
        <w:autoSpaceDE w:val="0"/>
        <w:autoSpaceDN w:val="0"/>
        <w:spacing w:before="161"/>
        <w:ind w:right="135"/>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rPr>
        <w:t>2、若评委意见不一致时，则按少数服从多数的原则，作出评审结论。汇总后，出现一个“×”的结论为“不通过”。</w:t>
      </w:r>
    </w:p>
    <w:p>
      <w:pPr>
        <w:pStyle w:val="14"/>
        <w:rPr>
          <w:color w:val="auto"/>
          <w:szCs w:val="21"/>
          <w:highlight w:val="none"/>
        </w:rPr>
      </w:pPr>
    </w:p>
    <w:p>
      <w:pPr>
        <w:pStyle w:val="14"/>
        <w:rPr>
          <w:b/>
          <w:bCs/>
          <w:color w:val="auto"/>
          <w:sz w:val="24"/>
          <w:szCs w:val="24"/>
          <w:highlight w:val="none"/>
        </w:rPr>
        <w:sectPr>
          <w:pgSz w:w="11910" w:h="16840"/>
          <w:pgMar w:top="1134" w:right="1134" w:bottom="1134" w:left="1134" w:header="0" w:footer="900" w:gutter="0"/>
          <w:cols w:space="720" w:num="1"/>
          <w:docGrid w:linePitch="1" w:charSpace="0"/>
        </w:sectPr>
      </w:pPr>
      <w:r>
        <w:rPr>
          <w:rFonts w:hint="eastAsia"/>
          <w:b/>
          <w:bCs/>
          <w:color w:val="auto"/>
          <w:sz w:val="24"/>
          <w:szCs w:val="24"/>
          <w:highlight w:val="none"/>
        </w:rPr>
        <w:t>评委签名：                     日期：</w:t>
      </w:r>
    </w:p>
    <w:p>
      <w:pPr>
        <w:pStyle w:val="14"/>
        <w:jc w:val="center"/>
        <w:outlineLvl w:val="1"/>
        <w:rPr>
          <w:rFonts w:hAnsi="宋体"/>
          <w:b/>
          <w:color w:val="auto"/>
          <w:sz w:val="32"/>
          <w:highlight w:val="none"/>
        </w:rPr>
      </w:pPr>
      <w:bookmarkStart w:id="98" w:name="_Toc2878"/>
      <w:bookmarkStart w:id="99" w:name="_Toc15421"/>
      <w:bookmarkStart w:id="100" w:name="_Toc28550"/>
      <w:r>
        <w:rPr>
          <w:rFonts w:hint="eastAsia" w:hAnsi="宋体"/>
          <w:b/>
          <w:color w:val="auto"/>
          <w:sz w:val="32"/>
          <w:highlight w:val="none"/>
        </w:rPr>
        <w:t>附表二 商务文件有效性审查表</w:t>
      </w:r>
      <w:bookmarkEnd w:id="98"/>
      <w:bookmarkEnd w:id="99"/>
      <w:bookmarkEnd w:id="100"/>
    </w:p>
    <w:p>
      <w:pPr>
        <w:tabs>
          <w:tab w:val="left" w:pos="720"/>
        </w:tabs>
        <w:snapToGrid w:val="0"/>
        <w:spacing w:line="360" w:lineRule="auto"/>
        <w:rPr>
          <w:rFonts w:ascii="宋体" w:hAnsi="宋体"/>
          <w:b/>
          <w:color w:val="auto"/>
          <w:sz w:val="24"/>
          <w:highlight w:val="none"/>
        </w:rPr>
      </w:pPr>
      <w:r>
        <w:rPr>
          <w:rFonts w:hint="eastAsia" w:ascii="宋体" w:hAnsi="宋体"/>
          <w:b/>
          <w:color w:val="auto"/>
          <w:sz w:val="24"/>
          <w:highlight w:val="none"/>
        </w:rPr>
        <w:t>项目名称：</w:t>
      </w:r>
    </w:p>
    <w:tbl>
      <w:tblPr>
        <w:tblStyle w:val="23"/>
        <w:tblW w:w="9840" w:type="dxa"/>
        <w:tblInd w:w="-93" w:type="dxa"/>
        <w:tblLayout w:type="fixed"/>
        <w:tblCellMar>
          <w:top w:w="0" w:type="dxa"/>
          <w:left w:w="108" w:type="dxa"/>
          <w:bottom w:w="0" w:type="dxa"/>
          <w:right w:w="108" w:type="dxa"/>
        </w:tblCellMar>
      </w:tblPr>
      <w:tblGrid>
        <w:gridCol w:w="698"/>
        <w:gridCol w:w="7192"/>
        <w:gridCol w:w="420"/>
        <w:gridCol w:w="405"/>
        <w:gridCol w:w="390"/>
        <w:gridCol w:w="359"/>
        <w:gridCol w:w="376"/>
      </w:tblGrid>
      <w:tr>
        <w:tblPrEx>
          <w:tblCellMar>
            <w:top w:w="0" w:type="dxa"/>
            <w:left w:w="108" w:type="dxa"/>
            <w:bottom w:w="0" w:type="dxa"/>
            <w:right w:w="108" w:type="dxa"/>
          </w:tblCellMar>
        </w:tblPrEx>
        <w:trPr>
          <w:trHeight w:val="569"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7192" w:type="dxa"/>
            <w:tcBorders>
              <w:top w:val="single" w:color="auto" w:sz="4" w:space="0"/>
              <w:left w:val="single" w:color="auto" w:sz="4" w:space="0"/>
              <w:bottom w:val="single" w:color="auto" w:sz="4" w:space="0"/>
              <w:right w:val="single" w:color="auto" w:sz="4" w:space="0"/>
              <w:tl2br w:val="single" w:color="auto" w:sz="4" w:space="0"/>
            </w:tcBorders>
          </w:tcPr>
          <w:p>
            <w:pPr>
              <w:spacing w:line="360" w:lineRule="auto"/>
              <w:rPr>
                <w:rFonts w:ascii="宋体" w:hAnsi="宋体"/>
                <w:color w:val="auto"/>
                <w:sz w:val="24"/>
                <w:highlight w:val="none"/>
              </w:rPr>
            </w:pPr>
            <w:r>
              <w:rPr>
                <w:rFonts w:hint="eastAsia" w:ascii="宋体" w:hAnsi="宋体"/>
                <w:color w:val="auto"/>
                <w:sz w:val="24"/>
                <w:highlight w:val="none"/>
              </w:rPr>
              <w:t xml:space="preserve">                                      投标单位</w:t>
            </w:r>
          </w:p>
          <w:p>
            <w:pPr>
              <w:spacing w:line="360" w:lineRule="auto"/>
              <w:rPr>
                <w:rFonts w:ascii="宋体" w:hAnsi="宋体"/>
                <w:color w:val="auto"/>
                <w:sz w:val="24"/>
                <w:highlight w:val="none"/>
              </w:rPr>
            </w:pPr>
            <w:r>
              <w:rPr>
                <w:rFonts w:hint="eastAsia" w:ascii="宋体" w:hAnsi="宋体"/>
                <w:color w:val="auto"/>
                <w:sz w:val="24"/>
                <w:highlight w:val="none"/>
              </w:rPr>
              <w:t>审查项目</w:t>
            </w:r>
          </w:p>
        </w:tc>
        <w:tc>
          <w:tcPr>
            <w:tcW w:w="4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r>
      <w:tr>
        <w:tblPrEx>
          <w:tblCellMar>
            <w:top w:w="0" w:type="dxa"/>
            <w:left w:w="108" w:type="dxa"/>
            <w:bottom w:w="0" w:type="dxa"/>
            <w:right w:w="108" w:type="dxa"/>
          </w:tblCellMar>
        </w:tblPrEx>
        <w:trPr>
          <w:trHeight w:val="375"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71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未发现投标人与招标人、评标委员会成员或者其他投标人串通投标</w:t>
            </w:r>
          </w:p>
        </w:tc>
        <w:tc>
          <w:tcPr>
            <w:tcW w:w="4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r>
      <w:tr>
        <w:tblPrEx>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71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商务文件加盖投标人公章，经法定代表人或者其授权代表签字</w:t>
            </w:r>
          </w:p>
        </w:tc>
        <w:tc>
          <w:tcPr>
            <w:tcW w:w="4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r>
      <w:tr>
        <w:tblPrEx>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71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商务文件中不包含有招标人不能接受的偏差</w:t>
            </w:r>
          </w:p>
        </w:tc>
        <w:tc>
          <w:tcPr>
            <w:tcW w:w="4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r>
      <w:tr>
        <w:tblPrEx>
          <w:tblCellMar>
            <w:top w:w="0" w:type="dxa"/>
            <w:left w:w="108" w:type="dxa"/>
            <w:bottom w:w="0" w:type="dxa"/>
            <w:right w:w="108" w:type="dxa"/>
          </w:tblCellMar>
        </w:tblPrEx>
        <w:trPr>
          <w:trHeight w:val="387"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71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r>
              <w:rPr>
                <w:rStyle w:val="27"/>
                <w:rFonts w:ascii="宋体" w:hAnsi="宋体"/>
                <w:color w:val="auto"/>
                <w:sz w:val="24"/>
                <w:highlight w:val="none"/>
              </w:rPr>
              <w:t>投标报价</w:t>
            </w:r>
            <w:r>
              <w:rPr>
                <w:rStyle w:val="27"/>
                <w:rFonts w:hint="eastAsia" w:ascii="宋体" w:hAnsi="宋体"/>
                <w:color w:val="auto"/>
                <w:sz w:val="24"/>
                <w:highlight w:val="none"/>
              </w:rPr>
              <w:t>不超过</w:t>
            </w:r>
            <w:r>
              <w:rPr>
                <w:rStyle w:val="27"/>
                <w:rFonts w:ascii="宋体" w:hAnsi="宋体"/>
                <w:color w:val="auto"/>
                <w:sz w:val="24"/>
                <w:highlight w:val="none"/>
              </w:rPr>
              <w:t>最高投标限价的</w:t>
            </w:r>
          </w:p>
        </w:tc>
        <w:tc>
          <w:tcPr>
            <w:tcW w:w="4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r>
      <w:tr>
        <w:tblPrEx>
          <w:tblCellMar>
            <w:top w:w="0" w:type="dxa"/>
            <w:left w:w="108" w:type="dxa"/>
            <w:bottom w:w="0" w:type="dxa"/>
            <w:right w:w="108" w:type="dxa"/>
          </w:tblCellMar>
        </w:tblPrEx>
        <w:trPr>
          <w:trHeight w:val="562"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71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按招标文件规定的格式填写，没有出现内容不全或者关键字迹模糊无法辨认</w:t>
            </w:r>
          </w:p>
        </w:tc>
        <w:tc>
          <w:tcPr>
            <w:tcW w:w="4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r>
      <w:tr>
        <w:tblPrEx>
          <w:tblCellMar>
            <w:top w:w="0" w:type="dxa"/>
            <w:left w:w="108" w:type="dxa"/>
            <w:bottom w:w="0" w:type="dxa"/>
            <w:right w:w="108" w:type="dxa"/>
          </w:tblCellMar>
        </w:tblPrEx>
        <w:trPr>
          <w:trHeight w:val="362"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w:t>
            </w:r>
          </w:p>
        </w:tc>
        <w:tc>
          <w:tcPr>
            <w:tcW w:w="71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未发现证明材料弄虚作假</w:t>
            </w:r>
          </w:p>
        </w:tc>
        <w:tc>
          <w:tcPr>
            <w:tcW w:w="4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r>
      <w:tr>
        <w:tblPrEx>
          <w:tblCellMar>
            <w:top w:w="0" w:type="dxa"/>
            <w:left w:w="108" w:type="dxa"/>
            <w:bottom w:w="0" w:type="dxa"/>
            <w:right w:w="108" w:type="dxa"/>
          </w:tblCellMar>
        </w:tblPrEx>
        <w:trPr>
          <w:trHeight w:val="456"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71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按第二章投标文件编制要求编制投标文件</w:t>
            </w:r>
          </w:p>
        </w:tc>
        <w:tc>
          <w:tcPr>
            <w:tcW w:w="4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r>
      <w:tr>
        <w:tblPrEx>
          <w:tblCellMar>
            <w:top w:w="0" w:type="dxa"/>
            <w:left w:w="108" w:type="dxa"/>
            <w:bottom w:w="0" w:type="dxa"/>
            <w:right w:w="108" w:type="dxa"/>
          </w:tblCellMar>
        </w:tblPrEx>
        <w:trPr>
          <w:trHeight w:val="412"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8</w:t>
            </w:r>
          </w:p>
        </w:tc>
        <w:tc>
          <w:tcPr>
            <w:tcW w:w="71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已按招标文件要求缴纳投标保证金（银行保函）</w:t>
            </w:r>
          </w:p>
        </w:tc>
        <w:tc>
          <w:tcPr>
            <w:tcW w:w="4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r>
      <w:tr>
        <w:tblPrEx>
          <w:tblCellMar>
            <w:top w:w="0" w:type="dxa"/>
            <w:left w:w="108" w:type="dxa"/>
            <w:bottom w:w="0" w:type="dxa"/>
            <w:right w:w="108" w:type="dxa"/>
          </w:tblCellMar>
        </w:tblPrEx>
        <w:trPr>
          <w:trHeight w:val="365"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9</w:t>
            </w:r>
          </w:p>
        </w:tc>
        <w:tc>
          <w:tcPr>
            <w:tcW w:w="71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按照要求（必要时）对投标文件进行澄清、说明或者补正</w:t>
            </w:r>
          </w:p>
        </w:tc>
        <w:tc>
          <w:tcPr>
            <w:tcW w:w="4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r>
      <w:tr>
        <w:tblPrEx>
          <w:tblCellMar>
            <w:top w:w="0" w:type="dxa"/>
            <w:left w:w="108" w:type="dxa"/>
            <w:bottom w:w="0" w:type="dxa"/>
            <w:right w:w="108" w:type="dxa"/>
          </w:tblCellMar>
        </w:tblPrEx>
        <w:trPr>
          <w:trHeight w:val="659"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10</w:t>
            </w:r>
          </w:p>
        </w:tc>
        <w:tc>
          <w:tcPr>
            <w:tcW w:w="71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hAnsi="宋体" w:cs="宋体"/>
                <w:color w:val="auto"/>
                <w:kern w:val="0"/>
                <w:sz w:val="24"/>
                <w:highlight w:val="none"/>
              </w:rPr>
              <w:t>没有违反有关法律法规及规定的，如投标文件互相雷同、投标人与招标人存在利害关系等情况的；</w:t>
            </w:r>
          </w:p>
        </w:tc>
        <w:tc>
          <w:tcPr>
            <w:tcW w:w="4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r>
      <w:tr>
        <w:tblPrEx>
          <w:tblCellMar>
            <w:top w:w="0" w:type="dxa"/>
            <w:left w:w="108" w:type="dxa"/>
            <w:bottom w:w="0" w:type="dxa"/>
            <w:right w:w="108" w:type="dxa"/>
          </w:tblCellMar>
        </w:tblPrEx>
        <w:trPr>
          <w:trHeight w:val="424"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11</w:t>
            </w:r>
          </w:p>
        </w:tc>
        <w:tc>
          <w:tcPr>
            <w:tcW w:w="719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highlight w:val="none"/>
              </w:rPr>
            </w:pPr>
            <w:r>
              <w:rPr>
                <w:color w:val="auto"/>
                <w:sz w:val="24"/>
                <w:highlight w:val="none"/>
              </w:rPr>
              <w:t xml:space="preserve"> </w:t>
            </w:r>
            <w:r>
              <w:rPr>
                <w:rFonts w:hint="eastAsia"/>
                <w:color w:val="auto"/>
                <w:sz w:val="24"/>
                <w:highlight w:val="none"/>
              </w:rPr>
              <w:t>如</w:t>
            </w:r>
            <w:r>
              <w:rPr>
                <w:rFonts w:hint="eastAsia" w:cs="宋体"/>
                <w:color w:val="auto"/>
                <w:sz w:val="24"/>
                <w:highlight w:val="none"/>
              </w:rPr>
              <w:t>以联合体形式投标的，向招标人提交联合体投标协议书。</w:t>
            </w:r>
          </w:p>
        </w:tc>
        <w:tc>
          <w:tcPr>
            <w:tcW w:w="4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r>
      <w:tr>
        <w:tblPrEx>
          <w:tblCellMar>
            <w:top w:w="0" w:type="dxa"/>
            <w:left w:w="108" w:type="dxa"/>
            <w:bottom w:w="0" w:type="dxa"/>
            <w:right w:w="108" w:type="dxa"/>
          </w:tblCellMar>
        </w:tblPrEx>
        <w:trPr>
          <w:trHeight w:val="469" w:hRule="atLeast"/>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结论</w:t>
            </w:r>
          </w:p>
        </w:tc>
        <w:tc>
          <w:tcPr>
            <w:tcW w:w="71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color w:val="auto"/>
                <w:sz w:val="24"/>
                <w:highlight w:val="none"/>
              </w:rPr>
              <w:t>是否通过并进入下一阶段评审</w:t>
            </w:r>
          </w:p>
        </w:tc>
        <w:tc>
          <w:tcPr>
            <w:tcW w:w="4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3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r>
    </w:tbl>
    <w:p>
      <w:pPr>
        <w:tabs>
          <w:tab w:val="left" w:pos="720"/>
        </w:tabs>
        <w:snapToGrid w:val="0"/>
        <w:spacing w:before="158" w:beforeLines="50"/>
        <w:rPr>
          <w:rFonts w:ascii="宋体" w:hAnsi="Courier New"/>
          <w:color w:val="auto"/>
          <w:sz w:val="18"/>
          <w:szCs w:val="18"/>
          <w:highlight w:val="none"/>
        </w:rPr>
      </w:pPr>
    </w:p>
    <w:p>
      <w:pPr>
        <w:pStyle w:val="10"/>
        <w:widowControl w:val="0"/>
        <w:autoSpaceDE w:val="0"/>
        <w:autoSpaceDN w:val="0"/>
        <w:rPr>
          <w:rFonts w:ascii="宋体" w:hAnsi="宋体" w:cs="宋体"/>
          <w:b/>
          <w:bCs/>
          <w:color w:val="auto"/>
          <w:sz w:val="18"/>
          <w:szCs w:val="18"/>
          <w:highlight w:val="none"/>
        </w:rPr>
      </w:pPr>
      <w:r>
        <w:rPr>
          <w:rFonts w:hint="eastAsia" w:ascii="宋体" w:hAnsi="宋体" w:cs="宋体"/>
          <w:b/>
          <w:bCs/>
          <w:color w:val="auto"/>
          <w:sz w:val="18"/>
          <w:szCs w:val="18"/>
          <w:highlight w:val="none"/>
        </w:rPr>
        <w:t>备注：</w:t>
      </w:r>
    </w:p>
    <w:p>
      <w:pPr>
        <w:pStyle w:val="10"/>
        <w:widowControl w:val="0"/>
        <w:autoSpaceDE w:val="0"/>
        <w:autoSpaceDN w:val="0"/>
        <w:rPr>
          <w:rFonts w:ascii="宋体" w:hAnsi="宋体" w:cs="宋体"/>
          <w:b/>
          <w:bCs/>
          <w:color w:val="auto"/>
          <w:sz w:val="18"/>
          <w:szCs w:val="18"/>
          <w:highlight w:val="none"/>
        </w:rPr>
      </w:pPr>
      <w:r>
        <w:rPr>
          <w:rFonts w:hint="eastAsia" w:ascii="宋体" w:hAnsi="宋体" w:cs="宋体"/>
          <w:b/>
          <w:bCs/>
          <w:color w:val="auto"/>
          <w:sz w:val="18"/>
          <w:szCs w:val="18"/>
          <w:highlight w:val="none"/>
        </w:rPr>
        <w:t>1、根据本表的审查项目，符合的打“</w:t>
      </w:r>
      <w:r>
        <w:rPr>
          <w:rFonts w:ascii="Arial" w:hAnsi="Arial" w:cs="Arial"/>
          <w:b/>
          <w:bCs/>
          <w:color w:val="auto"/>
          <w:sz w:val="18"/>
          <w:szCs w:val="18"/>
          <w:highlight w:val="none"/>
        </w:rPr>
        <w:t>√</w:t>
      </w:r>
      <w:r>
        <w:rPr>
          <w:rFonts w:hint="eastAsia" w:ascii="宋体" w:hAnsi="宋体" w:cs="宋体"/>
          <w:b/>
          <w:bCs/>
          <w:color w:val="auto"/>
          <w:sz w:val="18"/>
          <w:szCs w:val="18"/>
          <w:highlight w:val="none"/>
        </w:rPr>
        <w:t>”，不符合的打“×”；。</w:t>
      </w:r>
    </w:p>
    <w:p>
      <w:pPr>
        <w:pStyle w:val="10"/>
        <w:widowControl w:val="0"/>
        <w:autoSpaceDE w:val="0"/>
        <w:autoSpaceDN w:val="0"/>
        <w:rPr>
          <w:rFonts w:ascii="宋体" w:hAnsi="宋体" w:cs="宋体"/>
          <w:b/>
          <w:bCs/>
          <w:color w:val="auto"/>
          <w:sz w:val="18"/>
          <w:szCs w:val="18"/>
          <w:highlight w:val="none"/>
        </w:rPr>
      </w:pPr>
      <w:r>
        <w:rPr>
          <w:rFonts w:hint="eastAsia" w:ascii="宋体" w:hAnsi="宋体" w:cs="宋体"/>
          <w:b/>
          <w:bCs/>
          <w:color w:val="auto"/>
          <w:sz w:val="18"/>
          <w:szCs w:val="18"/>
          <w:highlight w:val="none"/>
        </w:rPr>
        <w:t>2、表中出现一个或以上“×”，即该投标人的评审“结论”为“不通过”，即该投标人不进入下一阶段评审。</w:t>
      </w:r>
    </w:p>
    <w:p>
      <w:pPr>
        <w:pStyle w:val="10"/>
        <w:widowControl w:val="0"/>
        <w:autoSpaceDE w:val="0"/>
        <w:autoSpaceDN w:val="0"/>
        <w:rPr>
          <w:rFonts w:ascii="宋体" w:hAnsi="宋体" w:cs="宋体"/>
          <w:b/>
          <w:bCs/>
          <w:color w:val="auto"/>
          <w:sz w:val="18"/>
          <w:szCs w:val="18"/>
          <w:highlight w:val="none"/>
        </w:rPr>
      </w:pPr>
      <w:r>
        <w:rPr>
          <w:rFonts w:hint="eastAsia" w:ascii="宋体" w:hAnsi="宋体" w:cs="宋体"/>
          <w:b/>
          <w:bCs/>
          <w:color w:val="auto"/>
          <w:sz w:val="18"/>
          <w:szCs w:val="18"/>
          <w:highlight w:val="none"/>
        </w:rPr>
        <w:t>3、表中全部评审结果为“</w:t>
      </w:r>
      <w:r>
        <w:rPr>
          <w:rFonts w:ascii="Arial" w:hAnsi="Arial" w:cs="Arial"/>
          <w:b/>
          <w:bCs/>
          <w:color w:val="auto"/>
          <w:sz w:val="18"/>
          <w:szCs w:val="18"/>
          <w:highlight w:val="none"/>
        </w:rPr>
        <w:t>√</w:t>
      </w:r>
      <w:r>
        <w:rPr>
          <w:rFonts w:hint="eastAsia" w:ascii="宋体" w:hAnsi="宋体" w:cs="宋体"/>
          <w:b/>
          <w:bCs/>
          <w:color w:val="auto"/>
          <w:sz w:val="18"/>
          <w:szCs w:val="18"/>
          <w:highlight w:val="none"/>
        </w:rPr>
        <w:t>”，视为同意进入下一阶段评审。</w:t>
      </w:r>
    </w:p>
    <w:p>
      <w:pPr>
        <w:pStyle w:val="10"/>
        <w:widowControl w:val="0"/>
        <w:autoSpaceDE w:val="0"/>
        <w:autoSpaceDN w:val="0"/>
        <w:rPr>
          <w:rFonts w:ascii="宋体" w:hAnsi="宋体" w:cs="宋体"/>
          <w:b/>
          <w:bCs/>
          <w:color w:val="auto"/>
          <w:sz w:val="18"/>
          <w:szCs w:val="18"/>
          <w:highlight w:val="none"/>
        </w:rPr>
      </w:pPr>
      <w:r>
        <w:rPr>
          <w:rFonts w:hint="eastAsia" w:ascii="宋体" w:hAnsi="宋体" w:cs="宋体"/>
          <w:b/>
          <w:bCs/>
          <w:color w:val="auto"/>
          <w:sz w:val="18"/>
          <w:szCs w:val="18"/>
          <w:highlight w:val="none"/>
        </w:rPr>
        <w:t>4、若评委意见不一致时，则按少数服从多数的原则，决定该投标人是否通过符合性审查，进入下一阶段评审。</w:t>
      </w:r>
      <w:bookmarkStart w:id="101" w:name="_Toc9103"/>
    </w:p>
    <w:p>
      <w:pPr>
        <w:pStyle w:val="10"/>
        <w:widowControl w:val="0"/>
        <w:autoSpaceDE w:val="0"/>
        <w:autoSpaceDN w:val="0"/>
        <w:rPr>
          <w:rFonts w:ascii="宋体" w:hAnsi="宋体" w:cs="宋体"/>
          <w:b/>
          <w:bCs/>
          <w:color w:val="auto"/>
          <w:sz w:val="18"/>
          <w:szCs w:val="18"/>
          <w:highlight w:val="none"/>
        </w:rPr>
      </w:pPr>
    </w:p>
    <w:p>
      <w:pPr>
        <w:pStyle w:val="10"/>
        <w:widowControl w:val="0"/>
        <w:autoSpaceDE w:val="0"/>
        <w:autoSpaceDN w:val="0"/>
        <w:rPr>
          <w:rFonts w:ascii="宋体" w:hAnsi="宋体" w:cs="宋体"/>
          <w:b/>
          <w:bCs/>
          <w:color w:val="auto"/>
          <w:sz w:val="18"/>
          <w:szCs w:val="18"/>
          <w:highlight w:val="none"/>
        </w:rPr>
      </w:pPr>
    </w:p>
    <w:p>
      <w:pPr>
        <w:pStyle w:val="10"/>
        <w:widowControl w:val="0"/>
        <w:autoSpaceDE w:val="0"/>
        <w:autoSpaceDN w:val="0"/>
        <w:rPr>
          <w:rFonts w:ascii="宋体" w:hAnsi="宋体" w:cs="宋体"/>
          <w:b/>
          <w:bCs/>
          <w:color w:val="auto"/>
          <w:sz w:val="18"/>
          <w:szCs w:val="18"/>
          <w:highlight w:val="none"/>
        </w:rPr>
      </w:pPr>
    </w:p>
    <w:p>
      <w:pPr>
        <w:pStyle w:val="10"/>
        <w:widowControl w:val="0"/>
        <w:autoSpaceDE w:val="0"/>
        <w:autoSpaceDN w:val="0"/>
        <w:rPr>
          <w:rFonts w:ascii="宋体" w:hAnsi="宋体" w:cs="宋体"/>
          <w:b/>
          <w:bCs/>
          <w:color w:val="auto"/>
          <w:sz w:val="24"/>
          <w:highlight w:val="none"/>
        </w:rPr>
      </w:pPr>
      <w:r>
        <w:rPr>
          <w:rFonts w:hint="eastAsia" w:ascii="宋体" w:hAnsi="宋体" w:cs="宋体"/>
          <w:b/>
          <w:bCs/>
          <w:color w:val="auto"/>
          <w:sz w:val="24"/>
          <w:highlight w:val="none"/>
        </w:rPr>
        <w:t>评委签名：                                        日期：</w:t>
      </w:r>
      <w:r>
        <w:rPr>
          <w:rFonts w:hint="eastAsia" w:ascii="宋体" w:hAnsi="宋体" w:cs="宋体"/>
          <w:b/>
          <w:bCs/>
          <w:color w:val="auto"/>
          <w:sz w:val="24"/>
          <w:highlight w:val="none"/>
        </w:rPr>
        <w:br w:type="page"/>
      </w:r>
    </w:p>
    <w:p>
      <w:pPr>
        <w:pStyle w:val="14"/>
        <w:jc w:val="center"/>
        <w:outlineLvl w:val="1"/>
        <w:rPr>
          <w:rFonts w:hAnsi="宋体"/>
          <w:b/>
          <w:color w:val="auto"/>
          <w:sz w:val="32"/>
          <w:highlight w:val="none"/>
        </w:rPr>
      </w:pPr>
      <w:bookmarkStart w:id="102" w:name="_Toc2180"/>
      <w:bookmarkStart w:id="103" w:name="_Toc26626"/>
      <w:r>
        <w:rPr>
          <w:rFonts w:hint="eastAsia" w:hAnsi="宋体"/>
          <w:b/>
          <w:color w:val="auto"/>
          <w:sz w:val="32"/>
          <w:highlight w:val="none"/>
        </w:rPr>
        <w:t>附表三：技术文件有效性审查表</w:t>
      </w:r>
      <w:bookmarkEnd w:id="101"/>
      <w:bookmarkEnd w:id="102"/>
      <w:bookmarkEnd w:id="103"/>
    </w:p>
    <w:p>
      <w:pPr>
        <w:tabs>
          <w:tab w:val="left" w:pos="720"/>
        </w:tabs>
        <w:snapToGrid w:val="0"/>
        <w:spacing w:line="360" w:lineRule="auto"/>
        <w:rPr>
          <w:rFonts w:ascii="宋体" w:hAnsi="宋体"/>
          <w:b/>
          <w:color w:val="auto"/>
          <w:highlight w:val="none"/>
        </w:rPr>
      </w:pPr>
      <w:r>
        <w:rPr>
          <w:rFonts w:hint="eastAsia" w:ascii="宋体" w:hAnsi="宋体"/>
          <w:b/>
          <w:color w:val="auto"/>
          <w:highlight w:val="none"/>
        </w:rPr>
        <w:t>项目名称：</w:t>
      </w:r>
    </w:p>
    <w:tbl>
      <w:tblPr>
        <w:tblStyle w:val="23"/>
        <w:tblW w:w="9990" w:type="dxa"/>
        <w:tblInd w:w="-93" w:type="dxa"/>
        <w:tblLayout w:type="fixed"/>
        <w:tblCellMar>
          <w:top w:w="0" w:type="dxa"/>
          <w:left w:w="108" w:type="dxa"/>
          <w:bottom w:w="0" w:type="dxa"/>
          <w:right w:w="108" w:type="dxa"/>
        </w:tblCellMar>
      </w:tblPr>
      <w:tblGrid>
        <w:gridCol w:w="780"/>
        <w:gridCol w:w="7380"/>
        <w:gridCol w:w="360"/>
        <w:gridCol w:w="375"/>
        <w:gridCol w:w="360"/>
        <w:gridCol w:w="405"/>
        <w:gridCol w:w="330"/>
      </w:tblGrid>
      <w:tr>
        <w:tblPrEx>
          <w:tblCellMar>
            <w:top w:w="0" w:type="dxa"/>
            <w:left w:w="108" w:type="dxa"/>
            <w:bottom w:w="0" w:type="dxa"/>
            <w:right w:w="108" w:type="dxa"/>
          </w:tblCellMar>
        </w:tblPrEx>
        <w:trPr>
          <w:trHeight w:val="717"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序号</w:t>
            </w:r>
          </w:p>
        </w:tc>
        <w:tc>
          <w:tcPr>
            <w:tcW w:w="7380" w:type="dxa"/>
            <w:tcBorders>
              <w:top w:val="single" w:color="auto" w:sz="4" w:space="0"/>
              <w:left w:val="single" w:color="auto" w:sz="4" w:space="0"/>
              <w:bottom w:val="single" w:color="auto" w:sz="4" w:space="0"/>
              <w:right w:val="single" w:color="auto" w:sz="4" w:space="0"/>
              <w:tl2br w:val="single" w:color="auto" w:sz="4" w:space="0"/>
            </w:tcBorders>
          </w:tcPr>
          <w:p>
            <w:pPr>
              <w:spacing w:line="480" w:lineRule="auto"/>
              <w:rPr>
                <w:rFonts w:ascii="宋体" w:hAnsi="宋体"/>
                <w:color w:val="auto"/>
                <w:sz w:val="24"/>
                <w:highlight w:val="none"/>
              </w:rPr>
            </w:pPr>
            <w:r>
              <w:rPr>
                <w:rFonts w:hint="eastAsia" w:ascii="宋体" w:hAnsi="宋体"/>
                <w:color w:val="auto"/>
                <w:sz w:val="24"/>
                <w:highlight w:val="none"/>
              </w:rPr>
              <w:t xml:space="preserve">                                     设计方案编号</w:t>
            </w:r>
          </w:p>
          <w:p>
            <w:pPr>
              <w:spacing w:line="480" w:lineRule="auto"/>
              <w:rPr>
                <w:rFonts w:ascii="宋体" w:hAnsi="宋体"/>
                <w:color w:val="auto"/>
                <w:sz w:val="24"/>
                <w:highlight w:val="none"/>
              </w:rPr>
            </w:pPr>
            <w:r>
              <w:rPr>
                <w:rFonts w:hint="eastAsia" w:ascii="宋体" w:hAnsi="宋体"/>
                <w:color w:val="auto"/>
                <w:sz w:val="24"/>
                <w:highlight w:val="none"/>
              </w:rPr>
              <w:t>审查项目</w:t>
            </w:r>
          </w:p>
        </w:tc>
        <w:tc>
          <w:tcPr>
            <w:tcW w:w="360"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375"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330"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r>
      <w:tr>
        <w:tblPrEx>
          <w:tblCellMar>
            <w:top w:w="0" w:type="dxa"/>
            <w:left w:w="108" w:type="dxa"/>
            <w:bottom w:w="0" w:type="dxa"/>
            <w:right w:w="108" w:type="dxa"/>
          </w:tblCellMar>
        </w:tblPrEx>
        <w:trPr>
          <w:trHeight w:val="545"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1</w:t>
            </w:r>
          </w:p>
        </w:tc>
        <w:tc>
          <w:tcPr>
            <w:tcW w:w="7380"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i/>
                <w:color w:val="auto"/>
                <w:sz w:val="24"/>
                <w:highlight w:val="none"/>
              </w:rPr>
            </w:pPr>
            <w:r>
              <w:rPr>
                <w:rFonts w:hint="eastAsia" w:ascii="宋体" w:hAnsi="宋体"/>
                <w:color w:val="auto"/>
                <w:sz w:val="24"/>
                <w:highlight w:val="none"/>
              </w:rPr>
              <w:t>未发现投标人在设计方案内标注名称、印章、商标等记认符号（或使人辨认出投标人或其专业技术人员的身份）</w:t>
            </w:r>
            <w:r>
              <w:rPr>
                <w:rFonts w:ascii="宋体" w:hAnsi="宋体"/>
                <w:i/>
                <w:color w:val="auto"/>
                <w:sz w:val="24"/>
                <w:highlight w:val="none"/>
              </w:rPr>
              <w:t xml:space="preserve"> </w:t>
            </w:r>
          </w:p>
        </w:tc>
        <w:tc>
          <w:tcPr>
            <w:tcW w:w="360"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color w:val="auto"/>
                <w:sz w:val="24"/>
                <w:highlight w:val="none"/>
              </w:rPr>
            </w:pPr>
          </w:p>
        </w:tc>
        <w:tc>
          <w:tcPr>
            <w:tcW w:w="375"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330"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r>
      <w:tr>
        <w:tblPrEx>
          <w:tblCellMar>
            <w:top w:w="0" w:type="dxa"/>
            <w:left w:w="108" w:type="dxa"/>
            <w:bottom w:w="0" w:type="dxa"/>
            <w:right w:w="108" w:type="dxa"/>
          </w:tblCellMar>
        </w:tblPrEx>
        <w:trPr>
          <w:trHeight w:val="441"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2</w:t>
            </w:r>
          </w:p>
        </w:tc>
        <w:tc>
          <w:tcPr>
            <w:tcW w:w="7380"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color w:val="auto"/>
                <w:sz w:val="24"/>
                <w:highlight w:val="none"/>
              </w:rPr>
            </w:pPr>
            <w:r>
              <w:rPr>
                <w:rFonts w:hint="eastAsia" w:ascii="宋体" w:hAnsi="宋体"/>
                <w:color w:val="auto"/>
                <w:sz w:val="24"/>
                <w:highlight w:val="none"/>
              </w:rPr>
              <w:t>未发现互相雷同和串通投标</w:t>
            </w:r>
          </w:p>
        </w:tc>
        <w:tc>
          <w:tcPr>
            <w:tcW w:w="360"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color w:val="auto"/>
                <w:sz w:val="24"/>
                <w:highlight w:val="none"/>
              </w:rPr>
            </w:pPr>
          </w:p>
        </w:tc>
        <w:tc>
          <w:tcPr>
            <w:tcW w:w="375"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330"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r>
      <w:tr>
        <w:tblPrEx>
          <w:tblCellMar>
            <w:top w:w="0" w:type="dxa"/>
            <w:left w:w="108" w:type="dxa"/>
            <w:bottom w:w="0" w:type="dxa"/>
            <w:right w:w="108" w:type="dxa"/>
          </w:tblCellMar>
        </w:tblPrEx>
        <w:trPr>
          <w:trHeight w:val="441"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3</w:t>
            </w:r>
          </w:p>
        </w:tc>
        <w:tc>
          <w:tcPr>
            <w:tcW w:w="7380"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color w:val="auto"/>
                <w:sz w:val="24"/>
                <w:highlight w:val="none"/>
              </w:rPr>
            </w:pPr>
            <w:r>
              <w:rPr>
                <w:rFonts w:hint="eastAsia" w:ascii="宋体" w:hAnsi="宋体"/>
                <w:color w:val="auto"/>
                <w:sz w:val="24"/>
                <w:highlight w:val="none"/>
              </w:rPr>
              <w:t>未发现明显抄袭行为</w:t>
            </w:r>
          </w:p>
        </w:tc>
        <w:tc>
          <w:tcPr>
            <w:tcW w:w="360"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color w:val="auto"/>
                <w:sz w:val="24"/>
                <w:highlight w:val="none"/>
              </w:rPr>
            </w:pPr>
          </w:p>
        </w:tc>
        <w:tc>
          <w:tcPr>
            <w:tcW w:w="375"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330"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r>
      <w:tr>
        <w:tblPrEx>
          <w:tblCellMar>
            <w:top w:w="0" w:type="dxa"/>
            <w:left w:w="108" w:type="dxa"/>
            <w:bottom w:w="0" w:type="dxa"/>
            <w:right w:w="108" w:type="dxa"/>
          </w:tblCellMar>
        </w:tblPrEx>
        <w:trPr>
          <w:trHeight w:val="349"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4</w:t>
            </w:r>
          </w:p>
        </w:tc>
        <w:tc>
          <w:tcPr>
            <w:tcW w:w="7380"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color w:val="auto"/>
                <w:sz w:val="24"/>
                <w:highlight w:val="none"/>
              </w:rPr>
            </w:pPr>
            <w:r>
              <w:rPr>
                <w:rFonts w:hint="eastAsia" w:ascii="宋体" w:hAnsi="宋体"/>
                <w:color w:val="auto"/>
                <w:sz w:val="24"/>
                <w:highlight w:val="none"/>
              </w:rPr>
              <w:t>未发现侵犯他人著作权和特许权</w:t>
            </w:r>
          </w:p>
        </w:tc>
        <w:tc>
          <w:tcPr>
            <w:tcW w:w="360"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color w:val="auto"/>
                <w:sz w:val="24"/>
                <w:highlight w:val="none"/>
              </w:rPr>
            </w:pPr>
          </w:p>
        </w:tc>
        <w:tc>
          <w:tcPr>
            <w:tcW w:w="375"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330"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r>
      <w:tr>
        <w:tblPrEx>
          <w:tblCellMar>
            <w:top w:w="0" w:type="dxa"/>
            <w:left w:w="108" w:type="dxa"/>
            <w:bottom w:w="0" w:type="dxa"/>
            <w:right w:w="108" w:type="dxa"/>
          </w:tblCellMar>
        </w:tblPrEx>
        <w:trPr>
          <w:trHeight w:val="349"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5</w:t>
            </w:r>
          </w:p>
        </w:tc>
        <w:tc>
          <w:tcPr>
            <w:tcW w:w="7380"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color w:val="auto"/>
                <w:sz w:val="24"/>
                <w:highlight w:val="none"/>
              </w:rPr>
            </w:pPr>
            <w:r>
              <w:rPr>
                <w:rFonts w:hint="eastAsia" w:ascii="宋体" w:hAnsi="宋体"/>
                <w:color w:val="auto"/>
                <w:sz w:val="24"/>
                <w:highlight w:val="none"/>
              </w:rPr>
              <w:t>按第二章投标文件编制要求编制投标文件</w:t>
            </w:r>
          </w:p>
        </w:tc>
        <w:tc>
          <w:tcPr>
            <w:tcW w:w="360"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color w:val="auto"/>
                <w:sz w:val="24"/>
                <w:highlight w:val="none"/>
              </w:rPr>
            </w:pPr>
          </w:p>
        </w:tc>
        <w:tc>
          <w:tcPr>
            <w:tcW w:w="375"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360"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405"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c>
          <w:tcPr>
            <w:tcW w:w="330"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rPr>
            </w:pPr>
          </w:p>
        </w:tc>
      </w:tr>
      <w:tr>
        <w:tblPrEx>
          <w:tblCellMar>
            <w:top w:w="0" w:type="dxa"/>
            <w:left w:w="108" w:type="dxa"/>
            <w:bottom w:w="0" w:type="dxa"/>
            <w:right w:w="108" w:type="dxa"/>
          </w:tblCellMar>
        </w:tblPrEx>
        <w:trPr>
          <w:trHeight w:val="20"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结论</w:t>
            </w:r>
          </w:p>
        </w:tc>
        <w:tc>
          <w:tcPr>
            <w:tcW w:w="7380"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color w:val="auto"/>
                <w:sz w:val="24"/>
                <w:highlight w:val="none"/>
              </w:rPr>
            </w:pPr>
            <w:r>
              <w:rPr>
                <w:rFonts w:hint="eastAsia"/>
                <w:color w:val="auto"/>
                <w:sz w:val="24"/>
                <w:highlight w:val="none"/>
              </w:rPr>
              <w:t>是否通过并进入下一阶段评审</w:t>
            </w:r>
          </w:p>
        </w:tc>
        <w:tc>
          <w:tcPr>
            <w:tcW w:w="360"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color w:val="auto"/>
                <w:sz w:val="24"/>
                <w:highlight w:val="none"/>
                <w:shd w:val="pct10" w:color="auto" w:fill="FFFFFF"/>
              </w:rPr>
            </w:pPr>
          </w:p>
        </w:tc>
        <w:tc>
          <w:tcPr>
            <w:tcW w:w="375"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shd w:val="pct10" w:color="auto" w:fill="FFFFFF"/>
              </w:rPr>
            </w:pPr>
          </w:p>
        </w:tc>
        <w:tc>
          <w:tcPr>
            <w:tcW w:w="360"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shd w:val="pct10" w:color="auto" w:fill="FFFFFF"/>
              </w:rPr>
            </w:pPr>
          </w:p>
        </w:tc>
        <w:tc>
          <w:tcPr>
            <w:tcW w:w="405"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shd w:val="pct10" w:color="auto" w:fill="FFFFFF"/>
              </w:rPr>
            </w:pPr>
          </w:p>
        </w:tc>
        <w:tc>
          <w:tcPr>
            <w:tcW w:w="330" w:type="dxa"/>
            <w:tcBorders>
              <w:top w:val="single" w:color="auto" w:sz="4" w:space="0"/>
              <w:left w:val="single" w:color="auto" w:sz="4" w:space="0"/>
              <w:bottom w:val="single" w:color="auto" w:sz="4" w:space="0"/>
              <w:right w:val="single" w:color="auto" w:sz="4" w:space="0"/>
            </w:tcBorders>
          </w:tcPr>
          <w:p>
            <w:pPr>
              <w:spacing w:line="480" w:lineRule="auto"/>
              <w:rPr>
                <w:rFonts w:ascii="宋体" w:hAnsi="宋体"/>
                <w:color w:val="auto"/>
                <w:sz w:val="24"/>
                <w:highlight w:val="none"/>
                <w:shd w:val="pct10" w:color="auto" w:fill="FFFFFF"/>
              </w:rPr>
            </w:pPr>
          </w:p>
        </w:tc>
      </w:tr>
    </w:tbl>
    <w:p>
      <w:pPr>
        <w:tabs>
          <w:tab w:val="left" w:pos="720"/>
        </w:tabs>
        <w:snapToGrid w:val="0"/>
        <w:spacing w:before="158" w:beforeLines="50"/>
        <w:rPr>
          <w:rFonts w:ascii="宋体" w:hAnsi="Courier New"/>
          <w:b/>
          <w:bCs/>
          <w:color w:val="auto"/>
          <w:sz w:val="18"/>
          <w:szCs w:val="18"/>
          <w:highlight w:val="none"/>
        </w:rPr>
      </w:pPr>
    </w:p>
    <w:p>
      <w:pPr>
        <w:tabs>
          <w:tab w:val="left" w:pos="720"/>
        </w:tabs>
        <w:snapToGrid w:val="0"/>
        <w:spacing w:before="158" w:beforeLines="50"/>
        <w:rPr>
          <w:rFonts w:ascii="宋体" w:hAnsi="Courier New"/>
          <w:b/>
          <w:bCs/>
          <w:color w:val="auto"/>
          <w:sz w:val="18"/>
          <w:szCs w:val="18"/>
          <w:highlight w:val="none"/>
        </w:rPr>
      </w:pPr>
      <w:r>
        <w:rPr>
          <w:rFonts w:hint="eastAsia" w:ascii="宋体" w:hAnsi="Courier New"/>
          <w:b/>
          <w:bCs/>
          <w:color w:val="auto"/>
          <w:sz w:val="18"/>
          <w:szCs w:val="18"/>
          <w:highlight w:val="none"/>
        </w:rPr>
        <w:t>备注：</w:t>
      </w:r>
    </w:p>
    <w:p>
      <w:pPr>
        <w:pStyle w:val="10"/>
        <w:widowControl w:val="0"/>
        <w:autoSpaceDE w:val="0"/>
        <w:autoSpaceDN w:val="0"/>
        <w:rPr>
          <w:rFonts w:ascii="宋体" w:hAnsi="宋体" w:cs="宋体"/>
          <w:b/>
          <w:bCs/>
          <w:color w:val="auto"/>
          <w:sz w:val="18"/>
          <w:szCs w:val="18"/>
          <w:highlight w:val="none"/>
        </w:rPr>
      </w:pPr>
      <w:r>
        <w:rPr>
          <w:rFonts w:hint="eastAsia" w:ascii="宋体" w:hAnsi="宋体" w:cs="宋体"/>
          <w:b/>
          <w:bCs/>
          <w:color w:val="auto"/>
          <w:sz w:val="18"/>
          <w:szCs w:val="18"/>
          <w:highlight w:val="none"/>
        </w:rPr>
        <w:t>1、根据本表的审查项目，符合的打“</w:t>
      </w:r>
      <w:r>
        <w:rPr>
          <w:rFonts w:ascii="Arial" w:hAnsi="Arial" w:cs="Arial"/>
          <w:b/>
          <w:bCs/>
          <w:color w:val="auto"/>
          <w:sz w:val="18"/>
          <w:szCs w:val="18"/>
          <w:highlight w:val="none"/>
        </w:rPr>
        <w:t>√</w:t>
      </w:r>
      <w:r>
        <w:rPr>
          <w:rFonts w:hint="eastAsia" w:ascii="宋体" w:hAnsi="宋体" w:cs="宋体"/>
          <w:b/>
          <w:bCs/>
          <w:color w:val="auto"/>
          <w:sz w:val="18"/>
          <w:szCs w:val="18"/>
          <w:highlight w:val="none"/>
        </w:rPr>
        <w:t>”，不符合的打“×”；。</w:t>
      </w:r>
    </w:p>
    <w:p>
      <w:pPr>
        <w:pStyle w:val="10"/>
        <w:widowControl w:val="0"/>
        <w:autoSpaceDE w:val="0"/>
        <w:autoSpaceDN w:val="0"/>
        <w:rPr>
          <w:rFonts w:ascii="宋体" w:hAnsi="宋体" w:cs="宋体"/>
          <w:b/>
          <w:bCs/>
          <w:color w:val="auto"/>
          <w:sz w:val="18"/>
          <w:szCs w:val="18"/>
          <w:highlight w:val="none"/>
        </w:rPr>
      </w:pPr>
      <w:r>
        <w:rPr>
          <w:rFonts w:hint="eastAsia" w:ascii="宋体" w:hAnsi="宋体" w:cs="宋体"/>
          <w:b/>
          <w:bCs/>
          <w:color w:val="auto"/>
          <w:sz w:val="18"/>
          <w:szCs w:val="18"/>
          <w:highlight w:val="none"/>
        </w:rPr>
        <w:t>2、表中出现一个或以上“×”，即该投标人的评审“结论”为“不通过”，即该投标人不进入下一阶段评审。</w:t>
      </w:r>
    </w:p>
    <w:p>
      <w:pPr>
        <w:pStyle w:val="10"/>
        <w:widowControl w:val="0"/>
        <w:autoSpaceDE w:val="0"/>
        <w:autoSpaceDN w:val="0"/>
        <w:rPr>
          <w:rFonts w:ascii="宋体" w:hAnsi="宋体" w:cs="宋体"/>
          <w:b/>
          <w:bCs/>
          <w:color w:val="auto"/>
          <w:sz w:val="18"/>
          <w:szCs w:val="18"/>
          <w:highlight w:val="none"/>
        </w:rPr>
      </w:pPr>
      <w:r>
        <w:rPr>
          <w:rFonts w:hint="eastAsia" w:ascii="宋体" w:hAnsi="宋体" w:cs="宋体"/>
          <w:b/>
          <w:bCs/>
          <w:color w:val="auto"/>
          <w:sz w:val="18"/>
          <w:szCs w:val="18"/>
          <w:highlight w:val="none"/>
        </w:rPr>
        <w:t>3、表中全部评审结果为“</w:t>
      </w:r>
      <w:r>
        <w:rPr>
          <w:rFonts w:ascii="Arial" w:hAnsi="Arial" w:cs="Arial"/>
          <w:b/>
          <w:bCs/>
          <w:color w:val="auto"/>
          <w:sz w:val="18"/>
          <w:szCs w:val="18"/>
          <w:highlight w:val="none"/>
        </w:rPr>
        <w:t>√</w:t>
      </w:r>
      <w:r>
        <w:rPr>
          <w:rFonts w:hint="eastAsia" w:ascii="宋体" w:hAnsi="宋体" w:cs="宋体"/>
          <w:b/>
          <w:bCs/>
          <w:color w:val="auto"/>
          <w:sz w:val="18"/>
          <w:szCs w:val="18"/>
          <w:highlight w:val="none"/>
        </w:rPr>
        <w:t>”，视为同意进入下一阶段评审。</w:t>
      </w:r>
    </w:p>
    <w:p>
      <w:pPr>
        <w:pStyle w:val="10"/>
        <w:widowControl w:val="0"/>
        <w:autoSpaceDE w:val="0"/>
        <w:autoSpaceDN w:val="0"/>
        <w:rPr>
          <w:rFonts w:ascii="宋体" w:hAnsi="宋体" w:cs="宋体"/>
          <w:b/>
          <w:bCs/>
          <w:color w:val="auto"/>
          <w:sz w:val="18"/>
          <w:szCs w:val="18"/>
          <w:highlight w:val="none"/>
        </w:rPr>
      </w:pPr>
      <w:r>
        <w:rPr>
          <w:rFonts w:hint="eastAsia" w:ascii="宋体" w:hAnsi="宋体" w:cs="宋体"/>
          <w:b/>
          <w:bCs/>
          <w:color w:val="auto"/>
          <w:sz w:val="18"/>
          <w:szCs w:val="18"/>
          <w:highlight w:val="none"/>
        </w:rPr>
        <w:t>4、若评委意见不一致时，则按少数服从多数的原则，决定该投标人是否通过符合性审查，进入下一阶段评审。</w:t>
      </w:r>
    </w:p>
    <w:p>
      <w:pPr>
        <w:tabs>
          <w:tab w:val="left" w:pos="720"/>
        </w:tabs>
        <w:snapToGrid w:val="0"/>
        <w:spacing w:before="158" w:beforeLines="50"/>
        <w:rPr>
          <w:rFonts w:ascii="宋体" w:hAnsi="Courier New"/>
          <w:b/>
          <w:bCs/>
          <w:color w:val="auto"/>
          <w:sz w:val="18"/>
          <w:szCs w:val="18"/>
          <w:highlight w:val="none"/>
        </w:rPr>
      </w:pPr>
    </w:p>
    <w:p>
      <w:pPr>
        <w:tabs>
          <w:tab w:val="left" w:pos="720"/>
        </w:tabs>
        <w:snapToGrid w:val="0"/>
        <w:rPr>
          <w:rFonts w:ascii="宋体" w:hAnsi="Courier New"/>
          <w:color w:val="auto"/>
          <w:sz w:val="18"/>
          <w:szCs w:val="18"/>
          <w:highlight w:val="none"/>
        </w:rPr>
      </w:pPr>
    </w:p>
    <w:p>
      <w:pPr>
        <w:pStyle w:val="10"/>
        <w:widowControl w:val="0"/>
        <w:autoSpaceDE w:val="0"/>
        <w:autoSpaceDN w:val="0"/>
        <w:rPr>
          <w:rFonts w:ascii="宋体" w:hAnsi="宋体" w:cs="宋体"/>
          <w:b/>
          <w:bCs/>
          <w:color w:val="auto"/>
          <w:sz w:val="24"/>
          <w:highlight w:val="none"/>
        </w:rPr>
      </w:pPr>
    </w:p>
    <w:p>
      <w:pPr>
        <w:pStyle w:val="10"/>
        <w:widowControl w:val="0"/>
        <w:autoSpaceDE w:val="0"/>
        <w:autoSpaceDN w:val="0"/>
        <w:rPr>
          <w:rFonts w:ascii="宋体" w:hAnsi="宋体" w:cs="宋体"/>
          <w:b/>
          <w:bCs/>
          <w:color w:val="auto"/>
          <w:sz w:val="24"/>
          <w:highlight w:val="none"/>
        </w:rPr>
      </w:pPr>
    </w:p>
    <w:p>
      <w:pPr>
        <w:pStyle w:val="10"/>
        <w:widowControl w:val="0"/>
        <w:autoSpaceDE w:val="0"/>
        <w:autoSpaceDN w:val="0"/>
        <w:rPr>
          <w:rFonts w:ascii="宋体" w:hAnsi="宋体" w:cs="宋体"/>
          <w:b/>
          <w:bCs/>
          <w:color w:val="auto"/>
          <w:sz w:val="24"/>
          <w:highlight w:val="none"/>
        </w:rPr>
      </w:pPr>
      <w:r>
        <w:rPr>
          <w:rFonts w:hint="eastAsia" w:ascii="宋体" w:hAnsi="宋体" w:cs="宋体"/>
          <w:b/>
          <w:bCs/>
          <w:color w:val="auto"/>
          <w:sz w:val="24"/>
          <w:highlight w:val="none"/>
        </w:rPr>
        <w:t>评委签名：                                              日期：</w:t>
      </w:r>
    </w:p>
    <w:p>
      <w:pPr>
        <w:spacing w:line="360" w:lineRule="auto"/>
        <w:rPr>
          <w:rFonts w:ascii="宋体" w:hAnsi="宋体"/>
          <w:b/>
          <w:bCs/>
          <w:color w:val="auto"/>
          <w:highlight w:val="none"/>
        </w:rPr>
      </w:pPr>
    </w:p>
    <w:p>
      <w:pPr>
        <w:rPr>
          <w:color w:val="auto"/>
          <w:highlight w:val="none"/>
        </w:rPr>
      </w:pPr>
    </w:p>
    <w:p>
      <w:pPr>
        <w:tabs>
          <w:tab w:val="left" w:pos="720"/>
        </w:tabs>
        <w:snapToGrid w:val="0"/>
        <w:spacing w:before="158" w:beforeLines="50"/>
        <w:ind w:left="900" w:leftChars="300" w:hanging="270" w:hangingChars="150"/>
        <w:rPr>
          <w:rFonts w:ascii="宋体" w:hAnsi="Courier New"/>
          <w:color w:val="auto"/>
          <w:sz w:val="18"/>
          <w:szCs w:val="18"/>
          <w:highlight w:val="none"/>
        </w:rPr>
      </w:pPr>
    </w:p>
    <w:p>
      <w:pPr>
        <w:rPr>
          <w:rFonts w:ascii="宋体" w:hAnsi="宋体"/>
          <w:b/>
          <w:color w:val="auto"/>
          <w:sz w:val="32"/>
          <w:szCs w:val="20"/>
          <w:highlight w:val="none"/>
        </w:rPr>
      </w:pPr>
      <w:r>
        <w:rPr>
          <w:rFonts w:hint="eastAsia" w:ascii="宋体" w:hAnsi="宋体"/>
          <w:b/>
          <w:color w:val="auto"/>
          <w:sz w:val="32"/>
          <w:szCs w:val="20"/>
          <w:highlight w:val="none"/>
        </w:rPr>
        <w:br w:type="page"/>
      </w:r>
    </w:p>
    <w:p>
      <w:pPr>
        <w:tabs>
          <w:tab w:val="left" w:pos="720"/>
        </w:tabs>
        <w:snapToGrid w:val="0"/>
        <w:spacing w:line="460" w:lineRule="exact"/>
        <w:jc w:val="center"/>
        <w:outlineLvl w:val="1"/>
        <w:rPr>
          <w:rFonts w:ascii="宋体" w:hAnsi="宋体"/>
          <w:b/>
          <w:color w:val="auto"/>
          <w:sz w:val="32"/>
          <w:szCs w:val="20"/>
          <w:highlight w:val="none"/>
        </w:rPr>
      </w:pPr>
      <w:bookmarkStart w:id="104" w:name="_Toc20488"/>
      <w:bookmarkStart w:id="105" w:name="_Toc9357"/>
      <w:r>
        <w:rPr>
          <w:rFonts w:hint="eastAsia" w:ascii="宋体" w:hAnsi="宋体"/>
          <w:b/>
          <w:color w:val="auto"/>
          <w:sz w:val="32"/>
          <w:szCs w:val="20"/>
          <w:highlight w:val="none"/>
        </w:rPr>
        <w:t>附表四 技术文件评分表（暗标评审）（40分）</w:t>
      </w:r>
      <w:bookmarkEnd w:id="104"/>
      <w:bookmarkEnd w:id="105"/>
    </w:p>
    <w:tbl>
      <w:tblPr>
        <w:tblStyle w:val="23"/>
        <w:tblpPr w:leftFromText="180" w:rightFromText="180" w:vertAnchor="text" w:horzAnchor="margin" w:tblpXSpec="center" w:tblpY="753"/>
        <w:tblOverlap w:val="never"/>
        <w:tblW w:w="47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868"/>
        <w:gridCol w:w="1208"/>
        <w:gridCol w:w="5342"/>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209" w:type="dxa"/>
            <w:vAlign w:val="center"/>
          </w:tcPr>
          <w:p>
            <w:pPr>
              <w:jc w:val="center"/>
              <w:rPr>
                <w:rFonts w:hint="default" w:eastAsia="宋体"/>
                <w:b/>
                <w:bCs/>
                <w:color w:val="auto"/>
                <w:kern w:val="2"/>
                <w:sz w:val="21"/>
                <w:szCs w:val="21"/>
                <w:highlight w:val="none"/>
                <w:lang w:val="en-US" w:eastAsia="zh-CN"/>
              </w:rPr>
            </w:pPr>
            <w:r>
              <w:rPr>
                <w:rFonts w:hint="eastAsia"/>
                <w:b/>
                <w:bCs/>
                <w:color w:val="auto"/>
                <w:sz w:val="21"/>
                <w:szCs w:val="21"/>
                <w:highlight w:val="none"/>
              </w:rPr>
              <w:t>类别</w:t>
            </w:r>
          </w:p>
        </w:tc>
        <w:tc>
          <w:tcPr>
            <w:tcW w:w="868" w:type="dxa"/>
            <w:vAlign w:val="center"/>
          </w:tcPr>
          <w:p>
            <w:pPr>
              <w:rPr>
                <w:rFonts w:hint="default" w:eastAsia="宋体" w:asciiTheme="minorEastAsia" w:hAnsiTheme="minorEastAsia" w:cstheme="minorEastAsia"/>
                <w:b/>
                <w:bCs/>
                <w:color w:val="auto"/>
                <w:sz w:val="21"/>
                <w:szCs w:val="21"/>
                <w:highlight w:val="none"/>
                <w:lang w:val="en-US" w:eastAsia="zh-CN"/>
              </w:rPr>
            </w:pPr>
            <w:r>
              <w:rPr>
                <w:rFonts w:hint="eastAsia"/>
                <w:b/>
                <w:bCs/>
                <w:color w:val="auto"/>
                <w:sz w:val="21"/>
                <w:szCs w:val="21"/>
                <w:highlight w:val="none"/>
              </w:rPr>
              <w:t>分项</w:t>
            </w:r>
          </w:p>
        </w:tc>
        <w:tc>
          <w:tcPr>
            <w:tcW w:w="1208" w:type="dxa"/>
            <w:vAlign w:val="center"/>
          </w:tcPr>
          <w:p>
            <w:pPr>
              <w:pStyle w:val="85"/>
              <w:spacing w:line="240" w:lineRule="auto"/>
              <w:ind w:right="89"/>
              <w:jc w:val="center"/>
              <w:rPr>
                <w:rFonts w:hint="eastAsia" w:eastAsia="宋体" w:asciiTheme="minorEastAsia" w:hAnsiTheme="minorEastAsia" w:cstheme="minorEastAsia"/>
                <w:b/>
                <w:bCs/>
                <w:color w:val="auto"/>
                <w:szCs w:val="21"/>
                <w:highlight w:val="none"/>
                <w:lang w:val="en-US" w:eastAsia="zh-CN" w:bidi="ar-SA"/>
              </w:rPr>
            </w:pPr>
            <w:r>
              <w:rPr>
                <w:rFonts w:hint="eastAsia" w:asciiTheme="minorEastAsia" w:hAnsiTheme="minorEastAsia" w:cstheme="minorEastAsia"/>
                <w:b/>
                <w:bCs/>
                <w:color w:val="auto"/>
                <w:szCs w:val="21"/>
                <w:highlight w:val="none"/>
                <w:lang w:val="en-US" w:eastAsia="zh-CN" w:bidi="ar-SA"/>
              </w:rPr>
              <w:t>内容</w:t>
            </w:r>
          </w:p>
        </w:tc>
        <w:tc>
          <w:tcPr>
            <w:tcW w:w="5342" w:type="dxa"/>
            <w:vAlign w:val="center"/>
          </w:tcPr>
          <w:p>
            <w:pPr>
              <w:pStyle w:val="85"/>
              <w:numPr>
                <w:ilvl w:val="0"/>
                <w:numId w:val="0"/>
              </w:numPr>
              <w:spacing w:before="80" w:line="240" w:lineRule="auto"/>
              <w:jc w:val="center"/>
              <w:rPr>
                <w:rFonts w:hint="default" w:eastAsia="宋体" w:asciiTheme="minorEastAsia" w:hAnsiTheme="minorEastAsia" w:cstheme="minorEastAsia"/>
                <w:b/>
                <w:bCs/>
                <w:color w:val="auto"/>
                <w:szCs w:val="21"/>
                <w:highlight w:val="none"/>
                <w:lang w:val="en-US" w:eastAsia="zh-CN" w:bidi="ar-SA"/>
              </w:rPr>
            </w:pPr>
            <w:r>
              <w:rPr>
                <w:rFonts w:hint="eastAsia" w:asciiTheme="minorEastAsia" w:hAnsiTheme="minorEastAsia" w:cstheme="minorEastAsia"/>
                <w:b/>
                <w:bCs/>
                <w:color w:val="auto"/>
                <w:szCs w:val="21"/>
                <w:highlight w:val="none"/>
                <w:lang w:val="en-US" w:eastAsia="zh-CN" w:bidi="ar-SA"/>
              </w:rPr>
              <w:t>评分细则</w:t>
            </w:r>
          </w:p>
        </w:tc>
        <w:tc>
          <w:tcPr>
            <w:tcW w:w="650" w:type="dxa"/>
            <w:vAlign w:val="center"/>
          </w:tcPr>
          <w:p>
            <w:pPr>
              <w:pStyle w:val="85"/>
              <w:numPr>
                <w:ilvl w:val="0"/>
                <w:numId w:val="0"/>
              </w:numPr>
              <w:spacing w:before="80" w:line="240" w:lineRule="auto"/>
              <w:jc w:val="center"/>
              <w:rPr>
                <w:rFonts w:hint="default" w:asciiTheme="minorEastAsia" w:hAnsiTheme="minorEastAsia" w:cstheme="minorEastAsia"/>
                <w:b/>
                <w:bCs/>
                <w:color w:val="auto"/>
                <w:szCs w:val="21"/>
                <w:highlight w:val="none"/>
                <w:lang w:val="en-US" w:eastAsia="zh-CN" w:bidi="ar-SA"/>
              </w:rPr>
            </w:pPr>
            <w:r>
              <w:rPr>
                <w:rFonts w:hint="eastAsia" w:asciiTheme="minorEastAsia" w:hAnsiTheme="minorEastAsia" w:cstheme="minorEastAsia"/>
                <w:b/>
                <w:bCs/>
                <w:color w:val="auto"/>
                <w:szCs w:val="21"/>
                <w:highlight w:val="none"/>
                <w:lang w:val="en-US" w:eastAsia="zh-CN" w:bidi="ar-SA"/>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209" w:type="dxa"/>
            <w:vMerge w:val="restart"/>
            <w:vAlign w:val="center"/>
          </w:tcPr>
          <w:p>
            <w:pPr>
              <w:spacing w:line="240" w:lineRule="auto"/>
              <w:jc w:val="center"/>
              <w:rPr>
                <w:rFonts w:hint="eastAsia"/>
                <w:b/>
                <w:bCs/>
                <w:color w:val="auto"/>
                <w:highlight w:val="none"/>
              </w:rPr>
            </w:pPr>
            <w:r>
              <w:rPr>
                <w:rFonts w:hint="eastAsia"/>
                <w:b/>
                <w:bCs/>
                <w:color w:val="auto"/>
                <w:highlight w:val="none"/>
              </w:rPr>
              <w:t>技术</w:t>
            </w:r>
          </w:p>
          <w:p>
            <w:pPr>
              <w:spacing w:line="240" w:lineRule="auto"/>
              <w:jc w:val="center"/>
              <w:rPr>
                <w:b/>
                <w:bCs/>
                <w:color w:val="auto"/>
                <w:highlight w:val="none"/>
              </w:rPr>
            </w:pPr>
            <w:r>
              <w:rPr>
                <w:rFonts w:hint="eastAsia"/>
                <w:b/>
                <w:bCs/>
                <w:color w:val="auto"/>
                <w:highlight w:val="none"/>
              </w:rPr>
              <w:t>文件</w:t>
            </w:r>
          </w:p>
          <w:p>
            <w:pPr>
              <w:pStyle w:val="3"/>
              <w:tabs>
                <w:tab w:val="left" w:pos="432"/>
              </w:tabs>
              <w:spacing w:after="317" w:line="240" w:lineRule="auto"/>
              <w:jc w:val="center"/>
              <w:rPr>
                <w:color w:val="auto"/>
                <w:highlight w:val="none"/>
              </w:rPr>
            </w:pPr>
            <w:bookmarkStart w:id="106" w:name="_Toc18560"/>
            <w:bookmarkStart w:id="107" w:name="_Toc11507"/>
            <w:bookmarkStart w:id="108" w:name="_Toc48744868"/>
            <w:r>
              <w:rPr>
                <w:rFonts w:hint="eastAsia"/>
                <w:b/>
                <w:bCs/>
                <w:color w:val="auto"/>
                <w:kern w:val="2"/>
                <w:sz w:val="21"/>
                <w:szCs w:val="24"/>
                <w:highlight w:val="none"/>
              </w:rPr>
              <w:t>（40分）</w:t>
            </w:r>
            <w:bookmarkEnd w:id="106"/>
            <w:bookmarkEnd w:id="107"/>
            <w:bookmarkEnd w:id="108"/>
          </w:p>
        </w:tc>
        <w:tc>
          <w:tcPr>
            <w:tcW w:w="868" w:type="dxa"/>
            <w:vAlign w:val="center"/>
          </w:tcPr>
          <w:p>
            <w:pPr>
              <w:numPr>
                <w:ilvl w:val="0"/>
                <w:numId w:val="0"/>
              </w:numPr>
              <w:spacing w:line="240" w:lineRule="auto"/>
              <w:jc w:val="both"/>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总体</w:t>
            </w:r>
          </w:p>
          <w:p>
            <w:pPr>
              <w:numPr>
                <w:ilvl w:val="0"/>
                <w:numId w:val="0"/>
              </w:numPr>
              <w:spacing w:line="240" w:lineRule="auto"/>
              <w:jc w:val="both"/>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布局</w:t>
            </w:r>
          </w:p>
          <w:p>
            <w:pPr>
              <w:numPr>
                <w:ilvl w:val="0"/>
                <w:numId w:val="0"/>
              </w:numPr>
              <w:spacing w:line="240" w:lineRule="auto"/>
              <w:jc w:val="both"/>
              <w:rPr>
                <w:rFonts w:hint="default" w:ascii="宋体" w:hAnsi="宋体" w:eastAsia="宋体"/>
                <w:color w:val="auto"/>
                <w:szCs w:val="21"/>
                <w:highlight w:val="none"/>
                <w:lang w:val="en-US" w:eastAsia="zh-CN"/>
              </w:rPr>
            </w:pPr>
            <w:r>
              <w:rPr>
                <w:rFonts w:hint="eastAsia" w:asciiTheme="minorEastAsia" w:hAnsiTheme="minorEastAsia" w:cstheme="minorEastAsia"/>
                <w:color w:val="auto"/>
                <w:szCs w:val="21"/>
                <w:highlight w:val="none"/>
                <w:lang w:val="en-US" w:eastAsia="zh-CN"/>
              </w:rPr>
              <w:t>(5分)</w:t>
            </w:r>
          </w:p>
        </w:tc>
        <w:tc>
          <w:tcPr>
            <w:tcW w:w="1208" w:type="dxa"/>
            <w:vAlign w:val="center"/>
          </w:tcPr>
          <w:p>
            <w:pPr>
              <w:pStyle w:val="85"/>
              <w:spacing w:line="240" w:lineRule="auto"/>
              <w:ind w:right="89"/>
              <w:jc w:val="center"/>
              <w:rPr>
                <w:rFonts w:hint="eastAsia" w:asciiTheme="minorEastAsia" w:hAnsiTheme="minorEastAsia" w:cstheme="minorEastAsia"/>
                <w:color w:val="auto"/>
                <w:szCs w:val="21"/>
                <w:highlight w:val="none"/>
                <w:lang w:val="en-US" w:bidi="ar-SA"/>
              </w:rPr>
            </w:pPr>
            <w:r>
              <w:rPr>
                <w:rFonts w:hint="eastAsia" w:asciiTheme="minorEastAsia" w:hAnsiTheme="minorEastAsia" w:cstheme="minorEastAsia"/>
                <w:color w:val="auto"/>
                <w:szCs w:val="21"/>
                <w:highlight w:val="none"/>
                <w:lang w:val="en-US" w:bidi="ar-SA"/>
              </w:rPr>
              <w:t>总体</w:t>
            </w:r>
          </w:p>
          <w:p>
            <w:pPr>
              <w:pStyle w:val="85"/>
              <w:spacing w:line="240" w:lineRule="auto"/>
              <w:ind w:right="89"/>
              <w:jc w:val="center"/>
              <w:rPr>
                <w:rFonts w:hint="eastAsia" w:asciiTheme="minorEastAsia" w:hAnsiTheme="minorEastAsia" w:cstheme="minorEastAsia"/>
                <w:color w:val="auto"/>
                <w:szCs w:val="21"/>
                <w:highlight w:val="none"/>
                <w:lang w:val="en-US" w:bidi="ar-SA"/>
              </w:rPr>
            </w:pPr>
            <w:r>
              <w:rPr>
                <w:rFonts w:hint="eastAsia" w:asciiTheme="minorEastAsia" w:hAnsiTheme="minorEastAsia" w:cstheme="minorEastAsia"/>
                <w:color w:val="auto"/>
                <w:szCs w:val="21"/>
                <w:highlight w:val="none"/>
                <w:lang w:val="en-US" w:bidi="ar-SA"/>
              </w:rPr>
              <w:t>思路</w:t>
            </w:r>
          </w:p>
          <w:p>
            <w:pPr>
              <w:pStyle w:val="85"/>
              <w:spacing w:line="240" w:lineRule="auto"/>
              <w:ind w:right="89"/>
              <w:jc w:val="center"/>
              <w:rPr>
                <w:rFonts w:hint="eastAsia" w:eastAsia="宋体" w:asciiTheme="minorEastAsia" w:hAnsiTheme="minorEastAsia" w:cstheme="minorEastAsia"/>
                <w:color w:val="auto"/>
                <w:szCs w:val="21"/>
                <w:highlight w:val="none"/>
                <w:lang w:val="en-US" w:eastAsia="zh-CN" w:bidi="ar-SA"/>
              </w:rPr>
            </w:pPr>
            <w:r>
              <w:rPr>
                <w:rFonts w:hint="eastAsia" w:asciiTheme="minorEastAsia" w:hAnsiTheme="minorEastAsia" w:cstheme="minorEastAsia"/>
                <w:color w:val="auto"/>
                <w:szCs w:val="21"/>
                <w:highlight w:val="none"/>
                <w:lang w:val="en-US" w:eastAsia="zh-CN" w:bidi="ar-SA"/>
              </w:rPr>
              <w:t>（5分）</w:t>
            </w:r>
          </w:p>
        </w:tc>
        <w:tc>
          <w:tcPr>
            <w:tcW w:w="5342" w:type="dxa"/>
            <w:vAlign w:val="center"/>
          </w:tcPr>
          <w:p>
            <w:pPr>
              <w:pStyle w:val="85"/>
              <w:numPr>
                <w:ilvl w:val="0"/>
                <w:numId w:val="0"/>
              </w:numPr>
              <w:spacing w:before="80" w:line="240" w:lineRule="auto"/>
              <w:jc w:val="left"/>
              <w:rPr>
                <w:rFonts w:asciiTheme="minorEastAsia" w:hAnsiTheme="minorEastAsia" w:cstheme="minorEastAsia"/>
                <w:color w:val="auto"/>
                <w:szCs w:val="21"/>
                <w:highlight w:val="none"/>
                <w:lang w:val="en-US" w:bidi="ar-SA"/>
              </w:rPr>
            </w:pPr>
            <w:r>
              <w:rPr>
                <w:rFonts w:hint="eastAsia" w:asciiTheme="minorEastAsia" w:hAnsiTheme="minorEastAsia" w:cstheme="minorEastAsia"/>
                <w:color w:val="auto"/>
                <w:szCs w:val="21"/>
                <w:highlight w:val="none"/>
                <w:lang w:val="en-US" w:eastAsia="zh-CN" w:bidi="ar-SA"/>
              </w:rPr>
              <w:t>1、</w:t>
            </w:r>
            <w:r>
              <w:rPr>
                <w:rFonts w:hint="eastAsia" w:asciiTheme="minorEastAsia" w:hAnsiTheme="minorEastAsia" w:cstheme="minorEastAsia"/>
                <w:color w:val="auto"/>
                <w:szCs w:val="21"/>
                <w:highlight w:val="none"/>
                <w:lang w:val="en-US" w:bidi="ar-SA"/>
              </w:rPr>
              <w:t>项目总体思路清晰，内容全面、操作性强</w:t>
            </w:r>
            <w:r>
              <w:rPr>
                <w:rFonts w:hint="eastAsia" w:asciiTheme="minorEastAsia" w:hAnsiTheme="minorEastAsia" w:cstheme="minorEastAsia"/>
                <w:color w:val="auto"/>
                <w:szCs w:val="21"/>
                <w:highlight w:val="none"/>
                <w:lang w:val="en-US" w:eastAsia="zh-CN" w:bidi="ar-SA"/>
              </w:rPr>
              <w:t>的</w:t>
            </w:r>
            <w:r>
              <w:rPr>
                <w:rFonts w:hint="eastAsia" w:asciiTheme="minorEastAsia" w:hAnsiTheme="minorEastAsia" w:cstheme="minorEastAsia"/>
                <w:color w:val="auto"/>
                <w:szCs w:val="21"/>
                <w:highlight w:val="none"/>
                <w:lang w:val="en-US" w:bidi="ar-SA"/>
              </w:rPr>
              <w:t>得5分；</w:t>
            </w:r>
          </w:p>
          <w:p>
            <w:pPr>
              <w:pStyle w:val="85"/>
              <w:numPr>
                <w:ilvl w:val="0"/>
                <w:numId w:val="0"/>
              </w:numPr>
              <w:spacing w:before="80" w:line="240" w:lineRule="auto"/>
              <w:jc w:val="left"/>
              <w:rPr>
                <w:rFonts w:asciiTheme="minorEastAsia" w:hAnsiTheme="minorEastAsia" w:cstheme="minorEastAsia"/>
                <w:color w:val="auto"/>
                <w:szCs w:val="21"/>
                <w:highlight w:val="none"/>
                <w:lang w:val="en-US" w:bidi="ar-SA"/>
              </w:rPr>
            </w:pPr>
            <w:r>
              <w:rPr>
                <w:rFonts w:hint="eastAsia" w:asciiTheme="minorEastAsia" w:hAnsiTheme="minorEastAsia" w:cstheme="minorEastAsia"/>
                <w:color w:val="auto"/>
                <w:szCs w:val="21"/>
                <w:highlight w:val="none"/>
                <w:lang w:val="en-US" w:eastAsia="zh-CN" w:bidi="ar-SA"/>
              </w:rPr>
              <w:t>2、</w:t>
            </w:r>
            <w:r>
              <w:rPr>
                <w:rFonts w:hint="eastAsia" w:asciiTheme="minorEastAsia" w:hAnsiTheme="minorEastAsia" w:cstheme="minorEastAsia"/>
                <w:color w:val="auto"/>
                <w:szCs w:val="21"/>
                <w:highlight w:val="none"/>
                <w:lang w:val="en-US" w:bidi="ar-SA"/>
              </w:rPr>
              <w:t>项目总体思路比较清晰，内容比较全面、操作性比较强</w:t>
            </w:r>
            <w:r>
              <w:rPr>
                <w:rFonts w:hint="eastAsia" w:asciiTheme="minorEastAsia" w:hAnsiTheme="minorEastAsia" w:cstheme="minorEastAsia"/>
                <w:color w:val="auto"/>
                <w:szCs w:val="21"/>
                <w:highlight w:val="none"/>
                <w:lang w:val="en-US" w:eastAsia="zh-CN" w:bidi="ar-SA"/>
              </w:rPr>
              <w:t>的</w:t>
            </w:r>
            <w:r>
              <w:rPr>
                <w:rFonts w:hint="eastAsia" w:asciiTheme="minorEastAsia" w:hAnsiTheme="minorEastAsia" w:cstheme="minorEastAsia"/>
                <w:color w:val="auto"/>
                <w:szCs w:val="21"/>
                <w:highlight w:val="none"/>
                <w:lang w:val="en-US" w:bidi="ar-SA"/>
              </w:rPr>
              <w:t>得4分；</w:t>
            </w:r>
          </w:p>
          <w:p>
            <w:pPr>
              <w:pStyle w:val="85"/>
              <w:numPr>
                <w:ilvl w:val="0"/>
                <w:numId w:val="0"/>
              </w:numPr>
              <w:spacing w:before="80" w:line="240" w:lineRule="auto"/>
              <w:jc w:val="left"/>
              <w:rPr>
                <w:rFonts w:asciiTheme="minorEastAsia" w:hAnsiTheme="minorEastAsia" w:cstheme="minorEastAsia"/>
                <w:color w:val="auto"/>
                <w:szCs w:val="21"/>
                <w:highlight w:val="none"/>
                <w:lang w:val="en-US" w:bidi="ar-SA"/>
              </w:rPr>
            </w:pPr>
            <w:r>
              <w:rPr>
                <w:rFonts w:hint="eastAsia" w:asciiTheme="minorEastAsia" w:hAnsiTheme="minorEastAsia" w:cstheme="minorEastAsia"/>
                <w:color w:val="auto"/>
                <w:szCs w:val="21"/>
                <w:highlight w:val="none"/>
                <w:lang w:val="en-US" w:eastAsia="zh-CN" w:bidi="ar-SA"/>
              </w:rPr>
              <w:t>3、</w:t>
            </w:r>
            <w:r>
              <w:rPr>
                <w:rFonts w:hint="eastAsia" w:asciiTheme="minorEastAsia" w:hAnsiTheme="minorEastAsia" w:cstheme="minorEastAsia"/>
                <w:color w:val="auto"/>
                <w:szCs w:val="21"/>
                <w:highlight w:val="none"/>
                <w:lang w:val="en-US" w:bidi="ar-SA"/>
              </w:rPr>
              <w:t>项目总体思路一般，内容一般、操作性一般</w:t>
            </w:r>
            <w:r>
              <w:rPr>
                <w:rFonts w:hint="eastAsia" w:asciiTheme="minorEastAsia" w:hAnsiTheme="minorEastAsia" w:cstheme="minorEastAsia"/>
                <w:color w:val="auto"/>
                <w:szCs w:val="21"/>
                <w:highlight w:val="none"/>
                <w:lang w:val="en-US" w:eastAsia="zh-CN" w:bidi="ar-SA"/>
              </w:rPr>
              <w:t>的</w:t>
            </w:r>
            <w:r>
              <w:rPr>
                <w:rFonts w:hint="eastAsia" w:asciiTheme="minorEastAsia" w:hAnsiTheme="minorEastAsia" w:cstheme="minorEastAsia"/>
                <w:color w:val="auto"/>
                <w:szCs w:val="21"/>
                <w:highlight w:val="none"/>
                <w:lang w:val="en-US" w:bidi="ar-SA"/>
              </w:rPr>
              <w:t>得3分；</w:t>
            </w:r>
          </w:p>
          <w:p>
            <w:pPr>
              <w:pStyle w:val="85"/>
              <w:numPr>
                <w:ilvl w:val="0"/>
                <w:numId w:val="0"/>
              </w:numPr>
              <w:spacing w:before="80" w:line="240" w:lineRule="auto"/>
              <w:jc w:val="left"/>
              <w:rPr>
                <w:rFonts w:asciiTheme="minorEastAsia" w:hAnsiTheme="minorEastAsia" w:cstheme="minorEastAsia"/>
                <w:color w:val="auto"/>
                <w:szCs w:val="21"/>
                <w:highlight w:val="none"/>
                <w:lang w:val="en-US" w:bidi="ar-SA"/>
              </w:rPr>
            </w:pPr>
            <w:r>
              <w:rPr>
                <w:rFonts w:hint="eastAsia" w:asciiTheme="minorEastAsia" w:hAnsiTheme="minorEastAsia" w:cstheme="minorEastAsia"/>
                <w:color w:val="auto"/>
                <w:szCs w:val="21"/>
                <w:highlight w:val="none"/>
                <w:lang w:val="en-US" w:eastAsia="zh-CN" w:bidi="ar-SA"/>
              </w:rPr>
              <w:t>4、</w:t>
            </w:r>
            <w:r>
              <w:rPr>
                <w:rFonts w:hint="eastAsia" w:asciiTheme="minorEastAsia" w:hAnsiTheme="minorEastAsia" w:cstheme="minorEastAsia"/>
                <w:color w:val="auto"/>
                <w:szCs w:val="21"/>
                <w:highlight w:val="none"/>
                <w:lang w:val="en-US" w:bidi="ar-SA"/>
              </w:rPr>
              <w:t>不提供或完全不符合本项目实际情况的得0分。</w:t>
            </w:r>
          </w:p>
        </w:tc>
        <w:tc>
          <w:tcPr>
            <w:tcW w:w="650" w:type="dxa"/>
            <w:vAlign w:val="center"/>
          </w:tcPr>
          <w:p>
            <w:pPr>
              <w:pStyle w:val="85"/>
              <w:numPr>
                <w:ilvl w:val="0"/>
                <w:numId w:val="0"/>
              </w:numPr>
              <w:spacing w:before="80" w:line="240" w:lineRule="auto"/>
              <w:ind w:left="210" w:leftChars="0"/>
              <w:jc w:val="center"/>
              <w:rPr>
                <w:rFonts w:hint="eastAsia" w:eastAsia="宋体" w:asciiTheme="minorEastAsia" w:hAnsiTheme="minorEastAsia" w:cstheme="minorEastAsia"/>
                <w:color w:val="auto"/>
                <w:szCs w:val="21"/>
                <w:highlight w:val="none"/>
                <w:lang w:val="en-US" w:eastAsia="zh-CN" w:bidi="ar-SA"/>
              </w:rPr>
            </w:pPr>
            <w:r>
              <w:rPr>
                <w:rFonts w:hint="eastAsia" w:asciiTheme="minorEastAsia" w:hAnsiTheme="minorEastAsia" w:cstheme="minorEastAsia"/>
                <w:color w:val="auto"/>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209" w:type="dxa"/>
            <w:vMerge w:val="continue"/>
            <w:vAlign w:val="center"/>
          </w:tcPr>
          <w:p>
            <w:pPr>
              <w:spacing w:line="240" w:lineRule="auto"/>
              <w:jc w:val="center"/>
              <w:rPr>
                <w:rFonts w:ascii="宋体" w:hAnsi="宋体"/>
                <w:color w:val="auto"/>
                <w:szCs w:val="21"/>
                <w:highlight w:val="none"/>
              </w:rPr>
            </w:pPr>
          </w:p>
        </w:tc>
        <w:tc>
          <w:tcPr>
            <w:tcW w:w="868" w:type="dxa"/>
            <w:vMerge w:val="restart"/>
            <w:vAlign w:val="center"/>
          </w:tcPr>
          <w:p>
            <w:pPr>
              <w:numPr>
                <w:ilvl w:val="0"/>
                <w:numId w:val="0"/>
              </w:numPr>
              <w:spacing w:line="240" w:lineRule="auto"/>
              <w:jc w:val="both"/>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设计</w:t>
            </w:r>
          </w:p>
          <w:p>
            <w:pPr>
              <w:numPr>
                <w:ilvl w:val="0"/>
                <w:numId w:val="0"/>
              </w:numPr>
              <w:spacing w:line="240" w:lineRule="auto"/>
              <w:jc w:val="both"/>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方案</w:t>
            </w:r>
          </w:p>
          <w:p>
            <w:pPr>
              <w:numPr>
                <w:ilvl w:val="0"/>
                <w:numId w:val="0"/>
              </w:numPr>
              <w:spacing w:line="240" w:lineRule="auto"/>
              <w:jc w:val="both"/>
              <w:rPr>
                <w:rFonts w:hint="default" w:ascii="宋体" w:hAnsi="宋体" w:eastAsia="宋体"/>
                <w:color w:val="auto"/>
                <w:szCs w:val="21"/>
                <w:highlight w:val="none"/>
                <w:lang w:val="en-US" w:eastAsia="zh-CN"/>
              </w:rPr>
            </w:pPr>
            <w:r>
              <w:rPr>
                <w:rFonts w:hint="eastAsia" w:asciiTheme="minorEastAsia" w:hAnsiTheme="minorEastAsia" w:cstheme="minorEastAsia"/>
                <w:color w:val="auto"/>
                <w:szCs w:val="21"/>
                <w:highlight w:val="none"/>
                <w:lang w:val="en-US" w:eastAsia="zh-CN"/>
              </w:rPr>
              <w:t>(20分)</w:t>
            </w:r>
          </w:p>
        </w:tc>
        <w:tc>
          <w:tcPr>
            <w:tcW w:w="1208" w:type="dxa"/>
            <w:vAlign w:val="center"/>
          </w:tcPr>
          <w:p>
            <w:pPr>
              <w:pStyle w:val="85"/>
              <w:spacing w:line="240" w:lineRule="auto"/>
              <w:ind w:right="89"/>
              <w:jc w:val="center"/>
              <w:rPr>
                <w:rFonts w:hint="eastAsia" w:asciiTheme="minorEastAsia" w:hAnsiTheme="minorEastAsia" w:cstheme="minorEastAsia"/>
                <w:color w:val="auto"/>
                <w:szCs w:val="21"/>
                <w:highlight w:val="none"/>
                <w:lang w:val="en-US" w:eastAsia="zh-CN" w:bidi="ar-SA"/>
              </w:rPr>
            </w:pPr>
            <w:r>
              <w:rPr>
                <w:rFonts w:hint="eastAsia" w:asciiTheme="minorEastAsia" w:hAnsiTheme="minorEastAsia" w:cstheme="minorEastAsia"/>
                <w:color w:val="auto"/>
                <w:szCs w:val="21"/>
                <w:highlight w:val="none"/>
                <w:lang w:val="en-US" w:eastAsia="zh-CN" w:bidi="ar-SA"/>
              </w:rPr>
              <w:t>对</w:t>
            </w:r>
            <w:r>
              <w:rPr>
                <w:rFonts w:hint="eastAsia" w:asciiTheme="minorEastAsia" w:hAnsiTheme="minorEastAsia" w:cstheme="minorEastAsia"/>
                <w:color w:val="auto"/>
                <w:szCs w:val="21"/>
                <w:highlight w:val="none"/>
                <w:lang w:val="en-US" w:bidi="ar-SA"/>
              </w:rPr>
              <w:t>项目</w:t>
            </w:r>
            <w:r>
              <w:rPr>
                <w:rFonts w:hint="eastAsia" w:asciiTheme="minorEastAsia" w:hAnsiTheme="minorEastAsia" w:cstheme="minorEastAsia"/>
                <w:color w:val="auto"/>
                <w:szCs w:val="21"/>
                <w:highlight w:val="none"/>
              </w:rPr>
              <w:t>重点</w:t>
            </w:r>
            <w:r>
              <w:rPr>
                <w:rFonts w:hint="eastAsia" w:asciiTheme="minorEastAsia" w:hAnsiTheme="minorEastAsia" w:cstheme="minorEastAsia"/>
                <w:color w:val="auto"/>
                <w:szCs w:val="21"/>
                <w:highlight w:val="none"/>
                <w:lang w:val="en-US" w:eastAsia="zh-CN"/>
              </w:rPr>
              <w:t>和</w:t>
            </w:r>
            <w:r>
              <w:rPr>
                <w:rFonts w:hint="eastAsia" w:asciiTheme="minorEastAsia" w:hAnsiTheme="minorEastAsia" w:cstheme="minorEastAsia"/>
                <w:color w:val="auto"/>
                <w:szCs w:val="21"/>
                <w:highlight w:val="none"/>
              </w:rPr>
              <w:t>难点</w:t>
            </w:r>
            <w:r>
              <w:rPr>
                <w:rFonts w:hint="eastAsia" w:asciiTheme="minorEastAsia" w:hAnsiTheme="minorEastAsia" w:cstheme="minorEastAsia"/>
                <w:color w:val="auto"/>
                <w:szCs w:val="21"/>
                <w:highlight w:val="none"/>
                <w:lang w:val="en-US" w:eastAsia="zh-CN" w:bidi="ar-SA"/>
              </w:rPr>
              <w:t>分析</w:t>
            </w:r>
          </w:p>
          <w:p>
            <w:pPr>
              <w:pStyle w:val="85"/>
              <w:spacing w:line="240" w:lineRule="auto"/>
              <w:ind w:right="89"/>
              <w:jc w:val="center"/>
              <w:rPr>
                <w:rFonts w:hint="eastAsia" w:eastAsia="宋体" w:asciiTheme="minorEastAsia" w:hAnsiTheme="minorEastAsia" w:cstheme="minorEastAsia"/>
                <w:color w:val="auto"/>
                <w:szCs w:val="21"/>
                <w:highlight w:val="none"/>
                <w:lang w:val="en-US" w:eastAsia="zh-CN" w:bidi="ar-SA"/>
              </w:rPr>
            </w:pPr>
            <w:r>
              <w:rPr>
                <w:rFonts w:hint="eastAsia" w:asciiTheme="minorEastAsia" w:hAnsiTheme="minorEastAsia" w:cstheme="minorEastAsia"/>
                <w:color w:val="auto"/>
                <w:szCs w:val="21"/>
                <w:highlight w:val="none"/>
                <w:lang w:val="en-US" w:eastAsia="zh-CN" w:bidi="ar-SA"/>
              </w:rPr>
              <w:t>（5分）</w:t>
            </w:r>
          </w:p>
        </w:tc>
        <w:tc>
          <w:tcPr>
            <w:tcW w:w="5342" w:type="dxa"/>
            <w:vAlign w:val="center"/>
          </w:tcPr>
          <w:p>
            <w:pPr>
              <w:pStyle w:val="85"/>
              <w:numPr>
                <w:ilvl w:val="0"/>
                <w:numId w:val="3"/>
              </w:numPr>
              <w:spacing w:before="97" w:line="240" w:lineRule="auto"/>
              <w:jc w:val="left"/>
              <w:rPr>
                <w:color w:val="auto"/>
                <w:szCs w:val="21"/>
                <w:highlight w:val="none"/>
                <w:lang w:val="en-US" w:bidi="ar-SA"/>
              </w:rPr>
            </w:pPr>
            <w:r>
              <w:rPr>
                <w:rFonts w:hint="eastAsia"/>
                <w:color w:val="auto"/>
                <w:szCs w:val="21"/>
                <w:highlight w:val="none"/>
                <w:lang w:val="en-US" w:bidi="ar-SA"/>
              </w:rPr>
              <w:t>分析本项目的重点和难点，设计目标明确、措施具体、针对性强、方法合理、可行度高的得5分 ；</w:t>
            </w:r>
          </w:p>
          <w:p>
            <w:pPr>
              <w:pStyle w:val="85"/>
              <w:numPr>
                <w:ilvl w:val="0"/>
                <w:numId w:val="3"/>
              </w:numPr>
              <w:spacing w:before="97" w:line="240" w:lineRule="auto"/>
              <w:jc w:val="left"/>
              <w:rPr>
                <w:color w:val="auto"/>
                <w:szCs w:val="21"/>
                <w:highlight w:val="none"/>
                <w:lang w:val="en-US" w:bidi="ar-SA"/>
              </w:rPr>
            </w:pPr>
            <w:r>
              <w:rPr>
                <w:rFonts w:hint="eastAsia"/>
                <w:color w:val="auto"/>
                <w:szCs w:val="21"/>
                <w:highlight w:val="none"/>
                <w:lang w:val="en-US" w:bidi="ar-SA"/>
              </w:rPr>
              <w:t>分析本项目的重点和难点，设计目标比较明确、措施比较具体、针对性比较强、方法比较合理、可行度高的得4分；</w:t>
            </w:r>
          </w:p>
          <w:p>
            <w:pPr>
              <w:pStyle w:val="85"/>
              <w:numPr>
                <w:ilvl w:val="0"/>
                <w:numId w:val="3"/>
              </w:numPr>
              <w:spacing w:before="97" w:line="240" w:lineRule="auto"/>
              <w:jc w:val="left"/>
              <w:rPr>
                <w:color w:val="auto"/>
                <w:szCs w:val="21"/>
                <w:highlight w:val="none"/>
                <w:lang w:val="en-US" w:bidi="ar-SA"/>
              </w:rPr>
            </w:pPr>
            <w:r>
              <w:rPr>
                <w:rFonts w:hint="eastAsia"/>
                <w:color w:val="auto"/>
                <w:szCs w:val="21"/>
                <w:highlight w:val="none"/>
                <w:lang w:val="en-US" w:bidi="ar-SA"/>
              </w:rPr>
              <w:t>分析本项目的重点和难点，设计目标一般、措施一般、针对性一般、方法一般、可行度一般的得3分；</w:t>
            </w:r>
          </w:p>
          <w:p>
            <w:pPr>
              <w:pStyle w:val="85"/>
              <w:numPr>
                <w:ilvl w:val="0"/>
                <w:numId w:val="3"/>
              </w:numPr>
              <w:spacing w:before="97" w:line="240" w:lineRule="auto"/>
              <w:jc w:val="left"/>
              <w:rPr>
                <w:color w:val="auto"/>
                <w:szCs w:val="21"/>
                <w:highlight w:val="none"/>
                <w:lang w:val="en-US" w:bidi="ar-SA"/>
              </w:rPr>
            </w:pPr>
            <w:r>
              <w:rPr>
                <w:rFonts w:hint="eastAsia" w:asciiTheme="minorEastAsia" w:hAnsiTheme="minorEastAsia" w:cstheme="minorEastAsia"/>
                <w:color w:val="auto"/>
                <w:szCs w:val="21"/>
                <w:highlight w:val="none"/>
                <w:lang w:val="en-US" w:bidi="ar-SA"/>
              </w:rPr>
              <w:t>不提供或完全不符合本项目实际情况的得0分。</w:t>
            </w:r>
          </w:p>
        </w:tc>
        <w:tc>
          <w:tcPr>
            <w:tcW w:w="650" w:type="dxa"/>
            <w:vAlign w:val="center"/>
          </w:tcPr>
          <w:p>
            <w:pPr>
              <w:pStyle w:val="85"/>
              <w:numPr>
                <w:ilvl w:val="0"/>
                <w:numId w:val="0"/>
              </w:numPr>
              <w:spacing w:before="97" w:line="240" w:lineRule="auto"/>
              <w:jc w:val="center"/>
              <w:rPr>
                <w:rFonts w:hint="eastAsia" w:eastAsia="宋体" w:asciiTheme="minorEastAsia" w:hAnsiTheme="minorEastAsia" w:cstheme="minorEastAsia"/>
                <w:color w:val="auto"/>
                <w:szCs w:val="21"/>
                <w:highlight w:val="none"/>
                <w:lang w:val="en-US" w:eastAsia="zh-CN" w:bidi="ar-SA"/>
              </w:rPr>
            </w:pPr>
            <w:r>
              <w:rPr>
                <w:rFonts w:hint="eastAsia" w:asciiTheme="minorEastAsia" w:hAnsiTheme="minorEastAsia" w:cstheme="minorEastAsia"/>
                <w:color w:val="auto"/>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209" w:type="dxa"/>
            <w:vMerge w:val="continue"/>
            <w:vAlign w:val="center"/>
          </w:tcPr>
          <w:p>
            <w:pPr>
              <w:spacing w:line="240" w:lineRule="auto"/>
              <w:jc w:val="center"/>
              <w:rPr>
                <w:rFonts w:ascii="宋体" w:hAnsi="宋体"/>
                <w:color w:val="auto"/>
                <w:szCs w:val="21"/>
                <w:highlight w:val="none"/>
              </w:rPr>
            </w:pPr>
          </w:p>
        </w:tc>
        <w:tc>
          <w:tcPr>
            <w:tcW w:w="868" w:type="dxa"/>
            <w:vMerge w:val="continue"/>
            <w:vAlign w:val="center"/>
          </w:tcPr>
          <w:p>
            <w:pPr>
              <w:spacing w:line="240" w:lineRule="auto"/>
              <w:jc w:val="center"/>
              <w:rPr>
                <w:rFonts w:ascii="宋体" w:hAnsi="宋体"/>
                <w:color w:val="auto"/>
                <w:szCs w:val="21"/>
                <w:highlight w:val="none"/>
              </w:rPr>
            </w:pPr>
          </w:p>
        </w:tc>
        <w:tc>
          <w:tcPr>
            <w:tcW w:w="1208"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对现状</w:t>
            </w:r>
          </w:p>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了解程度</w:t>
            </w:r>
          </w:p>
          <w:p>
            <w:pPr>
              <w:spacing w:line="240" w:lineRule="auto"/>
              <w:jc w:val="center"/>
              <w:rPr>
                <w:rFonts w:hint="eastAsia" w:eastAsia="宋体" w:asciiTheme="minorEastAsia" w:hAnsiTheme="minorEastAsia" w:cstheme="minorEastAsia"/>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6分</w:t>
            </w:r>
            <w:r>
              <w:rPr>
                <w:rFonts w:hint="eastAsia" w:asciiTheme="minorEastAsia" w:hAnsiTheme="minorEastAsia" w:cstheme="minorEastAsia"/>
                <w:color w:val="auto"/>
                <w:szCs w:val="21"/>
                <w:highlight w:val="none"/>
                <w:lang w:eastAsia="zh-CN"/>
              </w:rPr>
              <w:t>）</w:t>
            </w:r>
          </w:p>
        </w:tc>
        <w:tc>
          <w:tcPr>
            <w:tcW w:w="5342" w:type="dxa"/>
            <w:vAlign w:val="center"/>
          </w:tcPr>
          <w:p>
            <w:pPr>
              <w:pStyle w:val="85"/>
              <w:numPr>
                <w:ilvl w:val="0"/>
                <w:numId w:val="0"/>
              </w:numPr>
              <w:spacing w:before="97" w:line="240" w:lineRule="auto"/>
              <w:jc w:val="left"/>
              <w:rPr>
                <w:color w:val="auto"/>
                <w:szCs w:val="21"/>
                <w:highlight w:val="none"/>
                <w:lang w:val="en-US" w:bidi="ar-SA"/>
              </w:rPr>
            </w:pPr>
            <w:r>
              <w:rPr>
                <w:rFonts w:hint="eastAsia"/>
                <w:color w:val="auto"/>
                <w:szCs w:val="21"/>
                <w:highlight w:val="none"/>
                <w:lang w:val="en-US" w:eastAsia="zh-CN" w:bidi="ar-SA"/>
              </w:rPr>
              <w:t>1、</w:t>
            </w:r>
            <w:r>
              <w:rPr>
                <w:rFonts w:hint="eastAsia"/>
                <w:color w:val="auto"/>
                <w:szCs w:val="21"/>
                <w:highlight w:val="none"/>
                <w:lang w:val="en-US" w:bidi="ar-SA"/>
              </w:rPr>
              <w:t>对</w:t>
            </w:r>
            <w:r>
              <w:rPr>
                <w:rFonts w:hint="eastAsia"/>
                <w:color w:val="auto"/>
                <w:szCs w:val="21"/>
                <w:highlight w:val="none"/>
                <w:lang w:val="en-US" w:eastAsia="zh-CN" w:bidi="ar-SA"/>
              </w:rPr>
              <w:t>项目</w:t>
            </w:r>
            <w:r>
              <w:rPr>
                <w:rFonts w:hint="eastAsia"/>
                <w:color w:val="auto"/>
                <w:szCs w:val="21"/>
                <w:highlight w:val="none"/>
                <w:lang w:val="en-US" w:bidi="ar-SA"/>
              </w:rPr>
              <w:t>环境、管网分布及运行现状了解透彻</w:t>
            </w:r>
            <w:r>
              <w:rPr>
                <w:rFonts w:hint="eastAsia"/>
                <w:color w:val="auto"/>
                <w:szCs w:val="21"/>
                <w:highlight w:val="none"/>
                <w:lang w:val="en-US" w:eastAsia="zh-CN" w:bidi="ar-SA"/>
              </w:rPr>
              <w:t>的</w:t>
            </w:r>
            <w:r>
              <w:rPr>
                <w:rFonts w:hint="eastAsia"/>
                <w:color w:val="auto"/>
                <w:szCs w:val="21"/>
                <w:highlight w:val="none"/>
                <w:lang w:val="en-US" w:bidi="ar-SA"/>
              </w:rPr>
              <w:t>得6分；</w:t>
            </w:r>
          </w:p>
          <w:p>
            <w:pPr>
              <w:pStyle w:val="85"/>
              <w:numPr>
                <w:ilvl w:val="0"/>
                <w:numId w:val="0"/>
              </w:numPr>
              <w:spacing w:before="97" w:line="240" w:lineRule="auto"/>
              <w:jc w:val="left"/>
              <w:rPr>
                <w:color w:val="auto"/>
                <w:szCs w:val="21"/>
                <w:highlight w:val="none"/>
                <w:lang w:val="en-US" w:bidi="ar-SA"/>
              </w:rPr>
            </w:pPr>
            <w:r>
              <w:rPr>
                <w:rFonts w:hint="eastAsia"/>
                <w:color w:val="auto"/>
                <w:szCs w:val="21"/>
                <w:highlight w:val="none"/>
                <w:lang w:val="en-US" w:eastAsia="zh-CN" w:bidi="ar-SA"/>
              </w:rPr>
              <w:t>2、</w:t>
            </w:r>
            <w:r>
              <w:rPr>
                <w:rFonts w:hint="eastAsia"/>
                <w:color w:val="auto"/>
                <w:szCs w:val="21"/>
                <w:highlight w:val="none"/>
                <w:lang w:val="en-US" w:bidi="ar-SA"/>
              </w:rPr>
              <w:t>对环境、管网分布及运行现状了解比较透彻的得4分；</w:t>
            </w:r>
          </w:p>
          <w:p>
            <w:pPr>
              <w:pStyle w:val="85"/>
              <w:numPr>
                <w:ilvl w:val="0"/>
                <w:numId w:val="0"/>
              </w:numPr>
              <w:spacing w:before="97" w:line="240" w:lineRule="auto"/>
              <w:jc w:val="left"/>
              <w:rPr>
                <w:color w:val="auto"/>
                <w:szCs w:val="21"/>
                <w:highlight w:val="none"/>
                <w:lang w:val="en-US" w:bidi="ar-SA"/>
              </w:rPr>
            </w:pPr>
            <w:r>
              <w:rPr>
                <w:rFonts w:hint="eastAsia"/>
                <w:color w:val="auto"/>
                <w:szCs w:val="21"/>
                <w:highlight w:val="none"/>
                <w:lang w:val="en-US" w:eastAsia="zh-CN" w:bidi="ar-SA"/>
              </w:rPr>
              <w:t>3、</w:t>
            </w:r>
            <w:r>
              <w:rPr>
                <w:rFonts w:hint="eastAsia"/>
                <w:color w:val="auto"/>
                <w:szCs w:val="21"/>
                <w:highlight w:val="none"/>
                <w:lang w:val="en-US" w:bidi="ar-SA"/>
              </w:rPr>
              <w:t>对环境、管网分布及运行现状了解一般的得2分</w:t>
            </w:r>
            <w:r>
              <w:rPr>
                <w:rFonts w:hint="eastAsia" w:asciiTheme="minorEastAsia" w:hAnsiTheme="minorEastAsia" w:cstheme="minorEastAsia"/>
                <w:color w:val="auto"/>
                <w:szCs w:val="21"/>
                <w:highlight w:val="none"/>
                <w:lang w:val="en-US" w:bidi="ar-SA"/>
              </w:rPr>
              <w:t>；</w:t>
            </w:r>
          </w:p>
          <w:p>
            <w:pPr>
              <w:pStyle w:val="85"/>
              <w:numPr>
                <w:ilvl w:val="0"/>
                <w:numId w:val="0"/>
              </w:numPr>
              <w:spacing w:before="97" w:line="240" w:lineRule="auto"/>
              <w:jc w:val="left"/>
              <w:rPr>
                <w:color w:val="auto"/>
                <w:szCs w:val="21"/>
                <w:highlight w:val="none"/>
                <w:lang w:val="en-US" w:bidi="ar-SA"/>
              </w:rPr>
            </w:pPr>
            <w:r>
              <w:rPr>
                <w:rFonts w:hint="eastAsia" w:asciiTheme="minorEastAsia" w:hAnsiTheme="minorEastAsia" w:cstheme="minorEastAsia"/>
                <w:color w:val="auto"/>
                <w:szCs w:val="21"/>
                <w:highlight w:val="none"/>
                <w:lang w:val="en-US" w:eastAsia="zh-CN" w:bidi="ar-SA"/>
              </w:rPr>
              <w:t>4、</w:t>
            </w:r>
            <w:r>
              <w:rPr>
                <w:rFonts w:hint="eastAsia" w:asciiTheme="minorEastAsia" w:hAnsiTheme="minorEastAsia" w:cstheme="minorEastAsia"/>
                <w:color w:val="auto"/>
                <w:szCs w:val="21"/>
                <w:highlight w:val="none"/>
                <w:lang w:val="en-US" w:bidi="ar-SA"/>
              </w:rPr>
              <w:t>不提供或完全不符合本项目实际情况的得0分。</w:t>
            </w:r>
          </w:p>
        </w:tc>
        <w:tc>
          <w:tcPr>
            <w:tcW w:w="650" w:type="dxa"/>
            <w:vAlign w:val="center"/>
          </w:tcPr>
          <w:p>
            <w:pPr>
              <w:pStyle w:val="85"/>
              <w:numPr>
                <w:ilvl w:val="0"/>
                <w:numId w:val="0"/>
              </w:numPr>
              <w:spacing w:before="97" w:line="240" w:lineRule="auto"/>
              <w:jc w:val="center"/>
              <w:rPr>
                <w:rFonts w:hint="eastAsia" w:eastAsia="宋体" w:asciiTheme="minorEastAsia" w:hAnsiTheme="minorEastAsia" w:cstheme="minorEastAsia"/>
                <w:color w:val="auto"/>
                <w:szCs w:val="21"/>
                <w:highlight w:val="none"/>
                <w:lang w:val="en-US" w:eastAsia="zh-CN" w:bidi="ar-SA"/>
              </w:rPr>
            </w:pPr>
            <w:r>
              <w:rPr>
                <w:rFonts w:hint="eastAsia" w:asciiTheme="minorEastAsia" w:hAnsiTheme="minorEastAsia" w:cstheme="minorEastAsia"/>
                <w:color w:val="auto"/>
                <w:szCs w:val="21"/>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209" w:type="dxa"/>
            <w:vMerge w:val="continue"/>
            <w:vAlign w:val="center"/>
          </w:tcPr>
          <w:p>
            <w:pPr>
              <w:spacing w:line="240" w:lineRule="auto"/>
              <w:jc w:val="center"/>
              <w:rPr>
                <w:rFonts w:ascii="宋体" w:hAnsi="宋体"/>
                <w:color w:val="auto"/>
                <w:szCs w:val="21"/>
                <w:highlight w:val="none"/>
              </w:rPr>
            </w:pPr>
          </w:p>
        </w:tc>
        <w:tc>
          <w:tcPr>
            <w:tcW w:w="868" w:type="dxa"/>
            <w:vMerge w:val="continue"/>
            <w:vAlign w:val="center"/>
          </w:tcPr>
          <w:p>
            <w:pPr>
              <w:spacing w:line="240" w:lineRule="auto"/>
              <w:jc w:val="center"/>
              <w:rPr>
                <w:rFonts w:ascii="宋体" w:hAnsi="宋体"/>
                <w:color w:val="auto"/>
                <w:szCs w:val="21"/>
                <w:highlight w:val="none"/>
              </w:rPr>
            </w:pPr>
          </w:p>
        </w:tc>
        <w:tc>
          <w:tcPr>
            <w:tcW w:w="1208" w:type="dxa"/>
            <w:vAlign w:val="center"/>
          </w:tcPr>
          <w:p>
            <w:pPr>
              <w:spacing w:line="24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设计方案合理性</w:t>
            </w:r>
          </w:p>
          <w:p>
            <w:pPr>
              <w:spacing w:line="240" w:lineRule="auto"/>
              <w:jc w:val="center"/>
              <w:rPr>
                <w:rFonts w:hint="eastAsia" w:eastAsia="宋体" w:asciiTheme="minorEastAsia" w:hAnsiTheme="minorEastAsia" w:cstheme="minorEastAsia"/>
                <w:color w:val="auto"/>
                <w:szCs w:val="21"/>
                <w:highlight w:val="none"/>
                <w:lang w:eastAsia="zh-CN"/>
              </w:rPr>
            </w:pP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lang w:val="en-US" w:eastAsia="zh-CN"/>
              </w:rPr>
              <w:t>6分</w:t>
            </w:r>
            <w:r>
              <w:rPr>
                <w:rFonts w:hint="eastAsia" w:asciiTheme="minorEastAsia" w:hAnsiTheme="minorEastAsia" w:cstheme="minorEastAsia"/>
                <w:color w:val="auto"/>
                <w:szCs w:val="21"/>
                <w:highlight w:val="none"/>
                <w:lang w:eastAsia="zh-CN"/>
              </w:rPr>
              <w:t>）</w:t>
            </w:r>
          </w:p>
        </w:tc>
        <w:tc>
          <w:tcPr>
            <w:tcW w:w="5342" w:type="dxa"/>
            <w:vAlign w:val="center"/>
          </w:tcPr>
          <w:p>
            <w:pPr>
              <w:pStyle w:val="85"/>
              <w:numPr>
                <w:ilvl w:val="0"/>
                <w:numId w:val="0"/>
              </w:numPr>
              <w:spacing w:before="97" w:line="240" w:lineRule="auto"/>
              <w:jc w:val="left"/>
              <w:rPr>
                <w:color w:val="auto"/>
                <w:szCs w:val="21"/>
                <w:highlight w:val="none"/>
                <w:lang w:val="en-US" w:bidi="ar-SA"/>
              </w:rPr>
            </w:pPr>
            <w:r>
              <w:rPr>
                <w:rFonts w:hint="eastAsia"/>
                <w:color w:val="auto"/>
                <w:szCs w:val="21"/>
                <w:highlight w:val="none"/>
                <w:lang w:val="en-US" w:eastAsia="zh-CN" w:bidi="ar-SA"/>
              </w:rPr>
              <w:t>1、</w:t>
            </w:r>
            <w:r>
              <w:rPr>
                <w:rFonts w:hint="eastAsia"/>
                <w:color w:val="auto"/>
                <w:szCs w:val="21"/>
                <w:highlight w:val="none"/>
                <w:lang w:val="en-US" w:bidi="ar-SA"/>
              </w:rPr>
              <w:t>设计方案</w:t>
            </w:r>
            <w:r>
              <w:rPr>
                <w:rFonts w:hint="eastAsia"/>
                <w:color w:val="auto"/>
                <w:szCs w:val="21"/>
                <w:highlight w:val="none"/>
                <w:lang w:bidi="ar-SA"/>
              </w:rPr>
              <w:t>合理可行，因地制宜，充分考虑地域环境条件，减少对周围环境的损害，与现场实际相结合，设计理念切实实际，</w:t>
            </w:r>
            <w:r>
              <w:rPr>
                <w:rFonts w:hint="eastAsia"/>
                <w:color w:val="auto"/>
                <w:szCs w:val="21"/>
                <w:highlight w:val="none"/>
                <w:lang w:val="en-US" w:bidi="ar-SA"/>
              </w:rPr>
              <w:t>分析合理的得6分；</w:t>
            </w:r>
          </w:p>
          <w:p>
            <w:pPr>
              <w:pStyle w:val="85"/>
              <w:numPr>
                <w:ilvl w:val="0"/>
                <w:numId w:val="0"/>
              </w:numPr>
              <w:spacing w:before="97" w:line="240" w:lineRule="auto"/>
              <w:jc w:val="left"/>
              <w:rPr>
                <w:color w:val="auto"/>
                <w:szCs w:val="21"/>
                <w:highlight w:val="none"/>
                <w:lang w:val="en-US" w:bidi="ar-SA"/>
              </w:rPr>
            </w:pPr>
            <w:r>
              <w:rPr>
                <w:rFonts w:hint="eastAsia"/>
                <w:color w:val="auto"/>
                <w:szCs w:val="21"/>
                <w:highlight w:val="none"/>
                <w:lang w:val="en-US" w:eastAsia="zh-CN" w:bidi="ar-SA"/>
              </w:rPr>
              <w:t>2、</w:t>
            </w:r>
            <w:r>
              <w:rPr>
                <w:rFonts w:hint="eastAsia"/>
                <w:color w:val="auto"/>
                <w:szCs w:val="21"/>
                <w:highlight w:val="none"/>
                <w:lang w:val="en-US" w:bidi="ar-SA"/>
              </w:rPr>
              <w:t>设计方案比较</w:t>
            </w:r>
            <w:r>
              <w:rPr>
                <w:rFonts w:hint="eastAsia"/>
                <w:color w:val="auto"/>
                <w:szCs w:val="21"/>
                <w:highlight w:val="none"/>
                <w:lang w:bidi="ar-SA"/>
              </w:rPr>
              <w:t>合理可行，</w:t>
            </w:r>
            <w:r>
              <w:rPr>
                <w:rFonts w:hint="eastAsia"/>
                <w:color w:val="auto"/>
                <w:szCs w:val="21"/>
                <w:highlight w:val="none"/>
                <w:lang w:val="en-US" w:bidi="ar-SA"/>
              </w:rPr>
              <w:t>能</w:t>
            </w:r>
            <w:r>
              <w:rPr>
                <w:rFonts w:hint="eastAsia"/>
                <w:color w:val="auto"/>
                <w:szCs w:val="21"/>
                <w:highlight w:val="none"/>
                <w:lang w:bidi="ar-SA"/>
              </w:rPr>
              <w:t>充分考虑地域环境条件，减少对周围环境的损害，与现场实际相结合，设计理念</w:t>
            </w:r>
            <w:r>
              <w:rPr>
                <w:rFonts w:hint="eastAsia"/>
                <w:color w:val="auto"/>
                <w:szCs w:val="21"/>
                <w:highlight w:val="none"/>
                <w:lang w:val="en-US" w:bidi="ar-SA"/>
              </w:rPr>
              <w:t>比较</w:t>
            </w:r>
            <w:r>
              <w:rPr>
                <w:rFonts w:hint="eastAsia"/>
                <w:color w:val="auto"/>
                <w:szCs w:val="21"/>
                <w:highlight w:val="none"/>
                <w:lang w:bidi="ar-SA"/>
              </w:rPr>
              <w:t>切实实际，</w:t>
            </w:r>
            <w:r>
              <w:rPr>
                <w:rFonts w:hint="eastAsia"/>
                <w:color w:val="auto"/>
                <w:szCs w:val="21"/>
                <w:highlight w:val="none"/>
                <w:lang w:val="en-US" w:bidi="ar-SA"/>
              </w:rPr>
              <w:t>分析比较合理的得4分；</w:t>
            </w:r>
          </w:p>
          <w:p>
            <w:pPr>
              <w:pStyle w:val="85"/>
              <w:numPr>
                <w:ilvl w:val="0"/>
                <w:numId w:val="0"/>
              </w:numPr>
              <w:spacing w:before="97" w:line="240" w:lineRule="auto"/>
              <w:jc w:val="left"/>
              <w:rPr>
                <w:color w:val="auto"/>
                <w:szCs w:val="21"/>
                <w:highlight w:val="none"/>
                <w:lang w:val="en-US" w:bidi="ar-SA"/>
              </w:rPr>
            </w:pPr>
            <w:r>
              <w:rPr>
                <w:rFonts w:hint="eastAsia"/>
                <w:color w:val="auto"/>
                <w:szCs w:val="21"/>
                <w:highlight w:val="none"/>
                <w:lang w:val="en-US" w:eastAsia="zh-CN" w:bidi="ar-SA"/>
              </w:rPr>
              <w:t>3、</w:t>
            </w:r>
            <w:r>
              <w:rPr>
                <w:rFonts w:hint="eastAsia"/>
                <w:color w:val="auto"/>
                <w:szCs w:val="21"/>
                <w:highlight w:val="none"/>
                <w:lang w:val="en-US" w:bidi="ar-SA"/>
              </w:rPr>
              <w:t>设计方案一般</w:t>
            </w:r>
            <w:r>
              <w:rPr>
                <w:rFonts w:hint="eastAsia"/>
                <w:color w:val="auto"/>
                <w:szCs w:val="21"/>
                <w:highlight w:val="none"/>
                <w:lang w:bidi="ar-SA"/>
              </w:rPr>
              <w:t>，地域环境条件</w:t>
            </w:r>
            <w:r>
              <w:rPr>
                <w:rFonts w:hint="eastAsia"/>
                <w:color w:val="auto"/>
                <w:szCs w:val="21"/>
                <w:highlight w:val="none"/>
                <w:lang w:val="en-US" w:bidi="ar-SA"/>
              </w:rPr>
              <w:t>考虑一般</w:t>
            </w:r>
            <w:r>
              <w:rPr>
                <w:rFonts w:hint="eastAsia"/>
                <w:color w:val="auto"/>
                <w:szCs w:val="21"/>
                <w:highlight w:val="none"/>
                <w:lang w:bidi="ar-SA"/>
              </w:rPr>
              <w:t>，设计理念</w:t>
            </w:r>
            <w:r>
              <w:rPr>
                <w:rFonts w:hint="eastAsia"/>
                <w:color w:val="auto"/>
                <w:szCs w:val="21"/>
                <w:highlight w:val="none"/>
                <w:lang w:val="en-US" w:bidi="ar-SA"/>
              </w:rPr>
              <w:t>一般</w:t>
            </w:r>
            <w:r>
              <w:rPr>
                <w:rFonts w:hint="eastAsia"/>
                <w:color w:val="auto"/>
                <w:szCs w:val="21"/>
                <w:highlight w:val="none"/>
                <w:lang w:bidi="ar-SA"/>
              </w:rPr>
              <w:t>，</w:t>
            </w:r>
            <w:r>
              <w:rPr>
                <w:rFonts w:hint="eastAsia"/>
                <w:color w:val="auto"/>
                <w:szCs w:val="21"/>
                <w:highlight w:val="none"/>
                <w:lang w:val="en-US" w:bidi="ar-SA"/>
              </w:rPr>
              <w:t>分析一般的得2分；</w:t>
            </w:r>
          </w:p>
          <w:p>
            <w:pPr>
              <w:pStyle w:val="85"/>
              <w:numPr>
                <w:ilvl w:val="0"/>
                <w:numId w:val="0"/>
              </w:numPr>
              <w:spacing w:before="97" w:line="240" w:lineRule="auto"/>
              <w:jc w:val="left"/>
              <w:rPr>
                <w:color w:val="auto"/>
                <w:szCs w:val="21"/>
                <w:highlight w:val="none"/>
                <w:lang w:val="en-US" w:bidi="ar-SA"/>
              </w:rPr>
            </w:pPr>
            <w:r>
              <w:rPr>
                <w:rFonts w:hint="eastAsia" w:asciiTheme="minorEastAsia" w:hAnsiTheme="minorEastAsia" w:cstheme="minorEastAsia"/>
                <w:color w:val="auto"/>
                <w:szCs w:val="21"/>
                <w:highlight w:val="none"/>
                <w:lang w:val="en-US" w:eastAsia="zh-CN" w:bidi="ar-SA"/>
              </w:rPr>
              <w:t>4、</w:t>
            </w:r>
            <w:r>
              <w:rPr>
                <w:rFonts w:hint="eastAsia" w:asciiTheme="minorEastAsia" w:hAnsiTheme="minorEastAsia" w:cstheme="minorEastAsia"/>
                <w:color w:val="auto"/>
                <w:szCs w:val="21"/>
                <w:highlight w:val="none"/>
                <w:lang w:val="en-US" w:bidi="ar-SA"/>
              </w:rPr>
              <w:t>不提供或完全不符合本项目实际情况的得0分。</w:t>
            </w:r>
          </w:p>
        </w:tc>
        <w:tc>
          <w:tcPr>
            <w:tcW w:w="650" w:type="dxa"/>
            <w:vAlign w:val="center"/>
          </w:tcPr>
          <w:p>
            <w:pPr>
              <w:pStyle w:val="85"/>
              <w:numPr>
                <w:ilvl w:val="0"/>
                <w:numId w:val="0"/>
              </w:numPr>
              <w:spacing w:before="97" w:line="240" w:lineRule="auto"/>
              <w:jc w:val="center"/>
              <w:rPr>
                <w:rFonts w:hint="eastAsia" w:eastAsia="宋体" w:asciiTheme="minorEastAsia" w:hAnsiTheme="minorEastAsia" w:cstheme="minorEastAsia"/>
                <w:color w:val="auto"/>
                <w:szCs w:val="21"/>
                <w:highlight w:val="none"/>
                <w:lang w:val="en-US" w:eastAsia="zh-CN" w:bidi="ar-SA"/>
              </w:rPr>
            </w:pPr>
            <w:r>
              <w:rPr>
                <w:rFonts w:hint="eastAsia" w:asciiTheme="minorEastAsia" w:hAnsiTheme="minorEastAsia" w:cstheme="minorEastAsia"/>
                <w:color w:val="auto"/>
                <w:szCs w:val="21"/>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209" w:type="dxa"/>
            <w:vMerge w:val="continue"/>
            <w:vAlign w:val="center"/>
          </w:tcPr>
          <w:p>
            <w:pPr>
              <w:spacing w:line="240" w:lineRule="auto"/>
              <w:jc w:val="center"/>
              <w:rPr>
                <w:rFonts w:ascii="宋体" w:hAnsi="宋体"/>
                <w:color w:val="auto"/>
                <w:szCs w:val="21"/>
                <w:highlight w:val="none"/>
              </w:rPr>
            </w:pPr>
          </w:p>
        </w:tc>
        <w:tc>
          <w:tcPr>
            <w:tcW w:w="868" w:type="dxa"/>
            <w:vMerge w:val="continue"/>
            <w:vAlign w:val="center"/>
          </w:tcPr>
          <w:p>
            <w:pPr>
              <w:spacing w:line="240" w:lineRule="auto"/>
              <w:jc w:val="center"/>
              <w:rPr>
                <w:rFonts w:ascii="宋体" w:hAnsi="宋体"/>
                <w:color w:val="auto"/>
                <w:szCs w:val="21"/>
                <w:highlight w:val="none"/>
              </w:rPr>
            </w:pPr>
          </w:p>
        </w:tc>
        <w:tc>
          <w:tcPr>
            <w:tcW w:w="1208" w:type="dxa"/>
            <w:vAlign w:val="center"/>
          </w:tcPr>
          <w:p>
            <w:pPr>
              <w:spacing w:line="24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组织机构及分工</w:t>
            </w:r>
          </w:p>
          <w:p>
            <w:pPr>
              <w:spacing w:line="240" w:lineRule="auto"/>
              <w:jc w:val="center"/>
              <w:rPr>
                <w:rFonts w:hint="eastAsia" w:eastAsia="宋体" w:asciiTheme="minorEastAsia" w:hAnsiTheme="minorEastAsia" w:cstheme="minorEastAsia"/>
                <w:color w:val="auto"/>
                <w:szCs w:val="21"/>
                <w:highlight w:val="none"/>
                <w:lang w:eastAsia="zh-CN"/>
              </w:rPr>
            </w:pP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lang w:val="en-US" w:eastAsia="zh-CN"/>
              </w:rPr>
              <w:t>3分</w:t>
            </w:r>
            <w:r>
              <w:rPr>
                <w:rFonts w:hint="eastAsia" w:asciiTheme="minorEastAsia" w:hAnsiTheme="minorEastAsia" w:cstheme="minorEastAsia"/>
                <w:color w:val="auto"/>
                <w:szCs w:val="21"/>
                <w:highlight w:val="none"/>
                <w:lang w:eastAsia="zh-CN"/>
              </w:rPr>
              <w:t>）</w:t>
            </w:r>
          </w:p>
        </w:tc>
        <w:tc>
          <w:tcPr>
            <w:tcW w:w="5342" w:type="dxa"/>
            <w:vAlign w:val="center"/>
          </w:tcPr>
          <w:p>
            <w:pPr>
              <w:pStyle w:val="85"/>
              <w:numPr>
                <w:ilvl w:val="0"/>
                <w:numId w:val="4"/>
              </w:numPr>
              <w:spacing w:before="97" w:line="240" w:lineRule="auto"/>
              <w:jc w:val="left"/>
              <w:rPr>
                <w:rFonts w:hint="eastAsia"/>
                <w:color w:val="auto"/>
                <w:szCs w:val="21"/>
                <w:highlight w:val="none"/>
                <w:lang w:val="en-US" w:bidi="ar-SA"/>
              </w:rPr>
            </w:pPr>
            <w:r>
              <w:rPr>
                <w:rFonts w:hint="eastAsia"/>
                <w:color w:val="auto"/>
                <w:szCs w:val="21"/>
                <w:highlight w:val="none"/>
                <w:lang w:val="en-US" w:bidi="ar-SA"/>
              </w:rPr>
              <w:t>专业设置合理，组织机构对提高工作效率，服务有利的得3分；</w:t>
            </w:r>
          </w:p>
          <w:p>
            <w:pPr>
              <w:pStyle w:val="85"/>
              <w:numPr>
                <w:ilvl w:val="0"/>
                <w:numId w:val="0"/>
              </w:numPr>
              <w:spacing w:before="97" w:line="240" w:lineRule="auto"/>
              <w:jc w:val="left"/>
              <w:rPr>
                <w:color w:val="auto"/>
                <w:szCs w:val="21"/>
                <w:highlight w:val="none"/>
                <w:lang w:val="en-US" w:bidi="ar-SA"/>
              </w:rPr>
            </w:pPr>
            <w:r>
              <w:rPr>
                <w:rFonts w:hint="eastAsia"/>
                <w:color w:val="auto"/>
                <w:szCs w:val="21"/>
                <w:highlight w:val="none"/>
                <w:lang w:val="en-US" w:bidi="ar-SA"/>
              </w:rPr>
              <w:t>2、专业设置比较合理，组织机构对提高工作效率，服务比较有利的得2分；</w:t>
            </w:r>
          </w:p>
          <w:p>
            <w:pPr>
              <w:pStyle w:val="85"/>
              <w:spacing w:before="97" w:line="240" w:lineRule="auto"/>
              <w:jc w:val="left"/>
              <w:rPr>
                <w:color w:val="auto"/>
                <w:szCs w:val="21"/>
                <w:highlight w:val="none"/>
                <w:lang w:val="en-US" w:bidi="ar-SA"/>
              </w:rPr>
            </w:pPr>
            <w:r>
              <w:rPr>
                <w:rFonts w:hint="eastAsia"/>
                <w:color w:val="auto"/>
                <w:szCs w:val="21"/>
                <w:highlight w:val="none"/>
                <w:lang w:val="en-US" w:bidi="ar-SA"/>
              </w:rPr>
              <w:t>3、专业设置一般，组织机构对提高工作效率，服务一般的得1分；</w:t>
            </w:r>
          </w:p>
          <w:p>
            <w:pPr>
              <w:pStyle w:val="85"/>
              <w:spacing w:before="97" w:line="240" w:lineRule="auto"/>
              <w:jc w:val="left"/>
              <w:rPr>
                <w:color w:val="auto"/>
                <w:szCs w:val="21"/>
                <w:highlight w:val="none"/>
                <w:lang w:val="en-US" w:bidi="ar-SA"/>
              </w:rPr>
            </w:pPr>
            <w:r>
              <w:rPr>
                <w:rFonts w:hint="eastAsia" w:asciiTheme="minorEastAsia" w:hAnsiTheme="minorEastAsia" w:cstheme="minorEastAsia"/>
                <w:color w:val="auto"/>
                <w:szCs w:val="21"/>
                <w:highlight w:val="none"/>
                <w:lang w:val="en-US" w:bidi="ar-SA"/>
              </w:rPr>
              <w:t>4、不提供或完全不满足本项目需求的得0分。</w:t>
            </w:r>
          </w:p>
        </w:tc>
        <w:tc>
          <w:tcPr>
            <w:tcW w:w="650" w:type="dxa"/>
            <w:vAlign w:val="center"/>
          </w:tcPr>
          <w:p>
            <w:pPr>
              <w:pStyle w:val="85"/>
              <w:spacing w:before="97" w:line="240" w:lineRule="auto"/>
              <w:jc w:val="center"/>
              <w:rPr>
                <w:rFonts w:hint="eastAsia" w:eastAsia="宋体" w:asciiTheme="minorEastAsia" w:hAnsiTheme="minorEastAsia" w:cstheme="minorEastAsia"/>
                <w:color w:val="auto"/>
                <w:szCs w:val="21"/>
                <w:highlight w:val="none"/>
                <w:lang w:val="en-US" w:eastAsia="zh-CN" w:bidi="ar-SA"/>
              </w:rPr>
            </w:pPr>
            <w:r>
              <w:rPr>
                <w:rFonts w:hint="eastAsia" w:asciiTheme="minorEastAsia" w:hAnsiTheme="minorEastAsia" w:cstheme="minorEastAsia"/>
                <w:color w:val="auto"/>
                <w:szCs w:val="21"/>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209" w:type="dxa"/>
            <w:vMerge w:val="continue"/>
            <w:vAlign w:val="center"/>
          </w:tcPr>
          <w:p>
            <w:pPr>
              <w:spacing w:line="240" w:lineRule="auto"/>
              <w:jc w:val="center"/>
              <w:rPr>
                <w:rFonts w:ascii="宋体" w:hAnsi="宋体"/>
                <w:color w:val="auto"/>
                <w:szCs w:val="21"/>
                <w:highlight w:val="none"/>
              </w:rPr>
            </w:pPr>
          </w:p>
        </w:tc>
        <w:tc>
          <w:tcPr>
            <w:tcW w:w="868" w:type="dxa"/>
            <w:vMerge w:val="restart"/>
            <w:vAlign w:val="center"/>
          </w:tcPr>
          <w:p>
            <w:pPr>
              <w:numPr>
                <w:ilvl w:val="0"/>
                <w:numId w:val="0"/>
              </w:numPr>
              <w:spacing w:line="240" w:lineRule="auto"/>
              <w:jc w:val="both"/>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勘察</w:t>
            </w:r>
          </w:p>
          <w:p>
            <w:pPr>
              <w:numPr>
                <w:ilvl w:val="0"/>
                <w:numId w:val="0"/>
              </w:numPr>
              <w:spacing w:line="240" w:lineRule="auto"/>
              <w:jc w:val="both"/>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方案</w:t>
            </w:r>
          </w:p>
          <w:p>
            <w:pPr>
              <w:numPr>
                <w:ilvl w:val="0"/>
                <w:numId w:val="0"/>
              </w:numPr>
              <w:spacing w:line="240" w:lineRule="auto"/>
              <w:jc w:val="both"/>
              <w:rPr>
                <w:rFonts w:hint="default" w:ascii="宋体" w:hAnsi="宋体" w:eastAsia="宋体"/>
                <w:color w:val="auto"/>
                <w:szCs w:val="21"/>
                <w:highlight w:val="none"/>
                <w:lang w:val="en-US" w:eastAsia="zh-CN"/>
              </w:rPr>
            </w:pPr>
            <w:r>
              <w:rPr>
                <w:rFonts w:hint="eastAsia" w:asciiTheme="minorEastAsia" w:hAnsiTheme="minorEastAsia" w:cstheme="minorEastAsia"/>
                <w:color w:val="auto"/>
                <w:szCs w:val="21"/>
                <w:highlight w:val="none"/>
                <w:lang w:val="en-US" w:eastAsia="zh-CN"/>
              </w:rPr>
              <w:t>(11分)</w:t>
            </w:r>
          </w:p>
        </w:tc>
        <w:tc>
          <w:tcPr>
            <w:tcW w:w="1208" w:type="dxa"/>
            <w:vAlign w:val="center"/>
          </w:tcPr>
          <w:p>
            <w:pPr>
              <w:pStyle w:val="85"/>
              <w:spacing w:line="240" w:lineRule="auto"/>
              <w:ind w:right="88"/>
              <w:jc w:val="center"/>
              <w:rPr>
                <w:rFonts w:hint="eastAsia" w:eastAsia="宋体" w:asciiTheme="minorEastAsia" w:hAnsiTheme="minorEastAsia" w:cstheme="minorEastAsia"/>
                <w:color w:val="auto"/>
                <w:szCs w:val="21"/>
                <w:highlight w:val="none"/>
                <w:lang w:val="en-US" w:eastAsia="zh-CN" w:bidi="ar-SA"/>
              </w:rPr>
            </w:pPr>
            <w:r>
              <w:rPr>
                <w:rFonts w:hint="eastAsia" w:asciiTheme="minorEastAsia" w:hAnsiTheme="minorEastAsia" w:cstheme="minorEastAsia"/>
                <w:color w:val="auto"/>
                <w:szCs w:val="21"/>
                <w:highlight w:val="none"/>
                <w:lang w:val="en-US" w:bidi="ar-SA"/>
              </w:rPr>
              <w:t>项目理解</w:t>
            </w:r>
            <w:r>
              <w:rPr>
                <w:rFonts w:hint="eastAsia" w:asciiTheme="minorEastAsia" w:hAnsiTheme="minorEastAsia" w:cstheme="minorEastAsia"/>
                <w:color w:val="auto"/>
                <w:szCs w:val="21"/>
                <w:highlight w:val="none"/>
                <w:lang w:val="en-US" w:eastAsia="zh-CN" w:bidi="ar-SA"/>
              </w:rPr>
              <w:t>（3分）</w:t>
            </w:r>
          </w:p>
        </w:tc>
        <w:tc>
          <w:tcPr>
            <w:tcW w:w="5342" w:type="dxa"/>
            <w:vAlign w:val="center"/>
          </w:tcPr>
          <w:p>
            <w:pPr>
              <w:pStyle w:val="85"/>
              <w:numPr>
                <w:ilvl w:val="0"/>
                <w:numId w:val="5"/>
              </w:numPr>
              <w:spacing w:before="104" w:line="240" w:lineRule="auto"/>
              <w:jc w:val="left"/>
              <w:rPr>
                <w:color w:val="auto"/>
                <w:szCs w:val="21"/>
                <w:highlight w:val="none"/>
                <w:lang w:val="en-US" w:bidi="ar-SA"/>
              </w:rPr>
            </w:pPr>
            <w:r>
              <w:rPr>
                <w:rFonts w:hint="eastAsia"/>
                <w:color w:val="auto"/>
                <w:szCs w:val="21"/>
                <w:highlight w:val="none"/>
                <w:lang w:val="en-US" w:bidi="ar-SA"/>
              </w:rPr>
              <w:t>对项目理解透彻，熟悉本项目所在区域特点，内容明确具体</w:t>
            </w:r>
            <w:r>
              <w:rPr>
                <w:rFonts w:hint="eastAsia"/>
                <w:color w:val="auto"/>
                <w:szCs w:val="21"/>
                <w:highlight w:val="none"/>
                <w:lang w:val="en-US" w:eastAsia="zh-CN" w:bidi="ar-SA"/>
              </w:rPr>
              <w:t>的</w:t>
            </w:r>
            <w:r>
              <w:rPr>
                <w:rFonts w:hint="eastAsia"/>
                <w:color w:val="auto"/>
                <w:szCs w:val="21"/>
                <w:highlight w:val="none"/>
                <w:lang w:val="en-US" w:bidi="ar-SA"/>
              </w:rPr>
              <w:t>得3分；</w:t>
            </w:r>
          </w:p>
          <w:p>
            <w:pPr>
              <w:pStyle w:val="85"/>
              <w:numPr>
                <w:ilvl w:val="0"/>
                <w:numId w:val="5"/>
              </w:numPr>
              <w:spacing w:before="104" w:line="240" w:lineRule="auto"/>
              <w:jc w:val="left"/>
              <w:rPr>
                <w:color w:val="auto"/>
                <w:szCs w:val="21"/>
                <w:highlight w:val="none"/>
                <w:lang w:val="en-US" w:bidi="ar-SA"/>
              </w:rPr>
            </w:pPr>
            <w:r>
              <w:rPr>
                <w:rFonts w:hint="eastAsia"/>
                <w:color w:val="auto"/>
                <w:szCs w:val="21"/>
                <w:highlight w:val="none"/>
                <w:lang w:val="en-US" w:bidi="ar-SA"/>
              </w:rPr>
              <w:t>对项目理解比较透彻，比较熟悉本项目所在区域特点，内容比较明确具体</w:t>
            </w:r>
            <w:r>
              <w:rPr>
                <w:rFonts w:hint="eastAsia"/>
                <w:color w:val="auto"/>
                <w:szCs w:val="21"/>
                <w:highlight w:val="none"/>
                <w:lang w:val="en-US" w:eastAsia="zh-CN" w:bidi="ar-SA"/>
              </w:rPr>
              <w:t>的</w:t>
            </w:r>
            <w:r>
              <w:rPr>
                <w:rFonts w:hint="eastAsia"/>
                <w:color w:val="auto"/>
                <w:szCs w:val="21"/>
                <w:highlight w:val="none"/>
                <w:lang w:val="en-US" w:bidi="ar-SA"/>
              </w:rPr>
              <w:t>得2分；</w:t>
            </w:r>
          </w:p>
          <w:p>
            <w:pPr>
              <w:pStyle w:val="85"/>
              <w:numPr>
                <w:ilvl w:val="0"/>
                <w:numId w:val="5"/>
              </w:numPr>
              <w:spacing w:before="104" w:line="240" w:lineRule="auto"/>
              <w:jc w:val="left"/>
              <w:rPr>
                <w:color w:val="auto"/>
                <w:szCs w:val="21"/>
                <w:highlight w:val="none"/>
                <w:lang w:val="en-US" w:bidi="ar-SA"/>
              </w:rPr>
            </w:pPr>
            <w:r>
              <w:rPr>
                <w:rFonts w:hint="eastAsia"/>
                <w:color w:val="auto"/>
                <w:szCs w:val="21"/>
                <w:highlight w:val="none"/>
                <w:lang w:val="en-US" w:bidi="ar-SA"/>
              </w:rPr>
              <w:t>对项目理解一般，本项目所在区域特点了解一般，内容一般的得1分；</w:t>
            </w:r>
          </w:p>
          <w:p>
            <w:pPr>
              <w:pStyle w:val="85"/>
              <w:numPr>
                <w:ilvl w:val="0"/>
                <w:numId w:val="5"/>
              </w:numPr>
              <w:spacing w:before="104" w:line="240" w:lineRule="auto"/>
              <w:jc w:val="left"/>
              <w:rPr>
                <w:rFonts w:asciiTheme="minorEastAsia" w:hAnsiTheme="minorEastAsia" w:cstheme="minorEastAsia"/>
                <w:color w:val="auto"/>
                <w:szCs w:val="21"/>
                <w:highlight w:val="none"/>
                <w:lang w:val="en-US" w:bidi="ar-SA"/>
              </w:rPr>
            </w:pPr>
            <w:r>
              <w:rPr>
                <w:rFonts w:hint="eastAsia" w:asciiTheme="minorEastAsia" w:hAnsiTheme="minorEastAsia" w:cstheme="minorEastAsia"/>
                <w:color w:val="auto"/>
                <w:szCs w:val="21"/>
                <w:highlight w:val="none"/>
                <w:lang w:val="en-US" w:bidi="ar-SA"/>
              </w:rPr>
              <w:t>不提供或完全不符合本项目实际情况的得0分。</w:t>
            </w:r>
          </w:p>
        </w:tc>
        <w:tc>
          <w:tcPr>
            <w:tcW w:w="650" w:type="dxa"/>
            <w:vAlign w:val="center"/>
          </w:tcPr>
          <w:p>
            <w:pPr>
              <w:pStyle w:val="85"/>
              <w:numPr>
                <w:ilvl w:val="0"/>
                <w:numId w:val="0"/>
              </w:numPr>
              <w:spacing w:before="104" w:line="240" w:lineRule="auto"/>
              <w:jc w:val="center"/>
              <w:rPr>
                <w:rFonts w:hint="eastAsia" w:eastAsia="宋体" w:asciiTheme="minorEastAsia" w:hAnsiTheme="minorEastAsia" w:cstheme="minorEastAsia"/>
                <w:color w:val="auto"/>
                <w:szCs w:val="21"/>
                <w:highlight w:val="none"/>
                <w:lang w:val="en-US" w:eastAsia="zh-CN" w:bidi="ar-SA"/>
              </w:rPr>
            </w:pPr>
            <w:r>
              <w:rPr>
                <w:rFonts w:hint="eastAsia" w:asciiTheme="minorEastAsia" w:hAnsiTheme="minorEastAsia" w:cstheme="minorEastAsia"/>
                <w:color w:val="auto"/>
                <w:szCs w:val="21"/>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209" w:type="dxa"/>
            <w:vMerge w:val="continue"/>
            <w:vAlign w:val="center"/>
          </w:tcPr>
          <w:p>
            <w:pPr>
              <w:spacing w:line="240" w:lineRule="auto"/>
              <w:jc w:val="center"/>
              <w:rPr>
                <w:rFonts w:ascii="宋体" w:hAnsi="宋体"/>
                <w:color w:val="auto"/>
                <w:szCs w:val="21"/>
                <w:highlight w:val="none"/>
              </w:rPr>
            </w:pPr>
          </w:p>
        </w:tc>
        <w:tc>
          <w:tcPr>
            <w:tcW w:w="868" w:type="dxa"/>
            <w:vMerge w:val="continue"/>
            <w:vAlign w:val="center"/>
          </w:tcPr>
          <w:p>
            <w:pPr>
              <w:spacing w:line="240" w:lineRule="auto"/>
              <w:jc w:val="center"/>
              <w:rPr>
                <w:rFonts w:ascii="宋体" w:hAnsi="宋体"/>
                <w:color w:val="auto"/>
                <w:szCs w:val="21"/>
                <w:highlight w:val="none"/>
              </w:rPr>
            </w:pPr>
          </w:p>
        </w:tc>
        <w:tc>
          <w:tcPr>
            <w:tcW w:w="1208" w:type="dxa"/>
            <w:vAlign w:val="center"/>
          </w:tcPr>
          <w:p>
            <w:pPr>
              <w:spacing w:line="24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勘察方案合理性</w:t>
            </w:r>
          </w:p>
          <w:p>
            <w:pPr>
              <w:spacing w:line="240" w:lineRule="auto"/>
              <w:jc w:val="center"/>
              <w:rPr>
                <w:rFonts w:hint="eastAsia" w:eastAsia="宋体" w:asciiTheme="minorEastAsia" w:hAnsi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lang w:val="en-US" w:eastAsia="zh-CN"/>
              </w:rPr>
              <w:t>5分</w:t>
            </w:r>
            <w:r>
              <w:rPr>
                <w:rFonts w:hint="eastAsia" w:asciiTheme="minorEastAsia" w:hAnsiTheme="minorEastAsia" w:cstheme="minorEastAsia"/>
                <w:color w:val="auto"/>
                <w:szCs w:val="21"/>
                <w:highlight w:val="none"/>
                <w:lang w:eastAsia="zh-CN"/>
              </w:rPr>
              <w:t>）</w:t>
            </w:r>
          </w:p>
        </w:tc>
        <w:tc>
          <w:tcPr>
            <w:tcW w:w="5342" w:type="dxa"/>
            <w:vAlign w:val="center"/>
          </w:tcPr>
          <w:p>
            <w:pPr>
              <w:pStyle w:val="85"/>
              <w:spacing w:line="240" w:lineRule="auto"/>
              <w:jc w:val="left"/>
              <w:rPr>
                <w:color w:val="auto"/>
                <w:szCs w:val="21"/>
                <w:highlight w:val="none"/>
                <w:lang w:val="en-US" w:bidi="ar-SA"/>
              </w:rPr>
            </w:pPr>
            <w:r>
              <w:rPr>
                <w:rFonts w:hint="eastAsia"/>
                <w:color w:val="auto"/>
                <w:szCs w:val="21"/>
                <w:highlight w:val="none"/>
                <w:lang w:val="en-US" w:bidi="ar-SA"/>
              </w:rPr>
              <w:t>1、能结合本项目区域内的地质条件，勘察方案措施具体、针对性强、方法合理可行</w:t>
            </w:r>
            <w:r>
              <w:rPr>
                <w:rFonts w:hint="eastAsia"/>
                <w:color w:val="auto"/>
                <w:szCs w:val="21"/>
                <w:highlight w:val="none"/>
                <w:lang w:val="en-US" w:eastAsia="zh-CN" w:bidi="ar-SA"/>
              </w:rPr>
              <w:t>的</w:t>
            </w:r>
            <w:r>
              <w:rPr>
                <w:rFonts w:hint="eastAsia"/>
                <w:color w:val="auto"/>
                <w:szCs w:val="21"/>
                <w:highlight w:val="none"/>
                <w:lang w:val="en-US" w:bidi="ar-SA"/>
              </w:rPr>
              <w:t>得5分；</w:t>
            </w:r>
          </w:p>
          <w:p>
            <w:pPr>
              <w:pStyle w:val="85"/>
              <w:spacing w:line="240" w:lineRule="auto"/>
              <w:jc w:val="left"/>
              <w:rPr>
                <w:rFonts w:asciiTheme="minorEastAsia" w:hAnsiTheme="minorEastAsia" w:cstheme="minorEastAsia"/>
                <w:color w:val="auto"/>
                <w:szCs w:val="21"/>
                <w:highlight w:val="none"/>
              </w:rPr>
            </w:pPr>
            <w:r>
              <w:rPr>
                <w:rFonts w:hint="eastAsia"/>
                <w:color w:val="auto"/>
                <w:szCs w:val="21"/>
                <w:highlight w:val="none"/>
                <w:lang w:val="en-US" w:bidi="ar-SA"/>
              </w:rPr>
              <w:t>2、能结合本项目区域内的地质条件，勘察方案措施比较具体、针对性比较强、方法比较合理可行的得3分；</w:t>
            </w:r>
          </w:p>
          <w:p>
            <w:pPr>
              <w:pStyle w:val="85"/>
              <w:spacing w:line="240" w:lineRule="auto"/>
              <w:jc w:val="left"/>
              <w:rPr>
                <w:rFonts w:asciiTheme="minorEastAsia" w:hAnsiTheme="minorEastAsia" w:cstheme="minorEastAsia"/>
                <w:color w:val="auto"/>
                <w:szCs w:val="21"/>
                <w:highlight w:val="none"/>
              </w:rPr>
            </w:pPr>
            <w:r>
              <w:rPr>
                <w:rFonts w:hint="eastAsia"/>
                <w:color w:val="auto"/>
                <w:szCs w:val="21"/>
                <w:highlight w:val="none"/>
                <w:lang w:val="en-US" w:bidi="ar-SA"/>
              </w:rPr>
              <w:t>3、能结合本项目区域内的地质条件，勘察方案措施一般、针对性一般、方法一般的得1分；</w:t>
            </w:r>
          </w:p>
          <w:p>
            <w:pPr>
              <w:pStyle w:val="85"/>
              <w:spacing w:line="240" w:lineRule="auto"/>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bidi="ar-SA"/>
              </w:rPr>
              <w:t>4、不提供或完全不符合本项目实际情况的得0分。</w:t>
            </w:r>
          </w:p>
        </w:tc>
        <w:tc>
          <w:tcPr>
            <w:tcW w:w="650" w:type="dxa"/>
            <w:vAlign w:val="center"/>
          </w:tcPr>
          <w:p>
            <w:pPr>
              <w:pStyle w:val="85"/>
              <w:spacing w:line="240" w:lineRule="auto"/>
              <w:jc w:val="center"/>
              <w:rPr>
                <w:rFonts w:hint="eastAsia" w:eastAsia="宋体" w:asciiTheme="minorEastAsia" w:hAnsiTheme="minorEastAsia" w:cstheme="minorEastAsia"/>
                <w:color w:val="auto"/>
                <w:szCs w:val="21"/>
                <w:highlight w:val="none"/>
                <w:lang w:val="en-US" w:eastAsia="zh-CN" w:bidi="ar-SA"/>
              </w:rPr>
            </w:pPr>
            <w:r>
              <w:rPr>
                <w:rFonts w:hint="eastAsia" w:asciiTheme="minorEastAsia" w:hAnsiTheme="minorEastAsia" w:cstheme="minorEastAsia"/>
                <w:color w:val="auto"/>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1" w:hRule="atLeast"/>
          <w:jc w:val="center"/>
        </w:trPr>
        <w:tc>
          <w:tcPr>
            <w:tcW w:w="1209" w:type="dxa"/>
            <w:vMerge w:val="continue"/>
            <w:vAlign w:val="center"/>
          </w:tcPr>
          <w:p>
            <w:pPr>
              <w:spacing w:line="240" w:lineRule="auto"/>
              <w:jc w:val="center"/>
              <w:rPr>
                <w:rFonts w:ascii="宋体" w:hAnsi="宋体"/>
                <w:color w:val="auto"/>
                <w:szCs w:val="21"/>
                <w:highlight w:val="none"/>
              </w:rPr>
            </w:pPr>
          </w:p>
        </w:tc>
        <w:tc>
          <w:tcPr>
            <w:tcW w:w="868" w:type="dxa"/>
            <w:vMerge w:val="continue"/>
            <w:vAlign w:val="center"/>
          </w:tcPr>
          <w:p>
            <w:pPr>
              <w:spacing w:line="240" w:lineRule="auto"/>
              <w:jc w:val="center"/>
              <w:rPr>
                <w:rFonts w:ascii="宋体" w:hAnsi="宋体"/>
                <w:color w:val="auto"/>
                <w:szCs w:val="21"/>
                <w:highlight w:val="none"/>
              </w:rPr>
            </w:pPr>
          </w:p>
        </w:tc>
        <w:tc>
          <w:tcPr>
            <w:tcW w:w="1208" w:type="dxa"/>
            <w:vAlign w:val="center"/>
          </w:tcPr>
          <w:p>
            <w:pPr>
              <w:spacing w:line="24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组织机构及分工</w:t>
            </w:r>
          </w:p>
          <w:p>
            <w:pPr>
              <w:spacing w:line="240" w:lineRule="auto"/>
              <w:jc w:val="center"/>
              <w:rPr>
                <w:rFonts w:hint="eastAsia" w:eastAsia="宋体" w:asciiTheme="minorEastAsia" w:hAnsiTheme="minorEastAsia" w:cstheme="minorEastAsia"/>
                <w:color w:val="auto"/>
                <w:szCs w:val="21"/>
                <w:highlight w:val="none"/>
                <w:lang w:eastAsia="zh-CN"/>
              </w:rPr>
            </w:pP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lang w:val="en-US" w:eastAsia="zh-CN"/>
              </w:rPr>
              <w:t>3分</w:t>
            </w:r>
            <w:r>
              <w:rPr>
                <w:rFonts w:hint="eastAsia" w:asciiTheme="minorEastAsia" w:hAnsiTheme="minorEastAsia" w:cstheme="minorEastAsia"/>
                <w:color w:val="auto"/>
                <w:szCs w:val="21"/>
                <w:highlight w:val="none"/>
                <w:lang w:eastAsia="zh-CN"/>
              </w:rPr>
              <w:t>）</w:t>
            </w:r>
          </w:p>
        </w:tc>
        <w:tc>
          <w:tcPr>
            <w:tcW w:w="5342" w:type="dxa"/>
            <w:vAlign w:val="center"/>
          </w:tcPr>
          <w:p>
            <w:pPr>
              <w:pStyle w:val="85"/>
              <w:numPr>
                <w:ilvl w:val="0"/>
                <w:numId w:val="0"/>
              </w:numPr>
              <w:spacing w:before="97" w:line="240" w:lineRule="auto"/>
              <w:jc w:val="left"/>
              <w:rPr>
                <w:color w:val="auto"/>
                <w:szCs w:val="21"/>
                <w:highlight w:val="none"/>
                <w:lang w:val="en-US" w:bidi="ar-SA"/>
              </w:rPr>
            </w:pPr>
            <w:r>
              <w:rPr>
                <w:rFonts w:hint="eastAsia"/>
                <w:color w:val="auto"/>
                <w:szCs w:val="21"/>
                <w:highlight w:val="none"/>
                <w:lang w:val="en-US" w:eastAsia="zh-CN" w:bidi="ar-SA"/>
              </w:rPr>
              <w:t>1、</w:t>
            </w:r>
            <w:r>
              <w:rPr>
                <w:rFonts w:hint="eastAsia"/>
                <w:color w:val="auto"/>
                <w:szCs w:val="21"/>
                <w:highlight w:val="none"/>
                <w:lang w:val="en-US" w:bidi="ar-SA"/>
              </w:rPr>
              <w:t>专业设置合理，组织机构对提高工作效率，及与业主沟通并为之服务很有利的得3分；</w:t>
            </w:r>
          </w:p>
          <w:p>
            <w:pPr>
              <w:pStyle w:val="85"/>
              <w:numPr>
                <w:ilvl w:val="0"/>
                <w:numId w:val="0"/>
              </w:numPr>
              <w:spacing w:before="97" w:line="240" w:lineRule="auto"/>
              <w:jc w:val="left"/>
              <w:rPr>
                <w:rFonts w:asciiTheme="minorEastAsia" w:hAnsiTheme="minorEastAsia" w:cstheme="minorEastAsia"/>
                <w:color w:val="auto"/>
                <w:szCs w:val="21"/>
                <w:highlight w:val="none"/>
              </w:rPr>
            </w:pPr>
            <w:r>
              <w:rPr>
                <w:rFonts w:hint="eastAsia"/>
                <w:color w:val="auto"/>
                <w:szCs w:val="21"/>
                <w:highlight w:val="none"/>
                <w:lang w:val="en-US" w:eastAsia="zh-CN" w:bidi="ar-SA"/>
              </w:rPr>
              <w:t>2、</w:t>
            </w:r>
            <w:r>
              <w:rPr>
                <w:rFonts w:hint="eastAsia"/>
                <w:color w:val="auto"/>
                <w:szCs w:val="21"/>
                <w:highlight w:val="none"/>
                <w:lang w:val="en-US" w:bidi="ar-SA"/>
              </w:rPr>
              <w:t>专业设置比较合理，组织机构对提高工作效率，及与业主沟通并为之服务比较有利的得2分；</w:t>
            </w:r>
          </w:p>
          <w:p>
            <w:pPr>
              <w:pStyle w:val="85"/>
              <w:numPr>
                <w:ilvl w:val="0"/>
                <w:numId w:val="0"/>
              </w:numPr>
              <w:spacing w:before="97" w:line="240" w:lineRule="auto"/>
              <w:jc w:val="left"/>
              <w:rPr>
                <w:rFonts w:asciiTheme="minorEastAsia" w:hAnsiTheme="minorEastAsia" w:cstheme="minorEastAsia"/>
                <w:color w:val="auto"/>
                <w:szCs w:val="21"/>
                <w:highlight w:val="none"/>
              </w:rPr>
            </w:pPr>
            <w:r>
              <w:rPr>
                <w:rFonts w:hint="eastAsia"/>
                <w:color w:val="auto"/>
                <w:szCs w:val="21"/>
                <w:highlight w:val="none"/>
                <w:lang w:val="en-US" w:eastAsia="zh-CN" w:bidi="ar-SA"/>
              </w:rPr>
              <w:t>3、</w:t>
            </w:r>
            <w:r>
              <w:rPr>
                <w:rFonts w:hint="eastAsia"/>
                <w:color w:val="auto"/>
                <w:szCs w:val="21"/>
                <w:highlight w:val="none"/>
                <w:lang w:val="en-US" w:bidi="ar-SA"/>
              </w:rPr>
              <w:t>专业设置一般，组织机构对提高工作效率，及与业主沟通并为之服务一般的得1分</w:t>
            </w:r>
            <w:r>
              <w:rPr>
                <w:rFonts w:hint="eastAsia" w:asciiTheme="minorEastAsia" w:hAnsiTheme="minorEastAsia" w:cstheme="minorEastAsia"/>
                <w:color w:val="auto"/>
                <w:szCs w:val="21"/>
                <w:highlight w:val="none"/>
                <w:lang w:val="en-US" w:bidi="ar-SA"/>
              </w:rPr>
              <w:t>；</w:t>
            </w:r>
          </w:p>
          <w:p>
            <w:pPr>
              <w:pStyle w:val="85"/>
              <w:numPr>
                <w:ilvl w:val="0"/>
                <w:numId w:val="0"/>
              </w:numPr>
              <w:spacing w:before="97" w:line="240" w:lineRule="auto"/>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bidi="ar-SA"/>
              </w:rPr>
              <w:t>4、</w:t>
            </w:r>
            <w:r>
              <w:rPr>
                <w:rFonts w:hint="eastAsia" w:asciiTheme="minorEastAsia" w:hAnsiTheme="minorEastAsia" w:cstheme="minorEastAsia"/>
                <w:color w:val="auto"/>
                <w:szCs w:val="21"/>
                <w:highlight w:val="none"/>
                <w:lang w:val="en-US" w:bidi="ar-SA"/>
              </w:rPr>
              <w:t>不提供或完全不满足本项目需求的得0分。</w:t>
            </w:r>
          </w:p>
        </w:tc>
        <w:tc>
          <w:tcPr>
            <w:tcW w:w="650" w:type="dxa"/>
            <w:vAlign w:val="center"/>
          </w:tcPr>
          <w:p>
            <w:pPr>
              <w:pStyle w:val="85"/>
              <w:numPr>
                <w:ilvl w:val="0"/>
                <w:numId w:val="0"/>
              </w:numPr>
              <w:spacing w:before="97" w:line="240" w:lineRule="auto"/>
              <w:jc w:val="center"/>
              <w:rPr>
                <w:rFonts w:hint="eastAsia" w:eastAsia="宋体" w:asciiTheme="minorEastAsia" w:hAnsiTheme="minorEastAsia" w:cstheme="minorEastAsia"/>
                <w:color w:val="auto"/>
                <w:szCs w:val="21"/>
                <w:highlight w:val="none"/>
                <w:lang w:val="en-US" w:eastAsia="zh-CN" w:bidi="ar-SA"/>
              </w:rPr>
            </w:pPr>
            <w:r>
              <w:rPr>
                <w:rFonts w:hint="eastAsia" w:asciiTheme="minorEastAsia" w:hAnsiTheme="minorEastAsia" w:cstheme="minorEastAsia"/>
                <w:color w:val="auto"/>
                <w:szCs w:val="21"/>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209" w:type="dxa"/>
            <w:vMerge w:val="continue"/>
            <w:vAlign w:val="center"/>
          </w:tcPr>
          <w:p>
            <w:pPr>
              <w:spacing w:line="240" w:lineRule="auto"/>
              <w:jc w:val="center"/>
              <w:rPr>
                <w:rFonts w:ascii="宋体" w:hAnsi="宋体"/>
                <w:color w:val="auto"/>
                <w:szCs w:val="21"/>
                <w:highlight w:val="none"/>
              </w:rPr>
            </w:pPr>
          </w:p>
        </w:tc>
        <w:tc>
          <w:tcPr>
            <w:tcW w:w="868" w:type="dxa"/>
            <w:vAlign w:val="center"/>
          </w:tcPr>
          <w:p>
            <w:pPr>
              <w:spacing w:line="240" w:lineRule="auto"/>
              <w:jc w:val="left"/>
              <w:rPr>
                <w:rFonts w:hint="eastAsia" w:ascii="宋体" w:hAnsi="宋体" w:eastAsia="宋体"/>
                <w:color w:val="auto"/>
                <w:szCs w:val="21"/>
                <w:highlight w:val="none"/>
                <w:lang w:eastAsia="zh-CN"/>
              </w:rPr>
            </w:pPr>
            <w:r>
              <w:rPr>
                <w:rFonts w:hint="eastAsia" w:ascii="宋体" w:hAnsi="宋体"/>
                <w:color w:val="auto"/>
                <w:szCs w:val="21"/>
                <w:highlight w:val="none"/>
              </w:rPr>
              <w:t>进度计划及质量保证</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4分</w:t>
            </w:r>
            <w:r>
              <w:rPr>
                <w:rFonts w:hint="eastAsia" w:ascii="宋体" w:hAnsi="宋体"/>
                <w:color w:val="auto"/>
                <w:szCs w:val="21"/>
                <w:highlight w:val="none"/>
                <w:lang w:eastAsia="zh-CN"/>
              </w:rPr>
              <w:t>）</w:t>
            </w:r>
          </w:p>
        </w:tc>
        <w:tc>
          <w:tcPr>
            <w:tcW w:w="1208" w:type="dxa"/>
            <w:vAlign w:val="center"/>
          </w:tcPr>
          <w:p>
            <w:pPr>
              <w:spacing w:line="24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进度计划安排和质量保证措施</w:t>
            </w:r>
          </w:p>
          <w:p>
            <w:pPr>
              <w:spacing w:line="240" w:lineRule="auto"/>
              <w:jc w:val="center"/>
              <w:rPr>
                <w:rFonts w:hint="eastAsia" w:eastAsia="宋体" w:asciiTheme="minorEastAsia" w:hAnsiTheme="minorEastAsia" w:cstheme="minorEastAsia"/>
                <w:color w:val="auto"/>
                <w:szCs w:val="21"/>
                <w:highlight w:val="none"/>
                <w:lang w:eastAsia="zh-CN"/>
              </w:rPr>
            </w:pP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lang w:val="en-US" w:eastAsia="zh-CN"/>
              </w:rPr>
              <w:t>4分</w:t>
            </w:r>
            <w:r>
              <w:rPr>
                <w:rFonts w:hint="eastAsia" w:asciiTheme="minorEastAsia" w:hAnsiTheme="minorEastAsia" w:cstheme="minorEastAsia"/>
                <w:color w:val="auto"/>
                <w:szCs w:val="21"/>
                <w:highlight w:val="none"/>
                <w:lang w:eastAsia="zh-CN"/>
              </w:rPr>
              <w:t>）</w:t>
            </w:r>
          </w:p>
        </w:tc>
        <w:tc>
          <w:tcPr>
            <w:tcW w:w="5342" w:type="dxa"/>
            <w:vAlign w:val="center"/>
          </w:tcPr>
          <w:p>
            <w:pPr>
              <w:numPr>
                <w:ilvl w:val="0"/>
                <w:numId w:val="0"/>
              </w:numPr>
              <w:spacing w:line="240" w:lineRule="auto"/>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1、</w:t>
            </w:r>
            <w:r>
              <w:rPr>
                <w:rFonts w:hint="eastAsia" w:asciiTheme="minorEastAsia" w:hAnsiTheme="minorEastAsia" w:cstheme="minorEastAsia"/>
                <w:color w:val="auto"/>
                <w:szCs w:val="21"/>
                <w:highlight w:val="none"/>
              </w:rPr>
              <w:t>进度计划安排合理、质量保证体系严密，可操作性强</w:t>
            </w:r>
            <w:r>
              <w:rPr>
                <w:rFonts w:hint="eastAsia" w:asciiTheme="minorEastAsia" w:hAnsiTheme="minorEastAsia" w:cstheme="minorEastAsia"/>
                <w:color w:val="auto"/>
                <w:szCs w:val="21"/>
                <w:highlight w:val="none"/>
                <w:lang w:val="en-US" w:eastAsia="zh-CN"/>
              </w:rPr>
              <w:t>的</w:t>
            </w:r>
            <w:r>
              <w:rPr>
                <w:rFonts w:hint="eastAsia" w:asciiTheme="minorEastAsia" w:hAnsiTheme="minorEastAsia" w:cstheme="minorEastAsia"/>
                <w:color w:val="auto"/>
                <w:szCs w:val="21"/>
                <w:highlight w:val="none"/>
              </w:rPr>
              <w:t>得4分；</w:t>
            </w:r>
          </w:p>
          <w:p>
            <w:pPr>
              <w:numPr>
                <w:ilvl w:val="0"/>
                <w:numId w:val="0"/>
              </w:numPr>
              <w:spacing w:line="240" w:lineRule="auto"/>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2、</w:t>
            </w:r>
            <w:r>
              <w:rPr>
                <w:rFonts w:hint="eastAsia" w:asciiTheme="minorEastAsia" w:hAnsiTheme="minorEastAsia" w:cstheme="minorEastAsia"/>
                <w:color w:val="auto"/>
                <w:szCs w:val="21"/>
                <w:highlight w:val="none"/>
              </w:rPr>
              <w:t>进度计划安排比较合理、质量保证体系比较严密，可操作性比较</w:t>
            </w:r>
            <w:r>
              <w:rPr>
                <w:rFonts w:hint="eastAsia" w:asciiTheme="minorEastAsia" w:hAnsiTheme="minorEastAsia" w:cstheme="minorEastAsia"/>
                <w:color w:val="auto"/>
                <w:szCs w:val="21"/>
                <w:highlight w:val="none"/>
                <w:lang w:val="en-US" w:eastAsia="zh-CN"/>
              </w:rPr>
              <w:t>的</w:t>
            </w:r>
            <w:r>
              <w:rPr>
                <w:rFonts w:hint="eastAsia" w:asciiTheme="minorEastAsia" w:hAnsiTheme="minorEastAsia" w:cstheme="minorEastAsia"/>
                <w:color w:val="auto"/>
                <w:szCs w:val="21"/>
                <w:highlight w:val="none"/>
              </w:rPr>
              <w:t>得3分；</w:t>
            </w:r>
          </w:p>
          <w:p>
            <w:pPr>
              <w:numPr>
                <w:ilvl w:val="0"/>
                <w:numId w:val="0"/>
              </w:numPr>
              <w:spacing w:line="240" w:lineRule="auto"/>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3、</w:t>
            </w:r>
            <w:r>
              <w:rPr>
                <w:rFonts w:hint="eastAsia" w:asciiTheme="minorEastAsia" w:hAnsiTheme="minorEastAsia" w:cstheme="minorEastAsia"/>
                <w:color w:val="auto"/>
                <w:szCs w:val="21"/>
                <w:highlight w:val="none"/>
              </w:rPr>
              <w:t>进度计划安排一般、质量保证体系一般，可操作性一般</w:t>
            </w:r>
            <w:r>
              <w:rPr>
                <w:rFonts w:hint="eastAsia" w:asciiTheme="minorEastAsia" w:hAnsiTheme="minorEastAsia" w:cstheme="minorEastAsia"/>
                <w:color w:val="auto"/>
                <w:szCs w:val="21"/>
                <w:highlight w:val="none"/>
                <w:lang w:val="en-US" w:eastAsia="zh-CN"/>
              </w:rPr>
              <w:t>的</w:t>
            </w:r>
            <w:r>
              <w:rPr>
                <w:rFonts w:hint="eastAsia" w:asciiTheme="minorEastAsia" w:hAnsiTheme="minorEastAsia" w:cstheme="minorEastAsia"/>
                <w:color w:val="auto"/>
                <w:szCs w:val="21"/>
                <w:highlight w:val="none"/>
              </w:rPr>
              <w:t>得2分；</w:t>
            </w:r>
          </w:p>
          <w:p>
            <w:pPr>
              <w:numPr>
                <w:ilvl w:val="0"/>
                <w:numId w:val="0"/>
              </w:numPr>
              <w:spacing w:line="240" w:lineRule="auto"/>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4、不提供或完全不符合本项目实际情况的得0分。</w:t>
            </w:r>
          </w:p>
        </w:tc>
        <w:tc>
          <w:tcPr>
            <w:tcW w:w="650" w:type="dxa"/>
            <w:vAlign w:val="center"/>
          </w:tcPr>
          <w:p>
            <w:pPr>
              <w:numPr>
                <w:ilvl w:val="0"/>
                <w:numId w:val="0"/>
              </w:numPr>
              <w:spacing w:line="240" w:lineRule="auto"/>
              <w:jc w:val="center"/>
              <w:rPr>
                <w:rFonts w:hint="eastAsia" w:eastAsia="宋体" w:asciiTheme="minorEastAsia" w:hAnsiTheme="minorEastAsia" w:cstheme="minorEastAsia"/>
                <w:color w:val="auto"/>
                <w:szCs w:val="21"/>
                <w:highlight w:val="none"/>
                <w:lang w:eastAsia="zh-CN"/>
              </w:rPr>
            </w:pPr>
            <w:r>
              <w:rPr>
                <w:rFonts w:hint="eastAsia" w:asciiTheme="minorEastAsia" w:hAnsiTheme="minorEastAsia" w:cstheme="minorEastAsia"/>
                <w:color w:val="auto"/>
                <w:szCs w:val="21"/>
                <w:highlight w:val="none"/>
                <w:lang w:val="en-US" w:eastAsia="zh-CN"/>
              </w:rPr>
              <w:t>4</w:t>
            </w:r>
          </w:p>
        </w:tc>
      </w:tr>
    </w:tbl>
    <w:p>
      <w:pPr>
        <w:spacing w:line="288" w:lineRule="auto"/>
        <w:jc w:val="center"/>
        <w:rPr>
          <w:rFonts w:ascii="宋体" w:hAnsi="宋体"/>
          <w:b/>
          <w:color w:val="auto"/>
          <w:sz w:val="24"/>
          <w:highlight w:val="none"/>
        </w:rPr>
      </w:pPr>
    </w:p>
    <w:p>
      <w:pPr>
        <w:spacing w:line="480" w:lineRule="auto"/>
        <w:rPr>
          <w:rStyle w:val="27"/>
          <w:rFonts w:ascii="宋体" w:hAnsi="宋体"/>
          <w:b/>
          <w:color w:val="auto"/>
          <w:sz w:val="24"/>
          <w:highlight w:val="none"/>
        </w:rPr>
      </w:pPr>
      <w:r>
        <w:rPr>
          <w:rStyle w:val="27"/>
          <w:rFonts w:hint="eastAsia" w:ascii="宋体" w:hAnsi="宋体"/>
          <w:b/>
          <w:color w:val="auto"/>
          <w:sz w:val="24"/>
          <w:highlight w:val="none"/>
        </w:rPr>
        <w:t>评标委员签名：                                   日期：  年   月   日</w:t>
      </w:r>
    </w:p>
    <w:p>
      <w:pPr>
        <w:rPr>
          <w:rFonts w:ascii="宋体" w:hAnsi="宋体"/>
          <w:b/>
          <w:color w:val="auto"/>
          <w:sz w:val="32"/>
          <w:szCs w:val="20"/>
          <w:highlight w:val="none"/>
        </w:rPr>
      </w:pPr>
      <w:bookmarkStart w:id="109" w:name="_Toc30106"/>
      <w:r>
        <w:rPr>
          <w:rFonts w:hint="eastAsia" w:ascii="宋体" w:hAnsi="宋体"/>
          <w:b/>
          <w:color w:val="auto"/>
          <w:sz w:val="32"/>
          <w:szCs w:val="20"/>
          <w:highlight w:val="none"/>
        </w:rPr>
        <w:br w:type="page"/>
      </w:r>
    </w:p>
    <w:p>
      <w:pPr>
        <w:tabs>
          <w:tab w:val="left" w:pos="720"/>
        </w:tabs>
        <w:snapToGrid w:val="0"/>
        <w:spacing w:line="460" w:lineRule="exact"/>
        <w:jc w:val="center"/>
        <w:outlineLvl w:val="1"/>
        <w:rPr>
          <w:rFonts w:ascii="宋体" w:hAnsi="宋体"/>
          <w:b/>
          <w:color w:val="auto"/>
          <w:sz w:val="32"/>
          <w:szCs w:val="20"/>
          <w:highlight w:val="none"/>
        </w:rPr>
      </w:pPr>
      <w:bookmarkStart w:id="110" w:name="_Toc31486"/>
      <w:r>
        <w:rPr>
          <w:rFonts w:hint="eastAsia" w:ascii="宋体" w:hAnsi="宋体"/>
          <w:b/>
          <w:color w:val="auto"/>
          <w:sz w:val="32"/>
          <w:szCs w:val="20"/>
          <w:highlight w:val="none"/>
        </w:rPr>
        <w:t>附表五 商务文件评分表（60分）</w:t>
      </w:r>
      <w:bookmarkEnd w:id="109"/>
      <w:bookmarkEnd w:id="110"/>
    </w:p>
    <w:tbl>
      <w:tblPr>
        <w:tblStyle w:val="23"/>
        <w:tblpPr w:leftFromText="180" w:rightFromText="180" w:vertAnchor="text" w:horzAnchor="page" w:tblpXSpec="center" w:tblpY="561"/>
        <w:tblOverlap w:val="never"/>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2"/>
        <w:gridCol w:w="694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blHeader/>
          <w:jc w:val="center"/>
        </w:trPr>
        <w:tc>
          <w:tcPr>
            <w:tcW w:w="1008" w:type="dxa"/>
            <w:vMerge w:val="restart"/>
            <w:shd w:val="clear" w:color="auto" w:fill="auto"/>
            <w:vAlign w:val="center"/>
          </w:tcPr>
          <w:p>
            <w:pPr>
              <w:spacing w:line="240" w:lineRule="auto"/>
              <w:jc w:val="center"/>
              <w:rPr>
                <w:b/>
                <w:bCs/>
                <w:color w:val="auto"/>
                <w:sz w:val="24"/>
                <w:highlight w:val="none"/>
              </w:rPr>
            </w:pPr>
            <w:r>
              <w:rPr>
                <w:rFonts w:hint="eastAsia"/>
                <w:b/>
                <w:bCs/>
                <w:color w:val="auto"/>
                <w:sz w:val="24"/>
                <w:highlight w:val="none"/>
              </w:rPr>
              <w:t>类别</w:t>
            </w:r>
          </w:p>
        </w:tc>
        <w:tc>
          <w:tcPr>
            <w:tcW w:w="902" w:type="dxa"/>
            <w:vMerge w:val="restart"/>
            <w:shd w:val="clear" w:color="auto" w:fill="auto"/>
            <w:vAlign w:val="center"/>
          </w:tcPr>
          <w:p>
            <w:pPr>
              <w:spacing w:line="240" w:lineRule="auto"/>
              <w:rPr>
                <w:rFonts w:hint="eastAsia"/>
                <w:b/>
                <w:bCs/>
                <w:color w:val="auto"/>
                <w:sz w:val="24"/>
                <w:highlight w:val="none"/>
              </w:rPr>
            </w:pPr>
            <w:r>
              <w:rPr>
                <w:rFonts w:hint="eastAsia"/>
                <w:b/>
                <w:bCs/>
                <w:color w:val="auto"/>
                <w:sz w:val="24"/>
                <w:highlight w:val="none"/>
              </w:rPr>
              <w:t>分项</w:t>
            </w:r>
          </w:p>
          <w:p>
            <w:pPr>
              <w:spacing w:line="240" w:lineRule="auto"/>
              <w:rPr>
                <w:b/>
                <w:bCs/>
                <w:color w:val="auto"/>
                <w:sz w:val="24"/>
                <w:highlight w:val="none"/>
              </w:rPr>
            </w:pPr>
            <w:r>
              <w:rPr>
                <w:rFonts w:hint="eastAsia"/>
                <w:b/>
                <w:bCs/>
                <w:color w:val="auto"/>
                <w:sz w:val="24"/>
                <w:highlight w:val="none"/>
              </w:rPr>
              <w:t>内容</w:t>
            </w:r>
          </w:p>
        </w:tc>
        <w:tc>
          <w:tcPr>
            <w:tcW w:w="6947" w:type="dxa"/>
            <w:vMerge w:val="restart"/>
            <w:shd w:val="clear" w:color="auto" w:fill="auto"/>
            <w:vAlign w:val="center"/>
          </w:tcPr>
          <w:p>
            <w:pPr>
              <w:spacing w:line="240" w:lineRule="auto"/>
              <w:jc w:val="center"/>
              <w:rPr>
                <w:b/>
                <w:bCs/>
                <w:color w:val="auto"/>
                <w:sz w:val="24"/>
                <w:highlight w:val="none"/>
              </w:rPr>
            </w:pPr>
            <w:r>
              <w:rPr>
                <w:rFonts w:hint="eastAsia"/>
                <w:b/>
                <w:bCs/>
                <w:color w:val="auto"/>
                <w:sz w:val="24"/>
                <w:highlight w:val="none"/>
              </w:rPr>
              <w:t>评分标准</w:t>
            </w:r>
          </w:p>
        </w:tc>
        <w:tc>
          <w:tcPr>
            <w:tcW w:w="461" w:type="dxa"/>
            <w:vMerge w:val="restart"/>
            <w:shd w:val="clear" w:color="auto" w:fill="auto"/>
            <w:vAlign w:val="center"/>
          </w:tcPr>
          <w:p>
            <w:pPr>
              <w:spacing w:line="240" w:lineRule="auto"/>
              <w:rPr>
                <w:b/>
                <w:bCs/>
                <w:color w:val="auto"/>
                <w:sz w:val="24"/>
                <w:highlight w:val="none"/>
              </w:rPr>
            </w:pPr>
            <w:r>
              <w:rPr>
                <w:rFonts w:hint="eastAsia"/>
                <w:b/>
                <w:bCs/>
                <w:color w:val="auto"/>
                <w:sz w:val="24"/>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008" w:type="dxa"/>
            <w:vMerge w:val="continue"/>
            <w:shd w:val="clear" w:color="auto" w:fill="auto"/>
            <w:vAlign w:val="center"/>
          </w:tcPr>
          <w:p>
            <w:pPr>
              <w:spacing w:line="240" w:lineRule="auto"/>
              <w:rPr>
                <w:color w:val="auto"/>
                <w:sz w:val="24"/>
                <w:highlight w:val="none"/>
              </w:rPr>
            </w:pPr>
          </w:p>
        </w:tc>
        <w:tc>
          <w:tcPr>
            <w:tcW w:w="902" w:type="dxa"/>
            <w:vMerge w:val="continue"/>
            <w:shd w:val="clear" w:color="auto" w:fill="auto"/>
            <w:vAlign w:val="center"/>
          </w:tcPr>
          <w:p>
            <w:pPr>
              <w:spacing w:line="240" w:lineRule="auto"/>
              <w:rPr>
                <w:color w:val="auto"/>
                <w:sz w:val="24"/>
                <w:highlight w:val="none"/>
              </w:rPr>
            </w:pPr>
          </w:p>
        </w:tc>
        <w:tc>
          <w:tcPr>
            <w:tcW w:w="6947" w:type="dxa"/>
            <w:vMerge w:val="continue"/>
            <w:shd w:val="clear" w:color="auto" w:fill="auto"/>
            <w:vAlign w:val="center"/>
          </w:tcPr>
          <w:p>
            <w:pPr>
              <w:spacing w:line="240" w:lineRule="auto"/>
              <w:rPr>
                <w:color w:val="auto"/>
                <w:sz w:val="24"/>
                <w:highlight w:val="none"/>
              </w:rPr>
            </w:pPr>
          </w:p>
        </w:tc>
        <w:tc>
          <w:tcPr>
            <w:tcW w:w="461" w:type="dxa"/>
            <w:vMerge w:val="continue"/>
            <w:shd w:val="clear" w:color="auto" w:fill="auto"/>
            <w:vAlign w:val="center"/>
          </w:tcPr>
          <w:p>
            <w:pPr>
              <w:spacing w:line="24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shd w:val="clear" w:color="auto" w:fill="auto"/>
            <w:vAlign w:val="center"/>
          </w:tcPr>
          <w:p>
            <w:pPr>
              <w:spacing w:line="240" w:lineRule="auto"/>
              <w:jc w:val="center"/>
              <w:rPr>
                <w:rFonts w:hint="eastAsia"/>
                <w:b/>
                <w:bCs/>
                <w:color w:val="auto"/>
                <w:kern w:val="0"/>
                <w:sz w:val="21"/>
                <w:szCs w:val="21"/>
                <w:highlight w:val="none"/>
                <w:shd w:val="clear" w:color="auto" w:fill="FFFFFF" w:themeFill="background1"/>
              </w:rPr>
            </w:pPr>
            <w:r>
              <w:rPr>
                <w:rFonts w:hint="eastAsia"/>
                <w:b/>
                <w:bCs/>
                <w:color w:val="auto"/>
                <w:kern w:val="0"/>
                <w:sz w:val="21"/>
                <w:szCs w:val="21"/>
                <w:highlight w:val="none"/>
                <w:shd w:val="clear" w:color="auto" w:fill="FFFFFF" w:themeFill="background1"/>
              </w:rPr>
              <w:t>商务</w:t>
            </w:r>
          </w:p>
          <w:p>
            <w:pPr>
              <w:spacing w:line="240" w:lineRule="auto"/>
              <w:jc w:val="center"/>
              <w:rPr>
                <w:b/>
                <w:bCs/>
                <w:color w:val="auto"/>
                <w:kern w:val="0"/>
                <w:sz w:val="21"/>
                <w:szCs w:val="21"/>
                <w:highlight w:val="none"/>
                <w:shd w:val="clear" w:color="auto" w:fill="FFFFFF" w:themeFill="background1"/>
              </w:rPr>
            </w:pPr>
            <w:r>
              <w:rPr>
                <w:rFonts w:hint="eastAsia"/>
                <w:b/>
                <w:bCs/>
                <w:color w:val="auto"/>
                <w:kern w:val="0"/>
                <w:sz w:val="21"/>
                <w:szCs w:val="21"/>
                <w:highlight w:val="none"/>
                <w:shd w:val="clear" w:color="auto" w:fill="FFFFFF" w:themeFill="background1"/>
                <w:lang w:val="en-US" w:eastAsia="zh-CN"/>
              </w:rPr>
              <w:t>文件</w:t>
            </w:r>
            <w:r>
              <w:rPr>
                <w:rFonts w:hint="eastAsia"/>
                <w:b/>
                <w:bCs/>
                <w:color w:val="auto"/>
                <w:kern w:val="0"/>
                <w:sz w:val="21"/>
                <w:szCs w:val="21"/>
                <w:highlight w:val="none"/>
                <w:shd w:val="clear" w:color="auto" w:fill="FFFFFF" w:themeFill="background1"/>
              </w:rPr>
              <w:t>（50</w:t>
            </w:r>
            <w:r>
              <w:rPr>
                <w:rFonts w:hint="eastAsia"/>
                <w:b/>
                <w:bCs/>
                <w:color w:val="auto"/>
                <w:kern w:val="0"/>
                <w:sz w:val="21"/>
                <w:szCs w:val="21"/>
                <w:highlight w:val="none"/>
                <w:shd w:val="clear" w:color="auto" w:fill="FFFFFF" w:themeFill="background1"/>
                <w:lang w:val="en-US" w:eastAsia="zh-CN"/>
              </w:rPr>
              <w:t>分</w:t>
            </w:r>
            <w:r>
              <w:rPr>
                <w:rFonts w:hint="eastAsia"/>
                <w:b/>
                <w:bCs/>
                <w:color w:val="auto"/>
                <w:kern w:val="0"/>
                <w:sz w:val="21"/>
                <w:szCs w:val="21"/>
                <w:highlight w:val="none"/>
                <w:shd w:val="clear" w:color="auto" w:fill="FFFFFF" w:themeFill="background1"/>
              </w:rPr>
              <w:t>）</w:t>
            </w:r>
          </w:p>
          <w:p>
            <w:pPr>
              <w:spacing w:line="240" w:lineRule="auto"/>
              <w:jc w:val="center"/>
              <w:rPr>
                <w:b/>
                <w:bCs/>
                <w:color w:val="auto"/>
                <w:kern w:val="0"/>
                <w:sz w:val="24"/>
                <w:highlight w:val="none"/>
                <w:shd w:val="clear" w:color="auto" w:fill="FFFFFF" w:themeFill="background1"/>
              </w:rPr>
            </w:pPr>
          </w:p>
          <w:p>
            <w:pPr>
              <w:spacing w:line="240" w:lineRule="auto"/>
              <w:jc w:val="center"/>
              <w:rPr>
                <w:b/>
                <w:bCs/>
                <w:color w:val="auto"/>
                <w:kern w:val="0"/>
                <w:sz w:val="24"/>
                <w:highlight w:val="none"/>
                <w:shd w:val="clear" w:color="auto" w:fill="FFFFFF" w:themeFill="background1"/>
              </w:rPr>
            </w:pPr>
          </w:p>
          <w:p>
            <w:pPr>
              <w:spacing w:line="240" w:lineRule="auto"/>
              <w:jc w:val="center"/>
              <w:rPr>
                <w:b/>
                <w:bCs/>
                <w:color w:val="auto"/>
                <w:kern w:val="0"/>
                <w:sz w:val="24"/>
                <w:highlight w:val="none"/>
                <w:shd w:val="clear" w:color="auto" w:fill="FFFFFF" w:themeFill="background1"/>
              </w:rPr>
            </w:pPr>
          </w:p>
          <w:p>
            <w:pPr>
              <w:spacing w:line="240" w:lineRule="auto"/>
              <w:jc w:val="center"/>
              <w:rPr>
                <w:rFonts w:ascii="宋体" w:hAnsi="宋体"/>
                <w:color w:val="auto"/>
                <w:sz w:val="24"/>
                <w:highlight w:val="none"/>
              </w:rPr>
            </w:pPr>
          </w:p>
        </w:tc>
        <w:tc>
          <w:tcPr>
            <w:tcW w:w="902" w:type="dxa"/>
            <w:vMerge w:val="restart"/>
            <w:shd w:val="clear" w:color="auto" w:fill="auto"/>
            <w:vAlign w:val="center"/>
          </w:tcPr>
          <w:p>
            <w:pPr>
              <w:spacing w:line="240" w:lineRule="auto"/>
              <w:rPr>
                <w:rFonts w:hint="eastAsia"/>
                <w:color w:val="auto"/>
                <w:sz w:val="21"/>
                <w:szCs w:val="21"/>
                <w:highlight w:val="none"/>
              </w:rPr>
            </w:pPr>
            <w:r>
              <w:rPr>
                <w:rFonts w:hint="eastAsia"/>
                <w:color w:val="auto"/>
                <w:sz w:val="21"/>
                <w:szCs w:val="21"/>
                <w:highlight w:val="none"/>
              </w:rPr>
              <w:t>企业</w:t>
            </w:r>
          </w:p>
          <w:p>
            <w:pPr>
              <w:spacing w:line="240" w:lineRule="auto"/>
              <w:rPr>
                <w:rFonts w:hint="eastAsia"/>
                <w:color w:val="auto"/>
                <w:sz w:val="21"/>
                <w:szCs w:val="21"/>
                <w:highlight w:val="none"/>
              </w:rPr>
            </w:pPr>
            <w:r>
              <w:rPr>
                <w:rFonts w:hint="eastAsia"/>
                <w:color w:val="auto"/>
                <w:sz w:val="21"/>
                <w:szCs w:val="21"/>
                <w:highlight w:val="none"/>
                <w:lang w:val="en-US" w:eastAsia="zh-CN"/>
              </w:rPr>
              <w:t>荣</w:t>
            </w:r>
            <w:r>
              <w:rPr>
                <w:rFonts w:hint="eastAsia"/>
                <w:color w:val="auto"/>
                <w:sz w:val="21"/>
                <w:szCs w:val="21"/>
                <w:highlight w:val="none"/>
              </w:rPr>
              <w:t>誉</w:t>
            </w:r>
          </w:p>
          <w:p>
            <w:pPr>
              <w:spacing w:line="240" w:lineRule="auto"/>
              <w:rPr>
                <w:color w:val="auto"/>
                <w:sz w:val="24"/>
                <w:highlight w:val="none"/>
              </w:rPr>
            </w:pPr>
            <w:r>
              <w:rPr>
                <w:rFonts w:hint="eastAsia"/>
                <w:color w:val="auto"/>
                <w:sz w:val="21"/>
                <w:szCs w:val="21"/>
                <w:highlight w:val="none"/>
                <w:lang w:val="en-US" w:eastAsia="zh-CN"/>
              </w:rPr>
              <w:t>(</w:t>
            </w:r>
            <w:r>
              <w:rPr>
                <w:rFonts w:hint="eastAsia"/>
                <w:color w:val="auto"/>
                <w:sz w:val="21"/>
                <w:szCs w:val="21"/>
                <w:highlight w:val="none"/>
              </w:rPr>
              <w:t>1</w:t>
            </w:r>
            <w:r>
              <w:rPr>
                <w:color w:val="auto"/>
                <w:sz w:val="21"/>
                <w:szCs w:val="21"/>
                <w:highlight w:val="none"/>
              </w:rPr>
              <w:t>4</w:t>
            </w:r>
            <w:r>
              <w:rPr>
                <w:rFonts w:hint="eastAsia"/>
                <w:color w:val="auto"/>
                <w:sz w:val="21"/>
                <w:szCs w:val="21"/>
                <w:highlight w:val="none"/>
                <w:lang w:val="en-US" w:eastAsia="zh-CN"/>
              </w:rPr>
              <w:t>分</w:t>
            </w:r>
            <w:r>
              <w:rPr>
                <w:rFonts w:hint="eastAsia"/>
                <w:color w:val="auto"/>
                <w:sz w:val="21"/>
                <w:szCs w:val="21"/>
                <w:highlight w:val="none"/>
              </w:rPr>
              <w:t>）</w:t>
            </w:r>
          </w:p>
        </w:tc>
        <w:tc>
          <w:tcPr>
            <w:tcW w:w="6947" w:type="dxa"/>
            <w:shd w:val="clear" w:color="auto" w:fill="auto"/>
            <w:vAlign w:val="center"/>
          </w:tcPr>
          <w:p>
            <w:pPr>
              <w:spacing w:line="240" w:lineRule="auto"/>
              <w:jc w:val="left"/>
              <w:rPr>
                <w:rFonts w:ascii="宋体" w:hAnsi="宋体" w:cs="宋体"/>
                <w:color w:val="auto"/>
                <w:szCs w:val="21"/>
                <w:highlight w:val="none"/>
              </w:rPr>
            </w:pPr>
            <w:r>
              <w:rPr>
                <w:rFonts w:hint="eastAsia" w:ascii="宋体" w:hAnsi="宋体" w:cs="宋体"/>
                <w:color w:val="auto"/>
                <w:szCs w:val="21"/>
                <w:highlight w:val="none"/>
              </w:rPr>
              <w:t>投标人（独立体或联合体主办方）荣获住房城乡建设部颁发的“全国先进工程勘察设计企业”称号的，得3分；荣获省住房城乡建设厅颁发的“省级先进工程勘察设计企业”称号的，得 1 分。</w:t>
            </w:r>
          </w:p>
          <w:p>
            <w:pPr>
              <w:spacing w:line="24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本项最高得3分</w:t>
            </w:r>
            <w:r>
              <w:rPr>
                <w:rFonts w:hint="eastAsia" w:ascii="宋体" w:hAnsi="宋体" w:cs="宋体"/>
                <w:color w:val="auto"/>
                <w:szCs w:val="21"/>
                <w:highlight w:val="none"/>
                <w:lang w:eastAsia="zh-CN"/>
              </w:rPr>
              <w:t>。</w:t>
            </w:r>
          </w:p>
          <w:p>
            <w:pPr>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提供相关证明文件复印件</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加盖投标人（独立体或联合体主办方）公章</w:t>
            </w:r>
            <w:r>
              <w:rPr>
                <w:rFonts w:hint="eastAsia" w:ascii="宋体" w:hAnsi="宋体" w:cs="宋体"/>
                <w:color w:val="auto"/>
                <w:szCs w:val="21"/>
                <w:highlight w:val="none"/>
                <w:lang w:eastAsia="zh-CN"/>
              </w:rPr>
              <w:t>。</w:t>
            </w:r>
          </w:p>
        </w:tc>
        <w:tc>
          <w:tcPr>
            <w:tcW w:w="461" w:type="dxa"/>
            <w:shd w:val="clear" w:color="auto" w:fill="auto"/>
            <w:vAlign w:val="center"/>
          </w:tcPr>
          <w:p>
            <w:pPr>
              <w:spacing w:line="240" w:lineRule="auto"/>
              <w:jc w:val="center"/>
              <w:rPr>
                <w:color w:val="auto"/>
                <w:sz w:val="24"/>
                <w:highlight w:val="none"/>
              </w:rPr>
            </w:pPr>
            <w:r>
              <w:rPr>
                <w:rFonts w:hint="eastAsia"/>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1008" w:type="dxa"/>
            <w:vMerge w:val="continue"/>
            <w:shd w:val="clear" w:color="auto" w:fill="auto"/>
            <w:vAlign w:val="center"/>
          </w:tcPr>
          <w:p>
            <w:pPr>
              <w:spacing w:line="240" w:lineRule="auto"/>
              <w:jc w:val="center"/>
              <w:rPr>
                <w:rFonts w:ascii="宋体" w:hAnsi="宋体"/>
                <w:color w:val="auto"/>
                <w:sz w:val="24"/>
                <w:highlight w:val="none"/>
              </w:rPr>
            </w:pPr>
          </w:p>
        </w:tc>
        <w:tc>
          <w:tcPr>
            <w:tcW w:w="902" w:type="dxa"/>
            <w:vMerge w:val="continue"/>
            <w:shd w:val="clear" w:color="auto" w:fill="auto"/>
            <w:vAlign w:val="center"/>
          </w:tcPr>
          <w:p>
            <w:pPr>
              <w:spacing w:line="240" w:lineRule="auto"/>
              <w:rPr>
                <w:color w:val="auto"/>
                <w:sz w:val="24"/>
                <w:highlight w:val="none"/>
              </w:rPr>
            </w:pPr>
          </w:p>
        </w:tc>
        <w:tc>
          <w:tcPr>
            <w:tcW w:w="6947" w:type="dxa"/>
            <w:shd w:val="clear" w:color="auto" w:fill="auto"/>
            <w:vAlign w:val="center"/>
          </w:tcPr>
          <w:p>
            <w:pPr>
              <w:spacing w:line="24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投标人（独立体或联合体主办方）具有省级（或以上）市政行业协会颁发的5A级等级证书（企业信用等级证书）的得3分,具备4A级的得2分，具备3A级的得1分，其余不得分。本项最高得3分</w:t>
            </w:r>
            <w:r>
              <w:rPr>
                <w:rFonts w:hint="eastAsia" w:ascii="宋体" w:hAnsi="宋体" w:cs="宋体"/>
                <w:color w:val="auto"/>
                <w:szCs w:val="21"/>
                <w:highlight w:val="none"/>
                <w:lang w:eastAsia="zh-CN"/>
              </w:rPr>
              <w:t>。</w:t>
            </w:r>
          </w:p>
          <w:p>
            <w:pPr>
              <w:spacing w:line="240" w:lineRule="auto"/>
              <w:rPr>
                <w:rFonts w:ascii="宋体" w:hAnsi="宋体" w:cs="宋体"/>
                <w:color w:val="auto"/>
                <w:szCs w:val="21"/>
                <w:highlight w:val="none"/>
              </w:rPr>
            </w:pPr>
            <w:r>
              <w:rPr>
                <w:rFonts w:hint="eastAsia" w:ascii="宋体" w:hAnsi="宋体" w:cs="宋体"/>
                <w:color w:val="auto"/>
                <w:szCs w:val="21"/>
                <w:highlight w:val="none"/>
              </w:rPr>
              <w:t>提供相关资质证书复印件</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加盖投标人（独立体或联合体主办方）公章。</w:t>
            </w:r>
          </w:p>
        </w:tc>
        <w:tc>
          <w:tcPr>
            <w:tcW w:w="461" w:type="dxa"/>
            <w:shd w:val="clear" w:color="auto" w:fill="auto"/>
            <w:vAlign w:val="center"/>
          </w:tcPr>
          <w:p>
            <w:pPr>
              <w:spacing w:line="240" w:lineRule="auto"/>
              <w:jc w:val="center"/>
              <w:rPr>
                <w:color w:val="auto"/>
                <w:sz w:val="24"/>
                <w:highlight w:val="none"/>
              </w:rPr>
            </w:pPr>
            <w:r>
              <w:rPr>
                <w:rFonts w:hint="eastAsia"/>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9" w:hRule="atLeast"/>
          <w:jc w:val="center"/>
        </w:trPr>
        <w:tc>
          <w:tcPr>
            <w:tcW w:w="1008" w:type="dxa"/>
            <w:vMerge w:val="continue"/>
            <w:shd w:val="clear" w:color="auto" w:fill="auto"/>
            <w:vAlign w:val="center"/>
          </w:tcPr>
          <w:p>
            <w:pPr>
              <w:spacing w:line="240" w:lineRule="auto"/>
              <w:jc w:val="center"/>
              <w:rPr>
                <w:rFonts w:ascii="宋体" w:hAnsi="宋体"/>
                <w:color w:val="auto"/>
                <w:sz w:val="24"/>
                <w:highlight w:val="none"/>
              </w:rPr>
            </w:pPr>
          </w:p>
        </w:tc>
        <w:tc>
          <w:tcPr>
            <w:tcW w:w="902" w:type="dxa"/>
            <w:vMerge w:val="continue"/>
            <w:shd w:val="clear" w:color="auto" w:fill="auto"/>
            <w:vAlign w:val="center"/>
          </w:tcPr>
          <w:p>
            <w:pPr>
              <w:spacing w:line="240" w:lineRule="auto"/>
              <w:rPr>
                <w:color w:val="auto"/>
                <w:sz w:val="24"/>
                <w:highlight w:val="none"/>
              </w:rPr>
            </w:pPr>
          </w:p>
        </w:tc>
        <w:tc>
          <w:tcPr>
            <w:tcW w:w="6947" w:type="dxa"/>
            <w:shd w:val="clear" w:color="auto" w:fill="auto"/>
            <w:vAlign w:val="center"/>
          </w:tcPr>
          <w:p>
            <w:pPr>
              <w:spacing w:line="240" w:lineRule="auto"/>
              <w:jc w:val="left"/>
              <w:rPr>
                <w:rFonts w:ascii="宋体" w:hAnsi="宋体" w:cs="宋体"/>
                <w:color w:val="auto"/>
                <w:szCs w:val="21"/>
                <w:highlight w:val="none"/>
              </w:rPr>
            </w:pPr>
            <w:r>
              <w:rPr>
                <w:rFonts w:hint="eastAsia" w:ascii="宋体" w:hAnsi="宋体" w:cs="宋体"/>
                <w:color w:val="auto"/>
                <w:szCs w:val="21"/>
                <w:highlight w:val="none"/>
              </w:rPr>
              <w:t>投标人（独立体或联合体主办方）具有研究中心获得省级（或以上）工程技术研究中心认定资格的，每提供一个得1</w:t>
            </w:r>
            <w:r>
              <w:rPr>
                <w:rFonts w:ascii="宋体" w:hAnsi="宋体" w:cs="宋体"/>
                <w:color w:val="auto"/>
                <w:szCs w:val="21"/>
                <w:highlight w:val="none"/>
              </w:rPr>
              <w:t>.5</w:t>
            </w:r>
            <w:r>
              <w:rPr>
                <w:rFonts w:hint="eastAsia" w:ascii="宋体" w:hAnsi="宋体" w:cs="宋体"/>
                <w:color w:val="auto"/>
                <w:szCs w:val="21"/>
                <w:highlight w:val="none"/>
              </w:rPr>
              <w:t>分，本项最高得3分。</w:t>
            </w:r>
          </w:p>
          <w:p>
            <w:pPr>
              <w:spacing w:line="240" w:lineRule="auto"/>
              <w:jc w:val="left"/>
              <w:rPr>
                <w:rFonts w:ascii="宋体" w:hAnsi="宋体" w:cs="宋体"/>
                <w:color w:val="auto"/>
                <w:szCs w:val="21"/>
                <w:highlight w:val="none"/>
              </w:rPr>
            </w:pPr>
            <w:r>
              <w:rPr>
                <w:rFonts w:hint="eastAsia" w:ascii="宋体" w:hAnsi="宋体" w:cs="宋体"/>
                <w:color w:val="auto"/>
                <w:szCs w:val="21"/>
                <w:highlight w:val="none"/>
              </w:rPr>
              <w:t>提供相关主管部门颁发的证书或相关公告公示复印件，加盖投标人（独立体或联合体</w:t>
            </w:r>
            <w:r>
              <w:rPr>
                <w:rFonts w:hint="eastAsia" w:ascii="宋体" w:hAnsi="宋体" w:cs="宋体"/>
                <w:color w:val="auto"/>
                <w:szCs w:val="21"/>
                <w:highlight w:val="none"/>
                <w:lang w:val="en-US" w:eastAsia="zh-CN"/>
              </w:rPr>
              <w:t>主办</w:t>
            </w:r>
            <w:r>
              <w:rPr>
                <w:rFonts w:hint="eastAsia" w:ascii="宋体" w:hAnsi="宋体" w:cs="宋体"/>
                <w:color w:val="auto"/>
                <w:szCs w:val="21"/>
                <w:highlight w:val="none"/>
              </w:rPr>
              <w:t>方）公章。</w:t>
            </w:r>
          </w:p>
        </w:tc>
        <w:tc>
          <w:tcPr>
            <w:tcW w:w="461" w:type="dxa"/>
            <w:shd w:val="clear" w:color="auto" w:fill="auto"/>
            <w:vAlign w:val="center"/>
          </w:tcPr>
          <w:p>
            <w:pPr>
              <w:spacing w:line="240" w:lineRule="auto"/>
              <w:jc w:val="center"/>
              <w:rPr>
                <w:color w:val="auto"/>
                <w:sz w:val="24"/>
                <w:highlight w:val="none"/>
              </w:rPr>
            </w:pPr>
            <w:r>
              <w:rPr>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08" w:type="dxa"/>
            <w:vMerge w:val="continue"/>
            <w:shd w:val="clear" w:color="auto" w:fill="auto"/>
            <w:vAlign w:val="center"/>
          </w:tcPr>
          <w:p>
            <w:pPr>
              <w:spacing w:line="240" w:lineRule="auto"/>
              <w:jc w:val="center"/>
              <w:rPr>
                <w:rFonts w:ascii="宋体" w:hAnsi="宋体"/>
                <w:color w:val="auto"/>
                <w:sz w:val="24"/>
                <w:highlight w:val="none"/>
              </w:rPr>
            </w:pPr>
          </w:p>
        </w:tc>
        <w:tc>
          <w:tcPr>
            <w:tcW w:w="902" w:type="dxa"/>
            <w:vMerge w:val="continue"/>
            <w:shd w:val="clear" w:color="auto" w:fill="auto"/>
            <w:vAlign w:val="center"/>
          </w:tcPr>
          <w:p>
            <w:pPr>
              <w:spacing w:line="240" w:lineRule="auto"/>
              <w:rPr>
                <w:color w:val="auto"/>
                <w:sz w:val="24"/>
                <w:highlight w:val="none"/>
              </w:rPr>
            </w:pPr>
          </w:p>
        </w:tc>
        <w:tc>
          <w:tcPr>
            <w:tcW w:w="6947" w:type="dxa"/>
            <w:shd w:val="clear" w:color="auto" w:fill="auto"/>
            <w:vAlign w:val="center"/>
          </w:tcPr>
          <w:p>
            <w:pPr>
              <w:spacing w:line="24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投标人（独立体或联合体主办方）荣获全国建筑设计行业诚信单位证书得2分。</w:t>
            </w:r>
            <w:r>
              <w:rPr>
                <w:rFonts w:hint="eastAsia" w:ascii="宋体" w:hAnsi="宋体" w:cs="宋体"/>
                <w:color w:val="auto"/>
                <w:szCs w:val="21"/>
                <w:highlight w:val="none"/>
                <w:lang w:val="en-US" w:eastAsia="zh-CN"/>
              </w:rPr>
              <w:t>无不得分。</w:t>
            </w:r>
          </w:p>
          <w:p>
            <w:pPr>
              <w:spacing w:line="240" w:lineRule="auto"/>
              <w:jc w:val="left"/>
              <w:rPr>
                <w:rFonts w:ascii="宋体" w:hAnsi="宋体" w:cs="宋体"/>
                <w:color w:val="auto"/>
                <w:szCs w:val="21"/>
                <w:highlight w:val="none"/>
              </w:rPr>
            </w:pPr>
            <w:r>
              <w:rPr>
                <w:rFonts w:hint="eastAsia" w:ascii="宋体" w:hAnsi="宋体" w:cs="宋体"/>
                <w:color w:val="auto"/>
                <w:szCs w:val="21"/>
                <w:highlight w:val="none"/>
              </w:rPr>
              <w:t>提供相关证明文件复印件并加盖投标人（独立体或联合体主办方）公章。</w:t>
            </w:r>
          </w:p>
        </w:tc>
        <w:tc>
          <w:tcPr>
            <w:tcW w:w="461" w:type="dxa"/>
            <w:shd w:val="clear" w:color="auto" w:fill="auto"/>
            <w:vAlign w:val="center"/>
          </w:tcPr>
          <w:p>
            <w:pPr>
              <w:spacing w:line="240" w:lineRule="auto"/>
              <w:jc w:val="center"/>
              <w:rPr>
                <w:color w:val="auto"/>
                <w:sz w:val="24"/>
                <w:highlight w:val="none"/>
              </w:rPr>
            </w:pPr>
            <w:r>
              <w:rPr>
                <w:rFonts w:hint="eastAsia"/>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2" w:hRule="atLeast"/>
          <w:jc w:val="center"/>
        </w:trPr>
        <w:tc>
          <w:tcPr>
            <w:tcW w:w="1008" w:type="dxa"/>
            <w:vMerge w:val="continue"/>
            <w:shd w:val="clear" w:color="auto" w:fill="auto"/>
            <w:vAlign w:val="center"/>
          </w:tcPr>
          <w:p>
            <w:pPr>
              <w:spacing w:line="240" w:lineRule="auto"/>
              <w:jc w:val="center"/>
              <w:rPr>
                <w:rFonts w:ascii="宋体" w:hAnsi="宋体"/>
                <w:color w:val="auto"/>
                <w:sz w:val="24"/>
                <w:highlight w:val="none"/>
              </w:rPr>
            </w:pPr>
          </w:p>
        </w:tc>
        <w:tc>
          <w:tcPr>
            <w:tcW w:w="902" w:type="dxa"/>
            <w:vMerge w:val="continue"/>
            <w:shd w:val="clear" w:color="auto" w:fill="auto"/>
            <w:vAlign w:val="center"/>
          </w:tcPr>
          <w:p>
            <w:pPr>
              <w:spacing w:line="240" w:lineRule="auto"/>
              <w:rPr>
                <w:color w:val="auto"/>
                <w:sz w:val="24"/>
                <w:highlight w:val="none"/>
              </w:rPr>
            </w:pPr>
          </w:p>
        </w:tc>
        <w:tc>
          <w:tcPr>
            <w:tcW w:w="6947" w:type="dxa"/>
            <w:shd w:val="clear" w:color="auto" w:fill="auto"/>
            <w:vAlign w:val="center"/>
          </w:tcPr>
          <w:p>
            <w:pPr>
              <w:spacing w:line="24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人（独立体或联合体主办方）获得工商行政主管部门颁发的具有有效期的“守合同重信用企业”荣誉证连续20年及以上守合同重信用，得3分；连续15年守合同重信用，得2分；连续10年守合同重信用，得1分；其余不得分。本项最高得3分</w:t>
            </w:r>
            <w:r>
              <w:rPr>
                <w:rFonts w:hint="eastAsia" w:ascii="宋体" w:hAnsi="宋体" w:cs="宋体"/>
                <w:color w:val="auto"/>
                <w:szCs w:val="21"/>
                <w:highlight w:val="none"/>
                <w:lang w:eastAsia="zh-CN"/>
              </w:rPr>
              <w:t>。</w:t>
            </w:r>
          </w:p>
          <w:p>
            <w:pPr>
              <w:spacing w:line="240" w:lineRule="auto"/>
              <w:jc w:val="left"/>
              <w:rPr>
                <w:rFonts w:ascii="宋体" w:hAnsi="宋体" w:cs="宋体"/>
                <w:color w:val="auto"/>
                <w:szCs w:val="21"/>
                <w:highlight w:val="none"/>
              </w:rPr>
            </w:pPr>
            <w:r>
              <w:rPr>
                <w:rFonts w:hint="eastAsia" w:ascii="宋体" w:hAnsi="宋体" w:cs="宋体"/>
                <w:color w:val="auto"/>
                <w:szCs w:val="21"/>
                <w:highlight w:val="none"/>
              </w:rPr>
              <w:t>提供相关证书复印件并加盖投标人（独立体或联合体</w:t>
            </w:r>
            <w:r>
              <w:rPr>
                <w:rFonts w:hint="eastAsia" w:ascii="宋体" w:hAnsi="宋体" w:cs="宋体"/>
                <w:color w:val="auto"/>
                <w:szCs w:val="21"/>
                <w:highlight w:val="none"/>
                <w:lang w:val="en-US" w:eastAsia="zh-CN"/>
              </w:rPr>
              <w:t>主办</w:t>
            </w:r>
            <w:r>
              <w:rPr>
                <w:rFonts w:hint="eastAsia" w:ascii="宋体" w:hAnsi="宋体" w:cs="宋体"/>
                <w:color w:val="auto"/>
                <w:szCs w:val="21"/>
                <w:highlight w:val="none"/>
              </w:rPr>
              <w:t>方）公章。</w:t>
            </w:r>
          </w:p>
        </w:tc>
        <w:tc>
          <w:tcPr>
            <w:tcW w:w="461" w:type="dxa"/>
            <w:shd w:val="clear" w:color="auto" w:fill="auto"/>
            <w:vAlign w:val="center"/>
          </w:tcPr>
          <w:p>
            <w:pPr>
              <w:spacing w:line="240" w:lineRule="auto"/>
              <w:jc w:val="center"/>
              <w:rPr>
                <w:color w:val="auto"/>
                <w:sz w:val="24"/>
                <w:highlight w:val="none"/>
              </w:rPr>
            </w:pPr>
            <w:r>
              <w:rPr>
                <w:rFonts w:hint="eastAsia"/>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008" w:type="dxa"/>
            <w:vMerge w:val="continue"/>
            <w:shd w:val="clear" w:color="auto" w:fill="auto"/>
            <w:vAlign w:val="center"/>
          </w:tcPr>
          <w:p>
            <w:pPr>
              <w:spacing w:line="240" w:lineRule="auto"/>
              <w:jc w:val="center"/>
              <w:rPr>
                <w:rFonts w:ascii="宋体" w:hAnsi="宋体"/>
                <w:color w:val="auto"/>
                <w:sz w:val="24"/>
                <w:highlight w:val="none"/>
              </w:rPr>
            </w:pPr>
          </w:p>
        </w:tc>
        <w:tc>
          <w:tcPr>
            <w:tcW w:w="902" w:type="dxa"/>
            <w:vMerge w:val="restart"/>
            <w:shd w:val="clear" w:color="auto" w:fill="auto"/>
            <w:vAlign w:val="center"/>
          </w:tcPr>
          <w:p>
            <w:pPr>
              <w:spacing w:line="240" w:lineRule="auto"/>
              <w:rPr>
                <w:rFonts w:hint="eastAsia"/>
                <w:color w:val="auto"/>
                <w:sz w:val="21"/>
                <w:szCs w:val="21"/>
                <w:lang w:val="en-US" w:eastAsia="zh-CN"/>
              </w:rPr>
            </w:pPr>
            <w:r>
              <w:rPr>
                <w:rFonts w:hint="eastAsia"/>
                <w:color w:val="auto"/>
                <w:sz w:val="21"/>
                <w:szCs w:val="21"/>
                <w:lang w:val="en-US" w:eastAsia="zh-CN"/>
              </w:rPr>
              <w:t>企业</w:t>
            </w:r>
          </w:p>
          <w:p>
            <w:pPr>
              <w:spacing w:line="240" w:lineRule="auto"/>
              <w:rPr>
                <w:rFonts w:hint="eastAsia"/>
                <w:color w:val="auto"/>
                <w:sz w:val="21"/>
                <w:szCs w:val="21"/>
                <w:lang w:val="en-US" w:eastAsia="zh-CN"/>
              </w:rPr>
            </w:pPr>
            <w:r>
              <w:rPr>
                <w:rFonts w:hint="eastAsia"/>
                <w:color w:val="auto"/>
                <w:sz w:val="21"/>
                <w:szCs w:val="21"/>
                <w:lang w:val="en-US" w:eastAsia="zh-CN"/>
              </w:rPr>
              <w:t>实力</w:t>
            </w:r>
          </w:p>
          <w:p>
            <w:pPr>
              <w:pStyle w:val="2"/>
              <w:spacing w:line="240" w:lineRule="auto"/>
              <w:ind w:left="0" w:leftChars="0" w:firstLine="0" w:firstLineChars="0"/>
              <w:rPr>
                <w:rFonts w:hint="default"/>
                <w:color w:val="auto"/>
                <w:lang w:val="en-US" w:eastAsia="zh-CN"/>
              </w:rPr>
            </w:pPr>
            <w:r>
              <w:rPr>
                <w:rFonts w:hint="eastAsia"/>
                <w:color w:val="auto"/>
                <w:sz w:val="21"/>
                <w:szCs w:val="21"/>
                <w:highlight w:val="none"/>
                <w:lang w:val="en-US" w:eastAsia="zh-CN"/>
              </w:rPr>
              <w:t>(24分)</w:t>
            </w:r>
          </w:p>
        </w:tc>
        <w:tc>
          <w:tcPr>
            <w:tcW w:w="6947" w:type="dxa"/>
            <w:shd w:val="clear" w:color="auto" w:fill="auto"/>
            <w:vAlign w:val="center"/>
          </w:tcPr>
          <w:p>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投标人（独立体或联合体主办方）自201</w:t>
            </w:r>
            <w:r>
              <w:rPr>
                <w:rFonts w:ascii="宋体" w:hAnsi="宋体" w:cs="宋体"/>
                <w:color w:val="auto"/>
                <w:szCs w:val="21"/>
                <w:highlight w:val="none"/>
              </w:rPr>
              <w:t>8</w:t>
            </w:r>
            <w:r>
              <w:rPr>
                <w:rFonts w:hint="eastAsia" w:ascii="宋体" w:hAnsi="宋体" w:cs="宋体"/>
                <w:color w:val="auto"/>
                <w:szCs w:val="21"/>
                <w:highlight w:val="none"/>
              </w:rPr>
              <w:t>年1月1日以来承担设计的类似工程（项目）</w:t>
            </w:r>
          </w:p>
          <w:p>
            <w:pPr>
              <w:numPr>
                <w:ilvl w:val="0"/>
                <w:numId w:val="0"/>
              </w:num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类似工程（项目）获得国家级奖项的，每项得2分，本项最</w:t>
            </w:r>
            <w:r>
              <w:rPr>
                <w:rFonts w:hint="eastAsia" w:ascii="宋体" w:hAnsi="宋体" w:cs="宋体"/>
                <w:color w:val="auto"/>
                <w:szCs w:val="21"/>
                <w:highlight w:val="none"/>
                <w:lang w:val="en-US" w:eastAsia="zh-CN"/>
              </w:rPr>
              <w:t>多</w:t>
            </w:r>
            <w:r>
              <w:rPr>
                <w:rFonts w:hint="eastAsia" w:ascii="宋体" w:hAnsi="宋体" w:cs="宋体"/>
                <w:color w:val="auto"/>
                <w:szCs w:val="21"/>
                <w:highlight w:val="none"/>
              </w:rPr>
              <w:t>得</w:t>
            </w:r>
            <w:r>
              <w:rPr>
                <w:rFonts w:ascii="宋体" w:hAnsi="宋体" w:cs="宋体"/>
                <w:color w:val="auto"/>
                <w:szCs w:val="21"/>
                <w:highlight w:val="none"/>
              </w:rPr>
              <w:t>8</w:t>
            </w:r>
            <w:r>
              <w:rPr>
                <w:rFonts w:hint="eastAsia" w:ascii="宋体" w:hAnsi="宋体" w:cs="宋体"/>
                <w:color w:val="auto"/>
                <w:szCs w:val="21"/>
                <w:highlight w:val="none"/>
              </w:rPr>
              <w:t>分；</w:t>
            </w:r>
          </w:p>
          <w:p>
            <w:pPr>
              <w:numPr>
                <w:ilvl w:val="0"/>
                <w:numId w:val="0"/>
              </w:numPr>
              <w:spacing w:line="24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类似工程（项目）获得省（部）级奖项的，每项得1分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本项最</w:t>
            </w:r>
            <w:r>
              <w:rPr>
                <w:rFonts w:hint="eastAsia" w:ascii="宋体" w:hAnsi="宋体" w:cs="宋体"/>
                <w:color w:val="auto"/>
                <w:szCs w:val="21"/>
                <w:highlight w:val="none"/>
                <w:lang w:val="en-US" w:eastAsia="zh-CN"/>
              </w:rPr>
              <w:t>多</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numPr>
                <w:ilvl w:val="0"/>
                <w:numId w:val="0"/>
              </w:numPr>
              <w:spacing w:line="240" w:lineRule="auto"/>
              <w:jc w:val="left"/>
              <w:rPr>
                <w:rFonts w:ascii="宋体" w:hAnsi="宋体" w:cs="宋体"/>
                <w:color w:val="auto"/>
                <w:szCs w:val="21"/>
                <w:highlight w:val="none"/>
              </w:rPr>
            </w:pPr>
            <w:r>
              <w:rPr>
                <w:rFonts w:hint="eastAsia" w:ascii="宋体" w:hAnsi="宋体" w:cs="宋体"/>
                <w:color w:val="auto"/>
                <w:szCs w:val="21"/>
                <w:highlight w:val="none"/>
              </w:rPr>
              <w:t>本项</w:t>
            </w:r>
            <w:r>
              <w:rPr>
                <w:rFonts w:hint="eastAsia" w:ascii="宋体" w:hAnsi="宋体" w:cs="宋体"/>
                <w:color w:val="auto"/>
                <w:szCs w:val="21"/>
                <w:highlight w:val="none"/>
                <w:lang w:val="en-US" w:eastAsia="zh-CN"/>
              </w:rPr>
              <w:t>满分</w:t>
            </w:r>
            <w:r>
              <w:rPr>
                <w:rFonts w:ascii="宋体" w:hAnsi="宋体" w:cs="宋体"/>
                <w:color w:val="auto"/>
                <w:szCs w:val="21"/>
                <w:highlight w:val="none"/>
              </w:rPr>
              <w:t>8</w:t>
            </w:r>
            <w:r>
              <w:rPr>
                <w:rFonts w:hint="eastAsia" w:ascii="宋体" w:hAnsi="宋体" w:cs="宋体"/>
                <w:color w:val="auto"/>
                <w:szCs w:val="21"/>
                <w:highlight w:val="none"/>
              </w:rPr>
              <w:t>分。</w:t>
            </w:r>
          </w:p>
          <w:p>
            <w:pPr>
              <w:spacing w:line="240" w:lineRule="auto"/>
              <w:jc w:val="left"/>
              <w:rPr>
                <w:rFonts w:ascii="宋体" w:hAnsi="宋体" w:cs="宋体"/>
                <w:color w:val="auto"/>
                <w:szCs w:val="21"/>
                <w:highlight w:val="none"/>
              </w:rPr>
            </w:pPr>
            <w:r>
              <w:rPr>
                <w:rFonts w:hint="eastAsia" w:ascii="宋体" w:hAnsi="宋体" w:cs="宋体"/>
                <w:color w:val="auto"/>
                <w:szCs w:val="21"/>
                <w:highlight w:val="none"/>
              </w:rPr>
              <w:t>注: 1、同一项目获得多个奖项的，仅按最高奖项计取一次；需提供获奖证书或获奖正式文件复印件并加盖投标人（独立体或联合体</w:t>
            </w:r>
            <w:r>
              <w:rPr>
                <w:rFonts w:hint="eastAsia" w:ascii="宋体" w:hAnsi="宋体" w:cs="宋体"/>
                <w:color w:val="auto"/>
                <w:szCs w:val="21"/>
                <w:highlight w:val="none"/>
                <w:lang w:val="en-US" w:eastAsia="zh-CN"/>
              </w:rPr>
              <w:t>主办</w:t>
            </w:r>
            <w:r>
              <w:rPr>
                <w:rFonts w:hint="eastAsia" w:ascii="宋体" w:hAnsi="宋体" w:cs="宋体"/>
                <w:color w:val="auto"/>
                <w:szCs w:val="21"/>
                <w:highlight w:val="none"/>
              </w:rPr>
              <w:t>方）公章。时间以行业行政主管部门认可奖项的获奖证书或获奖正式文件颁发的时间为准。</w:t>
            </w:r>
          </w:p>
          <w:p>
            <w:pPr>
              <w:spacing w:line="240" w:lineRule="auto"/>
              <w:jc w:val="left"/>
              <w:rPr>
                <w:color w:val="auto"/>
                <w:sz w:val="24"/>
                <w:highlight w:val="none"/>
              </w:rPr>
            </w:pPr>
            <w:r>
              <w:rPr>
                <w:rFonts w:hint="eastAsia" w:ascii="宋体" w:hAnsi="宋体" w:cs="宋体"/>
                <w:color w:val="auto"/>
                <w:szCs w:val="21"/>
                <w:highlight w:val="none"/>
              </w:rPr>
              <w:t>2、类似工程（项目）指污水处理厂、污水（截污）管网等工程（项目）。</w:t>
            </w:r>
          </w:p>
        </w:tc>
        <w:tc>
          <w:tcPr>
            <w:tcW w:w="461" w:type="dxa"/>
            <w:shd w:val="clear" w:color="auto" w:fill="auto"/>
            <w:vAlign w:val="center"/>
          </w:tcPr>
          <w:p>
            <w:pPr>
              <w:spacing w:line="240" w:lineRule="auto"/>
              <w:jc w:val="center"/>
              <w:rPr>
                <w:color w:val="auto"/>
                <w:sz w:val="24"/>
                <w:highlight w:val="none"/>
              </w:rPr>
            </w:pPr>
            <w:r>
              <w:rPr>
                <w:color w:val="auto"/>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jc w:val="center"/>
        </w:trPr>
        <w:tc>
          <w:tcPr>
            <w:tcW w:w="1008" w:type="dxa"/>
            <w:vMerge w:val="continue"/>
            <w:shd w:val="clear" w:color="auto" w:fill="auto"/>
            <w:vAlign w:val="center"/>
          </w:tcPr>
          <w:p>
            <w:pPr>
              <w:spacing w:line="240" w:lineRule="auto"/>
              <w:rPr>
                <w:color w:val="auto"/>
                <w:sz w:val="24"/>
                <w:highlight w:val="none"/>
              </w:rPr>
            </w:pPr>
          </w:p>
        </w:tc>
        <w:tc>
          <w:tcPr>
            <w:tcW w:w="902" w:type="dxa"/>
            <w:vMerge w:val="continue"/>
            <w:shd w:val="clear" w:color="auto" w:fill="auto"/>
            <w:vAlign w:val="center"/>
          </w:tcPr>
          <w:p>
            <w:pPr>
              <w:spacing w:line="240" w:lineRule="auto"/>
              <w:rPr>
                <w:color w:val="auto"/>
                <w:sz w:val="24"/>
                <w:highlight w:val="none"/>
              </w:rPr>
            </w:pPr>
          </w:p>
        </w:tc>
        <w:tc>
          <w:tcPr>
            <w:tcW w:w="6947" w:type="dxa"/>
            <w:shd w:val="clear" w:color="auto" w:fill="auto"/>
            <w:vAlign w:val="center"/>
          </w:tcPr>
          <w:p>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投标人（独立体或联合体主办方）自201</w:t>
            </w:r>
            <w:r>
              <w:rPr>
                <w:rFonts w:ascii="宋体" w:hAnsi="宋体" w:cs="宋体"/>
                <w:color w:val="auto"/>
                <w:szCs w:val="21"/>
                <w:highlight w:val="none"/>
              </w:rPr>
              <w:t>8</w:t>
            </w:r>
            <w:r>
              <w:rPr>
                <w:rFonts w:hint="eastAsia" w:ascii="宋体" w:hAnsi="宋体" w:cs="宋体"/>
                <w:color w:val="auto"/>
                <w:szCs w:val="21"/>
                <w:highlight w:val="none"/>
              </w:rPr>
              <w:t>年1月1日以来设计类似工程（项目）</w:t>
            </w:r>
          </w:p>
          <w:p>
            <w:pPr>
              <w:numPr>
                <w:ilvl w:val="0"/>
                <w:numId w:val="6"/>
              </w:num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类似工程（项目）设计费≥</w:t>
            </w:r>
            <w:r>
              <w:rPr>
                <w:rFonts w:ascii="宋体" w:hAnsi="宋体" w:cs="宋体"/>
                <w:color w:val="auto"/>
                <w:szCs w:val="21"/>
                <w:highlight w:val="none"/>
              </w:rPr>
              <w:t>8</w:t>
            </w:r>
            <w:r>
              <w:rPr>
                <w:rFonts w:hint="eastAsia" w:ascii="宋体" w:hAnsi="宋体" w:cs="宋体"/>
                <w:color w:val="auto"/>
                <w:szCs w:val="21"/>
                <w:highlight w:val="none"/>
              </w:rPr>
              <w:t>00万元的每项得2分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本项最多得8分；</w:t>
            </w:r>
          </w:p>
          <w:p>
            <w:pPr>
              <w:numPr>
                <w:ilvl w:val="0"/>
                <w:numId w:val="6"/>
              </w:num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类似工程（项目）设计费≥</w:t>
            </w:r>
            <w:r>
              <w:rPr>
                <w:rFonts w:ascii="宋体" w:hAnsi="宋体" w:cs="宋体"/>
                <w:color w:val="auto"/>
                <w:szCs w:val="21"/>
                <w:highlight w:val="none"/>
              </w:rPr>
              <w:t>5</w:t>
            </w:r>
            <w:r>
              <w:rPr>
                <w:rFonts w:hint="eastAsia" w:ascii="宋体" w:hAnsi="宋体" w:cs="宋体"/>
                <w:color w:val="auto"/>
                <w:szCs w:val="21"/>
                <w:highlight w:val="none"/>
              </w:rPr>
              <w:t>00万元的每项得1.5分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本项最多得4.5分；</w:t>
            </w:r>
          </w:p>
          <w:p>
            <w:pPr>
              <w:numPr>
                <w:ilvl w:val="0"/>
                <w:numId w:val="6"/>
              </w:num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类似工程（项目）设计费≥</w:t>
            </w:r>
            <w:r>
              <w:rPr>
                <w:rFonts w:ascii="宋体" w:hAnsi="宋体" w:cs="宋体"/>
                <w:color w:val="auto"/>
                <w:szCs w:val="21"/>
                <w:highlight w:val="none"/>
              </w:rPr>
              <w:t>3</w:t>
            </w:r>
            <w:r>
              <w:rPr>
                <w:rFonts w:hint="eastAsia" w:ascii="宋体" w:hAnsi="宋体" w:cs="宋体"/>
                <w:color w:val="auto"/>
                <w:szCs w:val="21"/>
                <w:highlight w:val="none"/>
              </w:rPr>
              <w:t>00万元的每项得1分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本项最多得2分</w:t>
            </w:r>
            <w:r>
              <w:rPr>
                <w:rFonts w:hint="eastAsia" w:ascii="宋体" w:hAnsi="宋体" w:cs="宋体"/>
                <w:color w:val="auto"/>
                <w:szCs w:val="21"/>
                <w:highlight w:val="none"/>
              </w:rPr>
              <w:t>。</w:t>
            </w:r>
          </w:p>
          <w:p>
            <w:pPr>
              <w:spacing w:line="240" w:lineRule="auto"/>
              <w:jc w:val="left"/>
              <w:rPr>
                <w:rFonts w:ascii="宋体" w:hAnsi="宋体" w:cs="宋体"/>
                <w:color w:val="auto"/>
                <w:szCs w:val="21"/>
                <w:highlight w:val="none"/>
              </w:rPr>
            </w:pPr>
            <w:r>
              <w:rPr>
                <w:rFonts w:hint="eastAsia" w:ascii="宋体" w:hAnsi="宋体" w:cs="宋体"/>
                <w:color w:val="auto"/>
                <w:szCs w:val="21"/>
                <w:highlight w:val="none"/>
              </w:rPr>
              <w:t>本项</w:t>
            </w:r>
            <w:r>
              <w:rPr>
                <w:rFonts w:hint="eastAsia" w:ascii="宋体" w:hAnsi="宋体" w:cs="宋体"/>
                <w:color w:val="auto"/>
                <w:szCs w:val="21"/>
                <w:highlight w:val="none"/>
                <w:lang w:val="en-US" w:eastAsia="zh-CN"/>
              </w:rPr>
              <w:t>满分</w:t>
            </w:r>
            <w:r>
              <w:rPr>
                <w:rFonts w:ascii="宋体" w:hAnsi="宋体" w:cs="宋体"/>
                <w:color w:val="auto"/>
                <w:szCs w:val="21"/>
                <w:highlight w:val="none"/>
              </w:rPr>
              <w:t>8</w:t>
            </w:r>
            <w:r>
              <w:rPr>
                <w:rFonts w:hint="eastAsia" w:ascii="宋体" w:hAnsi="宋体" w:cs="宋体"/>
                <w:color w:val="auto"/>
                <w:szCs w:val="21"/>
                <w:highlight w:val="none"/>
              </w:rPr>
              <w:t>分。</w:t>
            </w:r>
          </w:p>
          <w:p>
            <w:pPr>
              <w:spacing w:line="240" w:lineRule="auto"/>
              <w:jc w:val="left"/>
              <w:rPr>
                <w:rFonts w:ascii="宋体" w:hAnsi="宋体" w:cs="宋体"/>
                <w:color w:val="auto"/>
                <w:szCs w:val="21"/>
                <w:highlight w:val="none"/>
              </w:rPr>
            </w:pPr>
            <w:r>
              <w:rPr>
                <w:rFonts w:hint="eastAsia" w:ascii="宋体" w:hAnsi="宋体" w:cs="宋体"/>
                <w:color w:val="auto"/>
                <w:szCs w:val="21"/>
                <w:highlight w:val="none"/>
              </w:rPr>
              <w:t>注: 1、须提供合同协议书(含合同封面、能说明合同内容的关键页，合同金额页及签字盖章页)并加盖投标人（独立体或联合体</w:t>
            </w:r>
            <w:r>
              <w:rPr>
                <w:rFonts w:hint="eastAsia" w:ascii="宋体" w:hAnsi="宋体" w:cs="宋体"/>
                <w:color w:val="auto"/>
                <w:szCs w:val="21"/>
                <w:highlight w:val="none"/>
                <w:lang w:val="en-US" w:eastAsia="zh-CN"/>
              </w:rPr>
              <w:t>主办</w:t>
            </w:r>
            <w:r>
              <w:rPr>
                <w:rFonts w:hint="eastAsia" w:ascii="宋体" w:hAnsi="宋体" w:cs="宋体"/>
                <w:color w:val="auto"/>
                <w:szCs w:val="21"/>
                <w:highlight w:val="none"/>
              </w:rPr>
              <w:t>方）公章，时间以合同签订日期为准。</w:t>
            </w:r>
          </w:p>
          <w:p>
            <w:pPr>
              <w:spacing w:line="240" w:lineRule="auto"/>
              <w:jc w:val="left"/>
              <w:rPr>
                <w:color w:val="auto"/>
                <w:sz w:val="24"/>
                <w:highlight w:val="none"/>
              </w:rPr>
            </w:pPr>
            <w:r>
              <w:rPr>
                <w:rFonts w:hint="eastAsia" w:ascii="宋体" w:hAnsi="宋体" w:cs="宋体"/>
                <w:color w:val="auto"/>
                <w:szCs w:val="21"/>
                <w:highlight w:val="none"/>
              </w:rPr>
              <w:t>2、类似工程（项目）指污水处理厂、污水（截污）管网等工程（项目）。</w:t>
            </w:r>
          </w:p>
        </w:tc>
        <w:tc>
          <w:tcPr>
            <w:tcW w:w="461" w:type="dxa"/>
            <w:shd w:val="clear" w:color="auto" w:fill="auto"/>
            <w:vAlign w:val="center"/>
          </w:tcPr>
          <w:p>
            <w:pPr>
              <w:spacing w:line="240" w:lineRule="auto"/>
              <w:jc w:val="center"/>
              <w:rPr>
                <w:color w:val="auto"/>
                <w:sz w:val="24"/>
                <w:highlight w:val="none"/>
              </w:rPr>
            </w:pPr>
            <w:r>
              <w:rPr>
                <w:color w:val="auto"/>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jc w:val="center"/>
        </w:trPr>
        <w:tc>
          <w:tcPr>
            <w:tcW w:w="1008" w:type="dxa"/>
            <w:vMerge w:val="continue"/>
            <w:shd w:val="clear" w:color="auto" w:fill="auto"/>
            <w:vAlign w:val="center"/>
          </w:tcPr>
          <w:p>
            <w:pPr>
              <w:spacing w:line="240" w:lineRule="auto"/>
              <w:rPr>
                <w:color w:val="auto"/>
                <w:sz w:val="24"/>
                <w:highlight w:val="none"/>
              </w:rPr>
            </w:pPr>
          </w:p>
        </w:tc>
        <w:tc>
          <w:tcPr>
            <w:tcW w:w="902" w:type="dxa"/>
            <w:vMerge w:val="continue"/>
            <w:shd w:val="clear" w:color="auto" w:fill="auto"/>
            <w:vAlign w:val="center"/>
          </w:tcPr>
          <w:p>
            <w:pPr>
              <w:spacing w:line="240" w:lineRule="auto"/>
              <w:rPr>
                <w:color w:val="auto"/>
                <w:sz w:val="24"/>
                <w:highlight w:val="none"/>
              </w:rPr>
            </w:pPr>
          </w:p>
        </w:tc>
        <w:tc>
          <w:tcPr>
            <w:tcW w:w="6947" w:type="dxa"/>
            <w:shd w:val="clear" w:color="auto" w:fill="auto"/>
            <w:vAlign w:val="center"/>
          </w:tcPr>
          <w:p>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投标人（独立体或联合体成员）自201</w:t>
            </w:r>
            <w:r>
              <w:rPr>
                <w:rFonts w:ascii="宋体" w:hAnsi="宋体" w:cs="宋体"/>
                <w:color w:val="auto"/>
                <w:szCs w:val="21"/>
                <w:highlight w:val="none"/>
              </w:rPr>
              <w:t>8</w:t>
            </w:r>
            <w:r>
              <w:rPr>
                <w:rFonts w:hint="eastAsia" w:ascii="宋体" w:hAnsi="宋体" w:cs="宋体"/>
                <w:color w:val="auto"/>
                <w:szCs w:val="21"/>
                <w:highlight w:val="none"/>
              </w:rPr>
              <w:t>年1月1日以来工程勘察类似工程（项目）</w:t>
            </w:r>
          </w:p>
          <w:p>
            <w:pPr>
              <w:numPr>
                <w:ilvl w:val="0"/>
                <w:numId w:val="7"/>
              </w:num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类似工程（项目）勘察费≥</w:t>
            </w:r>
            <w:r>
              <w:rPr>
                <w:rFonts w:ascii="宋体" w:hAnsi="宋体" w:cs="宋体"/>
                <w:color w:val="auto"/>
                <w:szCs w:val="21"/>
                <w:highlight w:val="none"/>
              </w:rPr>
              <w:t>5</w:t>
            </w:r>
            <w:r>
              <w:rPr>
                <w:rFonts w:hint="eastAsia" w:ascii="宋体" w:hAnsi="宋体" w:cs="宋体"/>
                <w:color w:val="auto"/>
                <w:szCs w:val="21"/>
                <w:highlight w:val="none"/>
              </w:rPr>
              <w:t>00万元的每项得2分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本项最多得8分</w:t>
            </w:r>
            <w:r>
              <w:rPr>
                <w:rFonts w:hint="eastAsia" w:ascii="宋体" w:hAnsi="宋体" w:cs="宋体"/>
                <w:color w:val="auto"/>
                <w:szCs w:val="21"/>
                <w:highlight w:val="none"/>
              </w:rPr>
              <w:t>；</w:t>
            </w:r>
          </w:p>
          <w:p>
            <w:pPr>
              <w:numPr>
                <w:ilvl w:val="0"/>
                <w:numId w:val="7"/>
              </w:num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类似工程（项目）勘察费≥</w:t>
            </w:r>
            <w:r>
              <w:rPr>
                <w:rFonts w:ascii="宋体" w:hAnsi="宋体" w:cs="宋体"/>
                <w:color w:val="auto"/>
                <w:szCs w:val="21"/>
                <w:highlight w:val="none"/>
              </w:rPr>
              <w:t>3</w:t>
            </w:r>
            <w:r>
              <w:rPr>
                <w:rFonts w:hint="eastAsia" w:ascii="宋体" w:hAnsi="宋体" w:cs="宋体"/>
                <w:color w:val="auto"/>
                <w:szCs w:val="21"/>
                <w:highlight w:val="none"/>
              </w:rPr>
              <w:t>00万元的每项得1.5分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本项最多得4.5分</w:t>
            </w:r>
            <w:r>
              <w:rPr>
                <w:rFonts w:hint="eastAsia" w:ascii="宋体" w:hAnsi="宋体" w:cs="宋体"/>
                <w:color w:val="auto"/>
                <w:szCs w:val="21"/>
                <w:highlight w:val="none"/>
              </w:rPr>
              <w:t>；</w:t>
            </w:r>
          </w:p>
          <w:p>
            <w:pPr>
              <w:numPr>
                <w:ilvl w:val="0"/>
                <w:numId w:val="7"/>
              </w:num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类似工程（项目）勘察费≥</w:t>
            </w:r>
            <w:r>
              <w:rPr>
                <w:rFonts w:ascii="宋体" w:hAnsi="宋体" w:cs="宋体"/>
                <w:color w:val="auto"/>
                <w:szCs w:val="21"/>
                <w:highlight w:val="none"/>
              </w:rPr>
              <w:t>1</w:t>
            </w:r>
            <w:r>
              <w:rPr>
                <w:rFonts w:hint="eastAsia" w:ascii="宋体" w:hAnsi="宋体" w:cs="宋体"/>
                <w:color w:val="auto"/>
                <w:szCs w:val="21"/>
                <w:highlight w:val="none"/>
              </w:rPr>
              <w:t>00万元的每项得1分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本项最多得2分</w:t>
            </w:r>
            <w:r>
              <w:rPr>
                <w:rFonts w:hint="eastAsia" w:ascii="宋体" w:hAnsi="宋体" w:cs="宋体"/>
                <w:color w:val="auto"/>
                <w:szCs w:val="21"/>
                <w:highlight w:val="none"/>
              </w:rPr>
              <w:t>。</w:t>
            </w:r>
          </w:p>
          <w:p>
            <w:pPr>
              <w:spacing w:line="240" w:lineRule="auto"/>
              <w:jc w:val="left"/>
              <w:rPr>
                <w:rFonts w:ascii="宋体" w:hAnsi="宋体" w:cs="宋体"/>
                <w:color w:val="auto"/>
                <w:szCs w:val="21"/>
                <w:highlight w:val="none"/>
              </w:rPr>
            </w:pPr>
            <w:r>
              <w:rPr>
                <w:rFonts w:hint="eastAsia" w:ascii="宋体" w:hAnsi="宋体" w:cs="宋体"/>
                <w:color w:val="auto"/>
                <w:szCs w:val="21"/>
                <w:highlight w:val="none"/>
              </w:rPr>
              <w:t>本项最</w:t>
            </w:r>
            <w:r>
              <w:rPr>
                <w:rFonts w:hint="eastAsia" w:ascii="宋体" w:hAnsi="宋体" w:cs="宋体"/>
                <w:color w:val="auto"/>
                <w:szCs w:val="21"/>
                <w:highlight w:val="none"/>
                <w:lang w:val="en-US" w:eastAsia="zh-CN"/>
              </w:rPr>
              <w:t>高</w:t>
            </w:r>
            <w:r>
              <w:rPr>
                <w:rFonts w:hint="eastAsia" w:ascii="宋体" w:hAnsi="宋体" w:cs="宋体"/>
                <w:color w:val="auto"/>
                <w:szCs w:val="21"/>
                <w:highlight w:val="none"/>
              </w:rPr>
              <w:t>得</w:t>
            </w:r>
            <w:r>
              <w:rPr>
                <w:rFonts w:ascii="宋体" w:hAnsi="宋体" w:cs="宋体"/>
                <w:color w:val="auto"/>
                <w:szCs w:val="21"/>
                <w:highlight w:val="none"/>
              </w:rPr>
              <w:t>8</w:t>
            </w:r>
            <w:r>
              <w:rPr>
                <w:rFonts w:hint="eastAsia" w:ascii="宋体" w:hAnsi="宋体" w:cs="宋体"/>
                <w:color w:val="auto"/>
                <w:szCs w:val="21"/>
                <w:highlight w:val="none"/>
              </w:rPr>
              <w:t>分。</w:t>
            </w:r>
          </w:p>
          <w:p>
            <w:pPr>
              <w:spacing w:line="240" w:lineRule="auto"/>
              <w:jc w:val="left"/>
              <w:rPr>
                <w:rFonts w:ascii="宋体" w:hAnsi="宋体" w:cs="宋体"/>
                <w:color w:val="auto"/>
                <w:szCs w:val="21"/>
                <w:highlight w:val="none"/>
              </w:rPr>
            </w:pPr>
            <w:r>
              <w:rPr>
                <w:rFonts w:hint="eastAsia" w:ascii="宋体" w:hAnsi="宋体" w:cs="宋体"/>
                <w:color w:val="auto"/>
                <w:szCs w:val="21"/>
                <w:highlight w:val="none"/>
              </w:rPr>
              <w:t>注: 1、须提供合同协议书(含合同封面、能说明合同内容的关键页，合同金额页及签字盖章页)并加盖投标人（独立体或联合体</w:t>
            </w:r>
            <w:r>
              <w:rPr>
                <w:rFonts w:hint="eastAsia" w:ascii="宋体" w:hAnsi="宋体" w:cs="宋体"/>
                <w:color w:val="auto"/>
                <w:szCs w:val="21"/>
                <w:highlight w:val="none"/>
                <w:lang w:val="en-US" w:eastAsia="zh-CN"/>
              </w:rPr>
              <w:t>主办方</w:t>
            </w:r>
            <w:r>
              <w:rPr>
                <w:rFonts w:hint="eastAsia" w:ascii="宋体" w:hAnsi="宋体" w:cs="宋体"/>
                <w:color w:val="auto"/>
                <w:szCs w:val="21"/>
                <w:highlight w:val="none"/>
              </w:rPr>
              <w:t>）公章，时间以合同签订日期为准。</w:t>
            </w:r>
          </w:p>
          <w:p>
            <w:pPr>
              <w:spacing w:line="240" w:lineRule="auto"/>
              <w:jc w:val="left"/>
              <w:rPr>
                <w:rFonts w:ascii="宋体" w:hAnsi="宋体" w:cs="宋体"/>
                <w:color w:val="auto"/>
                <w:szCs w:val="21"/>
                <w:highlight w:val="none"/>
              </w:rPr>
            </w:pPr>
            <w:r>
              <w:rPr>
                <w:rFonts w:hint="eastAsia" w:ascii="宋体" w:hAnsi="宋体" w:cs="宋体"/>
                <w:color w:val="auto"/>
                <w:szCs w:val="21"/>
                <w:highlight w:val="none"/>
              </w:rPr>
              <w:t>2、类似工程（项目）指污水处理厂、污水（截污）管网等工程（项目）。</w:t>
            </w:r>
          </w:p>
        </w:tc>
        <w:tc>
          <w:tcPr>
            <w:tcW w:w="461" w:type="dxa"/>
            <w:shd w:val="clear" w:color="auto" w:fill="auto"/>
            <w:vAlign w:val="center"/>
          </w:tcPr>
          <w:p>
            <w:pPr>
              <w:spacing w:line="240" w:lineRule="auto"/>
              <w:jc w:val="center"/>
              <w:rPr>
                <w:color w:val="auto"/>
                <w:sz w:val="24"/>
                <w:highlight w:val="none"/>
              </w:rPr>
            </w:pPr>
            <w:r>
              <w:rPr>
                <w:rFonts w:hint="eastAsia"/>
                <w:color w:val="auto"/>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1008" w:type="dxa"/>
            <w:vMerge w:val="continue"/>
            <w:shd w:val="clear" w:color="auto" w:fill="auto"/>
            <w:vAlign w:val="center"/>
          </w:tcPr>
          <w:p>
            <w:pPr>
              <w:spacing w:line="240" w:lineRule="auto"/>
              <w:rPr>
                <w:color w:val="auto"/>
                <w:sz w:val="24"/>
                <w:highlight w:val="none"/>
              </w:rPr>
            </w:pPr>
          </w:p>
        </w:tc>
        <w:tc>
          <w:tcPr>
            <w:tcW w:w="902" w:type="dxa"/>
            <w:vMerge w:val="restart"/>
            <w:shd w:val="clear" w:color="auto" w:fill="auto"/>
            <w:vAlign w:val="center"/>
          </w:tcPr>
          <w:p>
            <w:pPr>
              <w:spacing w:line="240" w:lineRule="auto"/>
              <w:rPr>
                <w:rFonts w:hint="eastAsia"/>
                <w:color w:val="auto"/>
              </w:rPr>
            </w:pPr>
            <w:r>
              <w:rPr>
                <w:rFonts w:hint="eastAsia"/>
                <w:color w:val="auto"/>
              </w:rPr>
              <w:t>团队</w:t>
            </w:r>
          </w:p>
          <w:p>
            <w:pPr>
              <w:spacing w:line="240" w:lineRule="auto"/>
              <w:rPr>
                <w:rFonts w:hint="eastAsia"/>
                <w:color w:val="auto"/>
                <w:lang w:val="en-US" w:eastAsia="zh-CN"/>
              </w:rPr>
            </w:pPr>
            <w:r>
              <w:rPr>
                <w:rFonts w:hint="eastAsia"/>
                <w:color w:val="auto"/>
                <w:lang w:val="en-US" w:eastAsia="zh-CN"/>
              </w:rPr>
              <w:t>实力</w:t>
            </w:r>
          </w:p>
          <w:p>
            <w:pPr>
              <w:pStyle w:val="2"/>
              <w:spacing w:line="240" w:lineRule="auto"/>
              <w:ind w:left="0" w:leftChars="0" w:firstLine="0" w:firstLineChars="0"/>
              <w:rPr>
                <w:rFonts w:hint="default"/>
                <w:color w:val="auto"/>
                <w:lang w:val="en-US" w:eastAsia="zh-CN"/>
              </w:rPr>
            </w:pPr>
            <w:r>
              <w:rPr>
                <w:rFonts w:hint="eastAsia"/>
                <w:color w:val="auto"/>
                <w:lang w:val="en-US" w:eastAsia="zh-CN"/>
              </w:rPr>
              <w:t>(12分)</w:t>
            </w:r>
          </w:p>
        </w:tc>
        <w:tc>
          <w:tcPr>
            <w:tcW w:w="6947" w:type="dxa"/>
            <w:shd w:val="clear" w:color="auto" w:fill="auto"/>
            <w:vAlign w:val="center"/>
          </w:tcPr>
          <w:p>
            <w:pPr>
              <w:snapToGrid w:val="0"/>
              <w:spacing w:line="24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投标人（独立体或联合体成员）拟派的项目负责人具有给水排水设计专业正高级（教授级）工程师职称的，得3分；具有给水排水设计专业高级工程师职称的，得1分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本项最高得3分</w:t>
            </w:r>
            <w:r>
              <w:rPr>
                <w:rFonts w:hint="eastAsia" w:ascii="宋体" w:hAnsi="宋体" w:cs="宋体"/>
                <w:color w:val="auto"/>
                <w:szCs w:val="21"/>
                <w:highlight w:val="none"/>
                <w:lang w:eastAsia="zh-CN"/>
              </w:rPr>
              <w:t>。</w:t>
            </w:r>
          </w:p>
          <w:p>
            <w:pPr>
              <w:spacing w:line="240" w:lineRule="auto"/>
              <w:rPr>
                <w:rFonts w:ascii="宋体" w:hAnsi="宋体" w:cs="宋体"/>
                <w:color w:val="auto"/>
                <w:szCs w:val="21"/>
                <w:highlight w:val="none"/>
              </w:rPr>
            </w:pPr>
            <w:r>
              <w:rPr>
                <w:rFonts w:hint="eastAsia" w:ascii="宋体" w:hAnsi="宋体" w:cs="宋体"/>
                <w:color w:val="auto"/>
                <w:szCs w:val="21"/>
                <w:highlight w:val="none"/>
              </w:rPr>
              <w:t>注：人员须为本单位在职职工方有效（不含返聘），提供证书复印件和社保证明原件（扣除发布招标公告当月往前顺推3个月）并加盖投标人（独立体或联合体主办方）公章。不提供不得分。</w:t>
            </w:r>
          </w:p>
        </w:tc>
        <w:tc>
          <w:tcPr>
            <w:tcW w:w="461" w:type="dxa"/>
            <w:shd w:val="clear" w:color="auto" w:fill="auto"/>
            <w:vAlign w:val="center"/>
          </w:tcPr>
          <w:p>
            <w:pPr>
              <w:spacing w:line="240" w:lineRule="auto"/>
              <w:jc w:val="center"/>
              <w:rPr>
                <w:rFonts w:eastAsia="等线"/>
                <w:color w:val="auto"/>
                <w:kern w:val="0"/>
                <w:sz w:val="24"/>
                <w:highlight w:val="none"/>
                <w:shd w:val="clear" w:color="auto" w:fill="FFFFFF" w:themeFill="background1"/>
              </w:rPr>
            </w:pPr>
            <w:r>
              <w:rPr>
                <w:rFonts w:hint="eastAsia" w:eastAsia="等线"/>
                <w:color w:val="auto"/>
                <w:kern w:val="0"/>
                <w:sz w:val="24"/>
                <w:highlight w:val="none"/>
                <w:shd w:val="clear" w:color="auto" w:fill="FFFFFF" w:themeFill="background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atLeast"/>
          <w:jc w:val="center"/>
        </w:trPr>
        <w:tc>
          <w:tcPr>
            <w:tcW w:w="1008" w:type="dxa"/>
            <w:vMerge w:val="continue"/>
            <w:shd w:val="clear" w:color="auto" w:fill="auto"/>
            <w:vAlign w:val="center"/>
          </w:tcPr>
          <w:p>
            <w:pPr>
              <w:spacing w:line="240" w:lineRule="auto"/>
              <w:rPr>
                <w:color w:val="auto"/>
                <w:sz w:val="24"/>
                <w:highlight w:val="none"/>
              </w:rPr>
            </w:pPr>
          </w:p>
        </w:tc>
        <w:tc>
          <w:tcPr>
            <w:tcW w:w="902" w:type="dxa"/>
            <w:vMerge w:val="continue"/>
            <w:shd w:val="clear" w:color="auto" w:fill="auto"/>
            <w:vAlign w:val="center"/>
          </w:tcPr>
          <w:p>
            <w:pPr>
              <w:spacing w:line="240" w:lineRule="auto"/>
              <w:rPr>
                <w:color w:val="auto"/>
                <w:sz w:val="24"/>
                <w:highlight w:val="none"/>
              </w:rPr>
            </w:pPr>
          </w:p>
        </w:tc>
        <w:tc>
          <w:tcPr>
            <w:tcW w:w="6947" w:type="dxa"/>
            <w:shd w:val="clear" w:color="auto" w:fill="auto"/>
            <w:vAlign w:val="center"/>
          </w:tcPr>
          <w:p>
            <w:pPr>
              <w:snapToGrid w:val="0"/>
              <w:spacing w:line="240" w:lineRule="auto"/>
              <w:jc w:val="left"/>
              <w:rPr>
                <w:rFonts w:ascii="宋体" w:hAnsi="宋体" w:cs="宋体"/>
                <w:color w:val="auto"/>
                <w:sz w:val="21"/>
                <w:szCs w:val="21"/>
                <w:highlight w:val="none"/>
              </w:rPr>
            </w:pPr>
            <w:r>
              <w:rPr>
                <w:rFonts w:ascii="宋体" w:hAnsi="宋体" w:cs="宋体"/>
                <w:color w:val="auto"/>
                <w:sz w:val="21"/>
                <w:szCs w:val="21"/>
                <w:highlight w:val="none"/>
              </w:rPr>
              <w:t>除项目负责人以外，</w:t>
            </w:r>
            <w:r>
              <w:rPr>
                <w:rFonts w:hint="eastAsia" w:ascii="宋体" w:hAnsi="宋体" w:cs="宋体"/>
                <w:color w:val="auto"/>
                <w:sz w:val="21"/>
                <w:szCs w:val="21"/>
                <w:highlight w:val="none"/>
              </w:rPr>
              <w:t>投标人</w:t>
            </w:r>
            <w:r>
              <w:rPr>
                <w:rFonts w:hint="eastAsia"/>
                <w:color w:val="auto"/>
                <w:sz w:val="21"/>
                <w:szCs w:val="21"/>
                <w:highlight w:val="none"/>
              </w:rPr>
              <w:t>（独立体或联合体成员）</w:t>
            </w:r>
            <w:r>
              <w:rPr>
                <w:rFonts w:ascii="宋体" w:hAnsi="宋体" w:cs="宋体"/>
                <w:color w:val="auto"/>
                <w:sz w:val="21"/>
                <w:szCs w:val="21"/>
                <w:highlight w:val="none"/>
              </w:rPr>
              <w:t>拟在本项目的其他专业人员（不得互相兼任）：</w:t>
            </w:r>
          </w:p>
          <w:p>
            <w:pPr>
              <w:snapToGrid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1、给排水专业负责人：具有给水排水设计专业高级工程师或以上职称且具有注册公用设备工程师（给水排水）执业资格证的，得2分。</w:t>
            </w:r>
          </w:p>
          <w:p>
            <w:pPr>
              <w:snapToGrid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2、结构专业负责人：具有建筑结构设计专业高级工程师或以上职称且具有一级注册结构工程师执业资格的，得2分。</w:t>
            </w:r>
          </w:p>
          <w:p>
            <w:pPr>
              <w:snapToGrid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3、测量专业负责人：具有测量、测绘类高级工程师或以上职称且具有注册测绘师的，得2分。</w:t>
            </w:r>
          </w:p>
          <w:p>
            <w:pPr>
              <w:snapToGrid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4、勘察专业负责人：具有地质、岩土类高级工程师或以上职称且具有注册土木工程师（岩土）执业资格证的，得2分。</w:t>
            </w:r>
          </w:p>
          <w:p>
            <w:pPr>
              <w:snapToGrid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5、物探专业负责人：具有物探类高级工程师或以上职称的，得1分。本项最高得</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p>
            <w:pPr>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注：上述人员须为本单位在职职工方有效（不含返聘），提供证书复印件和社保证明原件（扣除发布招标公告当月往前顺推3个月）并加盖投标人（独立体或联合体</w:t>
            </w:r>
            <w:r>
              <w:rPr>
                <w:rFonts w:hint="eastAsia" w:ascii="宋体" w:hAnsi="宋体" w:cs="宋体"/>
                <w:color w:val="auto"/>
                <w:sz w:val="21"/>
                <w:szCs w:val="21"/>
                <w:highlight w:val="none"/>
                <w:lang w:val="en-US" w:eastAsia="zh-CN"/>
              </w:rPr>
              <w:t>主办方</w:t>
            </w:r>
            <w:r>
              <w:rPr>
                <w:rFonts w:hint="eastAsia" w:ascii="宋体" w:hAnsi="宋体" w:cs="宋体"/>
                <w:color w:val="auto"/>
                <w:sz w:val="21"/>
                <w:szCs w:val="21"/>
                <w:highlight w:val="none"/>
              </w:rPr>
              <w:t>）公章。</w:t>
            </w:r>
          </w:p>
        </w:tc>
        <w:tc>
          <w:tcPr>
            <w:tcW w:w="461" w:type="dxa"/>
            <w:shd w:val="clear" w:color="auto" w:fill="auto"/>
            <w:vAlign w:val="center"/>
          </w:tcPr>
          <w:p>
            <w:pPr>
              <w:spacing w:line="240" w:lineRule="auto"/>
              <w:jc w:val="center"/>
              <w:rPr>
                <w:rFonts w:eastAsia="等线"/>
                <w:color w:val="auto"/>
                <w:kern w:val="0"/>
                <w:sz w:val="24"/>
                <w:highlight w:val="none"/>
                <w:shd w:val="clear" w:color="auto" w:fill="FFFFFF" w:themeFill="background1"/>
              </w:rPr>
            </w:pPr>
            <w:r>
              <w:rPr>
                <w:rFonts w:hint="eastAsia" w:eastAsia="等线"/>
                <w:color w:val="auto"/>
                <w:kern w:val="0"/>
                <w:sz w:val="24"/>
                <w:highlight w:val="none"/>
                <w:shd w:val="clear" w:color="auto" w:fill="FFFFFF" w:themeFill="background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jc w:val="center"/>
        </w:trPr>
        <w:tc>
          <w:tcPr>
            <w:tcW w:w="1910" w:type="dxa"/>
            <w:gridSpan w:val="2"/>
            <w:shd w:val="clear" w:color="auto" w:fill="auto"/>
            <w:vAlign w:val="center"/>
          </w:tcPr>
          <w:p>
            <w:pPr>
              <w:spacing w:line="240" w:lineRule="auto"/>
              <w:rPr>
                <w:rFonts w:hint="eastAsia"/>
                <w:b/>
                <w:bCs/>
                <w:color w:val="auto"/>
                <w:sz w:val="24"/>
                <w:highlight w:val="none"/>
              </w:rPr>
            </w:pPr>
            <w:r>
              <w:rPr>
                <w:rFonts w:hint="eastAsia"/>
                <w:b/>
                <w:bCs/>
                <w:color w:val="auto"/>
                <w:sz w:val="24"/>
                <w:highlight w:val="none"/>
              </w:rPr>
              <w:t>投标报价</w:t>
            </w:r>
          </w:p>
          <w:p>
            <w:pPr>
              <w:spacing w:line="240" w:lineRule="auto"/>
              <w:rPr>
                <w:color w:val="auto"/>
                <w:sz w:val="24"/>
                <w:highlight w:val="none"/>
              </w:rPr>
            </w:pPr>
            <w:r>
              <w:rPr>
                <w:rFonts w:hint="eastAsia"/>
                <w:b/>
                <w:bCs/>
                <w:color w:val="auto"/>
                <w:sz w:val="24"/>
                <w:highlight w:val="none"/>
              </w:rPr>
              <w:t>（10分）</w:t>
            </w:r>
          </w:p>
        </w:tc>
        <w:tc>
          <w:tcPr>
            <w:tcW w:w="6947" w:type="dxa"/>
            <w:shd w:val="clear" w:color="auto" w:fill="auto"/>
            <w:vAlign w:val="center"/>
          </w:tcPr>
          <w:p>
            <w:pPr>
              <w:snapToGrid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（1）投标人根据自身条件核算成本，投价以投报下浮率。投标下浮率保留小数点后两位，第三位四舍五入。</w:t>
            </w:r>
          </w:p>
          <w:p>
            <w:pPr>
              <w:snapToGrid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（2）确定评标基准下浮率：</w:t>
            </w:r>
          </w:p>
          <w:p>
            <w:pPr>
              <w:snapToGrid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评标基准下浮率＝各投标人有效投标下浮率算术平均值。</w:t>
            </w:r>
          </w:p>
          <w:p>
            <w:pPr>
              <w:snapToGrid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（3）投标报价得分计算公式：</w:t>
            </w:r>
          </w:p>
          <w:p>
            <w:pPr>
              <w:snapToGrid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①投标下浮率＞评标基准下浮率，</w:t>
            </w:r>
          </w:p>
          <w:p>
            <w:pPr>
              <w:snapToGrid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则投标报价得分＝10-</w:t>
            </w:r>
            <w:r>
              <w:rPr>
                <w:rFonts w:hint="eastAsia" w:ascii="微软雅黑" w:hAnsi="微软雅黑" w:eastAsia="微软雅黑" w:cs="微软雅黑"/>
                <w:color w:val="auto"/>
                <w:sz w:val="21"/>
                <w:szCs w:val="21"/>
                <w:highlight w:val="none"/>
                <w:lang w:eastAsia="zh-CN"/>
              </w:rPr>
              <w:t>|</w:t>
            </w:r>
            <w:r>
              <w:rPr>
                <w:rFonts w:hint="eastAsia" w:ascii="宋体" w:hAnsi="宋体" w:cs="宋体"/>
                <w:color w:val="auto"/>
                <w:sz w:val="21"/>
                <w:szCs w:val="21"/>
                <w:highlight w:val="none"/>
              </w:rPr>
              <w:t>投标人投标下浮率-评标基准下浮率</w:t>
            </w:r>
            <w:r>
              <w:rPr>
                <w:rFonts w:hint="eastAsia" w:ascii="微软雅黑" w:hAnsi="微软雅黑" w:eastAsia="微软雅黑" w:cs="微软雅黑"/>
                <w:color w:val="auto"/>
                <w:sz w:val="21"/>
                <w:szCs w:val="21"/>
                <w:highlight w:val="none"/>
                <w:lang w:eastAsia="zh-CN"/>
              </w:rPr>
              <w:t>|</w:t>
            </w:r>
            <w:r>
              <w:rPr>
                <w:rFonts w:hint="eastAsia" w:ascii="宋体" w:hAnsi="宋体" w:cs="宋体"/>
                <w:color w:val="auto"/>
                <w:sz w:val="21"/>
                <w:szCs w:val="21"/>
                <w:highlight w:val="none"/>
              </w:rPr>
              <w:t>/评标基准下浮率×100×E1；</w:t>
            </w:r>
          </w:p>
          <w:p>
            <w:pPr>
              <w:snapToGrid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②投标下浮率≤评标基准下浮率，</w:t>
            </w:r>
          </w:p>
          <w:p>
            <w:pPr>
              <w:snapToGrid w:val="0"/>
              <w:spacing w:line="24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则投标报价得分＝10+</w:t>
            </w:r>
            <w:r>
              <w:rPr>
                <w:rFonts w:hint="eastAsia" w:ascii="微软雅黑" w:hAnsi="微软雅黑" w:eastAsia="微软雅黑" w:cs="微软雅黑"/>
                <w:color w:val="auto"/>
                <w:sz w:val="21"/>
                <w:szCs w:val="21"/>
                <w:highlight w:val="none"/>
                <w:lang w:eastAsia="zh-CN"/>
              </w:rPr>
              <w:t>|</w:t>
            </w:r>
            <w:r>
              <w:rPr>
                <w:rFonts w:hint="eastAsia" w:ascii="宋体" w:hAnsi="宋体" w:cs="宋体"/>
                <w:color w:val="auto"/>
                <w:sz w:val="21"/>
                <w:szCs w:val="21"/>
                <w:highlight w:val="none"/>
              </w:rPr>
              <w:t>投标人投标下浮率-评标基准下浮率</w:t>
            </w:r>
            <w:r>
              <w:rPr>
                <w:rFonts w:hint="eastAsia" w:ascii="微软雅黑" w:hAnsi="微软雅黑" w:eastAsia="微软雅黑" w:cs="微软雅黑"/>
                <w:color w:val="auto"/>
                <w:sz w:val="21"/>
                <w:szCs w:val="21"/>
                <w:highlight w:val="none"/>
                <w:lang w:eastAsia="zh-CN"/>
              </w:rPr>
              <w:t>|</w:t>
            </w:r>
            <w:r>
              <w:rPr>
                <w:rFonts w:hint="eastAsia" w:ascii="宋体" w:hAnsi="宋体" w:cs="宋体"/>
                <w:color w:val="auto"/>
                <w:sz w:val="21"/>
                <w:szCs w:val="21"/>
                <w:highlight w:val="none"/>
              </w:rPr>
              <w:t>/评标基准下浮率×100×E2；</w:t>
            </w:r>
          </w:p>
          <w:p>
            <w:pPr>
              <w:snapToGrid w:val="0"/>
              <w:spacing w:line="240" w:lineRule="auto"/>
              <w:jc w:val="left"/>
              <w:rPr>
                <w:color w:val="auto"/>
                <w:sz w:val="21"/>
                <w:szCs w:val="21"/>
                <w:highlight w:val="none"/>
              </w:rPr>
            </w:pPr>
            <w:r>
              <w:rPr>
                <w:rFonts w:hint="eastAsia" w:ascii="宋体" w:hAnsi="宋体" w:cs="宋体"/>
                <w:color w:val="auto"/>
                <w:sz w:val="21"/>
                <w:szCs w:val="21"/>
                <w:highlight w:val="none"/>
              </w:rPr>
              <w:t>其中，E1＝1是投标下浮率每高于评标基准下浮率1%时的扣分值；E2＝0.5是投标下浮率每低于评标基准下浮率1%的扣分值。</w:t>
            </w:r>
          </w:p>
        </w:tc>
        <w:tc>
          <w:tcPr>
            <w:tcW w:w="461" w:type="dxa"/>
            <w:shd w:val="clear" w:color="auto" w:fill="auto"/>
            <w:vAlign w:val="center"/>
          </w:tcPr>
          <w:p>
            <w:pPr>
              <w:spacing w:line="240" w:lineRule="auto"/>
              <w:jc w:val="center"/>
              <w:rPr>
                <w:rFonts w:ascii="宋体" w:hAnsi="宋体" w:eastAsia="等线"/>
                <w:color w:val="auto"/>
                <w:sz w:val="24"/>
                <w:highlight w:val="none"/>
              </w:rPr>
            </w:pPr>
            <w:r>
              <w:rPr>
                <w:rFonts w:hint="eastAsia" w:ascii="宋体" w:hAnsi="宋体" w:eastAsia="等线"/>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857" w:type="dxa"/>
            <w:gridSpan w:val="3"/>
            <w:shd w:val="clear" w:color="auto" w:fill="auto"/>
            <w:vAlign w:val="center"/>
          </w:tcPr>
          <w:p>
            <w:pPr>
              <w:spacing w:line="240" w:lineRule="auto"/>
              <w:jc w:val="center"/>
              <w:rPr>
                <w:rFonts w:ascii="宋体" w:hAnsi="宋体" w:eastAsia="等线"/>
                <w:color w:val="auto"/>
                <w:sz w:val="24"/>
                <w:highlight w:val="none"/>
              </w:rPr>
            </w:pPr>
            <w:r>
              <w:rPr>
                <w:rFonts w:hint="eastAsia" w:ascii="宋体" w:hAnsi="宋体" w:eastAsia="等线"/>
                <w:b/>
                <w:bCs/>
                <w:color w:val="auto"/>
                <w:sz w:val="24"/>
                <w:highlight w:val="none"/>
              </w:rPr>
              <w:t>合计</w:t>
            </w:r>
          </w:p>
        </w:tc>
        <w:tc>
          <w:tcPr>
            <w:tcW w:w="461" w:type="dxa"/>
            <w:shd w:val="clear" w:color="auto" w:fill="auto"/>
            <w:vAlign w:val="center"/>
          </w:tcPr>
          <w:p>
            <w:pPr>
              <w:spacing w:line="240" w:lineRule="auto"/>
              <w:jc w:val="center"/>
              <w:rPr>
                <w:rFonts w:ascii="宋体" w:hAnsi="宋体" w:eastAsia="等线"/>
                <w:color w:val="auto"/>
                <w:sz w:val="24"/>
                <w:highlight w:val="none"/>
              </w:rPr>
            </w:pPr>
            <w:r>
              <w:rPr>
                <w:rFonts w:hint="eastAsia" w:ascii="宋体" w:hAnsi="宋体" w:eastAsia="等线"/>
                <w:color w:val="auto"/>
                <w:sz w:val="24"/>
                <w:highlight w:val="none"/>
              </w:rPr>
              <w:t>60</w:t>
            </w:r>
          </w:p>
        </w:tc>
      </w:tr>
    </w:tbl>
    <w:p>
      <w:pPr>
        <w:snapToGrid w:val="0"/>
        <w:spacing w:line="380" w:lineRule="exact"/>
        <w:rPr>
          <w:rFonts w:ascii="宋体" w:hAnsi="宋体" w:cs="宋体"/>
          <w:b/>
          <w:bCs/>
          <w:color w:val="auto"/>
          <w:kern w:val="0"/>
          <w:szCs w:val="21"/>
          <w:highlight w:val="none"/>
          <w:shd w:val="clear" w:color="auto" w:fill="FFFFFF" w:themeFill="background1"/>
        </w:rPr>
      </w:pPr>
      <w:r>
        <w:rPr>
          <w:rFonts w:hint="eastAsia" w:ascii="宋体" w:hAnsi="宋体" w:cs="宋体"/>
          <w:b/>
          <w:bCs/>
          <w:color w:val="auto"/>
          <w:kern w:val="0"/>
          <w:szCs w:val="21"/>
          <w:highlight w:val="none"/>
          <w:shd w:val="clear" w:color="auto" w:fill="FFFFFF" w:themeFill="background1"/>
        </w:rPr>
        <w:t>注：</w:t>
      </w:r>
    </w:p>
    <w:p>
      <w:pPr>
        <w:snapToGrid w:val="0"/>
        <w:spacing w:line="380" w:lineRule="exact"/>
        <w:rPr>
          <w:rFonts w:ascii="宋体" w:hAnsi="宋体" w:cs="宋体"/>
          <w:b/>
          <w:bCs/>
          <w:color w:val="auto"/>
          <w:kern w:val="0"/>
          <w:szCs w:val="21"/>
          <w:highlight w:val="none"/>
          <w:shd w:val="clear" w:color="auto" w:fill="FFFFFF" w:themeFill="background1"/>
        </w:rPr>
      </w:pPr>
      <w:r>
        <w:rPr>
          <w:rFonts w:hint="eastAsia" w:ascii="宋体" w:hAnsi="宋体" w:cs="宋体"/>
          <w:b/>
          <w:bCs/>
          <w:color w:val="auto"/>
          <w:kern w:val="0"/>
          <w:szCs w:val="21"/>
          <w:highlight w:val="none"/>
          <w:shd w:val="clear" w:color="auto" w:fill="FFFFFF" w:themeFill="background1"/>
        </w:rPr>
        <w:t>1、商务文件评分表中所需资料若有缺项不作为无效标条件，该项得分为 0 分。</w:t>
      </w:r>
    </w:p>
    <w:p>
      <w:pPr>
        <w:spacing w:line="360" w:lineRule="auto"/>
        <w:rPr>
          <w:rFonts w:ascii="宋体" w:hAnsi="宋体" w:cs="宋体"/>
          <w:b/>
          <w:bCs/>
          <w:color w:val="auto"/>
          <w:kern w:val="0"/>
          <w:szCs w:val="21"/>
          <w:highlight w:val="none"/>
          <w:shd w:val="clear" w:color="auto" w:fill="FFFFFF" w:themeFill="background1"/>
        </w:rPr>
      </w:pPr>
      <w:r>
        <w:rPr>
          <w:rFonts w:hint="eastAsia" w:ascii="宋体" w:hAnsi="宋体" w:cs="宋体"/>
          <w:b/>
          <w:bCs/>
          <w:color w:val="auto"/>
          <w:kern w:val="0"/>
          <w:szCs w:val="21"/>
          <w:highlight w:val="none"/>
          <w:shd w:val="clear" w:color="auto" w:fill="FFFFFF" w:themeFill="background1"/>
        </w:rPr>
        <w:t>2、获奖业绩：奖项必须附获奖证书，时间以获奖证书颁发时间为准，各奖项对同一工程项目按最高奖项计取，不重复计分。</w:t>
      </w:r>
    </w:p>
    <w:p>
      <w:pPr>
        <w:spacing w:line="360" w:lineRule="auto"/>
        <w:rPr>
          <w:rStyle w:val="27"/>
          <w:rFonts w:ascii="宋体" w:hAnsi="宋体" w:cs="宋体"/>
          <w:b/>
          <w:bCs/>
          <w:color w:val="auto"/>
          <w:szCs w:val="32"/>
          <w:highlight w:val="none"/>
        </w:rPr>
      </w:pPr>
      <w:r>
        <w:rPr>
          <w:rFonts w:hint="eastAsia" w:ascii="宋体" w:hAnsi="宋体" w:cs="宋体"/>
          <w:b/>
          <w:bCs/>
          <w:color w:val="auto"/>
          <w:kern w:val="0"/>
          <w:szCs w:val="21"/>
          <w:highlight w:val="none"/>
          <w:shd w:val="clear" w:color="auto" w:fill="FFFFFF" w:themeFill="background1"/>
        </w:rPr>
        <w:t>3、企业设计业绩以合同签订日期为准，并提供合同复印件加盖公章。</w:t>
      </w:r>
    </w:p>
    <w:p>
      <w:pPr>
        <w:spacing w:line="360" w:lineRule="auto"/>
        <w:rPr>
          <w:rFonts w:ascii="宋体" w:hAnsi="宋体" w:cs="宋体"/>
          <w:b/>
          <w:bCs/>
          <w:color w:val="auto"/>
          <w:kern w:val="0"/>
          <w:szCs w:val="21"/>
          <w:highlight w:val="none"/>
          <w:shd w:val="clear" w:color="auto" w:fill="FFFFFF" w:themeFill="background1"/>
        </w:rPr>
      </w:pPr>
      <w:r>
        <w:rPr>
          <w:rFonts w:hint="eastAsia" w:ascii="宋体" w:hAnsi="宋体" w:cs="宋体"/>
          <w:b/>
          <w:bCs/>
          <w:color w:val="auto"/>
          <w:kern w:val="0"/>
          <w:szCs w:val="21"/>
          <w:highlight w:val="none"/>
          <w:shd w:val="clear" w:color="auto" w:fill="FFFFFF" w:themeFill="background1"/>
        </w:rPr>
        <w:t>4、商务标文件资格审查和商务评分表相关证书、业绩材料复印件加盖公章。</w:t>
      </w:r>
    </w:p>
    <w:p>
      <w:pPr>
        <w:spacing w:line="480" w:lineRule="auto"/>
        <w:rPr>
          <w:rStyle w:val="27"/>
          <w:rFonts w:ascii="宋体" w:hAnsi="宋体"/>
          <w:b/>
          <w:color w:val="auto"/>
          <w:sz w:val="24"/>
          <w:highlight w:val="none"/>
        </w:rPr>
      </w:pPr>
      <w:r>
        <w:rPr>
          <w:rStyle w:val="27"/>
          <w:rFonts w:hint="eastAsia" w:ascii="宋体" w:hAnsi="宋体"/>
          <w:b/>
          <w:color w:val="auto"/>
          <w:sz w:val="24"/>
          <w:highlight w:val="none"/>
        </w:rPr>
        <w:t>评标委员签名：                                   日期：  年   月   日</w:t>
      </w:r>
    </w:p>
    <w:p>
      <w:pPr>
        <w:spacing w:line="360" w:lineRule="auto"/>
        <w:rPr>
          <w:rStyle w:val="27"/>
          <w:rFonts w:ascii="宋体" w:hAnsi="宋体" w:cs="宋体"/>
          <w:color w:val="auto"/>
          <w:szCs w:val="32"/>
          <w:highlight w:val="none"/>
        </w:rPr>
      </w:pPr>
    </w:p>
    <w:p>
      <w:pPr>
        <w:rPr>
          <w:rStyle w:val="27"/>
          <w:rFonts w:ascii="宋体" w:hAnsi="宋体" w:cs="宋体"/>
          <w:color w:val="auto"/>
          <w:szCs w:val="32"/>
          <w:highlight w:val="none"/>
        </w:rPr>
      </w:pPr>
      <w:r>
        <w:rPr>
          <w:rStyle w:val="27"/>
          <w:rFonts w:ascii="宋体" w:hAnsi="宋体" w:cs="宋体"/>
          <w:color w:val="auto"/>
          <w:szCs w:val="32"/>
          <w:highlight w:val="none"/>
        </w:rPr>
        <w:br w:type="page"/>
      </w:r>
    </w:p>
    <w:p>
      <w:pPr>
        <w:pStyle w:val="32"/>
        <w:spacing w:line="360" w:lineRule="auto"/>
        <w:jc w:val="center"/>
        <w:outlineLvl w:val="0"/>
        <w:rPr>
          <w:rStyle w:val="27"/>
          <w:rFonts w:ascii="宋体" w:hAnsi="宋体" w:cs="宋体"/>
          <w:color w:val="auto"/>
          <w:szCs w:val="32"/>
          <w:highlight w:val="none"/>
        </w:rPr>
      </w:pPr>
      <w:bookmarkStart w:id="111" w:name="_Toc9445"/>
      <w:bookmarkStart w:id="112" w:name="_Toc12504"/>
      <w:bookmarkStart w:id="113" w:name="_Toc32034"/>
      <w:r>
        <w:rPr>
          <w:rStyle w:val="27"/>
          <w:rFonts w:ascii="宋体" w:hAnsi="宋体" w:cs="宋体"/>
          <w:color w:val="auto"/>
          <w:szCs w:val="32"/>
          <w:highlight w:val="none"/>
        </w:rPr>
        <w:t>第四</w:t>
      </w:r>
      <w:r>
        <w:rPr>
          <w:rStyle w:val="27"/>
          <w:rFonts w:hint="eastAsia" w:ascii="宋体" w:hAnsi="宋体" w:cs="宋体"/>
          <w:color w:val="auto"/>
          <w:szCs w:val="32"/>
          <w:highlight w:val="none"/>
        </w:rPr>
        <w:t xml:space="preserve">章 </w:t>
      </w:r>
      <w:r>
        <w:rPr>
          <w:rStyle w:val="27"/>
          <w:rFonts w:ascii="宋体" w:hAnsi="宋体" w:cs="宋体"/>
          <w:color w:val="auto"/>
          <w:szCs w:val="32"/>
          <w:highlight w:val="none"/>
        </w:rPr>
        <w:t>投标格式</w:t>
      </w:r>
      <w:bookmarkEnd w:id="111"/>
      <w:bookmarkEnd w:id="112"/>
      <w:bookmarkEnd w:id="113"/>
    </w:p>
    <w:p>
      <w:pPr>
        <w:outlineLvl w:val="1"/>
        <w:rPr>
          <w:rStyle w:val="27"/>
          <w:rFonts w:ascii="宋体" w:hAnsi="宋体" w:cs="宋体"/>
          <w:b/>
          <w:bCs/>
          <w:color w:val="auto"/>
          <w:sz w:val="30"/>
          <w:szCs w:val="30"/>
          <w:highlight w:val="none"/>
        </w:rPr>
      </w:pPr>
      <w:bookmarkStart w:id="114" w:name="_Toc25549"/>
    </w:p>
    <w:p>
      <w:pPr>
        <w:outlineLvl w:val="1"/>
        <w:rPr>
          <w:rStyle w:val="27"/>
          <w:rFonts w:ascii="宋体" w:hAnsi="宋体" w:cs="宋体"/>
          <w:b/>
          <w:bCs/>
          <w:color w:val="auto"/>
          <w:sz w:val="30"/>
          <w:szCs w:val="30"/>
          <w:highlight w:val="none"/>
        </w:rPr>
      </w:pPr>
      <w:r>
        <w:rPr>
          <w:rStyle w:val="27"/>
          <w:rFonts w:ascii="宋体" w:hAnsi="宋体" w:cs="宋体"/>
          <w:b/>
          <w:bCs/>
          <w:color w:val="auto"/>
          <w:sz w:val="30"/>
          <w:szCs w:val="30"/>
          <w:highlight w:val="none"/>
        </w:rPr>
        <w:t>附件：商务文件（正/副本）封面</w:t>
      </w:r>
      <w:bookmarkEnd w:id="114"/>
    </w:p>
    <w:p>
      <w:pPr>
        <w:ind w:firstLine="883" w:firstLineChars="200"/>
        <w:jc w:val="center"/>
        <w:rPr>
          <w:rStyle w:val="27"/>
          <w:b/>
          <w:bCs/>
          <w:color w:val="auto"/>
          <w:sz w:val="44"/>
          <w:szCs w:val="44"/>
          <w:highlight w:val="none"/>
        </w:rPr>
      </w:pPr>
      <w:r>
        <w:rPr>
          <w:rStyle w:val="27"/>
          <w:b/>
          <w:bCs/>
          <w:color w:val="auto"/>
          <w:sz w:val="44"/>
          <w:szCs w:val="44"/>
          <w:highlight w:val="none"/>
        </w:rPr>
        <w:t>　</w:t>
      </w:r>
    </w:p>
    <w:p>
      <w:pPr>
        <w:jc w:val="center"/>
        <w:rPr>
          <w:rStyle w:val="27"/>
          <w:b/>
          <w:bCs/>
          <w:color w:val="auto"/>
          <w:sz w:val="44"/>
          <w:szCs w:val="44"/>
          <w:highlight w:val="none"/>
          <w:u w:val="single"/>
        </w:rPr>
      </w:pPr>
      <w:r>
        <w:rPr>
          <w:rStyle w:val="27"/>
          <w:rFonts w:hint="eastAsia"/>
          <w:b/>
          <w:bCs/>
          <w:color w:val="auto"/>
          <w:sz w:val="44"/>
          <w:szCs w:val="44"/>
          <w:highlight w:val="none"/>
          <w:u w:val="single"/>
        </w:rPr>
        <w:t>廉江市镇级污水管网及配套设施项目勘察设计</w:t>
      </w:r>
    </w:p>
    <w:p>
      <w:pPr>
        <w:ind w:firstLine="420" w:firstLineChars="200"/>
        <w:rPr>
          <w:rStyle w:val="27"/>
          <w:color w:val="auto"/>
          <w:highlight w:val="none"/>
        </w:rPr>
      </w:pPr>
    </w:p>
    <w:p>
      <w:pPr>
        <w:ind w:firstLine="420" w:firstLineChars="200"/>
        <w:rPr>
          <w:rStyle w:val="27"/>
          <w:color w:val="auto"/>
          <w:highlight w:val="none"/>
        </w:rPr>
      </w:pPr>
    </w:p>
    <w:p>
      <w:pPr>
        <w:ind w:firstLine="420" w:firstLineChars="200"/>
        <w:rPr>
          <w:rStyle w:val="27"/>
          <w:color w:val="auto"/>
          <w:highlight w:val="none"/>
        </w:rPr>
      </w:pPr>
    </w:p>
    <w:p>
      <w:pPr>
        <w:spacing w:line="520" w:lineRule="exact"/>
        <w:jc w:val="center"/>
        <w:rPr>
          <w:rFonts w:ascii="宋体" w:hAnsi="宋体"/>
          <w:b/>
          <w:color w:val="auto"/>
          <w:spacing w:val="66"/>
          <w:sz w:val="48"/>
          <w:szCs w:val="48"/>
          <w:highlight w:val="none"/>
        </w:rPr>
      </w:pPr>
      <w:r>
        <w:rPr>
          <w:rFonts w:hint="eastAsia" w:ascii="宋体" w:hAnsi="宋体"/>
          <w:b/>
          <w:color w:val="auto"/>
          <w:spacing w:val="66"/>
          <w:sz w:val="48"/>
          <w:szCs w:val="48"/>
          <w:highlight w:val="none"/>
        </w:rPr>
        <w:t>商</w:t>
      </w:r>
    </w:p>
    <w:p>
      <w:pPr>
        <w:spacing w:line="520" w:lineRule="exact"/>
        <w:jc w:val="center"/>
        <w:rPr>
          <w:rFonts w:ascii="宋体" w:hAnsi="宋体"/>
          <w:b/>
          <w:color w:val="auto"/>
          <w:spacing w:val="66"/>
          <w:sz w:val="48"/>
          <w:szCs w:val="48"/>
          <w:highlight w:val="none"/>
        </w:rPr>
      </w:pPr>
    </w:p>
    <w:p>
      <w:pPr>
        <w:spacing w:line="520" w:lineRule="exact"/>
        <w:jc w:val="center"/>
        <w:rPr>
          <w:rFonts w:ascii="宋体" w:hAnsi="宋体"/>
          <w:b/>
          <w:color w:val="auto"/>
          <w:spacing w:val="66"/>
          <w:sz w:val="48"/>
          <w:szCs w:val="48"/>
          <w:highlight w:val="none"/>
        </w:rPr>
      </w:pPr>
      <w:r>
        <w:rPr>
          <w:rFonts w:hint="eastAsia" w:ascii="宋体" w:hAnsi="宋体"/>
          <w:b/>
          <w:color w:val="auto"/>
          <w:spacing w:val="66"/>
          <w:sz w:val="48"/>
          <w:szCs w:val="48"/>
          <w:highlight w:val="none"/>
        </w:rPr>
        <w:t>务</w:t>
      </w:r>
    </w:p>
    <w:p>
      <w:pPr>
        <w:spacing w:line="520" w:lineRule="exact"/>
        <w:jc w:val="center"/>
        <w:rPr>
          <w:rFonts w:ascii="宋体" w:hAnsi="宋体"/>
          <w:b/>
          <w:color w:val="auto"/>
          <w:spacing w:val="66"/>
          <w:sz w:val="48"/>
          <w:szCs w:val="48"/>
          <w:highlight w:val="none"/>
        </w:rPr>
      </w:pPr>
    </w:p>
    <w:p>
      <w:pPr>
        <w:spacing w:line="520" w:lineRule="exact"/>
        <w:jc w:val="center"/>
        <w:rPr>
          <w:rFonts w:ascii="宋体" w:hAnsi="宋体"/>
          <w:b/>
          <w:color w:val="auto"/>
          <w:spacing w:val="66"/>
          <w:sz w:val="48"/>
          <w:szCs w:val="48"/>
          <w:highlight w:val="none"/>
        </w:rPr>
      </w:pPr>
      <w:r>
        <w:rPr>
          <w:rFonts w:hint="eastAsia" w:ascii="宋体" w:hAnsi="宋体"/>
          <w:b/>
          <w:color w:val="auto"/>
          <w:spacing w:val="66"/>
          <w:sz w:val="48"/>
          <w:szCs w:val="48"/>
          <w:highlight w:val="none"/>
        </w:rPr>
        <w:t>文</w:t>
      </w:r>
    </w:p>
    <w:p>
      <w:pPr>
        <w:spacing w:line="520" w:lineRule="exact"/>
        <w:jc w:val="center"/>
        <w:rPr>
          <w:rFonts w:ascii="宋体" w:hAnsi="宋体"/>
          <w:b/>
          <w:color w:val="auto"/>
          <w:spacing w:val="66"/>
          <w:sz w:val="48"/>
          <w:szCs w:val="48"/>
          <w:highlight w:val="none"/>
        </w:rPr>
      </w:pPr>
    </w:p>
    <w:p>
      <w:pPr>
        <w:spacing w:line="520" w:lineRule="exact"/>
        <w:jc w:val="center"/>
        <w:rPr>
          <w:rFonts w:ascii="宋体" w:hAnsi="宋体"/>
          <w:b/>
          <w:color w:val="auto"/>
          <w:spacing w:val="66"/>
          <w:sz w:val="48"/>
          <w:szCs w:val="48"/>
          <w:highlight w:val="none"/>
        </w:rPr>
      </w:pPr>
      <w:r>
        <w:rPr>
          <w:rFonts w:hint="eastAsia" w:ascii="宋体" w:hAnsi="宋体"/>
          <w:b/>
          <w:color w:val="auto"/>
          <w:spacing w:val="66"/>
          <w:sz w:val="48"/>
          <w:szCs w:val="48"/>
          <w:highlight w:val="none"/>
        </w:rPr>
        <w:t>件</w:t>
      </w:r>
    </w:p>
    <w:p>
      <w:pPr>
        <w:spacing w:line="520" w:lineRule="exact"/>
        <w:jc w:val="center"/>
        <w:rPr>
          <w:rFonts w:ascii="宋体" w:hAnsi="宋体"/>
          <w:b/>
          <w:color w:val="auto"/>
          <w:spacing w:val="66"/>
          <w:sz w:val="48"/>
          <w:szCs w:val="48"/>
          <w:highlight w:val="none"/>
        </w:rPr>
      </w:pPr>
    </w:p>
    <w:p>
      <w:pPr>
        <w:pStyle w:val="33"/>
        <w:jc w:val="center"/>
        <w:rPr>
          <w:rStyle w:val="27"/>
          <w:rFonts w:ascii="宋体" w:hAnsi="宋体" w:eastAsia="宋体" w:cs="宋体"/>
          <w:color w:val="auto"/>
          <w:highlight w:val="none"/>
        </w:rPr>
      </w:pPr>
      <w:r>
        <w:rPr>
          <w:rStyle w:val="27"/>
          <w:rFonts w:ascii="宋体" w:hAnsi="宋体" w:eastAsia="宋体"/>
          <w:color w:val="auto"/>
          <w:sz w:val="48"/>
          <w:szCs w:val="48"/>
          <w:highlight w:val="none"/>
        </w:rPr>
        <w:t>(正/副本)</w:t>
      </w:r>
    </w:p>
    <w:p>
      <w:pPr>
        <w:ind w:firstLine="560" w:firstLineChars="200"/>
        <w:rPr>
          <w:rStyle w:val="27"/>
          <w:color w:val="auto"/>
          <w:sz w:val="28"/>
          <w:szCs w:val="28"/>
          <w:highlight w:val="none"/>
        </w:rPr>
      </w:pPr>
    </w:p>
    <w:p>
      <w:pPr>
        <w:spacing w:line="360" w:lineRule="auto"/>
        <w:ind w:firstLine="560" w:firstLineChars="200"/>
        <w:rPr>
          <w:rStyle w:val="27"/>
          <w:rFonts w:ascii="宋体" w:hAnsi="宋体" w:cs="宋体"/>
          <w:color w:val="auto"/>
          <w:sz w:val="24"/>
          <w:highlight w:val="none"/>
        </w:rPr>
      </w:pPr>
      <w:r>
        <w:rPr>
          <w:rStyle w:val="27"/>
          <w:color w:val="auto"/>
          <w:sz w:val="28"/>
          <w:szCs w:val="28"/>
          <w:highlight w:val="none"/>
        </w:rPr>
        <w:t>投 标 人：（单位盖章）</w:t>
      </w:r>
      <w:r>
        <w:rPr>
          <w:rStyle w:val="27"/>
          <w:color w:val="auto"/>
          <w:sz w:val="28"/>
          <w:szCs w:val="28"/>
          <w:highlight w:val="none"/>
          <w:u w:val="single"/>
        </w:rPr>
        <w:t xml:space="preserve">　　　　　　　　　　   </w:t>
      </w:r>
      <w:r>
        <w:rPr>
          <w:rStyle w:val="27"/>
          <w:rFonts w:hint="eastAsia" w:ascii="宋体" w:hAnsi="宋体" w:cs="宋体"/>
          <w:color w:val="auto"/>
          <w:sz w:val="24"/>
          <w:highlight w:val="none"/>
        </w:rPr>
        <w:t>（独立体或联合体主办方）</w:t>
      </w:r>
    </w:p>
    <w:p>
      <w:pPr>
        <w:spacing w:line="360" w:lineRule="auto"/>
        <w:ind w:firstLine="1680" w:firstLineChars="600"/>
        <w:rPr>
          <w:rStyle w:val="27"/>
          <w:color w:val="auto"/>
          <w:highlight w:val="none"/>
        </w:rPr>
      </w:pPr>
      <w:r>
        <w:rPr>
          <w:rStyle w:val="27"/>
          <w:rFonts w:hint="eastAsia"/>
          <w:color w:val="auto"/>
          <w:sz w:val="28"/>
          <w:szCs w:val="28"/>
          <w:highlight w:val="none"/>
        </w:rPr>
        <w:t>（联合体成员）：</w:t>
      </w:r>
      <w:r>
        <w:rPr>
          <w:rStyle w:val="27"/>
          <w:color w:val="auto"/>
          <w:sz w:val="28"/>
          <w:szCs w:val="28"/>
          <w:highlight w:val="none"/>
          <w:u w:val="single"/>
        </w:rPr>
        <w:t xml:space="preserve">　　　　　　　　　　     </w:t>
      </w:r>
      <w:r>
        <w:rPr>
          <w:rStyle w:val="27"/>
          <w:rFonts w:hint="eastAsia"/>
          <w:color w:val="auto"/>
          <w:sz w:val="28"/>
          <w:szCs w:val="28"/>
          <w:highlight w:val="none"/>
        </w:rPr>
        <w:t>　　　　</w:t>
      </w:r>
      <w:r>
        <w:rPr>
          <w:rStyle w:val="27"/>
          <w:rFonts w:hint="eastAsia"/>
          <w:color w:val="auto"/>
          <w:highlight w:val="none"/>
        </w:rPr>
        <w:t>　　　　　　　　　　　　　　　　</w:t>
      </w:r>
    </w:p>
    <w:p>
      <w:pPr>
        <w:spacing w:line="360" w:lineRule="auto"/>
        <w:ind w:firstLine="420" w:firstLineChars="200"/>
        <w:rPr>
          <w:rStyle w:val="27"/>
          <w:color w:val="auto"/>
          <w:highlight w:val="none"/>
        </w:rPr>
      </w:pPr>
    </w:p>
    <w:p>
      <w:pPr>
        <w:spacing w:line="360" w:lineRule="auto"/>
        <w:ind w:firstLine="560" w:firstLineChars="200"/>
        <w:rPr>
          <w:rStyle w:val="27"/>
          <w:color w:val="auto"/>
          <w:sz w:val="28"/>
          <w:szCs w:val="28"/>
          <w:highlight w:val="none"/>
        </w:rPr>
      </w:pPr>
      <w:r>
        <w:rPr>
          <w:rStyle w:val="27"/>
          <w:color w:val="auto"/>
          <w:sz w:val="28"/>
          <w:szCs w:val="28"/>
          <w:highlight w:val="none"/>
        </w:rPr>
        <w:t>法定代表人（或</w:t>
      </w:r>
      <w:r>
        <w:rPr>
          <w:rStyle w:val="27"/>
          <w:rFonts w:hint="eastAsia"/>
          <w:color w:val="auto"/>
          <w:sz w:val="28"/>
          <w:szCs w:val="28"/>
          <w:highlight w:val="none"/>
          <w:lang w:val="en-US" w:eastAsia="zh-CN"/>
        </w:rPr>
        <w:t>全权</w:t>
      </w:r>
      <w:r>
        <w:rPr>
          <w:rStyle w:val="27"/>
          <w:color w:val="auto"/>
          <w:sz w:val="28"/>
          <w:szCs w:val="28"/>
          <w:highlight w:val="none"/>
        </w:rPr>
        <w:t>代理人）：</w:t>
      </w:r>
      <w:r>
        <w:rPr>
          <w:rStyle w:val="27"/>
          <w:color w:val="auto"/>
          <w:sz w:val="28"/>
          <w:szCs w:val="28"/>
          <w:highlight w:val="none"/>
          <w:u w:val="single"/>
        </w:rPr>
        <w:tab/>
      </w:r>
      <w:r>
        <w:rPr>
          <w:rStyle w:val="27"/>
          <w:color w:val="auto"/>
          <w:sz w:val="28"/>
          <w:szCs w:val="28"/>
          <w:highlight w:val="none"/>
          <w:u w:val="single"/>
        </w:rPr>
        <w:t>　　　　　 　</w:t>
      </w:r>
      <w:r>
        <w:rPr>
          <w:rStyle w:val="27"/>
          <w:color w:val="auto"/>
          <w:sz w:val="28"/>
          <w:szCs w:val="28"/>
          <w:highlight w:val="none"/>
        </w:rPr>
        <w:t>（签字或盖章）</w:t>
      </w:r>
    </w:p>
    <w:p>
      <w:pPr>
        <w:spacing w:line="360" w:lineRule="auto"/>
        <w:ind w:firstLine="560" w:firstLineChars="200"/>
        <w:rPr>
          <w:rStyle w:val="27"/>
          <w:color w:val="auto"/>
          <w:highlight w:val="none"/>
        </w:rPr>
      </w:pPr>
      <w:r>
        <w:rPr>
          <w:rStyle w:val="27"/>
          <w:color w:val="auto"/>
          <w:sz w:val="28"/>
          <w:szCs w:val="28"/>
          <w:highlight w:val="none"/>
        </w:rPr>
        <w:t>日  期 ：</w:t>
      </w:r>
      <w:r>
        <w:rPr>
          <w:rStyle w:val="27"/>
          <w:color w:val="auto"/>
          <w:sz w:val="28"/>
          <w:szCs w:val="28"/>
          <w:highlight w:val="none"/>
          <w:u w:val="single"/>
        </w:rPr>
        <w:t>　　　</w:t>
      </w:r>
      <w:r>
        <w:rPr>
          <w:rStyle w:val="27"/>
          <w:color w:val="auto"/>
          <w:sz w:val="28"/>
          <w:szCs w:val="28"/>
          <w:highlight w:val="none"/>
        </w:rPr>
        <w:t>年</w:t>
      </w:r>
      <w:r>
        <w:rPr>
          <w:rStyle w:val="27"/>
          <w:color w:val="auto"/>
          <w:sz w:val="28"/>
          <w:szCs w:val="28"/>
          <w:highlight w:val="none"/>
          <w:u w:val="single"/>
        </w:rPr>
        <w:tab/>
      </w:r>
      <w:r>
        <w:rPr>
          <w:rStyle w:val="27"/>
          <w:color w:val="auto"/>
          <w:sz w:val="28"/>
          <w:szCs w:val="28"/>
          <w:highlight w:val="none"/>
          <w:u w:val="single"/>
        </w:rPr>
        <w:t xml:space="preserve">　　 </w:t>
      </w:r>
      <w:r>
        <w:rPr>
          <w:rStyle w:val="27"/>
          <w:color w:val="auto"/>
          <w:sz w:val="28"/>
          <w:szCs w:val="28"/>
          <w:highlight w:val="none"/>
        </w:rPr>
        <w:t>月</w:t>
      </w:r>
      <w:r>
        <w:rPr>
          <w:rStyle w:val="27"/>
          <w:color w:val="auto"/>
          <w:sz w:val="28"/>
          <w:szCs w:val="28"/>
          <w:highlight w:val="none"/>
          <w:u w:val="single"/>
        </w:rPr>
        <w:t>　　　</w:t>
      </w:r>
      <w:r>
        <w:rPr>
          <w:rStyle w:val="27"/>
          <w:color w:val="auto"/>
          <w:sz w:val="28"/>
          <w:szCs w:val="28"/>
          <w:highlight w:val="none"/>
        </w:rPr>
        <w:t>日</w:t>
      </w:r>
    </w:p>
    <w:p>
      <w:pPr>
        <w:rPr>
          <w:color w:val="auto"/>
          <w:highlight w:val="none"/>
        </w:rPr>
      </w:pPr>
    </w:p>
    <w:p>
      <w:pPr>
        <w:rPr>
          <w:color w:val="auto"/>
          <w:highlight w:val="none"/>
        </w:rPr>
      </w:pPr>
    </w:p>
    <w:p>
      <w:pPr>
        <w:rPr>
          <w:rStyle w:val="42"/>
          <w:rFonts w:ascii="宋体" w:hAnsi="宋体" w:eastAsia="宋体" w:cs="宋体"/>
          <w:color w:val="auto"/>
          <w:highlight w:val="none"/>
        </w:rPr>
      </w:pPr>
      <w:bookmarkStart w:id="115" w:name="_Toc27804"/>
      <w:r>
        <w:rPr>
          <w:rStyle w:val="42"/>
          <w:rFonts w:ascii="宋体" w:hAnsi="宋体" w:eastAsia="宋体" w:cs="宋体"/>
          <w:color w:val="auto"/>
          <w:highlight w:val="none"/>
        </w:rPr>
        <w:br w:type="page"/>
      </w:r>
    </w:p>
    <w:p>
      <w:pPr>
        <w:jc w:val="left"/>
        <w:outlineLvl w:val="1"/>
        <w:rPr>
          <w:rStyle w:val="42"/>
          <w:color w:val="auto"/>
          <w:highlight w:val="none"/>
        </w:rPr>
      </w:pPr>
      <w:bookmarkStart w:id="116" w:name="_Toc18221"/>
      <w:r>
        <w:rPr>
          <w:rStyle w:val="42"/>
          <w:rFonts w:ascii="宋体" w:hAnsi="宋体" w:eastAsia="宋体" w:cs="宋体"/>
          <w:color w:val="auto"/>
          <w:highlight w:val="none"/>
        </w:rPr>
        <w:t>一、投标函</w:t>
      </w:r>
      <w:bookmarkEnd w:id="115"/>
      <w:bookmarkEnd w:id="116"/>
    </w:p>
    <w:p>
      <w:pPr>
        <w:rPr>
          <w:rStyle w:val="27"/>
          <w:color w:val="auto"/>
          <w:sz w:val="24"/>
          <w:highlight w:val="none"/>
        </w:rPr>
      </w:pPr>
      <w:r>
        <w:rPr>
          <w:rStyle w:val="27"/>
          <w:color w:val="auto"/>
          <w:sz w:val="24"/>
          <w:highlight w:val="none"/>
          <w:u w:val="single"/>
        </w:rPr>
        <w:t>　　招标人/招标代理　　　　</w:t>
      </w:r>
      <w:r>
        <w:rPr>
          <w:rStyle w:val="27"/>
          <w:color w:val="auto"/>
          <w:sz w:val="24"/>
          <w:highlight w:val="none"/>
        </w:rPr>
        <w:t>：</w:t>
      </w:r>
    </w:p>
    <w:p>
      <w:pPr>
        <w:spacing w:line="360" w:lineRule="auto"/>
        <w:ind w:firstLine="480" w:firstLineChars="200"/>
        <w:rPr>
          <w:rStyle w:val="27"/>
          <w:color w:val="auto"/>
          <w:sz w:val="24"/>
          <w:highlight w:val="none"/>
        </w:rPr>
      </w:pPr>
      <w:r>
        <w:rPr>
          <w:rStyle w:val="27"/>
          <w:color w:val="auto"/>
          <w:sz w:val="24"/>
          <w:highlight w:val="none"/>
        </w:rPr>
        <w:t>1．我方已仔细阅读理解了</w:t>
      </w:r>
      <w:r>
        <w:rPr>
          <w:rStyle w:val="27"/>
          <w:color w:val="auto"/>
          <w:sz w:val="24"/>
          <w:highlight w:val="none"/>
          <w:u w:val="single"/>
        </w:rPr>
        <w:t>　　　　　　　　　　</w:t>
      </w:r>
      <w:r>
        <w:rPr>
          <w:rStyle w:val="27"/>
          <w:color w:val="auto"/>
          <w:sz w:val="24"/>
          <w:highlight w:val="none"/>
        </w:rPr>
        <w:t>项目招标文件</w:t>
      </w:r>
      <w:r>
        <w:rPr>
          <w:rStyle w:val="27"/>
          <w:rFonts w:hAnsi="宋体"/>
          <w:color w:val="auto"/>
          <w:sz w:val="24"/>
          <w:szCs w:val="24"/>
          <w:highlight w:val="none"/>
        </w:rPr>
        <w:t>、合同条件、招标人要求、资料表、附件、补充文件和技术规范等文件。我方已检查和核对了这些文件，未发现他们有错误或其他缺陷。据此，我方愿按这些文件的规定，按照本投标</w:t>
      </w:r>
      <w:r>
        <w:rPr>
          <w:rStyle w:val="27"/>
          <w:rFonts w:hint="eastAsia" w:hAnsi="宋体"/>
          <w:color w:val="auto"/>
          <w:sz w:val="24"/>
          <w:szCs w:val="24"/>
          <w:highlight w:val="none"/>
          <w:lang w:val="en-US" w:eastAsia="zh-CN"/>
        </w:rPr>
        <w:t>函</w:t>
      </w:r>
      <w:r>
        <w:rPr>
          <w:rStyle w:val="27"/>
          <w:rFonts w:hAnsi="宋体"/>
          <w:color w:val="auto"/>
          <w:sz w:val="24"/>
          <w:szCs w:val="24"/>
          <w:highlight w:val="none"/>
        </w:rPr>
        <w:t>，包括一并提交的所有文件材料和所附建议书，承担上述项目并修补其中任何缺陷。我方愿以《</w:t>
      </w:r>
      <w:r>
        <w:rPr>
          <w:rStyle w:val="27"/>
          <w:rFonts w:hint="eastAsia" w:hAnsi="宋体"/>
          <w:color w:val="auto"/>
          <w:sz w:val="24"/>
          <w:szCs w:val="24"/>
          <w:highlight w:val="none"/>
        </w:rPr>
        <w:t>投标报价书</w:t>
      </w:r>
      <w:r>
        <w:rPr>
          <w:rStyle w:val="27"/>
          <w:rFonts w:hAnsi="宋体"/>
          <w:color w:val="auto"/>
          <w:sz w:val="24"/>
          <w:szCs w:val="24"/>
          <w:highlight w:val="none"/>
        </w:rPr>
        <w:t>》的投标总报价，承包本次招标所包含的工作，并承担质量缺陷责任。我方项目负责人是</w:t>
      </w:r>
      <w:r>
        <w:rPr>
          <w:rStyle w:val="27"/>
          <w:rFonts w:hint="eastAsia" w:hAnsi="宋体"/>
          <w:color w:val="auto"/>
          <w:sz w:val="24"/>
          <w:szCs w:val="24"/>
          <w:highlight w:val="none"/>
          <w:u w:val="single"/>
        </w:rPr>
        <w:t xml:space="preserve">  </w:t>
      </w:r>
      <w:r>
        <w:rPr>
          <w:rStyle w:val="27"/>
          <w:rFonts w:hint="eastAsia" w:hAnsi="宋体"/>
          <w:color w:val="auto"/>
          <w:sz w:val="24"/>
          <w:szCs w:val="24"/>
          <w:highlight w:val="none"/>
          <w:u w:val="single"/>
          <w:lang w:val="en-US" w:eastAsia="zh-CN"/>
        </w:rPr>
        <w:t xml:space="preserve"> </w:t>
      </w:r>
      <w:r>
        <w:rPr>
          <w:rStyle w:val="27"/>
          <w:rFonts w:hint="eastAsia" w:hAnsi="宋体"/>
          <w:color w:val="auto"/>
          <w:sz w:val="24"/>
          <w:szCs w:val="24"/>
          <w:highlight w:val="none"/>
          <w:u w:val="single"/>
        </w:rPr>
        <w:t xml:space="preserve">   </w:t>
      </w:r>
      <w:r>
        <w:rPr>
          <w:rStyle w:val="27"/>
          <w:rFonts w:hAnsi="宋体"/>
          <w:color w:val="auto"/>
          <w:sz w:val="24"/>
          <w:szCs w:val="24"/>
          <w:highlight w:val="none"/>
        </w:rPr>
        <w:t>。</w:t>
      </w:r>
      <w:r>
        <w:rPr>
          <w:rStyle w:val="27"/>
          <w:color w:val="auto"/>
          <w:sz w:val="24"/>
          <w:highlight w:val="none"/>
        </w:rPr>
        <w:t>愿意以投标报价下浮率为</w:t>
      </w:r>
      <w:r>
        <w:rPr>
          <w:rStyle w:val="27"/>
          <w:color w:val="auto"/>
          <w:sz w:val="24"/>
          <w:highlight w:val="none"/>
          <w:u w:val="single"/>
        </w:rPr>
        <w:t>　　</w:t>
      </w:r>
      <w:r>
        <w:rPr>
          <w:rStyle w:val="27"/>
          <w:rFonts w:ascii="宋体" w:hAnsi="宋体"/>
          <w:color w:val="auto"/>
          <w:sz w:val="24"/>
          <w:highlight w:val="none"/>
          <w:u w:val="single"/>
        </w:rPr>
        <w:t>　</w:t>
      </w:r>
      <w:r>
        <w:rPr>
          <w:rStyle w:val="27"/>
          <w:color w:val="auto"/>
          <w:sz w:val="24"/>
          <w:highlight w:val="none"/>
        </w:rPr>
        <w:t>，工期：</w:t>
      </w:r>
      <w:r>
        <w:rPr>
          <w:rStyle w:val="27"/>
          <w:color w:val="auto"/>
          <w:sz w:val="24"/>
          <w:highlight w:val="none"/>
          <w:u w:val="single"/>
        </w:rPr>
        <w:t>　　</w:t>
      </w:r>
      <w:r>
        <w:rPr>
          <w:rStyle w:val="27"/>
          <w:color w:val="auto"/>
          <w:sz w:val="24"/>
          <w:highlight w:val="none"/>
        </w:rPr>
        <w:t>日历天，根据有关国家技术规范、标准及规程按照合同完成所有规定的</w:t>
      </w:r>
      <w:r>
        <w:rPr>
          <w:rStyle w:val="27"/>
          <w:rFonts w:hint="eastAsia"/>
          <w:color w:val="auto"/>
          <w:sz w:val="24"/>
          <w:highlight w:val="none"/>
        </w:rPr>
        <w:t>勘察</w:t>
      </w:r>
      <w:r>
        <w:rPr>
          <w:rStyle w:val="27"/>
          <w:color w:val="auto"/>
          <w:sz w:val="24"/>
          <w:highlight w:val="none"/>
        </w:rPr>
        <w:t>设计服务全部工作内容。</w:t>
      </w:r>
    </w:p>
    <w:p>
      <w:pPr>
        <w:spacing w:line="360" w:lineRule="auto"/>
        <w:ind w:firstLine="480" w:firstLineChars="200"/>
        <w:rPr>
          <w:rStyle w:val="27"/>
          <w:rFonts w:hAnsi="宋体"/>
          <w:color w:val="auto"/>
          <w:sz w:val="24"/>
          <w:szCs w:val="24"/>
          <w:highlight w:val="none"/>
        </w:rPr>
      </w:pPr>
      <w:r>
        <w:rPr>
          <w:rStyle w:val="27"/>
          <w:color w:val="auto"/>
          <w:sz w:val="24"/>
          <w:highlight w:val="none"/>
        </w:rPr>
        <w:t>2．我方在此声明，所递交的投标文件及有关资料内容完整、真实和准确。</w:t>
      </w:r>
      <w:r>
        <w:rPr>
          <w:rStyle w:val="27"/>
          <w:rFonts w:hAnsi="宋体"/>
          <w:color w:val="auto"/>
          <w:sz w:val="24"/>
          <w:szCs w:val="24"/>
          <w:highlight w:val="none"/>
        </w:rPr>
        <w:t>如我</w:t>
      </w:r>
      <w:r>
        <w:rPr>
          <w:rStyle w:val="27"/>
          <w:rFonts w:hint="eastAsia" w:hAnsi="宋体"/>
          <w:color w:val="auto"/>
          <w:sz w:val="24"/>
          <w:szCs w:val="24"/>
          <w:highlight w:val="none"/>
          <w:lang w:val="en-US" w:eastAsia="zh-CN"/>
        </w:rPr>
        <w:t>方</w:t>
      </w:r>
      <w:r>
        <w:rPr>
          <w:rStyle w:val="27"/>
          <w:rFonts w:hAnsi="宋体"/>
          <w:color w:val="auto"/>
          <w:sz w:val="24"/>
          <w:szCs w:val="24"/>
          <w:highlight w:val="none"/>
        </w:rPr>
        <w:t>成为本项目中标候选人，我</w:t>
      </w:r>
      <w:r>
        <w:rPr>
          <w:rStyle w:val="27"/>
          <w:rFonts w:hint="eastAsia" w:hAnsi="宋体"/>
          <w:color w:val="auto"/>
          <w:sz w:val="24"/>
          <w:szCs w:val="24"/>
          <w:highlight w:val="none"/>
          <w:lang w:val="en-US" w:eastAsia="zh-CN"/>
        </w:rPr>
        <w:t>方</w:t>
      </w:r>
      <w:r>
        <w:rPr>
          <w:rStyle w:val="27"/>
          <w:rFonts w:hAnsi="宋体"/>
          <w:color w:val="auto"/>
          <w:sz w:val="24"/>
          <w:szCs w:val="24"/>
          <w:highlight w:val="none"/>
        </w:rPr>
        <w:t>同意并授权招标人将我</w:t>
      </w:r>
      <w:r>
        <w:rPr>
          <w:rStyle w:val="27"/>
          <w:rFonts w:hint="eastAsia" w:hAnsi="宋体"/>
          <w:color w:val="auto"/>
          <w:sz w:val="24"/>
          <w:szCs w:val="24"/>
          <w:highlight w:val="none"/>
          <w:lang w:val="en-US" w:eastAsia="zh-CN"/>
        </w:rPr>
        <w:t>方</w:t>
      </w:r>
      <w:r>
        <w:rPr>
          <w:rStyle w:val="27"/>
          <w:rFonts w:hAnsi="宋体"/>
          <w:color w:val="auto"/>
          <w:sz w:val="24"/>
          <w:szCs w:val="24"/>
          <w:highlight w:val="none"/>
        </w:rPr>
        <w:t>投标文件商务部分的人员、业绩、奖项等资料进行公开。</w:t>
      </w:r>
    </w:p>
    <w:p>
      <w:pPr>
        <w:spacing w:line="360" w:lineRule="auto"/>
        <w:ind w:firstLine="480" w:firstLineChars="200"/>
        <w:rPr>
          <w:rStyle w:val="27"/>
          <w:color w:val="auto"/>
          <w:sz w:val="24"/>
          <w:highlight w:val="none"/>
        </w:rPr>
      </w:pPr>
      <w:r>
        <w:rPr>
          <w:rStyle w:val="27"/>
          <w:rFonts w:hint="eastAsia" w:hAnsi="宋体"/>
          <w:color w:val="auto"/>
          <w:sz w:val="24"/>
          <w:szCs w:val="24"/>
          <w:highlight w:val="none"/>
          <w:lang w:val="en-US" w:eastAsia="zh-CN"/>
        </w:rPr>
        <w:t>3.</w:t>
      </w:r>
      <w:r>
        <w:rPr>
          <w:rStyle w:val="27"/>
          <w:color w:val="auto"/>
          <w:sz w:val="24"/>
          <w:highlight w:val="none"/>
        </w:rPr>
        <w:t>我方承诺在招标文件规定的投标有效期内不修改、撤销投标文件。</w:t>
      </w:r>
    </w:p>
    <w:p>
      <w:pPr>
        <w:pStyle w:val="47"/>
        <w:shd w:val="clear"/>
        <w:spacing w:line="360" w:lineRule="auto"/>
        <w:ind w:firstLine="420"/>
        <w:rPr>
          <w:rStyle w:val="27"/>
          <w:rFonts w:hAnsi="宋体"/>
          <w:color w:val="auto"/>
          <w:sz w:val="24"/>
          <w:szCs w:val="24"/>
          <w:highlight w:val="none"/>
        </w:rPr>
      </w:pPr>
      <w:r>
        <w:rPr>
          <w:rStyle w:val="27"/>
          <w:rFonts w:hint="eastAsia"/>
          <w:color w:val="auto"/>
          <w:sz w:val="24"/>
          <w:highlight w:val="none"/>
          <w:lang w:val="en-US" w:eastAsia="zh-CN"/>
        </w:rPr>
        <w:t>4</w:t>
      </w:r>
      <w:r>
        <w:rPr>
          <w:rStyle w:val="27"/>
          <w:color w:val="auto"/>
          <w:sz w:val="24"/>
          <w:highlight w:val="none"/>
        </w:rPr>
        <w:t>．</w:t>
      </w:r>
      <w:r>
        <w:rPr>
          <w:rStyle w:val="27"/>
          <w:rFonts w:hAnsi="宋体"/>
          <w:color w:val="auto"/>
          <w:sz w:val="24"/>
          <w:szCs w:val="24"/>
          <w:highlight w:val="none"/>
        </w:rPr>
        <w:t>我方认同招标文件规定的评审规则，遵守评标委员会的裁决结果，并且不会采取妨碍项目进展的行为。我方理解你方没有必须接受你方可能收到的最低标或任何投标的义务。</w:t>
      </w:r>
    </w:p>
    <w:p>
      <w:pPr>
        <w:spacing w:line="360" w:lineRule="auto"/>
        <w:ind w:firstLine="480" w:firstLineChars="200"/>
        <w:rPr>
          <w:rStyle w:val="27"/>
          <w:color w:val="auto"/>
          <w:sz w:val="24"/>
          <w:highlight w:val="none"/>
        </w:rPr>
      </w:pPr>
      <w:r>
        <w:rPr>
          <w:rStyle w:val="27"/>
          <w:rFonts w:hint="eastAsia"/>
          <w:color w:val="auto"/>
          <w:sz w:val="24"/>
          <w:highlight w:val="none"/>
          <w:lang w:val="en-US" w:eastAsia="zh-CN"/>
        </w:rPr>
        <w:t>5.</w:t>
      </w:r>
      <w:r>
        <w:rPr>
          <w:rStyle w:val="27"/>
          <w:color w:val="auto"/>
          <w:sz w:val="24"/>
          <w:highlight w:val="none"/>
        </w:rPr>
        <w:t>随同本投标函提交投标保证金一份，金额为人民币（大写）</w:t>
      </w:r>
      <w:r>
        <w:rPr>
          <w:rStyle w:val="27"/>
          <w:color w:val="auto"/>
          <w:sz w:val="24"/>
          <w:highlight w:val="none"/>
          <w:u w:val="single"/>
        </w:rPr>
        <w:t>　　　　</w:t>
      </w:r>
      <w:r>
        <w:rPr>
          <w:rStyle w:val="27"/>
          <w:color w:val="auto"/>
          <w:sz w:val="24"/>
          <w:highlight w:val="none"/>
        </w:rPr>
        <w:t xml:space="preserve">（小写¥ </w:t>
      </w:r>
      <w:r>
        <w:rPr>
          <w:rStyle w:val="27"/>
          <w:color w:val="auto"/>
          <w:sz w:val="24"/>
          <w:highlight w:val="none"/>
          <w:u w:val="single"/>
        </w:rPr>
        <w:t>　　　</w:t>
      </w:r>
      <w:r>
        <w:rPr>
          <w:rStyle w:val="27"/>
          <w:color w:val="auto"/>
          <w:sz w:val="24"/>
          <w:highlight w:val="none"/>
        </w:rPr>
        <w:t>）。</w:t>
      </w:r>
    </w:p>
    <w:p>
      <w:pPr>
        <w:spacing w:line="360" w:lineRule="auto"/>
        <w:ind w:firstLine="480" w:firstLineChars="200"/>
        <w:rPr>
          <w:rStyle w:val="27"/>
          <w:color w:val="auto"/>
          <w:sz w:val="24"/>
          <w:highlight w:val="none"/>
        </w:rPr>
      </w:pPr>
      <w:r>
        <w:rPr>
          <w:rStyle w:val="27"/>
          <w:rFonts w:hint="eastAsia"/>
          <w:color w:val="auto"/>
          <w:sz w:val="24"/>
          <w:highlight w:val="none"/>
          <w:lang w:val="en-US" w:eastAsia="zh-CN"/>
        </w:rPr>
        <w:t>6</w:t>
      </w:r>
      <w:r>
        <w:rPr>
          <w:rStyle w:val="27"/>
          <w:color w:val="auto"/>
          <w:sz w:val="24"/>
          <w:highlight w:val="none"/>
        </w:rPr>
        <w:t>．如我方中标：</w:t>
      </w:r>
    </w:p>
    <w:p>
      <w:pPr>
        <w:spacing w:line="360" w:lineRule="auto"/>
        <w:ind w:firstLine="480" w:firstLineChars="200"/>
        <w:rPr>
          <w:rStyle w:val="27"/>
          <w:color w:val="auto"/>
          <w:sz w:val="24"/>
          <w:highlight w:val="none"/>
        </w:rPr>
      </w:pPr>
      <w:r>
        <w:rPr>
          <w:rStyle w:val="27"/>
          <w:color w:val="auto"/>
          <w:sz w:val="24"/>
          <w:highlight w:val="none"/>
        </w:rPr>
        <w:t>（1）我方承诺在收到中标通知书后，在中标通知书规定的期限内与你方签订合同。</w:t>
      </w:r>
    </w:p>
    <w:p>
      <w:pPr>
        <w:spacing w:line="360" w:lineRule="auto"/>
        <w:ind w:firstLine="480" w:firstLineChars="200"/>
        <w:rPr>
          <w:rStyle w:val="27"/>
          <w:color w:val="auto"/>
          <w:sz w:val="24"/>
          <w:highlight w:val="none"/>
        </w:rPr>
      </w:pPr>
      <w:r>
        <w:rPr>
          <w:rStyle w:val="27"/>
          <w:color w:val="auto"/>
          <w:sz w:val="24"/>
          <w:highlight w:val="none"/>
        </w:rPr>
        <w:t>（2）随同本投标函递交的投标函附录属于合同文件的组成部分。</w:t>
      </w:r>
    </w:p>
    <w:p>
      <w:pPr>
        <w:spacing w:line="360" w:lineRule="auto"/>
        <w:ind w:firstLine="480" w:firstLineChars="200"/>
        <w:rPr>
          <w:rStyle w:val="27"/>
          <w:color w:val="auto"/>
          <w:sz w:val="24"/>
          <w:highlight w:val="none"/>
        </w:rPr>
      </w:pPr>
      <w:r>
        <w:rPr>
          <w:rStyle w:val="27"/>
          <w:color w:val="auto"/>
          <w:sz w:val="24"/>
          <w:highlight w:val="none"/>
        </w:rPr>
        <w:t>（3）我方承诺按照招标文件规定向你方递交履约担保金。</w:t>
      </w:r>
    </w:p>
    <w:p>
      <w:pPr>
        <w:spacing w:line="360" w:lineRule="auto"/>
        <w:ind w:firstLine="480" w:firstLineChars="200"/>
        <w:rPr>
          <w:rStyle w:val="27"/>
          <w:color w:val="auto"/>
          <w:sz w:val="24"/>
          <w:highlight w:val="none"/>
        </w:rPr>
      </w:pPr>
      <w:r>
        <w:rPr>
          <w:rStyle w:val="27"/>
          <w:color w:val="auto"/>
          <w:sz w:val="24"/>
          <w:highlight w:val="none"/>
        </w:rPr>
        <w:t>（4）我方承诺在合同约定的期限内完成并移交全部合同工程。</w:t>
      </w:r>
    </w:p>
    <w:p>
      <w:pPr>
        <w:spacing w:line="360" w:lineRule="auto"/>
        <w:ind w:firstLine="480" w:firstLineChars="200"/>
        <w:rPr>
          <w:rStyle w:val="27"/>
          <w:color w:val="auto"/>
          <w:sz w:val="24"/>
          <w:highlight w:val="none"/>
        </w:rPr>
      </w:pPr>
      <w:r>
        <w:rPr>
          <w:rStyle w:val="27"/>
          <w:color w:val="auto"/>
          <w:sz w:val="24"/>
          <w:highlight w:val="none"/>
        </w:rPr>
        <w:t>6．（其他补充说明）。</w:t>
      </w:r>
    </w:p>
    <w:p>
      <w:pPr>
        <w:spacing w:line="360" w:lineRule="auto"/>
        <w:ind w:firstLine="480" w:firstLineChars="200"/>
        <w:rPr>
          <w:rStyle w:val="27"/>
          <w:color w:val="auto"/>
          <w:sz w:val="24"/>
          <w:highlight w:val="none"/>
        </w:rPr>
      </w:pPr>
      <w:r>
        <w:rPr>
          <w:rStyle w:val="27"/>
          <w:color w:val="auto"/>
          <w:sz w:val="24"/>
          <w:highlight w:val="none"/>
        </w:rPr>
        <w:t>投标人：</w:t>
      </w:r>
      <w:r>
        <w:rPr>
          <w:rStyle w:val="27"/>
          <w:color w:val="auto"/>
          <w:sz w:val="24"/>
          <w:highlight w:val="none"/>
          <w:u w:val="single"/>
        </w:rPr>
        <w:t xml:space="preserve"> </w:t>
      </w:r>
      <w:r>
        <w:rPr>
          <w:rStyle w:val="27"/>
          <w:rFonts w:hint="eastAsia"/>
          <w:color w:val="auto"/>
          <w:sz w:val="24"/>
          <w:highlight w:val="none"/>
          <w:u w:val="single"/>
        </w:rPr>
        <w:t xml:space="preserve">  （独立体或联合体主办方） </w:t>
      </w:r>
      <w:r>
        <w:rPr>
          <w:rStyle w:val="27"/>
          <w:color w:val="auto"/>
          <w:sz w:val="24"/>
          <w:highlight w:val="none"/>
          <w:u w:val="single"/>
        </w:rPr>
        <w:t xml:space="preserve">                    </w:t>
      </w:r>
      <w:r>
        <w:rPr>
          <w:rStyle w:val="27"/>
          <w:color w:val="auto"/>
          <w:sz w:val="24"/>
          <w:highlight w:val="none"/>
        </w:rPr>
        <w:t>（单位盖章）</w:t>
      </w:r>
    </w:p>
    <w:p>
      <w:pPr>
        <w:spacing w:line="360" w:lineRule="auto"/>
        <w:ind w:firstLine="480" w:firstLineChars="200"/>
        <w:rPr>
          <w:rStyle w:val="27"/>
          <w:color w:val="auto"/>
          <w:sz w:val="24"/>
          <w:highlight w:val="none"/>
        </w:rPr>
      </w:pPr>
      <w:r>
        <w:rPr>
          <w:rStyle w:val="27"/>
          <w:color w:val="auto"/>
          <w:sz w:val="24"/>
          <w:highlight w:val="none"/>
        </w:rPr>
        <w:t>法定代表人或</w:t>
      </w:r>
      <w:r>
        <w:rPr>
          <w:rStyle w:val="27"/>
          <w:rFonts w:hint="eastAsia"/>
          <w:color w:val="auto"/>
          <w:sz w:val="24"/>
          <w:highlight w:val="none"/>
          <w:lang w:val="en-US" w:eastAsia="zh-CN"/>
        </w:rPr>
        <w:t>全权</w:t>
      </w:r>
      <w:r>
        <w:rPr>
          <w:rStyle w:val="27"/>
          <w:color w:val="auto"/>
          <w:sz w:val="24"/>
          <w:highlight w:val="none"/>
        </w:rPr>
        <w:t>代理人（签字或盖章）：</w:t>
      </w:r>
    </w:p>
    <w:p>
      <w:pPr>
        <w:spacing w:line="360" w:lineRule="auto"/>
        <w:ind w:firstLine="480" w:firstLineChars="200"/>
        <w:rPr>
          <w:rStyle w:val="27"/>
          <w:color w:val="auto"/>
          <w:sz w:val="24"/>
          <w:highlight w:val="none"/>
        </w:rPr>
      </w:pPr>
      <w:r>
        <w:rPr>
          <w:rStyle w:val="27"/>
          <w:color w:val="auto"/>
          <w:sz w:val="24"/>
          <w:highlight w:val="none"/>
        </w:rPr>
        <w:t>地址：</w:t>
      </w:r>
    </w:p>
    <w:p>
      <w:pPr>
        <w:spacing w:line="360" w:lineRule="auto"/>
        <w:ind w:firstLine="480" w:firstLineChars="200"/>
        <w:rPr>
          <w:rStyle w:val="27"/>
          <w:color w:val="auto"/>
          <w:sz w:val="24"/>
          <w:highlight w:val="none"/>
        </w:rPr>
      </w:pPr>
      <w:r>
        <w:rPr>
          <w:rStyle w:val="27"/>
          <w:color w:val="auto"/>
          <w:sz w:val="24"/>
          <w:highlight w:val="none"/>
        </w:rPr>
        <w:t>电话：</w:t>
      </w:r>
    </w:p>
    <w:p>
      <w:pPr>
        <w:spacing w:line="360" w:lineRule="auto"/>
        <w:ind w:firstLine="480" w:firstLineChars="200"/>
        <w:rPr>
          <w:rStyle w:val="27"/>
          <w:color w:val="auto"/>
          <w:sz w:val="24"/>
          <w:highlight w:val="none"/>
        </w:rPr>
      </w:pPr>
      <w:r>
        <w:rPr>
          <w:rStyle w:val="27"/>
          <w:color w:val="auto"/>
          <w:sz w:val="24"/>
          <w:highlight w:val="none"/>
        </w:rPr>
        <w:t>传真：</w:t>
      </w:r>
    </w:p>
    <w:p>
      <w:pPr>
        <w:spacing w:line="360" w:lineRule="auto"/>
        <w:ind w:firstLine="480" w:firstLineChars="200"/>
        <w:rPr>
          <w:rStyle w:val="27"/>
          <w:color w:val="auto"/>
          <w:sz w:val="24"/>
          <w:highlight w:val="none"/>
        </w:rPr>
      </w:pPr>
      <w:r>
        <w:rPr>
          <w:rStyle w:val="27"/>
          <w:color w:val="auto"/>
          <w:sz w:val="24"/>
          <w:highlight w:val="none"/>
        </w:rPr>
        <w:t>邮政编码：</w:t>
      </w:r>
    </w:p>
    <w:p>
      <w:pPr>
        <w:spacing w:line="360" w:lineRule="auto"/>
        <w:ind w:firstLine="480" w:firstLineChars="200"/>
        <w:rPr>
          <w:rStyle w:val="27"/>
          <w:color w:val="auto"/>
          <w:sz w:val="24"/>
          <w:highlight w:val="none"/>
        </w:rPr>
      </w:pPr>
      <w:r>
        <w:rPr>
          <w:rStyle w:val="27"/>
          <w:color w:val="auto"/>
          <w:sz w:val="24"/>
          <w:highlight w:val="none"/>
        </w:rPr>
        <w:t>日期：　　　　年　　月　　日</w:t>
      </w:r>
    </w:p>
    <w:p>
      <w:pPr>
        <w:ind w:firstLine="420" w:firstLineChars="200"/>
        <w:rPr>
          <w:rStyle w:val="27"/>
          <w:color w:val="auto"/>
          <w:highlight w:val="none"/>
        </w:rPr>
      </w:pPr>
    </w:p>
    <w:p>
      <w:pPr>
        <w:snapToGrid w:val="0"/>
        <w:spacing w:line="360" w:lineRule="auto"/>
        <w:ind w:firstLine="602" w:firstLineChars="200"/>
        <w:jc w:val="left"/>
        <w:rPr>
          <w:rFonts w:ascii="宋体" w:hAnsi="宋体" w:cs="宋体"/>
          <w:b/>
          <w:bCs/>
          <w:color w:val="auto"/>
          <w:sz w:val="30"/>
          <w:szCs w:val="30"/>
          <w:highlight w:val="none"/>
        </w:rPr>
      </w:pPr>
      <w:bookmarkStart w:id="117" w:name="_Toc31473"/>
      <w:bookmarkStart w:id="118" w:name="_Toc18120"/>
      <w:r>
        <w:rPr>
          <w:rFonts w:hint="eastAsia" w:ascii="宋体" w:hAnsi="宋体" w:eastAsia="宋体" w:cs="宋体"/>
          <w:b/>
          <w:bCs/>
          <w:color w:val="auto"/>
          <w:sz w:val="30"/>
          <w:szCs w:val="30"/>
          <w:highlight w:val="none"/>
        </w:rPr>
        <w:t>二、联合体</w:t>
      </w:r>
      <w:r>
        <w:rPr>
          <w:rFonts w:hint="eastAsia" w:ascii="宋体" w:hAnsi="宋体" w:cs="宋体"/>
          <w:b/>
          <w:bCs/>
          <w:color w:val="auto"/>
          <w:sz w:val="30"/>
          <w:szCs w:val="30"/>
          <w:highlight w:val="none"/>
        </w:rPr>
        <w:t>协议书</w:t>
      </w:r>
    </w:p>
    <w:p>
      <w:pPr>
        <w:pStyle w:val="91"/>
        <w:widowControl w:val="0"/>
        <w:wordWrap w:val="0"/>
        <w:adjustRightInd w:val="0"/>
        <w:snapToGrid w:val="0"/>
        <w:rPr>
          <w:rFonts w:hAnsi="宋体" w:cs="宋体"/>
          <w:snapToGrid w:val="0"/>
          <w:color w:val="auto"/>
          <w:sz w:val="24"/>
          <w:szCs w:val="24"/>
          <w:highlight w:val="none"/>
        </w:rPr>
      </w:pPr>
    </w:p>
    <w:p>
      <w:pPr>
        <w:pStyle w:val="91"/>
        <w:widowControl w:val="0"/>
        <w:wordWrap w:val="0"/>
        <w:adjustRightInd w:val="0"/>
        <w:snapToGrid w:val="0"/>
        <w:rPr>
          <w:rFonts w:hAnsi="宋体" w:cs="宋体"/>
          <w:snapToGrid w:val="0"/>
          <w:color w:val="auto"/>
          <w:sz w:val="24"/>
          <w:szCs w:val="24"/>
          <w:highlight w:val="none"/>
          <w:u w:val="single"/>
        </w:rPr>
      </w:pPr>
      <w:r>
        <w:rPr>
          <w:rFonts w:hint="eastAsia" w:hAnsi="宋体" w:cs="宋体"/>
          <w:snapToGrid w:val="0"/>
          <w:color w:val="auto"/>
          <w:sz w:val="24"/>
          <w:szCs w:val="24"/>
          <w:highlight w:val="none"/>
        </w:rPr>
        <w:t>成员一名称（主办方）：</w:t>
      </w:r>
    </w:p>
    <w:p>
      <w:pPr>
        <w:pStyle w:val="91"/>
        <w:widowControl w:val="0"/>
        <w:wordWrap w:val="0"/>
        <w:adjustRightInd w:val="0"/>
        <w:snapToGrid w:val="0"/>
        <w:rPr>
          <w:rFonts w:hAnsi="宋体" w:cs="宋体"/>
          <w:snapToGrid w:val="0"/>
          <w:color w:val="auto"/>
          <w:sz w:val="24"/>
          <w:szCs w:val="24"/>
          <w:highlight w:val="none"/>
          <w:u w:val="single"/>
        </w:rPr>
      </w:pPr>
      <w:r>
        <w:rPr>
          <w:rFonts w:hint="eastAsia" w:hAnsi="宋体" w:cs="宋体"/>
          <w:snapToGrid w:val="0"/>
          <w:color w:val="auto"/>
          <w:sz w:val="24"/>
          <w:szCs w:val="24"/>
          <w:highlight w:val="none"/>
        </w:rPr>
        <w:t>法定代表人：</w:t>
      </w:r>
    </w:p>
    <w:p>
      <w:pPr>
        <w:pStyle w:val="91"/>
        <w:widowControl w:val="0"/>
        <w:wordWrap w:val="0"/>
        <w:adjustRightInd w:val="0"/>
        <w:snapToGrid w:val="0"/>
        <w:rPr>
          <w:rFonts w:hAnsi="宋体" w:cs="宋体"/>
          <w:snapToGrid w:val="0"/>
          <w:color w:val="auto"/>
          <w:sz w:val="24"/>
          <w:szCs w:val="24"/>
          <w:highlight w:val="none"/>
        </w:rPr>
      </w:pPr>
      <w:r>
        <w:rPr>
          <w:rFonts w:hint="eastAsia" w:hAnsi="宋体" w:cs="宋体"/>
          <w:snapToGrid w:val="0"/>
          <w:color w:val="auto"/>
          <w:sz w:val="24"/>
          <w:szCs w:val="24"/>
          <w:highlight w:val="none"/>
        </w:rPr>
        <w:t>法定住所：</w:t>
      </w:r>
    </w:p>
    <w:p>
      <w:pPr>
        <w:pStyle w:val="91"/>
        <w:widowControl w:val="0"/>
        <w:wordWrap w:val="0"/>
        <w:adjustRightInd w:val="0"/>
        <w:snapToGrid w:val="0"/>
        <w:rPr>
          <w:rFonts w:hAnsi="宋体" w:cs="宋体"/>
          <w:snapToGrid w:val="0"/>
          <w:color w:val="auto"/>
          <w:sz w:val="24"/>
          <w:szCs w:val="24"/>
          <w:highlight w:val="none"/>
        </w:rPr>
      </w:pPr>
    </w:p>
    <w:p>
      <w:pPr>
        <w:pStyle w:val="91"/>
        <w:widowControl w:val="0"/>
        <w:wordWrap w:val="0"/>
        <w:adjustRightInd w:val="0"/>
        <w:snapToGrid w:val="0"/>
        <w:rPr>
          <w:rFonts w:hAnsi="宋体" w:cs="宋体"/>
          <w:snapToGrid w:val="0"/>
          <w:color w:val="auto"/>
          <w:sz w:val="24"/>
          <w:szCs w:val="24"/>
          <w:highlight w:val="none"/>
          <w:u w:val="single"/>
        </w:rPr>
      </w:pPr>
      <w:r>
        <w:rPr>
          <w:rFonts w:hint="eastAsia" w:hAnsi="宋体" w:cs="宋体"/>
          <w:snapToGrid w:val="0"/>
          <w:color w:val="auto"/>
          <w:sz w:val="24"/>
          <w:szCs w:val="24"/>
          <w:highlight w:val="none"/>
        </w:rPr>
        <w:t>成员二名称：</w:t>
      </w:r>
    </w:p>
    <w:p>
      <w:pPr>
        <w:pStyle w:val="91"/>
        <w:widowControl w:val="0"/>
        <w:wordWrap w:val="0"/>
        <w:adjustRightInd w:val="0"/>
        <w:snapToGrid w:val="0"/>
        <w:rPr>
          <w:rFonts w:hAnsi="宋体" w:cs="宋体"/>
          <w:snapToGrid w:val="0"/>
          <w:color w:val="auto"/>
          <w:sz w:val="24"/>
          <w:szCs w:val="24"/>
          <w:highlight w:val="none"/>
          <w:u w:val="single"/>
        </w:rPr>
      </w:pPr>
      <w:r>
        <w:rPr>
          <w:rFonts w:hint="eastAsia" w:hAnsi="宋体" w:cs="宋体"/>
          <w:snapToGrid w:val="0"/>
          <w:color w:val="auto"/>
          <w:sz w:val="24"/>
          <w:szCs w:val="24"/>
          <w:highlight w:val="none"/>
        </w:rPr>
        <w:t>法定代表人：</w:t>
      </w:r>
    </w:p>
    <w:p>
      <w:pPr>
        <w:pStyle w:val="91"/>
        <w:widowControl w:val="0"/>
        <w:wordWrap w:val="0"/>
        <w:adjustRightInd w:val="0"/>
        <w:snapToGrid w:val="0"/>
        <w:rPr>
          <w:rFonts w:hAnsi="宋体" w:cs="宋体"/>
          <w:snapToGrid w:val="0"/>
          <w:color w:val="auto"/>
          <w:sz w:val="24"/>
          <w:szCs w:val="24"/>
          <w:highlight w:val="none"/>
        </w:rPr>
      </w:pPr>
      <w:r>
        <w:rPr>
          <w:rFonts w:hint="eastAsia" w:hAnsi="宋体" w:cs="宋体"/>
          <w:snapToGrid w:val="0"/>
          <w:color w:val="auto"/>
          <w:sz w:val="24"/>
          <w:szCs w:val="24"/>
          <w:highlight w:val="none"/>
        </w:rPr>
        <w:t>法定住所：</w:t>
      </w:r>
    </w:p>
    <w:p>
      <w:pPr>
        <w:pStyle w:val="91"/>
        <w:widowControl w:val="0"/>
        <w:wordWrap w:val="0"/>
        <w:adjustRightInd w:val="0"/>
        <w:snapToGrid w:val="0"/>
        <w:rPr>
          <w:rFonts w:hAnsi="宋体" w:cs="宋体"/>
          <w:snapToGrid w:val="0"/>
          <w:color w:val="auto"/>
          <w:sz w:val="24"/>
          <w:szCs w:val="24"/>
          <w:highlight w:val="none"/>
        </w:rPr>
      </w:pPr>
    </w:p>
    <w:p>
      <w:pPr>
        <w:pStyle w:val="91"/>
        <w:widowControl w:val="0"/>
        <w:wordWrap w:val="0"/>
        <w:adjustRightInd w:val="0"/>
        <w:snapToGrid w:val="0"/>
        <w:rPr>
          <w:rFonts w:hAnsi="宋体" w:cs="宋体"/>
          <w:snapToGrid w:val="0"/>
          <w:color w:val="auto"/>
          <w:sz w:val="24"/>
          <w:szCs w:val="24"/>
          <w:highlight w:val="none"/>
        </w:rPr>
      </w:pPr>
      <w:r>
        <w:rPr>
          <w:rFonts w:hint="eastAsia" w:hAnsi="宋体" w:cs="宋体"/>
          <w:snapToGrid w:val="0"/>
          <w:color w:val="auto"/>
          <w:sz w:val="24"/>
          <w:szCs w:val="24"/>
          <w:highlight w:val="none"/>
        </w:rPr>
        <w:t>.........</w:t>
      </w:r>
    </w:p>
    <w:p>
      <w:pPr>
        <w:pStyle w:val="91"/>
        <w:widowControl w:val="0"/>
        <w:wordWrap w:val="0"/>
        <w:adjustRightInd w:val="0"/>
        <w:snapToGrid w:val="0"/>
        <w:rPr>
          <w:rFonts w:hAnsi="宋体" w:cs="宋体"/>
          <w:snapToGrid w:val="0"/>
          <w:color w:val="auto"/>
          <w:sz w:val="24"/>
          <w:szCs w:val="24"/>
          <w:highlight w:val="none"/>
        </w:rPr>
      </w:pPr>
      <w:r>
        <w:rPr>
          <w:rFonts w:hint="eastAsia" w:hAnsi="宋体" w:cs="宋体"/>
          <w:snapToGrid w:val="0"/>
          <w:color w:val="auto"/>
          <w:sz w:val="24"/>
          <w:szCs w:val="24"/>
          <w:highlight w:val="none"/>
        </w:rPr>
        <w:t>上述各成员单位经过友好协商，自愿组成联合体，共同参加</w:t>
      </w:r>
      <w:r>
        <w:rPr>
          <w:rFonts w:hint="eastAsia" w:hAnsi="宋体" w:cs="宋体"/>
          <w:snapToGrid w:val="0"/>
          <w:color w:val="auto"/>
          <w:sz w:val="24"/>
          <w:szCs w:val="24"/>
          <w:highlight w:val="none"/>
          <w:u w:val="single"/>
        </w:rPr>
        <w:t>廉江市镇级污水管网及配套设施项目勘察设计</w:t>
      </w:r>
      <w:r>
        <w:rPr>
          <w:rFonts w:hint="eastAsia" w:hAnsi="宋体" w:cs="宋体"/>
          <w:snapToGrid w:val="0"/>
          <w:color w:val="auto"/>
          <w:sz w:val="24"/>
          <w:szCs w:val="24"/>
          <w:highlight w:val="none"/>
        </w:rPr>
        <w:t>的投标并争取赢得本工程</w:t>
      </w:r>
      <w:r>
        <w:rPr>
          <w:rFonts w:hint="eastAsia" w:hAnsi="宋体" w:cs="宋体"/>
          <w:snapToGrid w:val="0"/>
          <w:color w:val="auto"/>
          <w:sz w:val="24"/>
          <w:szCs w:val="24"/>
          <w:highlight w:val="none"/>
          <w:u w:val="single"/>
        </w:rPr>
        <w:t>勘察设计</w:t>
      </w:r>
      <w:r>
        <w:rPr>
          <w:rFonts w:hint="eastAsia" w:hAnsi="宋体" w:cs="宋体"/>
          <w:snapToGrid w:val="0"/>
          <w:color w:val="auto"/>
          <w:sz w:val="24"/>
          <w:szCs w:val="24"/>
          <w:highlight w:val="none"/>
        </w:rPr>
        <w:t>（以下简称合同）。现就联合体投标事宜订立如下协议：</w:t>
      </w:r>
    </w:p>
    <w:p>
      <w:pPr>
        <w:pStyle w:val="91"/>
        <w:widowControl w:val="0"/>
        <w:wordWrap w:val="0"/>
        <w:adjustRightInd w:val="0"/>
        <w:snapToGrid w:val="0"/>
        <w:ind w:firstLine="480" w:firstLineChars="200"/>
        <w:rPr>
          <w:rFonts w:hAnsi="宋体" w:cs="宋体"/>
          <w:snapToGrid w:val="0"/>
          <w:color w:val="auto"/>
          <w:sz w:val="24"/>
          <w:szCs w:val="24"/>
          <w:highlight w:val="none"/>
        </w:rPr>
      </w:pPr>
      <w:r>
        <w:rPr>
          <w:rFonts w:hint="eastAsia" w:hAnsi="宋体" w:cs="宋体"/>
          <w:snapToGrid w:val="0"/>
          <w:color w:val="auto"/>
          <w:sz w:val="24"/>
          <w:szCs w:val="24"/>
          <w:highlight w:val="none"/>
        </w:rPr>
        <w:t>1．</w:t>
      </w:r>
      <w:r>
        <w:rPr>
          <w:rFonts w:hint="eastAsia" w:hAnsi="宋体" w:cs="宋体"/>
          <w:snapToGrid w:val="0"/>
          <w:color w:val="auto"/>
          <w:sz w:val="24"/>
          <w:szCs w:val="24"/>
          <w:highlight w:val="none"/>
          <w:u w:val="single"/>
        </w:rPr>
        <w:t>（某一成员单位名称）</w:t>
      </w:r>
      <w:r>
        <w:rPr>
          <w:rFonts w:hint="eastAsia" w:hAnsi="宋体" w:cs="宋体"/>
          <w:snapToGrid w:val="0"/>
          <w:color w:val="auto"/>
          <w:sz w:val="24"/>
          <w:szCs w:val="24"/>
          <w:highlight w:val="none"/>
        </w:rPr>
        <w:t>为</w:t>
      </w:r>
      <w:r>
        <w:rPr>
          <w:rFonts w:hint="eastAsia" w:hAnsi="宋体" w:cs="宋体"/>
          <w:snapToGrid w:val="0"/>
          <w:color w:val="auto"/>
          <w:sz w:val="24"/>
          <w:szCs w:val="24"/>
          <w:highlight w:val="none"/>
          <w:u w:val="single"/>
        </w:rPr>
        <w:t>廉江市镇级污水管网及配套设施项目勘察设计</w:t>
      </w:r>
      <w:r>
        <w:rPr>
          <w:rFonts w:hint="eastAsia" w:hAnsi="宋体" w:cs="宋体"/>
          <w:snapToGrid w:val="0"/>
          <w:color w:val="auto"/>
          <w:sz w:val="24"/>
          <w:szCs w:val="24"/>
          <w:highlight w:val="none"/>
        </w:rPr>
        <w:t>联合体主办方。</w:t>
      </w:r>
    </w:p>
    <w:p>
      <w:pPr>
        <w:pStyle w:val="91"/>
        <w:widowControl w:val="0"/>
        <w:wordWrap w:val="0"/>
        <w:adjustRightInd w:val="0"/>
        <w:snapToGrid w:val="0"/>
        <w:ind w:firstLine="480" w:firstLineChars="200"/>
        <w:rPr>
          <w:rFonts w:hAnsi="宋体" w:cs="宋体"/>
          <w:snapToGrid w:val="0"/>
          <w:color w:val="auto"/>
          <w:sz w:val="24"/>
          <w:szCs w:val="24"/>
          <w:highlight w:val="none"/>
        </w:rPr>
      </w:pPr>
      <w:r>
        <w:rPr>
          <w:rFonts w:hint="eastAsia" w:hAnsi="宋体" w:cs="宋体"/>
          <w:snapToGrid w:val="0"/>
          <w:color w:val="auto"/>
          <w:sz w:val="24"/>
          <w:szCs w:val="24"/>
          <w:highlight w:val="none"/>
        </w:rPr>
        <w:t>2．在本工程投标阶段，联合体主办方合法代表联合体各成员负责本工程投标文件编制活动，代表联合体提交和接收相关的资料、信息及指示，并处理与投标和中标有关的一切事务；联合体中标后，联合体主办方及各成员分别与招标人根据招标文件规定订立合同并按合同分别实施各自负责的工作。</w:t>
      </w:r>
    </w:p>
    <w:p>
      <w:pPr>
        <w:pStyle w:val="91"/>
        <w:widowControl w:val="0"/>
        <w:wordWrap w:val="0"/>
        <w:adjustRightInd w:val="0"/>
        <w:snapToGrid w:val="0"/>
        <w:ind w:firstLine="480" w:firstLineChars="200"/>
        <w:rPr>
          <w:rFonts w:hAnsi="宋体" w:cs="宋体"/>
          <w:snapToGrid w:val="0"/>
          <w:color w:val="auto"/>
          <w:sz w:val="24"/>
          <w:szCs w:val="24"/>
          <w:highlight w:val="none"/>
        </w:rPr>
      </w:pPr>
      <w:r>
        <w:rPr>
          <w:rFonts w:hint="eastAsia" w:hAnsi="宋体" w:cs="宋体"/>
          <w:snapToGrid w:val="0"/>
          <w:color w:val="auto"/>
          <w:sz w:val="24"/>
          <w:szCs w:val="24"/>
          <w:highlight w:val="none"/>
        </w:rPr>
        <w:t>3．联合体各方将严格按照招标文件的各项要求，递交投标文件，履行投标义务和中标后的合同，分别承担各自合同规定的一切义务和责任，联合体各成员单位按照内部职责的部分，承担各自所负的责任和风险。</w:t>
      </w:r>
    </w:p>
    <w:p>
      <w:pPr>
        <w:pStyle w:val="91"/>
        <w:widowControl w:val="0"/>
        <w:wordWrap w:val="0"/>
        <w:adjustRightInd w:val="0"/>
        <w:snapToGrid w:val="0"/>
        <w:ind w:firstLine="480" w:firstLineChars="200"/>
        <w:rPr>
          <w:rFonts w:hAnsi="宋体" w:cs="宋体"/>
          <w:snapToGrid w:val="0"/>
          <w:color w:val="auto"/>
          <w:sz w:val="24"/>
          <w:szCs w:val="24"/>
          <w:highlight w:val="none"/>
        </w:rPr>
      </w:pPr>
      <w:r>
        <w:rPr>
          <w:rFonts w:hint="eastAsia" w:hAnsi="宋体" w:cs="宋体"/>
          <w:snapToGrid w:val="0"/>
          <w:color w:val="auto"/>
          <w:sz w:val="24"/>
          <w:szCs w:val="24"/>
          <w:highlight w:val="none"/>
        </w:rPr>
        <w:t>4.联合体各成员单位内部的职责分工如下：</w:t>
      </w:r>
    </w:p>
    <w:p>
      <w:pPr>
        <w:pStyle w:val="91"/>
        <w:widowControl w:val="0"/>
        <w:wordWrap w:val="0"/>
        <w:adjustRightInd w:val="0"/>
        <w:snapToGrid w:val="0"/>
        <w:ind w:firstLine="480" w:firstLineChars="200"/>
        <w:rPr>
          <w:rFonts w:hAnsi="宋体" w:cs="宋体"/>
          <w:snapToGrid w:val="0"/>
          <w:color w:val="auto"/>
          <w:sz w:val="24"/>
          <w:szCs w:val="24"/>
          <w:highlight w:val="none"/>
        </w:rPr>
      </w:pPr>
      <w:r>
        <w:rPr>
          <w:rFonts w:hint="eastAsia" w:hAnsi="宋体" w:cs="宋体"/>
          <w:snapToGrid w:val="0"/>
          <w:color w:val="auto"/>
          <w:sz w:val="24"/>
          <w:szCs w:val="24"/>
          <w:highlight w:val="none"/>
        </w:rPr>
        <w:t>4.1</w:t>
      </w:r>
      <w:r>
        <w:rPr>
          <w:rFonts w:hint="eastAsia" w:hAnsi="宋体" w:cs="宋体"/>
          <w:snapToGrid w:val="0"/>
          <w:color w:val="auto"/>
          <w:sz w:val="24"/>
          <w:szCs w:val="24"/>
          <w:highlight w:val="none"/>
          <w:u w:val="single"/>
        </w:rPr>
        <w:t xml:space="preserve">联合体主办方（单位名称）：                                </w:t>
      </w:r>
      <w:r>
        <w:rPr>
          <w:rFonts w:hint="eastAsia" w:hAnsi="宋体" w:cs="宋体"/>
          <w:snapToGrid w:val="0"/>
          <w:color w:val="auto"/>
          <w:sz w:val="24"/>
          <w:szCs w:val="24"/>
          <w:highlight w:val="none"/>
        </w:rPr>
        <w:t>。</w:t>
      </w:r>
    </w:p>
    <w:p>
      <w:pPr>
        <w:pStyle w:val="91"/>
        <w:widowControl w:val="0"/>
        <w:wordWrap w:val="0"/>
        <w:adjustRightInd w:val="0"/>
        <w:snapToGrid w:val="0"/>
        <w:ind w:firstLine="480" w:firstLineChars="200"/>
        <w:rPr>
          <w:rFonts w:hAnsi="宋体" w:cs="宋体"/>
          <w:snapToGrid w:val="0"/>
          <w:color w:val="auto"/>
          <w:sz w:val="24"/>
          <w:szCs w:val="24"/>
          <w:highlight w:val="none"/>
        </w:rPr>
      </w:pPr>
      <w:r>
        <w:rPr>
          <w:rFonts w:hint="eastAsia" w:hAnsi="宋体" w:cs="宋体"/>
          <w:snapToGrid w:val="0"/>
          <w:color w:val="auto"/>
          <w:sz w:val="24"/>
          <w:szCs w:val="24"/>
          <w:highlight w:val="none"/>
        </w:rPr>
        <w:t>4.2</w:t>
      </w:r>
      <w:r>
        <w:rPr>
          <w:rFonts w:hint="eastAsia" w:hAnsi="宋体" w:cs="宋体"/>
          <w:snapToGrid w:val="0"/>
          <w:color w:val="auto"/>
          <w:sz w:val="24"/>
          <w:szCs w:val="24"/>
          <w:highlight w:val="none"/>
          <w:u w:val="single"/>
        </w:rPr>
        <w:t xml:space="preserve">联合体成员（单位名称）：                                  </w:t>
      </w:r>
      <w:r>
        <w:rPr>
          <w:rFonts w:hint="eastAsia" w:hAnsi="宋体" w:cs="宋体"/>
          <w:snapToGrid w:val="0"/>
          <w:color w:val="auto"/>
          <w:sz w:val="24"/>
          <w:szCs w:val="24"/>
          <w:highlight w:val="none"/>
        </w:rPr>
        <w:t>。</w:t>
      </w:r>
    </w:p>
    <w:p>
      <w:pPr>
        <w:pStyle w:val="91"/>
        <w:widowControl w:val="0"/>
        <w:wordWrap w:val="0"/>
        <w:adjustRightInd w:val="0"/>
        <w:snapToGrid w:val="0"/>
        <w:ind w:firstLine="480" w:firstLineChars="200"/>
        <w:rPr>
          <w:rFonts w:hAnsi="宋体" w:cs="宋体"/>
          <w:snapToGrid w:val="0"/>
          <w:color w:val="auto"/>
          <w:sz w:val="24"/>
          <w:szCs w:val="24"/>
          <w:highlight w:val="none"/>
        </w:rPr>
      </w:pPr>
      <w:r>
        <w:rPr>
          <w:rFonts w:hint="eastAsia" w:hAnsi="宋体" w:cs="宋体"/>
          <w:snapToGrid w:val="0"/>
          <w:color w:val="auto"/>
          <w:sz w:val="24"/>
          <w:szCs w:val="24"/>
          <w:highlight w:val="none"/>
        </w:rPr>
        <w:t xml:space="preserve">4.3 </w:t>
      </w:r>
      <w:r>
        <w:rPr>
          <w:rFonts w:hint="eastAsia" w:hAnsi="宋体" w:cs="宋体"/>
          <w:snapToGrid w:val="0"/>
          <w:color w:val="auto"/>
          <w:sz w:val="24"/>
          <w:szCs w:val="24"/>
          <w:highlight w:val="none"/>
          <w:u w:val="single"/>
        </w:rPr>
        <w:t xml:space="preserve">联合体成员（单位名称）：                                  </w:t>
      </w:r>
      <w:r>
        <w:rPr>
          <w:rFonts w:hint="eastAsia" w:hAnsi="宋体" w:cs="宋体"/>
          <w:snapToGrid w:val="0"/>
          <w:color w:val="auto"/>
          <w:sz w:val="24"/>
          <w:szCs w:val="24"/>
          <w:highlight w:val="none"/>
        </w:rPr>
        <w:t>。</w:t>
      </w:r>
    </w:p>
    <w:p>
      <w:pPr>
        <w:pStyle w:val="91"/>
        <w:widowControl w:val="0"/>
        <w:wordWrap w:val="0"/>
        <w:adjustRightInd w:val="0"/>
        <w:snapToGrid w:val="0"/>
        <w:ind w:firstLine="480" w:firstLineChars="200"/>
        <w:rPr>
          <w:rFonts w:hAnsi="宋体" w:cs="宋体"/>
          <w:snapToGrid w:val="0"/>
          <w:color w:val="auto"/>
          <w:sz w:val="24"/>
          <w:szCs w:val="24"/>
          <w:highlight w:val="none"/>
        </w:rPr>
      </w:pPr>
      <w:r>
        <w:rPr>
          <w:rFonts w:hint="eastAsia" w:hAnsi="宋体" w:cs="宋体"/>
          <w:snapToGrid w:val="0"/>
          <w:color w:val="auto"/>
          <w:sz w:val="24"/>
          <w:szCs w:val="24"/>
          <w:highlight w:val="none"/>
        </w:rPr>
        <w:t>............</w:t>
      </w:r>
    </w:p>
    <w:p>
      <w:pPr>
        <w:pStyle w:val="91"/>
        <w:widowControl w:val="0"/>
        <w:wordWrap w:val="0"/>
        <w:adjustRightInd w:val="0"/>
        <w:snapToGrid w:val="0"/>
        <w:ind w:firstLine="480" w:firstLineChars="200"/>
        <w:rPr>
          <w:rFonts w:hAnsi="宋体" w:cs="宋体"/>
          <w:snapToGrid w:val="0"/>
          <w:color w:val="auto"/>
          <w:sz w:val="24"/>
          <w:szCs w:val="24"/>
          <w:highlight w:val="none"/>
        </w:rPr>
      </w:pPr>
      <w:r>
        <w:rPr>
          <w:rFonts w:hint="eastAsia" w:hAnsi="宋体" w:cs="宋体"/>
          <w:snapToGrid w:val="0"/>
          <w:color w:val="auto"/>
          <w:sz w:val="24"/>
          <w:szCs w:val="24"/>
          <w:highlight w:val="none"/>
        </w:rPr>
        <w:t>5．投标工作和联合体在中标后工程实施过程中的有关费用按各自承担的工作量分摊。</w:t>
      </w:r>
    </w:p>
    <w:p>
      <w:pPr>
        <w:pStyle w:val="91"/>
        <w:widowControl w:val="0"/>
        <w:wordWrap w:val="0"/>
        <w:adjustRightInd w:val="0"/>
        <w:snapToGrid w:val="0"/>
        <w:ind w:firstLine="480" w:firstLineChars="200"/>
        <w:rPr>
          <w:rFonts w:hAnsi="宋体" w:cs="宋体"/>
          <w:snapToGrid w:val="0"/>
          <w:color w:val="auto"/>
          <w:sz w:val="24"/>
          <w:szCs w:val="24"/>
          <w:highlight w:val="none"/>
        </w:rPr>
      </w:pPr>
      <w:r>
        <w:rPr>
          <w:rFonts w:hint="eastAsia" w:hAnsi="宋体" w:cs="宋体"/>
          <w:snapToGrid w:val="0"/>
          <w:color w:val="auto"/>
          <w:sz w:val="24"/>
          <w:szCs w:val="24"/>
          <w:highlight w:val="none"/>
        </w:rPr>
        <w:t>6．联合体中标后，本联合体协议是合同的附件，对联合体各成员单位有合同约束力。</w:t>
      </w:r>
    </w:p>
    <w:p>
      <w:pPr>
        <w:pStyle w:val="91"/>
        <w:widowControl w:val="0"/>
        <w:wordWrap w:val="0"/>
        <w:adjustRightInd w:val="0"/>
        <w:snapToGrid w:val="0"/>
        <w:ind w:firstLine="480" w:firstLineChars="200"/>
        <w:rPr>
          <w:rFonts w:hAnsi="宋体" w:cs="宋体"/>
          <w:snapToGrid w:val="0"/>
          <w:color w:val="auto"/>
          <w:sz w:val="24"/>
          <w:szCs w:val="24"/>
          <w:highlight w:val="none"/>
        </w:rPr>
      </w:pPr>
      <w:r>
        <w:rPr>
          <w:rFonts w:hint="eastAsia" w:hAnsi="宋体" w:cs="宋体"/>
          <w:snapToGrid w:val="0"/>
          <w:color w:val="auto"/>
          <w:sz w:val="24"/>
          <w:szCs w:val="24"/>
          <w:highlight w:val="none"/>
        </w:rPr>
        <w:t>7．本协议书自签署之日起生效，联合体未中标或者中标时合同履行完毕后自动失效。</w:t>
      </w:r>
    </w:p>
    <w:p>
      <w:pPr>
        <w:pStyle w:val="91"/>
        <w:widowControl w:val="0"/>
        <w:wordWrap w:val="0"/>
        <w:adjustRightInd w:val="0"/>
        <w:snapToGrid w:val="0"/>
        <w:ind w:firstLine="480" w:firstLineChars="200"/>
        <w:rPr>
          <w:rFonts w:hAnsi="宋体" w:cs="宋体"/>
          <w:snapToGrid w:val="0"/>
          <w:color w:val="auto"/>
          <w:sz w:val="24"/>
          <w:szCs w:val="24"/>
          <w:highlight w:val="none"/>
        </w:rPr>
      </w:pPr>
      <w:r>
        <w:rPr>
          <w:rFonts w:hint="eastAsia" w:hAnsi="宋体" w:cs="宋体"/>
          <w:snapToGrid w:val="0"/>
          <w:color w:val="auto"/>
          <w:sz w:val="24"/>
          <w:szCs w:val="24"/>
          <w:highlight w:val="none"/>
        </w:rPr>
        <w:t>8．本协议书一式</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份，联合体成员和招标人各执</w:t>
      </w:r>
      <w:r>
        <w:rPr>
          <w:rFonts w:hint="eastAsia" w:hAnsi="宋体" w:cs="宋体"/>
          <w:snapToGrid w:val="0"/>
          <w:color w:val="auto"/>
          <w:sz w:val="24"/>
          <w:szCs w:val="24"/>
          <w:highlight w:val="none"/>
          <w:u w:val="single"/>
        </w:rPr>
        <w:t xml:space="preserve"> 壹  </w:t>
      </w:r>
      <w:r>
        <w:rPr>
          <w:rFonts w:hint="eastAsia" w:hAnsi="宋体" w:cs="宋体"/>
          <w:snapToGrid w:val="0"/>
          <w:color w:val="auto"/>
          <w:sz w:val="24"/>
          <w:szCs w:val="24"/>
          <w:highlight w:val="none"/>
        </w:rPr>
        <w:t>份。</w:t>
      </w:r>
    </w:p>
    <w:p>
      <w:pPr>
        <w:pStyle w:val="91"/>
        <w:widowControl w:val="0"/>
        <w:wordWrap w:val="0"/>
        <w:adjustRightInd w:val="0"/>
        <w:snapToGrid w:val="0"/>
        <w:ind w:firstLine="480" w:firstLineChars="200"/>
        <w:jc w:val="both"/>
        <w:rPr>
          <w:rFonts w:hAnsi="宋体" w:cs="宋体"/>
          <w:snapToGrid w:val="0"/>
          <w:color w:val="auto"/>
          <w:sz w:val="24"/>
          <w:szCs w:val="24"/>
          <w:highlight w:val="none"/>
        </w:rPr>
      </w:pPr>
      <w:r>
        <w:rPr>
          <w:rFonts w:hint="eastAsia" w:hAnsi="宋体" w:cs="宋体"/>
          <w:snapToGrid w:val="0"/>
          <w:color w:val="auto"/>
          <w:sz w:val="24"/>
          <w:szCs w:val="24"/>
          <w:highlight w:val="none"/>
        </w:rPr>
        <w:t xml:space="preserve">                     </w:t>
      </w:r>
    </w:p>
    <w:p>
      <w:pPr>
        <w:pStyle w:val="91"/>
        <w:widowControl w:val="0"/>
        <w:wordWrap w:val="0"/>
        <w:adjustRightInd w:val="0"/>
        <w:snapToGrid w:val="0"/>
        <w:ind w:firstLine="2880" w:firstLineChars="1200"/>
        <w:jc w:val="both"/>
        <w:rPr>
          <w:rFonts w:hAnsi="宋体" w:cs="宋体"/>
          <w:snapToGrid w:val="0"/>
          <w:color w:val="auto"/>
          <w:sz w:val="24"/>
          <w:szCs w:val="24"/>
          <w:highlight w:val="none"/>
        </w:rPr>
      </w:pPr>
      <w:r>
        <w:rPr>
          <w:rFonts w:hint="eastAsia" w:hAnsi="宋体" w:cs="宋体"/>
          <w:snapToGrid w:val="0"/>
          <w:color w:val="auto"/>
          <w:sz w:val="24"/>
          <w:szCs w:val="24"/>
          <w:highlight w:val="none"/>
        </w:rPr>
        <w:t>成员一名称（主办方）：</w:t>
      </w:r>
      <w:r>
        <w:rPr>
          <w:rFonts w:hint="eastAsia" w:hAnsi="宋体" w:cs="宋体"/>
          <w:snapToGrid w:val="0"/>
          <w:color w:val="auto"/>
          <w:sz w:val="24"/>
          <w:szCs w:val="24"/>
          <w:highlight w:val="none"/>
          <w:u w:val="single"/>
          <w:lang w:val="en-US" w:eastAsia="zh-CN"/>
        </w:rPr>
        <w:t xml:space="preserve">           </w:t>
      </w:r>
      <w:r>
        <w:rPr>
          <w:rFonts w:hint="eastAsia" w:hAnsi="宋体" w:cs="宋体"/>
          <w:snapToGrid w:val="0"/>
          <w:color w:val="auto"/>
          <w:sz w:val="24"/>
          <w:szCs w:val="24"/>
          <w:highlight w:val="none"/>
        </w:rPr>
        <w:t>（盖公章）</w:t>
      </w:r>
      <w:r>
        <w:rPr>
          <w:rFonts w:hint="eastAsia" w:hAnsi="宋体" w:cs="宋体"/>
          <w:snapToGrid w:val="0"/>
          <w:color w:val="auto"/>
          <w:sz w:val="24"/>
          <w:szCs w:val="24"/>
          <w:highlight w:val="none"/>
        </w:rPr>
        <w:tab/>
      </w:r>
      <w:r>
        <w:rPr>
          <w:rFonts w:hint="eastAsia" w:hAnsi="宋体" w:cs="宋体"/>
          <w:snapToGrid w:val="0"/>
          <w:color w:val="auto"/>
          <w:sz w:val="24"/>
          <w:szCs w:val="24"/>
          <w:highlight w:val="none"/>
        </w:rPr>
        <w:t xml:space="preserve">　　　　　　                    </w:t>
      </w:r>
      <w:r>
        <w:rPr>
          <w:rFonts w:hint="eastAsia" w:hAnsi="宋体" w:cs="宋体"/>
          <w:snapToGrid w:val="0"/>
          <w:color w:val="auto"/>
          <w:sz w:val="24"/>
          <w:szCs w:val="24"/>
          <w:highlight w:val="none"/>
          <w:lang w:val="en-US" w:eastAsia="zh-CN"/>
        </w:rPr>
        <w:t xml:space="preserve">  </w:t>
      </w:r>
      <w:r>
        <w:rPr>
          <w:rFonts w:hint="eastAsia" w:hAnsi="宋体" w:cs="宋体"/>
          <w:snapToGrid w:val="0"/>
          <w:color w:val="auto"/>
          <w:sz w:val="24"/>
          <w:szCs w:val="24"/>
          <w:highlight w:val="none"/>
        </w:rPr>
        <w:t>法定代表人：</w:t>
      </w:r>
      <w:r>
        <w:rPr>
          <w:rFonts w:hint="eastAsia" w:hAnsi="宋体" w:cs="宋体"/>
          <w:snapToGrid w:val="0"/>
          <w:color w:val="auto"/>
          <w:sz w:val="24"/>
          <w:szCs w:val="24"/>
          <w:highlight w:val="none"/>
          <w:u w:val="single"/>
          <w:lang w:val="en-US" w:eastAsia="zh-CN"/>
        </w:rPr>
        <w:t xml:space="preserve">           </w:t>
      </w:r>
      <w:r>
        <w:rPr>
          <w:rFonts w:hint="eastAsia" w:hAnsi="宋体" w:cs="宋体"/>
          <w:snapToGrid w:val="0"/>
          <w:color w:val="auto"/>
          <w:sz w:val="24"/>
          <w:szCs w:val="24"/>
          <w:highlight w:val="none"/>
        </w:rPr>
        <w:t>（签字或盖章）</w:t>
      </w:r>
    </w:p>
    <w:p>
      <w:pPr>
        <w:pStyle w:val="91"/>
        <w:widowControl w:val="0"/>
        <w:wordWrap w:val="0"/>
        <w:adjustRightInd w:val="0"/>
        <w:snapToGrid w:val="0"/>
        <w:ind w:firstLine="480" w:firstLineChars="200"/>
        <w:jc w:val="both"/>
        <w:rPr>
          <w:rFonts w:hAnsi="宋体" w:cs="宋体"/>
          <w:snapToGrid w:val="0"/>
          <w:color w:val="auto"/>
          <w:sz w:val="24"/>
          <w:szCs w:val="24"/>
          <w:highlight w:val="none"/>
        </w:rPr>
      </w:pPr>
    </w:p>
    <w:p>
      <w:pPr>
        <w:pStyle w:val="91"/>
        <w:widowControl w:val="0"/>
        <w:wordWrap w:val="0"/>
        <w:adjustRightInd w:val="0"/>
        <w:snapToGrid w:val="0"/>
        <w:ind w:firstLine="480" w:firstLineChars="200"/>
        <w:jc w:val="both"/>
        <w:rPr>
          <w:rFonts w:hAnsi="宋体" w:cs="宋体"/>
          <w:snapToGrid w:val="0"/>
          <w:color w:val="auto"/>
          <w:sz w:val="24"/>
          <w:szCs w:val="24"/>
          <w:highlight w:val="none"/>
        </w:rPr>
      </w:pPr>
      <w:r>
        <w:rPr>
          <w:rFonts w:hint="eastAsia" w:hAnsi="宋体" w:cs="宋体"/>
          <w:snapToGrid w:val="0"/>
          <w:color w:val="auto"/>
          <w:sz w:val="24"/>
          <w:szCs w:val="24"/>
          <w:highlight w:val="none"/>
        </w:rPr>
        <w:t xml:space="preserve">   　               成员二名称：</w:t>
      </w:r>
      <w:r>
        <w:rPr>
          <w:rFonts w:hint="eastAsia" w:hAnsi="宋体" w:cs="宋体"/>
          <w:snapToGrid w:val="0"/>
          <w:color w:val="auto"/>
          <w:sz w:val="24"/>
          <w:szCs w:val="24"/>
          <w:highlight w:val="none"/>
          <w:u w:val="single"/>
          <w:lang w:val="en-US" w:eastAsia="zh-CN"/>
        </w:rPr>
        <w:t xml:space="preserve">            </w:t>
      </w:r>
      <w:r>
        <w:rPr>
          <w:rFonts w:hint="eastAsia" w:hAnsi="宋体" w:cs="宋体"/>
          <w:snapToGrid w:val="0"/>
          <w:color w:val="auto"/>
          <w:sz w:val="24"/>
          <w:szCs w:val="24"/>
          <w:highlight w:val="none"/>
        </w:rPr>
        <w:t>（盖公章）</w:t>
      </w:r>
    </w:p>
    <w:p>
      <w:pPr>
        <w:pStyle w:val="91"/>
        <w:widowControl w:val="0"/>
        <w:wordWrap w:val="0"/>
        <w:adjustRightInd w:val="0"/>
        <w:snapToGrid w:val="0"/>
        <w:ind w:firstLine="480" w:firstLineChars="200"/>
        <w:jc w:val="both"/>
        <w:rPr>
          <w:rFonts w:hAnsi="宋体" w:cs="宋体"/>
          <w:snapToGrid w:val="0"/>
          <w:color w:val="auto"/>
          <w:sz w:val="24"/>
          <w:szCs w:val="24"/>
          <w:highlight w:val="none"/>
        </w:rPr>
      </w:pPr>
      <w:r>
        <w:rPr>
          <w:rFonts w:hint="eastAsia" w:hAnsi="宋体" w:cs="宋体"/>
          <w:snapToGrid w:val="0"/>
          <w:color w:val="auto"/>
          <w:sz w:val="24"/>
          <w:szCs w:val="24"/>
          <w:highlight w:val="none"/>
        </w:rPr>
        <w:t>　　                法定代表人：</w:t>
      </w:r>
      <w:r>
        <w:rPr>
          <w:rFonts w:hint="eastAsia" w:hAnsi="宋体" w:cs="宋体"/>
          <w:snapToGrid w:val="0"/>
          <w:color w:val="auto"/>
          <w:sz w:val="24"/>
          <w:szCs w:val="24"/>
          <w:highlight w:val="none"/>
          <w:u w:val="single"/>
          <w:lang w:val="en-US" w:eastAsia="zh-CN"/>
        </w:rPr>
        <w:t xml:space="preserve">             </w:t>
      </w:r>
      <w:r>
        <w:rPr>
          <w:rFonts w:hint="eastAsia" w:hAnsi="宋体" w:cs="宋体"/>
          <w:snapToGrid w:val="0"/>
          <w:color w:val="auto"/>
          <w:sz w:val="24"/>
          <w:szCs w:val="24"/>
          <w:highlight w:val="none"/>
        </w:rPr>
        <w:t>（签字或盖章）</w:t>
      </w:r>
    </w:p>
    <w:p>
      <w:pPr>
        <w:pStyle w:val="91"/>
        <w:widowControl w:val="0"/>
        <w:wordWrap w:val="0"/>
        <w:adjustRightInd w:val="0"/>
        <w:snapToGrid w:val="0"/>
        <w:ind w:firstLine="480" w:firstLineChars="200"/>
        <w:jc w:val="both"/>
        <w:rPr>
          <w:rFonts w:hAnsi="宋体" w:cs="宋体"/>
          <w:snapToGrid w:val="0"/>
          <w:color w:val="auto"/>
          <w:sz w:val="24"/>
          <w:szCs w:val="24"/>
          <w:highlight w:val="none"/>
        </w:rPr>
      </w:pPr>
    </w:p>
    <w:p>
      <w:pPr>
        <w:pStyle w:val="91"/>
        <w:widowControl w:val="0"/>
        <w:wordWrap w:val="0"/>
        <w:adjustRightInd w:val="0"/>
        <w:snapToGrid w:val="0"/>
        <w:rPr>
          <w:rFonts w:hAnsi="宋体" w:cs="宋体"/>
          <w:snapToGrid w:val="0"/>
          <w:color w:val="auto"/>
          <w:sz w:val="24"/>
          <w:szCs w:val="24"/>
          <w:highlight w:val="none"/>
        </w:rPr>
      </w:pPr>
      <w:r>
        <w:rPr>
          <w:rFonts w:hint="eastAsia" w:hAnsi="宋体" w:cs="宋体"/>
          <w:snapToGrid w:val="0"/>
          <w:color w:val="auto"/>
          <w:sz w:val="24"/>
          <w:szCs w:val="24"/>
          <w:highlight w:val="none"/>
        </w:rPr>
        <w:t xml:space="preserve">     </w:t>
      </w:r>
      <w:r>
        <w:rPr>
          <w:rFonts w:hint="eastAsia" w:hAnsi="宋体" w:cs="宋体"/>
          <w:snapToGrid w:val="0"/>
          <w:color w:val="auto"/>
          <w:sz w:val="24"/>
          <w:szCs w:val="24"/>
          <w:highlight w:val="none"/>
          <w:lang w:val="en-US" w:eastAsia="zh-CN"/>
        </w:rPr>
        <w:t xml:space="preserve">                </w:t>
      </w:r>
      <w:r>
        <w:rPr>
          <w:rFonts w:hint="eastAsia" w:hAnsi="宋体" w:cs="宋体"/>
          <w:snapToGrid w:val="0"/>
          <w:color w:val="auto"/>
          <w:sz w:val="24"/>
          <w:szCs w:val="24"/>
          <w:highlight w:val="none"/>
        </w:rPr>
        <w:t>.........</w:t>
      </w:r>
    </w:p>
    <w:p>
      <w:pPr>
        <w:pStyle w:val="91"/>
        <w:widowControl w:val="0"/>
        <w:wordWrap w:val="0"/>
        <w:adjustRightInd w:val="0"/>
        <w:snapToGrid w:val="0"/>
        <w:ind w:firstLine="480" w:firstLineChars="200"/>
        <w:jc w:val="both"/>
        <w:rPr>
          <w:rFonts w:hAnsi="宋体" w:cs="宋体"/>
          <w:snapToGrid w:val="0"/>
          <w:color w:val="auto"/>
          <w:sz w:val="24"/>
          <w:szCs w:val="24"/>
          <w:highlight w:val="none"/>
        </w:rPr>
      </w:pPr>
      <w:r>
        <w:rPr>
          <w:rFonts w:hint="eastAsia" w:hAnsi="宋体" w:cs="宋体"/>
          <w:snapToGrid w:val="0"/>
          <w:color w:val="auto"/>
          <w:sz w:val="24"/>
          <w:szCs w:val="24"/>
          <w:highlight w:val="none"/>
        </w:rPr>
        <w:t xml:space="preserve">               </w:t>
      </w:r>
    </w:p>
    <w:p>
      <w:pPr>
        <w:pStyle w:val="91"/>
        <w:widowControl w:val="0"/>
        <w:wordWrap w:val="0"/>
        <w:adjustRightInd w:val="0"/>
        <w:snapToGrid w:val="0"/>
        <w:spacing w:line="240" w:lineRule="auto"/>
        <w:ind w:firstLine="480" w:firstLineChars="200"/>
        <w:jc w:val="both"/>
        <w:rPr>
          <w:rFonts w:hAnsi="宋体" w:cs="宋体"/>
          <w:snapToGrid w:val="0"/>
          <w:color w:val="auto"/>
          <w:sz w:val="24"/>
          <w:szCs w:val="24"/>
          <w:highlight w:val="none"/>
        </w:rPr>
      </w:pPr>
      <w:r>
        <w:rPr>
          <w:rFonts w:hint="eastAsia" w:hAnsi="宋体" w:cs="宋体"/>
          <w:snapToGrid w:val="0"/>
          <w:color w:val="auto"/>
          <w:sz w:val="24"/>
          <w:szCs w:val="24"/>
          <w:highlight w:val="none"/>
        </w:rPr>
        <w:t xml:space="preserve">　　　　　        </w:t>
      </w:r>
    </w:p>
    <w:p>
      <w:pPr>
        <w:pStyle w:val="91"/>
        <w:widowControl w:val="0"/>
        <w:wordWrap w:val="0"/>
        <w:adjustRightInd w:val="0"/>
        <w:snapToGrid w:val="0"/>
        <w:spacing w:line="240" w:lineRule="auto"/>
        <w:ind w:firstLine="480" w:firstLineChars="200"/>
        <w:jc w:val="both"/>
        <w:rPr>
          <w:rFonts w:hAnsi="宋体" w:cs="宋体"/>
          <w:snapToGrid w:val="0"/>
          <w:color w:val="auto"/>
          <w:sz w:val="24"/>
          <w:szCs w:val="24"/>
          <w:highlight w:val="none"/>
        </w:rPr>
      </w:pPr>
    </w:p>
    <w:p>
      <w:pPr>
        <w:pStyle w:val="91"/>
        <w:widowControl w:val="0"/>
        <w:wordWrap w:val="0"/>
        <w:adjustRightInd w:val="0"/>
        <w:snapToGrid w:val="0"/>
        <w:spacing w:line="360" w:lineRule="exact"/>
        <w:jc w:val="center"/>
        <w:rPr>
          <w:rFonts w:hAnsi="宋体" w:cs="宋体"/>
          <w:snapToGrid w:val="0"/>
          <w:color w:val="auto"/>
          <w:sz w:val="24"/>
          <w:szCs w:val="24"/>
          <w:highlight w:val="none"/>
        </w:rPr>
      </w:pPr>
      <w:r>
        <w:rPr>
          <w:rFonts w:hint="eastAsia" w:hAnsi="宋体" w:cs="宋体"/>
          <w:snapToGrid w:val="0"/>
          <w:color w:val="auto"/>
          <w:sz w:val="24"/>
          <w:szCs w:val="24"/>
          <w:highlight w:val="none"/>
        </w:rPr>
        <w:t xml:space="preserve">                              年   月    日</w:t>
      </w:r>
    </w:p>
    <w:p>
      <w:pPr>
        <w:widowControl w:val="0"/>
        <w:ind w:firstLine="420" w:firstLineChars="200"/>
        <w:rPr>
          <w:rFonts w:ascii="宋体" w:hAnsi="宋体" w:cs="宋体"/>
          <w:snapToGrid w:val="0"/>
          <w:color w:val="auto"/>
          <w:szCs w:val="21"/>
          <w:highlight w:val="none"/>
        </w:rPr>
      </w:pPr>
    </w:p>
    <w:p>
      <w:pPr>
        <w:widowControl w:val="0"/>
        <w:ind w:firstLine="1680" w:firstLineChars="800"/>
        <w:rPr>
          <w:rFonts w:ascii="宋体" w:hAnsi="宋体" w:cs="宋体"/>
          <w:color w:val="auto"/>
          <w:szCs w:val="21"/>
          <w:highlight w:val="none"/>
        </w:rPr>
      </w:pPr>
      <w:r>
        <w:rPr>
          <w:rFonts w:hint="eastAsia" w:ascii="宋体" w:hAnsi="宋体" w:cs="宋体"/>
          <w:snapToGrid w:val="0"/>
          <w:color w:val="auto"/>
          <w:szCs w:val="21"/>
          <w:highlight w:val="none"/>
        </w:rPr>
        <w:t>说明：根据联合体成员组成情况作相应增减</w:t>
      </w:r>
      <w:r>
        <w:rPr>
          <w:rFonts w:hint="eastAsia" w:ascii="宋体" w:hAnsi="宋体" w:cs="宋体"/>
          <w:color w:val="auto"/>
          <w:szCs w:val="21"/>
          <w:highlight w:val="none"/>
        </w:rPr>
        <w:t>。</w:t>
      </w:r>
    </w:p>
    <w:p>
      <w:pPr>
        <w:pStyle w:val="59"/>
        <w:rPr>
          <w:rStyle w:val="27"/>
          <w:rFonts w:ascii="宋体" w:hAnsi="宋体"/>
          <w:color w:val="auto"/>
          <w:highlight w:val="none"/>
        </w:rPr>
      </w:pPr>
    </w:p>
    <w:p>
      <w:pPr>
        <w:pStyle w:val="33"/>
        <w:outlineLvl w:val="1"/>
        <w:rPr>
          <w:rStyle w:val="27"/>
          <w:rFonts w:ascii="宋体" w:hAnsi="宋体" w:eastAsia="宋体" w:cs="宋体"/>
          <w:color w:val="auto"/>
          <w:highlight w:val="none"/>
        </w:rPr>
      </w:pPr>
    </w:p>
    <w:p>
      <w:pPr>
        <w:rPr>
          <w:rStyle w:val="27"/>
          <w:rFonts w:hint="eastAsia" w:ascii="宋体" w:hAnsi="宋体" w:eastAsia="宋体" w:cs="宋体"/>
          <w:color w:val="auto"/>
          <w:highlight w:val="none"/>
        </w:rPr>
      </w:pPr>
      <w:r>
        <w:rPr>
          <w:rStyle w:val="27"/>
          <w:rFonts w:hint="eastAsia" w:ascii="宋体" w:hAnsi="宋体" w:eastAsia="宋体" w:cs="宋体"/>
          <w:color w:val="auto"/>
          <w:highlight w:val="none"/>
        </w:rPr>
        <w:br w:type="page"/>
      </w:r>
    </w:p>
    <w:p>
      <w:pPr>
        <w:spacing w:line="360" w:lineRule="auto"/>
        <w:ind w:firstLine="643" w:firstLineChars="200"/>
        <w:rPr>
          <w:rStyle w:val="27"/>
          <w:rFonts w:ascii="宋体" w:hAnsi="宋体" w:eastAsia="宋体" w:cs="宋体"/>
          <w:color w:val="auto"/>
          <w:highlight w:val="none"/>
        </w:rPr>
      </w:pPr>
      <w:r>
        <w:rPr>
          <w:rStyle w:val="42"/>
          <w:rFonts w:hint="eastAsia" w:ascii="宋体" w:hAnsi="宋体" w:eastAsia="宋体" w:cs="宋体"/>
          <w:color w:val="auto"/>
          <w:highlight w:val="none"/>
          <w:lang w:val="en-US"/>
        </w:rPr>
        <w:t>三、</w:t>
      </w:r>
      <w:bookmarkStart w:id="119" w:name="_Toc14665"/>
      <w:bookmarkStart w:id="120" w:name="_Toc21462"/>
      <w:r>
        <w:rPr>
          <w:rStyle w:val="42"/>
          <w:rFonts w:hint="eastAsia" w:ascii="宋体" w:hAnsi="宋体" w:eastAsia="宋体" w:cs="宋体"/>
          <w:color w:val="auto"/>
          <w:highlight w:val="none"/>
          <w:lang w:val="en-US"/>
        </w:rPr>
        <w:t>投标报价书</w:t>
      </w:r>
      <w:bookmarkEnd w:id="119"/>
      <w:bookmarkEnd w:id="120"/>
    </w:p>
    <w:p>
      <w:pPr>
        <w:ind w:firstLine="420" w:firstLineChars="200"/>
        <w:rPr>
          <w:rStyle w:val="27"/>
          <w:color w:val="auto"/>
          <w:highlight w:val="none"/>
        </w:rPr>
      </w:pPr>
    </w:p>
    <w:tbl>
      <w:tblPr>
        <w:tblStyle w:val="23"/>
        <w:tblW w:w="9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2556"/>
        <w:gridCol w:w="973"/>
        <w:gridCol w:w="1395"/>
        <w:gridCol w:w="1440"/>
        <w:gridCol w:w="1395"/>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s="宋体"/>
                <w:color w:val="auto"/>
                <w:sz w:val="24"/>
                <w:highlight w:val="none"/>
              </w:rPr>
            </w:pPr>
            <w:r>
              <w:rPr>
                <w:rStyle w:val="27"/>
                <w:rFonts w:hint="eastAsia" w:ascii="宋体" w:hAnsi="宋体" w:cs="宋体"/>
                <w:color w:val="auto"/>
                <w:sz w:val="24"/>
                <w:highlight w:val="none"/>
              </w:rPr>
              <w:t>序号</w:t>
            </w:r>
          </w:p>
        </w:tc>
        <w:tc>
          <w:tcPr>
            <w:tcW w:w="25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s="宋体"/>
                <w:color w:val="auto"/>
                <w:sz w:val="24"/>
                <w:highlight w:val="none"/>
              </w:rPr>
            </w:pPr>
            <w:r>
              <w:rPr>
                <w:rStyle w:val="27"/>
                <w:rFonts w:hint="eastAsia" w:ascii="宋体" w:hAnsi="宋体" w:cs="宋体"/>
                <w:color w:val="auto"/>
                <w:sz w:val="24"/>
                <w:highlight w:val="none"/>
              </w:rPr>
              <w:t>项目名称</w:t>
            </w:r>
          </w:p>
        </w:tc>
        <w:tc>
          <w:tcPr>
            <w:tcW w:w="97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1.勘察费（万元）</w:t>
            </w:r>
          </w:p>
        </w:tc>
        <w:tc>
          <w:tcPr>
            <w:tcW w:w="139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2.设计费</w:t>
            </w:r>
          </w:p>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勘察设计费投标总报价（1+2）</w:t>
            </w:r>
          </w:p>
          <w:p>
            <w:pPr>
              <w:spacing w:line="400" w:lineRule="exact"/>
              <w:jc w:val="center"/>
              <w:rPr>
                <w:rFonts w:ascii="宋体" w:hAnsi="宋体" w:cs="宋体"/>
                <w:color w:val="auto"/>
                <w:sz w:val="24"/>
                <w:highlight w:val="none"/>
              </w:rPr>
            </w:pPr>
            <w:r>
              <w:rPr>
                <w:rFonts w:hint="eastAsia" w:ascii="宋体" w:hAnsi="宋体" w:cs="宋体"/>
                <w:color w:val="auto"/>
                <w:szCs w:val="21"/>
                <w:highlight w:val="none"/>
              </w:rPr>
              <w:t>（万元）</w:t>
            </w:r>
          </w:p>
        </w:tc>
        <w:tc>
          <w:tcPr>
            <w:tcW w:w="1395" w:type="dxa"/>
            <w:tcBorders>
              <w:top w:val="single" w:color="000000" w:sz="4" w:space="0"/>
              <w:left w:val="single" w:color="000000" w:sz="4" w:space="0"/>
              <w:bottom w:val="single" w:color="000000" w:sz="4" w:space="0"/>
              <w:right w:val="single" w:color="000000" w:sz="4" w:space="0"/>
            </w:tcBorders>
            <w:vAlign w:val="center"/>
          </w:tcPr>
          <w:p>
            <w:pPr>
              <w:ind w:firstLine="210" w:firstLineChars="100"/>
              <w:rPr>
                <w:rFonts w:ascii="宋体" w:hAnsi="宋体" w:cs="宋体"/>
                <w:color w:val="auto"/>
                <w:szCs w:val="21"/>
                <w:highlight w:val="none"/>
              </w:rPr>
            </w:pPr>
            <w:r>
              <w:rPr>
                <w:rFonts w:hint="eastAsia" w:ascii="宋体" w:hAnsi="宋体" w:cs="宋体"/>
                <w:color w:val="auto"/>
                <w:szCs w:val="21"/>
                <w:highlight w:val="none"/>
              </w:rPr>
              <w:t>投标报价</w:t>
            </w:r>
          </w:p>
          <w:p>
            <w:pPr>
              <w:jc w:val="center"/>
              <w:rPr>
                <w:rFonts w:ascii="宋体" w:hAnsi="宋体" w:cs="宋体"/>
                <w:color w:val="auto"/>
                <w:sz w:val="24"/>
                <w:highlight w:val="none"/>
              </w:rPr>
            </w:pPr>
            <w:r>
              <w:rPr>
                <w:rFonts w:hint="eastAsia" w:ascii="宋体" w:hAnsi="宋体" w:cs="宋体"/>
                <w:color w:val="auto"/>
                <w:szCs w:val="21"/>
                <w:highlight w:val="none"/>
              </w:rPr>
              <w:t xml:space="preserve"> 下浮率（%</w:t>
            </w:r>
            <w:r>
              <w:rPr>
                <w:rStyle w:val="27"/>
                <w:rFonts w:hint="eastAsia" w:ascii="宋体" w:hAnsi="宋体" w:cs="宋体"/>
                <w:color w:val="auto"/>
                <w:sz w:val="24"/>
                <w:highlight w:val="none"/>
              </w:rPr>
              <w:t>）</w:t>
            </w:r>
          </w:p>
        </w:tc>
        <w:tc>
          <w:tcPr>
            <w:tcW w:w="1457"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宋体" w:hAnsi="宋体" w:cs="宋体"/>
                <w:color w:val="auto"/>
                <w:sz w:val="24"/>
                <w:highlight w:val="none"/>
              </w:rPr>
            </w:pPr>
            <w:r>
              <w:rPr>
                <w:rStyle w:val="27"/>
                <w:rFonts w:hint="eastAsia" w:ascii="宋体" w:hAnsi="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jc w:val="center"/>
        </w:trPr>
        <w:tc>
          <w:tcPr>
            <w:tcW w:w="703" w:type="dxa"/>
            <w:tcBorders>
              <w:top w:val="single" w:color="000000" w:sz="4" w:space="0"/>
              <w:left w:val="single" w:color="000000" w:sz="4" w:space="0"/>
              <w:right w:val="single" w:color="000000" w:sz="4" w:space="0"/>
            </w:tcBorders>
            <w:vAlign w:val="center"/>
          </w:tcPr>
          <w:p>
            <w:pPr>
              <w:jc w:val="center"/>
              <w:rPr>
                <w:rStyle w:val="27"/>
                <w:rFonts w:ascii="宋体" w:hAnsi="宋体" w:cs="宋体"/>
                <w:color w:val="auto"/>
                <w:sz w:val="24"/>
                <w:highlight w:val="none"/>
              </w:rPr>
            </w:pPr>
            <w:r>
              <w:rPr>
                <w:rStyle w:val="27"/>
                <w:rFonts w:hint="eastAsia" w:ascii="宋体" w:hAnsi="宋体" w:cs="宋体"/>
                <w:color w:val="auto"/>
                <w:sz w:val="24"/>
                <w:highlight w:val="none"/>
              </w:rPr>
              <w:t>1</w:t>
            </w:r>
          </w:p>
        </w:tc>
        <w:tc>
          <w:tcPr>
            <w:tcW w:w="2556" w:type="dxa"/>
            <w:tcBorders>
              <w:top w:val="single" w:color="000000" w:sz="4" w:space="0"/>
              <w:left w:val="single" w:color="000000" w:sz="4" w:space="0"/>
              <w:right w:val="single" w:color="000000" w:sz="4" w:space="0"/>
            </w:tcBorders>
            <w:vAlign w:val="center"/>
          </w:tcPr>
          <w:p>
            <w:pPr>
              <w:rPr>
                <w:rStyle w:val="27"/>
                <w:rFonts w:ascii="宋体" w:hAnsi="宋体" w:cs="宋体"/>
                <w:color w:val="auto"/>
                <w:sz w:val="24"/>
                <w:highlight w:val="none"/>
              </w:rPr>
            </w:pPr>
            <w:r>
              <w:rPr>
                <w:rFonts w:hint="eastAsia" w:ascii="宋体" w:hAnsi="宋体" w:cs="宋体"/>
                <w:color w:val="auto"/>
                <w:sz w:val="24"/>
                <w:highlight w:val="none"/>
              </w:rPr>
              <w:t>廉江市镇级污水管网及配套设施项目勘察设计</w:t>
            </w:r>
          </w:p>
        </w:tc>
        <w:tc>
          <w:tcPr>
            <w:tcW w:w="973" w:type="dxa"/>
            <w:tcBorders>
              <w:top w:val="single" w:color="000000" w:sz="4" w:space="0"/>
              <w:left w:val="single" w:color="000000" w:sz="4" w:space="0"/>
              <w:right w:val="single" w:color="000000" w:sz="4" w:space="0"/>
            </w:tcBorders>
            <w:vAlign w:val="center"/>
          </w:tcPr>
          <w:p>
            <w:pPr>
              <w:jc w:val="center"/>
              <w:rPr>
                <w:rStyle w:val="27"/>
                <w:rFonts w:ascii="宋体" w:hAnsi="宋体" w:cs="宋体"/>
                <w:color w:val="auto"/>
                <w:sz w:val="24"/>
                <w:highlight w:val="none"/>
              </w:rPr>
            </w:pPr>
          </w:p>
        </w:tc>
        <w:tc>
          <w:tcPr>
            <w:tcW w:w="1395" w:type="dxa"/>
            <w:tcBorders>
              <w:top w:val="single" w:color="000000" w:sz="4" w:space="0"/>
              <w:left w:val="single" w:color="000000" w:sz="4" w:space="0"/>
              <w:right w:val="single" w:color="000000" w:sz="4" w:space="0"/>
            </w:tcBorders>
            <w:vAlign w:val="center"/>
          </w:tcPr>
          <w:p>
            <w:pPr>
              <w:jc w:val="center"/>
              <w:rPr>
                <w:rStyle w:val="27"/>
                <w:rFonts w:ascii="宋体" w:hAnsi="宋体" w:cs="宋体"/>
                <w:color w:val="auto"/>
                <w:sz w:val="24"/>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s="宋体"/>
                <w:color w:val="auto"/>
                <w:sz w:val="24"/>
                <w:highlight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s="宋体"/>
                <w:color w:val="auto"/>
                <w:sz w:val="24"/>
                <w:highlight w:val="none"/>
              </w:rPr>
            </w:pPr>
          </w:p>
        </w:tc>
        <w:tc>
          <w:tcPr>
            <w:tcW w:w="1457"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cs="宋体"/>
                <w:color w:val="auto"/>
                <w:sz w:val="24"/>
                <w:highlight w:val="none"/>
              </w:rPr>
            </w:pPr>
          </w:p>
        </w:tc>
      </w:tr>
    </w:tbl>
    <w:p>
      <w:pPr>
        <w:ind w:firstLine="420" w:firstLineChars="200"/>
        <w:rPr>
          <w:rStyle w:val="27"/>
          <w:color w:val="auto"/>
          <w:highlight w:val="none"/>
        </w:rPr>
      </w:pPr>
    </w:p>
    <w:p>
      <w:pPr>
        <w:spacing w:line="360" w:lineRule="auto"/>
        <w:ind w:firstLine="480" w:firstLineChars="200"/>
        <w:rPr>
          <w:rStyle w:val="27"/>
          <w:rFonts w:ascii="宋体" w:hAnsi="宋体" w:cs="宋体"/>
          <w:color w:val="auto"/>
          <w:sz w:val="24"/>
          <w:highlight w:val="none"/>
        </w:rPr>
      </w:pPr>
      <w:r>
        <w:rPr>
          <w:rStyle w:val="27"/>
          <w:rFonts w:hint="eastAsia" w:ascii="宋体" w:hAnsi="宋体" w:cs="宋体"/>
          <w:color w:val="auto"/>
          <w:sz w:val="24"/>
          <w:highlight w:val="none"/>
        </w:rPr>
        <w:t>注：</w:t>
      </w:r>
    </w:p>
    <w:p>
      <w:pPr>
        <w:spacing w:line="360" w:lineRule="auto"/>
        <w:ind w:firstLine="480" w:firstLineChars="200"/>
        <w:rPr>
          <w:rStyle w:val="27"/>
          <w:rFonts w:hint="eastAsia" w:ascii="宋体" w:hAnsi="宋体" w:eastAsia="宋体" w:cs="宋体"/>
          <w:color w:val="auto"/>
          <w:sz w:val="24"/>
          <w:highlight w:val="none"/>
          <w:lang w:val="en-US" w:eastAsia="zh-CN"/>
        </w:rPr>
      </w:pPr>
      <w:r>
        <w:rPr>
          <w:rStyle w:val="27"/>
          <w:rFonts w:hint="eastAsia" w:ascii="宋体" w:hAnsi="宋体" w:cs="宋体"/>
          <w:color w:val="auto"/>
          <w:sz w:val="24"/>
          <w:highlight w:val="none"/>
        </w:rPr>
        <w:t>1、</w:t>
      </w:r>
      <w:r>
        <w:rPr>
          <w:rStyle w:val="27"/>
          <w:rFonts w:hint="eastAsia" w:ascii="宋体" w:hAnsi="宋体" w:cs="宋体"/>
          <w:color w:val="auto"/>
          <w:sz w:val="24"/>
          <w:highlight w:val="none"/>
          <w:lang w:val="en-US" w:eastAsia="zh-CN"/>
        </w:rPr>
        <w:t>本项目</w:t>
      </w:r>
      <w:r>
        <w:rPr>
          <w:rFonts w:hint="eastAsia" w:ascii="宋体" w:hAnsi="宋体" w:cs="宋体"/>
          <w:color w:val="auto"/>
          <w:sz w:val="24"/>
          <w:highlight w:val="none"/>
        </w:rPr>
        <w:t>勘察设计招标控制价2538.81万元</w:t>
      </w:r>
      <w:r>
        <w:rPr>
          <w:rFonts w:hint="eastAsia" w:ascii="宋体" w:hAnsi="宋体" w:cs="宋体"/>
          <w:color w:val="auto"/>
          <w:sz w:val="24"/>
          <w:highlight w:val="none"/>
          <w:lang w:eastAsia="zh-CN"/>
        </w:rPr>
        <w:t>。</w:t>
      </w:r>
    </w:p>
    <w:p>
      <w:pPr>
        <w:spacing w:line="360" w:lineRule="auto"/>
        <w:ind w:firstLine="480" w:firstLineChars="200"/>
        <w:rPr>
          <w:rStyle w:val="27"/>
          <w:rFonts w:ascii="宋体" w:hAnsi="宋体" w:cs="宋体"/>
          <w:color w:val="auto"/>
          <w:sz w:val="24"/>
          <w:highlight w:val="none"/>
        </w:rPr>
      </w:pPr>
      <w:r>
        <w:rPr>
          <w:rStyle w:val="27"/>
          <w:rFonts w:hint="eastAsia" w:ascii="宋体" w:hAnsi="宋体" w:cs="宋体"/>
          <w:color w:val="auto"/>
          <w:sz w:val="24"/>
          <w:highlight w:val="none"/>
          <w:lang w:val="en-US" w:eastAsia="zh-CN"/>
        </w:rPr>
        <w:t>2、</w:t>
      </w:r>
      <w:r>
        <w:rPr>
          <w:rStyle w:val="27"/>
          <w:rFonts w:hint="eastAsia" w:ascii="宋体" w:hAnsi="宋体" w:cs="宋体"/>
          <w:color w:val="auto"/>
          <w:sz w:val="24"/>
          <w:highlight w:val="none"/>
        </w:rPr>
        <w:t>投标报价下浮率＝（招标控制价－勘察设计费投标总报价）÷招标控制价×100%</w:t>
      </w:r>
    </w:p>
    <w:p>
      <w:pPr>
        <w:spacing w:line="360" w:lineRule="auto"/>
        <w:ind w:firstLine="480" w:firstLineChars="200"/>
        <w:rPr>
          <w:rStyle w:val="27"/>
          <w:rFonts w:ascii="宋体" w:hAnsi="宋体" w:cs="宋体"/>
          <w:color w:val="auto"/>
          <w:sz w:val="24"/>
          <w:highlight w:val="none"/>
        </w:rPr>
      </w:pPr>
      <w:r>
        <w:rPr>
          <w:rStyle w:val="27"/>
          <w:rFonts w:hint="eastAsia" w:ascii="宋体" w:hAnsi="宋体" w:cs="宋体"/>
          <w:color w:val="auto"/>
          <w:sz w:val="24"/>
          <w:highlight w:val="none"/>
          <w:lang w:val="en-US" w:eastAsia="zh-CN"/>
        </w:rPr>
        <w:t>3</w:t>
      </w:r>
      <w:r>
        <w:rPr>
          <w:rStyle w:val="27"/>
          <w:rFonts w:hint="eastAsia" w:ascii="宋体" w:hAnsi="宋体" w:cs="宋体"/>
          <w:color w:val="auto"/>
          <w:sz w:val="24"/>
          <w:highlight w:val="none"/>
        </w:rPr>
        <w:t>、投标报价及下浮率均保留小数点后2位，第3位四舍五入。</w:t>
      </w:r>
    </w:p>
    <w:p>
      <w:pPr>
        <w:rPr>
          <w:rStyle w:val="27"/>
          <w:rFonts w:ascii="宋体" w:hAnsi="宋体" w:cs="宋体"/>
          <w:color w:val="auto"/>
          <w:sz w:val="24"/>
          <w:highlight w:val="none"/>
        </w:rPr>
      </w:pPr>
    </w:p>
    <w:p>
      <w:pPr>
        <w:rPr>
          <w:color w:val="auto"/>
          <w:highlight w:val="none"/>
        </w:rPr>
      </w:pPr>
    </w:p>
    <w:p>
      <w:pPr>
        <w:rPr>
          <w:color w:val="auto"/>
          <w:highlight w:val="none"/>
        </w:rPr>
      </w:pPr>
    </w:p>
    <w:p>
      <w:pPr>
        <w:rPr>
          <w:color w:val="auto"/>
          <w:highlight w:val="none"/>
        </w:rPr>
      </w:pPr>
    </w:p>
    <w:p>
      <w:pPr>
        <w:spacing w:line="360" w:lineRule="auto"/>
        <w:ind w:firstLine="480" w:firstLineChars="200"/>
        <w:rPr>
          <w:rStyle w:val="27"/>
          <w:rFonts w:ascii="宋体" w:hAnsi="宋体" w:cs="宋体"/>
          <w:color w:val="auto"/>
          <w:sz w:val="24"/>
          <w:highlight w:val="none"/>
        </w:rPr>
      </w:pPr>
    </w:p>
    <w:p>
      <w:pPr>
        <w:spacing w:line="360" w:lineRule="auto"/>
        <w:ind w:firstLine="480" w:firstLineChars="200"/>
        <w:rPr>
          <w:rStyle w:val="27"/>
          <w:rFonts w:ascii="宋体" w:hAnsi="宋体" w:cs="宋体"/>
          <w:color w:val="auto"/>
          <w:sz w:val="24"/>
          <w:highlight w:val="none"/>
        </w:rPr>
      </w:pPr>
      <w:r>
        <w:rPr>
          <w:rStyle w:val="27"/>
          <w:rFonts w:hint="eastAsia" w:ascii="宋体" w:hAnsi="宋体" w:cs="宋体"/>
          <w:color w:val="auto"/>
          <w:sz w:val="24"/>
          <w:highlight w:val="none"/>
        </w:rPr>
        <w:t>投标人：</w:t>
      </w:r>
      <w:r>
        <w:rPr>
          <w:rStyle w:val="27"/>
          <w:rFonts w:hint="eastAsia" w:ascii="宋体" w:hAnsi="宋体" w:cs="宋体"/>
          <w:color w:val="auto"/>
          <w:sz w:val="24"/>
          <w:highlight w:val="none"/>
          <w:u w:val="single"/>
        </w:rPr>
        <w:t xml:space="preserve">    （独立体或联合体主办方）  </w:t>
      </w:r>
      <w:r>
        <w:rPr>
          <w:rStyle w:val="27"/>
          <w:rFonts w:hint="eastAsia" w:ascii="宋体" w:hAnsi="宋体" w:cs="宋体"/>
          <w:color w:val="auto"/>
          <w:sz w:val="24"/>
          <w:highlight w:val="none"/>
        </w:rPr>
        <w:t>（单位盖章）</w:t>
      </w:r>
    </w:p>
    <w:p>
      <w:pPr>
        <w:spacing w:line="360" w:lineRule="auto"/>
        <w:ind w:firstLine="480" w:firstLineChars="200"/>
        <w:rPr>
          <w:rStyle w:val="27"/>
          <w:rFonts w:ascii="宋体" w:hAnsi="宋体" w:cs="宋体"/>
          <w:color w:val="auto"/>
          <w:sz w:val="24"/>
          <w:highlight w:val="none"/>
        </w:rPr>
      </w:pPr>
      <w:r>
        <w:rPr>
          <w:rStyle w:val="27"/>
          <w:rFonts w:hint="eastAsia" w:ascii="宋体" w:hAnsi="宋体" w:cs="宋体"/>
          <w:color w:val="auto"/>
          <w:sz w:val="24"/>
          <w:highlight w:val="none"/>
        </w:rPr>
        <w:t>法定代表人或全权代表（签字或盖章）：</w:t>
      </w:r>
    </w:p>
    <w:p>
      <w:pPr>
        <w:spacing w:line="360" w:lineRule="auto"/>
        <w:ind w:firstLine="480" w:firstLineChars="200"/>
        <w:rPr>
          <w:rStyle w:val="27"/>
          <w:rFonts w:ascii="宋体" w:hAnsi="宋体" w:cs="宋体"/>
          <w:color w:val="auto"/>
          <w:sz w:val="24"/>
          <w:highlight w:val="none"/>
        </w:rPr>
      </w:pPr>
      <w:r>
        <w:rPr>
          <w:rStyle w:val="27"/>
          <w:rFonts w:hint="eastAsia" w:ascii="宋体" w:hAnsi="宋体" w:cs="宋体"/>
          <w:color w:val="auto"/>
          <w:sz w:val="24"/>
          <w:highlight w:val="none"/>
        </w:rPr>
        <w:t>日期：　　　　年　　月　　日</w:t>
      </w:r>
    </w:p>
    <w:p>
      <w:pPr>
        <w:spacing w:line="360" w:lineRule="auto"/>
        <w:ind w:firstLine="480" w:firstLineChars="200"/>
        <w:rPr>
          <w:rStyle w:val="27"/>
          <w:color w:val="auto"/>
          <w:sz w:val="24"/>
          <w:highlight w:val="none"/>
        </w:rPr>
      </w:pPr>
    </w:p>
    <w:p>
      <w:pPr>
        <w:rPr>
          <w:rStyle w:val="27"/>
          <w:rFonts w:hint="eastAsia" w:ascii="宋体" w:hAnsi="宋体" w:eastAsia="宋体" w:cs="宋体"/>
          <w:color w:val="auto"/>
          <w:highlight w:val="none"/>
        </w:rPr>
      </w:pPr>
      <w:r>
        <w:rPr>
          <w:rStyle w:val="27"/>
          <w:rFonts w:hint="eastAsia" w:ascii="宋体" w:hAnsi="宋体" w:eastAsia="宋体" w:cs="宋体"/>
          <w:color w:val="auto"/>
          <w:highlight w:val="none"/>
        </w:rPr>
        <w:br w:type="page"/>
      </w:r>
    </w:p>
    <w:p>
      <w:pPr>
        <w:pStyle w:val="33"/>
        <w:outlineLvl w:val="1"/>
        <w:rPr>
          <w:rStyle w:val="27"/>
          <w:color w:val="auto"/>
          <w:highlight w:val="none"/>
        </w:rPr>
      </w:pPr>
      <w:r>
        <w:rPr>
          <w:rStyle w:val="27"/>
          <w:rFonts w:hint="eastAsia" w:ascii="宋体" w:hAnsi="宋体" w:eastAsia="宋体" w:cs="宋体"/>
          <w:color w:val="auto"/>
          <w:highlight w:val="none"/>
          <w:lang w:val="en-US" w:eastAsia="zh-CN"/>
        </w:rPr>
        <w:t>四、</w:t>
      </w:r>
      <w:r>
        <w:rPr>
          <w:rStyle w:val="27"/>
          <w:rFonts w:hint="eastAsia" w:ascii="宋体" w:hAnsi="宋体" w:eastAsia="宋体" w:cs="宋体"/>
          <w:color w:val="auto"/>
          <w:highlight w:val="none"/>
        </w:rPr>
        <w:t>法定代表人证明书</w:t>
      </w:r>
      <w:bookmarkEnd w:id="117"/>
      <w:bookmarkEnd w:id="118"/>
    </w:p>
    <w:p>
      <w:pPr>
        <w:autoSpaceDE w:val="0"/>
        <w:autoSpaceDN w:val="0"/>
        <w:adjustRightInd w:val="0"/>
        <w:snapToGrid w:val="0"/>
        <w:spacing w:line="300" w:lineRule="auto"/>
        <w:jc w:val="center"/>
        <w:rPr>
          <w:b/>
          <w:bCs/>
          <w:color w:val="auto"/>
          <w:kern w:val="0"/>
          <w:sz w:val="32"/>
          <w:szCs w:val="32"/>
          <w:highlight w:val="none"/>
        </w:rPr>
      </w:pPr>
      <w:r>
        <w:rPr>
          <w:rFonts w:hint="eastAsia" w:hAnsi="宋体"/>
          <w:b/>
          <w:bCs/>
          <w:color w:val="auto"/>
          <w:kern w:val="0"/>
          <w:sz w:val="32"/>
          <w:szCs w:val="32"/>
          <w:highlight w:val="none"/>
        </w:rPr>
        <w:t>法定代表人证明书</w:t>
      </w:r>
    </w:p>
    <w:p>
      <w:pPr>
        <w:spacing w:line="360" w:lineRule="auto"/>
        <w:ind w:firstLine="480" w:firstLineChars="200"/>
        <w:jc w:val="left"/>
        <w:rPr>
          <w:color w:val="auto"/>
          <w:sz w:val="24"/>
          <w:szCs w:val="21"/>
          <w:highlight w:val="none"/>
          <w:u w:val="single"/>
        </w:rPr>
      </w:pPr>
    </w:p>
    <w:p>
      <w:pPr>
        <w:spacing w:line="360" w:lineRule="auto"/>
        <w:ind w:firstLine="480" w:firstLineChars="200"/>
        <w:jc w:val="left"/>
        <w:rPr>
          <w:color w:val="auto"/>
          <w:sz w:val="24"/>
          <w:highlight w:val="none"/>
        </w:rPr>
      </w:pPr>
      <w:r>
        <w:rPr>
          <w:rFonts w:hint="eastAsia" w:hAnsi="宋体"/>
          <w:color w:val="auto"/>
          <w:sz w:val="24"/>
          <w:highlight w:val="none"/>
        </w:rPr>
        <w:t>________同志，现任我单位_____职务</w:t>
      </w:r>
      <w:bookmarkStart w:id="121" w:name="_Toc11662503"/>
      <w:r>
        <w:rPr>
          <w:rFonts w:hint="eastAsia" w:hAnsi="宋体"/>
          <w:color w:val="auto"/>
          <w:sz w:val="24"/>
          <w:highlight w:val="none"/>
        </w:rPr>
        <w:t>，为法定代表人</w:t>
      </w:r>
      <w:bookmarkEnd w:id="121"/>
      <w:r>
        <w:rPr>
          <w:rFonts w:hint="eastAsia" w:hAnsi="宋体"/>
          <w:color w:val="auto"/>
          <w:sz w:val="24"/>
          <w:highlight w:val="none"/>
        </w:rPr>
        <w:t>，特此证明。</w:t>
      </w:r>
    </w:p>
    <w:p>
      <w:pPr>
        <w:spacing w:line="800" w:lineRule="exact"/>
        <w:ind w:firstLine="480" w:firstLineChars="200"/>
        <w:rPr>
          <w:rFonts w:hAnsi="宋体"/>
          <w:color w:val="auto"/>
          <w:sz w:val="24"/>
          <w:highlight w:val="none"/>
        </w:rPr>
      </w:pPr>
      <w:r>
        <w:rPr>
          <w:rFonts w:hint="eastAsia" w:hAnsi="宋体"/>
          <w:color w:val="auto"/>
          <w:sz w:val="24"/>
          <w:highlight w:val="none"/>
        </w:rPr>
        <w:t>有效日期：            签发日期：         单位</w:t>
      </w:r>
      <w:r>
        <w:rPr>
          <w:rFonts w:hint="eastAsia" w:hAnsi="宋体"/>
          <w:color w:val="auto"/>
          <w:sz w:val="24"/>
          <w:highlight w:val="none"/>
          <w:lang w:eastAsia="zh-CN"/>
        </w:rPr>
        <w:t>：</w:t>
      </w:r>
      <w:r>
        <w:rPr>
          <w:rFonts w:hint="eastAsia" w:hAnsi="宋体"/>
          <w:color w:val="auto"/>
          <w:sz w:val="24"/>
          <w:highlight w:val="none"/>
        </w:rPr>
        <w:t>（独立体或联合体主办方）(盖章)</w:t>
      </w:r>
    </w:p>
    <w:p>
      <w:pPr>
        <w:spacing w:line="800" w:lineRule="exact"/>
        <w:ind w:firstLine="480" w:firstLineChars="200"/>
        <w:rPr>
          <w:rFonts w:hAnsi="宋体"/>
          <w:color w:val="auto"/>
          <w:sz w:val="24"/>
          <w:highlight w:val="none"/>
        </w:rPr>
      </w:pPr>
      <w:r>
        <w:rPr>
          <w:rFonts w:hint="eastAsia" w:hAnsi="宋体"/>
          <w:color w:val="auto"/>
          <w:sz w:val="24"/>
          <w:highlight w:val="none"/>
        </w:rPr>
        <w:t>附：代表人性别    年龄：      身份证号码：</w:t>
      </w:r>
    </w:p>
    <w:p>
      <w:pPr>
        <w:spacing w:line="800" w:lineRule="exact"/>
        <w:ind w:firstLine="480" w:firstLineChars="200"/>
        <w:rPr>
          <w:rFonts w:hAnsi="宋体"/>
          <w:color w:val="auto"/>
          <w:sz w:val="24"/>
          <w:highlight w:val="none"/>
        </w:rPr>
      </w:pPr>
      <w:r>
        <w:rPr>
          <w:rFonts w:hint="eastAsia" w:hAnsi="宋体"/>
          <w:color w:val="auto"/>
          <w:sz w:val="24"/>
          <w:highlight w:val="none"/>
        </w:rPr>
        <w:t xml:space="preserve">营业执照号码： </w:t>
      </w:r>
    </w:p>
    <w:p>
      <w:pPr>
        <w:spacing w:line="800" w:lineRule="exact"/>
        <w:ind w:firstLine="480" w:firstLineChars="200"/>
        <w:rPr>
          <w:rFonts w:hAnsi="宋体"/>
          <w:color w:val="auto"/>
          <w:sz w:val="24"/>
          <w:highlight w:val="none"/>
        </w:rPr>
      </w:pPr>
      <w:r>
        <w:rPr>
          <w:rFonts w:hint="eastAsia" w:hAnsi="宋体"/>
          <w:color w:val="auto"/>
          <w:sz w:val="24"/>
          <w:highlight w:val="none"/>
        </w:rPr>
        <w:t>经济性质：</w:t>
      </w:r>
    </w:p>
    <w:p>
      <w:pPr>
        <w:spacing w:line="800" w:lineRule="exact"/>
        <w:ind w:firstLine="480" w:firstLineChars="200"/>
        <w:rPr>
          <w:rFonts w:hAnsi="宋体"/>
          <w:color w:val="auto"/>
          <w:sz w:val="24"/>
          <w:highlight w:val="none"/>
        </w:rPr>
      </w:pPr>
      <w:r>
        <w:rPr>
          <w:rFonts w:hint="eastAsia" w:hAnsi="宋体"/>
          <w:color w:val="auto"/>
          <w:sz w:val="24"/>
          <w:highlight w:val="none"/>
        </w:rPr>
        <w:t>兼营（产）:</w:t>
      </w:r>
    </w:p>
    <w:p>
      <w:pPr>
        <w:spacing w:line="800" w:lineRule="exact"/>
        <w:ind w:firstLine="480" w:firstLineChars="200"/>
        <w:rPr>
          <w:rFonts w:hAnsi="宋体"/>
          <w:color w:val="auto"/>
          <w:sz w:val="24"/>
          <w:highlight w:val="none"/>
        </w:rPr>
      </w:pPr>
      <w:r>
        <w:rPr>
          <w:rFonts w:hint="eastAsia" w:hAnsi="宋体"/>
          <w:color w:val="auto"/>
          <w:sz w:val="24"/>
          <w:highlight w:val="none"/>
        </w:rPr>
        <w:t>说明：1、法定代表人为企业事业单位、国家机关、社会团体的主要行政负责人。</w:t>
      </w:r>
    </w:p>
    <w:p>
      <w:pPr>
        <w:numPr>
          <w:ilvl w:val="0"/>
          <w:numId w:val="8"/>
        </w:numPr>
        <w:spacing w:line="800" w:lineRule="exact"/>
        <w:ind w:firstLine="480" w:firstLineChars="200"/>
        <w:rPr>
          <w:color w:val="auto"/>
          <w:sz w:val="24"/>
          <w:highlight w:val="none"/>
        </w:rPr>
      </w:pPr>
      <w:r>
        <w:rPr>
          <w:rFonts w:hint="eastAsia" w:hAnsi="宋体"/>
          <w:color w:val="auto"/>
          <w:sz w:val="24"/>
          <w:highlight w:val="none"/>
        </w:rPr>
        <w:t>内容必须填写真实、清楚、涂改无效，不得转让、买卖。</w:t>
      </w:r>
    </w:p>
    <w:tbl>
      <w:tblPr>
        <w:tblStyle w:val="23"/>
        <w:tblpPr w:leftFromText="180" w:rightFromText="180" w:vertAnchor="text" w:horzAnchor="page" w:tblpX="2082" w:tblpY="1062"/>
        <w:tblOverlap w:val="never"/>
        <w:tblW w:w="7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36" w:type="dxa"/>
          </w:tcPr>
          <w:p>
            <w:pPr>
              <w:spacing w:line="360" w:lineRule="auto"/>
              <w:rPr>
                <w:rFonts w:hAnsi="宋体"/>
                <w:color w:val="auto"/>
                <w:sz w:val="24"/>
                <w:highlight w:val="none"/>
              </w:rPr>
            </w:pPr>
            <w:r>
              <w:rPr>
                <w:rFonts w:hint="eastAsia" w:hAnsi="宋体"/>
                <w:color w:val="auto"/>
                <w:sz w:val="24"/>
                <w:highlight w:val="none"/>
              </w:rPr>
              <w:t>法定代表人身份证复印件（双面）</w:t>
            </w:r>
            <w:r>
              <w:rPr>
                <w:rFonts w:hint="eastAsia" w:ascii="宋体" w:hAnsi="宋体"/>
                <w:b/>
                <w:bCs/>
                <w:color w:val="auto"/>
                <w:szCs w:val="21"/>
                <w:highlight w:val="none"/>
              </w:rPr>
              <w:t>（独立体或联合体主办方加盖公章）</w:t>
            </w:r>
          </w:p>
          <w:p>
            <w:pPr>
              <w:spacing w:line="400" w:lineRule="exact"/>
              <w:rPr>
                <w:rFonts w:ascii="宋体"/>
                <w:color w:val="auto"/>
                <w:sz w:val="24"/>
                <w:highlight w:val="none"/>
              </w:rPr>
            </w:pPr>
          </w:p>
          <w:p>
            <w:pPr>
              <w:spacing w:line="400" w:lineRule="exact"/>
              <w:rPr>
                <w:rFonts w:ascii="宋体"/>
                <w:color w:val="auto"/>
                <w:sz w:val="24"/>
                <w:highlight w:val="none"/>
              </w:rPr>
            </w:pPr>
          </w:p>
          <w:p>
            <w:pPr>
              <w:jc w:val="center"/>
              <w:rPr>
                <w:rFonts w:ascii="宋体"/>
                <w:color w:val="auto"/>
                <w:sz w:val="24"/>
                <w:highlight w:val="none"/>
              </w:rPr>
            </w:pPr>
          </w:p>
          <w:p>
            <w:pPr>
              <w:jc w:val="center"/>
              <w:rPr>
                <w:rFonts w:ascii="宋体"/>
                <w:b/>
                <w:bCs/>
                <w:color w:val="auto"/>
                <w:sz w:val="24"/>
                <w:highlight w:val="none"/>
              </w:rPr>
            </w:pPr>
          </w:p>
          <w:p>
            <w:pPr>
              <w:jc w:val="center"/>
              <w:rPr>
                <w:rFonts w:ascii="宋体"/>
                <w:b/>
                <w:bCs/>
                <w:color w:val="auto"/>
                <w:sz w:val="24"/>
                <w:highlight w:val="none"/>
              </w:rPr>
            </w:pPr>
          </w:p>
          <w:p>
            <w:pPr>
              <w:rPr>
                <w:rFonts w:ascii="宋体"/>
                <w:color w:val="auto"/>
                <w:sz w:val="24"/>
                <w:highlight w:val="none"/>
              </w:rPr>
            </w:pPr>
          </w:p>
        </w:tc>
      </w:tr>
    </w:tbl>
    <w:p>
      <w:pPr>
        <w:rPr>
          <w:color w:val="auto"/>
          <w:highlight w:val="none"/>
        </w:rPr>
      </w:pPr>
    </w:p>
    <w:p>
      <w:pP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autoSpaceDE w:val="0"/>
        <w:autoSpaceDN w:val="0"/>
        <w:adjustRightInd w:val="0"/>
        <w:snapToGrid w:val="0"/>
        <w:spacing w:line="300" w:lineRule="auto"/>
        <w:outlineLvl w:val="1"/>
        <w:rPr>
          <w:rFonts w:ascii="宋体" w:hAnsi="宋体" w:cs="宋体"/>
          <w:b/>
          <w:bCs/>
          <w:color w:val="auto"/>
          <w:kern w:val="0"/>
          <w:sz w:val="32"/>
          <w:szCs w:val="32"/>
          <w:highlight w:val="none"/>
        </w:rPr>
      </w:pPr>
      <w:bookmarkStart w:id="122" w:name="_Toc19975"/>
      <w:bookmarkStart w:id="123" w:name="_Toc19309"/>
      <w:r>
        <w:rPr>
          <w:rFonts w:hint="eastAsia" w:ascii="宋体" w:hAnsi="宋体" w:cs="宋体"/>
          <w:b/>
          <w:bCs/>
          <w:color w:val="auto"/>
          <w:kern w:val="0"/>
          <w:sz w:val="32"/>
          <w:szCs w:val="32"/>
          <w:highlight w:val="none"/>
          <w:lang w:val="en-US" w:eastAsia="zh-CN"/>
        </w:rPr>
        <w:t>五、</w:t>
      </w:r>
      <w:r>
        <w:rPr>
          <w:rFonts w:hint="eastAsia" w:ascii="宋体" w:hAnsi="宋体" w:cs="宋体"/>
          <w:b/>
          <w:bCs/>
          <w:color w:val="auto"/>
          <w:kern w:val="0"/>
          <w:sz w:val="32"/>
          <w:szCs w:val="32"/>
          <w:highlight w:val="none"/>
        </w:rPr>
        <w:t>法定代表人授权委托书</w:t>
      </w:r>
      <w:bookmarkEnd w:id="122"/>
      <w:r>
        <w:rPr>
          <w:rStyle w:val="42"/>
          <w:rFonts w:hint="eastAsia" w:ascii="宋体" w:hAnsi="宋体" w:eastAsia="宋体" w:cs="宋体"/>
          <w:color w:val="auto"/>
          <w:sz w:val="28"/>
          <w:szCs w:val="28"/>
          <w:highlight w:val="none"/>
        </w:rPr>
        <w:t>（独立体或联合体主办方出具）（仅供参考</w:t>
      </w:r>
      <w:r>
        <w:rPr>
          <w:rStyle w:val="42"/>
          <w:rFonts w:hint="eastAsia" w:ascii="宋体" w:hAnsi="宋体" w:cs="宋体"/>
          <w:color w:val="auto"/>
          <w:sz w:val="28"/>
          <w:szCs w:val="28"/>
          <w:highlight w:val="none"/>
        </w:rPr>
        <w:t>）</w:t>
      </w:r>
      <w:bookmarkEnd w:id="123"/>
    </w:p>
    <w:p>
      <w:pPr>
        <w:widowControl w:val="0"/>
        <w:spacing w:line="560" w:lineRule="exact"/>
        <w:ind w:firstLine="480" w:firstLineChars="200"/>
        <w:rPr>
          <w:rFonts w:ascii="宋体" w:hAnsi="宋体" w:cs="宋体"/>
          <w:color w:val="auto"/>
          <w:sz w:val="24"/>
          <w:szCs w:val="24"/>
          <w:highlight w:val="none"/>
        </w:rPr>
      </w:pPr>
      <w:bookmarkStart w:id="124" w:name="_Toc31859"/>
      <w:r>
        <w:rPr>
          <w:rFonts w:hint="eastAsia" w:ascii="宋体" w:hAnsi="宋体" w:cs="宋体"/>
          <w:color w:val="auto"/>
          <w:sz w:val="24"/>
          <w:szCs w:val="24"/>
          <w:highlight w:val="none"/>
        </w:rPr>
        <w:t>本授权书声明：我</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（投标人）</w:t>
      </w:r>
      <w:r>
        <w:rPr>
          <w:rFonts w:hint="eastAsia" w:ascii="宋体" w:hAnsi="宋体" w:cs="宋体"/>
          <w:color w:val="auto"/>
          <w:sz w:val="24"/>
          <w:szCs w:val="24"/>
          <w:highlight w:val="none"/>
        </w:rPr>
        <w:t>的法定代表人，现授权委托我单位</w:t>
      </w:r>
      <w:r>
        <w:rPr>
          <w:rFonts w:hint="eastAsia" w:ascii="宋体" w:hAnsi="宋体" w:cs="宋体"/>
          <w:color w:val="auto"/>
          <w:sz w:val="24"/>
          <w:szCs w:val="24"/>
          <w:highlight w:val="none"/>
          <w:u w:val="single"/>
        </w:rPr>
        <w:t xml:space="preserve">  （全权代表姓名） </w:t>
      </w:r>
      <w:r>
        <w:rPr>
          <w:rFonts w:hint="eastAsia" w:ascii="宋体" w:hAnsi="宋体" w:cs="宋体"/>
          <w:color w:val="auto"/>
          <w:sz w:val="24"/>
          <w:szCs w:val="24"/>
          <w:highlight w:val="none"/>
        </w:rPr>
        <w:t xml:space="preserve"> 为我公司全权代表，以本公司的名义参加</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的投标活动，全权代表所提供、签署的一切文书和处理与之有关的一切事务，我均予以承认并为其参与投标的一切行为承担全部责任。</w:t>
      </w:r>
    </w:p>
    <w:p>
      <w:pPr>
        <w:widowControl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全权代表无转委权。</w:t>
      </w:r>
    </w:p>
    <w:p>
      <w:pPr>
        <w:widowControl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特此委托。</w:t>
      </w:r>
    </w:p>
    <w:p>
      <w:pPr>
        <w:widowControl w:val="0"/>
        <w:spacing w:line="360" w:lineRule="auto"/>
        <w:ind w:firstLine="480" w:firstLineChars="200"/>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本授权书于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日签字生效，特此声明。</w:t>
      </w:r>
    </w:p>
    <w:p>
      <w:pPr>
        <w:spacing w:line="360" w:lineRule="auto"/>
        <w:ind w:firstLine="480" w:firstLineChars="200"/>
        <w:rPr>
          <w:rFonts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单位名称（盖公章）：</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w:t>
      </w:r>
    </w:p>
    <w:p>
      <w:pPr>
        <w:spacing w:line="360" w:lineRule="auto"/>
        <w:ind w:firstLine="480" w:firstLineChars="200"/>
        <w:rPr>
          <w:rFonts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法定代表人（亲笔签字）：</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职务：</w:t>
      </w:r>
    </w:p>
    <w:p>
      <w:pPr>
        <w:spacing w:line="360" w:lineRule="auto"/>
        <w:rPr>
          <w:rFonts w:ascii="宋体" w:hAnsi="宋体" w:cs="宋体"/>
          <w:color w:val="auto"/>
          <w:sz w:val="24"/>
          <w:szCs w:val="24"/>
          <w:highlight w:val="none"/>
        </w:rPr>
      </w:pPr>
    </w:p>
    <w:p>
      <w:pPr>
        <w:widowControl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全权代表（亲笔签字）：</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职务：</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联系电话：</w:t>
      </w:r>
    </w:p>
    <w:tbl>
      <w:tblPr>
        <w:tblStyle w:val="2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2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2625" w:hRule="atLeast"/>
          <w:jc w:val="center"/>
        </w:trPr>
        <w:tc>
          <w:tcPr>
            <w:tcW w:w="8260" w:type="dxa"/>
            <w:vAlign w:val="center"/>
          </w:tcPr>
          <w:p>
            <w:pPr>
              <w:spacing w:line="480" w:lineRule="auto"/>
              <w:jc w:val="center"/>
              <w:rPr>
                <w:rFonts w:ascii="宋体" w:hAnsi="宋体" w:cs="宋体"/>
                <w:color w:val="auto"/>
                <w:szCs w:val="21"/>
                <w:highlight w:val="none"/>
              </w:rPr>
            </w:pPr>
            <w:r>
              <w:rPr>
                <w:rFonts w:hint="eastAsia" w:ascii="宋体" w:hAnsi="宋体" w:cs="宋体"/>
                <w:color w:val="auto"/>
                <w:szCs w:val="21"/>
                <w:highlight w:val="none"/>
              </w:rPr>
              <w:t>（全权代表）</w:t>
            </w:r>
          </w:p>
          <w:p>
            <w:pPr>
              <w:spacing w:line="600" w:lineRule="auto"/>
              <w:jc w:val="center"/>
              <w:rPr>
                <w:rFonts w:ascii="宋体" w:hAnsi="宋体" w:cs="宋体"/>
                <w:color w:val="auto"/>
                <w:szCs w:val="21"/>
                <w:highlight w:val="none"/>
                <w:u w:val="single"/>
              </w:rPr>
            </w:pPr>
            <w:r>
              <w:rPr>
                <w:rFonts w:hint="eastAsia" w:ascii="宋体" w:hAnsi="宋体" w:cs="宋体"/>
                <w:color w:val="auto"/>
                <w:szCs w:val="21"/>
                <w:highlight w:val="none"/>
              </w:rPr>
              <w:t>居民身份证复印件粘贴处（正、反面）</w:t>
            </w:r>
            <w:r>
              <w:rPr>
                <w:rFonts w:hint="eastAsia" w:ascii="宋体" w:hAnsi="宋体" w:cs="宋体"/>
                <w:b/>
                <w:bCs/>
                <w:color w:val="auto"/>
                <w:szCs w:val="21"/>
                <w:highlight w:val="none"/>
              </w:rPr>
              <w:t>（</w:t>
            </w:r>
            <w:r>
              <w:rPr>
                <w:rFonts w:hint="eastAsia" w:ascii="宋体" w:hAnsi="宋体"/>
                <w:b/>
                <w:bCs/>
                <w:color w:val="auto"/>
                <w:szCs w:val="21"/>
                <w:highlight w:val="none"/>
              </w:rPr>
              <w:t>独立体或联合体主办方加盖公章</w:t>
            </w:r>
            <w:r>
              <w:rPr>
                <w:rFonts w:hint="eastAsia" w:ascii="宋体" w:hAnsi="宋体" w:cs="宋体"/>
                <w:b/>
                <w:bCs/>
                <w:color w:val="auto"/>
                <w:szCs w:val="21"/>
                <w:highlight w:val="none"/>
              </w:rPr>
              <w:t>）</w:t>
            </w:r>
          </w:p>
        </w:tc>
      </w:tr>
    </w:tbl>
    <w:p>
      <w:pPr>
        <w:spacing w:line="360" w:lineRule="auto"/>
        <w:ind w:firstLine="420" w:firstLineChars="200"/>
        <w:rPr>
          <w:rStyle w:val="27"/>
          <w:rFonts w:ascii="宋体" w:hAnsi="宋体" w:cs="宋体"/>
          <w:color w:val="auto"/>
          <w:szCs w:val="21"/>
          <w:highlight w:val="none"/>
        </w:rPr>
      </w:pPr>
    </w:p>
    <w:p>
      <w:pPr>
        <w:spacing w:line="360" w:lineRule="auto"/>
        <w:ind w:firstLine="420" w:firstLineChars="200"/>
        <w:rPr>
          <w:rStyle w:val="27"/>
          <w:rFonts w:ascii="宋体" w:hAnsi="宋体" w:cs="宋体"/>
          <w:color w:val="auto"/>
          <w:szCs w:val="21"/>
          <w:highlight w:val="none"/>
        </w:rPr>
      </w:pPr>
      <w:r>
        <w:rPr>
          <w:rStyle w:val="27"/>
          <w:rFonts w:hint="eastAsia" w:ascii="宋体" w:hAnsi="宋体" w:cs="宋体"/>
          <w:color w:val="auto"/>
          <w:szCs w:val="21"/>
          <w:highlight w:val="none"/>
        </w:rPr>
        <w:t>注：联合体投标的，本授权书由联合体主办方出具，并由联合体主办方签字、盖章即可。</w:t>
      </w:r>
    </w:p>
    <w:p>
      <w:pPr>
        <w:rPr>
          <w:rStyle w:val="42"/>
          <w:rFonts w:ascii="宋体" w:hAnsi="宋体" w:eastAsia="宋体" w:cs="宋体"/>
          <w:color w:val="auto"/>
          <w:highlight w:val="none"/>
        </w:rPr>
      </w:pPr>
      <w:r>
        <w:rPr>
          <w:rStyle w:val="42"/>
          <w:rFonts w:ascii="宋体" w:hAnsi="宋体" w:eastAsia="宋体" w:cs="宋体"/>
          <w:color w:val="auto"/>
          <w:highlight w:val="none"/>
        </w:rPr>
        <w:br w:type="page"/>
      </w:r>
    </w:p>
    <w:p>
      <w:pPr>
        <w:outlineLvl w:val="1"/>
        <w:rPr>
          <w:rStyle w:val="42"/>
          <w:color w:val="auto"/>
          <w:highlight w:val="none"/>
        </w:rPr>
      </w:pPr>
      <w:bookmarkStart w:id="125" w:name="_Toc18001"/>
      <w:r>
        <w:rPr>
          <w:rStyle w:val="42"/>
          <w:rFonts w:hint="eastAsia" w:ascii="宋体" w:hAnsi="宋体" w:cs="宋体"/>
          <w:color w:val="auto"/>
          <w:highlight w:val="none"/>
          <w:lang w:val="en-US"/>
        </w:rPr>
        <w:t>六、</w:t>
      </w:r>
      <w:r>
        <w:rPr>
          <w:rStyle w:val="42"/>
          <w:rFonts w:ascii="宋体" w:hAnsi="宋体" w:eastAsia="宋体" w:cs="宋体"/>
          <w:color w:val="auto"/>
          <w:highlight w:val="none"/>
        </w:rPr>
        <w:t>投标保证金</w:t>
      </w:r>
      <w:bookmarkEnd w:id="124"/>
      <w:bookmarkEnd w:id="125"/>
      <w:r>
        <w:rPr>
          <w:rStyle w:val="42"/>
          <w:rFonts w:hint="eastAsia" w:ascii="宋体" w:hAnsi="宋体" w:eastAsia="宋体" w:cs="宋体"/>
          <w:color w:val="auto"/>
          <w:highlight w:val="none"/>
        </w:rPr>
        <w:t>银行保函</w:t>
      </w:r>
    </w:p>
    <w:p>
      <w:pPr>
        <w:ind w:firstLine="420" w:firstLineChars="200"/>
        <w:rPr>
          <w:rStyle w:val="27"/>
          <w:color w:val="auto"/>
          <w:highlight w:val="none"/>
        </w:rPr>
      </w:pPr>
    </w:p>
    <w:p>
      <w:pPr>
        <w:ind w:firstLine="420" w:firstLineChars="200"/>
        <w:rPr>
          <w:rStyle w:val="27"/>
          <w:color w:val="auto"/>
          <w:highlight w:val="none"/>
        </w:rPr>
      </w:pPr>
    </w:p>
    <w:p>
      <w:pPr>
        <w:autoSpaceDE w:val="0"/>
        <w:autoSpaceDN w:val="0"/>
        <w:spacing w:line="360" w:lineRule="auto"/>
        <w:jc w:val="center"/>
        <w:rPr>
          <w:rFonts w:ascii="宋体" w:hAnsi="宋体" w:cs="宋体"/>
          <w:color w:val="auto"/>
          <w:sz w:val="24"/>
          <w:highlight w:val="none"/>
        </w:rPr>
      </w:pPr>
      <w:bookmarkStart w:id="126" w:name="_Toc21606"/>
      <w:r>
        <w:rPr>
          <w:rFonts w:hint="eastAsia" w:ascii="宋体" w:hAnsi="宋体" w:cs="宋体"/>
          <w:b/>
          <w:color w:val="auto"/>
          <w:sz w:val="24"/>
          <w:highlight w:val="none"/>
        </w:rPr>
        <w:t>投标保证金银行保函（仅供参考）</w:t>
      </w:r>
    </w:p>
    <w:p>
      <w:pPr>
        <w:pStyle w:val="10"/>
        <w:wordWrap w:val="0"/>
        <w:autoSpaceDE w:val="0"/>
        <w:autoSpaceDN w:val="0"/>
        <w:spacing w:line="360" w:lineRule="auto"/>
        <w:ind w:left="114"/>
        <w:jc w:val="center"/>
        <w:rPr>
          <w:rFonts w:ascii="宋体" w:hAnsi="宋体" w:cs="宋体"/>
          <w:color w:val="auto"/>
          <w:sz w:val="24"/>
          <w:highlight w:val="none"/>
          <w:u w:val="single"/>
        </w:rPr>
      </w:pPr>
      <w:r>
        <w:rPr>
          <w:rFonts w:hint="eastAsia" w:ascii="宋体" w:hAnsi="宋体" w:cs="宋体"/>
          <w:color w:val="auto"/>
          <w:sz w:val="24"/>
          <w:highlight w:val="none"/>
        </w:rPr>
        <w:t xml:space="preserve">                                  保函编号：______________</w:t>
      </w:r>
    </w:p>
    <w:p>
      <w:pPr>
        <w:pStyle w:val="10"/>
        <w:widowControl w:val="0"/>
        <w:autoSpaceDE w:val="0"/>
        <w:autoSpaceDN w:val="0"/>
        <w:spacing w:line="400" w:lineRule="exact"/>
        <w:ind w:left="114"/>
        <w:rPr>
          <w:rFonts w:ascii="宋体" w:hAnsi="宋体" w:cs="宋体"/>
          <w:color w:val="auto"/>
          <w:sz w:val="24"/>
          <w:highlight w:val="none"/>
        </w:rPr>
      </w:pPr>
      <w:r>
        <w:rPr>
          <w:rFonts w:hint="eastAsia" w:ascii="宋体" w:hAnsi="宋体" w:cs="宋体"/>
          <w:color w:val="auto"/>
          <w:sz w:val="24"/>
          <w:highlight w:val="none"/>
        </w:rPr>
        <w:t>________________：</w:t>
      </w:r>
    </w:p>
    <w:p>
      <w:pPr>
        <w:pStyle w:val="10"/>
        <w:widowControl w:val="0"/>
        <w:autoSpaceDE w:val="0"/>
        <w:autoSpaceDN w:val="0"/>
        <w:spacing w:line="400" w:lineRule="exact"/>
        <w:ind w:firstLine="560"/>
        <w:rPr>
          <w:rFonts w:ascii="宋体" w:hAnsi="宋体" w:cs="宋体"/>
          <w:color w:val="auto"/>
          <w:sz w:val="24"/>
          <w:highlight w:val="none"/>
        </w:rPr>
      </w:pPr>
      <w:r>
        <w:rPr>
          <w:rFonts w:hint="eastAsia" w:ascii="宋体" w:hAnsi="宋体" w:cs="宋体"/>
          <w:color w:val="auto"/>
          <w:sz w:val="24"/>
          <w:highlight w:val="none"/>
        </w:rPr>
        <w:t>兹有______________（以下称“投标人”）在______________</w:t>
      </w:r>
      <w:r>
        <w:rPr>
          <w:rFonts w:hint="eastAsia" w:ascii="宋体" w:hAnsi="宋体" w:cs="宋体"/>
          <w:color w:val="auto"/>
          <w:spacing w:val="3"/>
          <w:sz w:val="24"/>
          <w:highlight w:val="none"/>
        </w:rPr>
        <w:t>（以下</w:t>
      </w:r>
      <w:r>
        <w:rPr>
          <w:rFonts w:hint="eastAsia" w:ascii="宋体" w:hAnsi="宋体" w:cs="宋体"/>
          <w:color w:val="auto"/>
          <w:sz w:val="24"/>
          <w:highlight w:val="none"/>
        </w:rPr>
        <w:t>简</w:t>
      </w:r>
      <w:r>
        <w:rPr>
          <w:rFonts w:hint="eastAsia" w:ascii="宋体" w:hAnsi="宋体" w:cs="宋体"/>
          <w:color w:val="auto"/>
          <w:spacing w:val="3"/>
          <w:sz w:val="24"/>
          <w:highlight w:val="none"/>
        </w:rPr>
        <w:t>称“我方”）</w:t>
      </w:r>
      <w:r>
        <w:rPr>
          <w:rFonts w:hint="eastAsia" w:ascii="宋体" w:hAnsi="宋体" w:cs="宋体"/>
          <w:color w:val="auto"/>
          <w:sz w:val="24"/>
          <w:highlight w:val="none"/>
        </w:rPr>
        <w:t>开</w:t>
      </w:r>
      <w:r>
        <w:rPr>
          <w:rFonts w:hint="eastAsia" w:ascii="宋体" w:hAnsi="宋体" w:cs="宋体"/>
          <w:color w:val="auto"/>
          <w:spacing w:val="3"/>
          <w:sz w:val="24"/>
          <w:highlight w:val="none"/>
        </w:rPr>
        <w:t>设基本存款账</w:t>
      </w:r>
      <w:r>
        <w:rPr>
          <w:rFonts w:hint="eastAsia" w:ascii="宋体" w:hAnsi="宋体" w:cs="宋体"/>
          <w:color w:val="auto"/>
          <w:sz w:val="24"/>
          <w:highlight w:val="none"/>
        </w:rPr>
        <w:t>户</w:t>
      </w:r>
      <w:r>
        <w:rPr>
          <w:rFonts w:hint="eastAsia" w:ascii="宋体" w:hAnsi="宋体" w:cs="宋体"/>
          <w:color w:val="auto"/>
          <w:spacing w:val="3"/>
          <w:sz w:val="24"/>
          <w:highlight w:val="none"/>
        </w:rPr>
        <w:t>，其账号为</w:t>
      </w:r>
      <w:r>
        <w:rPr>
          <w:rFonts w:hint="eastAsia" w:ascii="宋体" w:hAnsi="宋体" w:cs="宋体"/>
          <w:color w:val="auto"/>
          <w:sz w:val="24"/>
          <w:highlight w:val="none"/>
        </w:rPr>
        <w:t>：___________________。</w:t>
      </w:r>
      <w:r>
        <w:rPr>
          <w:rFonts w:hint="eastAsia" w:ascii="宋体" w:hAnsi="宋体" w:cs="宋体"/>
          <w:color w:val="auto"/>
          <w:spacing w:val="3"/>
          <w:sz w:val="24"/>
          <w:highlight w:val="none"/>
        </w:rPr>
        <w:t>鉴于</w:t>
      </w:r>
      <w:r>
        <w:rPr>
          <w:rFonts w:hint="eastAsia" w:ascii="宋体" w:hAnsi="宋体" w:cs="宋体"/>
          <w:color w:val="auto"/>
          <w:spacing w:val="-18"/>
          <w:sz w:val="24"/>
          <w:highlight w:val="none"/>
        </w:rPr>
        <w:t>投</w:t>
      </w:r>
      <w:r>
        <w:rPr>
          <w:rFonts w:hint="eastAsia" w:ascii="宋体" w:hAnsi="宋体" w:cs="宋体"/>
          <w:color w:val="auto"/>
          <w:sz w:val="24"/>
          <w:highlight w:val="none"/>
        </w:rPr>
        <w:t>标人于_____年____月____日参加你方__________项目招标的投标</w:t>
      </w:r>
      <w:r>
        <w:rPr>
          <w:rFonts w:hint="eastAsia" w:ascii="宋体" w:hAnsi="宋体" w:cs="宋体"/>
          <w:color w:val="auto"/>
          <w:spacing w:val="-21"/>
          <w:sz w:val="24"/>
          <w:highlight w:val="none"/>
        </w:rPr>
        <w:t>，</w:t>
      </w:r>
      <w:r>
        <w:rPr>
          <w:rFonts w:hint="eastAsia" w:ascii="宋体" w:hAnsi="宋体" w:cs="宋体"/>
          <w:color w:val="auto"/>
          <w:sz w:val="24"/>
          <w:highlight w:val="none"/>
        </w:rPr>
        <w:t>我方在此无条件及不可撤销地具结保证并承诺，一旦收到你方提出的下述任何一种情形的书面通知之日起7个工作日内，</w:t>
      </w:r>
      <w:r>
        <w:rPr>
          <w:rFonts w:hint="eastAsia" w:ascii="宋体" w:hAnsi="宋体" w:cs="宋体"/>
          <w:color w:val="auto"/>
          <w:spacing w:val="3"/>
          <w:sz w:val="24"/>
          <w:highlight w:val="none"/>
        </w:rPr>
        <w:t>我方</w:t>
      </w:r>
      <w:r>
        <w:rPr>
          <w:rFonts w:hint="eastAsia" w:ascii="宋体" w:hAnsi="宋体" w:cs="宋体"/>
          <w:color w:val="auto"/>
          <w:sz w:val="24"/>
          <w:highlight w:val="none"/>
        </w:rPr>
        <w:t>无条件地向贵方支付人民币（大写）_________________元整 [保证金金额]（（小写）￥_______元）：</w:t>
      </w:r>
    </w:p>
    <w:p>
      <w:pPr>
        <w:widowControl w:val="0"/>
        <w:numPr>
          <w:ilvl w:val="0"/>
          <w:numId w:val="9"/>
        </w:numPr>
        <w:tabs>
          <w:tab w:val="left" w:pos="955"/>
        </w:tabs>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若投标人在投标有效期内撤销投标文件；</w:t>
      </w:r>
    </w:p>
    <w:p>
      <w:pPr>
        <w:widowControl w:val="0"/>
        <w:numPr>
          <w:ilvl w:val="0"/>
          <w:numId w:val="9"/>
        </w:numPr>
        <w:tabs>
          <w:tab w:val="left" w:pos="955"/>
        </w:tabs>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中标后无正当理由不与招标人订立合同；</w:t>
      </w:r>
    </w:p>
    <w:p>
      <w:pPr>
        <w:widowControl w:val="0"/>
        <w:numPr>
          <w:ilvl w:val="0"/>
          <w:numId w:val="9"/>
        </w:numPr>
        <w:tabs>
          <w:tab w:val="left" w:pos="955"/>
        </w:tabs>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在签订合同时向招标人提出附加条件；</w:t>
      </w:r>
    </w:p>
    <w:p>
      <w:pPr>
        <w:widowControl w:val="0"/>
        <w:numPr>
          <w:ilvl w:val="0"/>
          <w:numId w:val="9"/>
        </w:numPr>
        <w:tabs>
          <w:tab w:val="left" w:pos="955"/>
        </w:tabs>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发生招标文件明确规定可以不予退还投标保证金的其他情形。</w:t>
      </w:r>
    </w:p>
    <w:p>
      <w:pPr>
        <w:pStyle w:val="10"/>
        <w:widowControl w:val="0"/>
        <w:tabs>
          <w:tab w:val="left" w:pos="2353"/>
          <w:tab w:val="left" w:pos="4313"/>
        </w:tabs>
        <w:autoSpaceDE w:val="0"/>
        <w:autoSpaceDN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本保函自开具之日起生效，有效期截止日期为</w:t>
      </w:r>
      <w:r>
        <w:rPr>
          <w:rFonts w:hint="eastAsia" w:ascii="宋体" w:hAnsi="宋体" w:cs="宋体"/>
          <w:color w:val="auto"/>
          <w:sz w:val="24"/>
          <w:highlight w:val="none"/>
          <w:u w:val="single"/>
        </w:rPr>
        <w:t>    </w:t>
      </w:r>
      <w:r>
        <w:rPr>
          <w:rFonts w:hint="eastAsia" w:ascii="宋体" w:hAnsi="宋体" w:cs="宋体"/>
          <w:color w:val="auto"/>
          <w:sz w:val="24"/>
          <w:highlight w:val="none"/>
        </w:rPr>
        <w:t>年</w:t>
      </w:r>
      <w:r>
        <w:rPr>
          <w:rFonts w:hint="eastAsia" w:ascii="宋体" w:hAnsi="宋体" w:cs="宋体"/>
          <w:color w:val="auto"/>
          <w:sz w:val="24"/>
          <w:highlight w:val="none"/>
          <w:u w:val="single"/>
        </w:rPr>
        <w:t>   </w:t>
      </w:r>
      <w:r>
        <w:rPr>
          <w:rFonts w:hint="eastAsia" w:ascii="宋体" w:hAnsi="宋体" w:cs="宋体"/>
          <w:color w:val="auto"/>
          <w:sz w:val="24"/>
          <w:highlight w:val="none"/>
        </w:rPr>
        <w:t>月</w:t>
      </w:r>
      <w:r>
        <w:rPr>
          <w:rFonts w:hint="eastAsia" w:ascii="宋体" w:hAnsi="宋体" w:cs="宋体"/>
          <w:color w:val="auto"/>
          <w:sz w:val="24"/>
          <w:highlight w:val="none"/>
          <w:u w:val="single"/>
        </w:rPr>
        <w:t>   </w:t>
      </w:r>
      <w:r>
        <w:rPr>
          <w:rFonts w:hint="eastAsia" w:ascii="宋体" w:hAnsi="宋体" w:cs="宋体"/>
          <w:color w:val="auto"/>
          <w:sz w:val="24"/>
          <w:highlight w:val="none"/>
        </w:rPr>
        <w:t>日(注：有效期截止日期不得少于本项目的投标有效期)。到期后，无论你方是否将保函正本退回我方，本保函均自动失效。要求我方承担保</w:t>
      </w:r>
      <w:r>
        <w:rPr>
          <w:rFonts w:hint="eastAsia" w:ascii="宋体" w:hAnsi="宋体" w:cs="宋体"/>
          <w:color w:val="auto"/>
          <w:spacing w:val="-18"/>
          <w:sz w:val="24"/>
          <w:highlight w:val="none"/>
        </w:rPr>
        <w:t>证</w:t>
      </w:r>
      <w:r>
        <w:rPr>
          <w:rFonts w:hint="eastAsia" w:ascii="宋体" w:hAnsi="宋体" w:cs="宋体"/>
          <w:color w:val="auto"/>
          <w:sz w:val="24"/>
          <w:highlight w:val="none"/>
        </w:rPr>
        <w:t>责任的通知应在本保函有效期内送达我方。</w:t>
      </w:r>
    </w:p>
    <w:p>
      <w:pPr>
        <w:pStyle w:val="10"/>
        <w:widowControl w:val="0"/>
        <w:tabs>
          <w:tab w:val="left" w:pos="2353"/>
          <w:tab w:val="left" w:pos="4313"/>
        </w:tabs>
        <w:autoSpaceDE w:val="0"/>
        <w:autoSpaceDN w:val="0"/>
        <w:spacing w:line="460" w:lineRule="exact"/>
        <w:rPr>
          <w:rFonts w:ascii="宋体" w:hAnsi="宋体" w:cs="宋体"/>
          <w:color w:val="auto"/>
          <w:sz w:val="24"/>
          <w:highlight w:val="none"/>
        </w:rPr>
      </w:pPr>
    </w:p>
    <w:p>
      <w:pPr>
        <w:pStyle w:val="10"/>
        <w:widowControl w:val="0"/>
        <w:autoSpaceDE w:val="0"/>
        <w:autoSpaceDN w:val="0"/>
        <w:spacing w:line="360" w:lineRule="exact"/>
        <w:jc w:val="left"/>
        <w:rPr>
          <w:rFonts w:ascii="宋体" w:hAnsi="宋体" w:cs="宋体"/>
          <w:color w:val="auto"/>
          <w:sz w:val="24"/>
          <w:highlight w:val="none"/>
          <w:u w:val="single"/>
        </w:rPr>
      </w:pPr>
      <w:r>
        <w:rPr>
          <w:rFonts w:hint="eastAsia" w:ascii="宋体" w:hAnsi="宋体" w:cs="宋体"/>
          <w:color w:val="auto"/>
          <w:sz w:val="24"/>
          <w:highlight w:val="none"/>
        </w:rPr>
        <w:t>担保人名称（投标人基本存款账户开户银行）（盖单位公章）</w:t>
      </w:r>
      <w:r>
        <w:rPr>
          <w:rFonts w:hint="eastAsia" w:ascii="宋体" w:hAnsi="宋体" w:cs="宋体"/>
          <w:color w:val="auto"/>
          <w:spacing w:val="-18"/>
          <w:sz w:val="24"/>
          <w:highlight w:val="none"/>
        </w:rPr>
        <w:t>：</w:t>
      </w:r>
    </w:p>
    <w:p>
      <w:pPr>
        <w:pStyle w:val="10"/>
        <w:widowControl w:val="0"/>
        <w:tabs>
          <w:tab w:val="left" w:pos="2353"/>
          <w:tab w:val="left" w:pos="4313"/>
        </w:tabs>
        <w:autoSpaceDE w:val="0"/>
        <w:autoSpaceDN w:val="0"/>
        <w:spacing w:line="360" w:lineRule="exact"/>
        <w:jc w:val="left"/>
        <w:rPr>
          <w:rFonts w:ascii="宋体" w:hAnsi="宋体" w:cs="宋体"/>
          <w:color w:val="auto"/>
          <w:spacing w:val="-9"/>
          <w:sz w:val="24"/>
          <w:highlight w:val="none"/>
        </w:rPr>
      </w:pPr>
      <w:r>
        <w:rPr>
          <w:rFonts w:hint="eastAsia" w:ascii="宋体" w:hAnsi="宋体" w:cs="宋体"/>
          <w:color w:val="auto"/>
          <w:sz w:val="24"/>
          <w:highlight w:val="none"/>
        </w:rPr>
        <w:t>担保人法定代表人或委托代理人（签字</w:t>
      </w:r>
      <w:r>
        <w:rPr>
          <w:rFonts w:hint="eastAsia" w:ascii="宋体" w:hAnsi="宋体" w:cs="宋体"/>
          <w:color w:val="auto"/>
          <w:spacing w:val="-9"/>
          <w:sz w:val="24"/>
          <w:highlight w:val="none"/>
        </w:rPr>
        <w:t>）：</w:t>
      </w:r>
    </w:p>
    <w:p>
      <w:pPr>
        <w:pStyle w:val="10"/>
        <w:widowControl w:val="0"/>
        <w:autoSpaceDE w:val="0"/>
        <w:autoSpaceDN w:val="0"/>
        <w:spacing w:line="360" w:lineRule="exact"/>
        <w:jc w:val="left"/>
        <w:rPr>
          <w:rFonts w:ascii="宋体" w:hAnsi="宋体" w:cs="宋体"/>
          <w:color w:val="auto"/>
          <w:sz w:val="24"/>
          <w:highlight w:val="none"/>
        </w:rPr>
      </w:pPr>
      <w:r>
        <w:rPr>
          <w:rFonts w:hint="eastAsia" w:ascii="宋体" w:hAnsi="宋体" w:cs="宋体"/>
          <w:color w:val="auto"/>
          <w:sz w:val="24"/>
          <w:highlight w:val="none"/>
        </w:rPr>
        <w:t>日期：   年   月   日</w:t>
      </w:r>
    </w:p>
    <w:p>
      <w:pPr>
        <w:pStyle w:val="10"/>
        <w:widowControl w:val="0"/>
        <w:autoSpaceDE w:val="0"/>
        <w:autoSpaceDN w:val="0"/>
        <w:spacing w:line="360" w:lineRule="exact"/>
        <w:jc w:val="left"/>
        <w:rPr>
          <w:rFonts w:ascii="宋体" w:hAnsi="宋体" w:cs="宋体"/>
          <w:color w:val="auto"/>
          <w:sz w:val="24"/>
          <w:highlight w:val="none"/>
        </w:rPr>
      </w:pPr>
      <w:r>
        <w:rPr>
          <w:rFonts w:hint="eastAsia" w:ascii="宋体" w:hAnsi="宋体" w:cs="宋体"/>
          <w:color w:val="auto"/>
          <w:sz w:val="24"/>
          <w:highlight w:val="none"/>
        </w:rPr>
        <w:t>担保人地址：</w:t>
      </w:r>
    </w:p>
    <w:p>
      <w:pPr>
        <w:pStyle w:val="10"/>
        <w:widowControl w:val="0"/>
        <w:autoSpaceDE w:val="0"/>
        <w:autoSpaceDN w:val="0"/>
        <w:spacing w:line="360" w:lineRule="exact"/>
        <w:rPr>
          <w:rFonts w:ascii="宋体" w:hAnsi="宋体" w:cs="宋体"/>
          <w:color w:val="auto"/>
          <w:sz w:val="24"/>
          <w:highlight w:val="none"/>
        </w:rPr>
      </w:pPr>
      <w:r>
        <w:rPr>
          <w:rFonts w:hint="eastAsia" w:ascii="宋体" w:hAnsi="宋体" w:cs="宋体"/>
          <w:color w:val="auto"/>
          <w:sz w:val="24"/>
          <w:highlight w:val="none"/>
        </w:rPr>
        <w:t>邮政编码：</w:t>
      </w:r>
    </w:p>
    <w:p>
      <w:pPr>
        <w:pStyle w:val="10"/>
        <w:widowControl w:val="0"/>
        <w:autoSpaceDE w:val="0"/>
        <w:autoSpaceDN w:val="0"/>
        <w:spacing w:line="360" w:lineRule="exact"/>
        <w:rPr>
          <w:rFonts w:ascii="宋体" w:hAnsi="宋体" w:cs="宋体"/>
          <w:color w:val="auto"/>
          <w:sz w:val="24"/>
          <w:highlight w:val="none"/>
        </w:rPr>
      </w:pPr>
      <w:r>
        <w:rPr>
          <w:rFonts w:hint="eastAsia" w:ascii="宋体" w:hAnsi="宋体" w:cs="宋体"/>
          <w:color w:val="auto"/>
          <w:sz w:val="24"/>
          <w:highlight w:val="none"/>
        </w:rPr>
        <w:t>联 系 人：</w:t>
      </w:r>
    </w:p>
    <w:p>
      <w:pPr>
        <w:pStyle w:val="10"/>
        <w:widowControl w:val="0"/>
        <w:autoSpaceDE w:val="0"/>
        <w:autoSpaceDN w:val="0"/>
        <w:spacing w:line="360" w:lineRule="exact"/>
        <w:rPr>
          <w:rFonts w:ascii="宋体" w:hAnsi="宋体" w:cs="宋体"/>
          <w:color w:val="auto"/>
          <w:sz w:val="24"/>
          <w:highlight w:val="none"/>
        </w:rPr>
      </w:pPr>
      <w:r>
        <w:rPr>
          <w:rFonts w:hint="eastAsia" w:ascii="宋体" w:hAnsi="宋体" w:cs="宋体"/>
          <w:color w:val="auto"/>
          <w:sz w:val="24"/>
          <w:highlight w:val="none"/>
        </w:rPr>
        <w:t>联系电话（手机）：</w:t>
      </w:r>
    </w:p>
    <w:p>
      <w:pPr>
        <w:pStyle w:val="52"/>
        <w:jc w:val="both"/>
        <w:rPr>
          <w:rStyle w:val="27"/>
          <w:rFonts w:ascii="宋体" w:hAnsi="宋体" w:cs="宋体"/>
          <w:b/>
          <w:bCs/>
          <w:color w:val="auto"/>
          <w:sz w:val="21"/>
          <w:szCs w:val="21"/>
          <w:highlight w:val="none"/>
        </w:rPr>
      </w:pPr>
      <w:r>
        <w:rPr>
          <w:rStyle w:val="27"/>
          <w:rFonts w:hint="eastAsia" w:ascii="宋体" w:hAnsi="宋体" w:cs="宋体"/>
          <w:b/>
          <w:bCs/>
          <w:color w:val="auto"/>
          <w:sz w:val="21"/>
          <w:szCs w:val="21"/>
          <w:highlight w:val="none"/>
        </w:rPr>
        <w:t>注：1、本投标保证金银行保函为参考样本，各投标人可使用本参考样本或按其基本户开户银行出具的投标保证金银行保函样本（须涵盖本参考样本的所涉信息及要求）。</w:t>
      </w:r>
    </w:p>
    <w:p>
      <w:pPr>
        <w:pStyle w:val="52"/>
        <w:ind w:firstLine="422" w:firstLineChars="200"/>
        <w:jc w:val="both"/>
        <w:rPr>
          <w:rStyle w:val="27"/>
          <w:rFonts w:ascii="宋体" w:hAnsi="宋体" w:cs="宋体"/>
          <w:b/>
          <w:bCs/>
          <w:color w:val="auto"/>
          <w:sz w:val="21"/>
          <w:szCs w:val="21"/>
          <w:highlight w:val="none"/>
        </w:rPr>
      </w:pPr>
      <w:r>
        <w:rPr>
          <w:rStyle w:val="27"/>
          <w:rFonts w:hint="eastAsia" w:ascii="宋体" w:hAnsi="宋体" w:cs="宋体"/>
          <w:b/>
          <w:bCs/>
          <w:color w:val="auto"/>
          <w:sz w:val="21"/>
          <w:szCs w:val="21"/>
          <w:highlight w:val="none"/>
        </w:rPr>
        <w:t>2、各投标人须从其基本户开户银行出具投标保证金银行保函为招标人对本项目投标保证金银行保函的要求。</w:t>
      </w:r>
    </w:p>
    <w:p>
      <w:pPr>
        <w:pStyle w:val="52"/>
        <w:ind w:firstLine="422" w:firstLineChars="200"/>
        <w:jc w:val="both"/>
        <w:rPr>
          <w:rStyle w:val="27"/>
          <w:rFonts w:ascii="宋体" w:hAnsi="宋体" w:cs="宋体"/>
          <w:b/>
          <w:bCs/>
          <w:color w:val="auto"/>
          <w:sz w:val="21"/>
          <w:szCs w:val="21"/>
          <w:highlight w:val="none"/>
        </w:rPr>
        <w:sectPr>
          <w:pgSz w:w="11906" w:h="16838"/>
          <w:pgMar w:top="1020" w:right="1134" w:bottom="1020" w:left="1134" w:header="851" w:footer="992" w:gutter="0"/>
          <w:cols w:space="720" w:num="1"/>
          <w:docGrid w:type="lines" w:linePitch="317" w:charSpace="0"/>
        </w:sectPr>
      </w:pPr>
      <w:r>
        <w:rPr>
          <w:rStyle w:val="27"/>
          <w:rFonts w:hint="eastAsia" w:ascii="宋体" w:hAnsi="宋体" w:cs="宋体"/>
          <w:b/>
          <w:bCs/>
          <w:color w:val="auto"/>
          <w:sz w:val="21"/>
          <w:szCs w:val="21"/>
          <w:highlight w:val="none"/>
        </w:rPr>
        <w:t>3.如基本户开户银行无出具投标保证金银行保函的业务权限，可由其上级银行出具投标保证金银行保函并附上相关证明材料。</w:t>
      </w:r>
    </w:p>
    <w:bookmarkEnd w:id="126"/>
    <w:p>
      <w:pPr>
        <w:outlineLvl w:val="1"/>
        <w:rPr>
          <w:rStyle w:val="27"/>
          <w:rFonts w:ascii="宋体" w:hAnsi="宋体"/>
          <w:b/>
          <w:color w:val="auto"/>
          <w:sz w:val="32"/>
          <w:highlight w:val="none"/>
        </w:rPr>
      </w:pPr>
      <w:bookmarkStart w:id="127" w:name="_Toc27866"/>
      <w:bookmarkStart w:id="128" w:name="_Toc20016"/>
      <w:r>
        <w:rPr>
          <w:rStyle w:val="27"/>
          <w:rFonts w:ascii="宋体" w:hAnsi="宋体"/>
          <w:b/>
          <w:color w:val="auto"/>
          <w:sz w:val="32"/>
          <w:highlight w:val="none"/>
        </w:rPr>
        <w:t>七、</w:t>
      </w:r>
      <w:bookmarkEnd w:id="127"/>
      <w:r>
        <w:rPr>
          <w:rStyle w:val="27"/>
          <w:rFonts w:hint="eastAsia" w:ascii="宋体" w:hAnsi="宋体"/>
          <w:b/>
          <w:color w:val="auto"/>
          <w:sz w:val="32"/>
          <w:highlight w:val="none"/>
        </w:rPr>
        <w:t>投标人基本情况表（独立体或联合体各方）</w:t>
      </w:r>
      <w:bookmarkEnd w:id="128"/>
    </w:p>
    <w:p>
      <w:pPr>
        <w:widowControl w:val="0"/>
        <w:autoSpaceDE w:val="0"/>
        <w:autoSpaceDN w:val="0"/>
        <w:spacing w:before="54"/>
        <w:ind w:left="2999" w:right="2580"/>
        <w:rPr>
          <w:b/>
          <w:bCs/>
          <w:color w:val="auto"/>
          <w:highlight w:val="none"/>
        </w:rPr>
      </w:pPr>
      <w:r>
        <w:rPr>
          <w:rFonts w:hint="eastAsia" w:asciiTheme="minorEastAsia" w:hAnsiTheme="minorEastAsia" w:eastAsiaTheme="minorEastAsia" w:cstheme="minorEastAsia"/>
          <w:b/>
          <w:bCs/>
          <w:color w:val="auto"/>
          <w:sz w:val="30"/>
          <w:szCs w:val="30"/>
          <w:highlight w:val="none"/>
        </w:rPr>
        <w:t>（1）投标人基本情况表</w:t>
      </w:r>
    </w:p>
    <w:tbl>
      <w:tblPr>
        <w:tblStyle w:val="23"/>
        <w:tblpPr w:leftFromText="180" w:rightFromText="180" w:vertAnchor="text" w:horzAnchor="page" w:tblpXSpec="center" w:tblpY="446"/>
        <w:tblOverlap w:val="never"/>
        <w:tblW w:w="92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4"/>
        <w:gridCol w:w="1188"/>
        <w:gridCol w:w="934"/>
        <w:gridCol w:w="849"/>
        <w:gridCol w:w="639"/>
        <w:gridCol w:w="1490"/>
        <w:gridCol w:w="1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2674" w:type="dxa"/>
          </w:tcPr>
          <w:p>
            <w:pPr>
              <w:pStyle w:val="85"/>
              <w:widowControl w:val="0"/>
              <w:autoSpaceDE w:val="0"/>
              <w:autoSpaceDN w:val="0"/>
              <w:spacing w:before="77" w:line="360" w:lineRule="auto"/>
              <w:ind w:left="355" w:right="348"/>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w:t>
            </w:r>
          </w:p>
        </w:tc>
        <w:tc>
          <w:tcPr>
            <w:tcW w:w="6589" w:type="dxa"/>
            <w:gridSpan w:val="6"/>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2674" w:type="dxa"/>
          </w:tcPr>
          <w:p>
            <w:pPr>
              <w:pStyle w:val="85"/>
              <w:widowControl w:val="0"/>
              <w:autoSpaceDE w:val="0"/>
              <w:autoSpaceDN w:val="0"/>
              <w:spacing w:before="66" w:line="360" w:lineRule="auto"/>
              <w:ind w:left="355" w:right="348"/>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注册地址</w:t>
            </w:r>
          </w:p>
        </w:tc>
        <w:tc>
          <w:tcPr>
            <w:tcW w:w="3610" w:type="dxa"/>
            <w:gridSpan w:val="4"/>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c>
          <w:tcPr>
            <w:tcW w:w="1490" w:type="dxa"/>
          </w:tcPr>
          <w:p>
            <w:pPr>
              <w:pStyle w:val="85"/>
              <w:widowControl w:val="0"/>
              <w:autoSpaceDE w:val="0"/>
              <w:autoSpaceDN w:val="0"/>
              <w:spacing w:before="66" w:line="360" w:lineRule="auto"/>
              <w:ind w:left="244" w:right="235"/>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邮政编码</w:t>
            </w:r>
          </w:p>
        </w:tc>
        <w:tc>
          <w:tcPr>
            <w:tcW w:w="1489" w:type="dxa"/>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2674" w:type="dxa"/>
            <w:vMerge w:val="restart"/>
          </w:tcPr>
          <w:p>
            <w:pPr>
              <w:pStyle w:val="85"/>
              <w:widowControl w:val="0"/>
              <w:autoSpaceDE w:val="0"/>
              <w:autoSpaceDN w:val="0"/>
              <w:spacing w:before="8" w:line="360" w:lineRule="auto"/>
              <w:rPr>
                <w:rFonts w:asciiTheme="minorEastAsia" w:hAnsiTheme="minorEastAsia" w:eastAsiaTheme="minorEastAsia" w:cstheme="minorEastAsia"/>
                <w:color w:val="auto"/>
                <w:sz w:val="24"/>
                <w:highlight w:val="none"/>
              </w:rPr>
            </w:pPr>
          </w:p>
          <w:p>
            <w:pPr>
              <w:pStyle w:val="85"/>
              <w:widowControl w:val="0"/>
              <w:autoSpaceDE w:val="0"/>
              <w:autoSpaceDN w:val="0"/>
              <w:spacing w:line="360" w:lineRule="auto"/>
              <w:ind w:left="85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联系方式</w:t>
            </w:r>
          </w:p>
        </w:tc>
        <w:tc>
          <w:tcPr>
            <w:tcW w:w="1188" w:type="dxa"/>
          </w:tcPr>
          <w:p>
            <w:pPr>
              <w:pStyle w:val="85"/>
              <w:widowControl w:val="0"/>
              <w:autoSpaceDE w:val="0"/>
              <w:autoSpaceDN w:val="0"/>
              <w:spacing w:before="65" w:line="360" w:lineRule="auto"/>
              <w:ind w:left="213" w:right="204"/>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p>
        </w:tc>
        <w:tc>
          <w:tcPr>
            <w:tcW w:w="2422" w:type="dxa"/>
            <w:gridSpan w:val="3"/>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c>
          <w:tcPr>
            <w:tcW w:w="1490" w:type="dxa"/>
          </w:tcPr>
          <w:p>
            <w:pPr>
              <w:pStyle w:val="85"/>
              <w:widowControl w:val="0"/>
              <w:autoSpaceDE w:val="0"/>
              <w:autoSpaceDN w:val="0"/>
              <w:spacing w:before="65" w:line="360" w:lineRule="auto"/>
              <w:ind w:left="244" w:right="235"/>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电话</w:t>
            </w:r>
          </w:p>
        </w:tc>
        <w:tc>
          <w:tcPr>
            <w:tcW w:w="1489" w:type="dxa"/>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2674" w:type="dxa"/>
            <w:vMerge w:val="continue"/>
            <w:tcBorders>
              <w:top w:val="nil"/>
            </w:tcBorders>
          </w:tcPr>
          <w:p>
            <w:pPr>
              <w:widowControl w:val="0"/>
              <w:autoSpaceDE w:val="0"/>
              <w:autoSpaceDN w:val="0"/>
              <w:spacing w:line="360" w:lineRule="auto"/>
              <w:rPr>
                <w:rFonts w:asciiTheme="minorEastAsia" w:hAnsiTheme="minorEastAsia" w:eastAsiaTheme="minorEastAsia" w:cstheme="minorEastAsia"/>
                <w:color w:val="auto"/>
                <w:sz w:val="24"/>
                <w:highlight w:val="none"/>
              </w:rPr>
            </w:pPr>
          </w:p>
        </w:tc>
        <w:tc>
          <w:tcPr>
            <w:tcW w:w="1188" w:type="dxa"/>
          </w:tcPr>
          <w:p>
            <w:pPr>
              <w:pStyle w:val="85"/>
              <w:widowControl w:val="0"/>
              <w:autoSpaceDE w:val="0"/>
              <w:autoSpaceDN w:val="0"/>
              <w:spacing w:before="2" w:line="360" w:lineRule="auto"/>
              <w:ind w:left="213" w:right="204"/>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传真</w:t>
            </w:r>
          </w:p>
        </w:tc>
        <w:tc>
          <w:tcPr>
            <w:tcW w:w="2422" w:type="dxa"/>
            <w:gridSpan w:val="3"/>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c>
          <w:tcPr>
            <w:tcW w:w="1490" w:type="dxa"/>
          </w:tcPr>
          <w:p>
            <w:pPr>
              <w:pStyle w:val="85"/>
              <w:widowControl w:val="0"/>
              <w:autoSpaceDE w:val="0"/>
              <w:autoSpaceDN w:val="0"/>
              <w:spacing w:before="2" w:line="360" w:lineRule="auto"/>
              <w:ind w:left="244" w:right="235"/>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电子邮件</w:t>
            </w:r>
          </w:p>
        </w:tc>
        <w:tc>
          <w:tcPr>
            <w:tcW w:w="1489" w:type="dxa"/>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2674" w:type="dxa"/>
          </w:tcPr>
          <w:p>
            <w:pPr>
              <w:pStyle w:val="85"/>
              <w:widowControl w:val="0"/>
              <w:autoSpaceDE w:val="0"/>
              <w:autoSpaceDN w:val="0"/>
              <w:spacing w:before="64" w:line="360" w:lineRule="auto"/>
              <w:ind w:left="355" w:right="348"/>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p>
        </w:tc>
        <w:tc>
          <w:tcPr>
            <w:tcW w:w="1188" w:type="dxa"/>
          </w:tcPr>
          <w:p>
            <w:pPr>
              <w:pStyle w:val="85"/>
              <w:widowControl w:val="0"/>
              <w:autoSpaceDE w:val="0"/>
              <w:autoSpaceDN w:val="0"/>
              <w:spacing w:before="64" w:line="360" w:lineRule="auto"/>
              <w:ind w:left="213" w:right="204"/>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934" w:type="dxa"/>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c>
          <w:tcPr>
            <w:tcW w:w="1488" w:type="dxa"/>
            <w:gridSpan w:val="2"/>
          </w:tcPr>
          <w:p>
            <w:pPr>
              <w:pStyle w:val="85"/>
              <w:widowControl w:val="0"/>
              <w:autoSpaceDE w:val="0"/>
              <w:autoSpaceDN w:val="0"/>
              <w:spacing w:before="64" w:line="360" w:lineRule="auto"/>
              <w:ind w:left="264"/>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技术职称</w:t>
            </w:r>
          </w:p>
        </w:tc>
        <w:tc>
          <w:tcPr>
            <w:tcW w:w="1490" w:type="dxa"/>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c>
          <w:tcPr>
            <w:tcW w:w="1489" w:type="dxa"/>
          </w:tcPr>
          <w:p>
            <w:pPr>
              <w:pStyle w:val="85"/>
              <w:widowControl w:val="0"/>
              <w:autoSpaceDE w:val="0"/>
              <w:autoSpaceDN w:val="0"/>
              <w:spacing w:before="64" w:line="360" w:lineRule="auto"/>
              <w:ind w:left="482" w:right="476"/>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2674" w:type="dxa"/>
          </w:tcPr>
          <w:p>
            <w:pPr>
              <w:pStyle w:val="85"/>
              <w:widowControl w:val="0"/>
              <w:autoSpaceDE w:val="0"/>
              <w:autoSpaceDN w:val="0"/>
              <w:spacing w:before="76" w:line="360" w:lineRule="auto"/>
              <w:ind w:left="355" w:right="348"/>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技术负责人</w:t>
            </w:r>
          </w:p>
        </w:tc>
        <w:tc>
          <w:tcPr>
            <w:tcW w:w="1188" w:type="dxa"/>
          </w:tcPr>
          <w:p>
            <w:pPr>
              <w:pStyle w:val="85"/>
              <w:widowControl w:val="0"/>
              <w:autoSpaceDE w:val="0"/>
              <w:autoSpaceDN w:val="0"/>
              <w:spacing w:before="76" w:line="360" w:lineRule="auto"/>
              <w:ind w:left="213" w:right="204"/>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934" w:type="dxa"/>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c>
          <w:tcPr>
            <w:tcW w:w="1488" w:type="dxa"/>
            <w:gridSpan w:val="2"/>
          </w:tcPr>
          <w:p>
            <w:pPr>
              <w:pStyle w:val="85"/>
              <w:widowControl w:val="0"/>
              <w:autoSpaceDE w:val="0"/>
              <w:autoSpaceDN w:val="0"/>
              <w:spacing w:before="76" w:line="360" w:lineRule="auto"/>
              <w:ind w:left="264"/>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技术职称</w:t>
            </w:r>
          </w:p>
        </w:tc>
        <w:tc>
          <w:tcPr>
            <w:tcW w:w="1490" w:type="dxa"/>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c>
          <w:tcPr>
            <w:tcW w:w="1489" w:type="dxa"/>
          </w:tcPr>
          <w:p>
            <w:pPr>
              <w:pStyle w:val="85"/>
              <w:widowControl w:val="0"/>
              <w:autoSpaceDE w:val="0"/>
              <w:autoSpaceDN w:val="0"/>
              <w:spacing w:before="76" w:line="360" w:lineRule="auto"/>
              <w:ind w:left="482" w:right="476"/>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2674" w:type="dxa"/>
          </w:tcPr>
          <w:p>
            <w:pPr>
              <w:pStyle w:val="85"/>
              <w:widowControl w:val="0"/>
              <w:autoSpaceDE w:val="0"/>
              <w:autoSpaceDN w:val="0"/>
              <w:spacing w:before="64" w:line="360" w:lineRule="auto"/>
              <w:ind w:left="355" w:right="348"/>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w:t>
            </w:r>
          </w:p>
        </w:tc>
        <w:tc>
          <w:tcPr>
            <w:tcW w:w="2122" w:type="dxa"/>
            <w:gridSpan w:val="2"/>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c>
          <w:tcPr>
            <w:tcW w:w="4467" w:type="dxa"/>
            <w:gridSpan w:val="4"/>
          </w:tcPr>
          <w:p>
            <w:pPr>
              <w:pStyle w:val="85"/>
              <w:widowControl w:val="0"/>
              <w:autoSpaceDE w:val="0"/>
              <w:autoSpaceDN w:val="0"/>
              <w:spacing w:before="64" w:line="360" w:lineRule="auto"/>
              <w:ind w:left="1612" w:right="1604"/>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2674" w:type="dxa"/>
            <w:vMerge w:val="restart"/>
          </w:tcPr>
          <w:p>
            <w:pPr>
              <w:pStyle w:val="85"/>
              <w:widowControl w:val="0"/>
              <w:autoSpaceDE w:val="0"/>
              <w:autoSpaceDN w:val="0"/>
              <w:spacing w:before="7" w:line="360" w:lineRule="auto"/>
              <w:rPr>
                <w:rFonts w:asciiTheme="minorEastAsia" w:hAnsiTheme="minorEastAsia" w:eastAsiaTheme="minorEastAsia" w:cstheme="minorEastAsia"/>
                <w:color w:val="auto"/>
                <w:sz w:val="24"/>
                <w:highlight w:val="none"/>
              </w:rPr>
            </w:pPr>
          </w:p>
          <w:p>
            <w:pPr>
              <w:pStyle w:val="85"/>
              <w:widowControl w:val="0"/>
              <w:autoSpaceDE w:val="0"/>
              <w:autoSpaceDN w:val="0"/>
              <w:spacing w:line="360" w:lineRule="auto"/>
              <w:ind w:left="85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资质等级</w:t>
            </w:r>
          </w:p>
        </w:tc>
        <w:tc>
          <w:tcPr>
            <w:tcW w:w="2122" w:type="dxa"/>
            <w:gridSpan w:val="2"/>
            <w:vMerge w:val="restart"/>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c>
          <w:tcPr>
            <w:tcW w:w="849" w:type="dxa"/>
            <w:vMerge w:val="restart"/>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p>
            <w:pPr>
              <w:pStyle w:val="85"/>
              <w:widowControl w:val="0"/>
              <w:autoSpaceDE w:val="0"/>
              <w:autoSpaceDN w:val="0"/>
              <w:spacing w:before="12" w:line="360" w:lineRule="auto"/>
              <w:rPr>
                <w:rFonts w:asciiTheme="minorEastAsia" w:hAnsiTheme="minorEastAsia" w:eastAsiaTheme="minorEastAsia" w:cstheme="minorEastAsia"/>
                <w:color w:val="auto"/>
                <w:sz w:val="24"/>
                <w:highlight w:val="none"/>
              </w:rPr>
            </w:pPr>
          </w:p>
          <w:p>
            <w:pPr>
              <w:pStyle w:val="85"/>
              <w:widowControl w:val="0"/>
              <w:autoSpaceDE w:val="0"/>
              <w:autoSpaceDN w:val="0"/>
              <w:spacing w:line="360" w:lineRule="auto"/>
              <w:ind w:left="18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其中</w:t>
            </w:r>
          </w:p>
        </w:tc>
        <w:tc>
          <w:tcPr>
            <w:tcW w:w="2129" w:type="dxa"/>
            <w:gridSpan w:val="2"/>
          </w:tcPr>
          <w:p>
            <w:pPr>
              <w:pStyle w:val="85"/>
              <w:widowControl w:val="0"/>
              <w:autoSpaceDE w:val="0"/>
              <w:autoSpaceDN w:val="0"/>
              <w:spacing w:before="64" w:line="360" w:lineRule="auto"/>
              <w:ind w:left="584"/>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高级职称</w:t>
            </w:r>
          </w:p>
        </w:tc>
        <w:tc>
          <w:tcPr>
            <w:tcW w:w="1489" w:type="dxa"/>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8" w:hRule="atLeast"/>
          <w:jc w:val="center"/>
        </w:trPr>
        <w:tc>
          <w:tcPr>
            <w:tcW w:w="2674" w:type="dxa"/>
            <w:vMerge w:val="continue"/>
            <w:tcBorders>
              <w:top w:val="nil"/>
            </w:tcBorders>
          </w:tcPr>
          <w:p>
            <w:pPr>
              <w:widowControl w:val="0"/>
              <w:autoSpaceDE w:val="0"/>
              <w:autoSpaceDN w:val="0"/>
              <w:spacing w:line="360" w:lineRule="auto"/>
              <w:rPr>
                <w:rFonts w:asciiTheme="minorEastAsia" w:hAnsiTheme="minorEastAsia" w:eastAsiaTheme="minorEastAsia" w:cstheme="minorEastAsia"/>
                <w:color w:val="auto"/>
                <w:sz w:val="24"/>
                <w:highlight w:val="none"/>
              </w:rPr>
            </w:pPr>
          </w:p>
        </w:tc>
        <w:tc>
          <w:tcPr>
            <w:tcW w:w="2122" w:type="dxa"/>
            <w:gridSpan w:val="2"/>
            <w:vMerge w:val="continue"/>
            <w:tcBorders>
              <w:top w:val="nil"/>
            </w:tcBorders>
          </w:tcPr>
          <w:p>
            <w:pPr>
              <w:widowControl w:val="0"/>
              <w:autoSpaceDE w:val="0"/>
              <w:autoSpaceDN w:val="0"/>
              <w:spacing w:line="360" w:lineRule="auto"/>
              <w:rPr>
                <w:rFonts w:asciiTheme="minorEastAsia" w:hAnsiTheme="minorEastAsia" w:eastAsiaTheme="minorEastAsia" w:cstheme="minorEastAsia"/>
                <w:color w:val="auto"/>
                <w:sz w:val="24"/>
                <w:highlight w:val="none"/>
              </w:rPr>
            </w:pPr>
          </w:p>
        </w:tc>
        <w:tc>
          <w:tcPr>
            <w:tcW w:w="849" w:type="dxa"/>
            <w:vMerge w:val="continue"/>
            <w:tcBorders>
              <w:top w:val="nil"/>
            </w:tcBorders>
          </w:tcPr>
          <w:p>
            <w:pPr>
              <w:widowControl w:val="0"/>
              <w:autoSpaceDE w:val="0"/>
              <w:autoSpaceDN w:val="0"/>
              <w:spacing w:line="360" w:lineRule="auto"/>
              <w:rPr>
                <w:rFonts w:asciiTheme="minorEastAsia" w:hAnsiTheme="minorEastAsia" w:eastAsiaTheme="minorEastAsia" w:cstheme="minorEastAsia"/>
                <w:color w:val="auto"/>
                <w:sz w:val="24"/>
                <w:highlight w:val="none"/>
              </w:rPr>
            </w:pPr>
          </w:p>
        </w:tc>
        <w:tc>
          <w:tcPr>
            <w:tcW w:w="2129" w:type="dxa"/>
            <w:gridSpan w:val="2"/>
          </w:tcPr>
          <w:p>
            <w:pPr>
              <w:pStyle w:val="85"/>
              <w:widowControl w:val="0"/>
              <w:autoSpaceDE w:val="0"/>
              <w:autoSpaceDN w:val="0"/>
              <w:spacing w:before="75" w:line="360" w:lineRule="auto"/>
              <w:ind w:left="584"/>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中级职称</w:t>
            </w:r>
          </w:p>
        </w:tc>
        <w:tc>
          <w:tcPr>
            <w:tcW w:w="1489" w:type="dxa"/>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2674" w:type="dxa"/>
          </w:tcPr>
          <w:p>
            <w:pPr>
              <w:pStyle w:val="85"/>
              <w:widowControl w:val="0"/>
              <w:autoSpaceDE w:val="0"/>
              <w:autoSpaceDN w:val="0"/>
              <w:spacing w:before="64" w:line="360" w:lineRule="auto"/>
              <w:ind w:left="355" w:right="348"/>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营业执照号</w:t>
            </w:r>
          </w:p>
        </w:tc>
        <w:tc>
          <w:tcPr>
            <w:tcW w:w="2122" w:type="dxa"/>
            <w:gridSpan w:val="2"/>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c>
          <w:tcPr>
            <w:tcW w:w="849" w:type="dxa"/>
            <w:vMerge w:val="continue"/>
            <w:tcBorders>
              <w:top w:val="nil"/>
            </w:tcBorders>
          </w:tcPr>
          <w:p>
            <w:pPr>
              <w:widowControl w:val="0"/>
              <w:autoSpaceDE w:val="0"/>
              <w:autoSpaceDN w:val="0"/>
              <w:spacing w:line="360" w:lineRule="auto"/>
              <w:rPr>
                <w:rFonts w:asciiTheme="minorEastAsia" w:hAnsiTheme="minorEastAsia" w:eastAsiaTheme="minorEastAsia" w:cstheme="minorEastAsia"/>
                <w:color w:val="auto"/>
                <w:sz w:val="24"/>
                <w:highlight w:val="none"/>
              </w:rPr>
            </w:pPr>
          </w:p>
        </w:tc>
        <w:tc>
          <w:tcPr>
            <w:tcW w:w="2129" w:type="dxa"/>
            <w:gridSpan w:val="2"/>
          </w:tcPr>
          <w:p>
            <w:pPr>
              <w:pStyle w:val="85"/>
              <w:widowControl w:val="0"/>
              <w:autoSpaceDE w:val="0"/>
              <w:autoSpaceDN w:val="0"/>
              <w:spacing w:before="64" w:line="360" w:lineRule="auto"/>
              <w:ind w:left="344"/>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各类注册人员</w:t>
            </w:r>
          </w:p>
        </w:tc>
        <w:tc>
          <w:tcPr>
            <w:tcW w:w="1489" w:type="dxa"/>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2674" w:type="dxa"/>
          </w:tcPr>
          <w:p>
            <w:pPr>
              <w:pStyle w:val="85"/>
              <w:widowControl w:val="0"/>
              <w:autoSpaceDE w:val="0"/>
              <w:autoSpaceDN w:val="0"/>
              <w:spacing w:before="64" w:line="360" w:lineRule="auto"/>
              <w:ind w:left="355" w:right="348"/>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注册资金</w:t>
            </w:r>
          </w:p>
        </w:tc>
        <w:tc>
          <w:tcPr>
            <w:tcW w:w="6589" w:type="dxa"/>
            <w:gridSpan w:val="6"/>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2674" w:type="dxa"/>
          </w:tcPr>
          <w:p>
            <w:pPr>
              <w:pStyle w:val="85"/>
              <w:widowControl w:val="0"/>
              <w:autoSpaceDE w:val="0"/>
              <w:autoSpaceDN w:val="0"/>
              <w:spacing w:before="75" w:line="360" w:lineRule="auto"/>
              <w:ind w:left="355" w:right="348"/>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基本账户开户银行</w:t>
            </w:r>
          </w:p>
        </w:tc>
        <w:tc>
          <w:tcPr>
            <w:tcW w:w="6589" w:type="dxa"/>
            <w:gridSpan w:val="6"/>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2674" w:type="dxa"/>
          </w:tcPr>
          <w:p>
            <w:pPr>
              <w:pStyle w:val="85"/>
              <w:widowControl w:val="0"/>
              <w:autoSpaceDE w:val="0"/>
              <w:autoSpaceDN w:val="0"/>
              <w:spacing w:before="64" w:line="360" w:lineRule="auto"/>
              <w:ind w:left="355" w:right="348"/>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基本账户帐号</w:t>
            </w:r>
          </w:p>
        </w:tc>
        <w:tc>
          <w:tcPr>
            <w:tcW w:w="6589" w:type="dxa"/>
            <w:gridSpan w:val="6"/>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jc w:val="center"/>
        </w:trPr>
        <w:tc>
          <w:tcPr>
            <w:tcW w:w="2674" w:type="dxa"/>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p>
            <w:pPr>
              <w:pStyle w:val="85"/>
              <w:widowControl w:val="0"/>
              <w:autoSpaceDE w:val="0"/>
              <w:autoSpaceDN w:val="0"/>
              <w:spacing w:before="8" w:line="360" w:lineRule="auto"/>
              <w:rPr>
                <w:rFonts w:asciiTheme="minorEastAsia" w:hAnsiTheme="minorEastAsia" w:eastAsiaTheme="minorEastAsia" w:cstheme="minorEastAsia"/>
                <w:color w:val="auto"/>
                <w:sz w:val="24"/>
                <w:highlight w:val="none"/>
              </w:rPr>
            </w:pPr>
          </w:p>
          <w:p>
            <w:pPr>
              <w:pStyle w:val="85"/>
              <w:widowControl w:val="0"/>
              <w:autoSpaceDE w:val="0"/>
              <w:autoSpaceDN w:val="0"/>
              <w:spacing w:line="360" w:lineRule="auto"/>
              <w:ind w:left="355" w:right="348"/>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经营范围</w:t>
            </w:r>
          </w:p>
        </w:tc>
        <w:tc>
          <w:tcPr>
            <w:tcW w:w="6589" w:type="dxa"/>
            <w:gridSpan w:val="6"/>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2674" w:type="dxa"/>
          </w:tcPr>
          <w:p>
            <w:pPr>
              <w:pStyle w:val="85"/>
              <w:widowControl w:val="0"/>
              <w:autoSpaceDE w:val="0"/>
              <w:autoSpaceDN w:val="0"/>
              <w:spacing w:before="76" w:line="360" w:lineRule="auto"/>
              <w:ind w:left="355" w:right="348"/>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c>
          <w:tcPr>
            <w:tcW w:w="6589" w:type="dxa"/>
            <w:gridSpan w:val="6"/>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r>
    </w:tbl>
    <w:p>
      <w:pPr>
        <w:pStyle w:val="10"/>
        <w:widowControl w:val="0"/>
        <w:autoSpaceDE w:val="0"/>
        <w:autoSpaceDN w:val="0"/>
        <w:spacing w:before="2" w:line="360" w:lineRule="auto"/>
        <w:ind w:right="15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注：在本表后应附企业法人营业执照副本复印件、资质证书副本复印件、基本账户开户许可证复印件或银行出具的基本账户开户信息证明等。上述所有执照、证书复印件均应加盖投标人单位公章。</w:t>
      </w:r>
    </w:p>
    <w:p>
      <w:pPr>
        <w:widowControl w:val="0"/>
        <w:autoSpaceDE w:val="0"/>
        <w:autoSpaceDN w:val="0"/>
        <w:spacing w:line="360" w:lineRule="auto"/>
        <w:jc w:val="center"/>
        <w:rPr>
          <w:rFonts w:asciiTheme="minorEastAsia" w:hAnsiTheme="minorEastAsia" w:eastAsiaTheme="minorEastAsia" w:cstheme="minorEastAsia"/>
          <w:color w:val="auto"/>
          <w:sz w:val="24"/>
          <w:highlight w:val="none"/>
        </w:rPr>
        <w:sectPr>
          <w:headerReference r:id="rId4" w:type="default"/>
          <w:footerReference r:id="rId5" w:type="default"/>
          <w:pgSz w:w="12240" w:h="15840"/>
          <w:pgMar w:top="1417" w:right="1134" w:bottom="1134" w:left="1417" w:header="878" w:footer="835" w:gutter="0"/>
          <w:cols w:space="720" w:num="1"/>
        </w:sectPr>
      </w:pPr>
    </w:p>
    <w:p>
      <w:pPr>
        <w:widowControl w:val="0"/>
        <w:autoSpaceDE w:val="0"/>
        <w:autoSpaceDN w:val="0"/>
        <w:spacing w:before="64"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30"/>
          <w:szCs w:val="30"/>
          <w:highlight w:val="none"/>
        </w:rPr>
        <w:t>（2）近年完成的类似项目情况表</w:t>
      </w:r>
    </w:p>
    <w:tbl>
      <w:tblPr>
        <w:tblStyle w:val="23"/>
        <w:tblW w:w="9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4"/>
        <w:gridCol w:w="6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324" w:type="dxa"/>
          </w:tcPr>
          <w:p>
            <w:pPr>
              <w:pStyle w:val="85"/>
              <w:widowControl w:val="0"/>
              <w:autoSpaceDE w:val="0"/>
              <w:autoSpaceDN w:val="0"/>
              <w:spacing w:before="4"/>
              <w:jc w:val="center"/>
              <w:rPr>
                <w:rFonts w:asciiTheme="minorEastAsia" w:hAnsiTheme="minorEastAsia" w:eastAsiaTheme="minorEastAsia" w:cstheme="minorEastAsia"/>
                <w:color w:val="auto"/>
                <w:sz w:val="24"/>
                <w:highlight w:val="none"/>
              </w:rPr>
            </w:pPr>
          </w:p>
          <w:p>
            <w:pPr>
              <w:pStyle w:val="85"/>
              <w:widowControl w:val="0"/>
              <w:autoSpaceDE w:val="0"/>
              <w:autoSpaceDN w:val="0"/>
              <w:ind w:left="481" w:right="475"/>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6751" w:type="dxa"/>
          </w:tcPr>
          <w:p>
            <w:pPr>
              <w:pStyle w:val="85"/>
              <w:widowControl w:val="0"/>
              <w:autoSpaceDE w:val="0"/>
              <w:autoSpaceDN w:val="0"/>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2324" w:type="dxa"/>
          </w:tcPr>
          <w:p>
            <w:pPr>
              <w:pStyle w:val="85"/>
              <w:widowControl w:val="0"/>
              <w:autoSpaceDE w:val="0"/>
              <w:autoSpaceDN w:val="0"/>
              <w:spacing w:before="4"/>
              <w:jc w:val="center"/>
              <w:rPr>
                <w:rFonts w:asciiTheme="minorEastAsia" w:hAnsiTheme="minorEastAsia" w:eastAsiaTheme="minorEastAsia" w:cstheme="minorEastAsia"/>
                <w:color w:val="auto"/>
                <w:sz w:val="24"/>
                <w:highlight w:val="none"/>
              </w:rPr>
            </w:pPr>
          </w:p>
          <w:p>
            <w:pPr>
              <w:pStyle w:val="85"/>
              <w:widowControl w:val="0"/>
              <w:autoSpaceDE w:val="0"/>
              <w:autoSpaceDN w:val="0"/>
              <w:ind w:left="481" w:right="475"/>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项目所在地</w:t>
            </w:r>
          </w:p>
        </w:tc>
        <w:tc>
          <w:tcPr>
            <w:tcW w:w="6751" w:type="dxa"/>
          </w:tcPr>
          <w:p>
            <w:pPr>
              <w:pStyle w:val="85"/>
              <w:widowControl w:val="0"/>
              <w:autoSpaceDE w:val="0"/>
              <w:autoSpaceDN w:val="0"/>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324" w:type="dxa"/>
          </w:tcPr>
          <w:p>
            <w:pPr>
              <w:pStyle w:val="85"/>
              <w:widowControl w:val="0"/>
              <w:autoSpaceDE w:val="0"/>
              <w:autoSpaceDN w:val="0"/>
              <w:spacing w:before="3"/>
              <w:jc w:val="center"/>
              <w:rPr>
                <w:rFonts w:asciiTheme="minorEastAsia" w:hAnsiTheme="minorEastAsia" w:eastAsiaTheme="minorEastAsia" w:cstheme="minorEastAsia"/>
                <w:color w:val="auto"/>
                <w:sz w:val="24"/>
                <w:highlight w:val="none"/>
              </w:rPr>
            </w:pPr>
          </w:p>
          <w:p>
            <w:pPr>
              <w:pStyle w:val="85"/>
              <w:widowControl w:val="0"/>
              <w:autoSpaceDE w:val="0"/>
              <w:autoSpaceDN w:val="0"/>
              <w:spacing w:before="1"/>
              <w:ind w:left="481" w:right="475"/>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发包人名称</w:t>
            </w:r>
          </w:p>
        </w:tc>
        <w:tc>
          <w:tcPr>
            <w:tcW w:w="6751" w:type="dxa"/>
          </w:tcPr>
          <w:p>
            <w:pPr>
              <w:pStyle w:val="85"/>
              <w:widowControl w:val="0"/>
              <w:autoSpaceDE w:val="0"/>
              <w:autoSpaceDN w:val="0"/>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324" w:type="dxa"/>
          </w:tcPr>
          <w:p>
            <w:pPr>
              <w:pStyle w:val="85"/>
              <w:widowControl w:val="0"/>
              <w:autoSpaceDE w:val="0"/>
              <w:autoSpaceDN w:val="0"/>
              <w:spacing w:before="4"/>
              <w:jc w:val="center"/>
              <w:rPr>
                <w:rFonts w:asciiTheme="minorEastAsia" w:hAnsiTheme="minorEastAsia" w:eastAsiaTheme="minorEastAsia" w:cstheme="minorEastAsia"/>
                <w:color w:val="auto"/>
                <w:sz w:val="24"/>
                <w:highlight w:val="none"/>
              </w:rPr>
            </w:pPr>
          </w:p>
          <w:p>
            <w:pPr>
              <w:pStyle w:val="85"/>
              <w:widowControl w:val="0"/>
              <w:autoSpaceDE w:val="0"/>
              <w:autoSpaceDN w:val="0"/>
              <w:ind w:left="481" w:right="475"/>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发包人地址</w:t>
            </w:r>
          </w:p>
        </w:tc>
        <w:tc>
          <w:tcPr>
            <w:tcW w:w="6751" w:type="dxa"/>
          </w:tcPr>
          <w:p>
            <w:pPr>
              <w:pStyle w:val="85"/>
              <w:widowControl w:val="0"/>
              <w:autoSpaceDE w:val="0"/>
              <w:autoSpaceDN w:val="0"/>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324" w:type="dxa"/>
          </w:tcPr>
          <w:p>
            <w:pPr>
              <w:pStyle w:val="85"/>
              <w:widowControl w:val="0"/>
              <w:autoSpaceDE w:val="0"/>
              <w:autoSpaceDN w:val="0"/>
              <w:spacing w:before="3"/>
              <w:jc w:val="center"/>
              <w:rPr>
                <w:rFonts w:asciiTheme="minorEastAsia" w:hAnsiTheme="minorEastAsia" w:eastAsiaTheme="minorEastAsia" w:cstheme="minorEastAsia"/>
                <w:color w:val="auto"/>
                <w:sz w:val="24"/>
                <w:highlight w:val="none"/>
              </w:rPr>
            </w:pPr>
          </w:p>
          <w:p>
            <w:pPr>
              <w:pStyle w:val="85"/>
              <w:widowControl w:val="0"/>
              <w:autoSpaceDE w:val="0"/>
              <w:autoSpaceDN w:val="0"/>
              <w:ind w:left="481" w:right="475"/>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发包人电话</w:t>
            </w:r>
          </w:p>
        </w:tc>
        <w:tc>
          <w:tcPr>
            <w:tcW w:w="6751" w:type="dxa"/>
          </w:tcPr>
          <w:p>
            <w:pPr>
              <w:pStyle w:val="85"/>
              <w:widowControl w:val="0"/>
              <w:autoSpaceDE w:val="0"/>
              <w:autoSpaceDN w:val="0"/>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2324" w:type="dxa"/>
          </w:tcPr>
          <w:p>
            <w:pPr>
              <w:pStyle w:val="85"/>
              <w:widowControl w:val="0"/>
              <w:autoSpaceDE w:val="0"/>
              <w:autoSpaceDN w:val="0"/>
              <w:spacing w:before="2"/>
              <w:jc w:val="center"/>
              <w:rPr>
                <w:rFonts w:asciiTheme="minorEastAsia" w:hAnsiTheme="minorEastAsia" w:eastAsiaTheme="minorEastAsia" w:cstheme="minorEastAsia"/>
                <w:color w:val="auto"/>
                <w:sz w:val="24"/>
                <w:highlight w:val="none"/>
              </w:rPr>
            </w:pPr>
          </w:p>
          <w:p>
            <w:pPr>
              <w:pStyle w:val="85"/>
              <w:widowControl w:val="0"/>
              <w:autoSpaceDE w:val="0"/>
              <w:autoSpaceDN w:val="0"/>
              <w:spacing w:before="1"/>
              <w:ind w:left="481" w:right="475"/>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合同</w:t>
            </w:r>
            <w:r>
              <w:rPr>
                <w:rFonts w:hint="eastAsia" w:asciiTheme="minorEastAsia" w:hAnsiTheme="minorEastAsia" w:eastAsiaTheme="minorEastAsia" w:cstheme="minorEastAsia"/>
                <w:color w:val="auto"/>
                <w:sz w:val="24"/>
                <w:highlight w:val="none"/>
                <w:lang w:val="en-US" w:eastAsia="zh-CN"/>
              </w:rPr>
              <w:t>金额</w:t>
            </w:r>
          </w:p>
        </w:tc>
        <w:tc>
          <w:tcPr>
            <w:tcW w:w="6751" w:type="dxa"/>
          </w:tcPr>
          <w:p>
            <w:pPr>
              <w:pStyle w:val="85"/>
              <w:widowControl w:val="0"/>
              <w:autoSpaceDE w:val="0"/>
              <w:autoSpaceDN w:val="0"/>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2324" w:type="dxa"/>
          </w:tcPr>
          <w:p>
            <w:pPr>
              <w:pStyle w:val="85"/>
              <w:widowControl w:val="0"/>
              <w:autoSpaceDE w:val="0"/>
              <w:autoSpaceDN w:val="0"/>
              <w:spacing w:before="3"/>
              <w:jc w:val="center"/>
              <w:rPr>
                <w:rFonts w:asciiTheme="minorEastAsia" w:hAnsiTheme="minorEastAsia" w:eastAsiaTheme="minorEastAsia" w:cstheme="minorEastAsia"/>
                <w:color w:val="auto"/>
                <w:sz w:val="24"/>
                <w:highlight w:val="none"/>
              </w:rPr>
            </w:pPr>
          </w:p>
          <w:p>
            <w:pPr>
              <w:pStyle w:val="85"/>
              <w:widowControl w:val="0"/>
              <w:autoSpaceDE w:val="0"/>
              <w:autoSpaceDN w:val="0"/>
              <w:ind w:right="475"/>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 xml:space="preserve">   </w:t>
            </w:r>
            <w:r>
              <w:rPr>
                <w:rFonts w:hint="eastAsia" w:asciiTheme="minorEastAsia" w:hAnsiTheme="minorEastAsia" w:eastAsiaTheme="minorEastAsia" w:cstheme="minorEastAsia"/>
                <w:color w:val="auto"/>
                <w:sz w:val="24"/>
                <w:highlight w:val="none"/>
              </w:rPr>
              <w:t>服务期限</w:t>
            </w:r>
          </w:p>
        </w:tc>
        <w:tc>
          <w:tcPr>
            <w:tcW w:w="6751" w:type="dxa"/>
          </w:tcPr>
          <w:p>
            <w:pPr>
              <w:pStyle w:val="85"/>
              <w:widowControl w:val="0"/>
              <w:autoSpaceDE w:val="0"/>
              <w:autoSpaceDN w:val="0"/>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324" w:type="dxa"/>
          </w:tcPr>
          <w:p>
            <w:pPr>
              <w:pStyle w:val="85"/>
              <w:widowControl w:val="0"/>
              <w:autoSpaceDE w:val="0"/>
              <w:autoSpaceDN w:val="0"/>
              <w:spacing w:before="3"/>
              <w:jc w:val="center"/>
              <w:rPr>
                <w:rFonts w:asciiTheme="minorEastAsia" w:hAnsiTheme="minorEastAsia" w:eastAsiaTheme="minorEastAsia" w:cstheme="minorEastAsia"/>
                <w:color w:val="auto"/>
                <w:sz w:val="24"/>
                <w:highlight w:val="none"/>
              </w:rPr>
            </w:pPr>
          </w:p>
          <w:p>
            <w:pPr>
              <w:pStyle w:val="85"/>
              <w:widowControl w:val="0"/>
              <w:autoSpaceDE w:val="0"/>
              <w:autoSpaceDN w:val="0"/>
              <w:ind w:left="481" w:right="475"/>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服务</w:t>
            </w:r>
            <w:r>
              <w:rPr>
                <w:rFonts w:hint="eastAsia" w:asciiTheme="minorEastAsia" w:hAnsiTheme="minorEastAsia" w:eastAsiaTheme="minorEastAsia" w:cstheme="minorEastAsia"/>
                <w:color w:val="auto"/>
                <w:sz w:val="24"/>
                <w:highlight w:val="none"/>
              </w:rPr>
              <w:t>内容</w:t>
            </w:r>
          </w:p>
        </w:tc>
        <w:tc>
          <w:tcPr>
            <w:tcW w:w="6751" w:type="dxa"/>
          </w:tcPr>
          <w:p>
            <w:pPr>
              <w:pStyle w:val="85"/>
              <w:widowControl w:val="0"/>
              <w:autoSpaceDE w:val="0"/>
              <w:autoSpaceDN w:val="0"/>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2324" w:type="dxa"/>
          </w:tcPr>
          <w:p>
            <w:pPr>
              <w:pStyle w:val="85"/>
              <w:widowControl w:val="0"/>
              <w:autoSpaceDE w:val="0"/>
              <w:autoSpaceDN w:val="0"/>
              <w:spacing w:before="2"/>
              <w:jc w:val="center"/>
              <w:rPr>
                <w:rFonts w:asciiTheme="minorEastAsia" w:hAnsiTheme="minorEastAsia" w:eastAsiaTheme="minorEastAsia" w:cstheme="minorEastAsia"/>
                <w:color w:val="auto"/>
                <w:sz w:val="24"/>
                <w:highlight w:val="none"/>
              </w:rPr>
            </w:pPr>
          </w:p>
          <w:p>
            <w:pPr>
              <w:pStyle w:val="85"/>
              <w:widowControl w:val="0"/>
              <w:autoSpaceDE w:val="0"/>
              <w:autoSpaceDN w:val="0"/>
              <w:spacing w:before="1"/>
              <w:ind w:left="481" w:right="475"/>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项目负责人</w:t>
            </w:r>
          </w:p>
        </w:tc>
        <w:tc>
          <w:tcPr>
            <w:tcW w:w="6751" w:type="dxa"/>
          </w:tcPr>
          <w:p>
            <w:pPr>
              <w:pStyle w:val="85"/>
              <w:widowControl w:val="0"/>
              <w:autoSpaceDE w:val="0"/>
              <w:autoSpaceDN w:val="0"/>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6" w:hRule="atLeast"/>
        </w:trPr>
        <w:tc>
          <w:tcPr>
            <w:tcW w:w="2324" w:type="dxa"/>
            <w:vAlign w:val="center"/>
          </w:tcPr>
          <w:p>
            <w:pPr>
              <w:pStyle w:val="85"/>
              <w:widowControl w:val="0"/>
              <w:autoSpaceDE w:val="0"/>
              <w:autoSpaceDN w:val="0"/>
              <w:spacing w:before="135"/>
              <w:ind w:right="475"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项目描述</w:t>
            </w:r>
          </w:p>
        </w:tc>
        <w:tc>
          <w:tcPr>
            <w:tcW w:w="6751" w:type="dxa"/>
          </w:tcPr>
          <w:p>
            <w:pPr>
              <w:pStyle w:val="85"/>
              <w:widowControl w:val="0"/>
              <w:autoSpaceDE w:val="0"/>
              <w:autoSpaceDN w:val="0"/>
              <w:rPr>
                <w:rFonts w:asciiTheme="minorEastAsia" w:hAnsiTheme="minorEastAsia" w:eastAsiaTheme="minorEastAsia" w:cstheme="minorEastAsia"/>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2324" w:type="dxa"/>
          </w:tcPr>
          <w:p>
            <w:pPr>
              <w:pStyle w:val="85"/>
              <w:widowControl w:val="0"/>
              <w:autoSpaceDE w:val="0"/>
              <w:autoSpaceDN w:val="0"/>
              <w:spacing w:before="2"/>
              <w:rPr>
                <w:rFonts w:asciiTheme="minorEastAsia" w:hAnsiTheme="minorEastAsia" w:eastAsiaTheme="minorEastAsia" w:cstheme="minorEastAsia"/>
                <w:color w:val="auto"/>
                <w:sz w:val="24"/>
                <w:highlight w:val="none"/>
              </w:rPr>
            </w:pPr>
          </w:p>
          <w:p>
            <w:pPr>
              <w:pStyle w:val="85"/>
              <w:widowControl w:val="0"/>
              <w:autoSpaceDE w:val="0"/>
              <w:autoSpaceDN w:val="0"/>
              <w:ind w:left="484" w:right="475"/>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c>
          <w:tcPr>
            <w:tcW w:w="6751" w:type="dxa"/>
          </w:tcPr>
          <w:p>
            <w:pPr>
              <w:pStyle w:val="85"/>
              <w:widowControl w:val="0"/>
              <w:autoSpaceDE w:val="0"/>
              <w:autoSpaceDN w:val="0"/>
              <w:rPr>
                <w:rFonts w:asciiTheme="minorEastAsia" w:hAnsiTheme="minorEastAsia" w:eastAsiaTheme="minorEastAsia" w:cstheme="minorEastAsia"/>
                <w:color w:val="auto"/>
                <w:sz w:val="24"/>
                <w:highlight w:val="none"/>
              </w:rPr>
            </w:pPr>
          </w:p>
        </w:tc>
      </w:tr>
    </w:tbl>
    <w:p>
      <w:pPr>
        <w:pStyle w:val="10"/>
        <w:widowControl w:val="0"/>
        <w:autoSpaceDE w:val="0"/>
        <w:autoSpaceDN w:val="0"/>
        <w:spacing w:before="1" w:line="360" w:lineRule="auto"/>
        <w:rPr>
          <w:rFonts w:asciiTheme="minorEastAsia" w:hAnsiTheme="minorEastAsia" w:eastAsiaTheme="minorEastAsia" w:cstheme="minorEastAsia"/>
          <w:color w:val="auto"/>
          <w:sz w:val="24"/>
          <w:highlight w:val="none"/>
        </w:rPr>
      </w:pPr>
    </w:p>
    <w:p>
      <w:pPr>
        <w:pStyle w:val="10"/>
        <w:widowControl w:val="0"/>
        <w:autoSpaceDE w:val="0"/>
        <w:autoSpaceDN w:val="0"/>
        <w:spacing w:before="67" w:line="360" w:lineRule="auto"/>
        <w:ind w:left="63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注：投标人应根据</w:t>
      </w:r>
      <w:r>
        <w:rPr>
          <w:rFonts w:hint="eastAsia" w:asciiTheme="minorEastAsia" w:hAnsiTheme="minorEastAsia" w:eastAsiaTheme="minorEastAsia" w:cstheme="minorEastAsia"/>
          <w:color w:val="auto"/>
          <w:sz w:val="24"/>
          <w:highlight w:val="none"/>
          <w:lang w:val="en-US" w:eastAsia="zh-CN"/>
        </w:rPr>
        <w:t>商务文件评分表要求</w:t>
      </w:r>
      <w:r>
        <w:rPr>
          <w:rFonts w:hint="eastAsia" w:asciiTheme="minorEastAsia" w:hAnsiTheme="minorEastAsia" w:eastAsiaTheme="minorEastAsia" w:cstheme="minorEastAsia"/>
          <w:color w:val="auto"/>
          <w:sz w:val="24"/>
          <w:highlight w:val="none"/>
        </w:rPr>
        <w:t>在本表后附相关证明材料</w:t>
      </w:r>
    </w:p>
    <w:p>
      <w:pPr>
        <w:widowControl w:val="0"/>
        <w:autoSpaceDE w:val="0"/>
        <w:autoSpaceDN w:val="0"/>
        <w:spacing w:line="360" w:lineRule="auto"/>
        <w:rPr>
          <w:rFonts w:asciiTheme="minorEastAsia" w:hAnsiTheme="minorEastAsia" w:eastAsiaTheme="minorEastAsia" w:cstheme="minorEastAsia"/>
          <w:color w:val="auto"/>
          <w:sz w:val="24"/>
          <w:highlight w:val="none"/>
        </w:rPr>
        <w:sectPr>
          <w:pgSz w:w="12240" w:h="15840"/>
          <w:pgMar w:top="1417" w:right="1134" w:bottom="1134" w:left="1417" w:header="878" w:footer="835" w:gutter="0"/>
          <w:cols w:space="720" w:num="1"/>
        </w:sectPr>
      </w:pPr>
    </w:p>
    <w:p>
      <w:pPr>
        <w:widowControl w:val="0"/>
        <w:autoSpaceDE w:val="0"/>
        <w:autoSpaceDN w:val="0"/>
        <w:spacing w:before="64" w:line="360" w:lineRule="auto"/>
        <w:ind w:right="2579"/>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0"/>
          <w:szCs w:val="30"/>
          <w:highlight w:val="none"/>
        </w:rPr>
        <w:t xml:space="preserve">              </w:t>
      </w:r>
      <w:r>
        <w:rPr>
          <w:rFonts w:hint="eastAsia" w:asciiTheme="minorEastAsia" w:hAnsiTheme="minorEastAsia" w:eastAsiaTheme="minorEastAsia" w:cstheme="minorEastAsia"/>
          <w:b/>
          <w:bCs/>
          <w:color w:val="auto"/>
          <w:sz w:val="30"/>
          <w:szCs w:val="30"/>
          <w:highlight w:val="none"/>
        </w:rPr>
        <w:t xml:space="preserve">  （</w:t>
      </w:r>
      <w:r>
        <w:rPr>
          <w:rFonts w:hint="eastAsia" w:asciiTheme="minorEastAsia" w:hAnsiTheme="minorEastAsia" w:eastAsiaTheme="minorEastAsia" w:cstheme="minorEastAsia"/>
          <w:b/>
          <w:bCs/>
          <w:color w:val="auto"/>
          <w:sz w:val="30"/>
          <w:szCs w:val="30"/>
          <w:highlight w:val="none"/>
          <w:lang w:val="en-US" w:eastAsia="zh-CN"/>
        </w:rPr>
        <w:t>3</w:t>
      </w:r>
      <w:r>
        <w:rPr>
          <w:rFonts w:hint="eastAsia" w:asciiTheme="minorEastAsia" w:hAnsiTheme="minorEastAsia" w:eastAsiaTheme="minorEastAsia" w:cstheme="minorEastAsia"/>
          <w:b/>
          <w:bCs/>
          <w:color w:val="auto"/>
          <w:sz w:val="30"/>
          <w:szCs w:val="30"/>
          <w:highlight w:val="none"/>
        </w:rPr>
        <w:t>）</w:t>
      </w:r>
      <w:r>
        <w:rPr>
          <w:rFonts w:hint="eastAsia" w:asciiTheme="minorEastAsia" w:hAnsiTheme="minorEastAsia" w:eastAsiaTheme="minorEastAsia" w:cstheme="minorEastAsia"/>
          <w:b/>
          <w:bCs/>
          <w:color w:val="auto"/>
          <w:sz w:val="30"/>
          <w:szCs w:val="30"/>
          <w:highlight w:val="none"/>
          <w:lang w:val="en-US" w:eastAsia="zh-CN"/>
        </w:rPr>
        <w:t>拟</w:t>
      </w:r>
      <w:r>
        <w:rPr>
          <w:rFonts w:hint="eastAsia" w:asciiTheme="minorEastAsia" w:hAnsiTheme="minorEastAsia" w:eastAsiaTheme="minorEastAsia" w:cstheme="minorEastAsia"/>
          <w:b/>
          <w:bCs/>
          <w:color w:val="auto"/>
          <w:sz w:val="30"/>
          <w:szCs w:val="30"/>
          <w:highlight w:val="none"/>
        </w:rPr>
        <w:t>派本项目</w:t>
      </w:r>
      <w:r>
        <w:rPr>
          <w:rFonts w:hint="eastAsia" w:asciiTheme="minorEastAsia" w:hAnsiTheme="minorEastAsia" w:eastAsiaTheme="minorEastAsia" w:cstheme="minorEastAsia"/>
          <w:b/>
          <w:bCs/>
          <w:color w:val="auto"/>
          <w:sz w:val="30"/>
          <w:szCs w:val="30"/>
          <w:highlight w:val="none"/>
          <w:lang w:val="en-US" w:eastAsia="zh-CN"/>
        </w:rPr>
        <w:t>团队</w:t>
      </w:r>
      <w:r>
        <w:rPr>
          <w:rFonts w:hint="eastAsia" w:asciiTheme="minorEastAsia" w:hAnsiTheme="minorEastAsia" w:eastAsiaTheme="minorEastAsia" w:cstheme="minorEastAsia"/>
          <w:b/>
          <w:bCs/>
          <w:color w:val="auto"/>
          <w:sz w:val="30"/>
          <w:szCs w:val="30"/>
          <w:highlight w:val="none"/>
        </w:rPr>
        <w:t>人员</w:t>
      </w:r>
    </w:p>
    <w:tbl>
      <w:tblPr>
        <w:tblStyle w:val="23"/>
        <w:tblW w:w="96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4"/>
        <w:gridCol w:w="1193"/>
        <w:gridCol w:w="5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824" w:type="dxa"/>
          </w:tcPr>
          <w:p>
            <w:pPr>
              <w:pStyle w:val="85"/>
              <w:widowControl w:val="0"/>
              <w:autoSpaceDE w:val="0"/>
              <w:autoSpaceDN w:val="0"/>
              <w:spacing w:before="2" w:line="360" w:lineRule="auto"/>
              <w:ind w:left="140" w:right="49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本项目中担任技术的职务</w:t>
            </w:r>
          </w:p>
        </w:tc>
        <w:tc>
          <w:tcPr>
            <w:tcW w:w="1193" w:type="dxa"/>
          </w:tcPr>
          <w:p>
            <w:pPr>
              <w:pStyle w:val="85"/>
              <w:widowControl w:val="0"/>
              <w:autoSpaceDE w:val="0"/>
              <w:autoSpaceDN w:val="0"/>
              <w:spacing w:before="196" w:line="360" w:lineRule="auto"/>
              <w:ind w:left="110" w:right="46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5680" w:type="dxa"/>
          </w:tcPr>
          <w:p>
            <w:pPr>
              <w:pStyle w:val="85"/>
              <w:widowControl w:val="0"/>
              <w:autoSpaceDE w:val="0"/>
              <w:autoSpaceDN w:val="0"/>
              <w:spacing w:before="196" w:line="360" w:lineRule="auto"/>
              <w:ind w:left="159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职称或执业资格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2824" w:type="dxa"/>
          </w:tcPr>
          <w:p>
            <w:pPr>
              <w:pStyle w:val="85"/>
              <w:widowControl w:val="0"/>
              <w:autoSpaceDE w:val="0"/>
              <w:autoSpaceDN w:val="0"/>
              <w:spacing w:before="12" w:line="360" w:lineRule="auto"/>
              <w:rPr>
                <w:rFonts w:asciiTheme="minorEastAsia" w:hAnsiTheme="minorEastAsia" w:eastAsiaTheme="minorEastAsia" w:cstheme="minorEastAsia"/>
                <w:color w:val="auto"/>
                <w:sz w:val="24"/>
                <w:highlight w:val="none"/>
              </w:rPr>
            </w:pPr>
          </w:p>
          <w:p>
            <w:pPr>
              <w:pStyle w:val="85"/>
              <w:widowControl w:val="0"/>
              <w:autoSpaceDE w:val="0"/>
              <w:autoSpaceDN w:val="0"/>
              <w:spacing w:line="360" w:lineRule="auto"/>
              <w:ind w:left="518"/>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项目负责人</w:t>
            </w:r>
          </w:p>
        </w:tc>
        <w:tc>
          <w:tcPr>
            <w:tcW w:w="1193" w:type="dxa"/>
          </w:tcPr>
          <w:p>
            <w:pPr>
              <w:pStyle w:val="85"/>
              <w:widowControl w:val="0"/>
              <w:autoSpaceDE w:val="0"/>
              <w:autoSpaceDN w:val="0"/>
              <w:spacing w:before="12" w:line="360" w:lineRule="auto"/>
              <w:rPr>
                <w:rFonts w:asciiTheme="minorEastAsia" w:hAnsiTheme="minorEastAsia" w:eastAsiaTheme="minorEastAsia" w:cstheme="minorEastAsia"/>
                <w:color w:val="auto"/>
                <w:sz w:val="24"/>
                <w:highlight w:val="none"/>
              </w:rPr>
            </w:pPr>
          </w:p>
          <w:p>
            <w:pPr>
              <w:pStyle w:val="85"/>
              <w:widowControl w:val="0"/>
              <w:autoSpaceDE w:val="0"/>
              <w:autoSpaceDN w:val="0"/>
              <w:spacing w:line="360" w:lineRule="auto"/>
              <w:ind w:right="35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5680" w:type="dxa"/>
          </w:tcPr>
          <w:p>
            <w:pPr>
              <w:pageBreakBefore w:val="0"/>
              <w:shd w:val="clear"/>
              <w:kinsoku/>
              <w:wordWrap/>
              <w:overflowPunct/>
              <w:topLinePunct w:val="0"/>
              <w:bidi w:val="0"/>
              <w:adjustRightInd/>
              <w:snapToGrid w:val="0"/>
              <w:spacing w:line="500" w:lineRule="exact"/>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pacing w:val="-37"/>
                <w:sz w:val="24"/>
                <w:highlight w:val="none"/>
              </w:rPr>
              <w:t>：</w:t>
            </w:r>
            <w:r>
              <w:rPr>
                <w:rFonts w:hint="eastAsia" w:asciiTheme="minorEastAsia" w:hAnsiTheme="minorEastAsia" w:eastAsiaTheme="minorEastAsia" w:cstheme="minorEastAsia"/>
                <w:color w:val="auto"/>
                <w:spacing w:val="-37"/>
                <w:sz w:val="24"/>
                <w:highlight w:val="none"/>
                <w:u w:val="single"/>
              </w:rPr>
              <w:t xml:space="preserve"> </w:t>
            </w:r>
            <w:r>
              <w:rPr>
                <w:rFonts w:hint="eastAsia" w:asciiTheme="minorEastAsia" w:hAnsiTheme="minorEastAsia" w:eastAsiaTheme="minorEastAsia" w:cstheme="minorEastAsia"/>
                <w:color w:val="auto"/>
                <w:spacing w:val="-37"/>
                <w:sz w:val="24"/>
                <w:highlight w:val="none"/>
                <w:u w:val="single"/>
                <w:lang w:val="en-US" w:eastAsia="zh-CN"/>
              </w:rPr>
              <w:t xml:space="preserve"> </w:t>
            </w:r>
            <w:r>
              <w:rPr>
                <w:rFonts w:hint="eastAsia" w:asciiTheme="minorEastAsia" w:hAnsiTheme="minorEastAsia" w:eastAsiaTheme="minorEastAsia" w:cstheme="minorEastAsia"/>
                <w:color w:val="auto"/>
                <w:spacing w:val="-37"/>
                <w:sz w:val="24"/>
                <w:highlight w:val="none"/>
                <w:u w:val="single"/>
              </w:rPr>
              <w:tab/>
            </w:r>
            <w:r>
              <w:rPr>
                <w:rFonts w:hint="eastAsia" w:asciiTheme="minorEastAsia" w:hAnsiTheme="minorEastAsia" w:eastAsiaTheme="minorEastAsia" w:cstheme="minorEastAsia"/>
                <w:color w:val="auto"/>
                <w:spacing w:val="-37"/>
                <w:sz w:val="24"/>
                <w:highlight w:val="none"/>
                <w:u w:val="single"/>
                <w:lang w:val="en-US" w:eastAsia="zh-CN"/>
              </w:rPr>
              <w:t xml:space="preserve">       </w:t>
            </w:r>
            <w:r>
              <w:rPr>
                <w:rFonts w:hint="eastAsia" w:asciiTheme="minorEastAsia" w:hAnsiTheme="minorEastAsia" w:eastAsiaTheme="minorEastAsia" w:cstheme="minorEastAsia"/>
                <w:color w:val="auto"/>
                <w:spacing w:val="-39"/>
                <w:sz w:val="24"/>
                <w:highlight w:val="none"/>
              </w:rPr>
              <w:t>，</w:t>
            </w:r>
            <w:r>
              <w:rPr>
                <w:rFonts w:hint="eastAsia" w:ascii="宋体" w:hAnsi="宋体" w:cs="宋体"/>
                <w:color w:val="auto"/>
                <w:sz w:val="24"/>
                <w:highlight w:val="none"/>
              </w:rPr>
              <w:t>须具备给水排水专业高级工程师或以上</w:t>
            </w:r>
            <w:r>
              <w:rPr>
                <w:rFonts w:hint="eastAsia" w:ascii="宋体" w:hAnsi="宋体" w:cs="宋体"/>
                <w:color w:val="auto"/>
                <w:sz w:val="24"/>
                <w:highlight w:val="none"/>
                <w:lang w:val="en-US" w:eastAsia="zh-CN"/>
              </w:rPr>
              <w:t>技术</w:t>
            </w:r>
            <w:r>
              <w:rPr>
                <w:rFonts w:hint="eastAsia" w:ascii="宋体" w:hAnsi="宋体" w:cs="宋体"/>
                <w:color w:val="auto"/>
                <w:sz w:val="24"/>
                <w:highlight w:val="none"/>
              </w:rPr>
              <w:t>职称</w:t>
            </w:r>
            <w:r>
              <w:rPr>
                <w:rFonts w:hint="eastAsia" w:ascii="宋体" w:hAnsi="宋体" w:cs="宋体"/>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9" w:hRule="atLeast"/>
          <w:jc w:val="center"/>
        </w:trPr>
        <w:tc>
          <w:tcPr>
            <w:tcW w:w="2824" w:type="dxa"/>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p>
            <w:pPr>
              <w:pStyle w:val="85"/>
              <w:widowControl w:val="0"/>
              <w:autoSpaceDE w:val="0"/>
              <w:autoSpaceDN w:val="0"/>
              <w:spacing w:line="360" w:lineRule="auto"/>
              <w:ind w:left="518"/>
              <w:rPr>
                <w:rFonts w:hint="eastAsia" w:asciiTheme="minorEastAsia" w:hAnsiTheme="minorEastAsia" w:eastAsiaTheme="minorEastAsia" w:cstheme="minorEastAsia"/>
                <w:color w:val="auto"/>
                <w:sz w:val="24"/>
                <w:highlight w:val="none"/>
              </w:rPr>
            </w:pPr>
          </w:p>
          <w:p>
            <w:pPr>
              <w:pStyle w:val="85"/>
              <w:widowControl w:val="0"/>
              <w:autoSpaceDE w:val="0"/>
              <w:autoSpaceDN w:val="0"/>
              <w:spacing w:line="360" w:lineRule="auto"/>
              <w:ind w:left="518"/>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团队人员</w:t>
            </w:r>
          </w:p>
        </w:tc>
        <w:tc>
          <w:tcPr>
            <w:tcW w:w="1193" w:type="dxa"/>
          </w:tcPr>
          <w:p>
            <w:pPr>
              <w:pStyle w:val="85"/>
              <w:widowControl w:val="0"/>
              <w:autoSpaceDE w:val="0"/>
              <w:autoSpaceDN w:val="0"/>
              <w:spacing w:line="360" w:lineRule="auto"/>
              <w:rPr>
                <w:rFonts w:asciiTheme="minorEastAsia" w:hAnsiTheme="minorEastAsia" w:eastAsiaTheme="minorEastAsia" w:cstheme="minorEastAsia"/>
                <w:color w:val="auto"/>
                <w:sz w:val="24"/>
                <w:highlight w:val="none"/>
              </w:rPr>
            </w:pPr>
          </w:p>
        </w:tc>
        <w:tc>
          <w:tcPr>
            <w:tcW w:w="5680" w:type="dxa"/>
          </w:tcPr>
          <w:p>
            <w:pPr>
              <w:pStyle w:val="85"/>
              <w:widowControl w:val="0"/>
              <w:tabs>
                <w:tab w:val="left" w:pos="1306"/>
                <w:tab w:val="left" w:pos="2986"/>
              </w:tabs>
              <w:autoSpaceDE w:val="0"/>
              <w:autoSpaceDN w:val="0"/>
              <w:spacing w:line="360" w:lineRule="auto"/>
              <w:ind w:left="10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专业负责人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人</w:t>
            </w:r>
          </w:p>
          <w:p>
            <w:pPr>
              <w:pStyle w:val="85"/>
              <w:widowControl w:val="0"/>
              <w:tabs>
                <w:tab w:val="left" w:pos="1306"/>
                <w:tab w:val="left" w:pos="2386"/>
                <w:tab w:val="left" w:pos="2986"/>
                <w:tab w:val="left" w:pos="4066"/>
              </w:tabs>
              <w:autoSpaceDE w:val="0"/>
              <w:autoSpaceDN w:val="0"/>
              <w:spacing w:before="82" w:line="360" w:lineRule="auto"/>
              <w:ind w:left="106" w:right="189"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姓</w:t>
            </w:r>
            <w:r>
              <w:rPr>
                <w:rFonts w:hint="eastAsia" w:asciiTheme="minorEastAsia" w:hAnsiTheme="minorEastAsia" w:eastAsiaTheme="minorEastAsia" w:cstheme="minorEastAsia"/>
                <w:color w:val="auto"/>
                <w:sz w:val="24"/>
                <w:highlight w:val="none"/>
              </w:rPr>
              <w:t>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职称，</w:t>
            </w:r>
          </w:p>
          <w:p>
            <w:pPr>
              <w:pStyle w:val="85"/>
              <w:widowControl w:val="0"/>
              <w:tabs>
                <w:tab w:val="left" w:pos="1306"/>
                <w:tab w:val="left" w:pos="2386"/>
                <w:tab w:val="left" w:pos="2986"/>
                <w:tab w:val="left" w:pos="4066"/>
              </w:tabs>
              <w:autoSpaceDE w:val="0"/>
              <w:autoSpaceDN w:val="0"/>
              <w:spacing w:before="82" w:line="360" w:lineRule="auto"/>
              <w:ind w:left="106" w:right="189"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7"/>
                <w:sz w:val="24"/>
                <w:highlight w:val="none"/>
              </w:rPr>
              <w:t>担</w:t>
            </w:r>
            <w:r>
              <w:rPr>
                <w:rFonts w:hint="eastAsia" w:asciiTheme="minorEastAsia" w:hAnsiTheme="minorEastAsia" w:eastAsiaTheme="minorEastAsia" w:cstheme="minorEastAsia"/>
                <w:color w:val="auto"/>
                <w:sz w:val="24"/>
                <w:highlight w:val="none"/>
              </w:rPr>
              <w:t>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专业工程师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年以上。</w:t>
            </w:r>
          </w:p>
          <w:p>
            <w:pPr>
              <w:pStyle w:val="85"/>
              <w:widowControl w:val="0"/>
              <w:tabs>
                <w:tab w:val="left" w:pos="1306"/>
                <w:tab w:val="left" w:pos="2986"/>
              </w:tabs>
              <w:autoSpaceDE w:val="0"/>
              <w:autoSpaceDN w:val="0"/>
              <w:spacing w:before="2" w:line="360" w:lineRule="auto"/>
              <w:ind w:left="10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专业负责人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人</w:t>
            </w:r>
          </w:p>
          <w:p>
            <w:pPr>
              <w:pStyle w:val="85"/>
              <w:widowControl w:val="0"/>
              <w:tabs>
                <w:tab w:val="left" w:pos="1306"/>
                <w:tab w:val="left" w:pos="2386"/>
                <w:tab w:val="left" w:pos="2986"/>
                <w:tab w:val="left" w:pos="4066"/>
              </w:tabs>
              <w:autoSpaceDE w:val="0"/>
              <w:autoSpaceDN w:val="0"/>
              <w:spacing w:before="82" w:line="360" w:lineRule="auto"/>
              <w:ind w:left="106" w:right="189"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姓</w:t>
            </w:r>
            <w:r>
              <w:rPr>
                <w:rFonts w:hint="eastAsia" w:asciiTheme="minorEastAsia" w:hAnsiTheme="minorEastAsia" w:eastAsiaTheme="minorEastAsia" w:cstheme="minorEastAsia"/>
                <w:color w:val="auto"/>
                <w:sz w:val="24"/>
                <w:highlight w:val="none"/>
              </w:rPr>
              <w:t>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职称，</w:t>
            </w:r>
          </w:p>
          <w:p>
            <w:pPr>
              <w:pStyle w:val="85"/>
              <w:widowControl w:val="0"/>
              <w:tabs>
                <w:tab w:val="left" w:pos="1306"/>
                <w:tab w:val="left" w:pos="2386"/>
                <w:tab w:val="left" w:pos="2986"/>
                <w:tab w:val="left" w:pos="4066"/>
              </w:tabs>
              <w:autoSpaceDE w:val="0"/>
              <w:autoSpaceDN w:val="0"/>
              <w:spacing w:before="82" w:line="360" w:lineRule="auto"/>
              <w:ind w:left="106" w:right="189"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7"/>
                <w:sz w:val="24"/>
                <w:highlight w:val="none"/>
              </w:rPr>
              <w:t>担</w:t>
            </w:r>
            <w:r>
              <w:rPr>
                <w:rFonts w:hint="eastAsia" w:asciiTheme="minorEastAsia" w:hAnsiTheme="minorEastAsia" w:eastAsiaTheme="minorEastAsia" w:cstheme="minorEastAsia"/>
                <w:color w:val="auto"/>
                <w:sz w:val="24"/>
                <w:highlight w:val="none"/>
              </w:rPr>
              <w:t>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专业工程师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年以上。</w:t>
            </w:r>
          </w:p>
          <w:p>
            <w:pPr>
              <w:pStyle w:val="85"/>
              <w:widowControl w:val="0"/>
              <w:tabs>
                <w:tab w:val="left" w:pos="1306"/>
                <w:tab w:val="left" w:pos="2986"/>
              </w:tabs>
              <w:autoSpaceDE w:val="0"/>
              <w:autoSpaceDN w:val="0"/>
              <w:spacing w:line="360" w:lineRule="auto"/>
              <w:ind w:left="10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专业负责人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人</w:t>
            </w:r>
          </w:p>
          <w:p>
            <w:pPr>
              <w:pStyle w:val="85"/>
              <w:widowControl w:val="0"/>
              <w:tabs>
                <w:tab w:val="left" w:pos="1306"/>
                <w:tab w:val="left" w:pos="2386"/>
                <w:tab w:val="left" w:pos="2986"/>
                <w:tab w:val="left" w:pos="4066"/>
              </w:tabs>
              <w:autoSpaceDE w:val="0"/>
              <w:autoSpaceDN w:val="0"/>
              <w:spacing w:before="81" w:line="360" w:lineRule="auto"/>
              <w:ind w:left="106" w:right="189"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姓</w:t>
            </w:r>
            <w:r>
              <w:rPr>
                <w:rFonts w:hint="eastAsia" w:asciiTheme="minorEastAsia" w:hAnsiTheme="minorEastAsia" w:eastAsiaTheme="minorEastAsia" w:cstheme="minorEastAsia"/>
                <w:color w:val="auto"/>
                <w:sz w:val="24"/>
                <w:highlight w:val="none"/>
              </w:rPr>
              <w:t>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职称，</w:t>
            </w:r>
          </w:p>
          <w:p>
            <w:pPr>
              <w:pStyle w:val="85"/>
              <w:widowControl w:val="0"/>
              <w:tabs>
                <w:tab w:val="left" w:pos="1306"/>
                <w:tab w:val="left" w:pos="2386"/>
                <w:tab w:val="left" w:pos="2986"/>
                <w:tab w:val="left" w:pos="4066"/>
              </w:tabs>
              <w:autoSpaceDE w:val="0"/>
              <w:autoSpaceDN w:val="0"/>
              <w:spacing w:before="81" w:line="360" w:lineRule="auto"/>
              <w:ind w:left="106" w:right="189"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7"/>
                <w:sz w:val="24"/>
                <w:highlight w:val="none"/>
              </w:rPr>
              <w:t>担</w:t>
            </w:r>
            <w:r>
              <w:rPr>
                <w:rFonts w:hint="eastAsia" w:asciiTheme="minorEastAsia" w:hAnsiTheme="minorEastAsia" w:eastAsiaTheme="minorEastAsia" w:cstheme="minorEastAsia"/>
                <w:color w:val="auto"/>
                <w:sz w:val="24"/>
                <w:highlight w:val="none"/>
              </w:rPr>
              <w:t>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专业工程师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年以上。</w:t>
            </w:r>
          </w:p>
          <w:p>
            <w:pPr>
              <w:pStyle w:val="85"/>
              <w:widowControl w:val="0"/>
              <w:tabs>
                <w:tab w:val="left" w:pos="1306"/>
                <w:tab w:val="left" w:pos="2986"/>
              </w:tabs>
              <w:autoSpaceDE w:val="0"/>
              <w:autoSpaceDN w:val="0"/>
              <w:spacing w:before="3" w:line="360" w:lineRule="auto"/>
              <w:ind w:left="10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专业负责人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人</w:t>
            </w:r>
          </w:p>
          <w:p>
            <w:pPr>
              <w:pStyle w:val="85"/>
              <w:widowControl w:val="0"/>
              <w:tabs>
                <w:tab w:val="left" w:pos="1786"/>
                <w:tab w:val="left" w:pos="1906"/>
                <w:tab w:val="left" w:pos="3586"/>
                <w:tab w:val="left" w:pos="5179"/>
              </w:tabs>
              <w:autoSpaceDE w:val="0"/>
              <w:autoSpaceDN w:val="0"/>
              <w:spacing w:before="81" w:line="360" w:lineRule="auto"/>
              <w:ind w:left="106" w:right="3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pacing w:val="-1"/>
                <w:sz w:val="24"/>
                <w:highlight w:val="none"/>
              </w:rPr>
              <w:t>职</w:t>
            </w:r>
            <w:r>
              <w:rPr>
                <w:rFonts w:hint="eastAsia" w:asciiTheme="minorEastAsia" w:hAnsiTheme="minorEastAsia" w:eastAsiaTheme="minorEastAsia" w:cstheme="minorEastAsia"/>
                <w:color w:val="auto"/>
                <w:sz w:val="24"/>
                <w:highlight w:val="none"/>
              </w:rPr>
              <w:t>称，</w:t>
            </w:r>
          </w:p>
          <w:p>
            <w:pPr>
              <w:pStyle w:val="85"/>
              <w:widowControl w:val="0"/>
              <w:tabs>
                <w:tab w:val="left" w:pos="1786"/>
                <w:tab w:val="left" w:pos="1906"/>
                <w:tab w:val="left" w:pos="3586"/>
                <w:tab w:val="left" w:pos="5179"/>
              </w:tabs>
              <w:autoSpaceDE w:val="0"/>
              <w:autoSpaceDN w:val="0"/>
              <w:spacing w:before="81" w:line="360" w:lineRule="auto"/>
              <w:ind w:left="106" w:right="3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担任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专业工程师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年以上。</w:t>
            </w:r>
          </w:p>
          <w:p>
            <w:pPr>
              <w:pStyle w:val="85"/>
              <w:widowControl w:val="0"/>
              <w:tabs>
                <w:tab w:val="left" w:pos="1306"/>
                <w:tab w:val="left" w:pos="2986"/>
              </w:tabs>
              <w:autoSpaceDE w:val="0"/>
              <w:autoSpaceDN w:val="0"/>
              <w:spacing w:before="3" w:line="360" w:lineRule="auto"/>
              <w:ind w:left="10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专业负责人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人</w:t>
            </w:r>
          </w:p>
          <w:p>
            <w:pPr>
              <w:pStyle w:val="85"/>
              <w:widowControl w:val="0"/>
              <w:tabs>
                <w:tab w:val="left" w:pos="1786"/>
                <w:tab w:val="left" w:pos="1906"/>
                <w:tab w:val="left" w:pos="3586"/>
                <w:tab w:val="left" w:pos="5179"/>
              </w:tabs>
              <w:autoSpaceDE w:val="0"/>
              <w:autoSpaceDN w:val="0"/>
              <w:spacing w:before="81" w:line="360" w:lineRule="auto"/>
              <w:ind w:left="106" w:right="3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pacing w:val="-1"/>
                <w:sz w:val="24"/>
                <w:highlight w:val="none"/>
              </w:rPr>
              <w:t>职</w:t>
            </w:r>
            <w:r>
              <w:rPr>
                <w:rFonts w:hint="eastAsia" w:asciiTheme="minorEastAsia" w:hAnsiTheme="minorEastAsia" w:eastAsiaTheme="minorEastAsia" w:cstheme="minorEastAsia"/>
                <w:color w:val="auto"/>
                <w:sz w:val="24"/>
                <w:highlight w:val="none"/>
              </w:rPr>
              <w:t>称，</w:t>
            </w:r>
          </w:p>
          <w:p>
            <w:pPr>
              <w:pStyle w:val="85"/>
              <w:widowControl w:val="0"/>
              <w:tabs>
                <w:tab w:val="left" w:pos="1786"/>
                <w:tab w:val="left" w:pos="1906"/>
                <w:tab w:val="left" w:pos="3586"/>
                <w:tab w:val="left" w:pos="5179"/>
              </w:tabs>
              <w:autoSpaceDE w:val="0"/>
              <w:autoSpaceDN w:val="0"/>
              <w:spacing w:before="81" w:line="360" w:lineRule="auto"/>
              <w:ind w:left="106" w:right="3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担任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专业工程师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年以上。</w:t>
            </w:r>
          </w:p>
          <w:p>
            <w:pPr>
              <w:pStyle w:val="85"/>
              <w:widowControl w:val="0"/>
              <w:autoSpaceDE w:val="0"/>
              <w:autoSpaceDN w:val="0"/>
              <w:spacing w:before="2" w:line="360" w:lineRule="auto"/>
              <w:ind w:left="10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bl>
    <w:p>
      <w:pPr>
        <w:spacing w:line="357" w:lineRule="auto"/>
        <w:ind w:left="212"/>
        <w:jc w:val="left"/>
        <w:rPr>
          <w:rFonts w:ascii="宋体" w:hAnsi="宋体" w:cs="宋体"/>
          <w:b/>
          <w:bCs/>
          <w:color w:val="auto"/>
          <w:szCs w:val="21"/>
          <w:highlight w:val="none"/>
        </w:rPr>
      </w:pPr>
      <w:r>
        <w:rPr>
          <w:rFonts w:hint="eastAsia" w:ascii="宋体" w:hAnsi="宋体" w:cs="宋体"/>
          <w:b/>
          <w:bCs/>
          <w:color w:val="auto"/>
          <w:szCs w:val="21"/>
          <w:highlight w:val="none"/>
          <w:lang w:val="en-US" w:eastAsia="zh-CN"/>
        </w:rPr>
        <w:t>注：</w:t>
      </w:r>
      <w:r>
        <w:rPr>
          <w:rFonts w:ascii="宋体" w:hAnsi="宋体" w:cs="宋体"/>
          <w:b/>
          <w:bCs/>
          <w:color w:val="auto"/>
          <w:szCs w:val="21"/>
          <w:highlight w:val="none"/>
        </w:rPr>
        <w:t>后附</w:t>
      </w:r>
      <w:r>
        <w:rPr>
          <w:rFonts w:ascii="宋体" w:hAnsi="宋体" w:cs="宋体"/>
          <w:b/>
          <w:bCs/>
          <w:color w:val="auto"/>
          <w:spacing w:val="-61"/>
          <w:szCs w:val="21"/>
          <w:highlight w:val="none"/>
        </w:rPr>
        <w:t xml:space="preserve"> </w:t>
      </w:r>
      <w:r>
        <w:rPr>
          <w:rFonts w:ascii="宋体" w:hAnsi="宋体" w:cs="宋体"/>
          <w:b/>
          <w:bCs/>
          <w:color w:val="auto"/>
          <w:szCs w:val="21"/>
          <w:highlight w:val="none"/>
        </w:rPr>
        <w:t>身份证、职称证（如有）、注册证及</w:t>
      </w:r>
      <w:r>
        <w:rPr>
          <w:rStyle w:val="27"/>
          <w:rFonts w:ascii="宋体" w:hAnsi="宋体"/>
          <w:b/>
          <w:bCs/>
          <w:color w:val="auto"/>
          <w:szCs w:val="21"/>
          <w:highlight w:val="none"/>
        </w:rPr>
        <w:t>社保证明</w:t>
      </w:r>
      <w:r>
        <w:rPr>
          <w:rFonts w:hint="eastAsia" w:ascii="宋体" w:hAnsi="宋体" w:cs="宋体"/>
          <w:b/>
          <w:bCs/>
          <w:color w:val="auto"/>
          <w:szCs w:val="21"/>
          <w:highlight w:val="none"/>
        </w:rPr>
        <w:t>（</w:t>
      </w:r>
      <w:r>
        <w:rPr>
          <w:rFonts w:hint="eastAsia" w:ascii="宋体" w:hAnsi="宋体" w:cs="宋体"/>
          <w:b w:val="0"/>
          <w:bCs w:val="0"/>
          <w:color w:val="auto"/>
          <w:szCs w:val="21"/>
          <w:highlight w:val="none"/>
        </w:rPr>
        <w:t>注：扣除发布招标公告当月往前顺推3个月）</w:t>
      </w:r>
      <w:r>
        <w:rPr>
          <w:rStyle w:val="27"/>
          <w:rFonts w:hint="eastAsia" w:ascii="宋体" w:hAnsi="宋体"/>
          <w:b w:val="0"/>
          <w:bCs w:val="0"/>
          <w:color w:val="auto"/>
          <w:szCs w:val="21"/>
          <w:highlight w:val="none"/>
        </w:rPr>
        <w:t>如达到法定退休年龄，无法提供该社保证明的，须提供行政机关相关证明。</w:t>
      </w:r>
      <w:r>
        <w:rPr>
          <w:rStyle w:val="27"/>
          <w:rFonts w:ascii="宋体" w:hAnsi="宋体"/>
          <w:b w:val="0"/>
          <w:bCs w:val="0"/>
          <w:color w:val="auto"/>
          <w:szCs w:val="21"/>
          <w:highlight w:val="none"/>
        </w:rPr>
        <w:t>）</w:t>
      </w:r>
    </w:p>
    <w:p>
      <w:pPr>
        <w:spacing w:line="357" w:lineRule="auto"/>
        <w:ind w:left="212"/>
        <w:jc w:val="left"/>
        <w:rPr>
          <w:rFonts w:ascii="宋体" w:hAnsi="宋体" w:cs="宋体"/>
          <w:b/>
          <w:bCs/>
          <w:color w:val="auto"/>
          <w:szCs w:val="21"/>
          <w:highlight w:val="none"/>
        </w:rPr>
      </w:pPr>
      <w:r>
        <w:rPr>
          <w:rFonts w:ascii="宋体" w:hAnsi="宋体" w:cs="宋体"/>
          <w:b/>
          <w:bCs/>
          <w:color w:val="auto"/>
          <w:szCs w:val="21"/>
          <w:highlight w:val="none"/>
        </w:rPr>
        <w:t>2、与商务</w:t>
      </w:r>
      <w:r>
        <w:rPr>
          <w:rFonts w:hint="eastAsia" w:ascii="宋体" w:hAnsi="宋体" w:cs="宋体"/>
          <w:b/>
          <w:bCs/>
          <w:color w:val="auto"/>
          <w:szCs w:val="21"/>
          <w:highlight w:val="none"/>
          <w:lang w:val="en-US" w:eastAsia="zh-CN"/>
        </w:rPr>
        <w:t>文件</w:t>
      </w:r>
      <w:r>
        <w:rPr>
          <w:rFonts w:ascii="宋体" w:hAnsi="宋体" w:cs="宋体"/>
          <w:b/>
          <w:bCs/>
          <w:color w:val="auto"/>
          <w:szCs w:val="21"/>
          <w:highlight w:val="none"/>
        </w:rPr>
        <w:t>评分有关的相关资料的复印件（如有）。</w:t>
      </w:r>
    </w:p>
    <w:p>
      <w:pPr>
        <w:spacing w:line="357" w:lineRule="auto"/>
        <w:ind w:left="212"/>
        <w:jc w:val="left"/>
        <w:rPr>
          <w:rFonts w:ascii="宋体" w:hAnsi="宋体" w:cs="宋体"/>
          <w:b/>
          <w:bCs/>
          <w:color w:val="auto"/>
          <w:szCs w:val="21"/>
          <w:highlight w:val="none"/>
        </w:rPr>
      </w:pPr>
      <w:r>
        <w:rPr>
          <w:rFonts w:ascii="宋体" w:hAnsi="宋体" w:cs="宋体"/>
          <w:b/>
          <w:bCs/>
          <w:color w:val="auto"/>
          <w:szCs w:val="21"/>
          <w:highlight w:val="none"/>
        </w:rPr>
        <w:t>3、以上复印件须加盖投标人公章, 联合体投标的</w:t>
      </w:r>
      <w:r>
        <w:rPr>
          <w:rFonts w:hint="eastAsia" w:ascii="宋体" w:hAnsi="宋体" w:cs="宋体"/>
          <w:b/>
          <w:bCs/>
          <w:color w:val="auto"/>
          <w:szCs w:val="21"/>
          <w:highlight w:val="none"/>
          <w:lang w:val="en-US" w:eastAsia="zh-CN"/>
        </w:rPr>
        <w:t>主办方盖章</w:t>
      </w:r>
      <w:r>
        <w:rPr>
          <w:rFonts w:ascii="宋体" w:hAnsi="宋体" w:cs="宋体"/>
          <w:b/>
          <w:bCs/>
          <w:color w:val="auto"/>
          <w:szCs w:val="21"/>
          <w:highlight w:val="none"/>
        </w:rPr>
        <w:t>。</w:t>
      </w:r>
    </w:p>
    <w:p>
      <w:pPr>
        <w:widowControl w:val="0"/>
        <w:autoSpaceDE w:val="0"/>
        <w:autoSpaceDN w:val="0"/>
        <w:spacing w:line="360" w:lineRule="auto"/>
        <w:rPr>
          <w:rFonts w:asciiTheme="minorEastAsia" w:hAnsiTheme="minorEastAsia" w:eastAsiaTheme="minorEastAsia" w:cstheme="minorEastAsia"/>
          <w:color w:val="auto"/>
          <w:sz w:val="24"/>
          <w:highlight w:val="none"/>
        </w:rPr>
        <w:sectPr>
          <w:footerReference r:id="rId6" w:type="default"/>
          <w:pgSz w:w="12240" w:h="15840"/>
          <w:pgMar w:top="1417" w:right="1134" w:bottom="1134" w:left="1417" w:header="878" w:footer="835" w:gutter="0"/>
          <w:cols w:space="720" w:num="1"/>
        </w:sectPr>
      </w:pPr>
    </w:p>
    <w:p>
      <w:pPr>
        <w:widowControl w:val="0"/>
        <w:autoSpaceDE w:val="0"/>
        <w:autoSpaceDN w:val="0"/>
        <w:spacing w:line="360" w:lineRule="auto"/>
        <w:outlineLvl w:val="1"/>
        <w:rPr>
          <w:rFonts w:asciiTheme="minorEastAsia" w:hAnsiTheme="minorEastAsia" w:eastAsiaTheme="minorEastAsia" w:cstheme="minorEastAsia"/>
          <w:b/>
          <w:bCs/>
          <w:color w:val="auto"/>
          <w:sz w:val="32"/>
          <w:szCs w:val="32"/>
          <w:highlight w:val="none"/>
        </w:rPr>
      </w:pPr>
      <w:bookmarkStart w:id="129" w:name="_Toc12777"/>
      <w:bookmarkStart w:id="130" w:name="_Toc5187"/>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bCs/>
          <w:color w:val="auto"/>
          <w:sz w:val="32"/>
          <w:szCs w:val="32"/>
          <w:highlight w:val="none"/>
          <w:lang w:val="en-US" w:eastAsia="zh-CN"/>
        </w:rPr>
        <w:t>拟</w:t>
      </w:r>
      <w:r>
        <w:rPr>
          <w:rFonts w:hint="eastAsia" w:asciiTheme="minorEastAsia" w:hAnsiTheme="minorEastAsia" w:eastAsiaTheme="minorEastAsia" w:cstheme="minorEastAsia"/>
          <w:b/>
          <w:bCs/>
          <w:color w:val="auto"/>
          <w:sz w:val="32"/>
          <w:szCs w:val="32"/>
          <w:highlight w:val="none"/>
        </w:rPr>
        <w:t>派本项目主要专业人员承诺书</w:t>
      </w:r>
      <w:bookmarkEnd w:id="129"/>
      <w:bookmarkEnd w:id="130"/>
    </w:p>
    <w:p>
      <w:pPr>
        <w:widowControl w:val="0"/>
        <w:tabs>
          <w:tab w:val="left" w:pos="3698"/>
        </w:tabs>
        <w:autoSpaceDE w:val="0"/>
        <w:autoSpaceDN w:val="0"/>
        <w:spacing w:before="135" w:line="360" w:lineRule="auto"/>
        <w:ind w:right="4078"/>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致：（招标人）</w:t>
      </w:r>
    </w:p>
    <w:p>
      <w:pPr>
        <w:pStyle w:val="10"/>
        <w:widowControl w:val="0"/>
        <w:autoSpaceDE w:val="0"/>
        <w:autoSpaceDN w:val="0"/>
        <w:spacing w:before="98" w:line="360" w:lineRule="auto"/>
        <w:ind w:left="278" w:right="130" w:firstLine="482"/>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pacing w:val="4"/>
          <w:sz w:val="24"/>
          <w:highlight w:val="none"/>
        </w:rPr>
        <w:t>本投标人已详细阅读了</w:t>
      </w:r>
      <w:r>
        <w:rPr>
          <w:rFonts w:hint="eastAsia" w:asciiTheme="minorEastAsia" w:hAnsiTheme="minorEastAsia" w:eastAsiaTheme="minorEastAsia" w:cstheme="minorEastAsia"/>
          <w:color w:val="auto"/>
          <w:spacing w:val="4"/>
          <w:sz w:val="24"/>
          <w:highlight w:val="none"/>
          <w:u w:val="single"/>
        </w:rPr>
        <w:t>廉江市镇级污水管网及配套设施项目勘察设计</w:t>
      </w:r>
      <w:r>
        <w:rPr>
          <w:rFonts w:hint="eastAsia" w:asciiTheme="minorEastAsia" w:hAnsiTheme="minorEastAsia" w:eastAsiaTheme="minorEastAsia" w:cstheme="minorEastAsia"/>
          <w:color w:val="auto"/>
          <w:spacing w:val="3"/>
          <w:sz w:val="24"/>
          <w:highlight w:val="none"/>
        </w:rPr>
        <w:t>的招</w:t>
      </w:r>
      <w:r>
        <w:rPr>
          <w:rFonts w:hint="eastAsia" w:asciiTheme="minorEastAsia" w:hAnsiTheme="minorEastAsia" w:eastAsiaTheme="minorEastAsia" w:cstheme="minorEastAsia"/>
          <w:color w:val="auto"/>
          <w:spacing w:val="-7"/>
          <w:sz w:val="24"/>
          <w:highlight w:val="none"/>
        </w:rPr>
        <w:t>标文件，完全理解招标文件内容要求，根据自身企业的技术力量考虑投入本项目的技术</w:t>
      </w:r>
      <w:r>
        <w:rPr>
          <w:rFonts w:hint="eastAsia" w:asciiTheme="minorEastAsia" w:hAnsiTheme="minorEastAsia" w:eastAsiaTheme="minorEastAsia" w:cstheme="minorEastAsia"/>
          <w:color w:val="auto"/>
          <w:spacing w:val="-5"/>
          <w:sz w:val="24"/>
          <w:highlight w:val="none"/>
        </w:rPr>
        <w:t>人员，并承诺在技术文件中拟投入的主要专业人员</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5"/>
          <w:sz w:val="24"/>
          <w:highlight w:val="none"/>
        </w:rPr>
        <w:t>见《</w:t>
      </w:r>
      <w:r>
        <w:rPr>
          <w:rFonts w:hint="eastAsia" w:asciiTheme="minorEastAsia" w:hAnsiTheme="minorEastAsia" w:eastAsiaTheme="minorEastAsia" w:cstheme="minorEastAsia"/>
          <w:color w:val="auto"/>
          <w:spacing w:val="-5"/>
          <w:sz w:val="24"/>
          <w:highlight w:val="none"/>
          <w:lang w:val="en-US" w:eastAsia="zh-CN"/>
        </w:rPr>
        <w:t>拟</w:t>
      </w:r>
      <w:r>
        <w:rPr>
          <w:rFonts w:hint="eastAsia" w:asciiTheme="minorEastAsia" w:hAnsiTheme="minorEastAsia" w:eastAsiaTheme="minorEastAsia" w:cstheme="minorEastAsia"/>
          <w:color w:val="auto"/>
          <w:spacing w:val="-5"/>
          <w:sz w:val="24"/>
          <w:highlight w:val="none"/>
        </w:rPr>
        <w:t>派本项目</w:t>
      </w:r>
      <w:r>
        <w:rPr>
          <w:rFonts w:hint="eastAsia" w:asciiTheme="minorEastAsia" w:hAnsiTheme="minorEastAsia" w:eastAsiaTheme="minorEastAsia" w:cstheme="minorEastAsia"/>
          <w:color w:val="auto"/>
          <w:spacing w:val="-5"/>
          <w:sz w:val="24"/>
          <w:highlight w:val="none"/>
          <w:lang w:val="en-US" w:eastAsia="zh-CN"/>
        </w:rPr>
        <w:t>团队</w:t>
      </w:r>
      <w:r>
        <w:rPr>
          <w:rFonts w:hint="eastAsia" w:asciiTheme="minorEastAsia" w:hAnsiTheme="minorEastAsia" w:eastAsiaTheme="minorEastAsia" w:cstheme="minorEastAsia"/>
          <w:color w:val="auto"/>
          <w:spacing w:val="-5"/>
          <w:sz w:val="24"/>
          <w:highlight w:val="none"/>
        </w:rPr>
        <w:t>人员》</w:t>
      </w:r>
      <w:r>
        <w:rPr>
          <w:rFonts w:hint="eastAsia" w:asciiTheme="minorEastAsia" w:hAnsiTheme="minorEastAsia" w:eastAsiaTheme="minorEastAsia" w:cstheme="minorEastAsia"/>
          <w:color w:val="auto"/>
          <w:spacing w:val="-8"/>
          <w:sz w:val="24"/>
          <w:highlight w:val="none"/>
        </w:rPr>
        <w:t>）</w:t>
      </w:r>
      <w:r>
        <w:rPr>
          <w:rFonts w:hint="eastAsia" w:asciiTheme="minorEastAsia" w:hAnsiTheme="minorEastAsia" w:eastAsiaTheme="minorEastAsia" w:cstheme="minorEastAsia"/>
          <w:color w:val="auto"/>
          <w:spacing w:val="-5"/>
          <w:sz w:val="24"/>
          <w:highlight w:val="none"/>
        </w:rPr>
        <w:t>与商务文件一致，并在商务文件中附主要人员的身份证、毕业证、职称证、执业</w:t>
      </w:r>
      <w:r>
        <w:rPr>
          <w:rFonts w:hint="eastAsia" w:asciiTheme="minorEastAsia" w:hAnsiTheme="minorEastAsia" w:eastAsiaTheme="minorEastAsia" w:cstheme="minorEastAsia"/>
          <w:color w:val="auto"/>
          <w:spacing w:val="-4"/>
          <w:sz w:val="24"/>
          <w:highlight w:val="none"/>
        </w:rPr>
        <w:t>资格证等相关证书的复印件，如有不一致或所提供的资料不完整</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2"/>
          <w:sz w:val="24"/>
          <w:highlight w:val="none"/>
        </w:rPr>
        <w:t>即未能证明该人员职</w:t>
      </w:r>
      <w:r>
        <w:rPr>
          <w:rFonts w:hint="eastAsia" w:asciiTheme="minorEastAsia" w:hAnsiTheme="minorEastAsia" w:eastAsiaTheme="minorEastAsia" w:cstheme="minorEastAsia"/>
          <w:color w:val="auto"/>
          <w:sz w:val="24"/>
          <w:highlight w:val="none"/>
        </w:rPr>
        <w:t>称和资格的），</w:t>
      </w:r>
      <w:r>
        <w:rPr>
          <w:rFonts w:hint="eastAsia" w:asciiTheme="minorEastAsia" w:hAnsiTheme="minorEastAsia" w:eastAsiaTheme="minorEastAsia" w:cstheme="minorEastAsia"/>
          <w:color w:val="auto"/>
          <w:spacing w:val="-3"/>
          <w:sz w:val="24"/>
          <w:highlight w:val="none"/>
        </w:rPr>
        <w:t xml:space="preserve">我方愿意接受因承诺失信在综合得分中扣减 </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pacing w:val="-10"/>
          <w:sz w:val="24"/>
          <w:highlight w:val="none"/>
        </w:rPr>
        <w:t xml:space="preserve"> 分的处罚。</w:t>
      </w:r>
    </w:p>
    <w:p>
      <w:pPr>
        <w:widowControl w:val="0"/>
        <w:autoSpaceDE w:val="0"/>
        <w:autoSpaceDN w:val="0"/>
        <w:spacing w:line="360" w:lineRule="auto"/>
        <w:ind w:left="143"/>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lang w:val="en-US" w:eastAsia="zh-CN"/>
        </w:rPr>
        <w:t>拟</w:t>
      </w:r>
      <w:r>
        <w:rPr>
          <w:rFonts w:hint="eastAsia" w:asciiTheme="minorEastAsia" w:hAnsiTheme="minorEastAsia" w:eastAsiaTheme="minorEastAsia" w:cstheme="minorEastAsia"/>
          <w:b/>
          <w:bCs/>
          <w:color w:val="auto"/>
          <w:sz w:val="24"/>
          <w:highlight w:val="none"/>
        </w:rPr>
        <w:t>派本项目</w:t>
      </w:r>
      <w:r>
        <w:rPr>
          <w:rFonts w:hint="eastAsia" w:asciiTheme="minorEastAsia" w:hAnsiTheme="minorEastAsia" w:eastAsiaTheme="minorEastAsia" w:cstheme="minorEastAsia"/>
          <w:b/>
          <w:bCs/>
          <w:color w:val="auto"/>
          <w:sz w:val="24"/>
          <w:highlight w:val="none"/>
          <w:lang w:val="en-US" w:eastAsia="zh-CN"/>
        </w:rPr>
        <w:t>团队</w:t>
      </w:r>
      <w:r>
        <w:rPr>
          <w:rFonts w:hint="eastAsia" w:asciiTheme="minorEastAsia" w:hAnsiTheme="minorEastAsia" w:eastAsiaTheme="minorEastAsia" w:cstheme="minorEastAsia"/>
          <w:b/>
          <w:bCs/>
          <w:color w:val="auto"/>
          <w:sz w:val="24"/>
          <w:highlight w:val="none"/>
        </w:rPr>
        <w:t>人员</w:t>
      </w:r>
    </w:p>
    <w:tbl>
      <w:tblPr>
        <w:tblStyle w:val="23"/>
        <w:tblW w:w="9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3"/>
        <w:gridCol w:w="560"/>
        <w:gridCol w:w="6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2743" w:type="dxa"/>
          </w:tcPr>
          <w:p>
            <w:pPr>
              <w:pStyle w:val="85"/>
              <w:widowControl w:val="0"/>
              <w:autoSpaceDE w:val="0"/>
              <w:autoSpaceDN w:val="0"/>
              <w:ind w:left="140" w:right="49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本项目中担任技术</w:t>
            </w:r>
          </w:p>
          <w:p>
            <w:pPr>
              <w:pStyle w:val="85"/>
              <w:widowControl w:val="0"/>
              <w:autoSpaceDE w:val="0"/>
              <w:autoSpaceDN w:val="0"/>
              <w:spacing w:before="81"/>
              <w:ind w:left="140" w:right="9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的职务</w:t>
            </w:r>
          </w:p>
        </w:tc>
        <w:tc>
          <w:tcPr>
            <w:tcW w:w="560" w:type="dxa"/>
          </w:tcPr>
          <w:p>
            <w:pPr>
              <w:pStyle w:val="85"/>
              <w:widowControl w:val="0"/>
              <w:autoSpaceDE w:val="0"/>
              <w:autoSpaceDN w:val="0"/>
              <w:spacing w:before="194"/>
              <w:ind w:left="110" w:right="46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6293" w:type="dxa"/>
          </w:tcPr>
          <w:p>
            <w:pPr>
              <w:pStyle w:val="85"/>
              <w:widowControl w:val="0"/>
              <w:autoSpaceDE w:val="0"/>
              <w:autoSpaceDN w:val="0"/>
              <w:spacing w:before="194"/>
              <w:ind w:left="159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职称或执业资格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2743" w:type="dxa"/>
          </w:tcPr>
          <w:p>
            <w:pPr>
              <w:pStyle w:val="85"/>
              <w:widowControl w:val="0"/>
              <w:autoSpaceDE w:val="0"/>
              <w:autoSpaceDN w:val="0"/>
              <w:spacing w:before="117"/>
              <w:ind w:left="518"/>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项目负责人</w:t>
            </w:r>
          </w:p>
        </w:tc>
        <w:tc>
          <w:tcPr>
            <w:tcW w:w="560" w:type="dxa"/>
          </w:tcPr>
          <w:p>
            <w:pPr>
              <w:pStyle w:val="85"/>
              <w:widowControl w:val="0"/>
              <w:autoSpaceDE w:val="0"/>
              <w:autoSpaceDN w:val="0"/>
              <w:spacing w:before="117"/>
              <w:ind w:right="35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6293" w:type="dxa"/>
          </w:tcPr>
          <w:p>
            <w:pPr>
              <w:pageBreakBefore w:val="0"/>
              <w:shd w:val="clear"/>
              <w:kinsoku/>
              <w:wordWrap/>
              <w:overflowPunct/>
              <w:topLinePunct w:val="0"/>
              <w:bidi w:val="0"/>
              <w:adjustRightInd/>
              <w:snapToGrid w:val="0"/>
              <w:spacing w:line="500" w:lineRule="exact"/>
              <w:textAlignment w:val="auto"/>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须具备给水排水专业高级工程师或以上</w:t>
            </w:r>
            <w:r>
              <w:rPr>
                <w:rFonts w:hint="eastAsia" w:ascii="宋体" w:hAnsi="宋体" w:cs="宋体"/>
                <w:color w:val="auto"/>
                <w:sz w:val="24"/>
                <w:highlight w:val="none"/>
                <w:lang w:val="en-US" w:eastAsia="zh-CN"/>
              </w:rPr>
              <w:t>技术</w:t>
            </w:r>
            <w:r>
              <w:rPr>
                <w:rFonts w:hint="eastAsia" w:ascii="宋体" w:hAnsi="宋体" w:cs="宋体"/>
                <w:color w:val="auto"/>
                <w:sz w:val="24"/>
                <w:highlight w:val="none"/>
              </w:rPr>
              <w:t>职称</w:t>
            </w:r>
            <w:r>
              <w:rPr>
                <w:rFonts w:hint="eastAsia" w:ascii="宋体" w:hAnsi="宋体" w:cs="宋体"/>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1" w:hRule="atLeast"/>
          <w:jc w:val="center"/>
        </w:trPr>
        <w:tc>
          <w:tcPr>
            <w:tcW w:w="2743" w:type="dxa"/>
          </w:tcPr>
          <w:p>
            <w:pPr>
              <w:pStyle w:val="85"/>
              <w:widowControl w:val="0"/>
              <w:autoSpaceDE w:val="0"/>
              <w:autoSpaceDN w:val="0"/>
              <w:rPr>
                <w:rFonts w:asciiTheme="minorEastAsia" w:hAnsiTheme="minorEastAsia" w:eastAsiaTheme="minorEastAsia" w:cstheme="minorEastAsia"/>
                <w:color w:val="auto"/>
                <w:sz w:val="24"/>
                <w:highlight w:val="none"/>
              </w:rPr>
            </w:pPr>
          </w:p>
          <w:p>
            <w:pPr>
              <w:pStyle w:val="85"/>
              <w:widowControl w:val="0"/>
              <w:autoSpaceDE w:val="0"/>
              <w:autoSpaceDN w:val="0"/>
              <w:rPr>
                <w:rFonts w:asciiTheme="minorEastAsia" w:hAnsiTheme="minorEastAsia" w:eastAsiaTheme="minorEastAsia" w:cstheme="minorEastAsia"/>
                <w:color w:val="auto"/>
                <w:sz w:val="24"/>
                <w:highlight w:val="none"/>
              </w:rPr>
            </w:pPr>
          </w:p>
          <w:p>
            <w:pPr>
              <w:pStyle w:val="85"/>
              <w:widowControl w:val="0"/>
              <w:autoSpaceDE w:val="0"/>
              <w:autoSpaceDN w:val="0"/>
              <w:rPr>
                <w:rFonts w:asciiTheme="minorEastAsia" w:hAnsiTheme="minorEastAsia" w:eastAsiaTheme="minorEastAsia" w:cstheme="minorEastAsia"/>
                <w:color w:val="auto"/>
                <w:sz w:val="24"/>
                <w:highlight w:val="none"/>
              </w:rPr>
            </w:pPr>
          </w:p>
          <w:p>
            <w:pPr>
              <w:pStyle w:val="85"/>
              <w:widowControl w:val="0"/>
              <w:autoSpaceDE w:val="0"/>
              <w:autoSpaceDN w:val="0"/>
              <w:rPr>
                <w:rFonts w:asciiTheme="minorEastAsia" w:hAnsiTheme="minorEastAsia" w:eastAsiaTheme="minorEastAsia" w:cstheme="minorEastAsia"/>
                <w:color w:val="auto"/>
                <w:sz w:val="24"/>
                <w:highlight w:val="none"/>
              </w:rPr>
            </w:pPr>
          </w:p>
          <w:p>
            <w:pPr>
              <w:pStyle w:val="85"/>
              <w:widowControl w:val="0"/>
              <w:autoSpaceDE w:val="0"/>
              <w:autoSpaceDN w:val="0"/>
              <w:rPr>
                <w:rFonts w:asciiTheme="minorEastAsia" w:hAnsiTheme="minorEastAsia" w:eastAsiaTheme="minorEastAsia" w:cstheme="minorEastAsia"/>
                <w:color w:val="auto"/>
                <w:sz w:val="24"/>
                <w:highlight w:val="none"/>
              </w:rPr>
            </w:pPr>
          </w:p>
          <w:p>
            <w:pPr>
              <w:pStyle w:val="85"/>
              <w:widowControl w:val="0"/>
              <w:autoSpaceDE w:val="0"/>
              <w:autoSpaceDN w:val="0"/>
              <w:rPr>
                <w:rFonts w:asciiTheme="minorEastAsia" w:hAnsiTheme="minorEastAsia" w:eastAsiaTheme="minorEastAsia" w:cstheme="minorEastAsia"/>
                <w:color w:val="auto"/>
                <w:sz w:val="24"/>
                <w:highlight w:val="none"/>
              </w:rPr>
            </w:pPr>
          </w:p>
          <w:p>
            <w:pPr>
              <w:pStyle w:val="85"/>
              <w:widowControl w:val="0"/>
              <w:autoSpaceDE w:val="0"/>
              <w:autoSpaceDN w:val="0"/>
              <w:rPr>
                <w:rFonts w:asciiTheme="minorEastAsia" w:hAnsiTheme="minorEastAsia" w:eastAsiaTheme="minorEastAsia" w:cstheme="minorEastAsia"/>
                <w:color w:val="auto"/>
                <w:sz w:val="24"/>
                <w:highlight w:val="none"/>
              </w:rPr>
            </w:pPr>
          </w:p>
          <w:p>
            <w:pPr>
              <w:pStyle w:val="85"/>
              <w:widowControl w:val="0"/>
              <w:autoSpaceDE w:val="0"/>
              <w:autoSpaceDN w:val="0"/>
              <w:rPr>
                <w:rFonts w:asciiTheme="minorEastAsia" w:hAnsiTheme="minorEastAsia" w:eastAsiaTheme="minorEastAsia" w:cstheme="minorEastAsia"/>
                <w:color w:val="auto"/>
                <w:sz w:val="24"/>
                <w:highlight w:val="none"/>
              </w:rPr>
            </w:pPr>
          </w:p>
          <w:p>
            <w:pPr>
              <w:pStyle w:val="85"/>
              <w:widowControl w:val="0"/>
              <w:autoSpaceDE w:val="0"/>
              <w:autoSpaceDN w:val="0"/>
              <w:spacing w:before="10"/>
              <w:rPr>
                <w:rFonts w:asciiTheme="minorEastAsia" w:hAnsiTheme="minorEastAsia" w:eastAsiaTheme="minorEastAsia" w:cstheme="minorEastAsia"/>
                <w:color w:val="auto"/>
                <w:sz w:val="24"/>
                <w:highlight w:val="none"/>
              </w:rPr>
            </w:pPr>
          </w:p>
          <w:p>
            <w:pPr>
              <w:pStyle w:val="85"/>
              <w:widowControl w:val="0"/>
              <w:autoSpaceDE w:val="0"/>
              <w:autoSpaceDN w:val="0"/>
              <w:ind w:left="998" w:right="298" w:hanging="8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主要专业负责人</w:t>
            </w:r>
          </w:p>
        </w:tc>
        <w:tc>
          <w:tcPr>
            <w:tcW w:w="560" w:type="dxa"/>
          </w:tcPr>
          <w:p>
            <w:pPr>
              <w:pStyle w:val="85"/>
              <w:widowControl w:val="0"/>
              <w:autoSpaceDE w:val="0"/>
              <w:autoSpaceDN w:val="0"/>
              <w:rPr>
                <w:rFonts w:asciiTheme="minorEastAsia" w:hAnsiTheme="minorEastAsia" w:eastAsiaTheme="minorEastAsia" w:cstheme="minorEastAsia"/>
                <w:color w:val="auto"/>
                <w:sz w:val="24"/>
                <w:highlight w:val="none"/>
              </w:rPr>
            </w:pPr>
          </w:p>
        </w:tc>
        <w:tc>
          <w:tcPr>
            <w:tcW w:w="6293" w:type="dxa"/>
          </w:tcPr>
          <w:p>
            <w:pPr>
              <w:pStyle w:val="85"/>
              <w:widowControl w:val="0"/>
              <w:tabs>
                <w:tab w:val="left" w:pos="1666"/>
                <w:tab w:val="left" w:pos="3346"/>
              </w:tabs>
              <w:autoSpaceDE w:val="0"/>
              <w:autoSpaceDN w:val="0"/>
              <w:spacing w:before="1" w:line="360" w:lineRule="auto"/>
              <w:ind w:left="10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专业负责人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人</w:t>
            </w:r>
          </w:p>
          <w:p>
            <w:pPr>
              <w:pStyle w:val="85"/>
              <w:widowControl w:val="0"/>
              <w:tabs>
                <w:tab w:val="left" w:pos="826"/>
                <w:tab w:val="left" w:pos="2026"/>
                <w:tab w:val="left" w:pos="4160"/>
              </w:tabs>
              <w:autoSpaceDE w:val="0"/>
              <w:autoSpaceDN w:val="0"/>
              <w:spacing w:before="83" w:line="360" w:lineRule="auto"/>
              <w:ind w:left="106" w:right="95" w:firstLine="47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职称</w:t>
            </w:r>
            <w:r>
              <w:rPr>
                <w:rFonts w:hint="eastAsia" w:asciiTheme="minorEastAsia" w:hAnsiTheme="minorEastAsia" w:eastAsiaTheme="minorEastAsia" w:cstheme="minorEastAsia"/>
                <w:color w:val="auto"/>
                <w:spacing w:val="-27"/>
                <w:sz w:val="24"/>
                <w:highlight w:val="none"/>
              </w:rPr>
              <w:t>，</w:t>
            </w:r>
            <w:r>
              <w:rPr>
                <w:rFonts w:hint="eastAsia" w:asciiTheme="minorEastAsia" w:hAnsiTheme="minorEastAsia" w:eastAsiaTheme="minorEastAsia" w:cstheme="minorEastAsia"/>
                <w:color w:val="auto"/>
                <w:sz w:val="24"/>
                <w:highlight w:val="none"/>
              </w:rPr>
              <w:t>担任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专业工</w:t>
            </w:r>
            <w:r>
              <w:rPr>
                <w:rFonts w:hint="eastAsia" w:asciiTheme="minorEastAsia" w:hAnsiTheme="minorEastAsia" w:eastAsiaTheme="minorEastAsia" w:cstheme="minorEastAsia"/>
                <w:color w:val="auto"/>
                <w:spacing w:val="-17"/>
                <w:sz w:val="24"/>
                <w:highlight w:val="none"/>
              </w:rPr>
              <w:t>程</w:t>
            </w:r>
            <w:r>
              <w:rPr>
                <w:rFonts w:hint="eastAsia" w:asciiTheme="minorEastAsia" w:hAnsiTheme="minorEastAsia" w:eastAsiaTheme="minorEastAsia" w:cstheme="minorEastAsia"/>
                <w:color w:val="auto"/>
                <w:sz w:val="24"/>
                <w:highlight w:val="none"/>
              </w:rPr>
              <w:t>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年以上。</w:t>
            </w:r>
          </w:p>
          <w:p>
            <w:pPr>
              <w:pStyle w:val="85"/>
              <w:widowControl w:val="0"/>
              <w:tabs>
                <w:tab w:val="left" w:pos="1306"/>
                <w:tab w:val="left" w:pos="2986"/>
              </w:tabs>
              <w:autoSpaceDE w:val="0"/>
              <w:autoSpaceDN w:val="0"/>
              <w:spacing w:before="3" w:line="360" w:lineRule="auto"/>
              <w:ind w:left="10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专业负责人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人</w:t>
            </w:r>
          </w:p>
          <w:p>
            <w:pPr>
              <w:pStyle w:val="85"/>
              <w:widowControl w:val="0"/>
              <w:tabs>
                <w:tab w:val="left" w:pos="826"/>
                <w:tab w:val="left" w:pos="2026"/>
                <w:tab w:val="left" w:pos="4160"/>
              </w:tabs>
              <w:autoSpaceDE w:val="0"/>
              <w:autoSpaceDN w:val="0"/>
              <w:spacing w:before="83" w:line="360" w:lineRule="auto"/>
              <w:ind w:left="106" w:right="95" w:firstLine="47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职称</w:t>
            </w:r>
            <w:r>
              <w:rPr>
                <w:rFonts w:hint="eastAsia" w:asciiTheme="minorEastAsia" w:hAnsiTheme="minorEastAsia" w:eastAsiaTheme="minorEastAsia" w:cstheme="minorEastAsia"/>
                <w:color w:val="auto"/>
                <w:spacing w:val="-27"/>
                <w:sz w:val="24"/>
                <w:highlight w:val="none"/>
              </w:rPr>
              <w:t>，</w:t>
            </w:r>
            <w:r>
              <w:rPr>
                <w:rFonts w:hint="eastAsia" w:asciiTheme="minorEastAsia" w:hAnsiTheme="minorEastAsia" w:eastAsiaTheme="minorEastAsia" w:cstheme="minorEastAsia"/>
                <w:color w:val="auto"/>
                <w:sz w:val="24"/>
                <w:highlight w:val="none"/>
              </w:rPr>
              <w:t>担任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专业工</w:t>
            </w:r>
            <w:r>
              <w:rPr>
                <w:rFonts w:hint="eastAsia" w:asciiTheme="minorEastAsia" w:hAnsiTheme="minorEastAsia" w:eastAsiaTheme="minorEastAsia" w:cstheme="minorEastAsia"/>
                <w:color w:val="auto"/>
                <w:spacing w:val="-17"/>
                <w:sz w:val="24"/>
                <w:highlight w:val="none"/>
              </w:rPr>
              <w:t>程</w:t>
            </w:r>
            <w:r>
              <w:rPr>
                <w:rFonts w:hint="eastAsia" w:asciiTheme="minorEastAsia" w:hAnsiTheme="minorEastAsia" w:eastAsiaTheme="minorEastAsia" w:cstheme="minorEastAsia"/>
                <w:color w:val="auto"/>
                <w:sz w:val="24"/>
                <w:highlight w:val="none"/>
              </w:rPr>
              <w:t>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年以上。</w:t>
            </w:r>
          </w:p>
          <w:p>
            <w:pPr>
              <w:pStyle w:val="85"/>
              <w:widowControl w:val="0"/>
              <w:tabs>
                <w:tab w:val="left" w:pos="1306"/>
                <w:tab w:val="left" w:pos="2986"/>
              </w:tabs>
              <w:autoSpaceDE w:val="0"/>
              <w:autoSpaceDN w:val="0"/>
              <w:spacing w:before="3" w:line="360" w:lineRule="auto"/>
              <w:ind w:left="10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专业负责人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人</w:t>
            </w:r>
          </w:p>
          <w:p>
            <w:pPr>
              <w:pStyle w:val="85"/>
              <w:widowControl w:val="0"/>
              <w:tabs>
                <w:tab w:val="left" w:pos="826"/>
                <w:tab w:val="left" w:pos="2026"/>
                <w:tab w:val="left" w:pos="4160"/>
              </w:tabs>
              <w:autoSpaceDE w:val="0"/>
              <w:autoSpaceDN w:val="0"/>
              <w:spacing w:before="83" w:line="360" w:lineRule="auto"/>
              <w:ind w:left="106" w:right="95" w:firstLine="47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职称</w:t>
            </w:r>
            <w:r>
              <w:rPr>
                <w:rFonts w:hint="eastAsia" w:asciiTheme="minorEastAsia" w:hAnsiTheme="minorEastAsia" w:eastAsiaTheme="minorEastAsia" w:cstheme="minorEastAsia"/>
                <w:color w:val="auto"/>
                <w:spacing w:val="-27"/>
                <w:sz w:val="24"/>
                <w:highlight w:val="none"/>
              </w:rPr>
              <w:t>，</w:t>
            </w:r>
            <w:r>
              <w:rPr>
                <w:rFonts w:hint="eastAsia" w:asciiTheme="minorEastAsia" w:hAnsiTheme="minorEastAsia" w:eastAsiaTheme="minorEastAsia" w:cstheme="minorEastAsia"/>
                <w:color w:val="auto"/>
                <w:sz w:val="24"/>
                <w:highlight w:val="none"/>
              </w:rPr>
              <w:t>担任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专业工</w:t>
            </w:r>
            <w:r>
              <w:rPr>
                <w:rFonts w:hint="eastAsia" w:asciiTheme="minorEastAsia" w:hAnsiTheme="minorEastAsia" w:eastAsiaTheme="minorEastAsia" w:cstheme="minorEastAsia"/>
                <w:color w:val="auto"/>
                <w:spacing w:val="-17"/>
                <w:sz w:val="24"/>
                <w:highlight w:val="none"/>
              </w:rPr>
              <w:t>程</w:t>
            </w:r>
            <w:r>
              <w:rPr>
                <w:rFonts w:hint="eastAsia" w:asciiTheme="minorEastAsia" w:hAnsiTheme="minorEastAsia" w:eastAsiaTheme="minorEastAsia" w:cstheme="minorEastAsia"/>
                <w:color w:val="auto"/>
                <w:sz w:val="24"/>
                <w:highlight w:val="none"/>
              </w:rPr>
              <w:t>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年以上。</w:t>
            </w:r>
          </w:p>
          <w:p>
            <w:pPr>
              <w:pStyle w:val="85"/>
              <w:widowControl w:val="0"/>
              <w:tabs>
                <w:tab w:val="left" w:pos="1306"/>
                <w:tab w:val="left" w:pos="2986"/>
              </w:tabs>
              <w:autoSpaceDE w:val="0"/>
              <w:autoSpaceDN w:val="0"/>
              <w:spacing w:before="3" w:line="360" w:lineRule="auto"/>
              <w:ind w:left="10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专业负责人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人</w:t>
            </w:r>
          </w:p>
          <w:p>
            <w:pPr>
              <w:pStyle w:val="85"/>
              <w:widowControl w:val="0"/>
              <w:tabs>
                <w:tab w:val="left" w:pos="826"/>
                <w:tab w:val="left" w:pos="2026"/>
                <w:tab w:val="left" w:pos="4160"/>
              </w:tabs>
              <w:autoSpaceDE w:val="0"/>
              <w:autoSpaceDN w:val="0"/>
              <w:spacing w:before="83" w:line="360" w:lineRule="auto"/>
              <w:ind w:left="106" w:right="95" w:firstLine="47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职称</w:t>
            </w:r>
            <w:r>
              <w:rPr>
                <w:rFonts w:hint="eastAsia" w:asciiTheme="minorEastAsia" w:hAnsiTheme="minorEastAsia" w:eastAsiaTheme="minorEastAsia" w:cstheme="minorEastAsia"/>
                <w:color w:val="auto"/>
                <w:spacing w:val="-27"/>
                <w:sz w:val="24"/>
                <w:highlight w:val="none"/>
              </w:rPr>
              <w:t>，</w:t>
            </w:r>
            <w:r>
              <w:rPr>
                <w:rFonts w:hint="eastAsia" w:asciiTheme="minorEastAsia" w:hAnsiTheme="minorEastAsia" w:eastAsiaTheme="minorEastAsia" w:cstheme="minorEastAsia"/>
                <w:color w:val="auto"/>
                <w:sz w:val="24"/>
                <w:highlight w:val="none"/>
              </w:rPr>
              <w:t>担任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专业工</w:t>
            </w:r>
            <w:r>
              <w:rPr>
                <w:rFonts w:hint="eastAsia" w:asciiTheme="minorEastAsia" w:hAnsiTheme="minorEastAsia" w:eastAsiaTheme="minorEastAsia" w:cstheme="minorEastAsia"/>
                <w:color w:val="auto"/>
                <w:spacing w:val="-17"/>
                <w:sz w:val="24"/>
                <w:highlight w:val="none"/>
              </w:rPr>
              <w:t>程</w:t>
            </w:r>
            <w:r>
              <w:rPr>
                <w:rFonts w:hint="eastAsia" w:asciiTheme="minorEastAsia" w:hAnsiTheme="minorEastAsia" w:eastAsiaTheme="minorEastAsia" w:cstheme="minorEastAsia"/>
                <w:color w:val="auto"/>
                <w:sz w:val="24"/>
                <w:highlight w:val="none"/>
              </w:rPr>
              <w:t>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年以上。</w:t>
            </w:r>
          </w:p>
          <w:p>
            <w:pPr>
              <w:pStyle w:val="85"/>
              <w:widowControl w:val="0"/>
              <w:tabs>
                <w:tab w:val="left" w:pos="1306"/>
                <w:tab w:val="left" w:pos="2986"/>
              </w:tabs>
              <w:autoSpaceDE w:val="0"/>
              <w:autoSpaceDN w:val="0"/>
              <w:spacing w:before="81" w:line="360" w:lineRule="auto"/>
              <w:ind w:left="10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专业负责人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人</w:t>
            </w:r>
          </w:p>
          <w:p>
            <w:pPr>
              <w:pStyle w:val="85"/>
              <w:widowControl w:val="0"/>
              <w:tabs>
                <w:tab w:val="left" w:pos="826"/>
                <w:tab w:val="left" w:pos="2026"/>
                <w:tab w:val="left" w:pos="4160"/>
              </w:tabs>
              <w:autoSpaceDE w:val="0"/>
              <w:autoSpaceDN w:val="0"/>
              <w:spacing w:before="83" w:line="360" w:lineRule="auto"/>
              <w:ind w:left="106" w:right="95" w:firstLine="47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职称</w:t>
            </w:r>
            <w:r>
              <w:rPr>
                <w:rFonts w:hint="eastAsia" w:asciiTheme="minorEastAsia" w:hAnsiTheme="minorEastAsia" w:eastAsiaTheme="minorEastAsia" w:cstheme="minorEastAsia"/>
                <w:color w:val="auto"/>
                <w:spacing w:val="-27"/>
                <w:sz w:val="24"/>
                <w:highlight w:val="none"/>
              </w:rPr>
              <w:t>，</w:t>
            </w:r>
            <w:r>
              <w:rPr>
                <w:rFonts w:hint="eastAsia" w:asciiTheme="minorEastAsia" w:hAnsiTheme="minorEastAsia" w:eastAsiaTheme="minorEastAsia" w:cstheme="minorEastAsia"/>
                <w:color w:val="auto"/>
                <w:sz w:val="24"/>
                <w:highlight w:val="none"/>
              </w:rPr>
              <w:t>担任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专业工</w:t>
            </w:r>
            <w:r>
              <w:rPr>
                <w:rFonts w:hint="eastAsia" w:asciiTheme="minorEastAsia" w:hAnsiTheme="minorEastAsia" w:eastAsiaTheme="minorEastAsia" w:cstheme="minorEastAsia"/>
                <w:color w:val="auto"/>
                <w:spacing w:val="-17"/>
                <w:sz w:val="24"/>
                <w:highlight w:val="none"/>
              </w:rPr>
              <w:t>程</w:t>
            </w:r>
            <w:r>
              <w:rPr>
                <w:rFonts w:hint="eastAsia" w:asciiTheme="minorEastAsia" w:hAnsiTheme="minorEastAsia" w:eastAsiaTheme="minorEastAsia" w:cstheme="minorEastAsia"/>
                <w:color w:val="auto"/>
                <w:sz w:val="24"/>
                <w:highlight w:val="none"/>
              </w:rPr>
              <w:t>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年以上。</w:t>
            </w:r>
          </w:p>
          <w:p>
            <w:pPr>
              <w:pStyle w:val="85"/>
              <w:widowControl w:val="0"/>
              <w:autoSpaceDE w:val="0"/>
              <w:autoSpaceDN w:val="0"/>
              <w:spacing w:before="78" w:line="360" w:lineRule="auto"/>
              <w:ind w:left="10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bl>
    <w:p>
      <w:pPr>
        <w:widowControl w:val="0"/>
        <w:autoSpaceDE w:val="0"/>
        <w:autoSpaceDN w:val="0"/>
        <w:spacing w:line="360" w:lineRule="auto"/>
        <w:rPr>
          <w:rFonts w:asciiTheme="minorEastAsia" w:hAnsiTheme="minorEastAsia" w:eastAsiaTheme="minorEastAsia" w:cstheme="minorEastAsia"/>
          <w:color w:val="auto"/>
          <w:sz w:val="24"/>
          <w:highlight w:val="none"/>
        </w:rPr>
        <w:sectPr>
          <w:headerReference r:id="rId7" w:type="default"/>
          <w:footerReference r:id="rId8" w:type="default"/>
          <w:pgSz w:w="11910" w:h="16840"/>
          <w:pgMar w:top="1417" w:right="1134" w:bottom="1134" w:left="1417" w:header="858" w:footer="1133" w:gutter="0"/>
          <w:cols w:space="720" w:num="1"/>
        </w:sectPr>
      </w:pPr>
    </w:p>
    <w:p>
      <w:pPr>
        <w:widowControl w:val="0"/>
        <w:autoSpaceDE w:val="0"/>
        <w:autoSpaceDN w:val="0"/>
        <w:spacing w:before="62" w:line="360" w:lineRule="auto"/>
        <w:outlineLvl w:val="1"/>
        <w:rPr>
          <w:rFonts w:asciiTheme="minorEastAsia" w:hAnsiTheme="minorEastAsia" w:eastAsiaTheme="minorEastAsia" w:cstheme="minorEastAsia"/>
          <w:b/>
          <w:bCs/>
          <w:color w:val="auto"/>
          <w:sz w:val="32"/>
          <w:szCs w:val="32"/>
          <w:highlight w:val="none"/>
        </w:rPr>
      </w:pPr>
      <w:bookmarkStart w:id="131" w:name="_Toc23895"/>
      <w:bookmarkStart w:id="132" w:name="_Toc7010"/>
      <w:r>
        <w:rPr>
          <w:rFonts w:hint="eastAsia" w:asciiTheme="minorEastAsia" w:hAnsiTheme="minorEastAsia" w:eastAsiaTheme="minorEastAsia" w:cstheme="minorEastAsia"/>
          <w:b/>
          <w:bCs/>
          <w:color w:val="auto"/>
          <w:sz w:val="32"/>
          <w:szCs w:val="32"/>
          <w:highlight w:val="none"/>
        </w:rPr>
        <w:t>九、勘察设计进度计划、质量保证和技术服务措施承诺书</w:t>
      </w:r>
      <w:bookmarkEnd w:id="131"/>
      <w:bookmarkEnd w:id="132"/>
    </w:p>
    <w:p>
      <w:pPr>
        <w:widowControl w:val="0"/>
        <w:tabs>
          <w:tab w:val="left" w:pos="3698"/>
        </w:tabs>
        <w:autoSpaceDE w:val="0"/>
        <w:autoSpaceDN w:val="0"/>
        <w:spacing w:before="135" w:line="360" w:lineRule="auto"/>
        <w:ind w:right="4078"/>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致：（招标人）</w:t>
      </w:r>
    </w:p>
    <w:p>
      <w:pPr>
        <w:spacing w:before="7"/>
        <w:rPr>
          <w:rFonts w:ascii="黑体" w:hAnsi="黑体" w:eastAsia="黑体" w:cs="黑体"/>
          <w:b/>
          <w:bCs/>
          <w:color w:val="auto"/>
          <w:sz w:val="34"/>
          <w:szCs w:val="34"/>
          <w:highlight w:val="none"/>
        </w:rPr>
      </w:pPr>
    </w:p>
    <w:p>
      <w:pPr>
        <w:snapToGrid w:val="0"/>
        <w:spacing w:line="480" w:lineRule="auto"/>
        <w:ind w:firstLine="468" w:firstLineChars="200"/>
        <w:rPr>
          <w:color w:val="auto"/>
          <w:spacing w:val="-3"/>
          <w:sz w:val="24"/>
          <w:highlight w:val="none"/>
        </w:rPr>
      </w:pPr>
      <w:r>
        <w:rPr>
          <w:color w:val="auto"/>
          <w:spacing w:val="-3"/>
          <w:sz w:val="24"/>
          <w:highlight w:val="none"/>
        </w:rPr>
        <w:t>我单位在研究了勘察设计招标文件及考察现场后，本单位郑重承诺：</w:t>
      </w:r>
    </w:p>
    <w:p>
      <w:pPr>
        <w:snapToGrid w:val="0"/>
        <w:spacing w:line="480" w:lineRule="auto"/>
        <w:ind w:firstLine="468" w:firstLineChars="200"/>
        <w:rPr>
          <w:rFonts w:ascii="宋体" w:hAnsi="宋体" w:cs="宋体"/>
          <w:color w:val="auto"/>
          <w:sz w:val="24"/>
          <w:highlight w:val="none"/>
        </w:rPr>
      </w:pPr>
      <w:r>
        <w:rPr>
          <w:color w:val="auto"/>
          <w:spacing w:val="-3"/>
          <w:sz w:val="24"/>
          <w:highlight w:val="none"/>
        </w:rPr>
        <w:t>（一） 关于勘察设计进度计划承诺勘察</w:t>
      </w:r>
      <w:r>
        <w:rPr>
          <w:rFonts w:hint="eastAsia"/>
          <w:color w:val="auto"/>
          <w:spacing w:val="-3"/>
          <w:sz w:val="24"/>
          <w:highlight w:val="none"/>
        </w:rPr>
        <w:t>设计</w:t>
      </w:r>
      <w:r>
        <w:rPr>
          <w:color w:val="auto"/>
          <w:spacing w:val="-3"/>
          <w:sz w:val="24"/>
          <w:highlight w:val="none"/>
        </w:rPr>
        <w:t>工期：合同签订后</w:t>
      </w:r>
      <w:r>
        <w:rPr>
          <w:rFonts w:hint="eastAsia" w:ascii="宋体" w:hAnsi="宋体" w:cs="宋体"/>
          <w:color w:val="auto"/>
          <w:sz w:val="24"/>
          <w:highlight w:val="none"/>
        </w:rPr>
        <w:t>并收悉基础资料，并收到招标人发出的具备进场条件的通知起____个日历日内完成工程测量勘察，工程测量勘察完成后的___个日历日内施工图设计，施工图设计审查后___个日历日内完成补充、修改，并提交正式版成果。设计文件报批、送审时间、施工图预算、竣工图编制不计入以上工期。</w:t>
      </w:r>
    </w:p>
    <w:p>
      <w:pPr>
        <w:pStyle w:val="10"/>
        <w:widowControl w:val="0"/>
        <w:autoSpaceDE w:val="0"/>
        <w:autoSpaceDN w:val="0"/>
        <w:spacing w:before="34" w:line="480" w:lineRule="auto"/>
        <w:ind w:right="155" w:firstLine="468" w:firstLineChars="200"/>
        <w:rPr>
          <w:color w:val="auto"/>
          <w:spacing w:val="-3"/>
          <w:sz w:val="24"/>
          <w:highlight w:val="none"/>
        </w:rPr>
      </w:pPr>
      <w:r>
        <w:rPr>
          <w:color w:val="auto"/>
          <w:spacing w:val="-3"/>
          <w:sz w:val="24"/>
          <w:highlight w:val="none"/>
        </w:rPr>
        <w:t>（二） 质量保证承诺 按规范要求的标准完成勘察设计工作并保证本项目所有图纸均符合国家有关规范要求。</w:t>
      </w:r>
    </w:p>
    <w:p>
      <w:pPr>
        <w:pStyle w:val="10"/>
        <w:widowControl w:val="0"/>
        <w:autoSpaceDE w:val="0"/>
        <w:autoSpaceDN w:val="0"/>
        <w:spacing w:before="34" w:line="480" w:lineRule="auto"/>
        <w:ind w:right="155" w:firstLine="468" w:firstLineChars="200"/>
        <w:rPr>
          <w:color w:val="auto"/>
          <w:spacing w:val="-3"/>
          <w:sz w:val="24"/>
          <w:highlight w:val="none"/>
        </w:rPr>
      </w:pPr>
      <w:r>
        <w:rPr>
          <w:color w:val="auto"/>
          <w:spacing w:val="-3"/>
          <w:sz w:val="24"/>
          <w:highlight w:val="none"/>
        </w:rPr>
        <w:t>（三） 技术服务承诺工程开工后，我方至少委派一名工程师驻现场，在施工期间对现场进行指导、监督，配合施工。</w:t>
      </w:r>
    </w:p>
    <w:p>
      <w:pPr>
        <w:rPr>
          <w:rFonts w:ascii="宋体" w:hAnsi="宋体" w:cs="宋体"/>
          <w:color w:val="auto"/>
          <w:sz w:val="24"/>
          <w:highlight w:val="none"/>
        </w:rPr>
      </w:pPr>
    </w:p>
    <w:p>
      <w:pPr>
        <w:rPr>
          <w:rFonts w:ascii="宋体" w:hAnsi="宋体" w:cs="宋体"/>
          <w:color w:val="auto"/>
          <w:sz w:val="24"/>
          <w:highlight w:val="none"/>
        </w:rPr>
      </w:pPr>
    </w:p>
    <w:p>
      <w:pPr>
        <w:spacing w:before="11"/>
        <w:rPr>
          <w:rFonts w:ascii="宋体" w:hAnsi="宋体" w:cs="宋体"/>
          <w:color w:val="auto"/>
          <w:sz w:val="24"/>
          <w:highlight w:val="none"/>
        </w:rPr>
      </w:pPr>
    </w:p>
    <w:p>
      <w:pPr>
        <w:pStyle w:val="10"/>
        <w:tabs>
          <w:tab w:val="left" w:pos="2488"/>
        </w:tabs>
        <w:ind w:left="599"/>
        <w:jc w:val="left"/>
        <w:rPr>
          <w:color w:val="auto"/>
          <w:sz w:val="24"/>
          <w:highlight w:val="none"/>
        </w:rPr>
      </w:pPr>
      <w:r>
        <w:rPr>
          <w:color w:val="auto"/>
          <w:spacing w:val="7"/>
          <w:sz w:val="24"/>
          <w:highlight w:val="none"/>
        </w:rPr>
        <w:t>投标人：</w:t>
      </w:r>
      <w:r>
        <w:rPr>
          <w:rFonts w:ascii="Times New Roman" w:hAnsi="Times New Roman" w:eastAsia="Times New Roman"/>
          <w:color w:val="auto"/>
          <w:spacing w:val="7"/>
          <w:sz w:val="24"/>
          <w:highlight w:val="none"/>
          <w:u w:val="single" w:color="000000"/>
        </w:rPr>
        <w:tab/>
      </w:r>
      <w:r>
        <w:rPr>
          <w:rStyle w:val="27"/>
          <w:rFonts w:hint="eastAsia" w:ascii="宋体" w:hAnsi="宋体" w:cs="宋体"/>
          <w:color w:val="auto"/>
          <w:sz w:val="24"/>
          <w:highlight w:val="none"/>
          <w:u w:val="single"/>
        </w:rPr>
        <w:t>（独立体或联合体主办方）</w:t>
      </w:r>
      <w:r>
        <w:rPr>
          <w:color w:val="auto"/>
          <w:spacing w:val="5"/>
          <w:sz w:val="24"/>
          <w:highlight w:val="none"/>
          <w:u w:val="single" w:color="000000"/>
        </w:rPr>
        <w:t>（盖公章）</w:t>
      </w:r>
    </w:p>
    <w:p>
      <w:pPr>
        <w:rPr>
          <w:rFonts w:ascii="宋体" w:hAnsi="宋体" w:cs="宋体"/>
          <w:color w:val="auto"/>
          <w:sz w:val="24"/>
          <w:highlight w:val="none"/>
        </w:rPr>
      </w:pPr>
    </w:p>
    <w:p>
      <w:pPr>
        <w:spacing w:before="1"/>
        <w:rPr>
          <w:rFonts w:ascii="宋体" w:hAnsi="宋体" w:cs="宋体"/>
          <w:color w:val="auto"/>
          <w:sz w:val="24"/>
          <w:highlight w:val="none"/>
        </w:rPr>
      </w:pPr>
    </w:p>
    <w:p>
      <w:pPr>
        <w:pStyle w:val="10"/>
        <w:tabs>
          <w:tab w:val="left" w:pos="5508"/>
        </w:tabs>
        <w:spacing w:before="26"/>
        <w:ind w:left="585"/>
        <w:jc w:val="left"/>
        <w:rPr>
          <w:color w:val="auto"/>
          <w:sz w:val="24"/>
          <w:highlight w:val="none"/>
        </w:rPr>
      </w:pPr>
      <w:r>
        <w:rPr>
          <w:color w:val="auto"/>
          <w:sz w:val="24"/>
          <w:highlight w:val="none"/>
        </w:rPr>
        <w:t>法定代表人或</w:t>
      </w:r>
      <w:r>
        <w:rPr>
          <w:rFonts w:hint="eastAsia"/>
          <w:color w:val="auto"/>
          <w:sz w:val="24"/>
          <w:highlight w:val="none"/>
          <w:lang w:val="en-US" w:eastAsia="zh-CN"/>
        </w:rPr>
        <w:t>全权</w:t>
      </w:r>
      <w:r>
        <w:rPr>
          <w:color w:val="auto"/>
          <w:sz w:val="24"/>
          <w:highlight w:val="none"/>
        </w:rPr>
        <w:t>代理人：</w:t>
      </w:r>
      <w:r>
        <w:rPr>
          <w:rFonts w:ascii="Times New Roman" w:hAnsi="Times New Roman" w:eastAsia="Times New Roman"/>
          <w:color w:val="auto"/>
          <w:sz w:val="24"/>
          <w:highlight w:val="none"/>
          <w:u w:val="single" w:color="000000"/>
        </w:rPr>
        <w:tab/>
      </w:r>
      <w:r>
        <w:rPr>
          <w:color w:val="auto"/>
          <w:spacing w:val="5"/>
          <w:sz w:val="24"/>
          <w:highlight w:val="none"/>
          <w:u w:val="single" w:color="000000"/>
        </w:rPr>
        <w:t>（签字）</w:t>
      </w:r>
    </w:p>
    <w:p>
      <w:pPr>
        <w:rPr>
          <w:rFonts w:ascii="宋体" w:hAnsi="宋体" w:cs="宋体"/>
          <w:color w:val="auto"/>
          <w:sz w:val="24"/>
          <w:highlight w:val="none"/>
        </w:rPr>
      </w:pPr>
    </w:p>
    <w:p>
      <w:pPr>
        <w:spacing w:before="4"/>
        <w:rPr>
          <w:rFonts w:ascii="宋体" w:hAnsi="宋体" w:cs="宋体"/>
          <w:color w:val="auto"/>
          <w:sz w:val="24"/>
          <w:highlight w:val="none"/>
        </w:rPr>
      </w:pPr>
    </w:p>
    <w:p>
      <w:pPr>
        <w:pStyle w:val="10"/>
        <w:tabs>
          <w:tab w:val="left" w:pos="1984"/>
          <w:tab w:val="left" w:pos="2745"/>
          <w:tab w:val="left" w:pos="3760"/>
        </w:tabs>
        <w:spacing w:before="26"/>
        <w:ind w:left="599"/>
        <w:jc w:val="left"/>
        <w:rPr>
          <w:color w:val="auto"/>
          <w:sz w:val="24"/>
          <w:highlight w:val="none"/>
        </w:rPr>
      </w:pPr>
      <w:r>
        <w:rPr>
          <w:color w:val="auto"/>
          <w:spacing w:val="7"/>
          <w:sz w:val="24"/>
          <w:highlight w:val="none"/>
        </w:rPr>
        <w:t>日期：</w:t>
      </w:r>
      <w:r>
        <w:rPr>
          <w:rFonts w:ascii="Times New Roman" w:hAnsi="Times New Roman" w:eastAsia="Times New Roman"/>
          <w:color w:val="auto"/>
          <w:spacing w:val="7"/>
          <w:sz w:val="24"/>
          <w:highlight w:val="none"/>
          <w:u w:val="single" w:color="000000"/>
        </w:rPr>
        <w:tab/>
      </w:r>
      <w:r>
        <w:rPr>
          <w:color w:val="auto"/>
          <w:sz w:val="24"/>
          <w:highlight w:val="none"/>
        </w:rPr>
        <w:t>年</w:t>
      </w:r>
      <w:r>
        <w:rPr>
          <w:rFonts w:ascii="Times New Roman" w:hAnsi="Times New Roman" w:eastAsia="Times New Roman"/>
          <w:color w:val="auto"/>
          <w:sz w:val="24"/>
          <w:highlight w:val="none"/>
          <w:u w:val="single" w:color="000000"/>
        </w:rPr>
        <w:tab/>
      </w:r>
      <w:r>
        <w:rPr>
          <w:color w:val="auto"/>
          <w:sz w:val="24"/>
          <w:highlight w:val="none"/>
        </w:rPr>
        <w:t>月</w:t>
      </w:r>
      <w:r>
        <w:rPr>
          <w:rFonts w:ascii="Times New Roman" w:hAnsi="Times New Roman" w:eastAsia="Times New Roman"/>
          <w:color w:val="auto"/>
          <w:sz w:val="24"/>
          <w:highlight w:val="none"/>
          <w:u w:val="single" w:color="000000"/>
        </w:rPr>
        <w:tab/>
      </w:r>
      <w:r>
        <w:rPr>
          <w:color w:val="auto"/>
          <w:sz w:val="24"/>
          <w:highlight w:val="none"/>
        </w:rPr>
        <w:t>日</w:t>
      </w:r>
    </w:p>
    <w:p>
      <w:pPr>
        <w:jc w:val="left"/>
        <w:rPr>
          <w:color w:val="auto"/>
          <w:highlight w:val="none"/>
        </w:rPr>
        <w:sectPr>
          <w:pgSz w:w="11910" w:h="16840"/>
          <w:pgMar w:top="1080" w:right="920" w:bottom="1400" w:left="980" w:header="882" w:footer="1183" w:gutter="0"/>
          <w:cols w:space="720" w:num="1"/>
        </w:sectPr>
      </w:pPr>
    </w:p>
    <w:p>
      <w:pPr>
        <w:spacing w:line="480" w:lineRule="exact"/>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十、</w:t>
      </w:r>
      <w:r>
        <w:rPr>
          <w:rFonts w:hint="eastAsia" w:ascii="宋体" w:hAnsi="宋体" w:cs="宋体"/>
          <w:b/>
          <w:color w:val="auto"/>
          <w:sz w:val="32"/>
          <w:szCs w:val="32"/>
          <w:highlight w:val="none"/>
        </w:rPr>
        <w:t>中标服务费承诺书</w:t>
      </w:r>
    </w:p>
    <w:p>
      <w:pPr>
        <w:spacing w:line="480" w:lineRule="exact"/>
        <w:rPr>
          <w:rFonts w:hint="eastAsia" w:ascii="宋体" w:hAnsi="宋体" w:cs="宋体"/>
          <w:color w:val="auto"/>
          <w:sz w:val="24"/>
          <w:highlight w:val="none"/>
        </w:rPr>
      </w:pPr>
    </w:p>
    <w:p>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致： 永道工程咨询有限公司</w:t>
      </w:r>
    </w:p>
    <w:p>
      <w:pPr>
        <w:spacing w:line="480" w:lineRule="exact"/>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如果我方在贵公司组织的</w:t>
      </w:r>
      <w:r>
        <w:rPr>
          <w:rFonts w:hint="eastAsia" w:ascii="宋体" w:hAnsi="宋体" w:cs="宋体"/>
          <w:color w:val="auto"/>
          <w:kern w:val="0"/>
          <w:sz w:val="24"/>
          <w:highlight w:val="none"/>
          <w:u w:val="single"/>
          <w:lang w:bidi="ar"/>
        </w:rPr>
        <w:t xml:space="preserve">                        </w:t>
      </w:r>
      <w:r>
        <w:rPr>
          <w:rFonts w:hint="eastAsia" w:ascii="宋体" w:hAnsi="宋体" w:cs="宋体"/>
          <w:color w:val="auto"/>
          <w:sz w:val="24"/>
          <w:highlight w:val="none"/>
        </w:rPr>
        <w:t>招标项目中获中标，我方保证在收到《缴费通知》后三个工作日内，按照招标文件的规定向贵公司缴纳中标服务费。</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特此承诺！</w:t>
      </w:r>
    </w:p>
    <w:p>
      <w:pPr>
        <w:spacing w:line="600" w:lineRule="auto"/>
        <w:ind w:left="4700" w:leftChars="2238"/>
        <w:rPr>
          <w:rFonts w:hint="eastAsia" w:ascii="宋体" w:hAnsi="宋体" w:cs="宋体"/>
          <w:color w:val="auto"/>
          <w:sz w:val="24"/>
          <w:highlight w:val="none"/>
        </w:rPr>
      </w:pPr>
    </w:p>
    <w:p>
      <w:pPr>
        <w:spacing w:line="480" w:lineRule="auto"/>
        <w:ind w:left="4698" w:leftChars="2050" w:hanging="393" w:hangingChars="164"/>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eastAsia="zh-CN"/>
        </w:rPr>
        <w:t>：</w:t>
      </w:r>
      <w:r>
        <w:rPr>
          <w:rStyle w:val="27"/>
          <w:rFonts w:hint="eastAsia" w:ascii="宋体" w:hAnsi="宋体" w:cs="宋体"/>
          <w:color w:val="auto"/>
          <w:sz w:val="24"/>
          <w:highlight w:val="none"/>
          <w:u w:val="single"/>
        </w:rPr>
        <w:t>（独立体或联合体主办方）</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公章）；</w:t>
      </w:r>
    </w:p>
    <w:p>
      <w:pPr>
        <w:spacing w:line="480" w:lineRule="auto"/>
        <w:ind w:left="4698" w:leftChars="2050" w:hanging="393" w:hangingChars="164"/>
        <w:rPr>
          <w:rFonts w:hint="eastAsia" w:ascii="宋体" w:hAnsi="宋体" w:cs="宋体"/>
          <w:color w:val="auto"/>
          <w:sz w:val="24"/>
          <w:highlight w:val="none"/>
        </w:rPr>
      </w:pPr>
      <w:r>
        <w:rPr>
          <w:rFonts w:hint="eastAsia" w:ascii="宋体" w:hAnsi="宋体" w:cs="宋体"/>
          <w:color w:val="auto"/>
          <w:sz w:val="24"/>
          <w:highlight w:val="none"/>
        </w:rPr>
        <w:t>投标人地址：</w:t>
      </w:r>
      <w:r>
        <w:rPr>
          <w:rStyle w:val="27"/>
          <w:rFonts w:hint="eastAsia" w:ascii="宋体" w:hAnsi="宋体" w:cs="宋体"/>
          <w:color w:val="auto"/>
          <w:sz w:val="24"/>
          <w:highlight w:val="none"/>
          <w:u w:val="single"/>
        </w:rPr>
        <w:t>（独立体或联合体主办方）</w:t>
      </w:r>
    </w:p>
    <w:p>
      <w:pPr>
        <w:spacing w:line="480" w:lineRule="auto"/>
        <w:ind w:left="4698" w:leftChars="2050" w:hanging="393" w:hangingChars="164"/>
        <w:rPr>
          <w:rFonts w:hint="eastAsia" w:ascii="宋体" w:hAnsi="宋体" w:cs="宋体"/>
          <w:color w:val="auto"/>
          <w:sz w:val="24"/>
          <w:highlight w:val="none"/>
        </w:rPr>
      </w:pPr>
      <w:r>
        <w:rPr>
          <w:rFonts w:hint="eastAsia" w:ascii="宋体" w:hAnsi="宋体" w:cs="宋体"/>
          <w:color w:val="auto"/>
          <w:sz w:val="24"/>
          <w:highlight w:val="none"/>
        </w:rPr>
        <w:t>法定代表人或全权代表：　　（签字或盖章）</w:t>
      </w:r>
    </w:p>
    <w:p>
      <w:pPr>
        <w:spacing w:line="480" w:lineRule="auto"/>
        <w:ind w:left="4698" w:leftChars="2050" w:hanging="393" w:hangingChars="164"/>
        <w:rPr>
          <w:rFonts w:hint="eastAsia" w:ascii="宋体" w:hAnsi="宋体" w:cs="宋体"/>
          <w:color w:val="auto"/>
          <w:sz w:val="24"/>
          <w:highlight w:val="none"/>
        </w:rPr>
      </w:pPr>
      <w:r>
        <w:rPr>
          <w:rFonts w:hint="eastAsia" w:ascii="宋体" w:hAnsi="宋体" w:cs="宋体"/>
          <w:color w:val="auto"/>
          <w:sz w:val="24"/>
          <w:highlight w:val="none"/>
        </w:rPr>
        <w:t>电    话：</w:t>
      </w:r>
    </w:p>
    <w:p>
      <w:pPr>
        <w:spacing w:line="480" w:lineRule="auto"/>
        <w:ind w:left="4698" w:leftChars="2050" w:hanging="393" w:hangingChars="164"/>
        <w:rPr>
          <w:rFonts w:hint="eastAsia" w:ascii="宋体" w:hAnsi="宋体" w:cs="宋体"/>
          <w:color w:val="auto"/>
          <w:sz w:val="24"/>
          <w:highlight w:val="none"/>
        </w:rPr>
      </w:pPr>
      <w:r>
        <w:rPr>
          <w:rFonts w:hint="eastAsia" w:ascii="宋体" w:hAnsi="宋体" w:cs="宋体"/>
          <w:color w:val="auto"/>
          <w:sz w:val="24"/>
          <w:highlight w:val="none"/>
        </w:rPr>
        <w:t>传    真：</w:t>
      </w:r>
    </w:p>
    <w:p>
      <w:pPr>
        <w:spacing w:line="480" w:lineRule="auto"/>
        <w:ind w:left="4698" w:leftChars="2050" w:hanging="393" w:hangingChars="164"/>
        <w:rPr>
          <w:rFonts w:hint="eastAsia" w:ascii="宋体" w:hAnsi="宋体" w:cs="宋体"/>
          <w:bCs/>
          <w:color w:val="auto"/>
          <w:sz w:val="24"/>
          <w:highlight w:val="none"/>
        </w:rPr>
      </w:pPr>
      <w:r>
        <w:rPr>
          <w:rFonts w:hint="eastAsia" w:ascii="宋体" w:hAnsi="宋体" w:cs="宋体"/>
          <w:color w:val="auto"/>
          <w:sz w:val="24"/>
          <w:highlight w:val="none"/>
        </w:rPr>
        <w:t>承诺日期：</w:t>
      </w:r>
      <w:r>
        <w:rPr>
          <w:rFonts w:hint="eastAsia" w:ascii="宋体" w:hAnsi="宋体" w:cs="宋体"/>
          <w:bCs/>
          <w:color w:val="auto"/>
          <w:sz w:val="24"/>
          <w:highlight w:val="none"/>
        </w:rPr>
        <w:t xml:space="preserve">     年   月   日</w:t>
      </w:r>
    </w:p>
    <w:p>
      <w:pPr>
        <w:pStyle w:val="10"/>
        <w:rPr>
          <w:rFonts w:hint="eastAsia" w:cs="宋体"/>
          <w:bCs/>
          <w:color w:val="auto"/>
          <w:sz w:val="24"/>
          <w:highlight w:val="none"/>
        </w:rPr>
      </w:pPr>
    </w:p>
    <w:p>
      <w:pPr>
        <w:spacing w:line="360" w:lineRule="auto"/>
        <w:ind w:firstLine="562" w:firstLineChars="200"/>
        <w:outlineLvl w:val="2"/>
        <w:rPr>
          <w:rStyle w:val="42"/>
          <w:rFonts w:ascii="宋体" w:hAnsi="宋体" w:eastAsia="宋体" w:cs="宋体"/>
          <w:color w:val="auto"/>
          <w:sz w:val="28"/>
          <w:szCs w:val="28"/>
          <w:highlight w:val="none"/>
        </w:rPr>
        <w:sectPr>
          <w:pgSz w:w="11906" w:h="16838"/>
          <w:pgMar w:top="1440" w:right="1134" w:bottom="1440" w:left="1134" w:header="851" w:footer="850" w:gutter="0"/>
          <w:cols w:space="720" w:num="1"/>
          <w:docGrid w:type="lines" w:linePitch="317" w:charSpace="0"/>
        </w:sectPr>
      </w:pPr>
    </w:p>
    <w:p>
      <w:pPr>
        <w:widowControl w:val="0"/>
        <w:numPr>
          <w:ilvl w:val="0"/>
          <w:numId w:val="0"/>
        </w:numPr>
        <w:autoSpaceDE w:val="0"/>
        <w:autoSpaceDN w:val="0"/>
        <w:spacing w:before="62" w:line="360" w:lineRule="auto"/>
        <w:ind w:left="481" w:leftChars="0"/>
        <w:outlineLvl w:val="1"/>
        <w:rPr>
          <w:rFonts w:hint="eastAsia" w:asciiTheme="minorEastAsia" w:hAnsiTheme="minorEastAsia" w:eastAsiaTheme="minorEastAsia" w:cstheme="minorEastAsia"/>
          <w:b/>
          <w:bCs/>
          <w:color w:val="auto"/>
          <w:sz w:val="32"/>
          <w:szCs w:val="32"/>
          <w:highlight w:val="none"/>
        </w:rPr>
        <w:sectPr>
          <w:footerReference r:id="rId11" w:type="first"/>
          <w:headerReference r:id="rId9" w:type="default"/>
          <w:footerReference r:id="rId10" w:type="default"/>
          <w:pgSz w:w="11907" w:h="16840"/>
          <w:pgMar w:top="1418" w:right="851" w:bottom="1418" w:left="851" w:header="851" w:footer="992" w:gutter="0"/>
          <w:cols w:space="720" w:num="1"/>
          <w:titlePg/>
          <w:docGrid w:linePitch="312" w:charSpace="0"/>
        </w:sectPr>
      </w:pPr>
      <w:r>
        <w:rPr>
          <w:rFonts w:hint="eastAsia" w:asciiTheme="minorEastAsia" w:hAnsiTheme="minorEastAsia" w:eastAsiaTheme="minorEastAsia" w:cstheme="minorEastAsia"/>
          <w:b/>
          <w:bCs/>
          <w:color w:val="auto"/>
          <w:sz w:val="32"/>
          <w:szCs w:val="32"/>
          <w:highlight w:val="none"/>
          <w:lang w:val="en-US" w:eastAsia="zh-CN"/>
        </w:rPr>
        <w:t>十一、投标人认为有必要提供的资料</w:t>
      </w:r>
      <w:r>
        <w:rPr>
          <w:rFonts w:hint="eastAsia" w:asciiTheme="minorEastAsia" w:hAnsiTheme="minorEastAsia" w:eastAsiaTheme="minorEastAsia" w:cstheme="minorEastAsia"/>
          <w:b/>
          <w:bCs/>
          <w:color w:val="auto"/>
          <w:sz w:val="32"/>
          <w:szCs w:val="32"/>
          <w:highlight w:val="none"/>
        </w:rPr>
        <w:t>　　　</w:t>
      </w:r>
    </w:p>
    <w:p>
      <w:pPr>
        <w:widowControl w:val="0"/>
        <w:numPr>
          <w:ilvl w:val="0"/>
          <w:numId w:val="0"/>
        </w:numPr>
        <w:autoSpaceDE w:val="0"/>
        <w:autoSpaceDN w:val="0"/>
        <w:spacing w:before="62" w:line="360" w:lineRule="auto"/>
        <w:ind w:left="481" w:leftChars="0"/>
        <w:outlineLvl w:val="1"/>
        <w:rPr>
          <w:rFonts w:hint="default" w:asciiTheme="minorEastAsia" w:hAnsiTheme="minorEastAsia" w:eastAsiaTheme="minorEastAsia" w:cstheme="minorEastAsia"/>
          <w:b/>
          <w:bCs/>
          <w:color w:val="auto"/>
          <w:sz w:val="32"/>
          <w:szCs w:val="32"/>
          <w:highlight w:val="none"/>
          <w:lang w:val="en-US" w:eastAsia="zh-CN"/>
        </w:rPr>
        <w:sectPr>
          <w:pgSz w:w="11907" w:h="16840"/>
          <w:pgMar w:top="1417" w:right="851" w:bottom="1417" w:left="851" w:header="851" w:footer="992" w:gutter="0"/>
          <w:cols w:space="0" w:num="1"/>
          <w:titlePg/>
          <w:rtlGutter w:val="0"/>
          <w:docGrid w:linePitch="312" w:charSpace="0"/>
        </w:sectPr>
      </w:pPr>
      <w:r>
        <w:rPr>
          <w:rFonts w:hint="eastAsia" w:asciiTheme="minorEastAsia" w:hAnsiTheme="minorEastAsia" w:eastAsiaTheme="minorEastAsia" w:cstheme="minorEastAsia"/>
          <w:b/>
          <w:bCs/>
          <w:color w:val="auto"/>
          <w:sz w:val="32"/>
          <w:szCs w:val="32"/>
          <w:highlight w:val="none"/>
          <w:lang w:val="en-US" w:eastAsia="zh-CN"/>
        </w:rPr>
        <w:t>十二、技术文件（暗标评审）另册</w:t>
      </w:r>
    </w:p>
    <w:p>
      <w:pPr>
        <w:pStyle w:val="2"/>
        <w:rPr>
          <w:rFonts w:hint="eastAsia"/>
          <w:color w:val="auto"/>
          <w:highlight w:val="none"/>
        </w:rPr>
      </w:pPr>
    </w:p>
    <w:p>
      <w:pPr>
        <w:widowControl w:val="0"/>
        <w:numPr>
          <w:ilvl w:val="0"/>
          <w:numId w:val="0"/>
        </w:numPr>
        <w:autoSpaceDE w:val="0"/>
        <w:autoSpaceDN w:val="0"/>
        <w:spacing w:before="62" w:line="360" w:lineRule="auto"/>
        <w:ind w:left="481" w:leftChars="0"/>
        <w:outlineLvl w:val="1"/>
        <w:rPr>
          <w:rStyle w:val="27"/>
          <w:rFonts w:ascii="宋体" w:hAnsi="宋体" w:cs="宋体"/>
          <w:b/>
          <w:bCs/>
          <w:color w:val="auto"/>
          <w:sz w:val="36"/>
          <w:szCs w:val="36"/>
          <w:highlight w:val="none"/>
        </w:rPr>
      </w:pPr>
      <w:r>
        <w:rPr>
          <w:rFonts w:hint="eastAsia" w:asciiTheme="minorEastAsia" w:hAnsiTheme="minorEastAsia" w:eastAsiaTheme="minorEastAsia" w:cstheme="minorEastAsia"/>
          <w:b/>
          <w:bCs/>
          <w:color w:val="auto"/>
          <w:sz w:val="24"/>
          <w:highlight w:val="none"/>
        </w:rPr>
        <w:t xml:space="preserve">        </w:t>
      </w:r>
      <w:r>
        <w:rPr>
          <w:rFonts w:hint="eastAsia" w:hAnsi="宋体" w:cs="宋体"/>
          <w:snapToGrid w:val="0"/>
          <w:color w:val="auto"/>
          <w:sz w:val="24"/>
          <w:szCs w:val="24"/>
          <w:highlight w:val="none"/>
        </w:rPr>
        <w:t xml:space="preserve">               </w:t>
      </w:r>
      <w:bookmarkStart w:id="133" w:name="_Toc17128"/>
      <w:bookmarkStart w:id="134" w:name="_Toc10343"/>
      <w:bookmarkStart w:id="135" w:name="_Toc10727"/>
    </w:p>
    <w:p>
      <w:pPr>
        <w:spacing w:line="360" w:lineRule="auto"/>
        <w:jc w:val="center"/>
        <w:outlineLvl w:val="0"/>
        <w:rPr>
          <w:rStyle w:val="27"/>
          <w:rFonts w:ascii="宋体" w:hAnsi="宋体" w:cs="宋体"/>
          <w:b/>
          <w:bCs/>
          <w:color w:val="auto"/>
          <w:sz w:val="36"/>
          <w:szCs w:val="36"/>
          <w:highlight w:val="none"/>
        </w:rPr>
      </w:pPr>
    </w:p>
    <w:p>
      <w:pPr>
        <w:spacing w:line="360" w:lineRule="auto"/>
        <w:jc w:val="center"/>
        <w:outlineLvl w:val="0"/>
        <w:rPr>
          <w:rStyle w:val="27"/>
          <w:rFonts w:ascii="宋体" w:hAnsi="宋体" w:cs="宋体"/>
          <w:b/>
          <w:bCs/>
          <w:color w:val="auto"/>
          <w:sz w:val="36"/>
          <w:szCs w:val="36"/>
          <w:highlight w:val="none"/>
        </w:rPr>
      </w:pPr>
    </w:p>
    <w:p>
      <w:pPr>
        <w:spacing w:line="360" w:lineRule="auto"/>
        <w:jc w:val="center"/>
        <w:outlineLvl w:val="0"/>
        <w:rPr>
          <w:rStyle w:val="27"/>
          <w:rFonts w:ascii="宋体" w:hAnsi="宋体" w:cs="宋体"/>
          <w:b/>
          <w:bCs/>
          <w:color w:val="auto"/>
          <w:sz w:val="36"/>
          <w:szCs w:val="36"/>
          <w:highlight w:val="none"/>
        </w:rPr>
      </w:pPr>
      <w:r>
        <w:rPr>
          <w:rStyle w:val="27"/>
          <w:rFonts w:ascii="宋体" w:hAnsi="宋体" w:cs="宋体"/>
          <w:b/>
          <w:bCs/>
          <w:color w:val="auto"/>
          <w:sz w:val="36"/>
          <w:szCs w:val="36"/>
          <w:highlight w:val="none"/>
        </w:rPr>
        <w:t>第五</w:t>
      </w:r>
      <w:r>
        <w:rPr>
          <w:rStyle w:val="27"/>
          <w:rFonts w:hint="eastAsia" w:ascii="宋体" w:hAnsi="宋体" w:cs="宋体"/>
          <w:b/>
          <w:bCs/>
          <w:color w:val="auto"/>
          <w:sz w:val="36"/>
          <w:szCs w:val="36"/>
          <w:highlight w:val="none"/>
        </w:rPr>
        <w:t>章</w:t>
      </w:r>
      <w:r>
        <w:rPr>
          <w:rStyle w:val="27"/>
          <w:rFonts w:ascii="宋体" w:hAnsi="宋体" w:cs="宋体"/>
          <w:b/>
          <w:bCs/>
          <w:color w:val="auto"/>
          <w:sz w:val="36"/>
          <w:szCs w:val="36"/>
          <w:highlight w:val="none"/>
        </w:rPr>
        <w:t xml:space="preserve">  </w:t>
      </w:r>
      <w:r>
        <w:rPr>
          <w:rStyle w:val="27"/>
          <w:rFonts w:hint="eastAsia" w:ascii="宋体" w:hAnsi="宋体" w:cs="宋体"/>
          <w:b/>
          <w:bCs/>
          <w:color w:val="auto"/>
          <w:sz w:val="36"/>
          <w:szCs w:val="36"/>
          <w:highlight w:val="none"/>
        </w:rPr>
        <w:t>勘察</w:t>
      </w:r>
      <w:r>
        <w:rPr>
          <w:rStyle w:val="27"/>
          <w:rFonts w:ascii="宋体" w:hAnsi="宋体" w:cs="宋体"/>
          <w:b/>
          <w:bCs/>
          <w:color w:val="auto"/>
          <w:sz w:val="36"/>
          <w:szCs w:val="36"/>
          <w:highlight w:val="none"/>
        </w:rPr>
        <w:t>设计合同</w:t>
      </w:r>
      <w:r>
        <w:rPr>
          <w:rStyle w:val="27"/>
          <w:rFonts w:hint="eastAsia" w:ascii="宋体" w:hAnsi="宋体" w:cs="宋体"/>
          <w:b/>
          <w:bCs/>
          <w:color w:val="auto"/>
          <w:sz w:val="36"/>
          <w:szCs w:val="36"/>
          <w:highlight w:val="none"/>
        </w:rPr>
        <w:t>版本</w:t>
      </w:r>
      <w:r>
        <w:rPr>
          <w:rStyle w:val="27"/>
          <w:rFonts w:ascii="宋体" w:hAnsi="宋体" w:cs="宋体"/>
          <w:b/>
          <w:bCs/>
          <w:color w:val="auto"/>
          <w:sz w:val="36"/>
          <w:szCs w:val="36"/>
          <w:highlight w:val="none"/>
        </w:rPr>
        <w:t>（仅供参考）</w:t>
      </w:r>
      <w:bookmarkEnd w:id="133"/>
      <w:bookmarkEnd w:id="134"/>
      <w:bookmarkEnd w:id="135"/>
    </w:p>
    <w:p>
      <w:pPr>
        <w:spacing w:line="360" w:lineRule="auto"/>
        <w:jc w:val="center"/>
        <w:rPr>
          <w:rStyle w:val="27"/>
          <w:rFonts w:ascii="宋体" w:hAnsi="宋体"/>
          <w:b/>
          <w:color w:val="auto"/>
          <w:sz w:val="32"/>
          <w:highlight w:val="none"/>
        </w:rPr>
        <w:sectPr>
          <w:pgSz w:w="11907" w:h="16840"/>
          <w:pgMar w:top="1418" w:right="851" w:bottom="1418" w:left="851" w:header="851" w:footer="992" w:gutter="0"/>
          <w:cols w:space="720" w:num="1"/>
          <w:titlePg/>
          <w:docGrid w:linePitch="312" w:charSpace="0"/>
        </w:sectPr>
      </w:pPr>
    </w:p>
    <w:p>
      <w:pPr>
        <w:rPr>
          <w:rFonts w:eastAsia="华文中宋"/>
          <w:b/>
          <w:color w:val="auto"/>
          <w:sz w:val="52"/>
          <w:szCs w:val="52"/>
          <w:highlight w:val="none"/>
        </w:rPr>
      </w:pPr>
      <w:r>
        <w:rPr>
          <w:rFonts w:hint="eastAsia" w:eastAsia="仿宋_GB2312"/>
          <w:bCs/>
          <w:color w:val="auto"/>
          <w:sz w:val="30"/>
          <w:szCs w:val="30"/>
          <w:highlight w:val="none"/>
        </w:rPr>
        <w:t>GF—2015—0210</w:t>
      </w:r>
    </w:p>
    <w:p>
      <w:pPr>
        <w:ind w:firstLine="5721" w:firstLineChars="1905"/>
        <w:rPr>
          <w:rFonts w:eastAsia="华文中宋"/>
          <w:b/>
          <w:color w:val="auto"/>
          <w:sz w:val="30"/>
          <w:szCs w:val="30"/>
          <w:highlight w:val="none"/>
        </w:rPr>
      </w:pPr>
      <w:r>
        <w:rPr>
          <w:rFonts w:hint="eastAsia" w:eastAsia="华文中宋"/>
          <w:b/>
          <w:color w:val="auto"/>
          <w:sz w:val="30"/>
          <w:szCs w:val="30"/>
          <w:highlight w:val="none"/>
        </w:rPr>
        <w:t>合同编号：</w:t>
      </w:r>
      <w:r>
        <w:rPr>
          <w:rFonts w:hint="eastAsia" w:eastAsia="华文中宋"/>
          <w:b/>
          <w:color w:val="auto"/>
          <w:sz w:val="30"/>
          <w:szCs w:val="30"/>
          <w:highlight w:val="none"/>
          <w:u w:val="single"/>
        </w:rPr>
        <w:t xml:space="preserve">          </w:t>
      </w:r>
    </w:p>
    <w:p>
      <w:pPr>
        <w:jc w:val="center"/>
        <w:rPr>
          <w:rFonts w:eastAsia="华文中宋"/>
          <w:b/>
          <w:color w:val="auto"/>
          <w:sz w:val="30"/>
          <w:szCs w:val="30"/>
          <w:highlight w:val="none"/>
        </w:rPr>
      </w:pPr>
    </w:p>
    <w:p>
      <w:pPr>
        <w:jc w:val="center"/>
        <w:rPr>
          <w:rFonts w:eastAsia="华文中宋"/>
          <w:b/>
          <w:color w:val="auto"/>
          <w:sz w:val="52"/>
          <w:szCs w:val="52"/>
          <w:highlight w:val="none"/>
        </w:rPr>
      </w:pPr>
    </w:p>
    <w:p>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建设工程勘察设计合同</w:t>
      </w:r>
    </w:p>
    <w:p>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（专业建设工程）</w:t>
      </w:r>
    </w:p>
    <w:p>
      <w:pPr>
        <w:jc w:val="center"/>
        <w:rPr>
          <w:rFonts w:hint="eastAsia" w:ascii="宋体" w:hAnsi="宋体" w:eastAsia="宋体" w:cs="宋体"/>
          <w:b/>
          <w:color w:val="auto"/>
          <w:sz w:val="52"/>
          <w:szCs w:val="52"/>
          <w:highlight w:val="none"/>
        </w:rPr>
      </w:pPr>
    </w:p>
    <w:p>
      <w:pPr>
        <w:jc w:val="center"/>
        <w:rPr>
          <w:rFonts w:eastAsia="华文中宋"/>
          <w:b/>
          <w:color w:val="auto"/>
          <w:sz w:val="52"/>
          <w:szCs w:val="52"/>
          <w:highlight w:val="none"/>
        </w:rPr>
      </w:pPr>
    </w:p>
    <w:p>
      <w:pPr>
        <w:jc w:val="center"/>
        <w:rPr>
          <w:rFonts w:eastAsia="华文中宋"/>
          <w:b/>
          <w:color w:val="auto"/>
          <w:sz w:val="52"/>
          <w:szCs w:val="52"/>
          <w:highlight w:val="none"/>
        </w:rPr>
      </w:pPr>
    </w:p>
    <w:p>
      <w:pPr>
        <w:jc w:val="center"/>
        <w:rPr>
          <w:rFonts w:eastAsia="楷体_GB2312"/>
          <w:b/>
          <w:color w:val="auto"/>
          <w:sz w:val="72"/>
          <w:szCs w:val="72"/>
          <w:highlight w:val="none"/>
        </w:rPr>
      </w:pPr>
    </w:p>
    <w:p>
      <w:pPr>
        <w:jc w:val="center"/>
        <w:rPr>
          <w:rFonts w:eastAsia="黑体"/>
          <w:b/>
          <w:color w:val="auto"/>
          <w:sz w:val="52"/>
          <w:szCs w:val="52"/>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ind w:right="3360" w:rightChars="1600" w:firstLine="2318" w:firstLineChars="1104"/>
        <w:jc w:val="distribute"/>
        <w:rPr>
          <w:b/>
          <w:color w:val="auto"/>
          <w:sz w:val="32"/>
          <w:szCs w:val="28"/>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3749040</wp:posOffset>
                </wp:positionH>
                <wp:positionV relativeFrom="paragraph">
                  <wp:posOffset>156210</wp:posOffset>
                </wp:positionV>
                <wp:extent cx="723900" cy="4572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295.2pt;margin-top:12.3pt;height:36pt;width:57pt;z-index:251659264;mso-width-relative:page;mso-height-relative:page;" filled="f" stroked="t" coordsize="21600,21600" o:gfxdata="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L0rnZAAAACQEAAA8AAAAAAAAAAQAgAAAAIgAAAGRy&#10;cy9kb3ducmV2LnhtbFBLAQIUABQAAAAIAIdO4kAEzhjTBAIAAAwEAAAOAAAAAAAAAAEAIAAAACgB&#10;AABkcnMvZTJvRG9jLnhtbFBLBQYAAAAABgAGAFkBAACeBQ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b/>
          <w:color w:val="auto"/>
          <w:sz w:val="32"/>
          <w:szCs w:val="28"/>
          <w:highlight w:val="none"/>
        </w:rPr>
        <w:t>住房和城乡建设部</w:t>
      </w:r>
    </w:p>
    <w:p>
      <w:pPr>
        <w:ind w:right="3139" w:rightChars="1495" w:firstLine="2329" w:firstLineChars="725"/>
        <w:rPr>
          <w:b/>
          <w:color w:val="auto"/>
          <w:sz w:val="32"/>
          <w:szCs w:val="28"/>
          <w:highlight w:val="none"/>
        </w:rPr>
      </w:pPr>
      <w:r>
        <w:rPr>
          <w:b/>
          <w:color w:val="auto"/>
          <w:sz w:val="32"/>
          <w:szCs w:val="28"/>
          <w:highlight w:val="none"/>
        </w:rPr>
        <w:t>国家工商行政管理总局</w:t>
      </w: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color w:val="auto"/>
          <w:highlight w:val="none"/>
          <w:lang w:val="zh-CN"/>
        </w:rPr>
      </w:pPr>
      <w:bookmarkStart w:id="136" w:name="_Toc296503025"/>
      <w:bookmarkStart w:id="137" w:name="_Toc296890982"/>
    </w:p>
    <w:p>
      <w:pPr>
        <w:spacing w:line="360" w:lineRule="auto"/>
        <w:ind w:firstLine="600" w:firstLineChars="200"/>
        <w:rPr>
          <w:rFonts w:ascii="仿宋_GB2312" w:eastAsia="仿宋_GB2312"/>
          <w:color w:val="auto"/>
          <w:sz w:val="30"/>
          <w:szCs w:val="30"/>
          <w:highlight w:val="none"/>
        </w:rPr>
        <w:sectPr>
          <w:footerReference r:id="rId13" w:type="first"/>
          <w:footerReference r:id="rId12" w:type="default"/>
          <w:pgSz w:w="11906" w:h="16838"/>
          <w:pgMar w:top="1418" w:right="1555" w:bottom="1418" w:left="1531" w:header="851" w:footer="992" w:gutter="0"/>
          <w:pgNumType w:start="49"/>
          <w:cols w:space="720" w:num="1"/>
          <w:titlePg/>
          <w:docGrid w:type="lines" w:linePitch="312" w:charSpace="0"/>
        </w:sectPr>
      </w:pPr>
    </w:p>
    <w:p>
      <w:pPr>
        <w:pStyle w:val="5"/>
        <w:jc w:val="center"/>
        <w:rPr>
          <w:rFonts w:hint="eastAsia" w:ascii="宋体" w:hAnsi="宋体" w:eastAsia="宋体" w:cs="宋体"/>
          <w:b w:val="0"/>
          <w:color w:val="auto"/>
          <w:sz w:val="32"/>
          <w:szCs w:val="32"/>
          <w:highlight w:val="none"/>
        </w:rPr>
      </w:pPr>
      <w:bookmarkStart w:id="138" w:name="_Toc4728"/>
      <w:r>
        <w:rPr>
          <w:rFonts w:hint="eastAsia" w:ascii="宋体" w:hAnsi="宋体" w:eastAsia="宋体" w:cs="宋体"/>
          <w:color w:val="auto"/>
          <w:sz w:val="32"/>
          <w:szCs w:val="32"/>
          <w:highlight w:val="none"/>
        </w:rPr>
        <w:t>第一部分 合同协议书</w:t>
      </w:r>
      <w:bookmarkEnd w:id="136"/>
      <w:bookmarkEnd w:id="137"/>
      <w:bookmarkEnd w:id="138"/>
    </w:p>
    <w:p>
      <w:pPr>
        <w:pageBreakBefore w:val="0"/>
        <w:widowControl/>
        <w:kinsoku/>
        <w:wordWrap/>
        <w:overflowPunct/>
        <w:topLinePunct w:val="0"/>
        <w:bidi w:val="0"/>
        <w:snapToGrid/>
        <w:spacing w:line="360" w:lineRule="auto"/>
        <w:ind w:firstLine="482" w:firstLineChars="200"/>
        <w:jc w:val="both"/>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廉江市住房和城乡建设局</w:t>
      </w:r>
    </w:p>
    <w:p>
      <w:pPr>
        <w:pageBreakBefore w:val="0"/>
        <w:widowControl/>
        <w:kinsoku/>
        <w:wordWrap/>
        <w:overflowPunct/>
        <w:topLinePunct w:val="0"/>
        <w:bidi w:val="0"/>
        <w:snapToGrid/>
        <w:spacing w:line="360" w:lineRule="auto"/>
        <w:ind w:firstLine="482" w:firstLineChars="200"/>
        <w:jc w:val="both"/>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设计人（全称）：</w:t>
      </w:r>
      <w:r>
        <w:rPr>
          <w:rFonts w:hint="eastAsia" w:ascii="宋体" w:hAnsi="宋体" w:eastAsia="宋体" w:cs="宋体"/>
          <w:b/>
          <w:color w:val="auto"/>
          <w:sz w:val="24"/>
          <w:szCs w:val="24"/>
          <w:highlight w:val="none"/>
          <w:u w:val="single"/>
        </w:rPr>
        <w:t>                      </w:t>
      </w:r>
    </w:p>
    <w:p>
      <w:pPr>
        <w:pageBreakBefore w:val="0"/>
        <w:widowControl/>
        <w:kinsoku/>
        <w:wordWrap/>
        <w:overflowPunct/>
        <w:topLinePunct w:val="0"/>
        <w:bidi w:val="0"/>
        <w:snapToGrid/>
        <w:spacing w:line="360" w:lineRule="auto"/>
        <w:ind w:firstLine="482" w:firstLineChars="200"/>
        <w:jc w:val="both"/>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勘察人（全称）：</w:t>
      </w:r>
      <w:r>
        <w:rPr>
          <w:rFonts w:hint="eastAsia" w:ascii="宋体" w:hAnsi="宋体" w:eastAsia="宋体" w:cs="宋体"/>
          <w:b/>
          <w:color w:val="auto"/>
          <w:sz w:val="24"/>
          <w:szCs w:val="24"/>
          <w:highlight w:val="none"/>
          <w:u w:val="single"/>
        </w:rPr>
        <w:t xml:space="preserve">                                    </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根据《中华人民共和国合同法》、《中华人民共和国建筑法》及有关法律规定，遵循平等、自愿、公平和诚实信用的原则，双方就</w:t>
      </w:r>
      <w:r>
        <w:rPr>
          <w:rFonts w:hint="eastAsia" w:ascii="宋体" w:hAnsi="宋体" w:eastAsia="宋体" w:cs="宋体"/>
          <w:color w:val="auto"/>
          <w:sz w:val="24"/>
          <w:szCs w:val="24"/>
          <w:highlight w:val="none"/>
          <w:u w:val="single"/>
        </w:rPr>
        <w:t>廉江市镇级污水管网及配套设施项目勘察设计</w:t>
      </w:r>
      <w:r>
        <w:rPr>
          <w:rFonts w:hint="eastAsia" w:ascii="宋体" w:hAnsi="宋体" w:eastAsia="宋体" w:cs="宋体"/>
          <w:color w:val="auto"/>
          <w:sz w:val="24"/>
          <w:szCs w:val="24"/>
          <w:highlight w:val="none"/>
        </w:rPr>
        <w:t>及有关事项协商一致，共同达成如下协议：</w:t>
      </w:r>
    </w:p>
    <w:p>
      <w:pPr>
        <w:pStyle w:val="6"/>
        <w:pageBreakBefore w:val="0"/>
        <w:widowControl/>
        <w:kinsoku/>
        <w:wordWrap/>
        <w:overflowPunct/>
        <w:topLinePunct w:val="0"/>
        <w:bidi w:val="0"/>
        <w:snapToGrid/>
        <w:spacing w:before="0" w:after="0"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139" w:name="_Toc351203481"/>
      <w:bookmarkStart w:id="140" w:name="_Toc14419"/>
      <w:r>
        <w:rPr>
          <w:rFonts w:hint="eastAsia" w:ascii="宋体" w:hAnsi="宋体" w:eastAsia="宋体" w:cs="宋体"/>
          <w:b w:val="0"/>
          <w:color w:val="auto"/>
          <w:sz w:val="24"/>
          <w:szCs w:val="24"/>
          <w:highlight w:val="none"/>
        </w:rPr>
        <w:t>一、工程概况</w:t>
      </w:r>
      <w:bookmarkEnd w:id="139"/>
      <w:bookmarkEnd w:id="140"/>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廉江市镇级污水管网及配套设施项目勘察设计</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2.工程批准、核准或备案文号：</w:t>
      </w:r>
      <w:r>
        <w:rPr>
          <w:rFonts w:hint="eastAsia" w:ascii="宋体" w:hAnsi="宋体" w:eastAsia="宋体" w:cs="宋体"/>
          <w:color w:val="auto"/>
          <w:sz w:val="24"/>
          <w:szCs w:val="24"/>
          <w:highlight w:val="none"/>
          <w:u w:val="single"/>
        </w:rPr>
        <w:t xml:space="preserve">湛廉发改投审〔2022〕15号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3.</w:t>
      </w:r>
      <w:r>
        <w:rPr>
          <w:rFonts w:hint="eastAsia" w:ascii="宋体" w:hAnsi="宋体" w:eastAsia="宋体" w:cs="宋体"/>
          <w:color w:val="auto"/>
          <w:sz w:val="24"/>
          <w:szCs w:val="24"/>
          <w:highlight w:val="none"/>
        </w:rPr>
        <w:t>工程内容及规模：</w:t>
      </w:r>
      <w:r>
        <w:rPr>
          <w:rFonts w:hint="eastAsia" w:ascii="宋体" w:hAnsi="宋体" w:eastAsia="宋体" w:cs="宋体"/>
          <w:color w:val="auto"/>
          <w:sz w:val="24"/>
          <w:szCs w:val="24"/>
          <w:highlight w:val="none"/>
          <w:u w:val="single"/>
        </w:rPr>
        <w:t>新建污水管道总长度为427.894千米，新建污水处理厂3座（总规模为2300吨/天），改造污水处理厂1座（规模为300吨/天）。</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工程所在地详细地址：</w:t>
      </w:r>
      <w:r>
        <w:rPr>
          <w:rFonts w:hint="eastAsia" w:ascii="宋体" w:hAnsi="宋体" w:eastAsia="宋体" w:cs="宋体"/>
          <w:bCs/>
          <w:color w:val="auto"/>
          <w:sz w:val="24"/>
          <w:szCs w:val="24"/>
          <w:highlight w:val="none"/>
          <w:u w:val="single"/>
        </w:rPr>
        <w:t>湛江市廉江市河唇、新民、雅塘等15个镇。</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5.工程投资估算：</w:t>
      </w:r>
      <w:r>
        <w:rPr>
          <w:rFonts w:hint="eastAsia" w:ascii="宋体" w:hAnsi="宋体" w:eastAsia="宋体" w:cs="宋体"/>
          <w:color w:val="auto"/>
          <w:sz w:val="24"/>
          <w:szCs w:val="24"/>
          <w:highlight w:val="none"/>
          <w:u w:val="single"/>
        </w:rPr>
        <w:t>约75307.62万元</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6.工程进度安排：</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7.工程主要技术标准：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widowControl/>
        <w:kinsoku/>
        <w:wordWrap/>
        <w:overflowPunct/>
        <w:topLinePunct w:val="0"/>
        <w:bidi w:val="0"/>
        <w:snapToGrid/>
        <w:spacing w:before="0" w:after="0" w:line="360" w:lineRule="auto"/>
        <w:ind w:firstLine="480" w:firstLineChars="200"/>
        <w:jc w:val="both"/>
        <w:textAlignment w:val="auto"/>
        <w:rPr>
          <w:rFonts w:hint="eastAsia" w:ascii="宋体" w:hAnsi="宋体" w:eastAsia="宋体" w:cs="宋体"/>
          <w:b w:val="0"/>
          <w:color w:val="auto"/>
          <w:sz w:val="24"/>
          <w:szCs w:val="24"/>
          <w:highlight w:val="none"/>
        </w:rPr>
      </w:pPr>
      <w:bookmarkStart w:id="141" w:name="_Toc13771"/>
      <w:r>
        <w:rPr>
          <w:rFonts w:hint="eastAsia" w:ascii="宋体" w:hAnsi="宋体" w:eastAsia="宋体" w:cs="宋体"/>
          <w:b w:val="0"/>
          <w:color w:val="auto"/>
          <w:sz w:val="24"/>
          <w:szCs w:val="24"/>
          <w:highlight w:val="none"/>
        </w:rPr>
        <w:t>二、工程勘察设计范围、阶段与服务内容</w:t>
      </w:r>
      <w:bookmarkEnd w:id="141"/>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1.工程勘察设计范围：</w:t>
      </w:r>
      <w:r>
        <w:rPr>
          <w:rFonts w:hint="eastAsia" w:ascii="宋体" w:hAnsi="宋体" w:eastAsia="宋体" w:cs="宋体"/>
          <w:bCs/>
          <w:color w:val="auto"/>
          <w:sz w:val="24"/>
          <w:szCs w:val="24"/>
          <w:highlight w:val="none"/>
          <w:u w:val="single"/>
        </w:rPr>
        <w:t>（一）勘察服务范围：初步勘察、详细勘察 和超前钻工作（如有）以及对应方案设计（含深化设计）、施工图设计、施工等各阶段的勘察要求。</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二）设计服务范围：完成本项目前期方案深化至施工图设计通过施工图审查期间的所有项目范围内的报建报批技术文件的编制和报建工作，包括但不限于各相关专业的方案设计及优化、对专项设备设施的设计配合、施工图设计、施工图预算及竣工图编制等。设计内容应以经批准的可研报告和初步设计概算中所列的有关工程内容为准。</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（三）其他：</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（1）初步设计及概算不属于本次招标设计工作内容。</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（2）非主体结构部分专业工程，可根据法律法规依法进行分包。</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（2）根据建设单位实际需要配合提供驻场服务。</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2.工程勘察设计阶段：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3.工程勘察设计服务内容：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工程勘察设计范围、阶段与服务内容详见专用合同条款附件1。</w:t>
      </w:r>
    </w:p>
    <w:p>
      <w:pPr>
        <w:pStyle w:val="6"/>
        <w:pageBreakBefore w:val="0"/>
        <w:widowControl/>
        <w:kinsoku/>
        <w:wordWrap/>
        <w:overflowPunct/>
        <w:topLinePunct w:val="0"/>
        <w:bidi w:val="0"/>
        <w:snapToGrid/>
        <w:spacing w:before="0" w:after="0" w:line="360" w:lineRule="auto"/>
        <w:ind w:firstLine="480" w:firstLineChars="2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bookmarkStart w:id="142" w:name="_Toc351203482"/>
      <w:bookmarkStart w:id="143" w:name="_Toc24249"/>
      <w:r>
        <w:rPr>
          <w:rFonts w:hint="eastAsia" w:ascii="宋体" w:hAnsi="宋体" w:eastAsia="宋体" w:cs="宋体"/>
          <w:b w:val="0"/>
          <w:color w:val="auto"/>
          <w:sz w:val="24"/>
          <w:szCs w:val="24"/>
          <w:highlight w:val="none"/>
        </w:rPr>
        <w:t>三、</w:t>
      </w:r>
      <w:bookmarkEnd w:id="142"/>
      <w:r>
        <w:rPr>
          <w:rFonts w:hint="eastAsia" w:ascii="宋体" w:hAnsi="宋体" w:eastAsia="宋体" w:cs="宋体"/>
          <w:b w:val="0"/>
          <w:color w:val="auto"/>
          <w:sz w:val="24"/>
          <w:szCs w:val="24"/>
          <w:highlight w:val="none"/>
        </w:rPr>
        <w:t>工程勘察设计周期</w:t>
      </w:r>
      <w:bookmarkEnd w:id="143"/>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计划开始勘察日期：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计划完成勘察日期：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计划开始设计日期：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计划完成设计日期：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具体工程勘察设计周期以专用合同条款及其附件的约定为准。</w:t>
      </w:r>
    </w:p>
    <w:p>
      <w:pPr>
        <w:pStyle w:val="6"/>
        <w:pageBreakBefore w:val="0"/>
        <w:widowControl/>
        <w:kinsoku/>
        <w:wordWrap/>
        <w:overflowPunct/>
        <w:topLinePunct w:val="0"/>
        <w:bidi w:val="0"/>
        <w:snapToGrid/>
        <w:spacing w:before="0" w:after="0"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144" w:name="_Toc351203484"/>
      <w:bookmarkStart w:id="145" w:name="_Toc29853"/>
      <w:r>
        <w:rPr>
          <w:rFonts w:hint="eastAsia" w:ascii="宋体" w:hAnsi="宋体" w:eastAsia="宋体" w:cs="宋体"/>
          <w:b w:val="0"/>
          <w:color w:val="auto"/>
          <w:sz w:val="24"/>
          <w:szCs w:val="24"/>
          <w:highlight w:val="none"/>
        </w:rPr>
        <w:t>四、合同价格形式与签约合同价</w:t>
      </w:r>
      <w:bookmarkEnd w:id="144"/>
      <w:bookmarkEnd w:id="145"/>
      <w:r>
        <w:rPr>
          <w:rFonts w:hint="eastAsia" w:ascii="宋体" w:hAnsi="宋体" w:eastAsia="宋体" w:cs="宋体"/>
          <w:b w:val="0"/>
          <w:color w:val="auto"/>
          <w:sz w:val="24"/>
          <w:szCs w:val="24"/>
          <w:highlight w:val="none"/>
        </w:rPr>
        <w:tab/>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1.合同价格形式：</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2.签约合同价为：</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pStyle w:val="6"/>
        <w:pageBreakBefore w:val="0"/>
        <w:widowControl/>
        <w:kinsoku/>
        <w:wordWrap/>
        <w:overflowPunct/>
        <w:topLinePunct w:val="0"/>
        <w:bidi w:val="0"/>
        <w:snapToGrid/>
        <w:spacing w:before="0" w:after="0" w:line="360" w:lineRule="auto"/>
        <w:ind w:firstLine="482" w:firstLineChars="2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146" w:name="_Toc351203485"/>
      <w:bookmarkStart w:id="147" w:name="_Toc25298"/>
      <w:r>
        <w:rPr>
          <w:rFonts w:hint="eastAsia" w:ascii="宋体" w:hAnsi="宋体" w:eastAsia="宋体" w:cs="宋体"/>
          <w:b w:val="0"/>
          <w:color w:val="auto"/>
          <w:sz w:val="24"/>
          <w:szCs w:val="24"/>
          <w:highlight w:val="none"/>
        </w:rPr>
        <w:t>五、</w:t>
      </w:r>
      <w:bookmarkEnd w:id="146"/>
      <w:r>
        <w:rPr>
          <w:rFonts w:hint="eastAsia" w:ascii="宋体" w:hAnsi="宋体" w:eastAsia="宋体" w:cs="宋体"/>
          <w:b w:val="0"/>
          <w:color w:val="auto"/>
          <w:sz w:val="24"/>
          <w:szCs w:val="24"/>
          <w:highlight w:val="none"/>
        </w:rPr>
        <w:t>发包人代表与勘察人、设计人项目负责人</w:t>
      </w:r>
      <w:bookmarkEnd w:id="147"/>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设计人项目负责人：</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勘察人项目负责人：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6"/>
        <w:pageBreakBefore w:val="0"/>
        <w:widowControl/>
        <w:kinsoku/>
        <w:wordWrap/>
        <w:overflowPunct/>
        <w:topLinePunct w:val="0"/>
        <w:bidi w:val="0"/>
        <w:snapToGrid/>
        <w:spacing w:before="0" w:after="0"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148" w:name="_Toc8898"/>
      <w:bookmarkStart w:id="149" w:name="_Toc351203486"/>
      <w:r>
        <w:rPr>
          <w:rFonts w:hint="eastAsia" w:ascii="宋体" w:hAnsi="宋体" w:eastAsia="宋体" w:cs="宋体"/>
          <w:b w:val="0"/>
          <w:color w:val="auto"/>
          <w:sz w:val="24"/>
          <w:szCs w:val="24"/>
          <w:highlight w:val="none"/>
        </w:rPr>
        <w:t>六、合同文件构成</w:t>
      </w:r>
      <w:bookmarkEnd w:id="148"/>
      <w:bookmarkEnd w:id="149"/>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pPr>
        <w:pageBreakBefore w:val="0"/>
        <w:widowControl/>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（1）专用合同条款及其附件； </w:t>
      </w:r>
    </w:p>
    <w:p>
      <w:pPr>
        <w:pageBreakBefore w:val="0"/>
        <w:widowControl/>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（2）通用合同条款； </w:t>
      </w:r>
    </w:p>
    <w:p>
      <w:pPr>
        <w:pageBreakBefore w:val="0"/>
        <w:widowControl/>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（3）中标通知书；</w:t>
      </w:r>
    </w:p>
    <w:p>
      <w:pPr>
        <w:pageBreakBefore w:val="0"/>
        <w:widowControl/>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（4）本项目招标文件、</w:t>
      </w:r>
      <w:r>
        <w:rPr>
          <w:rFonts w:hint="eastAsia" w:ascii="宋体" w:hAnsi="宋体" w:cs="宋体"/>
          <w:color w:val="auto"/>
          <w:sz w:val="24"/>
          <w:szCs w:val="24"/>
          <w:highlight w:val="none"/>
          <w:lang w:val="en-US" w:eastAsia="zh-CN"/>
        </w:rPr>
        <w:t>答疑纪要或</w:t>
      </w:r>
      <w:r>
        <w:rPr>
          <w:rFonts w:hint="eastAsia" w:ascii="宋体" w:hAnsi="宋体" w:eastAsia="宋体" w:cs="宋体"/>
          <w:color w:val="auto"/>
          <w:sz w:val="24"/>
          <w:szCs w:val="24"/>
          <w:highlight w:val="none"/>
        </w:rPr>
        <w:t>补充通知（如有）</w:t>
      </w:r>
    </w:p>
    <w:p>
      <w:pPr>
        <w:pageBreakBefore w:val="0"/>
        <w:widowControl/>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（5）投标文件及其附件；</w:t>
      </w:r>
    </w:p>
    <w:p>
      <w:pPr>
        <w:pageBreakBefore w:val="0"/>
        <w:widowControl/>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（6）技术标准；</w:t>
      </w:r>
    </w:p>
    <w:p>
      <w:pPr>
        <w:pageBreakBefore w:val="0"/>
        <w:widowControl/>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（7）发包人提供的上一阶段图纸（如果有）；</w:t>
      </w:r>
    </w:p>
    <w:p>
      <w:pPr>
        <w:pageBreakBefore w:val="0"/>
        <w:widowControl/>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pPr>
        <w:pageBreakBefore w:val="0"/>
        <w:widowControl/>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在合同履行过程中形成的与合同有关的文件均构成合同文件组成部分。</w:t>
      </w:r>
    </w:p>
    <w:p>
      <w:pPr>
        <w:pageBreakBefore w:val="0"/>
        <w:widowControl/>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pPr>
        <w:pStyle w:val="6"/>
        <w:pageBreakBefore w:val="0"/>
        <w:widowControl/>
        <w:kinsoku/>
        <w:wordWrap/>
        <w:overflowPunct/>
        <w:topLinePunct w:val="0"/>
        <w:bidi w:val="0"/>
        <w:snapToGrid/>
        <w:spacing w:before="0" w:after="0" w:line="360" w:lineRule="auto"/>
        <w:ind w:firstLine="480" w:firstLineChars="2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bookmarkStart w:id="150" w:name="_Toc13498"/>
      <w:bookmarkStart w:id="151" w:name="_Toc351203487"/>
      <w:r>
        <w:rPr>
          <w:rFonts w:hint="eastAsia" w:ascii="宋体" w:hAnsi="宋体" w:eastAsia="宋体" w:cs="宋体"/>
          <w:b w:val="0"/>
          <w:color w:val="auto"/>
          <w:sz w:val="24"/>
          <w:szCs w:val="24"/>
          <w:highlight w:val="none"/>
        </w:rPr>
        <w:t>七、承诺</w:t>
      </w:r>
      <w:bookmarkEnd w:id="150"/>
      <w:bookmarkEnd w:id="151"/>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1.发包人承诺按照法律规定履行项目审批手续，按照合同约定提供勘察设计依据，并按合同约定的期限和方式支付合同价款。</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2.设计人、勘察人承诺按照法律和技术标准规定及合同约定提供工程勘察设计服务。</w:t>
      </w:r>
    </w:p>
    <w:p>
      <w:pPr>
        <w:pageBreakBefore w:val="0"/>
        <w:widowControl/>
        <w:kinsoku/>
        <w:wordWrap/>
        <w:overflowPunct/>
        <w:topLinePunct w:val="0"/>
        <w:bidi w:val="0"/>
        <w:snapToGrid/>
        <w:spacing w:line="360" w:lineRule="auto"/>
        <w:ind w:firstLine="482" w:firstLineChars="200"/>
        <w:jc w:val="both"/>
        <w:textAlignment w:val="auto"/>
        <w:rPr>
          <w:rFonts w:hint="eastAsia" w:ascii="宋体" w:hAnsi="宋体" w:eastAsia="宋体" w:cs="宋体"/>
          <w:bCs/>
          <w:color w:val="auto"/>
          <w:sz w:val="24"/>
          <w:szCs w:val="24"/>
          <w:highlight w:val="none"/>
        </w:rPr>
      </w:pPr>
      <w:bookmarkStart w:id="152" w:name="_Toc351203488"/>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 xml:space="preserve"> 八、词语含义</w:t>
      </w:r>
      <w:bookmarkEnd w:id="152"/>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pPr>
        <w:pStyle w:val="6"/>
        <w:pageBreakBefore w:val="0"/>
        <w:widowControl/>
        <w:kinsoku/>
        <w:wordWrap/>
        <w:overflowPunct/>
        <w:topLinePunct w:val="0"/>
        <w:bidi w:val="0"/>
        <w:snapToGrid/>
        <w:spacing w:before="0" w:after="0"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153" w:name="_Toc351203490"/>
      <w:bookmarkStart w:id="154" w:name="_Toc29995"/>
      <w:r>
        <w:rPr>
          <w:rFonts w:hint="eastAsia" w:ascii="宋体" w:hAnsi="宋体" w:eastAsia="宋体" w:cs="宋体"/>
          <w:b w:val="0"/>
          <w:color w:val="auto"/>
          <w:sz w:val="24"/>
          <w:szCs w:val="24"/>
          <w:highlight w:val="none"/>
        </w:rPr>
        <w:t>九、签订地点</w:t>
      </w:r>
      <w:bookmarkEnd w:id="153"/>
      <w:bookmarkEnd w:id="154"/>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pPr>
        <w:pStyle w:val="6"/>
        <w:pageBreakBefore w:val="0"/>
        <w:widowControl/>
        <w:kinsoku/>
        <w:wordWrap/>
        <w:overflowPunct/>
        <w:topLinePunct w:val="0"/>
        <w:bidi w:val="0"/>
        <w:snapToGrid/>
        <w:spacing w:before="0" w:after="0"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155" w:name="_Toc19897"/>
      <w:bookmarkStart w:id="156" w:name="_Toc351203491"/>
      <w:r>
        <w:rPr>
          <w:rFonts w:hint="eastAsia" w:ascii="宋体" w:hAnsi="宋体" w:eastAsia="宋体" w:cs="宋体"/>
          <w:b w:val="0"/>
          <w:color w:val="auto"/>
          <w:sz w:val="24"/>
          <w:szCs w:val="24"/>
          <w:highlight w:val="none"/>
        </w:rPr>
        <w:t>十、补充协议</w:t>
      </w:r>
      <w:bookmarkEnd w:id="155"/>
      <w:bookmarkEnd w:id="156"/>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pPr>
        <w:pStyle w:val="6"/>
        <w:pageBreakBefore w:val="0"/>
        <w:widowControl/>
        <w:kinsoku/>
        <w:wordWrap/>
        <w:overflowPunct/>
        <w:topLinePunct w:val="0"/>
        <w:bidi w:val="0"/>
        <w:snapToGrid/>
        <w:spacing w:before="0" w:after="0"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157" w:name="_Toc16287"/>
      <w:bookmarkStart w:id="158" w:name="_Toc351203492"/>
      <w:r>
        <w:rPr>
          <w:rFonts w:hint="eastAsia" w:ascii="宋体" w:hAnsi="宋体" w:eastAsia="宋体" w:cs="宋体"/>
          <w:b w:val="0"/>
          <w:color w:val="auto"/>
          <w:sz w:val="24"/>
          <w:szCs w:val="24"/>
          <w:highlight w:val="none"/>
        </w:rPr>
        <w:t>十一、合同生效</w:t>
      </w:r>
      <w:bookmarkEnd w:id="157"/>
      <w:bookmarkEnd w:id="158"/>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生效。</w:t>
      </w:r>
    </w:p>
    <w:p>
      <w:pPr>
        <w:pStyle w:val="6"/>
        <w:pageBreakBefore w:val="0"/>
        <w:widowControl/>
        <w:kinsoku/>
        <w:wordWrap/>
        <w:overflowPunct/>
        <w:topLinePunct w:val="0"/>
        <w:bidi w:val="0"/>
        <w:snapToGrid/>
        <w:spacing w:before="0" w:after="0"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159" w:name="_Toc23474"/>
      <w:bookmarkStart w:id="160" w:name="_Toc351203493"/>
      <w:r>
        <w:rPr>
          <w:rFonts w:hint="eastAsia" w:ascii="宋体" w:hAnsi="宋体" w:eastAsia="宋体" w:cs="宋体"/>
          <w:b w:val="0"/>
          <w:color w:val="auto"/>
          <w:sz w:val="24"/>
          <w:szCs w:val="24"/>
          <w:highlight w:val="none"/>
        </w:rPr>
        <w:t>十二、合同份数</w:t>
      </w:r>
      <w:bookmarkEnd w:id="159"/>
      <w:bookmarkEnd w:id="160"/>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份，设计人执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份，勘察人执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sectPr>
          <w:footerReference r:id="rId14" w:type="first"/>
          <w:pgSz w:w="11906" w:h="16838"/>
          <w:pgMar w:top="1020" w:right="1020" w:bottom="1020" w:left="1020" w:header="851" w:footer="992" w:gutter="0"/>
          <w:cols w:space="720" w:num="1"/>
          <w:docGrid w:type="lines" w:linePitch="312" w:charSpace="0"/>
        </w:sectPr>
      </w:pP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签字页（本页无正文）</w:t>
      </w:r>
    </w:p>
    <w:tbl>
      <w:tblPr>
        <w:tblStyle w:val="23"/>
        <w:tblW w:w="0" w:type="auto"/>
        <w:tblInd w:w="0" w:type="dxa"/>
        <w:tblLayout w:type="autofit"/>
        <w:tblCellMar>
          <w:top w:w="0" w:type="dxa"/>
          <w:left w:w="108" w:type="dxa"/>
          <w:bottom w:w="0" w:type="dxa"/>
          <w:right w:w="108" w:type="dxa"/>
        </w:tblCellMar>
      </w:tblPr>
      <w:tblGrid>
        <w:gridCol w:w="3012"/>
        <w:gridCol w:w="3012"/>
        <w:gridCol w:w="3012"/>
      </w:tblGrid>
      <w:tr>
        <w:tblPrEx>
          <w:tblCellMar>
            <w:top w:w="0" w:type="dxa"/>
            <w:left w:w="108" w:type="dxa"/>
            <w:bottom w:w="0" w:type="dxa"/>
            <w:right w:w="108" w:type="dxa"/>
          </w:tblCellMar>
        </w:tblPrEx>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p>
        </w:tc>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p>
        </w:tc>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勘察人：</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p>
        </w:tc>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w:t>
            </w:r>
          </w:p>
        </w:tc>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w:t>
            </w:r>
          </w:p>
        </w:tc>
      </w:tr>
      <w:tr>
        <w:tblPrEx>
          <w:tblCellMar>
            <w:top w:w="0" w:type="dxa"/>
            <w:left w:w="108" w:type="dxa"/>
            <w:bottom w:w="0" w:type="dxa"/>
            <w:right w:w="108" w:type="dxa"/>
          </w:tblCellMar>
        </w:tblPrEx>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p>
        </w:tc>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p>
        </w:tc>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p>
        </w:tc>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p>
        </w:tc>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tblPrEx>
          <w:tblCellMar>
            <w:top w:w="0" w:type="dxa"/>
            <w:left w:w="108" w:type="dxa"/>
            <w:bottom w:w="0" w:type="dxa"/>
            <w:right w:w="108" w:type="dxa"/>
          </w:tblCellMar>
        </w:tblPrEx>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p>
        </w:tc>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p>
        </w:tc>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p>
        </w:tc>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p>
        </w:tc>
        <w:tc>
          <w:tcPr>
            <w:tcW w:w="3012" w:type="dxa"/>
          </w:tcPr>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p>
        </w:tc>
      </w:tr>
    </w:tbl>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sectPr>
          <w:pgSz w:w="11906" w:h="16838"/>
          <w:pgMar w:top="1418" w:right="1555" w:bottom="1418" w:left="1531" w:header="851" w:footer="992" w:gutter="0"/>
          <w:cols w:space="720" w:num="1"/>
          <w:docGrid w:type="lines" w:linePitch="312" w:charSpace="0"/>
        </w:sectPr>
      </w:pPr>
    </w:p>
    <w:p>
      <w:pPr>
        <w:pStyle w:val="5"/>
        <w:jc w:val="center"/>
        <w:rPr>
          <w:rFonts w:hint="eastAsia" w:ascii="宋体" w:hAnsi="宋体" w:eastAsia="宋体" w:cs="宋体"/>
          <w:color w:val="auto"/>
          <w:sz w:val="28"/>
          <w:szCs w:val="28"/>
          <w:highlight w:val="none"/>
        </w:rPr>
      </w:pPr>
      <w:bookmarkStart w:id="161" w:name="_Toc17626"/>
      <w:r>
        <w:rPr>
          <w:rFonts w:hint="eastAsia" w:ascii="宋体" w:hAnsi="宋体" w:eastAsia="宋体" w:cs="宋体"/>
          <w:color w:val="auto"/>
          <w:sz w:val="28"/>
          <w:szCs w:val="28"/>
          <w:highlight w:val="none"/>
        </w:rPr>
        <w:t>第二部分 通用合同条款</w:t>
      </w:r>
      <w:bookmarkEnd w:id="161"/>
      <w:bookmarkStart w:id="162" w:name="_Toc337558727"/>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163" w:name="_Toc22830"/>
      <w:r>
        <w:rPr>
          <w:rFonts w:hint="eastAsia" w:ascii="宋体" w:hAnsi="宋体" w:eastAsia="宋体" w:cs="宋体"/>
          <w:b w:val="0"/>
          <w:color w:val="auto"/>
          <w:sz w:val="24"/>
          <w:szCs w:val="24"/>
          <w:highlight w:val="none"/>
        </w:rPr>
        <w:t>1.</w:t>
      </w:r>
      <w:bookmarkStart w:id="164" w:name="_Toc303538973"/>
      <w:bookmarkEnd w:id="164"/>
      <w:bookmarkStart w:id="165" w:name="_Toc303538974"/>
      <w:bookmarkEnd w:id="165"/>
      <w:bookmarkStart w:id="166" w:name="_Toc303538975"/>
      <w:bookmarkEnd w:id="166"/>
      <w:bookmarkStart w:id="167" w:name="_Toc303538972"/>
      <w:bookmarkEnd w:id="167"/>
      <w:bookmarkStart w:id="168" w:name="_Toc303538976"/>
      <w:bookmarkEnd w:id="168"/>
      <w:bookmarkStart w:id="169" w:name="_Toc296503027"/>
      <w:bookmarkStart w:id="170" w:name="_Toc296346528"/>
      <w:r>
        <w:rPr>
          <w:rFonts w:hint="eastAsia" w:ascii="宋体" w:hAnsi="宋体" w:eastAsia="宋体" w:cs="宋体"/>
          <w:b w:val="0"/>
          <w:color w:val="auto"/>
          <w:sz w:val="24"/>
          <w:szCs w:val="24"/>
          <w:highlight w:val="none"/>
        </w:rPr>
        <w:t xml:space="preserve"> 一般约定</w:t>
      </w:r>
      <w:bookmarkEnd w:id="162"/>
      <w:bookmarkEnd w:id="163"/>
      <w:bookmarkEnd w:id="169"/>
      <w:bookmarkEnd w:id="170"/>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171" w:name="_Toc296503028"/>
      <w:bookmarkStart w:id="172" w:name="_Toc337558728"/>
      <w:bookmarkStart w:id="173" w:name="_Toc296346529"/>
      <w:bookmarkStart w:id="174" w:name="_Toc21757"/>
      <w:r>
        <w:rPr>
          <w:rFonts w:hint="eastAsia" w:ascii="宋体" w:hAnsi="宋体" w:eastAsia="宋体" w:cs="宋体"/>
          <w:b w:val="0"/>
          <w:color w:val="auto"/>
          <w:sz w:val="24"/>
          <w:szCs w:val="24"/>
          <w:highlight w:val="none"/>
        </w:rPr>
        <w:t>1.1 词语定义</w:t>
      </w:r>
      <w:bookmarkEnd w:id="171"/>
      <w:bookmarkEnd w:id="172"/>
      <w:bookmarkEnd w:id="173"/>
      <w:r>
        <w:rPr>
          <w:rFonts w:hint="eastAsia" w:ascii="宋体" w:hAnsi="宋体" w:eastAsia="宋体" w:cs="宋体"/>
          <w:b w:val="0"/>
          <w:color w:val="auto"/>
          <w:sz w:val="24"/>
          <w:szCs w:val="24"/>
          <w:highlight w:val="none"/>
        </w:rPr>
        <w:t>与解释</w:t>
      </w:r>
      <w:bookmarkEnd w:id="174"/>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合同协议书、通用合同条款、专用合同条款中的下列词语具有本款所赋予的含义：</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1.1.1 合同</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 合同：是指根据法律规定和合同当事人约定具有约束力的文件，构成合同的文件包括合同协议书、专用合同条款</w:t>
      </w:r>
      <w:r>
        <w:rPr>
          <w:rFonts w:hint="eastAsia" w:ascii="宋体" w:hAnsi="宋体" w:eastAsia="宋体" w:cs="宋体"/>
          <w:color w:val="auto"/>
          <w:sz w:val="24"/>
          <w:szCs w:val="24"/>
          <w:highlight w:val="none"/>
        </w:rPr>
        <w:t>及其附件</w:t>
      </w:r>
      <w:r>
        <w:rPr>
          <w:rFonts w:hint="eastAsia" w:ascii="宋体" w:hAnsi="宋体" w:eastAsia="宋体" w:cs="宋体"/>
          <w:color w:val="auto"/>
          <w:kern w:val="0"/>
          <w:sz w:val="24"/>
          <w:szCs w:val="24"/>
          <w:highlight w:val="none"/>
        </w:rPr>
        <w:t>、通用合同条款、中标通知书（如果有）、投标函及其附录（如果有）、发包人要求、技术标准、发包人提供的上一阶段图纸（如果有）以及其他合同文件。</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1.1.1.2 合同协议书：是指构成合同的由发包人和勘察人、设计人共同签署的称为“合同协议书”的书面文件。</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1.1.1.3 通用合同条款：是根据法律、行政法规规定及建设工程勘察的需要订立，通用于建设工程勘察的合同条款。</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1.1.1.4 专用合同条款：是发包人与勘察人、设计人根据法律、行政法规规定，结合具体工程实际，经协商达成一致意见的合同条款，是对通用合同条款的细化、完善、补充、修改或另行约定。</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1.1.1.5 </w:t>
      </w:r>
      <w:r>
        <w:rPr>
          <w:rFonts w:hint="eastAsia" w:ascii="宋体" w:hAnsi="宋体" w:eastAsia="宋体" w:cs="宋体"/>
          <w:color w:val="auto"/>
          <w:kern w:val="0"/>
          <w:sz w:val="24"/>
          <w:szCs w:val="24"/>
          <w:highlight w:val="none"/>
        </w:rPr>
        <w:t>中标通知书：是指构成合同的由发包人通知设计人、勘察人中标的书面文件。</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1.1.1.6 投标文件：是指构成合同的由勘察人、设计人填写并签署的用于投标的称为“投标文件”的文件。</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1.1.1.7 投标文件附件：是指构成合同的附在投标文件后的称为“投标文件附件”的文件。</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1.1.1.8 </w:t>
      </w:r>
      <w:r>
        <w:rPr>
          <w:rFonts w:hint="eastAsia" w:ascii="宋体" w:hAnsi="宋体" w:eastAsia="宋体" w:cs="宋体"/>
          <w:color w:val="auto"/>
          <w:sz w:val="24"/>
          <w:szCs w:val="24"/>
          <w:highlight w:val="none"/>
        </w:rPr>
        <w:t>发包人要求：是指构成合同文件组成部分的，由发包人就工程项目的目的、范围、功能要求及工程勘察、设计文件审查的范围、内容和技术标准等提出相应要求的书面文件，又称勘察、设计任务书。</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1.1.1.9 技术标准：是指构成合同的勘察设计应当遵守的或指导勘察设计的国家、行业或地方的技术标准和要求，以及合同约定的技术标准和要求。</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 其他合同文件：是指经合同当事人约定的与工程勘察设计有关的具有合同约束力的文件或书面协议。合同当事人可以在专用合同条款中进行约定。</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1.1.2 合同当事人及其他相关方</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1.1.2.1 合同当事人：是指发包人和（或）设计人、勘察人。</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1.1.2.2 发包人：是指与设计人、勘察人签订合同协议书的当事人及取得该当事人资格的合法继承人。</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1.1.2.3 设计人：是指与发包人签订合同协议书的，具有相应工程设计资质的当事人及取得该当事人资格的合法继承人。</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1.1.2.4 勘察人：指在合同协议书中约定，被发包人接受的具有工程勘察资质的当事人以及取得该当事人资格的合法继承人。</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1.1.2.5 分包人：</w:t>
      </w:r>
      <w:bookmarkStart w:id="175" w:name="#go5"/>
      <w:bookmarkEnd w:id="175"/>
      <w:r>
        <w:rPr>
          <w:rFonts w:hint="eastAsia" w:ascii="宋体" w:hAnsi="宋体" w:eastAsia="宋体" w:cs="宋体"/>
          <w:color w:val="auto"/>
          <w:kern w:val="0"/>
          <w:sz w:val="24"/>
          <w:szCs w:val="24"/>
          <w:highlight w:val="none"/>
        </w:rPr>
        <w:t>是指按照法律规定和合同约定，分包部分工程勘察、设计工作，并与勘察人、设计人签订分包合同的具有相应资质的法人。</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1.1.2.6 发包人代表：是指由发包人指定负责工程勘察设计方面在发包人授权范围内行使发包人权利的人。</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1.1.2.7 设计项目负责人：是指由设计人任命负责工程设计，在设计人授权范围内负责合同履行，且按照法律规定具有相应资格的项目主持人。</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1.1.2.8 勘察项目负责人：是指由勘察人任命负责工程勘察，在勘察人授权范围内负责合同履行，且按照法律规定具有相应资格的项目主持人。</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1.1.2.9 联合体：两个以上设计人和（或）勘察人联合，以一个投标人身份为发包人提供工程勘察设计服务的临时性组织。</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 工程勘察设计服务、资料与文件</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1.1.3.1 工程勘察设计服务：是指勘察人、设计人按照合同约定履行的服务，包括工程勘察设计基本服务、工程勘察设计其他服务。</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1.1.3.2 工程勘察设计基本服务：是指勘察人、设计人根据发包人的委托，提供专业建设工程测量、工程勘察、物探，编制初步设计文件（含初步设计概算）（如有）、施工图设计文件服务，并相应提供勘察设计技术交底、解决施工中的勘察设计技术问题、参加试车（试运行）考核和竣工验收等服务。</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1.1.3.3 工程勘察设计其他服务：是指发包人根据工程勘察设计实际需要，要求勘察人、设计人另行提供且发包人应当单独支付费用的服务，包括超前钻（如有）、总体设计服务、主体设计协调服务、采用标准设计和复用设计服务、非标准设备设计文件编制服务、施工图预算编制服务、竣工图编制服务等。</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1.1.3.4 暂停勘察设计：是指发生勘察人、设计人不能按照合同约定履行全部或部分义务情形而暂时中断工程勘察设计服务的行为。</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1.1.3.5 工程勘察设计资料：是指</w:t>
      </w:r>
      <w:r>
        <w:rPr>
          <w:rFonts w:hint="eastAsia" w:ascii="宋体" w:hAnsi="宋体" w:eastAsia="宋体" w:cs="宋体"/>
          <w:color w:val="auto"/>
          <w:sz w:val="24"/>
          <w:szCs w:val="24"/>
          <w:highlight w:val="none"/>
        </w:rPr>
        <w:t>根据合同约定，发包人向勘察人、设计人提供的用于完成工程范围与内容所需要的资料。工程勘察设计资料包括项目基础资料和现场障碍资料。项目基础资料包括经有关部门对项目批准、核准或备案的文件、报告（如选址报告、资源报告、勘察报告、专项评估报告等）、资料（如气象、水文、地质等）、协议（如燃料、水、电、气、运输等）和有关数据等其他基础资料。现场障碍资料包括地上和地下已有的建筑物、构筑物、线缆、管道、受保护的古建筑、古树木等坐标方位、数据和其他相关资料。</w:t>
      </w:r>
    </w:p>
    <w:p>
      <w:pPr>
        <w:pStyle w:val="15"/>
        <w:pageBreakBefore w:val="0"/>
        <w:widowControl/>
        <w:kinsoku/>
        <w:wordWrap/>
        <w:overflowPunct/>
        <w:topLinePunct w:val="0"/>
        <w:bidi w:val="0"/>
        <w:snapToGrid/>
        <w:spacing w:after="0"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1.1.3.6 工程勘察设计文件：指按照合同约定和技术要求，由勘察人、设计人向发包人提供的阶段性成果、最终工作成果等，且应当采用合同中双方约定的载体。</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 日期和期限</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1.1.4.1 开始日期：包括计划开始（勘察、设计）日期和实际开始（勘察、设计）日期。计划开始（勘察、设计）日期是指合同协议书约定的开始（勘察、设计）日期；实际开始（勘察、设计）日期是指发包人发出的开始（勘察、设计）通知中载明的开始（勘察、设计）日期。</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1.1.4.2 完成日期：包括计划完成（勘察、设计）日期和实际完成（勘察、设计）日期。计划完成（勘察、设计）日期是指合同协议书约定的完成（勘察、设计）及相关服务的日期；实际完成（勘察、设计）日期是指勘察人、设计人交付全部或阶段性（勘察、设计）成果及提供相关服务日期。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1.1.4.3 勘察设计周期又称勘察设计工期：是指在合同协议书约定的勘察人、设计人完成工程勘察设计及相关服务所需的期限，包括按照合同约定所作的期限变更。</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1.1.4.4 基准日期：招标发包的工程勘察设计以投标截止日前28天的日期为基准日期，直接发包的工程勘察设计以合同签订日前28天的日期为基准日期。</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1.1.4.5 天：除特别指明外，均指日历天。合同中按天计算时间的，开始当天不计入，从次日开始计算，期限最后一天的截止时间为当天24:00时。</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 合同价格</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1.1.5.1 签约合同价：是指</w:t>
      </w:r>
      <w:r>
        <w:rPr>
          <w:rFonts w:hint="eastAsia" w:ascii="宋体" w:hAnsi="宋体" w:eastAsia="宋体" w:cs="宋体"/>
          <w:color w:val="auto"/>
          <w:sz w:val="24"/>
          <w:szCs w:val="24"/>
          <w:highlight w:val="none"/>
        </w:rPr>
        <w:t>发包人和勘察人、设计人在合同协议书中确定的总金额。</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1.1.5.2 合同价格又称勘察设计费：是指发包人用于支付勘察人、设计人按照合同约定完成工程勘察设计范围内全部工作的金额，包括合同履行过程中按合同约定发生的价格变化。具体组成如下：</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勘察设计费=工程勘察设计基本服务费+工程勘察设计其他服务费。</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工程勘察设计基本服务费=工程设计基本服务费+工程勘察基本服务费。</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工程勘察设计其他服务费=工程设计其他服务费+工程勘察其他服务费。</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其他</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1.1.6.1 书面形式：是指合同书、信件和数据电文（包括电报、电传、传真、电子数据交换和电子邮件）等可以有形地表现所载内容的形式。</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176" w:name="_Toc296346530"/>
      <w:bookmarkStart w:id="177" w:name="_Toc296503029"/>
      <w:bookmarkStart w:id="178" w:name="_Toc337558729"/>
      <w:bookmarkStart w:id="179" w:name="_Toc32415"/>
      <w:r>
        <w:rPr>
          <w:rFonts w:hint="eastAsia" w:ascii="宋体" w:hAnsi="宋体" w:eastAsia="宋体" w:cs="宋体"/>
          <w:b w:val="0"/>
          <w:color w:val="auto"/>
          <w:sz w:val="24"/>
          <w:szCs w:val="24"/>
          <w:highlight w:val="none"/>
        </w:rPr>
        <w:t>1.2 语言文字</w:t>
      </w:r>
      <w:bookmarkEnd w:id="176"/>
      <w:bookmarkEnd w:id="177"/>
      <w:bookmarkEnd w:id="178"/>
      <w:bookmarkEnd w:id="179"/>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合同以中国的汉语简体文字编写、解释和说明。合同当事人在专用合同条款中约定使用两种以上语言时，汉语为优先解释和说明合同的语言。</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180" w:name="_Toc296346531"/>
      <w:bookmarkStart w:id="181" w:name="_Toc337558730"/>
      <w:bookmarkStart w:id="182" w:name="_Toc296503030"/>
      <w:bookmarkStart w:id="183" w:name="_Toc5180"/>
      <w:r>
        <w:rPr>
          <w:rFonts w:hint="eastAsia" w:ascii="宋体" w:hAnsi="宋体" w:eastAsia="宋体" w:cs="宋体"/>
          <w:b w:val="0"/>
          <w:color w:val="auto"/>
          <w:sz w:val="24"/>
          <w:szCs w:val="24"/>
          <w:highlight w:val="none"/>
        </w:rPr>
        <w:t>1.3 法律</w:t>
      </w:r>
      <w:bookmarkEnd w:id="180"/>
      <w:bookmarkEnd w:id="181"/>
      <w:bookmarkEnd w:id="182"/>
      <w:bookmarkEnd w:id="183"/>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合同所称法律是指中华人民共和国法律、行政法规、部门规章，以及工程所在地的地方性法规、自治条例、单行条例和地方政府规章等。</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合同当事人可以在专用合同条款中约定合同适用的其他规范性文件。</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184" w:name="_Toc7882"/>
      <w:r>
        <w:rPr>
          <w:rFonts w:hint="eastAsia" w:ascii="宋体" w:hAnsi="宋体" w:eastAsia="宋体" w:cs="宋体"/>
          <w:b w:val="0"/>
          <w:color w:val="auto"/>
          <w:sz w:val="24"/>
          <w:szCs w:val="24"/>
          <w:highlight w:val="none"/>
        </w:rPr>
        <w:t>1.4 技术标准</w:t>
      </w:r>
      <w:bookmarkEnd w:id="184"/>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 适用于工程的现行有效的国家标准、行业标准、工程所在地的地方性标准，以及相应的规范、规程等，合同当事人有特别要求的，应在专用合同条款中约定。</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 发包人要求使用国外技术标准的，发包人与勘察人、设计人在专用合同条款中约定原文版本和中文译本提供方及提供标准的名称、份数、时间及费用承担等事项。</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 发包人对工程的技术标准、功能要求高于或严于现行国家、行业或地方标准的，应当在专用合同条款中予以明确。除专用合同条款另有约定外，应视为勘察人、设计人在签订合同前已充分预见前述技术标准和功能要求的复杂程度，签约合同价中已包含由此产生的勘察设计费用。</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185" w:name="_Toc21539"/>
      <w:r>
        <w:rPr>
          <w:rFonts w:hint="eastAsia" w:ascii="宋体" w:hAnsi="宋体" w:eastAsia="宋体" w:cs="宋体"/>
          <w:b w:val="0"/>
          <w:color w:val="auto"/>
          <w:sz w:val="24"/>
          <w:szCs w:val="24"/>
          <w:highlight w:val="none"/>
        </w:rPr>
        <w:t>1</w:t>
      </w:r>
      <w:bookmarkStart w:id="186" w:name="_Toc296503031"/>
      <w:bookmarkStart w:id="187" w:name="_Toc296346532"/>
      <w:bookmarkStart w:id="188" w:name="_Toc337558731"/>
      <w:r>
        <w:rPr>
          <w:rFonts w:hint="eastAsia" w:ascii="宋体" w:hAnsi="宋体" w:eastAsia="宋体" w:cs="宋体"/>
          <w:b w:val="0"/>
          <w:color w:val="auto"/>
          <w:sz w:val="24"/>
          <w:szCs w:val="24"/>
          <w:highlight w:val="none"/>
        </w:rPr>
        <w:t>.5 合同文件的优先顺序</w:t>
      </w:r>
      <w:bookmarkEnd w:id="185"/>
    </w:p>
    <w:bookmarkEnd w:id="186"/>
    <w:bookmarkEnd w:id="187"/>
    <w:bookmarkEnd w:id="188"/>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组成合同的各项文件应互相解释，互为说明。除专用合同条款另有约定外，解释合同文件的优先顺序如下：</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（1）合同协议书；</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（2）专用合同条款</w:t>
      </w:r>
      <w:r>
        <w:rPr>
          <w:rFonts w:hint="eastAsia" w:ascii="宋体" w:hAnsi="宋体" w:eastAsia="宋体" w:cs="宋体"/>
          <w:color w:val="auto"/>
          <w:sz w:val="24"/>
          <w:szCs w:val="24"/>
          <w:highlight w:val="none"/>
        </w:rPr>
        <w:t>及其附件</w:t>
      </w:r>
      <w:r>
        <w:rPr>
          <w:rFonts w:hint="eastAsia" w:ascii="宋体" w:hAnsi="宋体" w:eastAsia="宋体" w:cs="宋体"/>
          <w:color w:val="auto"/>
          <w:kern w:val="0"/>
          <w:sz w:val="24"/>
          <w:szCs w:val="24"/>
          <w:highlight w:val="none"/>
        </w:rPr>
        <w:t xml:space="preserve">； </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（3）通用合同条款； </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（4）中标通知书（如果有）；</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（5）投标文件及其附件（如果有）；</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（6）发包人要求；</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（7）技术标准；</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（8）发包人提供的上一阶段图纸（如果有）；</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（9）其他合同文件。</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在合同履行过程中形成的与合同有关的文件均构成合同文件组成部分，并根据其性质确定优先解释顺序。</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189" w:name="_Toc20349"/>
      <w:r>
        <w:rPr>
          <w:rFonts w:hint="eastAsia" w:ascii="宋体" w:hAnsi="宋体" w:eastAsia="宋体" w:cs="宋体"/>
          <w:b w:val="0"/>
          <w:color w:val="auto"/>
          <w:sz w:val="24"/>
          <w:szCs w:val="24"/>
          <w:highlight w:val="none"/>
        </w:rPr>
        <w:t>1</w:t>
      </w:r>
      <w:bookmarkStart w:id="190" w:name="_Toc296503033"/>
      <w:bookmarkStart w:id="191" w:name="_Toc337558733"/>
      <w:bookmarkStart w:id="192" w:name="_Toc296346534"/>
      <w:r>
        <w:rPr>
          <w:rFonts w:hint="eastAsia" w:ascii="宋体" w:hAnsi="宋体" w:eastAsia="宋体" w:cs="宋体"/>
          <w:b w:val="0"/>
          <w:color w:val="auto"/>
          <w:sz w:val="24"/>
          <w:szCs w:val="24"/>
          <w:highlight w:val="none"/>
        </w:rPr>
        <w:t>.6 联络</w:t>
      </w:r>
      <w:bookmarkEnd w:id="189"/>
    </w:p>
    <w:bookmarkEnd w:id="190"/>
    <w:bookmarkEnd w:id="191"/>
    <w:bookmarkEnd w:id="192"/>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 与合同有关的通知、批准、证明、证书、指示、指令、要求、请求、同意</w:t>
      </w:r>
      <w:r>
        <w:rPr>
          <w:rFonts w:hint="eastAsia" w:ascii="宋体" w:hAnsi="宋体" w:eastAsia="宋体" w:cs="宋体"/>
          <w:b/>
          <w:color w:val="auto"/>
          <w:kern w:val="0"/>
          <w:sz w:val="24"/>
          <w:szCs w:val="24"/>
          <w:highlight w:val="none"/>
        </w:rPr>
        <w:t>、</w:t>
      </w:r>
      <w:r>
        <w:rPr>
          <w:rFonts w:hint="eastAsia" w:ascii="宋体" w:hAnsi="宋体" w:eastAsia="宋体" w:cs="宋体"/>
          <w:color w:val="auto"/>
          <w:kern w:val="0"/>
          <w:sz w:val="24"/>
          <w:szCs w:val="24"/>
          <w:highlight w:val="none"/>
        </w:rPr>
        <w:t>确定和决定等，均应采用书面形式，并应在合同约定的期限内送达接收人和送达地点。</w:t>
      </w:r>
    </w:p>
    <w:p>
      <w:pPr>
        <w:pageBreakBefore w:val="0"/>
        <w:widowControl/>
        <w:kinsoku/>
        <w:wordWrap/>
        <w:overflowPunct/>
        <w:topLinePunct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 发包人和勘察人、设计人应在专用合同条款中约定各自的送达接收人、送达地点、电子邮箱。任何一方合同当事人指定的接收人或送达地点或电子邮箱发生变动的，应提前3天以书面形式通知对方，否则视为未发生变动。</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1.6.3 发包人和勘察人、设计人应当及时签收另一方送达至送达地点和指定接收人的来往信函，如确有充分证据证明一方无正当理由拒不签收的，视为拒绝签收一方认可往来信函的内容。</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193" w:name="_Toc31730"/>
      <w:r>
        <w:rPr>
          <w:rFonts w:hint="eastAsia" w:ascii="宋体" w:hAnsi="宋体" w:eastAsia="宋体" w:cs="宋体"/>
          <w:b w:val="0"/>
          <w:color w:val="auto"/>
          <w:sz w:val="24"/>
          <w:szCs w:val="24"/>
          <w:highlight w:val="none"/>
        </w:rPr>
        <w:t>1</w:t>
      </w:r>
      <w:bookmarkStart w:id="194" w:name="_Toc296346536"/>
      <w:bookmarkStart w:id="195" w:name="_Toc296503035"/>
      <w:bookmarkStart w:id="196" w:name="_Toc337558734"/>
      <w:r>
        <w:rPr>
          <w:rFonts w:hint="eastAsia" w:ascii="宋体" w:hAnsi="宋体" w:eastAsia="宋体" w:cs="宋体"/>
          <w:b w:val="0"/>
          <w:color w:val="auto"/>
          <w:sz w:val="24"/>
          <w:szCs w:val="24"/>
          <w:highlight w:val="none"/>
        </w:rPr>
        <w:t>.7 严禁贿赂</w:t>
      </w:r>
      <w:bookmarkEnd w:id="193"/>
    </w:p>
    <w:bookmarkEnd w:id="194"/>
    <w:bookmarkEnd w:id="195"/>
    <w:bookmarkEnd w:id="196"/>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合同当事人不得以贿赂或变相贿赂的方式，谋取非法利益或损害对方权益。因一方合同当事人的贿赂造成对方损失的，应赔偿损失，并承担相应的法律责任。</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197" w:name="_Toc2299"/>
      <w:r>
        <w:rPr>
          <w:rFonts w:hint="eastAsia" w:ascii="宋体" w:hAnsi="宋体" w:eastAsia="宋体" w:cs="宋体"/>
          <w:b w:val="0"/>
          <w:color w:val="auto"/>
          <w:sz w:val="24"/>
          <w:szCs w:val="24"/>
          <w:highlight w:val="none"/>
        </w:rPr>
        <w:t>1</w:t>
      </w:r>
      <w:bookmarkStart w:id="198" w:name="_Toc337558738"/>
      <w:r>
        <w:rPr>
          <w:rFonts w:hint="eastAsia" w:ascii="宋体" w:hAnsi="宋体" w:eastAsia="宋体" w:cs="宋体"/>
          <w:b w:val="0"/>
          <w:color w:val="auto"/>
          <w:sz w:val="24"/>
          <w:szCs w:val="24"/>
          <w:highlight w:val="none"/>
        </w:rPr>
        <w:t>.8 保密</w:t>
      </w:r>
      <w:bookmarkEnd w:id="197"/>
    </w:p>
    <w:bookmarkEnd w:id="198"/>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除法律规定或合同另有约定外，未经发包人同意，勘察人、设计人不得将发包人提供的图纸、文件以及声明需要保密的资料信息等商业秘密泄露给第三方。</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除法律规定或合同另有约定外，未经勘察人、设计人同意，发包人不得将勘察人、设计人提供的技术文件、技术成果、技术秘密及声明需要保密的资料信息等商业秘密泄露给第三方。</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保密期限由发包人与勘察人、设计人在专用合同条款中约定。</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199" w:name="_Toc8409"/>
      <w:r>
        <w:rPr>
          <w:rFonts w:hint="eastAsia" w:ascii="宋体" w:hAnsi="宋体" w:eastAsia="宋体" w:cs="宋体"/>
          <w:b w:val="0"/>
          <w:color w:val="auto"/>
          <w:sz w:val="24"/>
          <w:szCs w:val="24"/>
          <w:highlight w:val="none"/>
        </w:rPr>
        <w:t>2</w:t>
      </w:r>
      <w:bookmarkStart w:id="200" w:name="_Toc296346539"/>
      <w:bookmarkStart w:id="201" w:name="_Toc296503038"/>
      <w:bookmarkStart w:id="202" w:name="_Toc337558739"/>
      <w:bookmarkStart w:id="203" w:name="OLE_LINK2"/>
      <w:bookmarkStart w:id="204" w:name="OLE_LINK1"/>
      <w:r>
        <w:rPr>
          <w:rFonts w:hint="eastAsia" w:ascii="宋体" w:hAnsi="宋体" w:eastAsia="宋体" w:cs="宋体"/>
          <w:b w:val="0"/>
          <w:color w:val="auto"/>
          <w:sz w:val="24"/>
          <w:szCs w:val="24"/>
          <w:highlight w:val="none"/>
        </w:rPr>
        <w:t>. 发包人</w:t>
      </w:r>
      <w:bookmarkEnd w:id="199"/>
    </w:p>
    <w:bookmarkEnd w:id="200"/>
    <w:bookmarkEnd w:id="201"/>
    <w:bookmarkEnd w:id="202"/>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05" w:name="_Toc31172"/>
      <w:r>
        <w:rPr>
          <w:rFonts w:hint="eastAsia" w:ascii="宋体" w:hAnsi="宋体" w:eastAsia="宋体" w:cs="宋体"/>
          <w:b w:val="0"/>
          <w:color w:val="auto"/>
          <w:sz w:val="24"/>
          <w:szCs w:val="24"/>
          <w:highlight w:val="none"/>
        </w:rPr>
        <w:t>2</w:t>
      </w:r>
      <w:bookmarkStart w:id="206" w:name="_Toc296503039"/>
      <w:bookmarkStart w:id="207" w:name="_Toc296346540"/>
      <w:bookmarkStart w:id="208" w:name="_Toc337558740"/>
      <w:r>
        <w:rPr>
          <w:rFonts w:hint="eastAsia" w:ascii="宋体" w:hAnsi="宋体" w:eastAsia="宋体" w:cs="宋体"/>
          <w:b w:val="0"/>
          <w:color w:val="auto"/>
          <w:sz w:val="24"/>
          <w:szCs w:val="24"/>
          <w:highlight w:val="none"/>
        </w:rPr>
        <w:t>.1 发包人义务</w:t>
      </w:r>
      <w:bookmarkEnd w:id="205"/>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 发包人对勘察人的勘察工作有权依照合同约定实施监督，并对勘察成果予以验收。</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 发包人对勘察人无法胜任工程勘察工作的人员有权提出更换。</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 发包人拥有勘察人为其项目编制的所有文件资料的使用权，包括投标文件、成果资料和数据等。</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2.1.4 发包人应以书面形式向勘察人明确勘察任务及技术要求。</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2.1.5 发包人应提供开展工程勘察工作所需要的图纸及技术资料，包括总平面图、地形图、已有水准点和坐标控制点等，若上述资料由勘察人负责搜集时，发包人应承担相关费用。</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2.1.6 发包人应提供工程勘察作业所需的批准及许可文件，包括立项批复、占用和挖掘道路许可等。</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2.1.7 发包人应为勘察人提供具备条件的作业场地及进场通道（包括土地征用、障碍物清除、场地平整、提供水电接口和青苗赔偿等）并承担相关费用。</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2.1.8 发包人应按照法律法规规定为勘察人安全生产提供条件并支付安全生产防护费用，发包人不得要求勘察人违反安全生产管理规定进行作业。</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2.1.9 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2.1.10 发包人应遵守法律，并办理法律规定由其办理的许可、核准或备案，包括但不限于建设用地规划许可证、建设工程规划许可证等许可、核准或备案。</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发包人负责本项目各阶段设计文件向有关管理部门的送审报批工作，并负责将报批结果书面通知设计人。</w:t>
      </w:r>
      <w:r>
        <w:rPr>
          <w:rFonts w:hint="eastAsia" w:ascii="宋体" w:hAnsi="宋体" w:eastAsia="宋体" w:cs="宋体"/>
          <w:color w:val="auto"/>
          <w:kern w:val="0"/>
          <w:sz w:val="24"/>
          <w:szCs w:val="24"/>
          <w:highlight w:val="none"/>
        </w:rPr>
        <w:t>因发包人原因未能及时办理完毕前述许可、核准或备案手续，导致设计工作量增加和（或）设计周期延长时，由发包人承担由此增加的设计费用和（或）延长的设计周期。</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2.1.11 发包人应当负责工程勘察设计的所有外部关系的协调（包括但不限于当地政府主管部门等），为勘察人、设计人履行合同提供必要的外部条件。</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2.1.12 专用合同条款约定的其他义务。</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09" w:name="_Toc13599"/>
      <w:r>
        <w:rPr>
          <w:rFonts w:hint="eastAsia" w:ascii="宋体" w:hAnsi="宋体" w:eastAsia="宋体" w:cs="宋体"/>
          <w:b w:val="0"/>
          <w:color w:val="auto"/>
          <w:sz w:val="24"/>
          <w:szCs w:val="24"/>
          <w:highlight w:val="none"/>
        </w:rPr>
        <w:t>2.2 发包人代表</w:t>
      </w:r>
      <w:bookmarkEnd w:id="209"/>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在专用合同条款中明确其负责工程勘察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勘察人、设计人。</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发包人代表不能按照合同约定履行其职责及义务，并导致合同无法继续正常履行的，勘察人、设计人可以要求发包人撤换发包人代表。</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10" w:name="_Toc31142"/>
      <w:r>
        <w:rPr>
          <w:rFonts w:hint="eastAsia" w:ascii="宋体" w:hAnsi="宋体" w:eastAsia="宋体" w:cs="宋体"/>
          <w:b w:val="0"/>
          <w:color w:val="auto"/>
          <w:sz w:val="24"/>
          <w:szCs w:val="24"/>
          <w:highlight w:val="none"/>
        </w:rPr>
        <w:t>2.3 发包人决定</w:t>
      </w:r>
      <w:bookmarkEnd w:id="210"/>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2.3.1 </w:t>
      </w:r>
      <w:r>
        <w:rPr>
          <w:rFonts w:hint="eastAsia" w:ascii="宋体" w:hAnsi="宋体" w:eastAsia="宋体" w:cs="宋体"/>
          <w:color w:val="auto"/>
          <w:sz w:val="24"/>
          <w:szCs w:val="24"/>
          <w:highlight w:val="none"/>
        </w:rPr>
        <w:t>发包人在法律允许的范围内有权对勘察人、设计人的勘察设计工作、勘察设计项目和/或勘察设计文件作出处理决定，勘察人、设计人应按照发包人的决定执行，涉及勘察设计周期或勘察设计费用等问题按本合同第11条〔工程勘察设计变更与索赔〕的约定处理。</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2.3.2 发包人应在专用合同条款约定的期限内对勘察人、设计人书面提出的事项作出书面决定，如发包人不在确定时间内作出书面决定，勘察人、设计人的设计周期相应延长。</w:t>
      </w:r>
    </w:p>
    <w:bookmarkEnd w:id="203"/>
    <w:bookmarkEnd w:id="204"/>
    <w:bookmarkEnd w:id="206"/>
    <w:bookmarkEnd w:id="207"/>
    <w:bookmarkEnd w:id="208"/>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11" w:name="_Toc11642"/>
      <w:r>
        <w:rPr>
          <w:rFonts w:hint="eastAsia" w:ascii="宋体" w:hAnsi="宋体" w:eastAsia="宋体" w:cs="宋体"/>
          <w:b w:val="0"/>
          <w:color w:val="auto"/>
          <w:sz w:val="24"/>
          <w:szCs w:val="24"/>
          <w:highlight w:val="none"/>
        </w:rPr>
        <w:t>2</w:t>
      </w:r>
      <w:bookmarkStart w:id="212" w:name="_Toc296503042"/>
      <w:bookmarkStart w:id="213" w:name="_Toc296346543"/>
      <w:bookmarkStart w:id="214" w:name="_Toc337558745"/>
      <w:r>
        <w:rPr>
          <w:rFonts w:hint="eastAsia" w:ascii="宋体" w:hAnsi="宋体" w:eastAsia="宋体" w:cs="宋体"/>
          <w:b w:val="0"/>
          <w:color w:val="auto"/>
          <w:sz w:val="24"/>
          <w:szCs w:val="24"/>
          <w:highlight w:val="none"/>
        </w:rPr>
        <w:t xml:space="preserve">.4 </w:t>
      </w:r>
      <w:bookmarkEnd w:id="212"/>
      <w:bookmarkEnd w:id="213"/>
      <w:bookmarkEnd w:id="214"/>
      <w:bookmarkStart w:id="215" w:name="_Toc351203515"/>
      <w:r>
        <w:rPr>
          <w:rFonts w:hint="eastAsia" w:ascii="宋体" w:hAnsi="宋体" w:eastAsia="宋体" w:cs="宋体"/>
          <w:b w:val="0"/>
          <w:color w:val="auto"/>
          <w:sz w:val="24"/>
          <w:szCs w:val="24"/>
          <w:highlight w:val="none"/>
        </w:rPr>
        <w:t>支付合同价款</w:t>
      </w:r>
      <w:bookmarkEnd w:id="211"/>
      <w:bookmarkEnd w:id="215"/>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发包人应按合同约定向勘察人、设计人及时足额支付合同价款。</w:t>
      </w:r>
    </w:p>
    <w:p>
      <w:pPr>
        <w:keepNext w:val="0"/>
        <w:keepLines w:val="0"/>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16" w:name="_Toc351203516"/>
      <w:bookmarkStart w:id="217" w:name="_Toc7731"/>
      <w:r>
        <w:rPr>
          <w:rFonts w:hint="eastAsia" w:ascii="宋体" w:hAnsi="宋体" w:eastAsia="宋体" w:cs="宋体"/>
          <w:b w:val="0"/>
          <w:color w:val="auto"/>
          <w:sz w:val="24"/>
          <w:szCs w:val="24"/>
          <w:highlight w:val="none"/>
        </w:rPr>
        <w:t xml:space="preserve">2.5 </w:t>
      </w:r>
      <w:bookmarkEnd w:id="216"/>
      <w:r>
        <w:rPr>
          <w:rFonts w:hint="eastAsia" w:ascii="宋体" w:hAnsi="宋体" w:eastAsia="宋体" w:cs="宋体"/>
          <w:b w:val="0"/>
          <w:color w:val="auto"/>
          <w:sz w:val="24"/>
          <w:szCs w:val="24"/>
          <w:highlight w:val="none"/>
        </w:rPr>
        <w:t>勘察设计文件接收</w:t>
      </w:r>
      <w:bookmarkEnd w:id="217"/>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发包人应按合同约定及时接收勘察人、设计人提交的工程勘察设计文件。</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18" w:name="_Toc13853"/>
      <w:r>
        <w:rPr>
          <w:rFonts w:hint="eastAsia" w:ascii="宋体" w:hAnsi="宋体" w:eastAsia="宋体" w:cs="宋体"/>
          <w:b w:val="0"/>
          <w:color w:val="auto"/>
          <w:sz w:val="24"/>
          <w:szCs w:val="24"/>
          <w:highlight w:val="none"/>
        </w:rPr>
        <w:t>3</w:t>
      </w:r>
      <w:bookmarkStart w:id="219" w:name="_Toc296503045"/>
      <w:bookmarkStart w:id="220" w:name="_Toc337558746"/>
      <w:bookmarkStart w:id="221" w:name="_Toc296346546"/>
      <w:r>
        <w:rPr>
          <w:rFonts w:hint="eastAsia" w:ascii="宋体" w:hAnsi="宋体" w:eastAsia="宋体" w:cs="宋体"/>
          <w:b w:val="0"/>
          <w:color w:val="auto"/>
          <w:sz w:val="24"/>
          <w:szCs w:val="24"/>
          <w:highlight w:val="none"/>
        </w:rPr>
        <w:t>. 勘察人、设计人</w:t>
      </w:r>
      <w:bookmarkEnd w:id="218"/>
    </w:p>
    <w:bookmarkEnd w:id="219"/>
    <w:bookmarkEnd w:id="220"/>
    <w:bookmarkEnd w:id="221"/>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22" w:name="_Toc17425"/>
      <w:r>
        <w:rPr>
          <w:rFonts w:hint="eastAsia" w:ascii="宋体" w:hAnsi="宋体" w:eastAsia="宋体" w:cs="宋体"/>
          <w:b w:val="0"/>
          <w:color w:val="auto"/>
          <w:sz w:val="24"/>
          <w:szCs w:val="24"/>
          <w:highlight w:val="none"/>
        </w:rPr>
        <w:t>3</w:t>
      </w:r>
      <w:bookmarkStart w:id="223" w:name="_Toc337558747"/>
      <w:bookmarkStart w:id="224" w:name="_Toc296503046"/>
      <w:bookmarkStart w:id="225" w:name="_Toc296346547"/>
      <w:r>
        <w:rPr>
          <w:rFonts w:hint="eastAsia" w:ascii="宋体" w:hAnsi="宋体" w:eastAsia="宋体" w:cs="宋体"/>
          <w:b w:val="0"/>
          <w:color w:val="auto"/>
          <w:sz w:val="24"/>
          <w:szCs w:val="24"/>
          <w:highlight w:val="none"/>
        </w:rPr>
        <w:t>.1 勘察人、设计人义务</w:t>
      </w:r>
      <w:bookmarkEnd w:id="222"/>
    </w:p>
    <w:bookmarkEnd w:id="223"/>
    <w:bookmarkEnd w:id="224"/>
    <w:bookmarkEnd w:id="225"/>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3.1.1勘察人应按勘察任务书和技术要求并依据有关技术标准进行工程勘察工作。</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3.1.2 勘察人应建立质量保证体系，按本合同约定的时间提交质量合格的成果资料，并对其质量负责。</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3.1.3 勘察人在提交成果资料后，应为发包人继续提供后期服务。</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3.1.4 勘察人在工程勘察期间遇到地下文物时，应及时向发包人和文物主管部门报告并妥善保护。</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3.1.5 勘察人开展工程勘察活动时应遵守有关职业健康及安全生产方面的各项法律法规的规定，采取安全防护措施，确保人员、设备和设施的安全。</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3.1.6 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3.1.7 勘察人应在勘察方案中列明环境保护的具体措施，并在合同履行期间采取合理措施保护作业现场环境。</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3.1.8 设计人应遵守法律和有关技术标准的强制性规定，完成合同约定范围内的专业建设工程初步设计（如有）、施工图设计，提供符合技术标准及合同要求的工程设计文件，提供施工配合服务。</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3.1.9 设计人应当完成合同约定的工程设计其他服务。</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3.1.10 专用合同条款约定的勘察人其他义务。</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3.1.11 专用合同条款约定的设计人其他义务。</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26" w:name="_Toc7499"/>
      <w:r>
        <w:rPr>
          <w:rFonts w:hint="eastAsia" w:ascii="宋体" w:hAnsi="宋体" w:eastAsia="宋体" w:cs="宋体"/>
          <w:b w:val="0"/>
          <w:color w:val="auto"/>
          <w:sz w:val="24"/>
          <w:szCs w:val="24"/>
          <w:highlight w:val="none"/>
        </w:rPr>
        <w:t>3</w:t>
      </w:r>
      <w:bookmarkStart w:id="227" w:name="_Toc296346548"/>
      <w:bookmarkStart w:id="228" w:name="_Toc296503047"/>
      <w:bookmarkStart w:id="229" w:name="_Toc337558748"/>
      <w:r>
        <w:rPr>
          <w:rFonts w:hint="eastAsia" w:ascii="宋体" w:hAnsi="宋体" w:eastAsia="宋体" w:cs="宋体"/>
          <w:b w:val="0"/>
          <w:color w:val="auto"/>
          <w:sz w:val="24"/>
          <w:szCs w:val="24"/>
          <w:highlight w:val="none"/>
        </w:rPr>
        <w:t>.2 项目负责人</w:t>
      </w:r>
      <w:bookmarkEnd w:id="226"/>
    </w:p>
    <w:bookmarkEnd w:id="227"/>
    <w:bookmarkEnd w:id="228"/>
    <w:bookmarkEnd w:id="229"/>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 项目负责人应为合同当事人所确认的人选，并在专用合同条款中明确项目负责人的姓名、执业资格及等级与注册执业证书编号或职称、联系方式及授权范围等事项，（勘察、设计）项目负责人经勘察人、设计人授权后代表勘察人、设计人负责履行合同。</w:t>
      </w:r>
    </w:p>
    <w:p>
      <w:pPr>
        <w:pageBreakBefore w:val="0"/>
        <w:widowControl/>
        <w:kinsoku/>
        <w:wordWrap/>
        <w:overflowPunct/>
        <w:topLinePunct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3.2.2 勘察人、设计人需要更换项目负责人的，应在专用合同条款约定的期限内提前书面通知发包人，并征得发包人书面同意。通知中应当载明继任项目负责人的注册执业资格或职称、管理经验等资料，继任项目负责人继续履行第3.2.1项约定的职责。未经发包人书面同意，勘察人、设计人不得擅自更换项目负责人。勘察人、设计人擅自更换项目负责人的，应按照专用合同条款的约定承担违约责任。对于项目负责人确因患病、与勘察人、设计人解除或终止劳动关系、工伤等原因更换项目负责人的，发包人无正当理由不得拒绝更换。</w:t>
      </w:r>
    </w:p>
    <w:p>
      <w:pPr>
        <w:pageBreakBefore w:val="0"/>
        <w:widowControl/>
        <w:kinsoku/>
        <w:wordWrap/>
        <w:overflowPunct/>
        <w:topLinePunct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3.2.3 发包人有权书面通知勘察人、设计人更换其认为不称职的项目负责人，通知中应当载明要求更换的理由。对于发包人有理由的更换要求，勘察人、设计人应在收到书面更换通知后在专用合同条款约定的期限内进行更换，并将新任命的项目负责人的注册执业资格或职称、管理经验等资料书面通知发包人。继任项目负责人继续履行第3.2.1项约定的职责。勘察人、设计人无正当理由拒绝更换项目负责人的，应按照专用合同条款的约定承担违约责任。</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30" w:name="_Toc15308"/>
      <w:r>
        <w:rPr>
          <w:rFonts w:hint="eastAsia" w:ascii="宋体" w:hAnsi="宋体" w:eastAsia="宋体" w:cs="宋体"/>
          <w:b w:val="0"/>
          <w:color w:val="auto"/>
          <w:sz w:val="24"/>
          <w:szCs w:val="24"/>
          <w:highlight w:val="none"/>
        </w:rPr>
        <w:t>3</w:t>
      </w:r>
      <w:bookmarkStart w:id="231" w:name="_Toc296503048"/>
      <w:bookmarkStart w:id="232" w:name="_Toc296346549"/>
      <w:bookmarkStart w:id="233" w:name="_Toc337558749"/>
      <w:r>
        <w:rPr>
          <w:rFonts w:hint="eastAsia" w:ascii="宋体" w:hAnsi="宋体" w:eastAsia="宋体" w:cs="宋体"/>
          <w:b w:val="0"/>
          <w:color w:val="auto"/>
          <w:sz w:val="24"/>
          <w:szCs w:val="24"/>
          <w:highlight w:val="none"/>
        </w:rPr>
        <w:t xml:space="preserve">.3 </w:t>
      </w:r>
      <w:bookmarkEnd w:id="231"/>
      <w:bookmarkEnd w:id="232"/>
      <w:r>
        <w:rPr>
          <w:rFonts w:hint="eastAsia" w:ascii="宋体" w:hAnsi="宋体" w:eastAsia="宋体" w:cs="宋体"/>
          <w:b w:val="0"/>
          <w:color w:val="auto"/>
          <w:sz w:val="24"/>
          <w:szCs w:val="24"/>
          <w:highlight w:val="none"/>
        </w:rPr>
        <w:t>勘察人、设计人人员</w:t>
      </w:r>
      <w:bookmarkEnd w:id="230"/>
    </w:p>
    <w:bookmarkEnd w:id="233"/>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除专用合同条款对期限另有约定外，勘察人、设计人应在接到开始设计通知后7天内，向发包人提交勘察人、设计人项目管理机构及人员安排的报告，其内容应包括勘察、给排水、工艺、土建、设备等专业负责人名单及其岗位、注册执业资格或职称等。</w:t>
      </w:r>
    </w:p>
    <w:p>
      <w:pPr>
        <w:pageBreakBefore w:val="0"/>
        <w:widowControl/>
        <w:kinsoku/>
        <w:wordWrap/>
        <w:overflowPunct/>
        <w:topLinePunct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勘察人、设计人委派到工程勘察设计中的勘察设计人员应相对稳定。勘察设计过程中如有变动，勘察人、设计人应及时向发包人提交工程勘察设计人员变动情况的报告。勘察人、设计人更换专业负责人时，应提前7天书面通知发包人，除专业负责人无法正常履职情形外，还应征得发包人书面同意。通知中应当载明继任人员的注册执业资格或职称、执业经验等资料。</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发包人对于勘察人、设计人主要勘察设计人员的资格或能力有异议的，勘察人、设计人应提供资料证明被质疑人员有能力完成其岗位工作或不存在发包人所质疑的情形。发包人要求撤换不能按照合同约定履行职责及义务的主要勘察设计人员的，勘察人、设计人认为发包人有理由的，应当撤换。勘察人、设计人无正当理由拒绝撤换的，应按照专用合同条款的约定承担违约责任。</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34" w:name="_Toc1903"/>
      <w:r>
        <w:rPr>
          <w:rFonts w:hint="eastAsia" w:ascii="宋体" w:hAnsi="宋体" w:eastAsia="宋体" w:cs="宋体"/>
          <w:b w:val="0"/>
          <w:color w:val="auto"/>
          <w:sz w:val="24"/>
          <w:szCs w:val="24"/>
          <w:highlight w:val="none"/>
        </w:rPr>
        <w:t>3</w:t>
      </w:r>
      <w:bookmarkStart w:id="235" w:name="_Toc296503051"/>
      <w:bookmarkStart w:id="236" w:name="_Toc296346552"/>
      <w:bookmarkStart w:id="237" w:name="_Toc337558751"/>
      <w:r>
        <w:rPr>
          <w:rFonts w:hint="eastAsia" w:ascii="宋体" w:hAnsi="宋体" w:eastAsia="宋体" w:cs="宋体"/>
          <w:b w:val="0"/>
          <w:color w:val="auto"/>
          <w:sz w:val="24"/>
          <w:szCs w:val="24"/>
          <w:highlight w:val="none"/>
        </w:rPr>
        <w:t>.4 勘察设计分包</w:t>
      </w:r>
      <w:bookmarkEnd w:id="234"/>
    </w:p>
    <w:bookmarkEnd w:id="235"/>
    <w:bookmarkEnd w:id="236"/>
    <w:bookmarkEnd w:id="237"/>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 勘察设计分包的一般约定</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 勘察设计分包的确定</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设计人应按专用合同条款的约定或经过发包人书面同意后进行分包，确定分包人。按照合同约定或经过发包人书面同意后进行分包的，勘察人、设计人应确保分包人具有相应的资质和能力。工程勘察设计分包不减轻或免除勘察人、设计人的责任和义务，勘察人、设计人和分包人就分包工程勘察设计向发包人承担连带责任。</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 勘察设计分包管理</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勘察人、设计人应按照专用合同条款的约定向发包人提交分包人的主要工程勘察设计人员名单、注册执业资格或职称及执业经历等。</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 分包工程勘察设计费</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（1）除本项第（2）目约定的情况或专用合同条款另有约定外，分包工程勘察设计费由勘察人、设计人与分包人结算，未经勘察人、设计人同意，发包人不得向分包人支付分包工程勘察设计费；</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（2）生效的法院判决书或仲裁裁决书要求发包人向分包人支付分包工程勘察设计费的，发包人有权从应付勘察人、设计人合同价款中扣除该部分费用。</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38" w:name="_Toc32257"/>
      <w:bookmarkStart w:id="239" w:name="_Toc351203526"/>
      <w:r>
        <w:rPr>
          <w:rFonts w:hint="eastAsia" w:ascii="宋体" w:hAnsi="宋体" w:eastAsia="宋体" w:cs="宋体"/>
          <w:b w:val="0"/>
          <w:color w:val="auto"/>
          <w:sz w:val="24"/>
          <w:szCs w:val="24"/>
          <w:highlight w:val="none"/>
        </w:rPr>
        <w:t>3.5 联合体</w:t>
      </w:r>
      <w:bookmarkEnd w:id="238"/>
      <w:bookmarkEnd w:id="239"/>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 联合体各方应共同与发包人签订合同协议书。联合体各方应为履行合同向发包人承担连带责任。</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3.5.2 联合体协议，应当约定联合体各成员工作分工，经发包人确认后作为合同附件。在履行合同过程中，未经发包人同意，不得修改联合体协议。</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3.5.3 联合体</w:t>
      </w:r>
      <w:r>
        <w:rPr>
          <w:rFonts w:hint="eastAsia" w:ascii="宋体" w:hAnsi="宋体" w:eastAsia="宋体" w:cs="宋体"/>
          <w:color w:val="auto"/>
          <w:kern w:val="0"/>
          <w:sz w:val="24"/>
          <w:szCs w:val="24"/>
          <w:highlight w:val="none"/>
          <w:lang w:eastAsia="zh-CN"/>
        </w:rPr>
        <w:t>主办方</w:t>
      </w:r>
      <w:r>
        <w:rPr>
          <w:rFonts w:hint="eastAsia" w:ascii="宋体" w:hAnsi="宋体" w:eastAsia="宋体" w:cs="宋体"/>
          <w:color w:val="auto"/>
          <w:kern w:val="0"/>
          <w:sz w:val="24"/>
          <w:szCs w:val="24"/>
          <w:highlight w:val="none"/>
        </w:rPr>
        <w:t>负责与发包人联系，并接受指示，负责组织联合体各成员全面履行合同。</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3.5.4 发包人向联合体支付勘察设计费用的方式在专用合同条款中约定。</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40" w:name="_Toc24843"/>
      <w:r>
        <w:rPr>
          <w:rFonts w:hint="eastAsia" w:ascii="宋体" w:hAnsi="宋体" w:eastAsia="宋体" w:cs="宋体"/>
          <w:b w:val="0"/>
          <w:color w:val="auto"/>
          <w:sz w:val="24"/>
          <w:szCs w:val="24"/>
          <w:highlight w:val="none"/>
        </w:rPr>
        <w:t>4. 工程勘察设计资料</w:t>
      </w:r>
      <w:bookmarkEnd w:id="240"/>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41" w:name="_Toc10784"/>
      <w:r>
        <w:rPr>
          <w:rFonts w:hint="eastAsia" w:ascii="宋体" w:hAnsi="宋体" w:eastAsia="宋体" w:cs="宋体"/>
          <w:b w:val="0"/>
          <w:color w:val="auto"/>
          <w:sz w:val="24"/>
          <w:szCs w:val="24"/>
          <w:highlight w:val="none"/>
        </w:rPr>
        <w:t>4.1 提供工程勘察设计资料</w:t>
      </w:r>
      <w:bookmarkEnd w:id="241"/>
    </w:p>
    <w:p>
      <w:pPr>
        <w:pageBreakBefore w:val="0"/>
        <w:widowControl/>
        <w:kinsoku/>
        <w:wordWrap/>
        <w:overflowPunct/>
        <w:topLinePunct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发包人应当在工程勘察设计前或专用合同条款附件2约定的时间向勘察人、设计人提供工程勘察设计所必需的工程勘察设计资料，并对所提供资料的真实性、准确性和完整性负责。</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按照法律规定确需在工程勘察设计开始后方能提供的勘察设计资料，发包人应及时地在相应工程勘察设计文件提交给发包人前的合理期限内提供，合理期限应以不影响勘察人、设计人的正常勘察设计为限。</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42" w:name="_Toc25847"/>
      <w:r>
        <w:rPr>
          <w:rFonts w:hint="eastAsia" w:ascii="宋体" w:hAnsi="宋体" w:eastAsia="宋体" w:cs="宋体"/>
          <w:b w:val="0"/>
          <w:color w:val="auto"/>
          <w:sz w:val="24"/>
          <w:szCs w:val="24"/>
          <w:highlight w:val="none"/>
        </w:rPr>
        <w:t>4.2 逾期提供的责任</w:t>
      </w:r>
      <w:bookmarkEnd w:id="242"/>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发包人提交上述文件和资料超过约定期限的，超过约定期限15天以内，</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设计人按本合同约定的交付工程勘察设计文件时间相应顺延；超过约定期限15天以外时，</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设计人有权重新确定提交工程勘察设计文件的时间。工程勘察设计资料逾期提供导致增加了勘察设计工作量的，</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设计人可以要求发包人另行支付相应勘察设计费用，并相应延长勘察设计周期。</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bookmarkStart w:id="243" w:name="_Toc27679"/>
      <w:bookmarkStart w:id="244" w:name="_Toc337558758"/>
      <w:r>
        <w:rPr>
          <w:rFonts w:hint="eastAsia" w:ascii="宋体" w:hAnsi="宋体" w:eastAsia="宋体" w:cs="宋体"/>
          <w:b w:val="0"/>
          <w:color w:val="auto"/>
          <w:sz w:val="24"/>
          <w:szCs w:val="24"/>
          <w:highlight w:val="none"/>
        </w:rPr>
        <w:t>5. 工程勘察设计要求</w:t>
      </w:r>
      <w:bookmarkEnd w:id="243"/>
    </w:p>
    <w:bookmarkEnd w:id="244"/>
    <w:p>
      <w:pPr>
        <w:keepNext w:val="0"/>
        <w:keepLines w:val="0"/>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45" w:name="_Toc459"/>
      <w:bookmarkStart w:id="246" w:name="_Toc337558759"/>
      <w:r>
        <w:rPr>
          <w:rFonts w:hint="eastAsia" w:ascii="宋体" w:hAnsi="宋体" w:eastAsia="宋体" w:cs="宋体"/>
          <w:b w:val="0"/>
          <w:color w:val="auto"/>
          <w:kern w:val="0"/>
          <w:sz w:val="24"/>
          <w:szCs w:val="24"/>
          <w:highlight w:val="none"/>
        </w:rPr>
        <w:t>5.1 工程勘察设计一般要求</w:t>
      </w:r>
      <w:bookmarkEnd w:id="245"/>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5.1.1 对发包人的要求</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应当遵守法律和技术标准，发包人提出的有关安全、质量、环境保护和职业健康的要求应当符合法律和技术标准的规定，不得以任何理由要求勘察人、设计人违反法律、技术标准进行勘察设计。发包人鼓励勘察人、设计人使用可靠的创新技术和新材料。</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5.1.2 对</w:t>
      </w:r>
      <w:r>
        <w:rPr>
          <w:rFonts w:hint="eastAsia" w:ascii="宋体" w:hAnsi="宋体" w:eastAsia="宋体" w:cs="宋体"/>
          <w:bCs/>
          <w:color w:val="auto"/>
          <w:kern w:val="0"/>
          <w:sz w:val="24"/>
          <w:szCs w:val="24"/>
          <w:highlight w:val="none"/>
        </w:rPr>
        <w:t>勘察人、</w:t>
      </w:r>
      <w:r>
        <w:rPr>
          <w:rFonts w:hint="eastAsia" w:ascii="宋体" w:hAnsi="宋体" w:eastAsia="宋体" w:cs="宋体"/>
          <w:color w:val="auto"/>
          <w:kern w:val="0"/>
          <w:sz w:val="24"/>
          <w:szCs w:val="24"/>
          <w:highlight w:val="none"/>
        </w:rPr>
        <w:t>设计人的要求</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5.1.2.1</w:t>
      </w:r>
      <w:r>
        <w:rPr>
          <w:rFonts w:hint="eastAsia" w:ascii="宋体" w:hAnsi="宋体" w:eastAsia="宋体" w:cs="宋体"/>
          <w:bCs/>
          <w:color w:val="auto"/>
          <w:kern w:val="0"/>
          <w:sz w:val="24"/>
          <w:szCs w:val="24"/>
          <w:highlight w:val="none"/>
        </w:rPr>
        <w:t>勘察人、</w:t>
      </w:r>
      <w:r>
        <w:rPr>
          <w:rFonts w:hint="eastAsia" w:ascii="宋体" w:hAnsi="宋体" w:eastAsia="宋体" w:cs="宋体"/>
          <w:color w:val="auto"/>
          <w:kern w:val="0"/>
          <w:sz w:val="24"/>
          <w:szCs w:val="24"/>
          <w:highlight w:val="none"/>
        </w:rPr>
        <w:t>设计人应当按法律和技术标准的强制性规定及发包人要求进行工程勘察设计。有关工程勘察设计的特殊标准或要求由合同当事人在专用合同条款中约定。</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勘察人、设计人发现发包人提供的工程勘察设计资料有问题的，勘察人、设计人应当及时通知发包人并经发包人确认。</w:t>
      </w:r>
    </w:p>
    <w:bookmarkEnd w:id="246"/>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5.1.2.2  除合同另有约定外，</w:t>
      </w:r>
      <w:r>
        <w:rPr>
          <w:rFonts w:hint="eastAsia" w:ascii="宋体" w:hAnsi="宋体" w:eastAsia="宋体" w:cs="宋体"/>
          <w:bCs/>
          <w:color w:val="auto"/>
          <w:kern w:val="0"/>
          <w:sz w:val="24"/>
          <w:szCs w:val="24"/>
          <w:highlight w:val="none"/>
        </w:rPr>
        <w:t>勘察人、</w:t>
      </w:r>
      <w:r>
        <w:rPr>
          <w:rFonts w:hint="eastAsia" w:ascii="宋体" w:hAnsi="宋体" w:eastAsia="宋体" w:cs="宋体"/>
          <w:color w:val="auto"/>
          <w:kern w:val="0"/>
          <w:sz w:val="24"/>
          <w:szCs w:val="24"/>
          <w:highlight w:val="none"/>
        </w:rPr>
        <w:t>设计人完成勘察设计工作所应遵守的法律以及技术标准，均应视为在基准日期适用的版本。基准日期之后，前述版本发生重大变化，或者有新的法律以及技术标准实施的，</w:t>
      </w:r>
      <w:r>
        <w:rPr>
          <w:rFonts w:hint="eastAsia" w:ascii="宋体" w:hAnsi="宋体" w:eastAsia="宋体" w:cs="宋体"/>
          <w:bCs/>
          <w:color w:val="auto"/>
          <w:kern w:val="0"/>
          <w:sz w:val="24"/>
          <w:szCs w:val="24"/>
          <w:highlight w:val="none"/>
        </w:rPr>
        <w:t>勘察人、</w:t>
      </w:r>
      <w:r>
        <w:rPr>
          <w:rFonts w:hint="eastAsia" w:ascii="宋体" w:hAnsi="宋体" w:eastAsia="宋体" w:cs="宋体"/>
          <w:color w:val="auto"/>
          <w:kern w:val="0"/>
          <w:sz w:val="24"/>
          <w:szCs w:val="24"/>
          <w:highlight w:val="none"/>
        </w:rPr>
        <w:t>设计人应就推荐性标准向发包人提出遵守新标准的建议，对强制性的规定或标准应当遵照执行。因发包人采纳</w:t>
      </w:r>
      <w:r>
        <w:rPr>
          <w:rFonts w:hint="eastAsia" w:ascii="宋体" w:hAnsi="宋体" w:eastAsia="宋体" w:cs="宋体"/>
          <w:bCs/>
          <w:color w:val="auto"/>
          <w:kern w:val="0"/>
          <w:sz w:val="24"/>
          <w:szCs w:val="24"/>
          <w:highlight w:val="none"/>
        </w:rPr>
        <w:t>勘察人、</w:t>
      </w:r>
      <w:r>
        <w:rPr>
          <w:rFonts w:hint="eastAsia" w:ascii="宋体" w:hAnsi="宋体" w:eastAsia="宋体" w:cs="宋体"/>
          <w:color w:val="auto"/>
          <w:kern w:val="0"/>
          <w:sz w:val="24"/>
          <w:szCs w:val="24"/>
          <w:highlight w:val="none"/>
        </w:rPr>
        <w:t>设计人的建议或遵守基准日期后新的强制性的规定或标准，导致增加勘察设计费用和（或）勘察设计周期延长的，由发包人承担。</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5.1.2.3 </w:t>
      </w:r>
      <w:r>
        <w:rPr>
          <w:rFonts w:hint="eastAsia" w:ascii="宋体" w:hAnsi="宋体" w:eastAsia="宋体" w:cs="宋体"/>
          <w:bCs/>
          <w:color w:val="auto"/>
          <w:kern w:val="0"/>
          <w:sz w:val="24"/>
          <w:szCs w:val="24"/>
          <w:highlight w:val="none"/>
        </w:rPr>
        <w:t>勘察人、</w:t>
      </w:r>
      <w:r>
        <w:rPr>
          <w:rFonts w:hint="eastAsia" w:ascii="宋体" w:hAnsi="宋体" w:eastAsia="宋体" w:cs="宋体"/>
          <w:color w:val="auto"/>
          <w:kern w:val="0"/>
          <w:sz w:val="24"/>
          <w:szCs w:val="24"/>
          <w:highlight w:val="none"/>
        </w:rPr>
        <w:t>设计人在工程勘察设计中应当采用合同约定的技术、工艺和设备，满足质量、安全、节能、环保等要求。</w:t>
      </w:r>
    </w:p>
    <w:p>
      <w:pPr>
        <w:keepNext w:val="0"/>
        <w:keepLines w:val="0"/>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kern w:val="0"/>
          <w:sz w:val="24"/>
          <w:szCs w:val="24"/>
          <w:highlight w:val="none"/>
        </w:rPr>
      </w:pPr>
      <w:bookmarkStart w:id="247" w:name="_Toc2252"/>
      <w:r>
        <w:rPr>
          <w:rFonts w:hint="eastAsia" w:ascii="宋体" w:hAnsi="宋体" w:eastAsia="宋体" w:cs="宋体"/>
          <w:b w:val="0"/>
          <w:color w:val="auto"/>
          <w:kern w:val="0"/>
          <w:sz w:val="24"/>
          <w:szCs w:val="24"/>
          <w:highlight w:val="none"/>
        </w:rPr>
        <w:t>5.2 工程勘察设计保证措施</w:t>
      </w:r>
      <w:bookmarkEnd w:id="247"/>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5.2.1 发包人的保证措施</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发包人应按照法律规定及合同约定完成与工程勘察设计有关的各项工作。</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5.2.2 </w:t>
      </w:r>
      <w:r>
        <w:rPr>
          <w:rFonts w:hint="eastAsia" w:ascii="宋体" w:hAnsi="宋体" w:eastAsia="宋体" w:cs="宋体"/>
          <w:bCs/>
          <w:color w:val="auto"/>
          <w:kern w:val="0"/>
          <w:sz w:val="24"/>
          <w:szCs w:val="24"/>
          <w:highlight w:val="none"/>
        </w:rPr>
        <w:t>勘察人、</w:t>
      </w:r>
      <w:r>
        <w:rPr>
          <w:rFonts w:hint="eastAsia" w:ascii="宋体" w:hAnsi="宋体" w:eastAsia="宋体" w:cs="宋体"/>
          <w:color w:val="auto"/>
          <w:kern w:val="0"/>
          <w:sz w:val="24"/>
          <w:szCs w:val="24"/>
          <w:highlight w:val="none"/>
        </w:rPr>
        <w:t>设计人的保证措施</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勘察人、</w:t>
      </w:r>
      <w:r>
        <w:rPr>
          <w:rFonts w:hint="eastAsia" w:ascii="宋体" w:hAnsi="宋体" w:eastAsia="宋体" w:cs="宋体"/>
          <w:color w:val="auto"/>
          <w:kern w:val="0"/>
          <w:sz w:val="24"/>
          <w:szCs w:val="24"/>
          <w:highlight w:val="none"/>
        </w:rPr>
        <w:t>设计人应做好工程勘察设计的质量与技术管理工作，建立健全工程勘察设计质量保证体系，加强工程勘察设计全过程的质量控制，建立完整的勘察设计文件的设计、复核、审核、会签和批准制度，明确各阶段的责任人。</w:t>
      </w:r>
    </w:p>
    <w:p>
      <w:pPr>
        <w:keepNext w:val="0"/>
        <w:keepLines w:val="0"/>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kern w:val="0"/>
          <w:sz w:val="24"/>
          <w:szCs w:val="24"/>
          <w:highlight w:val="none"/>
        </w:rPr>
      </w:pPr>
      <w:bookmarkStart w:id="248" w:name="_Toc32617"/>
      <w:r>
        <w:rPr>
          <w:rFonts w:hint="eastAsia" w:ascii="宋体" w:hAnsi="宋体" w:eastAsia="宋体" w:cs="宋体"/>
          <w:b w:val="0"/>
          <w:color w:val="auto"/>
          <w:kern w:val="0"/>
          <w:sz w:val="24"/>
          <w:szCs w:val="24"/>
          <w:highlight w:val="none"/>
        </w:rPr>
        <w:t>5.3 工程勘察设计文件的要求</w:t>
      </w:r>
      <w:bookmarkEnd w:id="248"/>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5.3.1 工程勘察设计文件的编制应符合法律、技术标准的强制性规定及合同的要求。</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5.3.2 工程勘察设计依据应完整、准确、可靠，设计方案论证充分，计算成果可靠，并能够实施。</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5.3.3 工程勘察设计文件的深度应满足本合同相应勘察设计阶段的规定要求，并符合国家和行业现行有效的相关规定。</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5.3.4 工程勘察设计文件应当保证工程施工及投产后安全性要求，满足工程经济性包括节约投资及降低生产成本要求、合理布局要求，按照有关法律规定在工程勘察设计文件中提出保障施工作业人员安全和预防生产安全事故的措施建议，安全设施应当按规定同步勘察设计。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5.3.5 应根据法律、技术标准要求，保证专业建设工程的合理使用寿命年限，并应在工程勘察设计文件中注明相应的合理使用寿命年限。</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kern w:val="0"/>
          <w:sz w:val="24"/>
          <w:szCs w:val="24"/>
          <w:highlight w:val="none"/>
        </w:rPr>
      </w:pPr>
      <w:bookmarkStart w:id="249" w:name="_Toc351203536"/>
      <w:bookmarkStart w:id="250" w:name="_Toc3488"/>
      <w:bookmarkStart w:id="251" w:name="_Toc337558762"/>
      <w:r>
        <w:rPr>
          <w:rFonts w:hint="eastAsia" w:ascii="宋体" w:hAnsi="宋体" w:eastAsia="宋体" w:cs="宋体"/>
          <w:b w:val="0"/>
          <w:color w:val="auto"/>
          <w:kern w:val="0"/>
          <w:sz w:val="24"/>
          <w:szCs w:val="24"/>
          <w:highlight w:val="none"/>
        </w:rPr>
        <w:t>5.4 不合格工程勘察设计文件的处理</w:t>
      </w:r>
      <w:bookmarkEnd w:id="249"/>
      <w:bookmarkEnd w:id="250"/>
    </w:p>
    <w:bookmarkEnd w:id="251"/>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5.4.1 因勘察人、设计人原因造成工程勘察设计文件不合格的，发包人有权要求勘察人、设计人采取补救措施，直至达到合同要求的质量标准，并按第14.2款〔勘察人、设计人违约责任〕的约定承担责任。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5.4.2 因发包人原因造成工程勘察设计文件不合格的，勘察人、设计人应当采取补救措施，直至达到合同要求的质量标准，由此增加的勘察设计费用和（或）勘察设计周期的延长由发包人承担。</w:t>
      </w:r>
    </w:p>
    <w:p>
      <w:pPr>
        <w:keepNext w:val="0"/>
        <w:keepLines w:val="0"/>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52" w:name="_Toc3584"/>
      <w:bookmarkStart w:id="253" w:name="_Toc337558767"/>
      <w:r>
        <w:rPr>
          <w:rFonts w:hint="eastAsia" w:ascii="宋体" w:hAnsi="宋体" w:eastAsia="宋体" w:cs="宋体"/>
          <w:b w:val="0"/>
          <w:color w:val="auto"/>
          <w:sz w:val="24"/>
          <w:szCs w:val="24"/>
          <w:highlight w:val="none"/>
        </w:rPr>
        <w:t>6. 工程勘察设计进度与周期</w:t>
      </w:r>
      <w:bookmarkEnd w:id="252"/>
    </w:p>
    <w:bookmarkEnd w:id="253"/>
    <w:p>
      <w:pPr>
        <w:keepNext w:val="0"/>
        <w:keepLines w:val="0"/>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kern w:val="0"/>
          <w:sz w:val="24"/>
          <w:szCs w:val="24"/>
          <w:highlight w:val="none"/>
        </w:rPr>
      </w:pPr>
      <w:bookmarkStart w:id="254" w:name="_Toc18500"/>
      <w:bookmarkStart w:id="255" w:name="_Toc337558769"/>
      <w:bookmarkStart w:id="256" w:name="_Toc296346567"/>
      <w:bookmarkStart w:id="257" w:name="_Toc296503066"/>
      <w:r>
        <w:rPr>
          <w:rFonts w:hint="eastAsia" w:ascii="宋体" w:hAnsi="宋体" w:eastAsia="宋体" w:cs="宋体"/>
          <w:b w:val="0"/>
          <w:color w:val="auto"/>
          <w:kern w:val="0"/>
          <w:sz w:val="24"/>
          <w:szCs w:val="24"/>
          <w:highlight w:val="none"/>
        </w:rPr>
        <w:t>6.1 工程勘察设计进度计划</w:t>
      </w:r>
      <w:bookmarkEnd w:id="254"/>
    </w:p>
    <w:bookmarkEnd w:id="255"/>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6.1.1 工程勘察设计进度计划的编制</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设计人应按照专用合同条款约定提交工程勘察设计进度计划，工程勘察设计进度计划的编制应当符合法律规定和一般工程勘察设计实践惯例，工程勘察设计进度计划经发包人批准后实施。工程勘察设计进度计划是控制工程勘察设计进度的依据，发包人有权按照工程勘察设计进度计划中列明的关键性控制节点检查工程勘察设计进度情况。</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工程勘察设计进度计划中的勘察设计周期应由发包人与勘察人、设计人协商确定，明确约定各阶段勘察设计任务的完成时间区间，</w:t>
      </w:r>
      <w:r>
        <w:rPr>
          <w:rFonts w:hint="eastAsia" w:ascii="宋体" w:hAnsi="宋体" w:eastAsia="宋体" w:cs="宋体"/>
          <w:color w:val="auto"/>
          <w:sz w:val="24"/>
          <w:szCs w:val="24"/>
          <w:highlight w:val="none"/>
        </w:rPr>
        <w:t>包括各阶段勘察设计过程中</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设计人与发包人的交流时间，但不包括相关政府部门对勘察设计成果的审批时间及发包人的审查时间。</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6.1.2 工程勘察设计进度计划的修订</w:t>
      </w:r>
    </w:p>
    <w:p>
      <w:pPr>
        <w:pageBreakBefore w:val="0"/>
        <w:widowControl/>
        <w:kinsoku/>
        <w:wordWrap/>
        <w:overflowPunct/>
        <w:topLinePunct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勘察</w:t>
      </w:r>
      <w:r>
        <w:rPr>
          <w:rFonts w:hint="eastAsia" w:ascii="宋体" w:hAnsi="宋体" w:eastAsia="宋体" w:cs="宋体"/>
          <w:color w:val="auto"/>
          <w:kern w:val="0"/>
          <w:sz w:val="24"/>
          <w:szCs w:val="24"/>
          <w:highlight w:val="none"/>
        </w:rPr>
        <w:t>设计进度计划不符合合同要求或与工程</w:t>
      </w:r>
      <w:r>
        <w:rPr>
          <w:rFonts w:hint="eastAsia" w:ascii="宋体" w:hAnsi="宋体" w:eastAsia="宋体" w:cs="宋体"/>
          <w:color w:val="auto"/>
          <w:sz w:val="24"/>
          <w:szCs w:val="24"/>
          <w:highlight w:val="none"/>
        </w:rPr>
        <w:t>勘察</w:t>
      </w:r>
      <w:r>
        <w:rPr>
          <w:rFonts w:hint="eastAsia" w:ascii="宋体" w:hAnsi="宋体" w:eastAsia="宋体" w:cs="宋体"/>
          <w:color w:val="auto"/>
          <w:kern w:val="0"/>
          <w:sz w:val="24"/>
          <w:szCs w:val="24"/>
          <w:highlight w:val="none"/>
        </w:rPr>
        <w:t>设计的实际进度不一致的，勘察人、设计人应向发包人提交修订的工程勘察设计进度计划，并附具有关措施和相关资料。除专用合同条款对期限另有约定外，发包人应在收到修订的工程勘察设计进度计划后5天内完成审核和批准或提出修改意见，否则视为发包人同意勘察人、设计人提交的修订的工程勘察设计进度计划。</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kern w:val="0"/>
          <w:sz w:val="24"/>
          <w:szCs w:val="24"/>
          <w:highlight w:val="none"/>
        </w:rPr>
      </w:pPr>
      <w:bookmarkStart w:id="258" w:name="_Toc29184"/>
      <w:bookmarkStart w:id="259" w:name="_Toc337558770"/>
      <w:r>
        <w:rPr>
          <w:rFonts w:hint="eastAsia" w:ascii="宋体" w:hAnsi="宋体" w:eastAsia="宋体" w:cs="宋体"/>
          <w:b w:val="0"/>
          <w:color w:val="auto"/>
          <w:kern w:val="0"/>
          <w:sz w:val="24"/>
          <w:szCs w:val="24"/>
          <w:highlight w:val="none"/>
        </w:rPr>
        <w:t>6.2 工程勘察设计开始</w:t>
      </w:r>
      <w:bookmarkEnd w:id="258"/>
    </w:p>
    <w:bookmarkEnd w:id="259"/>
    <w:p>
      <w:pPr>
        <w:pageBreakBefore w:val="0"/>
        <w:widowControl/>
        <w:kinsoku/>
        <w:wordWrap/>
        <w:overflowPunct/>
        <w:topLinePunct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照法律规定获得工程勘察设计所需的许可。发包人发出的开始勘察设计通知应符合法律规定，一般应在计划开始勘察设计日期7天前向勘察人、设计人发出开始工程勘察设计工作通知，工程勘察设计周期自开始勘察设计通知中载明的开始勘察设计的日期起算。</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勘察人、设计人应当在收到发包人提供的工程勘察设计资料及专用合同条款约定的定金或预付款后，开始勘察工程设计工作。</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各勘察设计阶段的开始时间均以</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设计人收到的发包人发出开始勘察设计工作的书面通知书中载明的</w:t>
      </w:r>
      <w:r>
        <w:rPr>
          <w:rFonts w:hint="eastAsia" w:ascii="宋体" w:hAnsi="宋体" w:eastAsia="宋体" w:cs="宋体"/>
          <w:color w:val="auto"/>
          <w:kern w:val="0"/>
          <w:sz w:val="24"/>
          <w:szCs w:val="24"/>
          <w:highlight w:val="none"/>
        </w:rPr>
        <w:t>开始</w:t>
      </w:r>
      <w:r>
        <w:rPr>
          <w:rFonts w:hint="eastAsia" w:ascii="宋体" w:hAnsi="宋体" w:eastAsia="宋体" w:cs="宋体"/>
          <w:color w:val="auto"/>
          <w:sz w:val="24"/>
          <w:szCs w:val="24"/>
          <w:highlight w:val="none"/>
        </w:rPr>
        <w:t>勘察</w:t>
      </w:r>
      <w:r>
        <w:rPr>
          <w:rFonts w:hint="eastAsia" w:ascii="宋体" w:hAnsi="宋体" w:eastAsia="宋体" w:cs="宋体"/>
          <w:color w:val="auto"/>
          <w:kern w:val="0"/>
          <w:sz w:val="24"/>
          <w:szCs w:val="24"/>
          <w:highlight w:val="none"/>
        </w:rPr>
        <w:t>设计的日期起算。</w:t>
      </w:r>
    </w:p>
    <w:bookmarkEnd w:id="256"/>
    <w:bookmarkEnd w:id="257"/>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kern w:val="0"/>
          <w:sz w:val="24"/>
          <w:szCs w:val="24"/>
          <w:highlight w:val="none"/>
        </w:rPr>
      </w:pPr>
      <w:bookmarkStart w:id="260" w:name="_Toc2853"/>
      <w:bookmarkStart w:id="261" w:name="_Toc337558772"/>
      <w:bookmarkStart w:id="262" w:name="_Toc296503073"/>
      <w:bookmarkStart w:id="263" w:name="_Toc296346574"/>
      <w:r>
        <w:rPr>
          <w:rFonts w:hint="eastAsia" w:ascii="宋体" w:hAnsi="宋体" w:eastAsia="宋体" w:cs="宋体"/>
          <w:b w:val="0"/>
          <w:color w:val="auto"/>
          <w:kern w:val="0"/>
          <w:sz w:val="24"/>
          <w:szCs w:val="24"/>
          <w:highlight w:val="none"/>
        </w:rPr>
        <w:t>6.3 工程勘察设计进度延误</w:t>
      </w:r>
      <w:bookmarkEnd w:id="260"/>
    </w:p>
    <w:bookmarkEnd w:id="261"/>
    <w:bookmarkEnd w:id="262"/>
    <w:bookmarkEnd w:id="263"/>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6.3.1 因发包人原因导致工程勘察设计进度延误</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在合同履行过程中，发包人导致工程勘察设计进度延误的情形主要有：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（1）发包人未能按合同约定提供工程勘察设计资料或所提供的工程勘察设计资料不符合合同约定或存在错误或疏漏的；</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（2）发包人未能按合同约定日期足额支付定金或预付款、进度款的；</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（3）发包人提出影响勘察设计周期的勘察设计变更要求的；</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（4）发包人增加合同工作内容；</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（5）发包人改变工程勘察设计技术要求；</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（6）专用合同条款中约定的其他情形。</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因发包人原因未按计划开始日期开始勘察设计的，发包人应按实际开始日期顺延完成勘察设计日期。</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除专用合同条款对期限另有约定外，勘察人、</w:t>
      </w:r>
      <w:r>
        <w:rPr>
          <w:rFonts w:hint="eastAsia" w:ascii="宋体" w:hAnsi="宋体" w:eastAsia="宋体" w:cs="宋体"/>
          <w:color w:val="auto"/>
          <w:sz w:val="24"/>
          <w:szCs w:val="24"/>
          <w:highlight w:val="none"/>
        </w:rPr>
        <w:t>设计人应在发生上述情况后5天内向发包人发出要求延期的书面通知，在发生上述情况后10天内提交要求延期的详细说明供发包人审查。</w:t>
      </w:r>
      <w:r>
        <w:rPr>
          <w:rFonts w:hint="eastAsia" w:ascii="宋体" w:hAnsi="宋体" w:eastAsia="宋体" w:cs="宋体"/>
          <w:color w:val="auto"/>
          <w:kern w:val="0"/>
          <w:sz w:val="24"/>
          <w:szCs w:val="24"/>
          <w:highlight w:val="none"/>
        </w:rPr>
        <w:t>除专用合同条款对期限另有约定外，</w:t>
      </w:r>
      <w:r>
        <w:rPr>
          <w:rFonts w:hint="eastAsia" w:ascii="宋体" w:hAnsi="宋体" w:eastAsia="宋体" w:cs="宋体"/>
          <w:color w:val="auto"/>
          <w:sz w:val="24"/>
          <w:szCs w:val="24"/>
          <w:highlight w:val="none"/>
        </w:rPr>
        <w:t>发包人收到</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设计人要求延期的详细说明后，应在5天内进行审查并就是否延长勘察设计周期及延期天数向</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设计人进行书面答复。</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如果发包人在收到</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w:t>
      </w:r>
      <w:r>
        <w:rPr>
          <w:rFonts w:hint="eastAsia" w:ascii="宋体" w:hAnsi="宋体" w:eastAsia="宋体" w:cs="宋体"/>
          <w:color w:val="auto"/>
          <w:kern w:val="0"/>
          <w:sz w:val="24"/>
          <w:szCs w:val="24"/>
          <w:highlight w:val="none"/>
        </w:rPr>
        <w:t>提交要求</w:t>
      </w:r>
      <w:r>
        <w:rPr>
          <w:rFonts w:hint="eastAsia" w:ascii="宋体" w:hAnsi="宋体" w:eastAsia="宋体" w:cs="宋体"/>
          <w:color w:val="auto"/>
          <w:sz w:val="24"/>
          <w:szCs w:val="24"/>
          <w:highlight w:val="none"/>
        </w:rPr>
        <w:t>延期的详细说明后，在约定的期限内未予答复，则视为</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设计人要求的延期已被发包人批准。如果</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设计人未能按本款约定的时间内发出要求延期的通知并提交详细资料，则发包人可拒绝作出任何延期的决定。</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发包人上述工程勘察设计进度延误情形</w:t>
      </w:r>
      <w:r>
        <w:rPr>
          <w:rFonts w:hint="eastAsia" w:ascii="宋体" w:hAnsi="宋体" w:eastAsia="宋体" w:cs="宋体"/>
          <w:color w:val="auto"/>
          <w:sz w:val="24"/>
          <w:szCs w:val="24"/>
          <w:highlight w:val="none"/>
        </w:rPr>
        <w:t>导致增加了勘察设计工作量的，发包人应当另行支付相应勘察设计费用。</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6.3.2 因勘察人、设计人原因导致工程设计进度延误</w:t>
      </w:r>
    </w:p>
    <w:p>
      <w:pPr>
        <w:pageBreakBefore w:val="0"/>
        <w:widowControl/>
        <w:kinsoku/>
        <w:wordWrap/>
        <w:overflowPunct/>
        <w:topLinePunct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bookmarkStart w:id="264" w:name="_Toc296503076"/>
      <w:bookmarkStart w:id="265" w:name="_Toc296346577"/>
      <w:r>
        <w:rPr>
          <w:rFonts w:hint="eastAsia" w:ascii="宋体" w:hAnsi="宋体" w:eastAsia="宋体" w:cs="宋体"/>
          <w:color w:val="auto"/>
          <w:kern w:val="0"/>
          <w:sz w:val="24"/>
          <w:szCs w:val="24"/>
          <w:highlight w:val="none"/>
        </w:rPr>
        <w:t>因</w:t>
      </w:r>
      <w:bookmarkEnd w:id="264"/>
      <w:bookmarkEnd w:id="265"/>
      <w:r>
        <w:rPr>
          <w:rFonts w:hint="eastAsia" w:ascii="宋体" w:hAnsi="宋体" w:eastAsia="宋体" w:cs="宋体"/>
          <w:color w:val="auto"/>
          <w:kern w:val="0"/>
          <w:sz w:val="24"/>
          <w:szCs w:val="24"/>
          <w:highlight w:val="none"/>
        </w:rPr>
        <w:t>勘察人、设计人原因导致工程设计进度延误的，勘察人、设计人应当按照第14.2款〔勘察人、设计人违约责任〕承担责任。勘察人、设计人支付逾期完成工程勘察设计违约金后，不免除勘察人、设计人继续完成工程勘察设计的义务。</w:t>
      </w:r>
    </w:p>
    <w:p>
      <w:pPr>
        <w:pageBreakBefore w:val="0"/>
        <w:widowControl/>
        <w:kinsoku/>
        <w:wordWrap/>
        <w:overflowPunct/>
        <w:topLinePunct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恶劣气候条件影响现场作业，导致现场作业难以进行，造成工期延误的，勘察人有权要求发包人延长勘察工期。</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kern w:val="0"/>
          <w:sz w:val="24"/>
          <w:szCs w:val="24"/>
          <w:highlight w:val="none"/>
        </w:rPr>
      </w:pPr>
      <w:bookmarkStart w:id="266" w:name="_Toc351203550"/>
      <w:bookmarkStart w:id="267" w:name="_Toc23767"/>
      <w:bookmarkStart w:id="268" w:name="_Toc337558775"/>
      <w:bookmarkStart w:id="269" w:name="_Toc296503077"/>
      <w:bookmarkStart w:id="270" w:name="_Toc296346578"/>
      <w:r>
        <w:rPr>
          <w:rFonts w:hint="eastAsia" w:ascii="宋体" w:hAnsi="宋体" w:eastAsia="宋体" w:cs="宋体"/>
          <w:b w:val="0"/>
          <w:color w:val="auto"/>
          <w:kern w:val="0"/>
          <w:sz w:val="24"/>
          <w:szCs w:val="24"/>
          <w:highlight w:val="none"/>
        </w:rPr>
        <w:t>6.4 暂停</w:t>
      </w:r>
      <w:bookmarkEnd w:id="266"/>
      <w:r>
        <w:rPr>
          <w:rFonts w:hint="eastAsia" w:ascii="宋体" w:hAnsi="宋体" w:eastAsia="宋体" w:cs="宋体"/>
          <w:b w:val="0"/>
          <w:color w:val="auto"/>
          <w:kern w:val="0"/>
          <w:sz w:val="24"/>
          <w:szCs w:val="24"/>
          <w:highlight w:val="none"/>
        </w:rPr>
        <w:t>勘察设计</w:t>
      </w:r>
      <w:bookmarkEnd w:id="267"/>
    </w:p>
    <w:bookmarkEnd w:id="268"/>
    <w:bookmarkEnd w:id="269"/>
    <w:bookmarkEnd w:id="270"/>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6.4.1 发包人原因引起的暂停勘察设计</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因发包人原因引起暂停勘察设计的，发包人应及时下达暂停勘察设计指示。</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因发包人原因引起的暂停勘察设计，发包人应承担由此增加的勘察设计费用和（或）延长的勘察设计周期。</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6.4.2 勘察人、设计人原因引起的暂停勘察设计</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勘察人、设计人原因引起的暂停勘察设计，勘察人、设计人应当尽快向发包人发出书面通知并按第14.2款〔勘察人、设计人违约责任〕承担责任，且勘察人、设计人在收到发包人复工指示后15天内仍未复工的，视为勘察人、设计人无法继续履行合同的情形，勘察人、设计人应按第16条〔合同解除〕的约定承担责任。</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6.4.3 其他原因引起的暂停勘察设计</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当出现非勘察人、设计人原因造成的暂停勘察设计，勘察人、设计人应当尽快向发包人发出书面通知。</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在上述情形下勘察人、设计人的勘察设计服务暂停，勘察人、设计人的勘察设计周期应当相应延长，复工应有发包人与勘察人、设计人共同确认的合理期限。</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当发生本项约定的情况，导致勘察人、设计人增加勘察设计工作量的，发包人应当另行支付相应勘察设计费用。</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6.4.4 暂停勘察设计后的复工</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暂停勘察设计后，发包人和勘察人、设计人应采取有效措施积极消除暂停设计的影响。当工程具备复工条件时，发包人向勘察人、设计人发出复工通知，勘察人、设计人应按照复工通知要求复工。</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除勘察人、设计人原因导致暂停勘察设计外，勘察人、设计人暂停设计后复工所增加的勘察设计工作量，发包人应当另行支付相应勘察设计费用。</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kern w:val="0"/>
          <w:sz w:val="24"/>
          <w:szCs w:val="24"/>
          <w:highlight w:val="none"/>
        </w:rPr>
      </w:pPr>
      <w:bookmarkStart w:id="271" w:name="_Toc351203551"/>
      <w:bookmarkStart w:id="272" w:name="_Toc12239"/>
      <w:r>
        <w:rPr>
          <w:rFonts w:hint="eastAsia" w:ascii="宋体" w:hAnsi="宋体" w:eastAsia="宋体" w:cs="宋体"/>
          <w:b w:val="0"/>
          <w:color w:val="auto"/>
          <w:kern w:val="0"/>
          <w:sz w:val="24"/>
          <w:szCs w:val="24"/>
          <w:highlight w:val="none"/>
        </w:rPr>
        <w:t>6.5 提前</w:t>
      </w:r>
      <w:bookmarkEnd w:id="271"/>
      <w:r>
        <w:rPr>
          <w:rFonts w:hint="eastAsia" w:ascii="宋体" w:hAnsi="宋体" w:eastAsia="宋体" w:cs="宋体"/>
          <w:b w:val="0"/>
          <w:color w:val="auto"/>
          <w:kern w:val="0"/>
          <w:sz w:val="24"/>
          <w:szCs w:val="24"/>
          <w:highlight w:val="none"/>
        </w:rPr>
        <w:t>交付工程勘察设计文件</w:t>
      </w:r>
      <w:bookmarkEnd w:id="272"/>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6.5.1 发包人要求勘察人、设计人提前交付工程勘察设计文件的，发包人应向勘察人、设计人下达提前交付工程勘察设计文件指示，勘察人、设计人应向发包人提交提前交付工程勘察设计文件建议书，提前交付工程勘察设计文件建议书应包括实施的方案、缩短的时间、增加的合同价格等内容。发包人接受该提前交付工程勘察设计文件建议书的，发包人和勘察人、设计人协商采取加快工程勘察设计进度的措施，并修订工程勘察设计进度计划，由此增加的勘察设计费用由发包人承担。勘察人、设计人认为提前交付工程勘察设计文件的指示无法执行的，应向发包人提出书面异议，发包人应在收到异议后7天内予以答复。任何情况下，发包人不得压缩合理勘察设计周期。</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6.5.2 发包人要求勘察人、设计人提前交付工程勘察设计文件，或勘察人、设计人提出提前交付工程勘察设计文件的建议能够给发包人带来效益的，合同当事人可以在专用合同条款中约定提前交付工程勘察设计文件的奖励。</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73" w:name="_Toc16496"/>
      <w:bookmarkStart w:id="274" w:name="_Toc296346584"/>
      <w:bookmarkStart w:id="275" w:name="_Toc296503083"/>
      <w:r>
        <w:rPr>
          <w:rFonts w:hint="eastAsia" w:ascii="宋体" w:hAnsi="宋体" w:eastAsia="宋体" w:cs="宋体"/>
          <w:b w:val="0"/>
          <w:color w:val="auto"/>
          <w:sz w:val="24"/>
          <w:szCs w:val="24"/>
          <w:highlight w:val="none"/>
        </w:rPr>
        <w:t>7. 工程勘察设计文件交付</w:t>
      </w:r>
      <w:bookmarkEnd w:id="273"/>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kern w:val="0"/>
          <w:sz w:val="24"/>
          <w:szCs w:val="24"/>
          <w:highlight w:val="none"/>
        </w:rPr>
      </w:pPr>
      <w:bookmarkStart w:id="276" w:name="_Toc3296"/>
      <w:r>
        <w:rPr>
          <w:rFonts w:hint="eastAsia" w:ascii="宋体" w:hAnsi="宋体" w:eastAsia="宋体" w:cs="宋体"/>
          <w:b w:val="0"/>
          <w:color w:val="auto"/>
          <w:kern w:val="0"/>
          <w:sz w:val="24"/>
          <w:szCs w:val="24"/>
          <w:highlight w:val="none"/>
        </w:rPr>
        <w:t>7.1 工程设计文件交付的内容</w:t>
      </w:r>
      <w:bookmarkEnd w:id="276"/>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7.1.1 工程测量地形图、工程勘察报告、工程物探成果，工程设计图纸及设计说明。</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7.1.2 发包人可以要求勘察人、设计人提交专用合同条款约定的具体形式的</w:t>
      </w:r>
      <w:r>
        <w:rPr>
          <w:rFonts w:hint="eastAsia" w:ascii="宋体" w:hAnsi="宋体" w:eastAsia="宋体" w:cs="宋体"/>
          <w:color w:val="auto"/>
          <w:sz w:val="24"/>
          <w:szCs w:val="24"/>
          <w:highlight w:val="none"/>
        </w:rPr>
        <w:t>电子版文件</w:t>
      </w:r>
      <w:r>
        <w:rPr>
          <w:rFonts w:hint="eastAsia" w:ascii="宋体" w:hAnsi="宋体" w:eastAsia="宋体" w:cs="宋体"/>
          <w:color w:val="auto"/>
          <w:kern w:val="0"/>
          <w:sz w:val="24"/>
          <w:szCs w:val="24"/>
          <w:highlight w:val="none"/>
        </w:rPr>
        <w:t>。</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kern w:val="0"/>
          <w:sz w:val="24"/>
          <w:szCs w:val="24"/>
          <w:highlight w:val="none"/>
        </w:rPr>
      </w:pPr>
      <w:bookmarkStart w:id="277" w:name="_Toc7112"/>
      <w:r>
        <w:rPr>
          <w:rFonts w:hint="eastAsia" w:ascii="宋体" w:hAnsi="宋体" w:eastAsia="宋体" w:cs="宋体"/>
          <w:b w:val="0"/>
          <w:color w:val="auto"/>
          <w:kern w:val="0"/>
          <w:sz w:val="24"/>
          <w:szCs w:val="24"/>
          <w:highlight w:val="none"/>
        </w:rPr>
        <w:t>7.2 工程勘察设计文件的交付方式</w:t>
      </w:r>
      <w:bookmarkEnd w:id="277"/>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勘察人、设计人交付工程勘察设计文件给发包人，发包人应当出具书面签收单，内容包括图纸名称、图纸内容、图纸形式、份数、提交和签收日期、提交人与接收人的亲笔签名、发包人与勘察人、设计人的签章。</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kern w:val="0"/>
          <w:sz w:val="24"/>
          <w:szCs w:val="24"/>
          <w:highlight w:val="none"/>
        </w:rPr>
      </w:pPr>
      <w:bookmarkStart w:id="278" w:name="_Toc1235"/>
      <w:r>
        <w:rPr>
          <w:rFonts w:hint="eastAsia" w:ascii="宋体" w:hAnsi="宋体" w:eastAsia="宋体" w:cs="宋体"/>
          <w:b w:val="0"/>
          <w:color w:val="auto"/>
          <w:kern w:val="0"/>
          <w:sz w:val="24"/>
          <w:szCs w:val="24"/>
          <w:highlight w:val="none"/>
        </w:rPr>
        <w:t>7.3 工程勘察设计文件交付的时间和份数</w:t>
      </w:r>
      <w:bookmarkEnd w:id="278"/>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工程勘察设计文件交付的名称、时间和份数在专用合同条款附件3中约定。</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79" w:name="_Toc28955"/>
      <w:r>
        <w:rPr>
          <w:rFonts w:hint="eastAsia" w:ascii="宋体" w:hAnsi="宋体" w:eastAsia="宋体" w:cs="宋体"/>
          <w:b w:val="0"/>
          <w:color w:val="auto"/>
          <w:sz w:val="24"/>
          <w:szCs w:val="24"/>
          <w:highlight w:val="none"/>
        </w:rPr>
        <w:t>8. 工程勘察设计文件审查</w:t>
      </w:r>
      <w:bookmarkEnd w:id="279"/>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8.1 </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设计人的工程勘察设计文件应报发包人审查同意。审查的范围和内容在发包人要求中约定。审查的具体标准应符合法律规定、技术标准要求和本合同约定。</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除专用合同条款对期限另有约定外，自发包人收到</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设计人的工程勘察设计文件以及</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设计人的通知之日起，发包人对</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设计人的工程勘察设计文件审查期不超过15天。</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发包人不同意工程勘察设计文件的，应以书面形式通知</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设计人，并说明不符合合同要求的具体内容。</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设计人应根据发包人的书面说明，对工程勘察设计文件进行修改后重新报送发包人审查，审查期重新起算。</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合同约定的审查期满，发包人没有做出审查结论也没有提出异议的，视为</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设计人的工程勘察设计文件已获发包人同意。</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8.2 </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设计人的工程勘察设计文件不需要政府有关部门审查或批准的，</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设计人应当严格按照经发包人审查同意的工程勘察设计文件进行修改，如果发包人的修改意见超出或更改了发包人要求，发包人应当根据第11条〔工程勘察设计变更与索赔〕的约定，向</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设计人另行支付费用。</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工程勘察</w:t>
      </w:r>
      <w:r>
        <w:rPr>
          <w:rStyle w:val="29"/>
          <w:rFonts w:hint="eastAsia" w:ascii="宋体" w:hAnsi="宋体" w:eastAsia="宋体" w:cs="宋体"/>
          <w:vanish/>
          <w:color w:val="auto"/>
          <w:sz w:val="24"/>
          <w:szCs w:val="24"/>
          <w:highlight w:val="none"/>
        </w:rPr>
        <w:t>（</w:t>
      </w:r>
      <w:r>
        <w:rPr>
          <w:rFonts w:hint="eastAsia" w:ascii="宋体" w:hAnsi="宋体" w:eastAsia="宋体" w:cs="宋体"/>
          <w:color w:val="auto"/>
          <w:sz w:val="24"/>
          <w:szCs w:val="24"/>
          <w:highlight w:val="none"/>
        </w:rPr>
        <w:t>设计文件需政府有关部门审查或批准的，发包人应在审查同意</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设计人的工程勘察设计文件后在专用合同条款约定的期限内，向政府有关部门报送工程勘察设计文件，</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设计人应予以协助。</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对于政府有关部门的审查意见，不需要修改发包人要求的，</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设计人需按该审查意见修改</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设计人的工程勘察设计文件；需要修改发包人要求的，发包人应重新提出发包人要求，</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设计人应根据新提出的发包人要求修改</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设计人的工程勘察设计文件，发包人应当根据第11条〔工程</w:t>
      </w:r>
      <w:r>
        <w:rPr>
          <w:rFonts w:hint="eastAsia" w:ascii="宋体" w:hAnsi="宋体" w:eastAsia="宋体" w:cs="宋体"/>
          <w:color w:val="auto"/>
          <w:kern w:val="0"/>
          <w:sz w:val="24"/>
          <w:szCs w:val="24"/>
          <w:highlight w:val="none"/>
        </w:rPr>
        <w:t>勘察</w:t>
      </w:r>
      <w:r>
        <w:rPr>
          <w:rFonts w:hint="eastAsia" w:ascii="宋体" w:hAnsi="宋体" w:eastAsia="宋体" w:cs="宋体"/>
          <w:color w:val="auto"/>
          <w:sz w:val="24"/>
          <w:szCs w:val="24"/>
          <w:highlight w:val="none"/>
        </w:rPr>
        <w:t>设计变更与索赔〕的约定，向</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设计人另行支付费用。</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发包人需要组织审查会议对工程勘察设计文件进行审查的，审查会议的审查形式和时间安排，在专用合同条款中约定。发包人负责组织工程勘察设计文件审查会议，并承担会议费用及发包人的上级单位、政府有关部门参加的审查会议的费用。</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设计人按第7条〔工程勘察设计文件交付〕的约定向发包人提交工程勘察设计文件，有义务参加发包人组织的勘察设计审查会议，向审查者介绍、解答、解释其工程勘察设计文件，并提供有关补充资料。</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发包人有义务向</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设计人提供设计审查会议的批准文件和纪要。</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设计人有义务按照相关设计审查会议批准的文件和纪要，并依据合同约定及相关技术标准，对工程勘察设计文件进行修改、补充和完善。</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 因</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设计人原因，未能按第7条〔工程勘察设计文件交付〕约定的时间向发包人提交工程勘察设计文件，致使工程勘察设计文件审查无法进行或无法按期进行，造成勘察设计周期延长、窝工损失及发包人增加费用的，</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w:t>
      </w:r>
      <w:r>
        <w:rPr>
          <w:rFonts w:hint="eastAsia" w:ascii="宋体" w:hAnsi="宋体" w:eastAsia="宋体" w:cs="宋体"/>
          <w:color w:val="auto"/>
          <w:kern w:val="0"/>
          <w:sz w:val="24"/>
          <w:szCs w:val="24"/>
          <w:highlight w:val="none"/>
        </w:rPr>
        <w:t>按第14.2款〔勘察人、设计人违约责任〕的约定承担责任</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因发包人原因，致使工程勘察设计文件审查无法进行或无法按期进行，造成勘察设计周期延长、窝工损失及</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设计人增加的费用，由发包人承担。</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8.6 </w:t>
      </w:r>
      <w:r>
        <w:rPr>
          <w:rFonts w:hint="eastAsia" w:ascii="宋体" w:hAnsi="宋体" w:eastAsia="宋体" w:cs="宋体"/>
          <w:color w:val="auto"/>
          <w:kern w:val="0"/>
          <w:sz w:val="24"/>
          <w:szCs w:val="24"/>
          <w:highlight w:val="none"/>
        </w:rPr>
        <w:t xml:space="preserve">因勘察人、设计人原因造成工程勘察设计文件不合格致使工程勘察设计文件审查无法通过的，发包人有权要求勘察人、设计人采取补救措施，直至达到合同要求的质量标准，并按第14.2款〔勘察人、设计人违约责任〕的约定承担责任。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因发包人原因造成工程勘察设计文件不合格致使工程勘察设计文件审查无法通过的，由此增加的勘察设计费用和（或）延长的勘察设计周期由发包人承担。</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8.7 工程勘察设计文件的审查，不减轻或免除勘察人、设计人依据法律应当承担的责任。</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80" w:name="_Toc15353"/>
      <w:r>
        <w:rPr>
          <w:rFonts w:hint="eastAsia" w:ascii="宋体" w:hAnsi="宋体" w:eastAsia="宋体" w:cs="宋体"/>
          <w:b w:val="0"/>
          <w:color w:val="auto"/>
          <w:sz w:val="24"/>
          <w:szCs w:val="24"/>
          <w:highlight w:val="none"/>
        </w:rPr>
        <w:t>9. 施工现场配合服务</w:t>
      </w:r>
      <w:bookmarkEnd w:id="280"/>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 除专用合同条款另有约定外，发包人应为勘察人、设计人派赴现场的工作人员提供工作、生活及交通等方面的便利条件。</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 勘察人、设计人应当提供勘察设计技术交底、解决施工中勘察设计技术问题和参加试车（试运行）考核和竣工验收服务。如果发包人在专用合同条款约定的施工现场服务时限外仍要求勘察人、设计人负责上述工作的，发包人应按所需工作量向勘察人、设计人另行支付服务费用。</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81" w:name="_Toc23150"/>
      <w:r>
        <w:rPr>
          <w:rFonts w:hint="eastAsia" w:ascii="宋体" w:hAnsi="宋体" w:eastAsia="宋体" w:cs="宋体"/>
          <w:b w:val="0"/>
          <w:color w:val="auto"/>
          <w:sz w:val="24"/>
          <w:szCs w:val="24"/>
          <w:highlight w:val="none"/>
        </w:rPr>
        <w:t>10. 合同价款与支付</w:t>
      </w:r>
      <w:bookmarkEnd w:id="281"/>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kern w:val="0"/>
          <w:sz w:val="24"/>
          <w:szCs w:val="24"/>
          <w:highlight w:val="none"/>
        </w:rPr>
      </w:pPr>
      <w:bookmarkStart w:id="282" w:name="_Toc14163"/>
      <w:r>
        <w:rPr>
          <w:rFonts w:hint="eastAsia" w:ascii="宋体" w:hAnsi="宋体" w:eastAsia="宋体" w:cs="宋体"/>
          <w:b w:val="0"/>
          <w:color w:val="auto"/>
          <w:kern w:val="0"/>
          <w:sz w:val="24"/>
          <w:szCs w:val="24"/>
          <w:highlight w:val="none"/>
        </w:rPr>
        <w:t>10.1 合同价款组成</w:t>
      </w:r>
      <w:bookmarkEnd w:id="282"/>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发包人和勘察人、设计人应当在专用合同条款附件6中明确约定合同价款各组成部分的具体数额，主要包括：</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（1）工程勘察设计基本服务费用；</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（2）工程勘察设计其他服务费用；</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（3）</w:t>
      </w:r>
      <w:r>
        <w:rPr>
          <w:rFonts w:hint="eastAsia" w:ascii="宋体" w:hAnsi="宋体" w:eastAsia="宋体" w:cs="宋体"/>
          <w:color w:val="auto"/>
          <w:kern w:val="0"/>
          <w:sz w:val="24"/>
          <w:szCs w:val="24"/>
          <w:highlight w:val="none"/>
        </w:rPr>
        <w:t>在未签订合同前发包人已经同意或接受或已使用的勘察人、设计人为发包人所做的各项工作的相应费用等。</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kern w:val="0"/>
          <w:sz w:val="24"/>
          <w:szCs w:val="24"/>
          <w:highlight w:val="none"/>
        </w:rPr>
      </w:pPr>
      <w:bookmarkStart w:id="283" w:name="_Toc6023"/>
      <w:r>
        <w:rPr>
          <w:rFonts w:hint="eastAsia" w:ascii="宋体" w:hAnsi="宋体" w:eastAsia="宋体" w:cs="宋体"/>
          <w:b w:val="0"/>
          <w:color w:val="auto"/>
          <w:kern w:val="0"/>
          <w:sz w:val="24"/>
          <w:szCs w:val="24"/>
          <w:highlight w:val="none"/>
        </w:rPr>
        <w:t>10.2 合同价格形式</w:t>
      </w:r>
      <w:bookmarkEnd w:id="283"/>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发包人和勘察人、设计人应在合同协议书中选择下列一种合同价格形式： </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（1）单价合同</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单价合同是指合同当事人约定以建筑面积（包括地上建筑面积和地下建筑面积）每平方米单价或实际投资总额的一定比例等双方认可方式进行合同价格计算、调整和确认的建设工程勘察设计合同，</w:t>
      </w:r>
      <w:r>
        <w:rPr>
          <w:rFonts w:hint="eastAsia" w:ascii="宋体" w:hAnsi="宋体" w:eastAsia="宋体" w:cs="宋体"/>
          <w:color w:val="auto"/>
          <w:sz w:val="24"/>
          <w:szCs w:val="24"/>
          <w:highlight w:val="none"/>
        </w:rPr>
        <w:t>在约定的范围内合同单价不作调整</w:t>
      </w:r>
      <w:r>
        <w:rPr>
          <w:rFonts w:hint="eastAsia" w:ascii="宋体" w:hAnsi="宋体" w:eastAsia="宋体" w:cs="宋体"/>
          <w:color w:val="auto"/>
          <w:kern w:val="0"/>
          <w:sz w:val="24"/>
          <w:szCs w:val="24"/>
          <w:highlight w:val="none"/>
        </w:rPr>
        <w:t>。合同当事人应在专用合同条款中约定单价包含的风险范围和风险费用的计算方法</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并约定风险范围以外的合同价格的调整方法。</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（2）总价合同</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总价合同是指合同当事人约定以发包人提供的上一阶段工程勘察设计文件及有关条件进行合同价格计算、调整和确认的建设工程勘察设计合同，</w:t>
      </w:r>
      <w:r>
        <w:rPr>
          <w:rFonts w:hint="eastAsia" w:ascii="宋体" w:hAnsi="宋体" w:eastAsia="宋体" w:cs="宋体"/>
          <w:color w:val="auto"/>
          <w:sz w:val="24"/>
          <w:szCs w:val="24"/>
          <w:highlight w:val="none"/>
        </w:rPr>
        <w:t>在约定的范围内合同总价不作调整</w:t>
      </w:r>
      <w:r>
        <w:rPr>
          <w:rFonts w:hint="eastAsia" w:ascii="宋体" w:hAnsi="宋体" w:eastAsia="宋体" w:cs="宋体"/>
          <w:color w:val="auto"/>
          <w:kern w:val="0"/>
          <w:sz w:val="24"/>
          <w:szCs w:val="24"/>
          <w:highlight w:val="none"/>
        </w:rPr>
        <w:t>。合同当事人应在专用合同条款中约定总价包含的风险范围和风险费用的计算方法，并约定风险范围以外的合同价格的调整方法。</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（3）其它价格形式</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合同当事人可在专用合同条款中约定其他合同价格形式。</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84" w:name="_Toc29488"/>
      <w:r>
        <w:rPr>
          <w:rFonts w:hint="eastAsia" w:ascii="宋体" w:hAnsi="宋体" w:eastAsia="宋体" w:cs="宋体"/>
          <w:b w:val="0"/>
          <w:color w:val="auto"/>
          <w:sz w:val="24"/>
          <w:szCs w:val="24"/>
          <w:highlight w:val="none"/>
        </w:rPr>
        <w:t>10.3 预付款</w:t>
      </w:r>
      <w:bookmarkEnd w:id="284"/>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10.3.1</w:t>
      </w:r>
      <w:r>
        <w:rPr>
          <w:rFonts w:hint="eastAsia" w:ascii="宋体" w:hAnsi="宋体" w:eastAsia="宋体" w:cs="宋体"/>
          <w:color w:val="auto"/>
          <w:kern w:val="0"/>
          <w:sz w:val="24"/>
          <w:szCs w:val="24"/>
          <w:highlight w:val="none"/>
        </w:rPr>
        <w:t>预付款的比例</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预付款的比例在专用合同条款中约定。</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10.3.2预付款的支付</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预付款的支付按照专用合同条款约定执行，但最迟应在开始勘察设计通知载明的开始日期前专用合同条款约定的期限内支付。</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逾期支付预付款超过专用合同条款约定的期限的，勘察人、设计人有权向发包人发出要求支付预付款的催告通知，发包人收到通知后7天内仍未支付的，勘察人、设计人有权不开始勘察设计工作或暂停勘察设计工作。</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85" w:name="_Toc2198"/>
      <w:r>
        <w:rPr>
          <w:rFonts w:hint="eastAsia" w:ascii="宋体" w:hAnsi="宋体" w:eastAsia="宋体" w:cs="宋体"/>
          <w:b w:val="0"/>
          <w:color w:val="auto"/>
          <w:sz w:val="24"/>
          <w:szCs w:val="24"/>
          <w:highlight w:val="none"/>
        </w:rPr>
        <w:t>10.4 进度款支付</w:t>
      </w:r>
      <w:bookmarkEnd w:id="285"/>
    </w:p>
    <w:p>
      <w:pPr>
        <w:pageBreakBefore w:val="0"/>
        <w:widowControl/>
        <w:kinsoku/>
        <w:wordWrap/>
        <w:overflowPunct/>
        <w:topLinePunct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10.4.1 发包人应当按照专用合同条款附件6约定的付款条件及时向</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设计人支付进度款。</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10.4.2 进度付款的修正</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在对已付进度款进行汇总和复核中发现错误、遗漏或重复的，发包人和勘察人、设计人均有权提出修正申请。经发包人和勘察人、设计人同意的修正，应在下期进度付款中支付或扣除。</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10.5 合同价款的结算与支付</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10.5.1 对于采取固定总价形式的合同，发包人应当按照专用合同条款附件6的约定及时支付尾款。</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10.5.2 对于采取固定单价形式的合同，发包人与勘察人、设计人应当按照专用合同条款附件6约定的结算方式及时结清工程设计费，并将结清未支付的款项一次性支付给勘察人、设计人。</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10.5.3 对于采取其他价格形式的，也应按专用合同条款的约定及时结算和支付。</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10.6支付账户</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发包人应将合同价款支付至合同协议书中约定的勘察人、设计人账户。</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86" w:name="_Toc14262"/>
      <w:r>
        <w:rPr>
          <w:rFonts w:hint="eastAsia" w:ascii="宋体" w:hAnsi="宋体" w:eastAsia="宋体" w:cs="宋体"/>
          <w:b w:val="0"/>
          <w:color w:val="auto"/>
          <w:sz w:val="24"/>
          <w:szCs w:val="24"/>
          <w:highlight w:val="none"/>
        </w:rPr>
        <w:t>11. 工程勘察设计变更与索赔</w:t>
      </w:r>
      <w:bookmarkEnd w:id="286"/>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 发包人变更工程勘察设计的内容、规模、功能、条件等，应当向勘察人、设计人提供书面要求，勘察人、设计人在不违反法律规定以及技术标准强制性规定的前提下应当按照发包人要求变更工程勘察设计。</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 发包人变更工程勘察设计的内容、规模、功能、条件或因提交的勘察设计资料存在错误或作较大修改时，发包人应按勘察人、设计人所耗工作量向勘察人、设计人增付勘察设计费，勘察人、设计人可按本条约定和专用合同条款附件7的约定，与发包人协商对合同价格和/或完工时间做可共同接受的修改。</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11.3 </w:t>
      </w:r>
      <w:r>
        <w:rPr>
          <w:rFonts w:hint="eastAsia" w:ascii="宋体" w:hAnsi="宋体" w:eastAsia="宋体" w:cs="宋体"/>
          <w:color w:val="auto"/>
          <w:sz w:val="24"/>
          <w:szCs w:val="24"/>
          <w:highlight w:val="none"/>
        </w:rPr>
        <w:t>如果由于发包人要求更改而造成的项目复杂性的变更或性质的变更使得</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设计人的勘察设计工作减少，发包人</w:t>
      </w:r>
      <w:r>
        <w:rPr>
          <w:rFonts w:hint="eastAsia" w:ascii="宋体" w:hAnsi="宋体" w:eastAsia="宋体" w:cs="宋体"/>
          <w:color w:val="auto"/>
          <w:kern w:val="0"/>
          <w:sz w:val="24"/>
          <w:szCs w:val="24"/>
          <w:highlight w:val="none"/>
        </w:rPr>
        <w:t>可按本条约定和专用合同条款附件7的约定，与勘察人、设计人协商对合同价格和/或完工时间做可共同接受的修改。</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 基准日期后，与工程勘察设计服务有关的法律、技术标准的强制性规定的颁布及修改，由此增加的勘察设计费用和（或）延长的勘察设计周期由发包人承担。</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 如果发生勘察人、设计人认为有理由提出增加合同价款或延长勘察设计周期的要求事项，除专用合同条款对期限另有约定外，勘察人、设计人应于该事项发生后5天内书面通知发包人。除专用合同条款对期限另有约定外，在该事项发生后10天内，勘察人、设计人应向发包人提供证明勘察人、设计人要求的书面声明，其中包括勘察人、设计人关于因该事项引起的合同价款和勘察设计周期的变化的详细计算。除专用合同条款对期限另有约定外，发包人应在接到勘察人、设计人书面声明后的5天内，予以书面答复。逾期未答复的，视为发包人同意勘察人、设计人关于增加合同价款或延长设计周期的要求。</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87" w:name="_Toc25360"/>
      <w:r>
        <w:rPr>
          <w:rFonts w:hint="eastAsia" w:ascii="宋体" w:hAnsi="宋体" w:eastAsia="宋体" w:cs="宋体"/>
          <w:b w:val="0"/>
          <w:color w:val="auto"/>
          <w:sz w:val="24"/>
          <w:szCs w:val="24"/>
          <w:highlight w:val="none"/>
        </w:rPr>
        <w:t>12. 专业责任与保险</w:t>
      </w:r>
      <w:bookmarkEnd w:id="287"/>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设计人应运用一切合理的专业技术和经验知识，按照公认的职业标准尽其全部职责和谨慎、勤勉地履行其在本合同项下的责任和义务。</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除专用合同条款另有约定外，</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设计人应具有发包人认可的、履行本合同所需要的工程勘察设计责任保险并使其于合同责任期内保持有效。</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12.3勘察人应依照法律法规的规定为勘察作业人员参加工伤保险、人身意外伤害险和其他保险。</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12.4工程设计责任保险应承担由于设计人的疏忽或过失而引发的工程质量事故所造成的建设工程本身的物质损失以及第三者人身伤亡、财产损失或费用的赔偿责任。</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88" w:name="_Toc25283"/>
      <w:r>
        <w:rPr>
          <w:rFonts w:hint="eastAsia" w:ascii="宋体" w:hAnsi="宋体" w:eastAsia="宋体" w:cs="宋体"/>
          <w:b w:val="0"/>
          <w:color w:val="auto"/>
          <w:sz w:val="24"/>
          <w:szCs w:val="24"/>
          <w:highlight w:val="none"/>
        </w:rPr>
        <w:t>13. 知识产权</w:t>
      </w:r>
      <w:bookmarkEnd w:id="288"/>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 除专用合同条款另有约定外，发包人提供给勘察人、设计人的图纸、发包人为实施工程自行编制或委托编制的技术规格书以及反映发包人要求的或其他类似性质的文件的著作权属于发包人，勘察人、设计人可以为实现合同目的而复制、使用此类文件，但不能用于与合同无关的其他事项。未经发包人书面同意，勘察人、设计人不得为了合同以外的目的而复制、使用上述文件或将之提供给任何第三方。</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 除专用合同条款另有约定外，勘察人、设计人为实施工程所编制的文件的著作权属于勘察人、设计人，发包人可因实施工程的运行、调试、维修、改造等目的而复制、使用此类文件，但不能擅自修改或用于与合同无关的其他事项。未经勘察人、设计人书面同意，发包人不得为了合同以外的目的而复制、使用上述文件或将之提供给任何第三方。</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 合同当事人保证在履行合同过程中不侵犯对方及第三方的知识产权。勘察人、设计人在工程勘察设计时，因侵犯他人的专利权或其他知识产权所引起的责任，由勘察人、设计人承担；因发包人提供的基础资料导致侵权的，由发包人承担责任。</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合同当事人双方均有权在不损害对方利益和保密约定的前提下，在自己宣传用的印刷品或其他出版物上，或申报奖项时等情形下公布有关项目的文字和图片材料。</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除专用合同条款另有约定外，</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设计人在合同签订前和签订时已确定采用的专利、专有技术的使用费应包含在签约合同价中。</w:t>
      </w:r>
    </w:p>
    <w:bookmarkEnd w:id="274"/>
    <w:bookmarkEnd w:id="275"/>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89" w:name="_Toc6806"/>
      <w:bookmarkStart w:id="290" w:name="_Toc337558820"/>
      <w:r>
        <w:rPr>
          <w:rFonts w:hint="eastAsia" w:ascii="宋体" w:hAnsi="宋体" w:eastAsia="宋体" w:cs="宋体"/>
          <w:b w:val="0"/>
          <w:color w:val="auto"/>
          <w:sz w:val="24"/>
          <w:szCs w:val="24"/>
          <w:highlight w:val="none"/>
        </w:rPr>
        <w:t>14. 违约责任</w:t>
      </w:r>
      <w:bookmarkEnd w:id="289"/>
    </w:p>
    <w:bookmarkEnd w:id="290"/>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91" w:name="_Toc296503129"/>
      <w:bookmarkStart w:id="292" w:name="_Toc296346630"/>
      <w:bookmarkStart w:id="293" w:name="_Toc22986"/>
      <w:bookmarkStart w:id="294" w:name="_Toc337558821"/>
      <w:r>
        <w:rPr>
          <w:rFonts w:hint="eastAsia" w:ascii="宋体" w:hAnsi="宋体" w:eastAsia="宋体" w:cs="宋体"/>
          <w:b w:val="0"/>
          <w:color w:val="auto"/>
          <w:sz w:val="24"/>
          <w:szCs w:val="24"/>
          <w:highlight w:val="none"/>
        </w:rPr>
        <w:t>14.1 发</w:t>
      </w:r>
      <w:bookmarkEnd w:id="291"/>
      <w:bookmarkEnd w:id="292"/>
      <w:r>
        <w:rPr>
          <w:rFonts w:hint="eastAsia" w:ascii="宋体" w:hAnsi="宋体" w:eastAsia="宋体" w:cs="宋体"/>
          <w:b w:val="0"/>
          <w:color w:val="auto"/>
          <w:sz w:val="24"/>
          <w:szCs w:val="24"/>
          <w:highlight w:val="none"/>
        </w:rPr>
        <w:t>包人违约责任</w:t>
      </w:r>
      <w:bookmarkEnd w:id="293"/>
    </w:p>
    <w:bookmarkEnd w:id="294"/>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14.1.1 合同生效后，发包人因非勘察人、设计人原因要求终止或解除合同，勘察人、设计人未开始勘察设计工作的，不退还发包人已付的预付款或发包人按照专用合同条款的约定向勘察人、设计人支付违约金；已开始勘察设计工作的，发包人应按照勘察人、设计人已完成的实际工作量计算勘察设计费，完成工作量不足一半时，按该阶段勘察设计费的一半支付勘察设计费；超过一半时，按该阶段勘察设计费的全部支付勘察设计费。</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14.1.2 发包人未按专用合同条款附件6约定的金额和期限向设计人支付勘察设计费的，应按专用合同条款约定向勘察人、设计人支付违约金。逾期超过15天时，设计人有权书面通知发包人中止勘察设计工作。自中止勘察设计工作之日起15天内发包人支付相应费用的，勘察人、设计人应及时根据发包人要求恢复勘察设计工作；自中止勘察设计工作之日起超过15天后发包人支付相应费用的，勘察人、设计人有权确定重新恢复勘察设计工作的时间，且勘察设计周期相应延长。</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14.1.3 发包人的上级或勘察设计审批部门对勘察设计文件不进行审批或本合同工程停建、缓建，发包人应在事件发生之日起15天内按本合同第16条</w:t>
      </w:r>
      <w:r>
        <w:rPr>
          <w:rFonts w:hint="eastAsia" w:ascii="宋体" w:hAnsi="宋体" w:eastAsia="宋体" w:cs="宋体"/>
          <w:color w:val="auto"/>
          <w:sz w:val="24"/>
          <w:szCs w:val="24"/>
          <w:highlight w:val="none"/>
        </w:rPr>
        <w:t>〔合同解除〕</w:t>
      </w:r>
      <w:r>
        <w:rPr>
          <w:rFonts w:hint="eastAsia" w:ascii="宋体" w:hAnsi="宋体" w:eastAsia="宋体" w:cs="宋体"/>
          <w:color w:val="auto"/>
          <w:kern w:val="0"/>
          <w:sz w:val="24"/>
          <w:szCs w:val="24"/>
          <w:highlight w:val="none"/>
        </w:rPr>
        <w:t>的约定向勘察人、设计人结算并支付勘察设计费。</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14.1.4 发包人擅自将勘察人、设计人的设计文件用于本工程以外的工程或交第三方使用时，应承担相应法律责任，并应赔偿勘察人、设计人因此遭受的损失。</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kern w:val="0"/>
          <w:sz w:val="24"/>
          <w:szCs w:val="24"/>
          <w:highlight w:val="none"/>
        </w:rPr>
      </w:pPr>
      <w:bookmarkStart w:id="295" w:name="_Toc1498"/>
      <w:bookmarkStart w:id="296" w:name="_Toc296346632"/>
      <w:bookmarkStart w:id="297" w:name="_Toc337558822"/>
      <w:bookmarkStart w:id="298" w:name="_Toc296503131"/>
      <w:r>
        <w:rPr>
          <w:rFonts w:hint="eastAsia" w:ascii="宋体" w:hAnsi="宋体" w:eastAsia="宋体" w:cs="宋体"/>
          <w:b w:val="0"/>
          <w:color w:val="auto"/>
          <w:kern w:val="0"/>
          <w:sz w:val="24"/>
          <w:szCs w:val="24"/>
          <w:highlight w:val="none"/>
        </w:rPr>
        <w:t>14.2 勘察人、设计人违约责任</w:t>
      </w:r>
      <w:bookmarkEnd w:id="295"/>
    </w:p>
    <w:bookmarkEnd w:id="296"/>
    <w:bookmarkEnd w:id="297"/>
    <w:bookmarkEnd w:id="298"/>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14.2.1 合同生效后，勘察人、设计人因自身原因要求终止或解除合同，勘察人、设计人应按发包人已支付的定金金额双倍返还给发包人或勘察人、设计人按照专用合同条款的约定向发包人支付违约金。</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14.2.2 由于勘察人、设计人原因，未按专用合同条款附件3约定的时间交付工程勘察设计文件的，应按专用合同条款的约定向发包人支付违约金，前述违约金经双方确认后可在发包人应付勘察设计费中扣减。</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14.2.3勘察人、设计人对工程勘察设计文件出现的遗漏或错误负责修改或补充。由于勘察人、设计人原因产生的勘察设计问题造成工程质量事故或其他事故时，勘察人、设计人除负责采取补救措施外，应当向发包人承担赔偿责任或者根据直接经济损失程度按专用合同条款约定向发包人支付赔偿金。</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14.2.4勘察人、设计人未经发包人同意擅自对工程勘察设计进行分包的，发包人有权要求勘察人、设计人解除未经发包人同意的勘察设计分包合同，勘察人、设计人应当按照专用合同条款的约定承担违约责任。</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299" w:name="_Toc11154"/>
      <w:bookmarkStart w:id="300" w:name="_Toc296346617"/>
      <w:bookmarkStart w:id="301" w:name="_Toc337558823"/>
      <w:bookmarkStart w:id="302" w:name="_Toc296503116"/>
      <w:r>
        <w:rPr>
          <w:rFonts w:hint="eastAsia" w:ascii="宋体" w:hAnsi="宋体" w:eastAsia="宋体" w:cs="宋体"/>
          <w:b w:val="0"/>
          <w:color w:val="auto"/>
          <w:sz w:val="24"/>
          <w:szCs w:val="24"/>
          <w:highlight w:val="none"/>
        </w:rPr>
        <w:t>15. 不可抗力</w:t>
      </w:r>
      <w:bookmarkEnd w:id="299"/>
      <w:r>
        <w:rPr>
          <w:rFonts w:hint="eastAsia" w:ascii="宋体" w:hAnsi="宋体" w:eastAsia="宋体" w:cs="宋体"/>
          <w:b w:val="0"/>
          <w:color w:val="auto"/>
          <w:sz w:val="24"/>
          <w:szCs w:val="24"/>
          <w:highlight w:val="none"/>
        </w:rPr>
        <w:t xml:space="preserve"> </w:t>
      </w:r>
      <w:bookmarkEnd w:id="300"/>
      <w:bookmarkEnd w:id="301"/>
      <w:bookmarkEnd w:id="302"/>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kern w:val="0"/>
          <w:sz w:val="24"/>
          <w:szCs w:val="24"/>
          <w:highlight w:val="none"/>
        </w:rPr>
      </w:pPr>
      <w:bookmarkStart w:id="303" w:name="_Toc18400"/>
      <w:bookmarkStart w:id="304" w:name="_Toc337558824"/>
      <w:bookmarkStart w:id="305" w:name="_Toc296503117"/>
      <w:bookmarkStart w:id="306" w:name="_Toc296346618"/>
      <w:r>
        <w:rPr>
          <w:rFonts w:hint="eastAsia" w:ascii="宋体" w:hAnsi="宋体" w:eastAsia="宋体" w:cs="宋体"/>
          <w:b w:val="0"/>
          <w:color w:val="auto"/>
          <w:kern w:val="0"/>
          <w:sz w:val="24"/>
          <w:szCs w:val="24"/>
          <w:highlight w:val="none"/>
        </w:rPr>
        <w:t>15.1 不可抗力的确认</w:t>
      </w:r>
      <w:bookmarkEnd w:id="303"/>
    </w:p>
    <w:bookmarkEnd w:id="304"/>
    <w:bookmarkEnd w:id="305"/>
    <w:bookmarkEnd w:id="306"/>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pageBreakBefore w:val="0"/>
        <w:widowControl/>
        <w:kinsoku/>
        <w:wordWrap/>
        <w:overflowPunct/>
        <w:topLinePunct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发生后，发包人和勘察人、设计人应收集证明不可抗力发生及不可抗力造成损失的证据，并及时认真统计所造成的损失。合同当事人对是否属于不可抗力或其损失发生争议时，按第17条〔争议解决〕的约定处理。</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kern w:val="0"/>
          <w:sz w:val="24"/>
          <w:szCs w:val="24"/>
          <w:highlight w:val="none"/>
        </w:rPr>
      </w:pPr>
      <w:bookmarkStart w:id="307" w:name="_Toc26888"/>
      <w:bookmarkStart w:id="308" w:name="_Toc296503118"/>
      <w:bookmarkStart w:id="309" w:name="_Toc296346619"/>
      <w:bookmarkStart w:id="310" w:name="_Toc337558825"/>
      <w:r>
        <w:rPr>
          <w:rFonts w:hint="eastAsia" w:ascii="宋体" w:hAnsi="宋体" w:eastAsia="宋体" w:cs="宋体"/>
          <w:b w:val="0"/>
          <w:color w:val="auto"/>
          <w:kern w:val="0"/>
          <w:sz w:val="24"/>
          <w:szCs w:val="24"/>
          <w:highlight w:val="none"/>
        </w:rPr>
        <w:t>15.2 不可抗力的通知</w:t>
      </w:r>
      <w:bookmarkEnd w:id="307"/>
    </w:p>
    <w:bookmarkEnd w:id="308"/>
    <w:bookmarkEnd w:id="309"/>
    <w:bookmarkEnd w:id="310"/>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合同一方当事人遇到不可抗力事件，使其履行合同义务受到阻碍时，应立即通知合同另一方当事人，书面说明不可抗力和受阻碍的详细情况，并在合理期限内提供必要的证明。</w:t>
      </w:r>
    </w:p>
    <w:p>
      <w:pPr>
        <w:pageBreakBefore w:val="0"/>
        <w:widowControl/>
        <w:kinsoku/>
        <w:wordWrap/>
        <w:overflowPunct/>
        <w:topLinePunct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不可抗力持续发生的，合同一方当事人应及时向合同另一方当事人提交中间报告，说明不可抗力和履行合同受阻的情况，并于不可抗力事件结束后28天内提交最终报告及有关资料。</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kern w:val="0"/>
          <w:sz w:val="24"/>
          <w:szCs w:val="24"/>
          <w:highlight w:val="none"/>
        </w:rPr>
      </w:pPr>
      <w:bookmarkStart w:id="311" w:name="_Toc2058"/>
      <w:bookmarkStart w:id="312" w:name="_Toc296346620"/>
      <w:bookmarkStart w:id="313" w:name="_Toc296503119"/>
      <w:bookmarkStart w:id="314" w:name="_Toc337558826"/>
      <w:r>
        <w:rPr>
          <w:rFonts w:hint="eastAsia" w:ascii="宋体" w:hAnsi="宋体" w:eastAsia="宋体" w:cs="宋体"/>
          <w:b w:val="0"/>
          <w:color w:val="auto"/>
          <w:kern w:val="0"/>
          <w:sz w:val="24"/>
          <w:szCs w:val="24"/>
          <w:highlight w:val="none"/>
        </w:rPr>
        <w:t>15.3 不可抗力后果的承担</w:t>
      </w:r>
      <w:bookmarkEnd w:id="311"/>
    </w:p>
    <w:bookmarkEnd w:id="312"/>
    <w:bookmarkEnd w:id="313"/>
    <w:bookmarkEnd w:id="314"/>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不可抗力引起的后果及造成的损失由合同当事人按照法律规定及合同约定各自承担。不可抗力发生前已完成的工程勘察设计应当按照合同约定进行支付。</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不可抗力发生后，合同当事人均应采取措施尽量避免和减少损失的扩大，任何一方当事人没有采取有效措施导致损失扩大的，应对扩大的损失承担责任。</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因合同一方迟延履行合同义务，在迟延履行期间遭遇不可抗力的，不免除其违约责任。</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15" w:name="_Toc13697"/>
      <w:r>
        <w:rPr>
          <w:rFonts w:hint="eastAsia" w:ascii="宋体" w:hAnsi="宋体" w:eastAsia="宋体" w:cs="宋体"/>
          <w:b w:val="0"/>
          <w:color w:val="auto"/>
          <w:sz w:val="24"/>
          <w:szCs w:val="24"/>
          <w:highlight w:val="none"/>
        </w:rPr>
        <w:t>16. 合同解除</w:t>
      </w:r>
      <w:bookmarkEnd w:id="315"/>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发包人与</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设计人协商一致，可以解除合同。</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有下列情形之一的，合同当事人一方或双方可以解除合同：</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设计人工程设计文件存在重大质量问题，经发包人催告后，在合理期限内修改后仍不能满足国家现行深度要求或不能达到合同约定的勘察设计质量要求的，发包人可以解除合同；</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（2）发包人未按合同约定支付设计费用，经</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设计人催告后，在30天内仍未支付的，设计人可以解除合同；</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（3）暂停勘察设计期限已连续超过180天，专用合同条款另有约定的除外；</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（4）因不可抗力致使合同无法履行；</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（5）因一方违约致使合同无法实际履行或实际履行已无必要；</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（6）因本工程项目条件发生重大变化，使合同无法继续履行。</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任何一方因故需解除合同时，应提前30天书面通知对方，对合同中的遗留问题应取得一致意见并形成书面协议。</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合同解除后，发包人除应按第14.1.1项的约定及专用合同条款约定期限内向</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设计人支付已完工作的勘察设计费外，应当向</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设计人支付由于非</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设计人原因合同解除导致</w:t>
      </w:r>
      <w:r>
        <w:rPr>
          <w:rFonts w:hint="eastAsia" w:ascii="宋体" w:hAnsi="宋体" w:eastAsia="宋体" w:cs="宋体"/>
          <w:color w:val="auto"/>
          <w:kern w:val="0"/>
          <w:sz w:val="24"/>
          <w:szCs w:val="24"/>
          <w:highlight w:val="none"/>
        </w:rPr>
        <w:t>勘察人、</w:t>
      </w:r>
      <w:r>
        <w:rPr>
          <w:rFonts w:hint="eastAsia" w:ascii="宋体" w:hAnsi="宋体" w:eastAsia="宋体" w:cs="宋体"/>
          <w:color w:val="auto"/>
          <w:sz w:val="24"/>
          <w:szCs w:val="24"/>
          <w:highlight w:val="none"/>
        </w:rPr>
        <w:t>设计人增加的勘察设计费用，违约一方应当承担相应的违约责任。</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16" w:name="_Toc6102"/>
      <w:bookmarkStart w:id="317" w:name="_Toc296346647"/>
      <w:bookmarkStart w:id="318" w:name="_Toc337558840"/>
      <w:bookmarkStart w:id="319" w:name="_Toc296503146"/>
      <w:r>
        <w:rPr>
          <w:rFonts w:hint="eastAsia" w:ascii="宋体" w:hAnsi="宋体" w:eastAsia="宋体" w:cs="宋体"/>
          <w:b w:val="0"/>
          <w:color w:val="auto"/>
          <w:sz w:val="24"/>
          <w:szCs w:val="24"/>
          <w:highlight w:val="none"/>
        </w:rPr>
        <w:t>17. 争议解决</w:t>
      </w:r>
      <w:bookmarkEnd w:id="316"/>
    </w:p>
    <w:bookmarkEnd w:id="317"/>
    <w:bookmarkEnd w:id="318"/>
    <w:bookmarkEnd w:id="319"/>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bookmarkStart w:id="320" w:name="_Toc296346648"/>
      <w:bookmarkStart w:id="321" w:name="_Toc296503147"/>
      <w:bookmarkStart w:id="322" w:name="_Toc337558841"/>
      <w:r>
        <w:rPr>
          <w:rFonts w:hint="eastAsia" w:ascii="宋体" w:hAnsi="宋体" w:eastAsia="宋体" w:cs="宋体"/>
          <w:color w:val="auto"/>
          <w:kern w:val="0"/>
          <w:sz w:val="24"/>
          <w:szCs w:val="24"/>
          <w:highlight w:val="none"/>
        </w:rPr>
        <w:t>17.1 和解</w:t>
      </w:r>
    </w:p>
    <w:bookmarkEnd w:id="320"/>
    <w:bookmarkEnd w:id="321"/>
    <w:bookmarkEnd w:id="322"/>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合同当事人可以就争议自行和解，自行和解达成协议的经双方签字并盖章后作为合同补充文件，双方均应遵照执行。</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bookmarkStart w:id="323" w:name="_Toc337558842"/>
      <w:bookmarkStart w:id="324" w:name="_Toc296346649"/>
      <w:bookmarkStart w:id="325" w:name="_Toc296503148"/>
      <w:r>
        <w:rPr>
          <w:rFonts w:hint="eastAsia" w:ascii="宋体" w:hAnsi="宋体" w:eastAsia="宋体" w:cs="宋体"/>
          <w:color w:val="auto"/>
          <w:kern w:val="0"/>
          <w:sz w:val="24"/>
          <w:szCs w:val="24"/>
          <w:highlight w:val="none"/>
        </w:rPr>
        <w:t>17.2 调解</w:t>
      </w:r>
    </w:p>
    <w:bookmarkEnd w:id="323"/>
    <w:bookmarkEnd w:id="324"/>
    <w:bookmarkEnd w:id="325"/>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合同当事人可以就争议请求相关行政主管部门、行业协会或其他第三方进行调解，调解达成协议的，经双方签字并盖章后作为合同补充文件，双方均应遵照执行。</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bookmarkStart w:id="326" w:name="_Toc337558843"/>
      <w:bookmarkStart w:id="327" w:name="_Toc296503149"/>
      <w:bookmarkStart w:id="328" w:name="_Toc296346650"/>
      <w:r>
        <w:rPr>
          <w:rFonts w:hint="eastAsia" w:ascii="宋体" w:hAnsi="宋体" w:eastAsia="宋体" w:cs="宋体"/>
          <w:color w:val="auto"/>
          <w:kern w:val="0"/>
          <w:sz w:val="24"/>
          <w:szCs w:val="24"/>
          <w:highlight w:val="none"/>
        </w:rPr>
        <w:t>17.3 争议评审</w:t>
      </w:r>
    </w:p>
    <w:bookmarkEnd w:id="326"/>
    <w:bookmarkEnd w:id="327"/>
    <w:bookmarkEnd w:id="328"/>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合同当事人在专用合同条款中约定采取争议评审方式解决争议以及评审规则，并按下列约定执行：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17.3.1 争议评审小组的确定</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除专用合同条款另有约定外，评审所发生的费用由发包人和勘察人、设计人各承担一半。</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17.3.2 争议评审小组的决定</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任何时间将与合同有关的任何争议共同提请争议评审小组进行评审。争议评审小组应秉持客观、公正原则，充分听取合同当事人的意见，依据相关法律、技术标准、行业惯例等，自收到争议评审申请报告后14天内作出书面决定，并说明理由。合同当事人可以在专用合同条款中对本事项另行约定。</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17.3.3 争议评审小组决定的效力</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争议评审小组作出的书面决定经合同当事人签字确认后，对双方具有约束力，双方应遵照执行。</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任何一方当事人不接受争议评审小组决定或不履行争议评审小组决定的，双方可选择采用其他争议解决方式。</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bookmarkStart w:id="329" w:name="_Toc337558844"/>
      <w:bookmarkStart w:id="330" w:name="_Toc296503150"/>
      <w:bookmarkStart w:id="331" w:name="_Toc296346651"/>
      <w:r>
        <w:rPr>
          <w:rFonts w:hint="eastAsia" w:ascii="宋体" w:hAnsi="宋体" w:eastAsia="宋体" w:cs="宋体"/>
          <w:color w:val="auto"/>
          <w:kern w:val="0"/>
          <w:sz w:val="24"/>
          <w:szCs w:val="24"/>
          <w:highlight w:val="none"/>
        </w:rPr>
        <w:t>17.4 仲裁或诉讼</w:t>
      </w:r>
    </w:p>
    <w:bookmarkEnd w:id="329"/>
    <w:bookmarkEnd w:id="330"/>
    <w:bookmarkEnd w:id="331"/>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因合同及合同有关事项产生的争议，合同当事人可以在专用合同条款中约定以下一种方式解决争议：</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（1）向约定的仲裁委员会申请仲裁；</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（2）向有管辖权的人民法院起诉。</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bookmarkStart w:id="332" w:name="_Toc296346653"/>
      <w:bookmarkStart w:id="333" w:name="_Toc337558845"/>
      <w:bookmarkStart w:id="334" w:name="_Toc296503152"/>
      <w:r>
        <w:rPr>
          <w:rFonts w:hint="eastAsia" w:ascii="宋体" w:hAnsi="宋体" w:eastAsia="宋体" w:cs="宋体"/>
          <w:color w:val="auto"/>
          <w:kern w:val="0"/>
          <w:sz w:val="24"/>
          <w:szCs w:val="24"/>
          <w:highlight w:val="none"/>
        </w:rPr>
        <w:t>17.5 争议解决条款效力</w:t>
      </w:r>
    </w:p>
    <w:bookmarkEnd w:id="332"/>
    <w:bookmarkEnd w:id="333"/>
    <w:bookmarkEnd w:id="334"/>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合同有关争议解决的条款独立存在，合同的变更、解除、终止、无效或者被撤销均不影响其效力。 </w:t>
      </w:r>
    </w:p>
    <w:p>
      <w:pPr>
        <w:pageBreakBefore w:val="0"/>
        <w:widowControl/>
        <w:kinsoku/>
        <w:wordWrap/>
        <w:overflowPunct/>
        <w:topLinePunct w:val="0"/>
        <w:bidi w:val="0"/>
        <w:snapToGrid/>
        <w:spacing w:before="0" w:after="0" w:line="360" w:lineRule="auto"/>
        <w:ind w:left="0" w:leftChars="0" w:right="0"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335" w:name="_Toc21018"/>
      <w:r>
        <w:rPr>
          <w:rFonts w:hint="eastAsia" w:ascii="宋体" w:hAnsi="宋体" w:eastAsia="宋体" w:cs="宋体"/>
          <w:b/>
          <w:bCs/>
          <w:color w:val="auto"/>
          <w:kern w:val="2"/>
          <w:sz w:val="28"/>
          <w:szCs w:val="28"/>
          <w:highlight w:val="none"/>
          <w:lang w:val="en-US" w:eastAsia="zh-CN" w:bidi="ar-SA"/>
        </w:rPr>
        <w:t>第三部分 专用合同条款</w:t>
      </w:r>
      <w:bookmarkEnd w:id="335"/>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36" w:name="_Toc23350"/>
      <w:r>
        <w:rPr>
          <w:rFonts w:hint="eastAsia" w:ascii="宋体" w:hAnsi="宋体" w:eastAsia="宋体" w:cs="宋体"/>
          <w:b w:val="0"/>
          <w:color w:val="auto"/>
          <w:sz w:val="24"/>
          <w:szCs w:val="24"/>
          <w:highlight w:val="none"/>
        </w:rPr>
        <w:t>1. 一般约定</w:t>
      </w:r>
      <w:bookmarkEnd w:id="336"/>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词语定义与解释</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1.1.1.8 其他合同文件包括：</w:t>
      </w:r>
      <w:r>
        <w:rPr>
          <w:rFonts w:hint="eastAsia" w:ascii="宋体" w:hAnsi="宋体" w:eastAsia="宋体" w:cs="宋体"/>
          <w:color w:val="auto"/>
          <w:sz w:val="24"/>
          <w:szCs w:val="24"/>
          <w:highlight w:val="none"/>
          <w:u w:val="single"/>
        </w:rPr>
        <w:t xml:space="preserve">经合同当事人确认构成本合同组成部分的其他文件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法律 </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包括但不限于《市政工程勘察规范》、《室外排水设计标准》、《小城镇污水处理工程建设标准》《给水排水工程管道结构设计规范》、《给水排水工程构筑物结构设计规范》等，上述规范应采用最新版本</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技术标准</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1.4.1适用于工程的技术标准包括：</w:t>
      </w:r>
      <w:r>
        <w:rPr>
          <w:rFonts w:hint="eastAsia" w:ascii="宋体" w:hAnsi="宋体" w:eastAsia="宋体" w:cs="宋体"/>
          <w:color w:val="auto"/>
          <w:sz w:val="24"/>
          <w:szCs w:val="24"/>
          <w:highlight w:val="none"/>
          <w:u w:val="single"/>
        </w:rPr>
        <w:t>必须严格执行工程建设强制性标准，符合国家有关质量标准现行勘察设计文件编制深度的相关规定（如：《市政公用工程设计文件编制深度规定》）</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 国外技术标准原文版本和中文译本的提供方：</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提供国外技术标准的名称：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kern w:val="0"/>
          <w:sz w:val="24"/>
          <w:szCs w:val="24"/>
          <w:highlight w:val="none"/>
        </w:rPr>
        <w:t xml:space="preserve">；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提供国外技术标准的份数：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kern w:val="0"/>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提供国外技术标准的时间：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kern w:val="0"/>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提供国外技术标准的费用承担：</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kern w:val="0"/>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 发包人对工程的技术标准和功能要求的特殊要求：</w:t>
      </w:r>
      <w:r>
        <w:rPr>
          <w:rFonts w:hint="eastAsia" w:ascii="宋体" w:hAnsi="宋体" w:eastAsia="宋体" w:cs="宋体"/>
          <w:color w:val="auto"/>
          <w:sz w:val="24"/>
          <w:szCs w:val="24"/>
          <w:highlight w:val="none"/>
          <w:u w:val="single"/>
        </w:rPr>
        <w:t xml:space="preserve"> 暂无要求 </w:t>
      </w:r>
      <w:r>
        <w:rPr>
          <w:rFonts w:hint="eastAsia" w:ascii="宋体" w:hAnsi="宋体" w:eastAsia="宋体" w:cs="宋体"/>
          <w:color w:val="auto"/>
          <w:sz w:val="24"/>
          <w:szCs w:val="24"/>
          <w:highlight w:val="none"/>
        </w:rPr>
        <w:t xml:space="preserve">。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（2）专用合同条款及其附件； </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（3）通用合同条款； </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（4）中标通知书；</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（5）本项目招标文件、补充通知（如有）</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（6）投标文件及其附件；</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（7）技术标准；</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（8）发包人提供的上一阶段图纸（如果有）；</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（9）其他合同文件。</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联络</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 发包人和勘察人、设计人应当在</w:t>
      </w:r>
      <w:r>
        <w:rPr>
          <w:rFonts w:hint="eastAsia" w:ascii="宋体" w:hAnsi="宋体" w:eastAsia="宋体" w:cs="宋体"/>
          <w:color w:val="auto"/>
          <w:sz w:val="24"/>
          <w:szCs w:val="24"/>
          <w:highlight w:val="none"/>
          <w:u w:val="single"/>
        </w:rPr>
        <w:t xml:space="preserve">5 </w:t>
      </w:r>
      <w:r>
        <w:rPr>
          <w:rFonts w:hint="eastAsia" w:ascii="宋体" w:hAnsi="宋体" w:eastAsia="宋体" w:cs="宋体"/>
          <w:color w:val="auto"/>
          <w:kern w:val="0"/>
          <w:sz w:val="24"/>
          <w:szCs w:val="24"/>
          <w:highlight w:val="none"/>
        </w:rPr>
        <w:t>天内将与合同有关的通知、批准、证明、证书、指示、指令、要求、请求、同意、确定和决定等书面函件送达对方当事人。</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 发包人和设计人联系信息</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发包人接收文件的地点：</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kern w:val="0"/>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发包人指定的联系电话及传真号码：</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发包人指定的电子邮箱：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勘察人接收文件的地点：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勘察人指定的接收人为：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勘察</w:t>
      </w:r>
      <w:r>
        <w:rPr>
          <w:rFonts w:hint="eastAsia" w:ascii="宋体" w:hAnsi="宋体" w:eastAsia="宋体" w:cs="宋体"/>
          <w:color w:val="auto"/>
          <w:sz w:val="24"/>
          <w:szCs w:val="24"/>
          <w:highlight w:val="none"/>
        </w:rPr>
        <w:t>人指定的联系电话及传真号码：</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w:t>
      </w:r>
      <w:r>
        <w:rPr>
          <w:rFonts w:hint="eastAsia" w:ascii="宋体" w:hAnsi="宋体" w:eastAsia="宋体" w:cs="宋体"/>
          <w:color w:val="auto"/>
          <w:sz w:val="24"/>
          <w:szCs w:val="24"/>
          <w:highlight w:val="none"/>
        </w:rPr>
        <w:t>人</w:t>
      </w:r>
      <w:r>
        <w:rPr>
          <w:rFonts w:hint="eastAsia" w:ascii="宋体" w:hAnsi="宋体" w:eastAsia="宋体" w:cs="宋体"/>
          <w:color w:val="auto"/>
          <w:kern w:val="0"/>
          <w:sz w:val="24"/>
          <w:szCs w:val="24"/>
          <w:highlight w:val="none"/>
        </w:rPr>
        <w:t>指定的电子邮箱：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设计人接收文件的地点：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设计人指定的接收人为：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设计人指定的联系电话及传真号码：</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设计人</w:t>
      </w:r>
      <w:r>
        <w:rPr>
          <w:rFonts w:hint="eastAsia" w:ascii="宋体" w:hAnsi="宋体" w:eastAsia="宋体" w:cs="宋体"/>
          <w:color w:val="auto"/>
          <w:kern w:val="0"/>
          <w:sz w:val="24"/>
          <w:szCs w:val="24"/>
          <w:highlight w:val="none"/>
        </w:rPr>
        <w:t>指定的电子邮箱：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 保密</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保密期限：</w:t>
      </w:r>
      <w:r>
        <w:rPr>
          <w:rFonts w:hint="eastAsia" w:ascii="宋体" w:hAnsi="宋体" w:eastAsia="宋体" w:cs="宋体"/>
          <w:color w:val="auto"/>
          <w:kern w:val="0"/>
          <w:sz w:val="24"/>
          <w:szCs w:val="24"/>
          <w:highlight w:val="none"/>
          <w:u w:val="single"/>
        </w:rPr>
        <w:t xml:space="preserve"> 与实施工程有关的发包人所提供的或勘察设计中形成的资料未向公众公开的信息、资料均属保密事项，保密期限至前述信息资料被发包人公开为止</w:t>
      </w:r>
      <w:r>
        <w:rPr>
          <w:rFonts w:hint="eastAsia" w:ascii="宋体" w:hAnsi="宋体" w:eastAsia="宋体" w:cs="宋体"/>
          <w:color w:val="auto"/>
          <w:kern w:val="0"/>
          <w:sz w:val="24"/>
          <w:szCs w:val="24"/>
          <w:highlight w:val="none"/>
        </w:rPr>
        <w:t>。</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37" w:name="_Toc17694"/>
      <w:r>
        <w:rPr>
          <w:rFonts w:hint="eastAsia" w:ascii="宋体" w:hAnsi="宋体" w:eastAsia="宋体" w:cs="宋体"/>
          <w:b w:val="0"/>
          <w:color w:val="auto"/>
          <w:sz w:val="24"/>
          <w:szCs w:val="24"/>
          <w:highlight w:val="none"/>
        </w:rPr>
        <w:t>2. 发包人</w:t>
      </w:r>
      <w:bookmarkEnd w:id="337"/>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发包人一般义务</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发包人其它义务：</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  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  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 xml:space="preserve">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发包人更换发包人代表的，应当提前</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天书面通知设计人。</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发包人决定</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发包人应在</w:t>
      </w:r>
      <w:r>
        <w:rPr>
          <w:rFonts w:hint="eastAsia" w:ascii="宋体" w:hAnsi="宋体" w:eastAsia="宋体" w:cs="宋体"/>
          <w:color w:val="auto"/>
          <w:sz w:val="24"/>
          <w:szCs w:val="24"/>
          <w:highlight w:val="none"/>
          <w:u w:val="single"/>
        </w:rPr>
        <w:t>7</w:t>
      </w:r>
      <w:r>
        <w:rPr>
          <w:rFonts w:hint="eastAsia" w:ascii="宋体" w:hAnsi="宋体" w:eastAsia="宋体" w:cs="宋体"/>
          <w:color w:val="auto"/>
          <w:sz w:val="24"/>
          <w:szCs w:val="24"/>
          <w:highlight w:val="none"/>
        </w:rPr>
        <w:t>天内对勘察人、设计人书面提出的事项作出书面决定。</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38" w:name="_Toc12512"/>
      <w:r>
        <w:rPr>
          <w:rFonts w:hint="eastAsia" w:ascii="宋体" w:hAnsi="宋体" w:eastAsia="宋体" w:cs="宋体"/>
          <w:b w:val="0"/>
          <w:color w:val="auto"/>
          <w:sz w:val="24"/>
          <w:szCs w:val="24"/>
          <w:highlight w:val="none"/>
        </w:rPr>
        <w:t>3. 勘察人、设计人</w:t>
      </w:r>
      <w:bookmarkEnd w:id="338"/>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勘察人、设计人一般义务</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3.1.8设计人</w:t>
      </w:r>
      <w:r>
        <w:rPr>
          <w:rFonts w:hint="eastAsia" w:ascii="宋体" w:hAnsi="宋体" w:eastAsia="宋体" w:cs="宋体"/>
          <w:color w:val="auto"/>
          <w:sz w:val="24"/>
          <w:szCs w:val="24"/>
          <w:highlight w:val="none"/>
          <w:u w:val="single"/>
        </w:rPr>
        <w:t xml:space="preserve">  需  </w:t>
      </w:r>
      <w:r>
        <w:rPr>
          <w:rFonts w:hint="eastAsia" w:ascii="宋体" w:hAnsi="宋体" w:eastAsia="宋体" w:cs="宋体"/>
          <w:color w:val="auto"/>
          <w:sz w:val="24"/>
          <w:szCs w:val="24"/>
          <w:highlight w:val="none"/>
        </w:rPr>
        <w:t>（需/不需）</w:t>
      </w:r>
      <w:r>
        <w:rPr>
          <w:rFonts w:hint="eastAsia" w:ascii="宋体" w:hAnsi="宋体" w:eastAsia="宋体" w:cs="宋体"/>
          <w:color w:val="auto"/>
          <w:kern w:val="0"/>
          <w:sz w:val="24"/>
          <w:szCs w:val="24"/>
          <w:highlight w:val="none"/>
        </w:rPr>
        <w:t>配合发包人办理有关许可、批准或备案手续。</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3.1.10 勘察人其他义务：</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勘察人应按国家规定和合同约定的技术规范、标准进行勘察，按本合同附件3规定的内容、时间及份数向发包人交付勘察文件（合同规定的提交时间顺延情况除外），并对提交的勘察文件的真实性、质量负责。</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勘察人提供的勘察成果资料或质量不合格，勘察人应负责整改至质量合格；若勘察人无力完善需另委托其他单位时，除应提前至少一个月书面通知发包人外，勘察人还应承担全部委托勘察费用；因勘察质量造成重大经济损失或工程事故时，损失严重的根据损失程度和勘察人责任大小向发包人支付赔偿金，赔偿金由双方商定，最高限额为已收到的勘察费。</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（3）本项目如施工现场遇到需勘察人到场才能解决的问题，勘察人必须确保在24小时内响应，并保证到场人员为符合资质人员，否则将扣罚勘察费2000元/延误日。</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勘察人交付勘察文件后，按规定参加有关上级的勘察审查，并根据审查结论负责不超出原定范围的内容做必要调整补充。勘察人按合同规定时限交付勘察文件一年内项目开始施工，负责向发包人及施工单位进行勘察交底、处理有关勘察问题和参加竣工验收。在一年内项目尚未开始施工，勘察人仍负责上述工作，勘察费不做调整。</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（5）在勘察过程中，勘察人应配合发包人进行勘察报告的审查，并定期参加发包人组织的协调会和工地例会，互通信息。</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（6）在现场工作的勘察人的人员，应遵守发包人的安全保卫及其它有关规章制度，否则所产生的一切安全责任均由勘察人承担。</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3.1.11 设计人其他义务：</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（1）设计人应按国家规定和合同约定的技术规范、标准进行设计，按本合同附件3规定的内容、时间及份数向发包人交付设计文件（合同规定的提交时间顺延情况除外）。并对提交的设计文件的质量负责。</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设计人提供的设计成果资料或质量不合格，设计人应负责整改至质量合格；若设计人无力完善需另委托其他单位时，除应提前至少一个月书面通知发包人外，设计人还应承担全部委托设计费用；因设计质量造成重大经济损失或工程事故时，损失严重的根据损失程度和设计人责任大小向发包人支付赔偿金，赔偿金由双方商定，最高限额为已收到的设计费。</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（3）本项目如施工现场遇到需设计人到场才能解决的问题，设计人必须确保在24小时内响应，并保证到场人员为符合资质人员，否则将扣罚设计费2000元/延误日。</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设计费不做调整。</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（5）在设计过程中，设计人应配合发包人进行初步设计（如有）、施工图的审查，并定期参加发包人组织的协调会和工地例会，互通信息。</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（6）在现场工作的设计人的人员，应遵守发包人的安全保卫及其它有关规章制度，否则所产生的一切安全责任均由设计人承担。</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项目负责人</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3.2.1 勘察</w:t>
      </w:r>
      <w:r>
        <w:rPr>
          <w:rFonts w:hint="eastAsia" w:ascii="宋体" w:hAnsi="宋体" w:eastAsia="宋体" w:cs="宋体"/>
          <w:color w:val="auto"/>
          <w:sz w:val="24"/>
          <w:szCs w:val="24"/>
          <w:highlight w:val="none"/>
        </w:rPr>
        <w:t>项目负责人</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执业资格及等级：</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注册证书号：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勘察人对项目负责人的授权范围如下：</w:t>
      </w:r>
      <w:r>
        <w:rPr>
          <w:rFonts w:hint="eastAsia" w:ascii="宋体" w:hAnsi="宋体" w:eastAsia="宋体" w:cs="宋体"/>
          <w:color w:val="auto"/>
          <w:sz w:val="24"/>
          <w:szCs w:val="24"/>
          <w:highlight w:val="none"/>
          <w:u w:val="single"/>
        </w:rPr>
        <w:t xml:space="preserve">     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设计</w:t>
      </w:r>
      <w:r>
        <w:rPr>
          <w:rFonts w:hint="eastAsia" w:ascii="宋体" w:hAnsi="宋体" w:eastAsia="宋体" w:cs="宋体"/>
          <w:color w:val="auto"/>
          <w:sz w:val="24"/>
          <w:szCs w:val="24"/>
          <w:highlight w:val="none"/>
        </w:rPr>
        <w:t>项目负责人</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执业资格及等级：</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注册证书号：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设计人对项目负责人的授权范围如下：</w:t>
      </w:r>
      <w:r>
        <w:rPr>
          <w:rFonts w:hint="eastAsia" w:ascii="宋体" w:hAnsi="宋体" w:eastAsia="宋体" w:cs="宋体"/>
          <w:color w:val="auto"/>
          <w:sz w:val="24"/>
          <w:szCs w:val="24"/>
          <w:highlight w:val="none"/>
          <w:u w:val="single"/>
        </w:rPr>
        <w:t xml:space="preserve">     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勘察人、设计人更换项目负责人的，应提前</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天书面通知发包人。</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勘察人、设计人擅自更换项目负责人的违约责任：</w:t>
      </w:r>
      <w:r>
        <w:rPr>
          <w:rFonts w:hint="eastAsia" w:ascii="宋体" w:hAnsi="宋体" w:eastAsia="宋体" w:cs="宋体"/>
          <w:color w:val="auto"/>
          <w:sz w:val="24"/>
          <w:szCs w:val="24"/>
          <w:highlight w:val="none"/>
          <w:u w:val="single"/>
        </w:rPr>
        <w:t xml:space="preserve"> 须向发包人支付违约金。违约金数额为第一次更换处予人民币2万元，第二次更换处予人民币4万元，第三次更换处予人民币8万元，超过三次，发包人有权单方面解除合同</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3.2.3 勘察人、设计人应在收到书面更换通知后</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天内更换项目负责人。</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勘察人、设计人无正当理由拒绝更换项目负责人的违约责任：</w:t>
      </w:r>
      <w:r>
        <w:rPr>
          <w:rFonts w:hint="eastAsia" w:ascii="宋体" w:hAnsi="宋体" w:eastAsia="宋体" w:cs="宋体"/>
          <w:color w:val="auto"/>
          <w:sz w:val="24"/>
          <w:szCs w:val="24"/>
          <w:highlight w:val="none"/>
          <w:u w:val="single"/>
        </w:rPr>
        <w:t>须向发包人支付违约金。违约金数额为第一次更换处予人民币2万元，第二次更换处予人民币4万元，第三次更换处予人民币8万元，超过三次，发包人有权单方面解除合同</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勘察人、设计人人员</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勘察人、设计人提交项目管理机构及人员安排报告的期限：</w:t>
      </w:r>
      <w:r>
        <w:rPr>
          <w:rFonts w:hint="eastAsia" w:ascii="宋体" w:hAnsi="宋体" w:eastAsia="宋体" w:cs="宋体"/>
          <w:color w:val="auto"/>
          <w:sz w:val="24"/>
          <w:szCs w:val="24"/>
          <w:highlight w:val="none"/>
          <w:u w:val="single"/>
        </w:rPr>
        <w:t xml:space="preserve"> 按通用条款执行</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勘察人、设计人无正当理由拒绝撤换主要设计人员的违约责任：</w:t>
      </w:r>
      <w:r>
        <w:rPr>
          <w:rFonts w:hint="eastAsia" w:ascii="宋体" w:hAnsi="宋体" w:eastAsia="宋体" w:cs="宋体"/>
          <w:color w:val="auto"/>
          <w:sz w:val="24"/>
          <w:szCs w:val="24"/>
          <w:highlight w:val="none"/>
          <w:u w:val="single"/>
        </w:rPr>
        <w:t>须向发包人支付违约金。违约金数额为第一次更换处予人民币2万元，第二次更换处予人民币3万元，第三次更换处予人民币4万元，超过三次，发包人有权单方面解除合同</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勘察设计分包</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设计分包的一般约定</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禁止设计分包的工程包括：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 xml:space="preserve">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3.4.2设计分包的确定</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设计人向发包人提交有关分包人资料包括：</w:t>
      </w:r>
      <w:r>
        <w:rPr>
          <w:rFonts w:hint="eastAsia" w:ascii="宋体" w:hAnsi="宋体" w:eastAsia="宋体" w:cs="宋体"/>
          <w:color w:val="auto"/>
          <w:sz w:val="24"/>
          <w:szCs w:val="24"/>
          <w:highlight w:val="none"/>
          <w:u w:val="single"/>
        </w:rPr>
        <w:t xml:space="preserve"> 具有相应的资质和能力的证明材料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 分包工程设计费支付方式：</w:t>
      </w:r>
      <w:r>
        <w:rPr>
          <w:rFonts w:hint="eastAsia" w:ascii="宋体" w:hAnsi="宋体" w:eastAsia="宋体" w:cs="宋体"/>
          <w:color w:val="auto"/>
          <w:sz w:val="24"/>
          <w:szCs w:val="24"/>
          <w:highlight w:val="none"/>
          <w:u w:val="single"/>
        </w:rPr>
        <w:t xml:space="preserve"> 按通用条款执行。</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联合体</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发包人向联合体支付设计费用的方式：</w:t>
      </w:r>
      <w:r>
        <w:rPr>
          <w:rFonts w:hint="eastAsia" w:ascii="宋体" w:hAnsi="宋体" w:eastAsia="宋体" w:cs="宋体"/>
          <w:color w:val="auto"/>
          <w:sz w:val="24"/>
          <w:szCs w:val="24"/>
          <w:highlight w:val="none"/>
          <w:u w:val="single"/>
        </w:rPr>
        <w:t xml:space="preserve"> 根据联合体各自承担的工作内容及经发包人审核确认相应的费用支付给联合体各方，联合体应分别请款、办理结算及开具相应税票给发包人 </w:t>
      </w:r>
      <w:r>
        <w:rPr>
          <w:rFonts w:hint="eastAsia" w:ascii="宋体" w:hAnsi="宋体" w:eastAsia="宋体" w:cs="宋体"/>
          <w:color w:val="auto"/>
          <w:sz w:val="24"/>
          <w:szCs w:val="24"/>
          <w:highlight w:val="none"/>
        </w:rPr>
        <w:t xml:space="preserve">。   </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39" w:name="_Toc1434"/>
      <w:r>
        <w:rPr>
          <w:rFonts w:hint="eastAsia" w:ascii="宋体" w:hAnsi="宋体" w:eastAsia="宋体" w:cs="宋体"/>
          <w:b w:val="0"/>
          <w:color w:val="auto"/>
          <w:sz w:val="24"/>
          <w:szCs w:val="24"/>
          <w:highlight w:val="none"/>
        </w:rPr>
        <w:t>5. 工程设计要求</w:t>
      </w:r>
      <w:bookmarkEnd w:id="339"/>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工程设计一般要求</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5.1.2.1 工程设计的特殊标准或要求：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5.1.2.2 工程设计适用的技术标准：</w:t>
      </w:r>
      <w:r>
        <w:rPr>
          <w:rFonts w:hint="eastAsia" w:ascii="宋体" w:hAnsi="宋体" w:eastAsia="宋体" w:cs="宋体"/>
          <w:color w:val="auto"/>
          <w:sz w:val="24"/>
          <w:szCs w:val="24"/>
          <w:highlight w:val="none"/>
          <w:u w:val="single"/>
        </w:rPr>
        <w:t>严格执行工程建设强制性标准</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工程设计文件的要求</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5.3.3 工程设计文件深度规定：</w:t>
      </w:r>
      <w:r>
        <w:rPr>
          <w:rFonts w:hint="eastAsia" w:ascii="宋体" w:hAnsi="宋体" w:eastAsia="宋体" w:cs="宋体"/>
          <w:color w:val="auto"/>
          <w:sz w:val="24"/>
          <w:szCs w:val="24"/>
          <w:highlight w:val="none"/>
          <w:u w:val="single"/>
        </w:rPr>
        <w:t xml:space="preserve"> 符合国家有关质量标准现行勘察设计文件编制深度的相关规定（如：《市政公用工程设计文件编制深度规定》）</w:t>
      </w:r>
      <w:r>
        <w:rPr>
          <w:rFonts w:hint="eastAsia" w:ascii="宋体" w:hAnsi="宋体" w:eastAsia="宋体" w:cs="宋体"/>
          <w:color w:val="auto"/>
          <w:sz w:val="24"/>
          <w:szCs w:val="24"/>
          <w:highlight w:val="none"/>
        </w:rPr>
        <w:t xml:space="preserve">。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5.3.5 工程的合理使用寿命年限：</w:t>
      </w:r>
      <w:r>
        <w:rPr>
          <w:rFonts w:hint="eastAsia" w:ascii="宋体" w:hAnsi="宋体" w:eastAsia="宋体" w:cs="宋体"/>
          <w:color w:val="auto"/>
          <w:sz w:val="24"/>
          <w:szCs w:val="24"/>
          <w:highlight w:val="none"/>
          <w:u w:val="single"/>
        </w:rPr>
        <w:t xml:space="preserve"> 依据《室外排水设计标准》的规定，为50年 </w:t>
      </w:r>
      <w:r>
        <w:rPr>
          <w:rFonts w:hint="eastAsia" w:ascii="宋体" w:hAnsi="宋体" w:eastAsia="宋体" w:cs="宋体"/>
          <w:color w:val="auto"/>
          <w:sz w:val="24"/>
          <w:szCs w:val="24"/>
          <w:highlight w:val="none"/>
        </w:rPr>
        <w:t xml:space="preserve">。  </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40" w:name="_Toc16921"/>
      <w:r>
        <w:rPr>
          <w:rFonts w:hint="eastAsia" w:ascii="宋体" w:hAnsi="宋体" w:eastAsia="宋体" w:cs="宋体"/>
          <w:b w:val="0"/>
          <w:color w:val="auto"/>
          <w:sz w:val="24"/>
          <w:szCs w:val="24"/>
          <w:highlight w:val="none"/>
        </w:rPr>
        <w:t>6. 工程勘察设计进度与周期</w:t>
      </w:r>
      <w:bookmarkEnd w:id="340"/>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41" w:name="_Toc5252"/>
      <w:r>
        <w:rPr>
          <w:rFonts w:hint="eastAsia" w:ascii="宋体" w:hAnsi="宋体" w:eastAsia="宋体" w:cs="宋体"/>
          <w:b w:val="0"/>
          <w:color w:val="auto"/>
          <w:sz w:val="24"/>
          <w:szCs w:val="24"/>
          <w:highlight w:val="none"/>
        </w:rPr>
        <w:t>6.1 工程勘察</w:t>
      </w:r>
      <w:r>
        <w:rPr>
          <w:rFonts w:hint="eastAsia" w:ascii="宋体" w:hAnsi="宋体" w:eastAsia="宋体" w:cs="宋体"/>
          <w:b w:val="0"/>
          <w:color w:val="auto"/>
          <w:kern w:val="0"/>
          <w:sz w:val="24"/>
          <w:szCs w:val="24"/>
          <w:highlight w:val="none"/>
        </w:rPr>
        <w:t>设计</w:t>
      </w:r>
      <w:r>
        <w:rPr>
          <w:rFonts w:hint="eastAsia" w:ascii="宋体" w:hAnsi="宋体" w:eastAsia="宋体" w:cs="宋体"/>
          <w:b w:val="0"/>
          <w:color w:val="auto"/>
          <w:sz w:val="24"/>
          <w:szCs w:val="24"/>
          <w:highlight w:val="none"/>
        </w:rPr>
        <w:t>进度计划</w:t>
      </w:r>
      <w:bookmarkEnd w:id="341"/>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工程勘察设计进度计划的编制</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合</w:t>
      </w:r>
      <w:r>
        <w:rPr>
          <w:rFonts w:hint="eastAsia" w:ascii="宋体" w:hAnsi="宋体" w:eastAsia="宋体" w:cs="宋体"/>
          <w:color w:val="auto"/>
          <w:kern w:val="0"/>
          <w:sz w:val="24"/>
          <w:szCs w:val="24"/>
          <w:highlight w:val="none"/>
        </w:rPr>
        <w:t>同当事人约定的工程</w:t>
      </w:r>
      <w:r>
        <w:rPr>
          <w:rFonts w:hint="eastAsia" w:ascii="宋体" w:hAnsi="宋体" w:eastAsia="宋体" w:cs="宋体"/>
          <w:color w:val="auto"/>
          <w:sz w:val="24"/>
          <w:szCs w:val="24"/>
          <w:highlight w:val="none"/>
        </w:rPr>
        <w:t>勘察</w:t>
      </w:r>
      <w:r>
        <w:rPr>
          <w:rFonts w:hint="eastAsia" w:ascii="宋体" w:hAnsi="宋体" w:eastAsia="宋体" w:cs="宋体"/>
          <w:color w:val="auto"/>
          <w:kern w:val="0"/>
          <w:sz w:val="24"/>
          <w:szCs w:val="24"/>
          <w:highlight w:val="none"/>
        </w:rPr>
        <w:t>设计进度计划提交的时间：</w:t>
      </w:r>
      <w:r>
        <w:rPr>
          <w:rFonts w:hint="eastAsia" w:ascii="宋体" w:hAnsi="宋体" w:eastAsia="宋体" w:cs="宋体"/>
          <w:color w:val="auto"/>
          <w:kern w:val="0"/>
          <w:sz w:val="24"/>
          <w:szCs w:val="24"/>
          <w:highlight w:val="none"/>
          <w:u w:val="single"/>
        </w:rPr>
        <w:t xml:space="preserve"> 按招标约定的工程勘察设计进度实施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w:t>
      </w:r>
      <w:r>
        <w:rPr>
          <w:rFonts w:hint="eastAsia" w:ascii="宋体" w:hAnsi="宋体" w:eastAsia="宋体" w:cs="宋体"/>
          <w:color w:val="auto"/>
          <w:kern w:val="0"/>
          <w:sz w:val="24"/>
          <w:szCs w:val="24"/>
          <w:highlight w:val="none"/>
        </w:rPr>
        <w:t>同当事人约定的工程</w:t>
      </w:r>
      <w:r>
        <w:rPr>
          <w:rFonts w:hint="eastAsia" w:ascii="宋体" w:hAnsi="宋体" w:eastAsia="宋体" w:cs="宋体"/>
          <w:color w:val="auto"/>
          <w:sz w:val="24"/>
          <w:szCs w:val="24"/>
          <w:highlight w:val="none"/>
        </w:rPr>
        <w:t>勘察</w:t>
      </w:r>
      <w:r>
        <w:rPr>
          <w:rFonts w:hint="eastAsia" w:ascii="宋体" w:hAnsi="宋体" w:eastAsia="宋体" w:cs="宋体"/>
          <w:color w:val="auto"/>
          <w:kern w:val="0"/>
          <w:sz w:val="24"/>
          <w:szCs w:val="24"/>
          <w:highlight w:val="none"/>
        </w:rPr>
        <w:t>设计进度计划应包括的内容：</w:t>
      </w:r>
      <w:r>
        <w:rPr>
          <w:rFonts w:hint="eastAsia" w:ascii="宋体" w:hAnsi="宋体" w:eastAsia="宋体" w:cs="宋体"/>
          <w:color w:val="auto"/>
          <w:sz w:val="24"/>
          <w:szCs w:val="24"/>
          <w:highlight w:val="none"/>
          <w:u w:val="single"/>
        </w:rPr>
        <w:t xml:space="preserve"> 按招标约定</w:t>
      </w:r>
      <w:r>
        <w:rPr>
          <w:rFonts w:hint="eastAsia" w:ascii="宋体" w:hAnsi="宋体" w:eastAsia="宋体" w:cs="宋体"/>
          <w:color w:val="auto"/>
          <w:sz w:val="24"/>
          <w:szCs w:val="24"/>
          <w:highlight w:val="none"/>
        </w:rPr>
        <w:t xml:space="preserve">。 </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6.1.2 </w:t>
      </w:r>
      <w:r>
        <w:rPr>
          <w:rFonts w:hint="eastAsia" w:ascii="宋体" w:hAnsi="宋体" w:eastAsia="宋体" w:cs="宋体"/>
          <w:color w:val="auto"/>
          <w:kern w:val="0"/>
          <w:sz w:val="24"/>
          <w:szCs w:val="24"/>
          <w:highlight w:val="none"/>
        </w:rPr>
        <w:t>工程勘察设计进度计划的修订</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发包人在收到工程设计进度计划后确认或提出修改意见的期限：</w:t>
      </w:r>
      <w:r>
        <w:rPr>
          <w:rFonts w:hint="eastAsia" w:ascii="宋体" w:hAnsi="宋体" w:eastAsia="宋体" w:cs="宋体"/>
          <w:color w:val="auto"/>
          <w:sz w:val="24"/>
          <w:szCs w:val="24"/>
          <w:highlight w:val="none"/>
          <w:u w:val="single"/>
        </w:rPr>
        <w:t xml:space="preserve"> 按通用条款执行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42" w:name="_Toc7612"/>
      <w:r>
        <w:rPr>
          <w:rFonts w:hint="eastAsia" w:ascii="宋体" w:hAnsi="宋体" w:eastAsia="宋体" w:cs="宋体"/>
          <w:b w:val="0"/>
          <w:color w:val="auto"/>
          <w:sz w:val="24"/>
          <w:szCs w:val="24"/>
          <w:highlight w:val="none"/>
        </w:rPr>
        <w:t>6.3 工程勘察设计进度延误</w:t>
      </w:r>
      <w:bookmarkEnd w:id="342"/>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6.3.1 </w:t>
      </w:r>
      <w:r>
        <w:rPr>
          <w:rFonts w:hint="eastAsia" w:ascii="宋体" w:hAnsi="宋体" w:eastAsia="宋体" w:cs="宋体"/>
          <w:color w:val="auto"/>
          <w:kern w:val="0"/>
          <w:sz w:val="24"/>
          <w:szCs w:val="24"/>
          <w:highlight w:val="none"/>
        </w:rPr>
        <w:t>因发包人原因导致工程设计进度延误</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（4）因发包人原因导致工程设计进度延误的其他情形：</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设计人应在发生</w:t>
      </w:r>
      <w:r>
        <w:rPr>
          <w:rFonts w:hint="eastAsia" w:ascii="宋体" w:hAnsi="宋体" w:eastAsia="宋体" w:cs="宋体"/>
          <w:color w:val="auto"/>
          <w:kern w:val="0"/>
          <w:sz w:val="24"/>
          <w:szCs w:val="24"/>
          <w:highlight w:val="none"/>
        </w:rPr>
        <w:t>进度延误的情形</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天内向发包人发出要求延期的书面通知，在发生该情形后</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天内提交要求延期的详细说明。</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发包人收到勘察人、设计人要求延期的详细说明后，应在</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天内进行审查并书面答复。</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43" w:name="_Toc30749"/>
      <w:r>
        <w:rPr>
          <w:rFonts w:hint="eastAsia" w:ascii="宋体" w:hAnsi="宋体" w:eastAsia="宋体" w:cs="宋体"/>
          <w:b w:val="0"/>
          <w:color w:val="auto"/>
          <w:sz w:val="24"/>
          <w:szCs w:val="24"/>
          <w:highlight w:val="none"/>
        </w:rPr>
        <w:t>6.5 提前交付工程设计文件</w:t>
      </w:r>
      <w:bookmarkEnd w:id="343"/>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6.5.2 提前交付工程设计文件的奖励：</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44" w:name="_Toc24716"/>
      <w:r>
        <w:rPr>
          <w:rFonts w:hint="eastAsia" w:ascii="宋体" w:hAnsi="宋体" w:eastAsia="宋体" w:cs="宋体"/>
          <w:b w:val="0"/>
          <w:color w:val="auto"/>
          <w:sz w:val="24"/>
          <w:szCs w:val="24"/>
          <w:highlight w:val="none"/>
        </w:rPr>
        <w:t>7. 工程设计文件交付</w:t>
      </w:r>
      <w:bookmarkEnd w:id="344"/>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bookmarkStart w:id="345" w:name="_Toc29567"/>
      <w:r>
        <w:rPr>
          <w:rFonts w:hint="eastAsia" w:ascii="宋体" w:hAnsi="宋体" w:eastAsia="宋体" w:cs="宋体"/>
          <w:b w:val="0"/>
          <w:color w:val="auto"/>
          <w:kern w:val="0"/>
          <w:sz w:val="24"/>
          <w:szCs w:val="24"/>
          <w:highlight w:val="none"/>
        </w:rPr>
        <w:t>7.1 工程设计文件交付的内容</w:t>
      </w:r>
      <w:bookmarkEnd w:id="345"/>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发包人要求设计人提交电子版设计文件的具体形式为：</w:t>
      </w:r>
      <w:r>
        <w:rPr>
          <w:rFonts w:hint="eastAsia" w:ascii="宋体" w:hAnsi="宋体" w:eastAsia="宋体" w:cs="宋体"/>
          <w:color w:val="auto"/>
          <w:sz w:val="24"/>
          <w:szCs w:val="24"/>
          <w:highlight w:val="none"/>
          <w:u w:val="single"/>
        </w:rPr>
        <w:t xml:space="preserve"> 按招标约定执行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46" w:name="_Toc32022"/>
      <w:r>
        <w:rPr>
          <w:rFonts w:hint="eastAsia" w:ascii="宋体" w:hAnsi="宋体" w:eastAsia="宋体" w:cs="宋体"/>
          <w:b w:val="0"/>
          <w:color w:val="auto"/>
          <w:sz w:val="24"/>
          <w:szCs w:val="24"/>
          <w:highlight w:val="none"/>
        </w:rPr>
        <w:t>8. 工程勘察设计文件审查</w:t>
      </w:r>
      <w:bookmarkEnd w:id="346"/>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发包人对勘察人、设计人的勘察设计文件审查期限不超过</w:t>
      </w:r>
      <w:r>
        <w:rPr>
          <w:rFonts w:hint="eastAsia" w:ascii="宋体" w:hAnsi="宋体" w:eastAsia="宋体" w:cs="宋体"/>
          <w:color w:val="auto"/>
          <w:sz w:val="24"/>
          <w:szCs w:val="24"/>
          <w:highlight w:val="none"/>
          <w:u w:val="single"/>
        </w:rPr>
        <w:t xml:space="preserve"> 15 </w:t>
      </w:r>
      <w:r>
        <w:rPr>
          <w:rFonts w:hint="eastAsia" w:ascii="宋体" w:hAnsi="宋体" w:eastAsia="宋体" w:cs="宋体"/>
          <w:color w:val="auto"/>
          <w:sz w:val="24"/>
          <w:szCs w:val="24"/>
          <w:highlight w:val="none"/>
        </w:rPr>
        <w:t>天。</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8.3发包人应在审查同意设计人的工程勘察设计文件后在</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天内，向政府有关部门报送工程勘察设计文件。</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8.4 工程勘察设计审查形式及时间安排：</w:t>
      </w:r>
      <w:r>
        <w:rPr>
          <w:rFonts w:hint="eastAsia" w:ascii="宋体" w:hAnsi="宋体" w:eastAsia="宋体" w:cs="宋体"/>
          <w:color w:val="auto"/>
          <w:sz w:val="24"/>
          <w:szCs w:val="24"/>
          <w:highlight w:val="none"/>
          <w:u w:val="single"/>
        </w:rPr>
        <w:t xml:space="preserve">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u w:val="single"/>
        </w:rPr>
      </w:pPr>
      <w:bookmarkStart w:id="347" w:name="_Toc25456"/>
      <w:r>
        <w:rPr>
          <w:rFonts w:hint="eastAsia" w:ascii="宋体" w:hAnsi="宋体" w:eastAsia="宋体" w:cs="宋体"/>
          <w:b w:val="0"/>
          <w:color w:val="auto"/>
          <w:sz w:val="24"/>
          <w:szCs w:val="24"/>
          <w:highlight w:val="none"/>
        </w:rPr>
        <w:t>9. 施工现场配合服务</w:t>
      </w:r>
      <w:bookmarkEnd w:id="347"/>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9.1 发包人为勘察人、设计人派赴现场的工作人员提供便利条件的内容包括：</w:t>
      </w:r>
      <w:r>
        <w:rPr>
          <w:rFonts w:hint="eastAsia" w:ascii="宋体" w:hAnsi="宋体" w:eastAsia="宋体" w:cs="宋体"/>
          <w:color w:val="auto"/>
          <w:sz w:val="24"/>
          <w:szCs w:val="24"/>
          <w:highlight w:val="none"/>
          <w:u w:val="single"/>
        </w:rPr>
        <w:t>工作、生活，但费用由勘察人、设计人自理</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9.2 勘察人、设计人应当在交付勘察报告、施工图设计文件并经审查合格后</w:t>
      </w:r>
      <w:r>
        <w:rPr>
          <w:rFonts w:hint="eastAsia" w:ascii="宋体" w:hAnsi="宋体" w:eastAsia="宋体" w:cs="宋体"/>
          <w:color w:val="auto"/>
          <w:sz w:val="24"/>
          <w:szCs w:val="24"/>
          <w:highlight w:val="none"/>
          <w:u w:val="single"/>
        </w:rPr>
        <w:t xml:space="preserve"> 之日起 </w:t>
      </w:r>
      <w:r>
        <w:rPr>
          <w:rFonts w:hint="eastAsia" w:ascii="宋体" w:hAnsi="宋体" w:eastAsia="宋体" w:cs="宋体"/>
          <w:color w:val="auto"/>
          <w:sz w:val="24"/>
          <w:szCs w:val="24"/>
          <w:highlight w:val="none"/>
        </w:rPr>
        <w:t>时间内提供施工现场配合服务。</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48" w:name="_Toc1970"/>
      <w:r>
        <w:rPr>
          <w:rFonts w:hint="eastAsia" w:ascii="宋体" w:hAnsi="宋体" w:eastAsia="宋体" w:cs="宋体"/>
          <w:b w:val="0"/>
          <w:color w:val="auto"/>
          <w:sz w:val="24"/>
          <w:szCs w:val="24"/>
          <w:highlight w:val="none"/>
        </w:rPr>
        <w:t>10. 合同价款与支付</w:t>
      </w:r>
      <w:bookmarkEnd w:id="348"/>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49" w:name="_Toc13040"/>
      <w:r>
        <w:rPr>
          <w:rFonts w:hint="eastAsia" w:ascii="宋体" w:hAnsi="宋体" w:eastAsia="宋体" w:cs="宋体"/>
          <w:b w:val="0"/>
          <w:color w:val="auto"/>
          <w:sz w:val="24"/>
          <w:szCs w:val="24"/>
          <w:highlight w:val="none"/>
        </w:rPr>
        <w:t xml:space="preserve">10.2 </w:t>
      </w:r>
      <w:r>
        <w:rPr>
          <w:rFonts w:hint="eastAsia" w:ascii="宋体" w:hAnsi="宋体" w:eastAsia="宋体" w:cs="宋体"/>
          <w:b w:val="0"/>
          <w:color w:val="auto"/>
          <w:kern w:val="0"/>
          <w:sz w:val="24"/>
          <w:szCs w:val="24"/>
          <w:highlight w:val="none"/>
        </w:rPr>
        <w:t>合同</w:t>
      </w:r>
      <w:r>
        <w:rPr>
          <w:rFonts w:hint="eastAsia" w:ascii="宋体" w:hAnsi="宋体" w:eastAsia="宋体" w:cs="宋体"/>
          <w:b w:val="0"/>
          <w:color w:val="auto"/>
          <w:sz w:val="24"/>
          <w:szCs w:val="24"/>
          <w:highlight w:val="none"/>
        </w:rPr>
        <w:t>价格形式</w:t>
      </w:r>
      <w:bookmarkEnd w:id="349"/>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单价包含的风险范围：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 xml:space="preserve"> 工作的难度、服务期限等所有影响性因素，并承担所有相应风险，包括人工、材料、仪器设备、差旅、驻地、交通、通讯、施工配合费、风险费及利润、税金等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已包含在合同总价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不调整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50" w:name="_Toc20313"/>
      <w:r>
        <w:rPr>
          <w:rFonts w:hint="eastAsia" w:ascii="宋体" w:hAnsi="宋体" w:eastAsia="宋体" w:cs="宋体"/>
          <w:b w:val="0"/>
          <w:color w:val="auto"/>
          <w:sz w:val="24"/>
          <w:szCs w:val="24"/>
          <w:highlight w:val="none"/>
        </w:rPr>
        <w:t>10.3 预付款</w:t>
      </w:r>
      <w:bookmarkEnd w:id="350"/>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10.3.1预付款的比例</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预付款的比例</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10.3.2 定金或预付款的支付</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定金或预付款的支付时间：</w:t>
      </w:r>
      <w:r>
        <w:rPr>
          <w:rFonts w:hint="eastAsia" w:ascii="宋体" w:hAnsi="宋体" w:eastAsia="宋体" w:cs="宋体"/>
          <w:color w:val="auto"/>
          <w:sz w:val="24"/>
          <w:szCs w:val="24"/>
          <w:highlight w:val="none"/>
          <w:u w:val="single"/>
        </w:rPr>
        <w:t xml:space="preserve"> 签订合同后15天内 </w:t>
      </w:r>
      <w:r>
        <w:rPr>
          <w:rFonts w:hint="eastAsia" w:ascii="宋体" w:hAnsi="宋体" w:eastAsia="宋体" w:cs="宋体"/>
          <w:color w:val="auto"/>
          <w:sz w:val="24"/>
          <w:szCs w:val="24"/>
          <w:highlight w:val="none"/>
        </w:rPr>
        <w:t>，但</w:t>
      </w:r>
      <w:r>
        <w:rPr>
          <w:rFonts w:hint="eastAsia" w:ascii="宋体" w:hAnsi="宋体" w:eastAsia="宋体" w:cs="宋体"/>
          <w:color w:val="auto"/>
          <w:kern w:val="0"/>
          <w:sz w:val="24"/>
          <w:szCs w:val="24"/>
          <w:highlight w:val="none"/>
        </w:rPr>
        <w:t>最迟应在开始勘察设计通知载明的开始日期</w:t>
      </w:r>
      <w:r>
        <w:rPr>
          <w:rFonts w:hint="eastAsia" w:ascii="宋体" w:hAnsi="宋体" w:eastAsia="宋体" w:cs="宋体"/>
          <w:color w:val="auto"/>
          <w:kern w:val="0"/>
          <w:sz w:val="24"/>
          <w:szCs w:val="24"/>
          <w:highlight w:val="none"/>
          <w:u w:val="single"/>
        </w:rPr>
        <w:t xml:space="preserve">  10 </w:t>
      </w:r>
      <w:r>
        <w:rPr>
          <w:rFonts w:hint="eastAsia" w:ascii="宋体" w:hAnsi="宋体" w:eastAsia="宋体" w:cs="宋体"/>
          <w:color w:val="auto"/>
          <w:kern w:val="0"/>
          <w:sz w:val="24"/>
          <w:szCs w:val="24"/>
          <w:highlight w:val="none"/>
        </w:rPr>
        <w:t>天前支付。</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51" w:name="_Toc11553"/>
      <w:r>
        <w:rPr>
          <w:rFonts w:hint="eastAsia" w:ascii="宋体" w:hAnsi="宋体" w:eastAsia="宋体" w:cs="宋体"/>
          <w:b w:val="0"/>
          <w:color w:val="auto"/>
          <w:sz w:val="24"/>
          <w:szCs w:val="24"/>
          <w:highlight w:val="none"/>
        </w:rPr>
        <w:t>11. 工程勘察设计变更与索赔</w:t>
      </w:r>
      <w:bookmarkEnd w:id="351"/>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 勘察人、设计人应于认为有理由提出增加合同价款或延长勘察设计周期的要求事项发生后</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天内书面通知发包人。</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勘察人、设计人应在该事项发生后</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天内向发包人提供证明勘察人、设计人要求的书面声明。</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发包人应在接到勘察人、设计人书面声明后的</w:t>
      </w:r>
      <w:r>
        <w:rPr>
          <w:rFonts w:hint="eastAsia" w:ascii="宋体" w:hAnsi="宋体" w:eastAsia="宋体" w:cs="宋体"/>
          <w:color w:val="auto"/>
          <w:kern w:val="0"/>
          <w:sz w:val="24"/>
          <w:szCs w:val="24"/>
          <w:highlight w:val="none"/>
          <w:u w:val="single"/>
        </w:rPr>
        <w:t xml:space="preserve"> 10 </w:t>
      </w:r>
      <w:r>
        <w:rPr>
          <w:rFonts w:hint="eastAsia" w:ascii="宋体" w:hAnsi="宋体" w:eastAsia="宋体" w:cs="宋体"/>
          <w:color w:val="auto"/>
          <w:kern w:val="0"/>
          <w:sz w:val="24"/>
          <w:szCs w:val="24"/>
          <w:highlight w:val="none"/>
        </w:rPr>
        <w:t>天内，予以书面答复。</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52" w:name="_Toc4722"/>
      <w:r>
        <w:rPr>
          <w:rFonts w:hint="eastAsia" w:ascii="宋体" w:hAnsi="宋体" w:eastAsia="宋体" w:cs="宋体"/>
          <w:b w:val="0"/>
          <w:color w:val="auto"/>
          <w:sz w:val="24"/>
          <w:szCs w:val="24"/>
          <w:highlight w:val="none"/>
        </w:rPr>
        <w:t>12. 专业责任与保险</w:t>
      </w:r>
      <w:bookmarkEnd w:id="352"/>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设计人</w:t>
      </w:r>
      <w:r>
        <w:rPr>
          <w:rFonts w:hint="eastAsia" w:ascii="宋体" w:hAnsi="宋体" w:eastAsia="宋体" w:cs="宋体"/>
          <w:color w:val="auto"/>
          <w:sz w:val="24"/>
          <w:szCs w:val="24"/>
          <w:highlight w:val="none"/>
          <w:u w:val="single"/>
        </w:rPr>
        <w:t xml:space="preserve"> 不许 </w:t>
      </w:r>
      <w:r>
        <w:rPr>
          <w:rFonts w:hint="eastAsia" w:ascii="宋体" w:hAnsi="宋体" w:eastAsia="宋体" w:cs="宋体"/>
          <w:color w:val="auto"/>
          <w:sz w:val="24"/>
          <w:szCs w:val="24"/>
          <w:highlight w:val="none"/>
        </w:rPr>
        <w:t>（需/不需）有发包人认可的工程设计责任保险。</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53" w:name="_Toc24435"/>
      <w:r>
        <w:rPr>
          <w:rFonts w:hint="eastAsia" w:ascii="宋体" w:hAnsi="宋体" w:eastAsia="宋体" w:cs="宋体"/>
          <w:b w:val="0"/>
          <w:color w:val="auto"/>
          <w:sz w:val="24"/>
          <w:szCs w:val="24"/>
          <w:highlight w:val="none"/>
        </w:rPr>
        <w:t>13. 知识产权</w:t>
      </w:r>
      <w:bookmarkEnd w:id="353"/>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13.1关于发包人提供给勘察人、设计人的图纸、发包人为实施工程自行编制或委托编制的技术规格以及反映发包人关于合同要求或其他类似性质的文件的著作权的归属：</w:t>
      </w:r>
      <w:r>
        <w:rPr>
          <w:rFonts w:hint="eastAsia" w:ascii="宋体" w:hAnsi="宋体" w:eastAsia="宋体" w:cs="宋体"/>
          <w:color w:val="auto"/>
          <w:sz w:val="24"/>
          <w:szCs w:val="24"/>
          <w:highlight w:val="none"/>
          <w:u w:val="single"/>
        </w:rPr>
        <w:t xml:space="preserve">发包人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 xml:space="preserve"> 仅限于本项目适用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13.2关于勘察人为实施工程所编制文件的著作权的归属：</w:t>
      </w:r>
      <w:r>
        <w:rPr>
          <w:rFonts w:hint="eastAsia" w:ascii="宋体" w:hAnsi="宋体" w:eastAsia="宋体" w:cs="宋体"/>
          <w:color w:val="auto"/>
          <w:sz w:val="24"/>
          <w:szCs w:val="24"/>
          <w:highlight w:val="none"/>
          <w:u w:val="single"/>
        </w:rPr>
        <w:t>勘察人</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关于设计人为实施工程所编制文件的著作权的归属：</w:t>
      </w:r>
      <w:r>
        <w:rPr>
          <w:rFonts w:hint="eastAsia" w:ascii="宋体" w:hAnsi="宋体" w:eastAsia="宋体" w:cs="宋体"/>
          <w:color w:val="auto"/>
          <w:sz w:val="24"/>
          <w:szCs w:val="24"/>
          <w:highlight w:val="none"/>
          <w:u w:val="single"/>
        </w:rPr>
        <w:t>设计人</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关于勘察人、设计人提供的上述文件的使用限制的要求：</w:t>
      </w:r>
      <w:r>
        <w:rPr>
          <w:rFonts w:hint="eastAsia" w:ascii="宋体" w:hAnsi="宋体" w:eastAsia="宋体" w:cs="宋体"/>
          <w:color w:val="auto"/>
          <w:sz w:val="24"/>
          <w:szCs w:val="24"/>
          <w:highlight w:val="none"/>
          <w:u w:val="single"/>
        </w:rPr>
        <w:t xml:space="preserve">按通用条款执行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13.5 勘察人、设计人在勘察设计过程中所采用的专利、专有技术的使用费的承担方式：</w:t>
      </w:r>
      <w:r>
        <w:rPr>
          <w:rFonts w:hint="eastAsia" w:ascii="宋体" w:hAnsi="宋体" w:eastAsia="宋体" w:cs="宋体"/>
          <w:color w:val="auto"/>
          <w:sz w:val="24"/>
          <w:szCs w:val="24"/>
          <w:highlight w:val="none"/>
          <w:u w:val="single"/>
        </w:rPr>
        <w:t xml:space="preserve"> 已包含在合同价款中，由勘察人、设计人自行承担相关使用费 </w:t>
      </w:r>
      <w:r>
        <w:rPr>
          <w:rFonts w:hint="eastAsia" w:ascii="宋体" w:hAnsi="宋体" w:eastAsia="宋体" w:cs="宋体"/>
          <w:color w:val="auto"/>
          <w:kern w:val="0"/>
          <w:sz w:val="24"/>
          <w:szCs w:val="24"/>
          <w:highlight w:val="none"/>
        </w:rPr>
        <w:t>。</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54" w:name="_Toc22212"/>
      <w:r>
        <w:rPr>
          <w:rFonts w:hint="eastAsia" w:ascii="宋体" w:hAnsi="宋体" w:eastAsia="宋体" w:cs="宋体"/>
          <w:b w:val="0"/>
          <w:color w:val="auto"/>
          <w:sz w:val="24"/>
          <w:szCs w:val="24"/>
          <w:highlight w:val="none"/>
        </w:rPr>
        <w:t>14. 违约责任</w:t>
      </w:r>
      <w:bookmarkEnd w:id="354"/>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发包人违约责任</w:t>
      </w:r>
    </w:p>
    <w:p>
      <w:pPr>
        <w:pageBreakBefore w:val="0"/>
        <w:widowControl/>
        <w:numPr>
          <w:ins w:id="0" w:author="Administrator" w:date=""/>
        </w:numPr>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14.1.1 发包人支付设计人违约金：</w:t>
      </w:r>
      <w:r>
        <w:rPr>
          <w:rFonts w:hint="eastAsia" w:ascii="宋体" w:hAnsi="宋体" w:eastAsia="宋体" w:cs="宋体"/>
          <w:color w:val="auto"/>
          <w:sz w:val="24"/>
          <w:szCs w:val="24"/>
          <w:highlight w:val="none"/>
          <w:u w:val="single"/>
        </w:rPr>
        <w:t xml:space="preserve"> 按通用条款执行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14.1.2 发包人逾期支付设计费的违约金：</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发包人应按本合同规定的金额和日期向勘察人、设计人支付勘察设计费，如无正当理由逾期的，每逾期支付一天，应承担应支付金额千分之一的逾期违约金，且勘察人、设计人提交勘察设计文件的时间顺延 </w:t>
      </w:r>
      <w:r>
        <w:rPr>
          <w:rFonts w:hint="eastAsia" w:ascii="宋体" w:hAnsi="宋体" w:eastAsia="宋体" w:cs="宋体"/>
          <w:color w:val="auto"/>
          <w:sz w:val="24"/>
          <w:szCs w:val="24"/>
          <w:highlight w:val="none"/>
        </w:rPr>
        <w:t xml:space="preserve">。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勘察人、设计人违约责任</w:t>
      </w:r>
    </w:p>
    <w:p>
      <w:pPr>
        <w:pageBreakBefore w:val="0"/>
        <w:widowControl/>
        <w:numPr>
          <w:ins w:id="1" w:author="Administrator" w:date=""/>
        </w:numPr>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14.2.1 勘察人、设计人支付发包人的违约金：</w:t>
      </w:r>
      <w:r>
        <w:rPr>
          <w:rFonts w:hint="eastAsia" w:ascii="宋体" w:hAnsi="宋体" w:eastAsia="宋体" w:cs="宋体"/>
          <w:color w:val="auto"/>
          <w:sz w:val="24"/>
          <w:szCs w:val="24"/>
          <w:highlight w:val="none"/>
          <w:u w:val="single"/>
        </w:rPr>
        <w:t xml:space="preserve"> 按通用条款执行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14.2.2勘察人、设计人逾期交付工程勘察设计文件的违约金：</w:t>
      </w:r>
      <w:r>
        <w:rPr>
          <w:rFonts w:hint="eastAsia" w:ascii="宋体" w:hAnsi="宋体" w:eastAsia="宋体" w:cs="宋体"/>
          <w:color w:val="auto"/>
          <w:kern w:val="0"/>
          <w:sz w:val="24"/>
          <w:szCs w:val="24"/>
          <w:highlight w:val="none"/>
          <w:u w:val="single"/>
        </w:rPr>
        <w:t xml:space="preserve"> 由于勘察人、设计人原因，延误了工程勘察设计文件交付时间，每延误一天，应减收该项目应收勘察设计费的千分之一</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 xml:space="preserve">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勘察人、设计人逾期交付工程设计文件的违约金的上限：</w:t>
      </w:r>
      <w:r>
        <w:rPr>
          <w:rFonts w:hint="eastAsia" w:ascii="宋体" w:hAnsi="宋体" w:eastAsia="宋体" w:cs="宋体"/>
          <w:color w:val="auto"/>
          <w:kern w:val="0"/>
          <w:sz w:val="24"/>
          <w:szCs w:val="24"/>
          <w:highlight w:val="none"/>
          <w:u w:val="single"/>
        </w:rPr>
        <w:t xml:space="preserve"> 逾期超过45天的，发包人有权解除合同，并要求勘察人、设计人按本合同勘察设计费的20%向发包人支付违约金，或直接委托有资质的第三方继续履行本合同义务，由此造成的一切损失由勘察人、设计人承担</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xml:space="preserve">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14.2.3 勘察人、设计人设计文件不合格的损失赔偿金的上限：</w:t>
      </w:r>
      <w:r>
        <w:rPr>
          <w:rFonts w:hint="eastAsia" w:ascii="宋体" w:hAnsi="宋体" w:eastAsia="宋体" w:cs="宋体"/>
          <w:color w:val="auto"/>
          <w:sz w:val="24"/>
          <w:szCs w:val="24"/>
          <w:highlight w:val="none"/>
          <w:u w:val="single"/>
        </w:rPr>
        <w:t xml:space="preserve">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由于勘察人、设计人原因产生的勘察设计问题造成工程质量事故或其他事故时，勘察人、设计人除负责采取补救措施外，应免收损失部分的勘察设计费，并应对造成的损失承担赔偿责任。同时向发包人支付违约金，违约金按本合同勘察设计费的20%计算</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14.2.4 设计人未经发包人同意擅自对工程设计进行分包的违约责任：</w:t>
      </w:r>
      <w:r>
        <w:rPr>
          <w:rFonts w:hint="eastAsia" w:ascii="宋体" w:hAnsi="宋体" w:eastAsia="宋体" w:cs="宋体"/>
          <w:color w:val="auto"/>
          <w:kern w:val="0"/>
          <w:sz w:val="24"/>
          <w:szCs w:val="24"/>
          <w:highlight w:val="none"/>
          <w:u w:val="single"/>
        </w:rPr>
        <w:t xml:space="preserve"> 发包人有权单方面解除合同 </w:t>
      </w:r>
      <w:r>
        <w:rPr>
          <w:rFonts w:hint="eastAsia" w:ascii="宋体" w:hAnsi="宋体" w:eastAsia="宋体" w:cs="宋体"/>
          <w:color w:val="auto"/>
          <w:kern w:val="0"/>
          <w:sz w:val="24"/>
          <w:szCs w:val="24"/>
          <w:highlight w:val="none"/>
        </w:rPr>
        <w:t>。</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55" w:name="_Toc5697"/>
      <w:r>
        <w:rPr>
          <w:rFonts w:hint="eastAsia" w:ascii="宋体" w:hAnsi="宋体" w:eastAsia="宋体" w:cs="宋体"/>
          <w:b w:val="0"/>
          <w:color w:val="auto"/>
          <w:sz w:val="24"/>
          <w:szCs w:val="24"/>
          <w:highlight w:val="none"/>
        </w:rPr>
        <w:t>15. 不可抗力</w:t>
      </w:r>
      <w:bookmarkEnd w:id="355"/>
      <w:r>
        <w:rPr>
          <w:rFonts w:hint="eastAsia" w:ascii="宋体" w:hAnsi="宋体" w:eastAsia="宋体" w:cs="宋体"/>
          <w:b w:val="0"/>
          <w:color w:val="auto"/>
          <w:sz w:val="24"/>
          <w:szCs w:val="24"/>
          <w:highlight w:val="none"/>
        </w:rPr>
        <w:t xml:space="preserve">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不可抗力的确认</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除通用合同条款约定的不可抗力事件之外，视为不可抗力的其他情形：</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（1）异常恶劣的气候条件</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6级以上的地震；</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8级以上的持续2天的台风；</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250mm以上的持续24小时的大雨、暴雨</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50年以上未发生过、持续2天的高温天气。</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（2）新冠疫情</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工程所在地发生局部的新冠疫情</w:t>
      </w:r>
      <w:r>
        <w:rPr>
          <w:rFonts w:hint="eastAsia" w:ascii="宋体" w:hAnsi="宋体" w:eastAsia="宋体" w:cs="宋体"/>
          <w:color w:val="auto"/>
          <w:kern w:val="0"/>
          <w:sz w:val="24"/>
          <w:szCs w:val="24"/>
          <w:highlight w:val="none"/>
        </w:rPr>
        <w:t xml:space="preserve">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16. 合同解除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16.2 </w:t>
      </w:r>
      <w:r>
        <w:rPr>
          <w:rFonts w:hint="eastAsia" w:ascii="宋体" w:hAnsi="宋体" w:eastAsia="宋体" w:cs="宋体"/>
          <w:color w:val="auto"/>
          <w:sz w:val="24"/>
          <w:szCs w:val="24"/>
          <w:highlight w:val="none"/>
        </w:rPr>
        <w:t>有下列情形之一的，可以解除合同：</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（3）暂停勘察设计期限已连续超过</w:t>
      </w:r>
      <w:r>
        <w:rPr>
          <w:rFonts w:hint="eastAsia" w:ascii="宋体" w:hAnsi="宋体" w:eastAsia="宋体" w:cs="宋体"/>
          <w:color w:val="auto"/>
          <w:kern w:val="0"/>
          <w:sz w:val="24"/>
          <w:szCs w:val="24"/>
          <w:highlight w:val="none"/>
          <w:u w:val="single"/>
        </w:rPr>
        <w:t xml:space="preserve">  360 </w:t>
      </w:r>
      <w:r>
        <w:rPr>
          <w:rFonts w:hint="eastAsia" w:ascii="宋体" w:hAnsi="宋体" w:eastAsia="宋体" w:cs="宋体"/>
          <w:color w:val="auto"/>
          <w:kern w:val="0"/>
          <w:sz w:val="24"/>
          <w:szCs w:val="24"/>
          <w:highlight w:val="none"/>
        </w:rPr>
        <w:t>天。</w:t>
      </w:r>
    </w:p>
    <w:p>
      <w:pPr>
        <w:pageBreakBefore w:val="0"/>
        <w:widowControl/>
        <w:numPr>
          <w:ins w:id="2" w:author="Administrator" w:date=""/>
        </w:numPr>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16.4 </w:t>
      </w:r>
      <w:r>
        <w:rPr>
          <w:rFonts w:hint="eastAsia" w:ascii="宋体" w:hAnsi="宋体" w:eastAsia="宋体" w:cs="宋体"/>
          <w:color w:val="auto"/>
          <w:sz w:val="24"/>
          <w:szCs w:val="24"/>
          <w:highlight w:val="none"/>
        </w:rPr>
        <w:t>发包人向勘察人、设计人支付已完工作勘察设计费的期限为</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天内。</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56" w:name="_Toc26154"/>
      <w:r>
        <w:rPr>
          <w:rFonts w:hint="eastAsia" w:ascii="宋体" w:hAnsi="宋体" w:eastAsia="宋体" w:cs="宋体"/>
          <w:b w:val="0"/>
          <w:color w:val="auto"/>
          <w:sz w:val="24"/>
          <w:szCs w:val="24"/>
          <w:highlight w:val="none"/>
        </w:rPr>
        <w:t>17. 争议解决</w:t>
      </w:r>
      <w:bookmarkEnd w:id="356"/>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 争议评审</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 xml:space="preserve">。  </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17.3.1 争议评审小组的确定</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评审所发生的费用</w:t>
      </w:r>
      <w:r>
        <w:rPr>
          <w:rFonts w:hint="eastAsia" w:ascii="宋体" w:hAnsi="宋体" w:eastAsia="宋体" w:cs="宋体"/>
          <w:color w:val="auto"/>
          <w:sz w:val="24"/>
          <w:szCs w:val="24"/>
          <w:highlight w:val="none"/>
        </w:rPr>
        <w:t>承担方式：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17.3.2 争议评审小组的决定</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17.4仲裁或诉讼</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发包人所在地有管辖权  </w:t>
      </w:r>
      <w:r>
        <w:rPr>
          <w:rFonts w:hint="eastAsia" w:ascii="宋体" w:hAnsi="宋体" w:eastAsia="宋体" w:cs="宋体"/>
          <w:color w:val="auto"/>
          <w:sz w:val="24"/>
          <w:szCs w:val="24"/>
          <w:highlight w:val="none"/>
        </w:rPr>
        <w:t>人民法院起诉。</w:t>
      </w:r>
    </w:p>
    <w:p>
      <w:pPr>
        <w:pageBreakBefore w:val="0"/>
        <w:widowControl/>
        <w:kinsoku/>
        <w:wordWrap/>
        <w:overflowPunct/>
        <w:topLinePunct w:val="0"/>
        <w:bidi w:val="0"/>
        <w:snapToGrid/>
        <w:spacing w:before="0" w:after="0" w:line="360" w:lineRule="auto"/>
        <w:ind w:left="0" w:leftChars="0" w:right="0" w:firstLine="480" w:firstLineChars="200"/>
        <w:jc w:val="both"/>
        <w:textAlignment w:val="auto"/>
        <w:outlineLvl w:val="9"/>
        <w:rPr>
          <w:rFonts w:hint="eastAsia" w:ascii="宋体" w:hAnsi="宋体" w:eastAsia="宋体" w:cs="宋体"/>
          <w:b w:val="0"/>
          <w:color w:val="auto"/>
          <w:sz w:val="24"/>
          <w:szCs w:val="24"/>
          <w:highlight w:val="none"/>
        </w:rPr>
      </w:pPr>
      <w:bookmarkStart w:id="357" w:name="_Toc3904"/>
      <w:r>
        <w:rPr>
          <w:rFonts w:hint="eastAsia" w:ascii="宋体" w:hAnsi="宋体" w:eastAsia="宋体" w:cs="宋体"/>
          <w:b w:val="0"/>
          <w:color w:val="auto"/>
          <w:sz w:val="24"/>
          <w:szCs w:val="24"/>
          <w:highlight w:val="none"/>
        </w:rPr>
        <w:t>18. 其他（如·果没有，填“无”）</w:t>
      </w:r>
      <w:bookmarkEnd w:id="357"/>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b/>
          <w:color w:val="auto"/>
          <w:sz w:val="24"/>
          <w:szCs w:val="24"/>
          <w:highlight w:val="none"/>
        </w:rPr>
        <w:br w:type="page"/>
      </w:r>
    </w:p>
    <w:p>
      <w:pPr>
        <w:pageBreakBefore w:val="0"/>
        <w:widowControl/>
        <w:kinsoku/>
        <w:wordWrap/>
        <w:overflowPunct/>
        <w:topLinePunct w:val="0"/>
        <w:bidi w:val="0"/>
        <w:snapToGrid/>
        <w:spacing w:before="0" w:after="0" w:line="480" w:lineRule="auto"/>
        <w:ind w:left="0" w:leftChars="0" w:right="0" w:firstLine="562" w:firstLineChars="200"/>
        <w:jc w:val="both"/>
        <w:textAlignment w:val="auto"/>
        <w:outlineLvl w:val="9"/>
        <w:rPr>
          <w:rFonts w:hint="eastAsia" w:ascii="宋体" w:hAnsi="宋体" w:eastAsia="宋体" w:cs="宋体"/>
          <w:b/>
          <w:bCs/>
          <w:color w:val="auto"/>
          <w:sz w:val="28"/>
          <w:szCs w:val="28"/>
          <w:highlight w:val="none"/>
        </w:rPr>
      </w:pPr>
      <w:bookmarkStart w:id="358" w:name="_Toc15808"/>
      <w:r>
        <w:rPr>
          <w:rFonts w:hint="eastAsia" w:ascii="宋体" w:hAnsi="宋体" w:eastAsia="宋体" w:cs="宋体"/>
          <w:b/>
          <w:bCs/>
          <w:color w:val="auto"/>
          <w:sz w:val="28"/>
          <w:szCs w:val="28"/>
          <w:highlight w:val="none"/>
        </w:rPr>
        <w:t>附件：</w:t>
      </w:r>
      <w:bookmarkEnd w:id="358"/>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附件1：工程设计范围、阶段与服务内容</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附件2：发包人向设计人提交的有关资料及文件一览表</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附件3：设计人向发包人交付的工程设计文件目录</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附件4：设计人主要设计人员表</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 设计进度表</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附件6: 设计费明细及支付方式</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附件7: 设计变更计费依据和方法</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bookmarkStart w:id="359" w:name="_Toc278309716"/>
      <w:bookmarkStart w:id="360" w:name="_Toc278231956"/>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numPr>
          <w:ins w:id="3" w:author="Administrator" w:date=""/>
        </w:numPr>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2" w:firstLineChars="200"/>
        <w:jc w:val="both"/>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ageBreakBefore w:val="0"/>
        <w:widowControl/>
        <w:kinsoku/>
        <w:wordWrap/>
        <w:overflowPunct/>
        <w:topLinePunct w:val="0"/>
        <w:bidi w:val="0"/>
        <w:snapToGrid/>
        <w:spacing w:line="480" w:lineRule="auto"/>
        <w:ind w:left="0" w:leftChars="0" w:right="0" w:firstLine="562" w:firstLineChars="200"/>
        <w:jc w:val="both"/>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附件1：</w:t>
      </w:r>
    </w:p>
    <w:p>
      <w:pPr>
        <w:pageBreakBefore w:val="0"/>
        <w:widowControl/>
        <w:kinsoku/>
        <w:wordWrap/>
        <w:overflowPunct/>
        <w:topLinePunct w:val="0"/>
        <w:bidi w:val="0"/>
        <w:snapToGrid/>
        <w:spacing w:line="480" w:lineRule="auto"/>
        <w:ind w:left="0" w:leftChars="0" w:right="0" w:firstLine="562" w:firstLineChars="200"/>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工程设计范围、阶段与服务内容</w:t>
      </w:r>
      <w:bookmarkEnd w:id="359"/>
      <w:bookmarkEnd w:id="360"/>
      <w:r>
        <w:rPr>
          <w:rFonts w:hint="eastAsia" w:ascii="宋体" w:hAnsi="宋体" w:eastAsia="宋体" w:cs="宋体"/>
          <w:b/>
          <w:bCs/>
          <w:color w:val="auto"/>
          <w:sz w:val="28"/>
          <w:szCs w:val="28"/>
          <w:highlight w:val="none"/>
        </w:rPr>
        <w:t>（按招标约定）</w:t>
      </w:r>
    </w:p>
    <w:p>
      <w:pPr>
        <w:pageBreakBefore w:val="0"/>
        <w:widowControl/>
        <w:kinsoku/>
        <w:wordWrap/>
        <w:overflowPunct/>
        <w:topLinePunct w:val="0"/>
        <w:bidi w:val="0"/>
        <w:snapToGrid/>
        <w:spacing w:line="480" w:lineRule="auto"/>
        <w:ind w:left="0" w:leftChars="0" w:right="0" w:firstLine="482" w:firstLineChars="200"/>
        <w:jc w:val="both"/>
        <w:textAlignment w:val="auto"/>
        <w:outlineLvl w:val="9"/>
        <w:rPr>
          <w:rFonts w:hint="eastAsia" w:ascii="宋体" w:hAnsi="宋体" w:eastAsia="宋体" w:cs="宋体"/>
          <w:b/>
          <w:color w:val="auto"/>
          <w:sz w:val="24"/>
          <w:szCs w:val="24"/>
          <w:highlight w:val="none"/>
        </w:rPr>
      </w:pPr>
    </w:p>
    <w:p>
      <w:pPr>
        <w:pageBreakBefore w:val="0"/>
        <w:widowControl/>
        <w:kinsoku/>
        <w:wordWrap/>
        <w:overflowPunct/>
        <w:topLinePunct w:val="0"/>
        <w:bidi w:val="0"/>
        <w:snapToGrid/>
        <w:spacing w:line="480" w:lineRule="auto"/>
        <w:ind w:left="0" w:leftChars="0" w:right="0" w:firstLine="48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一、本工程设计范围</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480" w:lineRule="auto"/>
        <w:ind w:left="0" w:leftChars="0" w:right="0" w:firstLine="48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二、本工程设计阶段划分</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480" w:lineRule="auto"/>
        <w:ind w:left="0" w:leftChars="0" w:righ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三、各阶段服务内容</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sectPr>
          <w:pgSz w:w="11906" w:h="16838"/>
          <w:pgMar w:top="1134" w:right="1020" w:bottom="1134" w:left="1020" w:header="851" w:footer="992" w:gutter="0"/>
          <w:cols w:space="720" w:num="1"/>
          <w:docGrid w:type="lines" w:linePitch="312" w:charSpace="0"/>
        </w:sectPr>
      </w:pPr>
      <w:bookmarkStart w:id="361" w:name="_Toc278231958"/>
      <w:bookmarkStart w:id="362" w:name="_Toc278309718"/>
    </w:p>
    <w:p>
      <w:pPr>
        <w:pageBreakBefore w:val="0"/>
        <w:widowControl/>
        <w:kinsoku/>
        <w:wordWrap/>
        <w:overflowPunct/>
        <w:topLinePunct w:val="0"/>
        <w:bidi w:val="0"/>
        <w:snapToGrid/>
        <w:spacing w:line="240" w:lineRule="auto"/>
        <w:ind w:left="0" w:leftChars="0" w:right="0" w:firstLine="562" w:firstLineChars="200"/>
        <w:jc w:val="both"/>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附件2： </w:t>
      </w:r>
    </w:p>
    <w:p>
      <w:pPr>
        <w:pageBreakBefore w:val="0"/>
        <w:widowControl/>
        <w:kinsoku/>
        <w:wordWrap/>
        <w:overflowPunct/>
        <w:topLinePunct w:val="0"/>
        <w:bidi w:val="0"/>
        <w:snapToGrid/>
        <w:spacing w:line="240" w:lineRule="auto"/>
        <w:ind w:left="0" w:leftChars="0" w:right="0" w:firstLine="562" w:firstLineChars="200"/>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发包人向设计人提交的有关资料及文件一览表</w:t>
      </w:r>
      <w:bookmarkEnd w:id="361"/>
      <w:bookmarkEnd w:id="362"/>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bl>
      <w:tblPr>
        <w:tblStyle w:val="23"/>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522"/>
        <w:gridCol w:w="728"/>
        <w:gridCol w:w="360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50"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522" w:type="dxa"/>
            <w:vAlign w:val="center"/>
          </w:tcPr>
          <w:p>
            <w:pPr>
              <w:pageBreakBefore w:val="0"/>
              <w:widowControl/>
              <w:kinsoku/>
              <w:wordWrap/>
              <w:overflowPunct/>
              <w:topLinePunct w:val="0"/>
              <w:bidi w:val="0"/>
              <w:snapToGrid/>
              <w:spacing w:line="240" w:lineRule="auto"/>
              <w:ind w:left="0" w:leftChars="0" w:right="0" w:firstLine="482" w:firstLineChars="20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资料及文件名称</w:t>
            </w:r>
          </w:p>
        </w:tc>
        <w:tc>
          <w:tcPr>
            <w:tcW w:w="728"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份数</w:t>
            </w:r>
          </w:p>
        </w:tc>
        <w:tc>
          <w:tcPr>
            <w:tcW w:w="3609" w:type="dxa"/>
            <w:vAlign w:val="center"/>
          </w:tcPr>
          <w:p>
            <w:pPr>
              <w:pageBreakBefore w:val="0"/>
              <w:widowControl/>
              <w:kinsoku/>
              <w:wordWrap/>
              <w:overflowPunct/>
              <w:topLinePunct w:val="0"/>
              <w:bidi w:val="0"/>
              <w:snapToGrid/>
              <w:spacing w:line="240" w:lineRule="auto"/>
              <w:ind w:left="0" w:leftChars="0" w:right="0" w:firstLine="482" w:firstLineChars="20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提交日期</w:t>
            </w:r>
          </w:p>
        </w:tc>
        <w:tc>
          <w:tcPr>
            <w:tcW w:w="668"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950"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22"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项目立项报告和审批文件</w:t>
            </w:r>
          </w:p>
        </w:tc>
        <w:tc>
          <w:tcPr>
            <w:tcW w:w="728"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各1</w:t>
            </w:r>
          </w:p>
        </w:tc>
        <w:tc>
          <w:tcPr>
            <w:tcW w:w="3609" w:type="dxa"/>
            <w:vAlign w:val="center"/>
          </w:tcPr>
          <w:p>
            <w:pPr>
              <w:pageBreakBefore w:val="0"/>
              <w:widowControl/>
              <w:kinsoku/>
              <w:wordWrap/>
              <w:overflowPunct/>
              <w:topLinePunct w:val="0"/>
              <w:bidi w:val="0"/>
              <w:snapToGrid/>
              <w:spacing w:line="24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初步设计开始3天前</w:t>
            </w:r>
          </w:p>
          <w:p>
            <w:pPr>
              <w:pageBreakBefore w:val="0"/>
              <w:widowControl/>
              <w:kinsoku/>
              <w:wordWrap/>
              <w:overflowPunct/>
              <w:topLinePunct w:val="0"/>
              <w:bidi w:val="0"/>
              <w:snapToGrid/>
              <w:spacing w:line="24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w:t>
            </w:r>
          </w:p>
        </w:tc>
        <w:tc>
          <w:tcPr>
            <w:tcW w:w="668" w:type="dxa"/>
            <w:vMerge w:val="restart"/>
            <w:vAlign w:val="center"/>
          </w:tcPr>
          <w:p>
            <w:pPr>
              <w:pageBreakBefore w:val="0"/>
              <w:widowControl/>
              <w:kinsoku/>
              <w:wordWrap/>
              <w:overflowPunct/>
              <w:topLinePunct w:val="0"/>
              <w:bidi w:val="0"/>
              <w:snapToGrid/>
              <w:spacing w:line="240" w:lineRule="auto"/>
              <w:ind w:left="0" w:leftChars="0" w:right="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50"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522"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发包人要求即设计任务书（含对工艺、土建、设备等专业的具体要求）</w:t>
            </w:r>
          </w:p>
        </w:tc>
        <w:tc>
          <w:tcPr>
            <w:tcW w:w="728"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9" w:type="dxa"/>
            <w:vAlign w:val="center"/>
          </w:tcPr>
          <w:p>
            <w:pPr>
              <w:pageBreakBefore w:val="0"/>
              <w:widowControl/>
              <w:kinsoku/>
              <w:wordWrap/>
              <w:overflowPunct/>
              <w:topLinePunct w:val="0"/>
              <w:bidi w:val="0"/>
              <w:snapToGrid/>
              <w:spacing w:line="24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初步设计开始3天前</w:t>
            </w:r>
          </w:p>
          <w:p>
            <w:pPr>
              <w:pageBreakBefore w:val="0"/>
              <w:widowControl/>
              <w:kinsoku/>
              <w:wordWrap/>
              <w:overflowPunct/>
              <w:topLinePunct w:val="0"/>
              <w:bidi w:val="0"/>
              <w:snapToGrid/>
              <w:spacing w:line="24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w:t>
            </w:r>
          </w:p>
        </w:tc>
        <w:tc>
          <w:tcPr>
            <w:tcW w:w="668" w:type="dxa"/>
            <w:vMerge w:val="continue"/>
            <w:vAlign w:val="center"/>
          </w:tcPr>
          <w:p>
            <w:pPr>
              <w:pageBreakBefore w:val="0"/>
              <w:widowControl/>
              <w:kinsoku/>
              <w:wordWrap/>
              <w:overflowPunct/>
              <w:topLinePunct w:val="0"/>
              <w:bidi w:val="0"/>
              <w:snapToGrid/>
              <w:spacing w:line="240" w:lineRule="auto"/>
              <w:ind w:left="0" w:leftChars="0" w:right="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950"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522"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厂址选择报告、土地使用协议、建筑红线图，建筑钉桩图</w:t>
            </w:r>
          </w:p>
        </w:tc>
        <w:tc>
          <w:tcPr>
            <w:tcW w:w="728"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各1</w:t>
            </w:r>
          </w:p>
        </w:tc>
        <w:tc>
          <w:tcPr>
            <w:tcW w:w="3609" w:type="dxa"/>
            <w:vAlign w:val="center"/>
          </w:tcPr>
          <w:p>
            <w:pPr>
              <w:pageBreakBefore w:val="0"/>
              <w:widowControl/>
              <w:kinsoku/>
              <w:wordWrap/>
              <w:overflowPunct/>
              <w:topLinePunct w:val="0"/>
              <w:bidi w:val="0"/>
              <w:snapToGrid/>
              <w:spacing w:line="24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初步设计开始3天前</w:t>
            </w:r>
          </w:p>
          <w:p>
            <w:pPr>
              <w:pageBreakBefore w:val="0"/>
              <w:widowControl/>
              <w:kinsoku/>
              <w:wordWrap/>
              <w:overflowPunct/>
              <w:topLinePunct w:val="0"/>
              <w:bidi w:val="0"/>
              <w:snapToGrid/>
              <w:spacing w:line="24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w:t>
            </w:r>
          </w:p>
        </w:tc>
        <w:tc>
          <w:tcPr>
            <w:tcW w:w="668" w:type="dxa"/>
            <w:vMerge w:val="continue"/>
            <w:vAlign w:val="center"/>
          </w:tcPr>
          <w:p>
            <w:pPr>
              <w:pageBreakBefore w:val="0"/>
              <w:widowControl/>
              <w:kinsoku/>
              <w:wordWrap/>
              <w:overflowPunct/>
              <w:topLinePunct w:val="0"/>
              <w:bidi w:val="0"/>
              <w:snapToGrid/>
              <w:spacing w:line="240" w:lineRule="auto"/>
              <w:ind w:left="0" w:leftChars="0" w:right="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950"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522"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当地规划部门的规划意见书</w:t>
            </w:r>
          </w:p>
        </w:tc>
        <w:tc>
          <w:tcPr>
            <w:tcW w:w="728"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9" w:type="dxa"/>
            <w:vAlign w:val="center"/>
          </w:tcPr>
          <w:p>
            <w:pPr>
              <w:pageBreakBefore w:val="0"/>
              <w:widowControl/>
              <w:kinsoku/>
              <w:wordWrap/>
              <w:overflowPunct/>
              <w:topLinePunct w:val="0"/>
              <w:bidi w:val="0"/>
              <w:snapToGrid/>
              <w:spacing w:line="24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初步设计开始3天前</w:t>
            </w:r>
          </w:p>
          <w:p>
            <w:pPr>
              <w:pageBreakBefore w:val="0"/>
              <w:widowControl/>
              <w:kinsoku/>
              <w:wordWrap/>
              <w:overflowPunct/>
              <w:topLinePunct w:val="0"/>
              <w:bidi w:val="0"/>
              <w:snapToGrid/>
              <w:spacing w:line="24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w:t>
            </w:r>
          </w:p>
        </w:tc>
        <w:tc>
          <w:tcPr>
            <w:tcW w:w="668" w:type="dxa"/>
            <w:vMerge w:val="continue"/>
            <w:vAlign w:val="center"/>
          </w:tcPr>
          <w:p>
            <w:pPr>
              <w:pageBreakBefore w:val="0"/>
              <w:widowControl/>
              <w:kinsoku/>
              <w:wordWrap/>
              <w:overflowPunct/>
              <w:topLinePunct w:val="0"/>
              <w:bidi w:val="0"/>
              <w:snapToGrid/>
              <w:spacing w:line="240" w:lineRule="auto"/>
              <w:ind w:left="0" w:leftChars="0" w:right="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50"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522"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自然资源、气象条件、地形地貌、水文及工程详细地质勘察报告</w:t>
            </w:r>
          </w:p>
        </w:tc>
        <w:tc>
          <w:tcPr>
            <w:tcW w:w="728"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各1</w:t>
            </w:r>
          </w:p>
        </w:tc>
        <w:tc>
          <w:tcPr>
            <w:tcW w:w="3609" w:type="dxa"/>
            <w:vAlign w:val="center"/>
          </w:tcPr>
          <w:p>
            <w:pPr>
              <w:pageBreakBefore w:val="0"/>
              <w:widowControl/>
              <w:kinsoku/>
              <w:wordWrap/>
              <w:overflowPunct/>
              <w:topLinePunct w:val="0"/>
              <w:bidi w:val="0"/>
              <w:snapToGrid/>
              <w:spacing w:line="24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初步设计开始3天前</w:t>
            </w:r>
          </w:p>
          <w:p>
            <w:pPr>
              <w:pageBreakBefore w:val="0"/>
              <w:widowControl/>
              <w:kinsoku/>
              <w:wordWrap/>
              <w:overflowPunct/>
              <w:topLinePunct w:val="0"/>
              <w:bidi w:val="0"/>
              <w:snapToGrid/>
              <w:spacing w:line="24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w:t>
            </w:r>
          </w:p>
        </w:tc>
        <w:tc>
          <w:tcPr>
            <w:tcW w:w="668" w:type="dxa"/>
            <w:vMerge w:val="continue"/>
            <w:vAlign w:val="center"/>
          </w:tcPr>
          <w:p>
            <w:pPr>
              <w:pageBreakBefore w:val="0"/>
              <w:widowControl/>
              <w:kinsoku/>
              <w:wordWrap/>
              <w:overflowPunct/>
              <w:topLinePunct w:val="0"/>
              <w:bidi w:val="0"/>
              <w:snapToGrid/>
              <w:spacing w:line="240" w:lineRule="auto"/>
              <w:ind w:left="0" w:leftChars="0" w:right="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50"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522"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各阶段主管部门的审批意见</w:t>
            </w:r>
          </w:p>
        </w:tc>
        <w:tc>
          <w:tcPr>
            <w:tcW w:w="728"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各1</w:t>
            </w:r>
          </w:p>
        </w:tc>
        <w:tc>
          <w:tcPr>
            <w:tcW w:w="3609" w:type="dxa"/>
            <w:vAlign w:val="center"/>
          </w:tcPr>
          <w:p>
            <w:pPr>
              <w:pageBreakBefore w:val="0"/>
              <w:widowControl/>
              <w:kinsoku/>
              <w:wordWrap/>
              <w:overflowPunct/>
              <w:topLinePunct w:val="0"/>
              <w:bidi w:val="0"/>
              <w:snapToGrid/>
              <w:spacing w:line="24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下一个阶段设计开始3天前提供上一个阶段审批意见</w:t>
            </w:r>
          </w:p>
        </w:tc>
        <w:tc>
          <w:tcPr>
            <w:tcW w:w="668" w:type="dxa"/>
            <w:vMerge w:val="continue"/>
            <w:vAlign w:val="center"/>
          </w:tcPr>
          <w:p>
            <w:pPr>
              <w:pageBreakBefore w:val="0"/>
              <w:widowControl/>
              <w:kinsoku/>
              <w:wordWrap/>
              <w:overflowPunct/>
              <w:topLinePunct w:val="0"/>
              <w:bidi w:val="0"/>
              <w:snapToGrid/>
              <w:spacing w:line="240" w:lineRule="auto"/>
              <w:ind w:left="0" w:leftChars="0" w:right="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950"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522"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初步设计确认单（含非标准设备设计图开工令）（如有）</w:t>
            </w:r>
          </w:p>
        </w:tc>
        <w:tc>
          <w:tcPr>
            <w:tcW w:w="728"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9" w:type="dxa"/>
            <w:vAlign w:val="center"/>
          </w:tcPr>
          <w:p>
            <w:pPr>
              <w:pageBreakBefore w:val="0"/>
              <w:widowControl/>
              <w:kinsoku/>
              <w:wordWrap/>
              <w:overflowPunct/>
              <w:topLinePunct w:val="0"/>
              <w:bidi w:val="0"/>
              <w:snapToGrid/>
              <w:spacing w:line="24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施工图设计开始3天前</w:t>
            </w:r>
          </w:p>
        </w:tc>
        <w:tc>
          <w:tcPr>
            <w:tcW w:w="668" w:type="dxa"/>
            <w:vMerge w:val="continue"/>
            <w:vAlign w:val="center"/>
          </w:tcPr>
          <w:p>
            <w:pPr>
              <w:pageBreakBefore w:val="0"/>
              <w:widowControl/>
              <w:kinsoku/>
              <w:wordWrap/>
              <w:overflowPunct/>
              <w:topLinePunct w:val="0"/>
              <w:bidi w:val="0"/>
              <w:snapToGrid/>
              <w:spacing w:line="240" w:lineRule="auto"/>
              <w:ind w:left="0" w:leftChars="0" w:right="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950"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522"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非标准设备设计确认单（含施工图设计开工令）</w:t>
            </w:r>
          </w:p>
        </w:tc>
        <w:tc>
          <w:tcPr>
            <w:tcW w:w="728"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9" w:type="dxa"/>
            <w:vAlign w:val="center"/>
          </w:tcPr>
          <w:p>
            <w:pPr>
              <w:pageBreakBefore w:val="0"/>
              <w:widowControl/>
              <w:kinsoku/>
              <w:wordWrap/>
              <w:overflowPunct/>
              <w:topLinePunct w:val="0"/>
              <w:bidi w:val="0"/>
              <w:snapToGrid/>
              <w:spacing w:line="24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施工图设计开始3天前</w:t>
            </w:r>
          </w:p>
        </w:tc>
        <w:tc>
          <w:tcPr>
            <w:tcW w:w="668" w:type="dxa"/>
            <w:vMerge w:val="continue"/>
            <w:vAlign w:val="center"/>
          </w:tcPr>
          <w:p>
            <w:pPr>
              <w:pageBreakBefore w:val="0"/>
              <w:widowControl/>
              <w:kinsoku/>
              <w:wordWrap/>
              <w:overflowPunct/>
              <w:topLinePunct w:val="0"/>
              <w:bidi w:val="0"/>
              <w:snapToGrid/>
              <w:spacing w:line="240" w:lineRule="auto"/>
              <w:ind w:left="0" w:leftChars="0" w:right="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950"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522"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工程所在地地形图（1/500）电子版及区域位置图</w:t>
            </w:r>
          </w:p>
        </w:tc>
        <w:tc>
          <w:tcPr>
            <w:tcW w:w="728"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9" w:type="dxa"/>
            <w:vAlign w:val="center"/>
          </w:tcPr>
          <w:p>
            <w:pPr>
              <w:pageBreakBefore w:val="0"/>
              <w:widowControl/>
              <w:kinsoku/>
              <w:wordWrap/>
              <w:overflowPunct/>
              <w:topLinePunct w:val="0"/>
              <w:bidi w:val="0"/>
              <w:snapToGrid/>
              <w:spacing w:line="24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施工图设计开始3天前</w:t>
            </w:r>
          </w:p>
        </w:tc>
        <w:tc>
          <w:tcPr>
            <w:tcW w:w="668" w:type="dxa"/>
            <w:vMerge w:val="continue"/>
            <w:vAlign w:val="center"/>
          </w:tcPr>
          <w:p>
            <w:pPr>
              <w:pageBreakBefore w:val="0"/>
              <w:widowControl/>
              <w:kinsoku/>
              <w:wordWrap/>
              <w:overflowPunct/>
              <w:topLinePunct w:val="0"/>
              <w:bidi w:val="0"/>
              <w:snapToGrid/>
              <w:spacing w:line="240" w:lineRule="auto"/>
              <w:ind w:left="0" w:leftChars="0" w:right="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950" w:type="dxa"/>
            <w:vAlign w:val="center"/>
          </w:tcPr>
          <w:p>
            <w:pPr>
              <w:pageBreakBefore w:val="0"/>
              <w:widowControl/>
              <w:kinsoku/>
              <w:wordWrap/>
              <w:overflowPunct/>
              <w:topLinePunct w:val="0"/>
              <w:bidi w:val="0"/>
              <w:snapToGrid/>
              <w:spacing w:line="240" w:lineRule="auto"/>
              <w:ind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522"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交通、原料、外部供水、排水、供电、电信等位置、标高、坐标、管径或能力等资料</w:t>
            </w:r>
          </w:p>
        </w:tc>
        <w:tc>
          <w:tcPr>
            <w:tcW w:w="728"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9" w:type="dxa"/>
            <w:vAlign w:val="center"/>
          </w:tcPr>
          <w:p>
            <w:pPr>
              <w:pageBreakBefore w:val="0"/>
              <w:widowControl/>
              <w:kinsoku/>
              <w:wordWrap/>
              <w:overflowPunct/>
              <w:topLinePunct w:val="0"/>
              <w:bidi w:val="0"/>
              <w:snapToGrid/>
              <w:spacing w:line="24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初步设计开始3天前</w:t>
            </w:r>
          </w:p>
          <w:p>
            <w:pPr>
              <w:pageBreakBefore w:val="0"/>
              <w:widowControl/>
              <w:kinsoku/>
              <w:wordWrap/>
              <w:overflowPunct/>
              <w:topLinePunct w:val="0"/>
              <w:bidi w:val="0"/>
              <w:snapToGrid/>
              <w:spacing w:line="24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w:t>
            </w:r>
          </w:p>
        </w:tc>
        <w:tc>
          <w:tcPr>
            <w:tcW w:w="668" w:type="dxa"/>
            <w:vMerge w:val="continue"/>
            <w:vAlign w:val="center"/>
          </w:tcPr>
          <w:p>
            <w:pPr>
              <w:pageBreakBefore w:val="0"/>
              <w:widowControl/>
              <w:kinsoku/>
              <w:wordWrap/>
              <w:overflowPunct/>
              <w:topLinePunct w:val="0"/>
              <w:bidi w:val="0"/>
              <w:snapToGrid/>
              <w:spacing w:line="240" w:lineRule="auto"/>
              <w:ind w:left="0" w:leftChars="0" w:right="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950"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522"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其它设计资料</w:t>
            </w:r>
          </w:p>
        </w:tc>
        <w:tc>
          <w:tcPr>
            <w:tcW w:w="728"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9" w:type="dxa"/>
            <w:vAlign w:val="center"/>
          </w:tcPr>
          <w:p>
            <w:pPr>
              <w:pageBreakBefore w:val="0"/>
              <w:widowControl/>
              <w:kinsoku/>
              <w:wordWrap/>
              <w:overflowPunct/>
              <w:topLinePunct w:val="0"/>
              <w:bidi w:val="0"/>
              <w:snapToGrid/>
              <w:spacing w:line="24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各设计阶段设计开始3天前</w:t>
            </w:r>
          </w:p>
        </w:tc>
        <w:tc>
          <w:tcPr>
            <w:tcW w:w="668" w:type="dxa"/>
            <w:vMerge w:val="continue"/>
            <w:vAlign w:val="center"/>
          </w:tcPr>
          <w:p>
            <w:pPr>
              <w:pageBreakBefore w:val="0"/>
              <w:widowControl/>
              <w:kinsoku/>
              <w:wordWrap/>
              <w:overflowPunct/>
              <w:topLinePunct w:val="0"/>
              <w:bidi w:val="0"/>
              <w:snapToGrid/>
              <w:spacing w:line="240" w:lineRule="auto"/>
              <w:ind w:left="0" w:leftChars="0" w:right="0" w:firstLine="480" w:firstLineChars="20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950"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3522"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竣工验收报告</w:t>
            </w:r>
          </w:p>
        </w:tc>
        <w:tc>
          <w:tcPr>
            <w:tcW w:w="728" w:type="dxa"/>
            <w:vAlign w:val="center"/>
          </w:tcPr>
          <w:p>
            <w:pPr>
              <w:pageBreakBefore w:val="0"/>
              <w:widowControl/>
              <w:kinsoku/>
              <w:wordWrap/>
              <w:overflowPunct/>
              <w:topLinePunct w:val="0"/>
              <w:bidi w:val="0"/>
              <w:snapToGrid/>
              <w:spacing w:line="240" w:lineRule="auto"/>
              <w:ind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9" w:type="dxa"/>
            <w:vAlign w:val="center"/>
          </w:tcPr>
          <w:p>
            <w:pPr>
              <w:pageBreakBefore w:val="0"/>
              <w:widowControl/>
              <w:kinsoku/>
              <w:wordWrap/>
              <w:overflowPunct/>
              <w:topLinePunct w:val="0"/>
              <w:bidi w:val="0"/>
              <w:snapToGrid/>
              <w:spacing w:line="24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工程竣工验收通过后5天内</w:t>
            </w:r>
          </w:p>
        </w:tc>
        <w:tc>
          <w:tcPr>
            <w:tcW w:w="668" w:type="dxa"/>
            <w:vMerge w:val="continue"/>
            <w:vAlign w:val="center"/>
          </w:tcPr>
          <w:p>
            <w:pPr>
              <w:pageBreakBefore w:val="0"/>
              <w:widowControl/>
              <w:kinsoku/>
              <w:wordWrap/>
              <w:overflowPunct/>
              <w:topLinePunct w:val="0"/>
              <w:bidi w:val="0"/>
              <w:snapToGrid/>
              <w:spacing w:line="240" w:lineRule="auto"/>
              <w:ind w:left="0" w:leftChars="0" w:right="0" w:firstLine="480" w:firstLineChars="200"/>
              <w:jc w:val="center"/>
              <w:textAlignment w:val="auto"/>
              <w:outlineLvl w:val="9"/>
              <w:rPr>
                <w:rFonts w:hint="eastAsia" w:ascii="宋体" w:hAnsi="宋体" w:eastAsia="宋体" w:cs="宋体"/>
                <w:color w:val="auto"/>
                <w:sz w:val="24"/>
                <w:szCs w:val="24"/>
                <w:highlight w:val="none"/>
              </w:rPr>
            </w:pPr>
          </w:p>
        </w:tc>
      </w:tr>
    </w:tbl>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（上表内容仅供参考，以实际接收资料为准）</w:t>
      </w:r>
    </w:p>
    <w:p>
      <w:pPr>
        <w:pageBreakBefore w:val="0"/>
        <w:widowControl/>
        <w:kinsoku/>
        <w:wordWrap/>
        <w:overflowPunct/>
        <w:topLinePunct w:val="0"/>
        <w:bidi w:val="0"/>
        <w:snapToGrid/>
        <w:spacing w:line="240" w:lineRule="auto"/>
        <w:ind w:left="0" w:leftChars="0" w:right="0" w:firstLine="482" w:firstLineChars="200"/>
        <w:jc w:val="both"/>
        <w:textAlignment w:val="auto"/>
        <w:outlineLvl w:val="9"/>
        <w:rPr>
          <w:rFonts w:hint="eastAsia" w:ascii="宋体" w:hAnsi="宋体" w:eastAsia="宋体" w:cs="宋体"/>
          <w:b/>
          <w:color w:val="auto"/>
          <w:sz w:val="24"/>
          <w:szCs w:val="24"/>
          <w:highlight w:val="none"/>
        </w:rPr>
      </w:pPr>
      <w:bookmarkStart w:id="363" w:name="_Toc278309719"/>
      <w:bookmarkStart w:id="364" w:name="_Toc278231959"/>
      <w:r>
        <w:rPr>
          <w:rFonts w:hint="eastAsia" w:ascii="宋体" w:hAnsi="宋体" w:eastAsia="宋体" w:cs="宋体"/>
          <w:b/>
          <w:color w:val="auto"/>
          <w:sz w:val="24"/>
          <w:szCs w:val="24"/>
          <w:highlight w:val="none"/>
        </w:rPr>
        <w:br w:type="page"/>
      </w:r>
    </w:p>
    <w:p>
      <w:pPr>
        <w:pageBreakBefore w:val="0"/>
        <w:widowControl/>
        <w:kinsoku/>
        <w:wordWrap/>
        <w:overflowPunct/>
        <w:topLinePunct w:val="0"/>
        <w:bidi w:val="0"/>
        <w:snapToGrid/>
        <w:spacing w:line="240" w:lineRule="auto"/>
        <w:ind w:left="0" w:leftChars="0" w:right="0" w:firstLine="562" w:firstLineChars="200"/>
        <w:jc w:val="both"/>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附件3：  </w:t>
      </w:r>
    </w:p>
    <w:p>
      <w:pPr>
        <w:pageBreakBefore w:val="0"/>
        <w:widowControl/>
        <w:kinsoku/>
        <w:wordWrap/>
        <w:overflowPunct/>
        <w:topLinePunct w:val="0"/>
        <w:bidi w:val="0"/>
        <w:snapToGrid/>
        <w:spacing w:line="240" w:lineRule="auto"/>
        <w:ind w:left="0" w:leftChars="0" w:right="0" w:firstLine="562" w:firstLineChars="200"/>
        <w:jc w:val="both"/>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勘察人、设计人向发包人交付的工程设计文件</w:t>
      </w:r>
      <w:bookmarkEnd w:id="363"/>
      <w:bookmarkEnd w:id="364"/>
      <w:r>
        <w:rPr>
          <w:rFonts w:hint="eastAsia" w:ascii="宋体" w:hAnsi="宋体" w:eastAsia="宋体" w:cs="宋体"/>
          <w:b/>
          <w:bCs/>
          <w:color w:val="auto"/>
          <w:sz w:val="28"/>
          <w:szCs w:val="28"/>
          <w:highlight w:val="none"/>
        </w:rPr>
        <w:t>目录（按招标约定）</w:t>
      </w:r>
    </w:p>
    <w:p>
      <w:pPr>
        <w:pageBreakBefore w:val="0"/>
        <w:widowControl/>
        <w:kinsoku/>
        <w:wordWrap/>
        <w:overflowPunct/>
        <w:topLinePunct w:val="0"/>
        <w:bidi w:val="0"/>
        <w:snapToGrid/>
        <w:spacing w:line="240" w:lineRule="auto"/>
        <w:ind w:left="0" w:leftChars="0" w:right="0" w:firstLine="482" w:firstLineChars="200"/>
        <w:jc w:val="both"/>
        <w:textAlignment w:val="auto"/>
        <w:outlineLvl w:val="9"/>
        <w:rPr>
          <w:rFonts w:hint="eastAsia" w:ascii="宋体" w:hAnsi="宋体" w:eastAsia="宋体" w:cs="宋体"/>
          <w:b/>
          <w:color w:val="auto"/>
          <w:kern w:val="0"/>
          <w:sz w:val="24"/>
          <w:szCs w:val="24"/>
          <w:highlight w:val="none"/>
        </w:rPr>
      </w:pPr>
    </w:p>
    <w:tbl>
      <w:tblPr>
        <w:tblStyle w:val="23"/>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3495"/>
        <w:gridCol w:w="720"/>
        <w:gridCol w:w="2885"/>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928" w:type="dxa"/>
            <w:vAlign w:val="center"/>
          </w:tcPr>
          <w:p>
            <w:pPr>
              <w:pageBreakBefore w:val="0"/>
              <w:widowControl/>
              <w:kinsoku/>
              <w:wordWrap/>
              <w:overflowPunct/>
              <w:topLinePunct w:val="0"/>
              <w:bidi w:val="0"/>
              <w:snapToGrid/>
              <w:spacing w:line="240" w:lineRule="auto"/>
              <w:ind w:right="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495" w:type="dxa"/>
            <w:vAlign w:val="center"/>
          </w:tcPr>
          <w:p>
            <w:pPr>
              <w:pageBreakBefore w:val="0"/>
              <w:widowControl/>
              <w:kinsoku/>
              <w:wordWrap/>
              <w:overflowPunct/>
              <w:topLinePunct w:val="0"/>
              <w:bidi w:val="0"/>
              <w:snapToGrid/>
              <w:spacing w:line="240" w:lineRule="auto"/>
              <w:ind w:left="0" w:leftChars="0" w:righ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资料及文件名称</w:t>
            </w:r>
          </w:p>
        </w:tc>
        <w:tc>
          <w:tcPr>
            <w:tcW w:w="720" w:type="dxa"/>
            <w:vAlign w:val="center"/>
          </w:tcPr>
          <w:p>
            <w:pPr>
              <w:pageBreakBefore w:val="0"/>
              <w:widowControl/>
              <w:kinsoku/>
              <w:wordWrap/>
              <w:overflowPunct/>
              <w:topLinePunct w:val="0"/>
              <w:bidi w:val="0"/>
              <w:snapToGrid/>
              <w:spacing w:line="240" w:lineRule="auto"/>
              <w:ind w:right="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份数</w:t>
            </w:r>
          </w:p>
        </w:tc>
        <w:tc>
          <w:tcPr>
            <w:tcW w:w="2885" w:type="dxa"/>
            <w:vAlign w:val="center"/>
          </w:tcPr>
          <w:p>
            <w:pPr>
              <w:pageBreakBefore w:val="0"/>
              <w:widowControl/>
              <w:kinsoku/>
              <w:wordWrap/>
              <w:overflowPunct/>
              <w:topLinePunct w:val="0"/>
              <w:bidi w:val="0"/>
              <w:snapToGrid/>
              <w:spacing w:line="240" w:lineRule="auto"/>
              <w:ind w:left="0" w:leftChars="0" w:righ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提交日期</w:t>
            </w:r>
          </w:p>
        </w:tc>
        <w:tc>
          <w:tcPr>
            <w:tcW w:w="916" w:type="dxa"/>
            <w:vAlign w:val="center"/>
          </w:tcPr>
          <w:p>
            <w:pPr>
              <w:pageBreakBefore w:val="0"/>
              <w:widowControl/>
              <w:kinsoku/>
              <w:wordWrap/>
              <w:overflowPunct/>
              <w:topLinePunct w:val="0"/>
              <w:bidi w:val="0"/>
              <w:snapToGrid/>
              <w:spacing w:line="240" w:lineRule="auto"/>
              <w:ind w:right="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28"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95"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勘察报告</w:t>
            </w:r>
          </w:p>
        </w:tc>
        <w:tc>
          <w:tcPr>
            <w:tcW w:w="720" w:type="dxa"/>
            <w:vAlign w:val="center"/>
          </w:tcPr>
          <w:p>
            <w:pPr>
              <w:pageBreakBefore w:val="0"/>
              <w:widowControl/>
              <w:kinsoku/>
              <w:wordWrap/>
              <w:overflowPunct/>
              <w:topLinePunct w:val="0"/>
              <w:bidi w:val="0"/>
              <w:snapToGrid/>
              <w:spacing w:line="240" w:lineRule="auto"/>
              <w:ind w:left="0" w:leftChars="0" w:right="0" w:firstLine="482" w:firstLineChars="200"/>
              <w:jc w:val="both"/>
              <w:textAlignment w:val="auto"/>
              <w:outlineLvl w:val="9"/>
              <w:rPr>
                <w:rFonts w:hint="eastAsia" w:ascii="宋体" w:hAnsi="宋体" w:eastAsia="宋体" w:cs="宋体"/>
                <w:b/>
                <w:color w:val="auto"/>
                <w:sz w:val="24"/>
                <w:szCs w:val="24"/>
                <w:highlight w:val="none"/>
              </w:rPr>
            </w:pPr>
          </w:p>
        </w:tc>
        <w:tc>
          <w:tcPr>
            <w:tcW w:w="2885" w:type="dxa"/>
            <w:vAlign w:val="center"/>
          </w:tcPr>
          <w:p>
            <w:pPr>
              <w:pageBreakBefore w:val="0"/>
              <w:widowControl/>
              <w:kinsoku/>
              <w:wordWrap/>
              <w:overflowPunct/>
              <w:topLinePunct w:val="0"/>
              <w:bidi w:val="0"/>
              <w:snapToGrid/>
              <w:spacing w:line="240" w:lineRule="auto"/>
              <w:ind w:left="0" w:leftChars="0" w:righ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天</w:t>
            </w:r>
          </w:p>
        </w:tc>
        <w:tc>
          <w:tcPr>
            <w:tcW w:w="916" w:type="dxa"/>
            <w:vMerge w:val="restart"/>
            <w:vAlign w:val="center"/>
          </w:tcPr>
          <w:p>
            <w:pPr>
              <w:pageBreakBefore w:val="0"/>
              <w:widowControl/>
              <w:kinsoku/>
              <w:wordWrap/>
              <w:overflowPunct/>
              <w:topLinePunct w:val="0"/>
              <w:bidi w:val="0"/>
              <w:snapToGrid/>
              <w:spacing w:line="240" w:lineRule="auto"/>
              <w:ind w:right="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28"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95"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初步（基础）设计文件</w:t>
            </w:r>
          </w:p>
        </w:tc>
        <w:tc>
          <w:tcPr>
            <w:tcW w:w="720" w:type="dxa"/>
            <w:vAlign w:val="center"/>
          </w:tcPr>
          <w:p>
            <w:pPr>
              <w:pageBreakBefore w:val="0"/>
              <w:widowControl/>
              <w:kinsoku/>
              <w:wordWrap/>
              <w:overflowPunct/>
              <w:topLinePunct w:val="0"/>
              <w:bidi w:val="0"/>
              <w:snapToGrid/>
              <w:spacing w:line="240" w:lineRule="auto"/>
              <w:ind w:left="0" w:leftChars="0" w:right="0" w:firstLine="482" w:firstLineChars="200"/>
              <w:jc w:val="both"/>
              <w:textAlignment w:val="auto"/>
              <w:outlineLvl w:val="9"/>
              <w:rPr>
                <w:rFonts w:hint="eastAsia" w:ascii="宋体" w:hAnsi="宋体" w:eastAsia="宋体" w:cs="宋体"/>
                <w:b/>
                <w:color w:val="auto"/>
                <w:sz w:val="24"/>
                <w:szCs w:val="24"/>
                <w:highlight w:val="none"/>
              </w:rPr>
            </w:pPr>
          </w:p>
        </w:tc>
        <w:tc>
          <w:tcPr>
            <w:tcW w:w="2885" w:type="dxa"/>
            <w:vAlign w:val="center"/>
          </w:tcPr>
          <w:p>
            <w:pPr>
              <w:pageBreakBefore w:val="0"/>
              <w:widowControl/>
              <w:kinsoku/>
              <w:wordWrap/>
              <w:overflowPunct/>
              <w:topLinePunct w:val="0"/>
              <w:bidi w:val="0"/>
              <w:snapToGrid/>
              <w:spacing w:line="240" w:lineRule="auto"/>
              <w:ind w:left="0" w:leftChars="0" w:righ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天</w:t>
            </w:r>
          </w:p>
        </w:tc>
        <w:tc>
          <w:tcPr>
            <w:tcW w:w="916" w:type="dxa"/>
            <w:vMerge w:val="continue"/>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28"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495"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非标准设备设计文件</w:t>
            </w:r>
          </w:p>
        </w:tc>
        <w:tc>
          <w:tcPr>
            <w:tcW w:w="720" w:type="dxa"/>
            <w:vAlign w:val="center"/>
          </w:tcPr>
          <w:p>
            <w:pPr>
              <w:pageBreakBefore w:val="0"/>
              <w:widowControl/>
              <w:kinsoku/>
              <w:wordWrap/>
              <w:overflowPunct/>
              <w:topLinePunct w:val="0"/>
              <w:bidi w:val="0"/>
              <w:snapToGrid/>
              <w:spacing w:line="240" w:lineRule="auto"/>
              <w:ind w:left="0" w:leftChars="0" w:right="0" w:firstLine="482" w:firstLineChars="200"/>
              <w:jc w:val="both"/>
              <w:textAlignment w:val="auto"/>
              <w:outlineLvl w:val="9"/>
              <w:rPr>
                <w:rFonts w:hint="eastAsia" w:ascii="宋体" w:hAnsi="宋体" w:eastAsia="宋体" w:cs="宋体"/>
                <w:b/>
                <w:color w:val="auto"/>
                <w:sz w:val="24"/>
                <w:szCs w:val="24"/>
                <w:highlight w:val="none"/>
              </w:rPr>
            </w:pPr>
          </w:p>
        </w:tc>
        <w:tc>
          <w:tcPr>
            <w:tcW w:w="2885" w:type="dxa"/>
            <w:vAlign w:val="center"/>
          </w:tcPr>
          <w:p>
            <w:pPr>
              <w:pageBreakBefore w:val="0"/>
              <w:widowControl/>
              <w:kinsoku/>
              <w:wordWrap/>
              <w:overflowPunct/>
              <w:topLinePunct w:val="0"/>
              <w:bidi w:val="0"/>
              <w:snapToGrid/>
              <w:spacing w:line="240" w:lineRule="auto"/>
              <w:ind w:left="0" w:leftChars="0" w:righ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天</w:t>
            </w:r>
          </w:p>
        </w:tc>
        <w:tc>
          <w:tcPr>
            <w:tcW w:w="916" w:type="dxa"/>
            <w:vMerge w:val="continue"/>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28"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495" w:type="dxa"/>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施工图设计文件</w:t>
            </w:r>
          </w:p>
        </w:tc>
        <w:tc>
          <w:tcPr>
            <w:tcW w:w="720" w:type="dxa"/>
            <w:vAlign w:val="center"/>
          </w:tcPr>
          <w:p>
            <w:pPr>
              <w:pageBreakBefore w:val="0"/>
              <w:widowControl/>
              <w:kinsoku/>
              <w:wordWrap/>
              <w:overflowPunct/>
              <w:topLinePunct w:val="0"/>
              <w:bidi w:val="0"/>
              <w:snapToGrid/>
              <w:spacing w:line="240" w:lineRule="auto"/>
              <w:ind w:left="0" w:leftChars="0" w:right="0" w:firstLine="482" w:firstLineChars="200"/>
              <w:jc w:val="both"/>
              <w:textAlignment w:val="auto"/>
              <w:outlineLvl w:val="9"/>
              <w:rPr>
                <w:rFonts w:hint="eastAsia" w:ascii="宋体" w:hAnsi="宋体" w:eastAsia="宋体" w:cs="宋体"/>
                <w:b/>
                <w:color w:val="auto"/>
                <w:sz w:val="24"/>
                <w:szCs w:val="24"/>
                <w:highlight w:val="none"/>
              </w:rPr>
            </w:pPr>
          </w:p>
        </w:tc>
        <w:tc>
          <w:tcPr>
            <w:tcW w:w="2885" w:type="dxa"/>
            <w:vAlign w:val="center"/>
          </w:tcPr>
          <w:p>
            <w:pPr>
              <w:pageBreakBefore w:val="0"/>
              <w:widowControl/>
              <w:kinsoku/>
              <w:wordWrap/>
              <w:overflowPunct/>
              <w:topLinePunct w:val="0"/>
              <w:bidi w:val="0"/>
              <w:snapToGrid/>
              <w:spacing w:line="240" w:lineRule="auto"/>
              <w:ind w:left="0" w:leftChars="0" w:righ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天</w:t>
            </w:r>
          </w:p>
        </w:tc>
        <w:tc>
          <w:tcPr>
            <w:tcW w:w="916" w:type="dxa"/>
            <w:vMerge w:val="continue"/>
            <w:vAlign w:val="center"/>
          </w:tcPr>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r>
    </w:tbl>
    <w:p>
      <w:pPr>
        <w:pageBreakBefore w:val="0"/>
        <w:widowControl/>
        <w:kinsoku/>
        <w:wordWrap/>
        <w:overflowPunct/>
        <w:topLinePunct w:val="0"/>
        <w:autoSpaceDE w:val="0"/>
        <w:autoSpaceDN w:val="0"/>
        <w:bidi w:val="0"/>
        <w:adjustRightInd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autoSpaceDE w:val="0"/>
        <w:autoSpaceDN w:val="0"/>
        <w:bidi w:val="0"/>
        <w:adjustRightInd w:val="0"/>
        <w:snapToGrid/>
        <w:spacing w:line="360" w:lineRule="auto"/>
        <w:ind w:left="0" w:leftChars="0" w:righ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特别约定：</w:t>
      </w:r>
    </w:p>
    <w:p>
      <w:pPr>
        <w:pageBreakBefore w:val="0"/>
        <w:widowControl/>
        <w:kinsoku/>
        <w:wordWrap/>
        <w:overflowPunct/>
        <w:topLinePunct w:val="0"/>
        <w:autoSpaceDE w:val="0"/>
        <w:autoSpaceDN w:val="0"/>
        <w:bidi w:val="0"/>
        <w:adjustRightInd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1.在发包人所提供的勘察设计资料（含设计确认单、规划部门批文、政府各部门批文等）能满足勘察人、设计人进行各阶段勘察设计的前提下开始计算各阶段的勘察设计时间。</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2.上述设计时间不包括法定的节假日。</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3.图纸交付地点：设计人工作地（或发包人指定地）。发包人要求勘察人、设计人提供电子版勘察设计文件时，勘察人、设计人有权对电子版勘察设计文件采取加密、设置访问权限、限期使用等保护措施</w:t>
      </w:r>
      <w:r>
        <w:rPr>
          <w:rFonts w:hint="eastAsia" w:ascii="宋体" w:hAnsi="宋体" w:eastAsia="宋体" w:cs="宋体"/>
          <w:b/>
          <w:color w:val="auto"/>
          <w:sz w:val="24"/>
          <w:szCs w:val="24"/>
          <w:highlight w:val="none"/>
        </w:rPr>
        <w:t>。</w:t>
      </w:r>
    </w:p>
    <w:p>
      <w:pPr>
        <w:pageBreakBefore w:val="0"/>
        <w:widowControl/>
        <w:kinsoku/>
        <w:wordWrap/>
        <w:overflowPunct/>
        <w:topLinePunct w:val="0"/>
        <w:bidi w:val="0"/>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sectPr>
          <w:pgSz w:w="11906" w:h="16838"/>
          <w:pgMar w:top="1418" w:right="1555" w:bottom="1418" w:left="1531" w:header="851" w:footer="992" w:gutter="0"/>
          <w:cols w:space="720" w:num="1"/>
          <w:docGrid w:type="lines" w:linePitch="312" w:charSpace="0"/>
        </w:sectPr>
      </w:pPr>
      <w:r>
        <w:rPr>
          <w:rFonts w:hint="eastAsia" w:ascii="宋体" w:hAnsi="宋体" w:eastAsia="宋体" w:cs="宋体"/>
          <w:color w:val="auto"/>
          <w:sz w:val="24"/>
          <w:szCs w:val="24"/>
          <w:highlight w:val="none"/>
        </w:rPr>
        <w:t>4.如发包人要求提供超过合同约定份数的工程勘察设计文件，则勘察人、设计人仍应按发包人的要求提供，但发包人应向勘察人、设计人支付工本费。</w:t>
      </w:r>
    </w:p>
    <w:p>
      <w:pPr>
        <w:pageBreakBefore w:val="0"/>
        <w:widowControl/>
        <w:kinsoku/>
        <w:wordWrap/>
        <w:overflowPunct/>
        <w:topLinePunct w:val="0"/>
        <w:bidi w:val="0"/>
        <w:snapToGrid/>
        <w:spacing w:line="240" w:lineRule="auto"/>
        <w:ind w:left="0" w:leftChars="0" w:right="0" w:firstLine="56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 xml:space="preserve">附件4： </w:t>
      </w:r>
      <w:r>
        <w:rPr>
          <w:rFonts w:hint="eastAsia" w:ascii="宋体" w:hAnsi="宋体" w:eastAsia="宋体" w:cs="宋体"/>
          <w:b/>
          <w:color w:val="auto"/>
          <w:sz w:val="24"/>
          <w:szCs w:val="24"/>
          <w:highlight w:val="none"/>
        </w:rPr>
        <w:t xml:space="preserve">            </w:t>
      </w:r>
    </w:p>
    <w:p>
      <w:pPr>
        <w:pageBreakBefore w:val="0"/>
        <w:widowControl/>
        <w:kinsoku/>
        <w:wordWrap/>
        <w:overflowPunct/>
        <w:topLinePunct w:val="0"/>
        <w:bidi w:val="0"/>
        <w:snapToGrid/>
        <w:spacing w:line="240" w:lineRule="auto"/>
        <w:ind w:left="0" w:leftChars="0" w:right="0" w:firstLine="562" w:firstLineChars="200"/>
        <w:jc w:val="both"/>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勘察人、设计人主要设计人员表</w:t>
      </w: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418" w:type="dxa"/>
            <w:tcBorders>
              <w:top w:val="single" w:color="auto" w:sz="12" w:space="0"/>
              <w:bottom w:val="double" w:color="auto" w:sz="6" w:space="0"/>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tcBorders>
              <w:top w:val="single" w:color="auto" w:sz="12" w:space="0"/>
              <w:bottom w:val="double" w:color="auto" w:sz="6" w:space="0"/>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tcBorders>
              <w:top w:val="single" w:color="auto" w:sz="12" w:space="0"/>
              <w:bottom w:val="double" w:color="auto" w:sz="6" w:space="0"/>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注册执业资格或职称</w:t>
            </w:r>
          </w:p>
        </w:tc>
        <w:tc>
          <w:tcPr>
            <w:tcW w:w="4252" w:type="dxa"/>
            <w:tcBorders>
              <w:top w:val="single" w:color="auto" w:sz="12" w:space="0"/>
              <w:bottom w:val="double" w:color="auto" w:sz="6" w:space="0"/>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承担过的主要项目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single" w:color="auto" w:sz="4" w:space="0"/>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tcBorders>
              <w:top w:val="nil"/>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1134" w:type="dxa"/>
            <w:tcBorders>
              <w:top w:val="nil"/>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1134" w:type="dxa"/>
            <w:tcBorders>
              <w:top w:val="nil"/>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4252" w:type="dxa"/>
            <w:tcBorders>
              <w:top w:val="nil"/>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bottom w:val="nil"/>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1134"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1134"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4252"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二、项目组成员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418"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1134"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1134"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4252"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副负责人</w:t>
            </w:r>
          </w:p>
        </w:tc>
        <w:tc>
          <w:tcPr>
            <w:tcW w:w="1418"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1134"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1134"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4252"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工艺专业</w:t>
            </w:r>
          </w:p>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负责人</w:t>
            </w:r>
          </w:p>
        </w:tc>
        <w:tc>
          <w:tcPr>
            <w:tcW w:w="1418"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1134"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1134"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4252"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土建专业</w:t>
            </w:r>
          </w:p>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负责人</w:t>
            </w:r>
          </w:p>
        </w:tc>
        <w:tc>
          <w:tcPr>
            <w:tcW w:w="1418"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1134"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1134"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4252"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设备专业</w:t>
            </w:r>
          </w:p>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负责人</w:t>
            </w:r>
          </w:p>
        </w:tc>
        <w:tc>
          <w:tcPr>
            <w:tcW w:w="1418"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1134"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1134"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4252" w:type="dxa"/>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12" w:space="0"/>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其他专业</w:t>
            </w:r>
          </w:p>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负责人</w:t>
            </w:r>
          </w:p>
        </w:tc>
        <w:tc>
          <w:tcPr>
            <w:tcW w:w="1418" w:type="dxa"/>
            <w:tcBorders>
              <w:bottom w:val="single" w:color="auto" w:sz="12" w:space="0"/>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1134" w:type="dxa"/>
            <w:tcBorders>
              <w:bottom w:val="single" w:color="auto" w:sz="12" w:space="0"/>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1134" w:type="dxa"/>
            <w:tcBorders>
              <w:bottom w:val="single" w:color="auto" w:sz="12" w:space="0"/>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c>
          <w:tcPr>
            <w:tcW w:w="4252" w:type="dxa"/>
            <w:tcBorders>
              <w:bottom w:val="single" w:color="auto" w:sz="12" w:space="0"/>
            </w:tcBorders>
            <w:vAlign w:val="center"/>
          </w:tcPr>
          <w:p>
            <w:pPr>
              <w:pStyle w:val="10"/>
              <w:keepNext/>
              <w:pageBreakBefore w:val="0"/>
              <w:widowControl/>
              <w:kinsoku/>
              <w:wordWrap/>
              <w:overflowPunct/>
              <w:topLinePunct w:val="0"/>
              <w:bidi w:val="0"/>
              <w:snapToGrid/>
              <w:spacing w:after="0"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tc>
      </w:tr>
    </w:tbl>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ageBreakBefore w:val="0"/>
        <w:widowControl/>
        <w:kinsoku/>
        <w:wordWrap/>
        <w:overflowPunct/>
        <w:topLinePunct w:val="0"/>
        <w:bidi w:val="0"/>
        <w:snapToGrid/>
        <w:spacing w:line="240" w:lineRule="auto"/>
        <w:ind w:left="0" w:leftChars="0" w:right="0" w:firstLine="562" w:firstLineChars="200"/>
        <w:jc w:val="both"/>
        <w:textAlignment w:val="auto"/>
        <w:outlineLvl w:val="9"/>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附件5：    </w:t>
      </w:r>
      <w:r>
        <w:rPr>
          <w:rFonts w:hint="eastAsia" w:ascii="宋体" w:hAnsi="宋体" w:eastAsia="宋体" w:cs="宋体"/>
          <w:color w:val="auto"/>
          <w:sz w:val="28"/>
          <w:szCs w:val="28"/>
          <w:highlight w:val="none"/>
        </w:rPr>
        <w:t xml:space="preserve">         </w:t>
      </w: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设计进度表</w:t>
      </w: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24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ageBreakBefore w:val="0"/>
        <w:widowControl/>
        <w:kinsoku/>
        <w:wordWrap/>
        <w:overflowPunct/>
        <w:topLinePunct w:val="0"/>
        <w:bidi w:val="0"/>
        <w:snapToGrid/>
        <w:spacing w:line="480" w:lineRule="auto"/>
        <w:ind w:left="0" w:leftChars="0" w:right="0" w:firstLine="56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 xml:space="preserve">附件6：   </w:t>
      </w:r>
      <w:r>
        <w:rPr>
          <w:rFonts w:hint="eastAsia" w:ascii="宋体" w:hAnsi="宋体" w:eastAsia="宋体" w:cs="宋体"/>
          <w:b/>
          <w:color w:val="auto"/>
          <w:sz w:val="24"/>
          <w:szCs w:val="24"/>
          <w:highlight w:val="none"/>
        </w:rPr>
        <w:t xml:space="preserve">         </w:t>
      </w:r>
    </w:p>
    <w:p>
      <w:pPr>
        <w:spacing w:line="440" w:lineRule="exact"/>
        <w:jc w:val="center"/>
        <w:rPr>
          <w:rFonts w:hint="eastAsia" w:ascii="Times New Roman" w:hAnsi="Times New Roman" w:eastAsia="黑体" w:cs="Times New Roman"/>
          <w:color w:val="auto"/>
          <w:sz w:val="30"/>
          <w:szCs w:val="30"/>
          <w:highlight w:val="none"/>
        </w:rPr>
      </w:pPr>
      <w:r>
        <w:rPr>
          <w:rFonts w:hint="eastAsia" w:ascii="Times New Roman" w:hAnsi="Times New Roman" w:eastAsia="黑体" w:cs="Times New Roman"/>
          <w:color w:val="auto"/>
          <w:sz w:val="30"/>
          <w:szCs w:val="30"/>
          <w:highlight w:val="none"/>
        </w:rPr>
        <w:t>勘察设计费明细及支付方式（招标限价）</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一、勘察设计费总额：</w:t>
      </w:r>
      <w:r>
        <w:rPr>
          <w:rFonts w:hint="eastAsia" w:ascii="宋体" w:hAnsi="宋体" w:eastAsia="宋体" w:cs="宋体"/>
          <w:color w:val="auto"/>
          <w:sz w:val="24"/>
          <w:szCs w:val="24"/>
          <w:highlight w:val="none"/>
          <w:u w:val="single"/>
        </w:rPr>
        <w:t xml:space="preserve">       </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二、勘察设计费总额构成：</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1.工程勘察设计基本服务费用：固定总价：</w:t>
      </w:r>
      <w:r>
        <w:rPr>
          <w:rFonts w:hint="eastAsia" w:ascii="宋体" w:hAnsi="宋体" w:eastAsia="宋体" w:cs="宋体"/>
          <w:color w:val="auto"/>
          <w:sz w:val="24"/>
          <w:szCs w:val="24"/>
          <w:highlight w:val="none"/>
          <w:u w:val="single"/>
        </w:rPr>
        <w:t xml:space="preserve">        </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固定单价（实际投资额×费率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2.工程勘察设计其他服务费用：</w:t>
      </w:r>
      <w:r>
        <w:rPr>
          <w:rFonts w:hint="eastAsia" w:ascii="宋体" w:hAnsi="宋体" w:eastAsia="宋体" w:cs="宋体"/>
          <w:color w:val="auto"/>
          <w:sz w:val="24"/>
          <w:szCs w:val="24"/>
          <w:highlight w:val="none"/>
          <w:u w:val="single"/>
        </w:rPr>
        <w:t xml:space="preserve">        </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3.合同签订前设计人已完成工作的费用：</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 xml:space="preserve">         </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4.特别约定：</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（1）工程设计基本服务费用包含设计人员赴工地现场的旅差费，含长期驻现场的设计工地代表和现场服务费。</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（2）超过上述约定人次日赴项目现场所发生的费用（包括往返机票费、机场建设费、交通费、食宿费、保险费等）和人工费均由勘察人、设计人自行承担。</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（3）其它：</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三、勘察设计费明细计算表</w:t>
      </w:r>
    </w:p>
    <w:p>
      <w:pPr>
        <w:pStyle w:val="2"/>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（另附）</w:t>
      </w:r>
    </w:p>
    <w:p>
      <w:pPr>
        <w:pStyle w:val="2"/>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四、勘察设计费支付方式</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（1）勘察费支付方式：</w:t>
      </w:r>
      <w:r>
        <w:rPr>
          <w:rFonts w:hint="eastAsia" w:ascii="宋体" w:hAnsi="宋体" w:eastAsia="宋体" w:cs="宋体"/>
          <w:color w:val="auto"/>
          <w:sz w:val="24"/>
          <w:szCs w:val="24"/>
          <w:highlight w:val="none"/>
          <w:u w:val="single"/>
        </w:rPr>
        <w:t xml:space="preserve">                                   </w:t>
      </w:r>
    </w:p>
    <w:p>
      <w:pPr>
        <w:pageBreakBefore w:val="0"/>
        <w:widowControl/>
        <w:kinsoku/>
        <w:wordWrap/>
        <w:overflowPunct/>
        <w:topLinePunct w:val="0"/>
        <w:bidi w:val="0"/>
        <w:snapToGrid/>
        <w:spacing w:line="480" w:lineRule="auto"/>
        <w:ind w:left="0" w:leftChars="0" w:right="0"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（2）设计费支付方式：</w:t>
      </w:r>
      <w:r>
        <w:rPr>
          <w:rFonts w:hint="eastAsia" w:ascii="宋体" w:hAnsi="宋体" w:eastAsia="宋体" w:cs="宋体"/>
          <w:color w:val="auto"/>
          <w:sz w:val="24"/>
          <w:szCs w:val="24"/>
          <w:highlight w:val="none"/>
          <w:u w:val="single"/>
        </w:rPr>
        <w:t xml:space="preserve">                                        </w:t>
      </w:r>
    </w:p>
    <w:p>
      <w:pPr>
        <w:pStyle w:val="2"/>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sectPr>
          <w:pgSz w:w="11906" w:h="16838"/>
          <w:pgMar w:top="1418" w:right="1555" w:bottom="1418" w:left="1531" w:header="851" w:footer="992" w:gutter="0"/>
          <w:cols w:space="720" w:num="1"/>
          <w:docGrid w:type="lines" w:linePitch="312" w:charSpace="0"/>
        </w:sectPr>
      </w:pPr>
      <w:r>
        <w:rPr>
          <w:rFonts w:hint="eastAsia" w:ascii="宋体" w:hAnsi="宋体" w:eastAsia="宋体" w:cs="宋体"/>
          <w:color w:val="auto"/>
          <w:sz w:val="28"/>
          <w:szCs w:val="28"/>
          <w:highlight w:val="none"/>
        </w:rPr>
        <w:t xml:space="preserve">  </w:t>
      </w:r>
    </w:p>
    <w:p>
      <w:pPr>
        <w:pageBreakBefore w:val="0"/>
        <w:widowControl/>
        <w:kinsoku/>
        <w:wordWrap/>
        <w:overflowPunct/>
        <w:topLinePunct w:val="0"/>
        <w:bidi w:val="0"/>
        <w:snapToGrid/>
        <w:spacing w:line="240" w:lineRule="auto"/>
        <w:ind w:left="0" w:leftChars="0" w:right="0" w:firstLine="562" w:firstLineChars="200"/>
        <w:jc w:val="both"/>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附件7 ：             </w:t>
      </w: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设计变更计费依据和方法</w:t>
      </w: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另行协商。</w:t>
      </w: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p>
      <w:pPr>
        <w:pageBreakBefore w:val="0"/>
        <w:widowControl/>
        <w:kinsoku/>
        <w:wordWrap/>
        <w:overflowPunct/>
        <w:topLinePunct w:val="0"/>
        <w:bidi w:val="0"/>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p>
    <w:sectPr>
      <w:pgSz w:w="11906" w:h="16838"/>
      <w:pgMar w:top="1418" w:right="1555"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49"/>
        <w:tab w:val="clear" w:pos="4153"/>
      </w:tabs>
      <w:jc w:val="right"/>
      <w:rPr>
        <w:rFonts w:ascii="宋体" w:hAnsi="宋体" w:cs="宋体"/>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25</w:t>
                    </w:r>
                    <w:r>
                      <w:fldChar w:fldCharType="end"/>
                    </w:r>
                  </w:p>
                </w:txbxContent>
              </v:textbox>
            </v:shape>
          </w:pict>
        </mc:Fallback>
      </mc:AlternateContent>
    </w:r>
    <w:r>
      <w:rPr>
        <w:rFonts w:hint="eastAsia" w:ascii="宋体" w:hAnsi="宋体" w:cs="宋体"/>
        <w:szCs w:val="21"/>
      </w:rPr>
      <w:t>永道工程咨询有限公司编制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autoSpaceDE w:val="0"/>
      <w:autoSpaceDN w:val="0"/>
      <w:jc w:val="right"/>
      <w:rPr>
        <w:sz w:val="20"/>
      </w:rPr>
    </w:pPr>
    <w:r>
      <w:rPr>
        <w:rFonts w:hint="eastAsia" w:ascii="宋体" w:hAnsi="宋体" w:cs="宋体"/>
        <w:sz w:val="18"/>
        <w:szCs w:val="18"/>
      </w:rPr>
      <w:t>永道工程咨询有限公司编制</w:t>
    </w: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autoSpaceDE w:val="0"/>
      <w:autoSpaceDN w:val="0"/>
      <w:jc w:val="right"/>
      <w:rPr>
        <w:sz w:val="20"/>
      </w:rPr>
    </w:pPr>
    <w:r>
      <w:rPr>
        <w:rFonts w:hint="eastAsia" w:ascii="宋体" w:hAnsi="宋体" w:cs="宋体"/>
        <w:sz w:val="18"/>
        <w:szCs w:val="18"/>
      </w:rPr>
      <w:t>永道工程咨询有限公司编制</w:t>
    </w: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autoSpaceDE w:val="0"/>
      <w:autoSpaceDN w:val="0"/>
      <w:jc w:val="right"/>
      <w:rPr>
        <w:sz w:val="19"/>
      </w:rPr>
    </w:pPr>
    <w:r>
      <w:rPr>
        <w:rFonts w:hint="eastAsia" w:ascii="宋体" w:hAnsi="宋体" w:cs="宋体"/>
        <w:sz w:val="18"/>
        <w:szCs w:val="18"/>
      </w:rPr>
      <w:t>永道工程咨询有限公司编制</w:t>
    </w:r>
    <w:r>
      <w:rPr>
        <w:sz w:val="19"/>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K5b8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WH2LAtb&#10;vbM8Qkd5vF0dA+RMKkdROiXQnXjA9KU+9ZsSx/vPc4p6/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grlvzICAABl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- 14 -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49"/>
        <w:tab w:val="clear" w:pos="4153"/>
      </w:tabs>
      <w:jc w:val="right"/>
    </w:pPr>
    <w:r>
      <w:rPr>
        <w:rFonts w:hint="eastAsia" w:ascii="宋体" w:hAnsi="宋体" w:cs="宋体"/>
        <w:szCs w:val="21"/>
      </w:rPr>
      <w:t>永道工程咨询有限公司编制</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614"/>
        <w:tab w:val="clear" w:pos="4153"/>
      </w:tabs>
      <w:rPr>
        <w:rFonts w:eastAsia="仿宋_GB2312"/>
        <w:sz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4"/>
        <w:lang w:val="en-US" w:eastAsia="zh-CN"/>
      </w:rPr>
      <w:t xml:space="preserve">                                                       </w:t>
    </w:r>
    <w:r>
      <w:rPr>
        <w:rFonts w:hint="eastAsia" w:ascii="宋体" w:hAnsi="宋体" w:cs="宋体"/>
        <w:szCs w:val="21"/>
      </w:rPr>
      <w:t>永道工程咨询有限公司编制</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49"/>
        <w:tab w:val="clear" w:pos="4153"/>
      </w:tabs>
      <w:jc w:val="right"/>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Cs w:val="21"/>
      </w:rPr>
      <w:t>永道工程咨询有限公司编制</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2336800</wp:posOffset>
              </wp:positionH>
              <wp:positionV relativeFrom="page">
                <wp:posOffset>544830</wp:posOffset>
              </wp:positionV>
              <wp:extent cx="2882900" cy="139700"/>
              <wp:effectExtent l="0" t="0" r="0" b="0"/>
              <wp:wrapNone/>
              <wp:docPr id="25" name="文本框 15"/>
              <wp:cNvGraphicFramePr/>
              <a:graphic xmlns:a="http://schemas.openxmlformats.org/drawingml/2006/main">
                <a:graphicData uri="http://schemas.microsoft.com/office/word/2010/wordprocessingShape">
                  <wps:wsp>
                    <wps:cNvSpPr txBox="1"/>
                    <wps:spPr>
                      <a:xfrm>
                        <a:off x="0" y="0"/>
                        <a:ext cx="2882900" cy="139700"/>
                      </a:xfrm>
                      <a:prstGeom prst="rect">
                        <a:avLst/>
                      </a:prstGeom>
                      <a:noFill/>
                      <a:ln>
                        <a:noFill/>
                      </a:ln>
                      <a:effectLst/>
                    </wps:spPr>
                    <wps:txbx>
                      <w:txbxContent>
                        <w:p>
                          <w:pPr>
                            <w:spacing w:line="220" w:lineRule="exact"/>
                            <w:ind w:left="20"/>
                            <w:jc w:val="left"/>
                            <w:rPr>
                              <w:sz w:val="18"/>
                            </w:rPr>
                          </w:pPr>
                        </w:p>
                      </w:txbxContent>
                    </wps:txbx>
                    <wps:bodyPr lIns="0" tIns="0" rIns="0" bIns="0" upright="1"/>
                  </wps:wsp>
                </a:graphicData>
              </a:graphic>
            </wp:anchor>
          </w:drawing>
        </mc:Choice>
        <mc:Fallback>
          <w:pict>
            <v:shape id="文本框 15" o:spid="_x0000_s1026" o:spt="202" type="#_x0000_t202" style="position:absolute;left:0pt;margin-left:184pt;margin-top:42.9pt;height:11pt;width:227pt;mso-position-horizontal-relative:page;mso-position-vertical-relative:page;z-index:-251654144;mso-width-relative:page;mso-height-relative:page;" filled="f" stroked="f" coordsize="21600,21600" o:gfxdata="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xMulLYAAAACgEAAA8AAAAAAAAAAQAgAAAAIgAAAGRycy9kb3ducmV2Lnht&#10;bFBLAQIUABQAAAAIAIdO4kCrWUiywAEAAIIDAAAOAAAAAAAAAAEAIAAAACcBAABkcnMvZTJvRG9j&#10;LnhtbFBLBQYAAAAABgAGAFkBAABZBQAAAAA=&#10;">
              <v:fill on="f" focussize="0,0"/>
              <v:stroke on="f"/>
              <v:imagedata o:title=""/>
              <o:lock v:ext="edit" aspectratio="f"/>
              <v:textbox inset="0mm,0mm,0mm,0mm">
                <w:txbxContent>
                  <w:p>
                    <w:pPr>
                      <w:spacing w:line="220" w:lineRule="exact"/>
                      <w:ind w:left="20"/>
                      <w:jc w:val="left"/>
                      <w:rPr>
                        <w:sz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320"/>
        <w:tab w:val="right" w:pos="8640"/>
        <w:tab w:val="clear" w:pos="4153"/>
        <w:tab w:val="clear" w:pos="8306"/>
      </w:tabs>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923A9"/>
    <w:multiLevelType w:val="singleLevel"/>
    <w:tmpl w:val="AFA923A9"/>
    <w:lvl w:ilvl="0" w:tentative="0">
      <w:start w:val="1"/>
      <w:numFmt w:val="decimal"/>
      <w:lvlText w:val="%1."/>
      <w:lvlJc w:val="left"/>
      <w:pPr>
        <w:tabs>
          <w:tab w:val="left" w:pos="312"/>
        </w:tabs>
      </w:pPr>
    </w:lvl>
  </w:abstractNum>
  <w:abstractNum w:abstractNumId="1">
    <w:nsid w:val="CCAEEDC6"/>
    <w:multiLevelType w:val="singleLevel"/>
    <w:tmpl w:val="CCAEEDC6"/>
    <w:lvl w:ilvl="0" w:tentative="0">
      <w:start w:val="1"/>
      <w:numFmt w:val="decimal"/>
      <w:suff w:val="nothing"/>
      <w:lvlText w:val="%1、"/>
      <w:lvlJc w:val="left"/>
    </w:lvl>
  </w:abstractNum>
  <w:abstractNum w:abstractNumId="2">
    <w:nsid w:val="D3B7BBC7"/>
    <w:multiLevelType w:val="singleLevel"/>
    <w:tmpl w:val="D3B7BBC7"/>
    <w:lvl w:ilvl="0" w:tentative="0">
      <w:start w:val="1"/>
      <w:numFmt w:val="decimal"/>
      <w:suff w:val="space"/>
      <w:lvlText w:val="（%1）"/>
      <w:lvlJc w:val="left"/>
    </w:lvl>
  </w:abstractNum>
  <w:abstractNum w:abstractNumId="3">
    <w:nsid w:val="E093A4B0"/>
    <w:multiLevelType w:val="multilevel"/>
    <w:tmpl w:val="E093A4B0"/>
    <w:lvl w:ilvl="0" w:tentative="0">
      <w:start w:val="1"/>
      <w:numFmt w:val="decimal"/>
      <w:lvlText w:val="%1."/>
      <w:lvlJc w:val="left"/>
      <w:pPr>
        <w:ind w:left="955" w:hanging="281"/>
      </w:pPr>
      <w:rPr>
        <w:rFonts w:hint="default" w:ascii="宋体" w:hAnsi="宋体" w:eastAsia="宋体" w:cs="宋体"/>
        <w:w w:val="100"/>
        <w:sz w:val="26"/>
        <w:szCs w:val="26"/>
        <w:lang w:val="zh-CN" w:eastAsia="zh-CN" w:bidi="zh-CN"/>
      </w:rPr>
    </w:lvl>
    <w:lvl w:ilvl="1" w:tentative="0">
      <w:start w:val="0"/>
      <w:numFmt w:val="bullet"/>
      <w:lvlText w:val="•"/>
      <w:lvlJc w:val="left"/>
      <w:pPr>
        <w:ind w:left="1866" w:hanging="281"/>
      </w:pPr>
      <w:rPr>
        <w:rFonts w:hint="default"/>
        <w:lang w:val="zh-CN" w:eastAsia="zh-CN" w:bidi="zh-CN"/>
      </w:rPr>
    </w:lvl>
    <w:lvl w:ilvl="2" w:tentative="0">
      <w:start w:val="0"/>
      <w:numFmt w:val="bullet"/>
      <w:lvlText w:val="•"/>
      <w:lvlJc w:val="left"/>
      <w:pPr>
        <w:ind w:left="2773" w:hanging="281"/>
      </w:pPr>
      <w:rPr>
        <w:rFonts w:hint="default"/>
        <w:lang w:val="zh-CN" w:eastAsia="zh-CN" w:bidi="zh-CN"/>
      </w:rPr>
    </w:lvl>
    <w:lvl w:ilvl="3" w:tentative="0">
      <w:start w:val="0"/>
      <w:numFmt w:val="bullet"/>
      <w:lvlText w:val="•"/>
      <w:lvlJc w:val="left"/>
      <w:pPr>
        <w:ind w:left="3680" w:hanging="281"/>
      </w:pPr>
      <w:rPr>
        <w:rFonts w:hint="default"/>
        <w:lang w:val="zh-CN" w:eastAsia="zh-CN" w:bidi="zh-CN"/>
      </w:rPr>
    </w:lvl>
    <w:lvl w:ilvl="4" w:tentative="0">
      <w:start w:val="0"/>
      <w:numFmt w:val="bullet"/>
      <w:lvlText w:val="•"/>
      <w:lvlJc w:val="left"/>
      <w:pPr>
        <w:ind w:left="4586" w:hanging="281"/>
      </w:pPr>
      <w:rPr>
        <w:rFonts w:hint="default"/>
        <w:lang w:val="zh-CN" w:eastAsia="zh-CN" w:bidi="zh-CN"/>
      </w:rPr>
    </w:lvl>
    <w:lvl w:ilvl="5" w:tentative="0">
      <w:start w:val="0"/>
      <w:numFmt w:val="bullet"/>
      <w:lvlText w:val="•"/>
      <w:lvlJc w:val="left"/>
      <w:pPr>
        <w:ind w:left="5493" w:hanging="281"/>
      </w:pPr>
      <w:rPr>
        <w:rFonts w:hint="default"/>
        <w:lang w:val="zh-CN" w:eastAsia="zh-CN" w:bidi="zh-CN"/>
      </w:rPr>
    </w:lvl>
    <w:lvl w:ilvl="6" w:tentative="0">
      <w:start w:val="0"/>
      <w:numFmt w:val="bullet"/>
      <w:lvlText w:val="•"/>
      <w:lvlJc w:val="left"/>
      <w:pPr>
        <w:ind w:left="6400" w:hanging="281"/>
      </w:pPr>
      <w:rPr>
        <w:rFonts w:hint="default"/>
        <w:lang w:val="zh-CN" w:eastAsia="zh-CN" w:bidi="zh-CN"/>
      </w:rPr>
    </w:lvl>
    <w:lvl w:ilvl="7" w:tentative="0">
      <w:start w:val="0"/>
      <w:numFmt w:val="bullet"/>
      <w:lvlText w:val="•"/>
      <w:lvlJc w:val="left"/>
      <w:pPr>
        <w:ind w:left="7306" w:hanging="281"/>
      </w:pPr>
      <w:rPr>
        <w:rFonts w:hint="default"/>
        <w:lang w:val="zh-CN" w:eastAsia="zh-CN" w:bidi="zh-CN"/>
      </w:rPr>
    </w:lvl>
    <w:lvl w:ilvl="8" w:tentative="0">
      <w:start w:val="0"/>
      <w:numFmt w:val="bullet"/>
      <w:lvlText w:val="•"/>
      <w:lvlJc w:val="left"/>
      <w:pPr>
        <w:ind w:left="8213" w:hanging="281"/>
      </w:pPr>
      <w:rPr>
        <w:rFonts w:hint="default"/>
        <w:lang w:val="zh-CN" w:eastAsia="zh-CN" w:bidi="zh-CN"/>
      </w:rPr>
    </w:lvl>
  </w:abstractNum>
  <w:abstractNum w:abstractNumId="4">
    <w:nsid w:val="E4E0E37E"/>
    <w:multiLevelType w:val="singleLevel"/>
    <w:tmpl w:val="E4E0E37E"/>
    <w:lvl w:ilvl="0" w:tentative="0">
      <w:start w:val="1"/>
      <w:numFmt w:val="decimal"/>
      <w:lvlText w:val="%1."/>
      <w:lvlJc w:val="left"/>
      <w:pPr>
        <w:tabs>
          <w:tab w:val="left" w:pos="312"/>
        </w:tabs>
      </w:pPr>
    </w:lvl>
  </w:abstractNum>
  <w:abstractNum w:abstractNumId="5">
    <w:nsid w:val="F6B6BF77"/>
    <w:multiLevelType w:val="singleLevel"/>
    <w:tmpl w:val="F6B6BF77"/>
    <w:lvl w:ilvl="0" w:tentative="0">
      <w:start w:val="3"/>
      <w:numFmt w:val="decimal"/>
      <w:suff w:val="nothing"/>
      <w:lvlText w:val="（%1）"/>
      <w:lvlJc w:val="left"/>
      <w:pPr>
        <w:ind w:left="210"/>
      </w:pPr>
    </w:lvl>
  </w:abstractNum>
  <w:abstractNum w:abstractNumId="6">
    <w:nsid w:val="FC590581"/>
    <w:multiLevelType w:val="singleLevel"/>
    <w:tmpl w:val="FC590581"/>
    <w:lvl w:ilvl="0" w:tentative="0">
      <w:start w:val="2"/>
      <w:numFmt w:val="decimal"/>
      <w:suff w:val="nothing"/>
      <w:lvlText w:val="%1、"/>
      <w:lvlJc w:val="left"/>
    </w:lvl>
  </w:abstractNum>
  <w:abstractNum w:abstractNumId="7">
    <w:nsid w:val="3E1D0483"/>
    <w:multiLevelType w:val="singleLevel"/>
    <w:tmpl w:val="3E1D0483"/>
    <w:lvl w:ilvl="0" w:tentative="0">
      <w:start w:val="1"/>
      <w:numFmt w:val="decimal"/>
      <w:suff w:val="nothing"/>
      <w:lvlText w:val="%1、"/>
      <w:lvlJc w:val="left"/>
    </w:lvl>
  </w:abstractNum>
  <w:abstractNum w:abstractNumId="8">
    <w:nsid w:val="67D2B7C4"/>
    <w:multiLevelType w:val="singleLevel"/>
    <w:tmpl w:val="67D2B7C4"/>
    <w:lvl w:ilvl="0" w:tentative="0">
      <w:start w:val="1"/>
      <w:numFmt w:val="decimal"/>
      <w:suff w:val="nothing"/>
      <w:lvlText w:val="%1、"/>
      <w:lvlJc w:val="left"/>
    </w:lvl>
  </w:abstractNum>
  <w:num w:numId="1">
    <w:abstractNumId w:val="5"/>
  </w:num>
  <w:num w:numId="2">
    <w:abstractNumId w:val="2"/>
  </w:num>
  <w:num w:numId="3">
    <w:abstractNumId w:val="8"/>
  </w:num>
  <w:num w:numId="4">
    <w:abstractNumId w:val="7"/>
  </w:num>
  <w:num w:numId="5">
    <w:abstractNumId w:val="1"/>
  </w:num>
  <w:num w:numId="6">
    <w:abstractNumId w:val="0"/>
  </w:num>
  <w:num w:numId="7">
    <w:abstractNumId w:val="4"/>
  </w:num>
  <w:num w:numId="8">
    <w:abstractNumId w:val="6"/>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75"/>
    <w:rsid w:val="000C58E6"/>
    <w:rsid w:val="004F7402"/>
    <w:rsid w:val="00525687"/>
    <w:rsid w:val="005B3382"/>
    <w:rsid w:val="00810DED"/>
    <w:rsid w:val="00BF35D9"/>
    <w:rsid w:val="00CA3E07"/>
    <w:rsid w:val="00D86C61"/>
    <w:rsid w:val="00E43E9D"/>
    <w:rsid w:val="00ED2496"/>
    <w:rsid w:val="00FA3C75"/>
    <w:rsid w:val="010B21F8"/>
    <w:rsid w:val="01C41DC0"/>
    <w:rsid w:val="02C04754"/>
    <w:rsid w:val="02DB49FD"/>
    <w:rsid w:val="042C0EBC"/>
    <w:rsid w:val="044A6E51"/>
    <w:rsid w:val="047A0BF5"/>
    <w:rsid w:val="04AD3DAA"/>
    <w:rsid w:val="04B30C95"/>
    <w:rsid w:val="05575AC4"/>
    <w:rsid w:val="062C51A3"/>
    <w:rsid w:val="06B42559"/>
    <w:rsid w:val="06C76C7A"/>
    <w:rsid w:val="06F6584E"/>
    <w:rsid w:val="0722482B"/>
    <w:rsid w:val="07913B00"/>
    <w:rsid w:val="07986162"/>
    <w:rsid w:val="09DB1C8B"/>
    <w:rsid w:val="0A193C90"/>
    <w:rsid w:val="0A531125"/>
    <w:rsid w:val="0A6767AA"/>
    <w:rsid w:val="0BEF34A1"/>
    <w:rsid w:val="0CBE5AB0"/>
    <w:rsid w:val="0EBE1A0A"/>
    <w:rsid w:val="0F916077"/>
    <w:rsid w:val="0FDE750E"/>
    <w:rsid w:val="0FEC5664"/>
    <w:rsid w:val="1137057E"/>
    <w:rsid w:val="115D26B4"/>
    <w:rsid w:val="11AE4CBE"/>
    <w:rsid w:val="11FD5756"/>
    <w:rsid w:val="12525F91"/>
    <w:rsid w:val="12671D17"/>
    <w:rsid w:val="12D37390"/>
    <w:rsid w:val="13332050"/>
    <w:rsid w:val="139D4FEA"/>
    <w:rsid w:val="13D6674E"/>
    <w:rsid w:val="13FA41EA"/>
    <w:rsid w:val="150629ED"/>
    <w:rsid w:val="15611E99"/>
    <w:rsid w:val="16325639"/>
    <w:rsid w:val="16FA07CB"/>
    <w:rsid w:val="17695E4C"/>
    <w:rsid w:val="17D36E16"/>
    <w:rsid w:val="18A46B0C"/>
    <w:rsid w:val="1A253554"/>
    <w:rsid w:val="1AA51375"/>
    <w:rsid w:val="1B153924"/>
    <w:rsid w:val="1BA1128E"/>
    <w:rsid w:val="1C03667D"/>
    <w:rsid w:val="1C5B3C94"/>
    <w:rsid w:val="1D9B42CE"/>
    <w:rsid w:val="1E6E0122"/>
    <w:rsid w:val="1EF912B4"/>
    <w:rsid w:val="1FB929BF"/>
    <w:rsid w:val="1FF02946"/>
    <w:rsid w:val="203C2462"/>
    <w:rsid w:val="21176CBD"/>
    <w:rsid w:val="21354AB4"/>
    <w:rsid w:val="21E5179F"/>
    <w:rsid w:val="21F1222C"/>
    <w:rsid w:val="231B5F2B"/>
    <w:rsid w:val="2352314E"/>
    <w:rsid w:val="23C14D25"/>
    <w:rsid w:val="24053825"/>
    <w:rsid w:val="244B2A84"/>
    <w:rsid w:val="24EF6F54"/>
    <w:rsid w:val="24FE57A0"/>
    <w:rsid w:val="252B4B4C"/>
    <w:rsid w:val="26470CFA"/>
    <w:rsid w:val="271A3785"/>
    <w:rsid w:val="282A2DA4"/>
    <w:rsid w:val="289E77AC"/>
    <w:rsid w:val="28B315A4"/>
    <w:rsid w:val="291208DF"/>
    <w:rsid w:val="29176DF3"/>
    <w:rsid w:val="2B6F6043"/>
    <w:rsid w:val="2B971BD3"/>
    <w:rsid w:val="2C2422F5"/>
    <w:rsid w:val="2C2E5003"/>
    <w:rsid w:val="2C846846"/>
    <w:rsid w:val="2C954765"/>
    <w:rsid w:val="2CD47665"/>
    <w:rsid w:val="2D5D3F76"/>
    <w:rsid w:val="2D684463"/>
    <w:rsid w:val="2EBC05C2"/>
    <w:rsid w:val="2FDD4C94"/>
    <w:rsid w:val="2FE36023"/>
    <w:rsid w:val="2FE8214B"/>
    <w:rsid w:val="302A5A00"/>
    <w:rsid w:val="30CE6CD3"/>
    <w:rsid w:val="30F21E0B"/>
    <w:rsid w:val="329B701A"/>
    <w:rsid w:val="32CC0FF0"/>
    <w:rsid w:val="33537BC4"/>
    <w:rsid w:val="3392223A"/>
    <w:rsid w:val="341F3B4F"/>
    <w:rsid w:val="34401C96"/>
    <w:rsid w:val="3536163D"/>
    <w:rsid w:val="373A3BCE"/>
    <w:rsid w:val="386779F8"/>
    <w:rsid w:val="396D74FB"/>
    <w:rsid w:val="39C12F31"/>
    <w:rsid w:val="3A137F34"/>
    <w:rsid w:val="3A2B722C"/>
    <w:rsid w:val="3A610881"/>
    <w:rsid w:val="3AA96A7A"/>
    <w:rsid w:val="3B7A783B"/>
    <w:rsid w:val="3BF33A92"/>
    <w:rsid w:val="3C8867C5"/>
    <w:rsid w:val="3CE55188"/>
    <w:rsid w:val="3D7063B0"/>
    <w:rsid w:val="3DA53504"/>
    <w:rsid w:val="3E5C147A"/>
    <w:rsid w:val="3E9A4248"/>
    <w:rsid w:val="400F75D9"/>
    <w:rsid w:val="405F2E95"/>
    <w:rsid w:val="40776146"/>
    <w:rsid w:val="410D2329"/>
    <w:rsid w:val="42097B6B"/>
    <w:rsid w:val="438D58B1"/>
    <w:rsid w:val="44020D16"/>
    <w:rsid w:val="451C7394"/>
    <w:rsid w:val="469B4466"/>
    <w:rsid w:val="46BD2B0D"/>
    <w:rsid w:val="470554BB"/>
    <w:rsid w:val="470E5C60"/>
    <w:rsid w:val="486A7D6A"/>
    <w:rsid w:val="48EE15A0"/>
    <w:rsid w:val="4A3A72D8"/>
    <w:rsid w:val="4A3B6D2F"/>
    <w:rsid w:val="4B0D5C88"/>
    <w:rsid w:val="4C561BFF"/>
    <w:rsid w:val="4CF47AED"/>
    <w:rsid w:val="4E796078"/>
    <w:rsid w:val="4F1162B1"/>
    <w:rsid w:val="4F654A0B"/>
    <w:rsid w:val="4FAF11F8"/>
    <w:rsid w:val="52691F60"/>
    <w:rsid w:val="532E5A01"/>
    <w:rsid w:val="533407EA"/>
    <w:rsid w:val="53464B79"/>
    <w:rsid w:val="538A15BF"/>
    <w:rsid w:val="53EC52A4"/>
    <w:rsid w:val="54221DD8"/>
    <w:rsid w:val="54790B80"/>
    <w:rsid w:val="54D72F59"/>
    <w:rsid w:val="556E3502"/>
    <w:rsid w:val="55D57C6A"/>
    <w:rsid w:val="56B6664A"/>
    <w:rsid w:val="57796A9B"/>
    <w:rsid w:val="57EF2218"/>
    <w:rsid w:val="5908172A"/>
    <w:rsid w:val="5A664631"/>
    <w:rsid w:val="5A6F4A0D"/>
    <w:rsid w:val="5C067B20"/>
    <w:rsid w:val="5C3F07B2"/>
    <w:rsid w:val="5C485CDF"/>
    <w:rsid w:val="5C4D36F5"/>
    <w:rsid w:val="5CFA0E08"/>
    <w:rsid w:val="5E3E24F3"/>
    <w:rsid w:val="5E446D0A"/>
    <w:rsid w:val="5EBC6C0C"/>
    <w:rsid w:val="5EDC0F73"/>
    <w:rsid w:val="5F0B6879"/>
    <w:rsid w:val="5F216941"/>
    <w:rsid w:val="5FDF5E10"/>
    <w:rsid w:val="61F01FB6"/>
    <w:rsid w:val="62562A3C"/>
    <w:rsid w:val="629F24E1"/>
    <w:rsid w:val="638205D3"/>
    <w:rsid w:val="639257BA"/>
    <w:rsid w:val="63CB7812"/>
    <w:rsid w:val="64CC2DA2"/>
    <w:rsid w:val="64DE2339"/>
    <w:rsid w:val="653E28BC"/>
    <w:rsid w:val="655921D3"/>
    <w:rsid w:val="66B40CAC"/>
    <w:rsid w:val="675B5EC3"/>
    <w:rsid w:val="681739F3"/>
    <w:rsid w:val="68456F95"/>
    <w:rsid w:val="6A211646"/>
    <w:rsid w:val="6A416000"/>
    <w:rsid w:val="6A707D31"/>
    <w:rsid w:val="6ACE7A4E"/>
    <w:rsid w:val="6ADF50EC"/>
    <w:rsid w:val="6B8D27C1"/>
    <w:rsid w:val="6C0D1A10"/>
    <w:rsid w:val="6DAA3701"/>
    <w:rsid w:val="6E6F364D"/>
    <w:rsid w:val="6F040C2D"/>
    <w:rsid w:val="6F8306AD"/>
    <w:rsid w:val="6FD902CD"/>
    <w:rsid w:val="7095177A"/>
    <w:rsid w:val="70D94812"/>
    <w:rsid w:val="70DB0C74"/>
    <w:rsid w:val="7101490D"/>
    <w:rsid w:val="723D4B27"/>
    <w:rsid w:val="72552A6C"/>
    <w:rsid w:val="731577E7"/>
    <w:rsid w:val="733A3E53"/>
    <w:rsid w:val="73543B98"/>
    <w:rsid w:val="7424200C"/>
    <w:rsid w:val="74305110"/>
    <w:rsid w:val="75137696"/>
    <w:rsid w:val="755F3AF9"/>
    <w:rsid w:val="76A35191"/>
    <w:rsid w:val="76D637B8"/>
    <w:rsid w:val="76D82103"/>
    <w:rsid w:val="78365327"/>
    <w:rsid w:val="799C2A97"/>
    <w:rsid w:val="79F93A46"/>
    <w:rsid w:val="7A971902"/>
    <w:rsid w:val="7AD46261"/>
    <w:rsid w:val="7DB3150C"/>
    <w:rsid w:val="7EFE65B5"/>
    <w:rsid w:val="7F8C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afterLines="100"/>
      <w:jc w:val="center"/>
      <w:outlineLvl w:val="0"/>
    </w:pPr>
    <w:rPr>
      <w:b/>
      <w:bCs/>
      <w:kern w:val="44"/>
      <w:sz w:val="36"/>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paragraph" w:styleId="6">
    <w:name w:val="heading 4"/>
    <w:basedOn w:val="1"/>
    <w:next w:val="1"/>
    <w:link w:val="78"/>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8">
    <w:name w:val="index 8"/>
    <w:basedOn w:val="1"/>
    <w:next w:val="1"/>
    <w:qFormat/>
    <w:uiPriority w:val="0"/>
    <w:pPr>
      <w:ind w:left="1400" w:leftChars="1400"/>
    </w:pPr>
    <w:rPr>
      <w:rFonts w:ascii="Calibri" w:hAnsi="Calibri"/>
    </w:rPr>
  </w:style>
  <w:style w:type="paragraph" w:styleId="9">
    <w:name w:val="annotation text"/>
    <w:basedOn w:val="1"/>
    <w:qFormat/>
    <w:uiPriority w:val="0"/>
    <w:pPr>
      <w:jc w:val="left"/>
    </w:pPr>
  </w:style>
  <w:style w:type="paragraph" w:styleId="10">
    <w:name w:val="Body Text"/>
    <w:basedOn w:val="1"/>
    <w:next w:val="1"/>
    <w:qFormat/>
    <w:uiPriority w:val="0"/>
    <w:pPr>
      <w:spacing w:after="120"/>
    </w:pPr>
    <w:rPr>
      <w:rFonts w:ascii="Calibri" w:hAnsi="Calibri"/>
    </w:rPr>
  </w:style>
  <w:style w:type="paragraph" w:styleId="11">
    <w:name w:val="Body Text Indent"/>
    <w:basedOn w:val="1"/>
    <w:link w:val="80"/>
    <w:qFormat/>
    <w:uiPriority w:val="0"/>
    <w:pPr>
      <w:spacing w:after="120"/>
      <w:ind w:left="420" w:leftChars="200"/>
    </w:pPr>
  </w:style>
  <w:style w:type="paragraph" w:styleId="12">
    <w:name w:val="toc 5"/>
    <w:basedOn w:val="1"/>
    <w:next w:val="1"/>
    <w:qFormat/>
    <w:uiPriority w:val="0"/>
    <w:pPr>
      <w:tabs>
        <w:tab w:val="right" w:leader="dot" w:pos="8296"/>
      </w:tabs>
      <w:ind w:left="1050" w:leftChars="500"/>
    </w:pPr>
  </w:style>
  <w:style w:type="paragraph" w:styleId="13">
    <w:name w:val="toc 3"/>
    <w:basedOn w:val="1"/>
    <w:next w:val="1"/>
    <w:qFormat/>
    <w:uiPriority w:val="0"/>
    <w:pPr>
      <w:ind w:left="840" w:leftChars="400"/>
    </w:pPr>
  </w:style>
  <w:style w:type="paragraph" w:styleId="14">
    <w:name w:val="Plain Text"/>
    <w:basedOn w:val="1"/>
    <w:link w:val="79"/>
    <w:qFormat/>
    <w:uiPriority w:val="0"/>
    <w:rPr>
      <w:rFonts w:ascii="宋体" w:hAnsi="Courier New"/>
      <w:szCs w:val="20"/>
    </w:rPr>
  </w:style>
  <w:style w:type="paragraph" w:styleId="15">
    <w:name w:val="Body Text Indent 2"/>
    <w:basedOn w:val="1"/>
    <w:qFormat/>
    <w:uiPriority w:val="0"/>
    <w:pPr>
      <w:spacing w:after="120" w:line="480" w:lineRule="auto"/>
      <w:ind w:left="420" w:leftChars="200"/>
    </w:pPr>
    <w:rPr>
      <w:sz w:val="24"/>
    </w:rPr>
  </w:style>
  <w:style w:type="paragraph" w:styleId="16">
    <w:name w:val="Balloon Text"/>
    <w:basedOn w:val="1"/>
    <w:link w:val="88"/>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toc 4"/>
    <w:basedOn w:val="1"/>
    <w:next w:val="1"/>
    <w:qFormat/>
    <w:uiPriority w:val="0"/>
    <w:pPr>
      <w:tabs>
        <w:tab w:val="left" w:pos="1890"/>
        <w:tab w:val="right" w:leader="dot" w:pos="8296"/>
      </w:tabs>
      <w:ind w:left="630" w:leftChars="300"/>
    </w:pPr>
  </w:style>
  <w:style w:type="paragraph" w:styleId="21">
    <w:name w:val="toc 2"/>
    <w:basedOn w:val="1"/>
    <w:next w:val="1"/>
    <w:qFormat/>
    <w:uiPriority w:val="0"/>
    <w:pPr>
      <w:ind w:left="420" w:leftChars="200"/>
    </w:pPr>
  </w:style>
  <w:style w:type="paragraph" w:styleId="22">
    <w:name w:val="Body Text First Indent 2"/>
    <w:basedOn w:val="11"/>
    <w:link w:val="81"/>
    <w:qFormat/>
    <w:uiPriority w:val="0"/>
    <w:pPr>
      <w:widowControl w:val="0"/>
      <w:spacing w:after="0"/>
      <w:ind w:left="0" w:leftChars="0" w:firstLine="960" w:firstLineChars="200"/>
    </w:pPr>
    <w:rPr>
      <w:kern w:val="0"/>
      <w:sz w:val="2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7"/>
    <w:qFormat/>
    <w:uiPriority w:val="0"/>
    <w:rPr>
      <w:rFonts w:cs="Times New Roman"/>
      <w:b/>
      <w:bCs/>
    </w:rPr>
  </w:style>
  <w:style w:type="character" w:customStyle="1" w:styleId="27">
    <w:name w:val="NormalCharacter"/>
    <w:qFormat/>
    <w:uiPriority w:val="0"/>
  </w:style>
  <w:style w:type="character" w:styleId="28">
    <w:name w:val="Hyperlink"/>
    <w:basedOn w:val="27"/>
    <w:qFormat/>
    <w:uiPriority w:val="0"/>
    <w:rPr>
      <w:color w:val="0000FF"/>
      <w:u w:val="single"/>
    </w:rPr>
  </w:style>
  <w:style w:type="character" w:styleId="29">
    <w:name w:val="annotation reference"/>
    <w:basedOn w:val="25"/>
    <w:semiHidden/>
    <w:unhideWhenUsed/>
    <w:qFormat/>
    <w:uiPriority w:val="0"/>
    <w:rPr>
      <w:sz w:val="21"/>
      <w:szCs w:val="21"/>
    </w:rPr>
  </w:style>
  <w:style w:type="character" w:customStyle="1" w:styleId="30">
    <w:name w:val="UserStyle_0"/>
    <w:basedOn w:val="27"/>
    <w:link w:val="31"/>
    <w:qFormat/>
    <w:uiPriority w:val="0"/>
    <w:rPr>
      <w:rFonts w:eastAsia="宋体"/>
      <w:kern w:val="2"/>
      <w:sz w:val="28"/>
      <w:lang w:val="en-US" w:eastAsia="zh-CN" w:bidi="ar-SA"/>
    </w:rPr>
  </w:style>
  <w:style w:type="paragraph" w:customStyle="1" w:styleId="31">
    <w:name w:val="UserStyle_1"/>
    <w:basedOn w:val="1"/>
    <w:link w:val="30"/>
    <w:qFormat/>
    <w:uiPriority w:val="0"/>
    <w:pPr>
      <w:ind w:firstLine="630"/>
    </w:pPr>
    <w:rPr>
      <w:sz w:val="28"/>
      <w:szCs w:val="20"/>
    </w:rPr>
  </w:style>
  <w:style w:type="paragraph" w:customStyle="1" w:styleId="32">
    <w:name w:val="Heading1"/>
    <w:basedOn w:val="1"/>
    <w:next w:val="1"/>
    <w:qFormat/>
    <w:uiPriority w:val="0"/>
    <w:pPr>
      <w:keepNext/>
    </w:pPr>
    <w:rPr>
      <w:b/>
      <w:bCs/>
      <w:sz w:val="32"/>
    </w:rPr>
  </w:style>
  <w:style w:type="paragraph" w:customStyle="1" w:styleId="33">
    <w:name w:val="Heading2"/>
    <w:basedOn w:val="1"/>
    <w:next w:val="1"/>
    <w:link w:val="42"/>
    <w:qFormat/>
    <w:uiPriority w:val="0"/>
    <w:pPr>
      <w:keepNext/>
      <w:keepLines/>
      <w:spacing w:before="260" w:after="260" w:line="415" w:lineRule="auto"/>
    </w:pPr>
    <w:rPr>
      <w:rFonts w:ascii="Arial" w:hAnsi="Arial" w:eastAsia="黑体"/>
      <w:b/>
      <w:bCs/>
      <w:sz w:val="32"/>
      <w:szCs w:val="32"/>
    </w:rPr>
  </w:style>
  <w:style w:type="paragraph" w:customStyle="1" w:styleId="34">
    <w:name w:val="Heading3"/>
    <w:basedOn w:val="1"/>
    <w:next w:val="1"/>
    <w:qFormat/>
    <w:uiPriority w:val="0"/>
    <w:pPr>
      <w:keepNext/>
      <w:keepLines/>
      <w:spacing w:before="260" w:after="260" w:line="415" w:lineRule="auto"/>
    </w:pPr>
    <w:rPr>
      <w:b/>
      <w:bCs/>
      <w:sz w:val="32"/>
      <w:szCs w:val="32"/>
    </w:rPr>
  </w:style>
  <w:style w:type="paragraph" w:customStyle="1" w:styleId="35">
    <w:name w:val="Heading4"/>
    <w:basedOn w:val="1"/>
    <w:next w:val="1"/>
    <w:qFormat/>
    <w:uiPriority w:val="0"/>
    <w:pPr>
      <w:keepNext/>
      <w:keepLines/>
      <w:spacing w:before="280" w:after="290" w:line="376" w:lineRule="auto"/>
    </w:pPr>
    <w:rPr>
      <w:rFonts w:ascii="Arial" w:hAnsi="Arial" w:eastAsia="黑体"/>
      <w:b/>
      <w:bCs/>
      <w:sz w:val="28"/>
      <w:szCs w:val="28"/>
    </w:rPr>
  </w:style>
  <w:style w:type="paragraph" w:customStyle="1" w:styleId="36">
    <w:name w:val="Heading5"/>
    <w:basedOn w:val="1"/>
    <w:next w:val="1"/>
    <w:qFormat/>
    <w:uiPriority w:val="0"/>
    <w:pPr>
      <w:keepNext/>
      <w:keepLines/>
      <w:spacing w:before="280" w:after="290" w:line="376" w:lineRule="auto"/>
    </w:pPr>
    <w:rPr>
      <w:b/>
      <w:bCs/>
      <w:sz w:val="28"/>
      <w:szCs w:val="28"/>
    </w:rPr>
  </w:style>
  <w:style w:type="paragraph" w:customStyle="1" w:styleId="37">
    <w:name w:val="Heading6"/>
    <w:basedOn w:val="1"/>
    <w:next w:val="1"/>
    <w:qFormat/>
    <w:uiPriority w:val="0"/>
    <w:pPr>
      <w:keepNext/>
      <w:keepLines/>
      <w:spacing w:before="240" w:after="64" w:line="320" w:lineRule="auto"/>
    </w:pPr>
    <w:rPr>
      <w:rFonts w:ascii="Arial" w:hAnsi="Arial" w:eastAsia="黑体"/>
      <w:b/>
      <w:bCs/>
      <w:sz w:val="24"/>
    </w:rPr>
  </w:style>
  <w:style w:type="paragraph" w:customStyle="1" w:styleId="38">
    <w:name w:val="Heading7"/>
    <w:basedOn w:val="1"/>
    <w:next w:val="1"/>
    <w:qFormat/>
    <w:uiPriority w:val="0"/>
    <w:pPr>
      <w:keepNext/>
      <w:keepLines/>
      <w:spacing w:before="240" w:after="64" w:line="320" w:lineRule="auto"/>
    </w:pPr>
    <w:rPr>
      <w:b/>
      <w:bCs/>
      <w:sz w:val="24"/>
    </w:rPr>
  </w:style>
  <w:style w:type="paragraph" w:customStyle="1" w:styleId="39">
    <w:name w:val="Heading8"/>
    <w:basedOn w:val="1"/>
    <w:next w:val="1"/>
    <w:qFormat/>
    <w:uiPriority w:val="0"/>
    <w:pPr>
      <w:keepNext/>
      <w:keepLines/>
      <w:spacing w:before="240" w:after="64" w:line="320" w:lineRule="auto"/>
    </w:pPr>
    <w:rPr>
      <w:rFonts w:ascii="Arial" w:hAnsi="Arial" w:eastAsia="黑体"/>
      <w:sz w:val="24"/>
    </w:rPr>
  </w:style>
  <w:style w:type="paragraph" w:customStyle="1" w:styleId="40">
    <w:name w:val="Heading9"/>
    <w:basedOn w:val="1"/>
    <w:next w:val="1"/>
    <w:qFormat/>
    <w:uiPriority w:val="0"/>
    <w:pPr>
      <w:keepNext/>
      <w:keepLines/>
      <w:spacing w:before="240" w:after="64" w:line="320" w:lineRule="auto"/>
    </w:pPr>
    <w:rPr>
      <w:rFonts w:ascii="Arial" w:hAnsi="Arial" w:eastAsia="黑体"/>
      <w:szCs w:val="21"/>
    </w:rPr>
  </w:style>
  <w:style w:type="table" w:customStyle="1" w:styleId="41">
    <w:name w:val="TableNormal"/>
    <w:semiHidden/>
    <w:qFormat/>
    <w:uiPriority w:val="0"/>
    <w:tblPr>
      <w:tblCellMar>
        <w:top w:w="0" w:type="dxa"/>
        <w:left w:w="0" w:type="dxa"/>
        <w:bottom w:w="0" w:type="dxa"/>
        <w:right w:w="0" w:type="dxa"/>
      </w:tblCellMar>
    </w:tblPr>
  </w:style>
  <w:style w:type="character" w:customStyle="1" w:styleId="42">
    <w:name w:val="UserStyle_2"/>
    <w:link w:val="33"/>
    <w:qFormat/>
    <w:uiPriority w:val="0"/>
    <w:rPr>
      <w:rFonts w:ascii="Arial" w:hAnsi="Arial" w:eastAsia="黑体" w:cs="Times New Roman"/>
      <w:b/>
      <w:bCs/>
      <w:kern w:val="2"/>
      <w:sz w:val="32"/>
      <w:szCs w:val="32"/>
      <w:lang w:val="en-US" w:eastAsia="zh-CN" w:bidi="ar-SA"/>
    </w:rPr>
  </w:style>
  <w:style w:type="character" w:customStyle="1" w:styleId="43">
    <w:name w:val="UserStyle_3"/>
    <w:basedOn w:val="27"/>
    <w:qFormat/>
    <w:uiPriority w:val="0"/>
    <w:rPr>
      <w:rFonts w:ascii="Tahoma" w:hAnsi="Tahoma" w:cs="Tahoma"/>
      <w:b/>
      <w:bCs/>
      <w:sz w:val="32"/>
      <w:szCs w:val="32"/>
      <w:lang w:bidi="ar-SA"/>
    </w:rPr>
  </w:style>
  <w:style w:type="character" w:customStyle="1" w:styleId="44">
    <w:name w:val="UserStyle_4"/>
    <w:basedOn w:val="27"/>
    <w:qFormat/>
    <w:uiPriority w:val="0"/>
    <w:rPr>
      <w:rFonts w:eastAsia="宋体"/>
      <w:kern w:val="2"/>
      <w:sz w:val="28"/>
      <w:lang w:val="en-US" w:eastAsia="zh-CN" w:bidi="ar-SA"/>
    </w:rPr>
  </w:style>
  <w:style w:type="character" w:customStyle="1" w:styleId="45">
    <w:name w:val="UserStyle_5"/>
    <w:qFormat/>
    <w:uiPriority w:val="0"/>
    <w:rPr>
      <w:kern w:val="2"/>
      <w:sz w:val="21"/>
      <w:szCs w:val="24"/>
      <w:lang w:val="en-US" w:eastAsia="zh-CN" w:bidi="ar-SA"/>
    </w:rPr>
  </w:style>
  <w:style w:type="character" w:customStyle="1" w:styleId="46">
    <w:name w:val="UserStyle_6"/>
    <w:basedOn w:val="27"/>
    <w:link w:val="47"/>
    <w:qFormat/>
    <w:uiPriority w:val="0"/>
    <w:rPr>
      <w:rFonts w:ascii="宋体" w:eastAsia="宋体"/>
      <w:kern w:val="2"/>
      <w:sz w:val="21"/>
      <w:lang w:val="en-US" w:eastAsia="zh-CN" w:bidi="ar-SA"/>
    </w:rPr>
  </w:style>
  <w:style w:type="paragraph" w:customStyle="1" w:styleId="47">
    <w:name w:val="PlainText"/>
    <w:basedOn w:val="1"/>
    <w:link w:val="46"/>
    <w:qFormat/>
    <w:uiPriority w:val="0"/>
    <w:rPr>
      <w:rFonts w:ascii="宋体"/>
      <w:szCs w:val="20"/>
    </w:rPr>
  </w:style>
  <w:style w:type="character" w:customStyle="1" w:styleId="48">
    <w:name w:val="AnnotationReference"/>
    <w:basedOn w:val="27"/>
    <w:qFormat/>
    <w:uiPriority w:val="0"/>
    <w:rPr>
      <w:sz w:val="21"/>
      <w:szCs w:val="21"/>
    </w:rPr>
  </w:style>
  <w:style w:type="character" w:customStyle="1" w:styleId="49">
    <w:name w:val="PageNumber"/>
    <w:basedOn w:val="27"/>
    <w:qFormat/>
    <w:uiPriority w:val="0"/>
  </w:style>
  <w:style w:type="paragraph" w:customStyle="1" w:styleId="50">
    <w:name w:val="UserStyle_7"/>
    <w:basedOn w:val="1"/>
    <w:qFormat/>
    <w:uiPriority w:val="0"/>
    <w:pPr>
      <w:spacing w:before="100" w:beforeAutospacing="1" w:after="100" w:afterAutospacing="1"/>
      <w:jc w:val="left"/>
    </w:pPr>
    <w:rPr>
      <w:rFonts w:ascii="宋体" w:hAnsi="宋体"/>
      <w:kern w:val="0"/>
      <w:sz w:val="24"/>
    </w:rPr>
  </w:style>
  <w:style w:type="paragraph" w:customStyle="1" w:styleId="51">
    <w:name w:val="TOC3"/>
    <w:basedOn w:val="1"/>
    <w:next w:val="1"/>
    <w:qFormat/>
    <w:uiPriority w:val="0"/>
    <w:pPr>
      <w:ind w:left="400" w:leftChars="400"/>
    </w:pPr>
  </w:style>
  <w:style w:type="paragraph" w:customStyle="1" w:styleId="52">
    <w:name w:val="BodyText"/>
    <w:basedOn w:val="1"/>
    <w:next w:val="1"/>
    <w:qFormat/>
    <w:uiPriority w:val="0"/>
    <w:pPr>
      <w:jc w:val="center"/>
    </w:pPr>
    <w:rPr>
      <w:rFonts w:eastAsia="黑体"/>
      <w:sz w:val="44"/>
    </w:rPr>
  </w:style>
  <w:style w:type="paragraph" w:customStyle="1" w:styleId="53">
    <w:name w:val="UserStyle_8"/>
    <w:basedOn w:val="1"/>
    <w:qFormat/>
    <w:uiPriority w:val="0"/>
    <w:pPr>
      <w:ind w:firstLine="735"/>
    </w:pPr>
    <w:rPr>
      <w:b/>
      <w:sz w:val="30"/>
      <w:szCs w:val="20"/>
    </w:rPr>
  </w:style>
  <w:style w:type="paragraph" w:customStyle="1" w:styleId="54">
    <w:name w:val="UserStyle_9"/>
    <w:basedOn w:val="55"/>
    <w:qFormat/>
    <w:uiPriority w:val="0"/>
    <w:pPr>
      <w:ind w:left="4094" w:right="607" w:firstLine="0"/>
      <w:jc w:val="center"/>
    </w:pPr>
  </w:style>
  <w:style w:type="paragraph" w:customStyle="1" w:styleId="55">
    <w:name w:val="UserStyle_10"/>
    <w:qFormat/>
    <w:uiPriority w:val="0"/>
    <w:pPr>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6">
    <w:name w:val="179"/>
    <w:basedOn w:val="1"/>
    <w:qFormat/>
    <w:uiPriority w:val="0"/>
    <w:pPr>
      <w:ind w:firstLine="420" w:firstLineChars="200"/>
    </w:pPr>
  </w:style>
  <w:style w:type="paragraph" w:customStyle="1" w:styleId="57">
    <w:name w:val="UserStyle_11"/>
    <w:qFormat/>
    <w:uiPriority w:val="0"/>
    <w:rPr>
      <w:rFonts w:ascii="仿宋" w:hAnsi="Times New Roman" w:eastAsia="仿宋" w:cs="Times New Roman"/>
      <w:color w:val="000000"/>
      <w:sz w:val="24"/>
      <w:szCs w:val="24"/>
      <w:lang w:val="en-US" w:eastAsia="zh-CN" w:bidi="ar-SA"/>
    </w:rPr>
  </w:style>
  <w:style w:type="paragraph" w:customStyle="1" w:styleId="58">
    <w:name w:val="AnnotationText"/>
    <w:basedOn w:val="1"/>
    <w:qFormat/>
    <w:uiPriority w:val="0"/>
    <w:pPr>
      <w:jc w:val="left"/>
    </w:pPr>
  </w:style>
  <w:style w:type="paragraph" w:customStyle="1" w:styleId="59">
    <w:name w:val="UserStyle_12"/>
    <w:basedOn w:val="1"/>
    <w:qFormat/>
    <w:uiPriority w:val="0"/>
    <w:pPr>
      <w:spacing w:after="120"/>
    </w:pPr>
  </w:style>
  <w:style w:type="paragraph" w:customStyle="1" w:styleId="60">
    <w:name w:val="UserStyle_13"/>
    <w:basedOn w:val="1"/>
    <w:qFormat/>
    <w:uiPriority w:val="0"/>
    <w:pPr>
      <w:spacing w:after="160" w:line="240" w:lineRule="exact"/>
      <w:jc w:val="left"/>
    </w:pPr>
    <w:rPr>
      <w:szCs w:val="22"/>
    </w:rPr>
  </w:style>
  <w:style w:type="paragraph" w:customStyle="1" w:styleId="61">
    <w:name w:val="UserStyle_14"/>
    <w:basedOn w:val="1"/>
    <w:qFormat/>
    <w:uiPriority w:val="0"/>
    <w:pPr>
      <w:ind w:firstLine="735"/>
    </w:pPr>
    <w:rPr>
      <w:b/>
      <w:sz w:val="32"/>
      <w:szCs w:val="20"/>
    </w:rPr>
  </w:style>
  <w:style w:type="paragraph" w:customStyle="1" w:styleId="62">
    <w:name w:val="UserStyle_15"/>
    <w:basedOn w:val="1"/>
    <w:qFormat/>
    <w:uiPriority w:val="0"/>
    <w:pPr>
      <w:tabs>
        <w:tab w:val="left" w:pos="360"/>
      </w:tabs>
      <w:spacing w:line="360" w:lineRule="auto"/>
      <w:ind w:firstLine="482"/>
    </w:pPr>
    <w:rPr>
      <w:rFonts w:ascii="Tahoma" w:hAnsi="Tahoma" w:eastAsia="黑体"/>
      <w:sz w:val="28"/>
      <w:szCs w:val="21"/>
    </w:rPr>
  </w:style>
  <w:style w:type="paragraph" w:customStyle="1" w:styleId="63">
    <w:name w:val="UserStyle_16"/>
    <w:basedOn w:val="1"/>
    <w:qFormat/>
    <w:uiPriority w:val="0"/>
    <w:pPr>
      <w:ind w:firstLine="735"/>
    </w:pPr>
    <w:rPr>
      <w:b/>
      <w:sz w:val="30"/>
      <w:szCs w:val="20"/>
    </w:rPr>
  </w:style>
  <w:style w:type="paragraph" w:customStyle="1" w:styleId="64">
    <w:name w:val="UserStyle_17"/>
    <w:qFormat/>
    <w:uiPriority w:val="0"/>
    <w:rPr>
      <w:rFonts w:ascii="Times New Roman" w:hAnsi="Times New Roman" w:eastAsia="宋体" w:cs="Times New Roman"/>
      <w:lang w:val="en-US" w:eastAsia="zh-CN" w:bidi="ar-SA"/>
    </w:rPr>
  </w:style>
  <w:style w:type="paragraph" w:customStyle="1" w:styleId="65">
    <w:name w:val="BodyTextIndent2"/>
    <w:basedOn w:val="1"/>
    <w:qFormat/>
    <w:uiPriority w:val="0"/>
    <w:pPr>
      <w:ind w:firstLine="200" w:firstLineChars="200"/>
    </w:pPr>
    <w:rPr>
      <w:sz w:val="28"/>
    </w:rPr>
  </w:style>
  <w:style w:type="paragraph" w:customStyle="1" w:styleId="66">
    <w:name w:val="UserStyle_18"/>
    <w:basedOn w:val="1"/>
    <w:qFormat/>
    <w:uiPriority w:val="0"/>
    <w:pPr>
      <w:spacing w:before="100" w:beforeAutospacing="1" w:after="100" w:afterAutospacing="1"/>
      <w:jc w:val="left"/>
    </w:pPr>
    <w:rPr>
      <w:rFonts w:ascii="宋体" w:hAnsi="宋体"/>
      <w:kern w:val="0"/>
      <w:sz w:val="24"/>
    </w:rPr>
  </w:style>
  <w:style w:type="paragraph" w:customStyle="1" w:styleId="67">
    <w:name w:val="UserStyle_19"/>
    <w:basedOn w:val="1"/>
    <w:qFormat/>
    <w:uiPriority w:val="0"/>
    <w:pPr>
      <w:ind w:firstLine="630"/>
    </w:pPr>
    <w:rPr>
      <w:sz w:val="28"/>
      <w:szCs w:val="20"/>
    </w:rPr>
  </w:style>
  <w:style w:type="paragraph" w:customStyle="1" w:styleId="68">
    <w:name w:val="UserStyle_20"/>
    <w:basedOn w:val="1"/>
    <w:qFormat/>
    <w:uiPriority w:val="0"/>
    <w:pPr>
      <w:jc w:val="center"/>
    </w:pPr>
    <w:rPr>
      <w:b/>
      <w:sz w:val="44"/>
      <w:szCs w:val="20"/>
    </w:rPr>
  </w:style>
  <w:style w:type="paragraph" w:customStyle="1" w:styleId="69">
    <w:name w:val="Acetate"/>
    <w:basedOn w:val="1"/>
    <w:qFormat/>
    <w:uiPriority w:val="0"/>
    <w:rPr>
      <w:sz w:val="18"/>
      <w:szCs w:val="18"/>
    </w:rPr>
  </w:style>
  <w:style w:type="paragraph" w:customStyle="1" w:styleId="70">
    <w:name w:val="BodyTextIndent"/>
    <w:basedOn w:val="1"/>
    <w:qFormat/>
    <w:uiPriority w:val="0"/>
    <w:pPr>
      <w:spacing w:line="560" w:lineRule="exact"/>
      <w:ind w:firstLine="570"/>
    </w:pPr>
    <w:rPr>
      <w:sz w:val="28"/>
    </w:rPr>
  </w:style>
  <w:style w:type="paragraph" w:customStyle="1" w:styleId="71">
    <w:name w:val="TOC1"/>
    <w:basedOn w:val="1"/>
    <w:next w:val="1"/>
    <w:qFormat/>
    <w:uiPriority w:val="0"/>
  </w:style>
  <w:style w:type="paragraph" w:customStyle="1" w:styleId="72">
    <w:name w:val="FootnoteText"/>
    <w:basedOn w:val="1"/>
    <w:qFormat/>
    <w:uiPriority w:val="0"/>
    <w:pPr>
      <w:spacing w:line="312" w:lineRule="atLeast"/>
      <w:jc w:val="left"/>
    </w:pPr>
    <w:rPr>
      <w:kern w:val="0"/>
      <w:sz w:val="18"/>
      <w:szCs w:val="20"/>
    </w:rPr>
  </w:style>
  <w:style w:type="paragraph" w:customStyle="1" w:styleId="73">
    <w:name w:val="TOC2"/>
    <w:basedOn w:val="1"/>
    <w:next w:val="1"/>
    <w:qFormat/>
    <w:uiPriority w:val="0"/>
    <w:pPr>
      <w:ind w:left="200" w:leftChars="200"/>
    </w:pPr>
  </w:style>
  <w:style w:type="paragraph" w:customStyle="1" w:styleId="74">
    <w:name w:val="BodyText1I2"/>
    <w:basedOn w:val="70"/>
    <w:qFormat/>
    <w:uiPriority w:val="0"/>
    <w:pPr>
      <w:ind w:firstLine="960" w:firstLineChars="200"/>
    </w:pPr>
    <w:rPr>
      <w:sz w:val="24"/>
    </w:rPr>
  </w:style>
  <w:style w:type="paragraph" w:customStyle="1" w:styleId="75">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76">
    <w:name w:val="HtmlNormal"/>
    <w:basedOn w:val="1"/>
    <w:qFormat/>
    <w:uiPriority w:val="0"/>
    <w:pPr>
      <w:spacing w:line="360" w:lineRule="auto"/>
      <w:jc w:val="left"/>
    </w:pPr>
    <w:rPr>
      <w:rFonts w:ascii="ˎ̥" w:hAnsi="ˎ̥"/>
      <w:kern w:val="0"/>
      <w:sz w:val="20"/>
      <w:szCs w:val="20"/>
    </w:rPr>
  </w:style>
  <w:style w:type="paragraph" w:customStyle="1" w:styleId="77">
    <w:name w:val="AnnotationSubject"/>
    <w:basedOn w:val="58"/>
    <w:next w:val="58"/>
    <w:qFormat/>
    <w:uiPriority w:val="0"/>
    <w:rPr>
      <w:b/>
      <w:bCs/>
    </w:rPr>
  </w:style>
  <w:style w:type="character" w:customStyle="1" w:styleId="78">
    <w:name w:val="标题 4 字符"/>
    <w:link w:val="6"/>
    <w:qFormat/>
    <w:uiPriority w:val="0"/>
    <w:rPr>
      <w:rFonts w:ascii="Arial" w:hAnsi="Arial" w:eastAsia="黑体"/>
      <w:b/>
      <w:sz w:val="28"/>
    </w:rPr>
  </w:style>
  <w:style w:type="character" w:customStyle="1" w:styleId="79">
    <w:name w:val="纯文本 字符"/>
    <w:link w:val="14"/>
    <w:qFormat/>
    <w:uiPriority w:val="0"/>
    <w:rPr>
      <w:rFonts w:ascii="宋体" w:hAnsi="Courier New"/>
      <w:szCs w:val="20"/>
    </w:rPr>
  </w:style>
  <w:style w:type="character" w:customStyle="1" w:styleId="80">
    <w:name w:val="正文文本缩进 字符"/>
    <w:basedOn w:val="25"/>
    <w:link w:val="11"/>
    <w:qFormat/>
    <w:uiPriority w:val="0"/>
    <w:rPr>
      <w:kern w:val="2"/>
      <w:sz w:val="21"/>
      <w:szCs w:val="24"/>
    </w:rPr>
  </w:style>
  <w:style w:type="character" w:customStyle="1" w:styleId="81">
    <w:name w:val="正文文本首行缩进 2 字符"/>
    <w:basedOn w:val="80"/>
    <w:link w:val="22"/>
    <w:qFormat/>
    <w:uiPriority w:val="0"/>
    <w:rPr>
      <w:kern w:val="2"/>
      <w:sz w:val="24"/>
      <w:szCs w:val="24"/>
    </w:rPr>
  </w:style>
  <w:style w:type="character" w:customStyle="1" w:styleId="82">
    <w:name w:val="标题 1 字符"/>
    <w:link w:val="3"/>
    <w:qFormat/>
    <w:uiPriority w:val="0"/>
    <w:rPr>
      <w:b/>
      <w:bCs/>
      <w:kern w:val="44"/>
      <w:sz w:val="36"/>
      <w:szCs w:val="44"/>
    </w:rPr>
  </w:style>
  <w:style w:type="paragraph" w:customStyle="1" w:styleId="83">
    <w:name w:val="列出段落1"/>
    <w:basedOn w:val="1"/>
    <w:qFormat/>
    <w:uiPriority w:val="0"/>
    <w:pPr>
      <w:ind w:firstLine="420" w:firstLineChars="200"/>
    </w:pPr>
  </w:style>
  <w:style w:type="paragraph" w:customStyle="1" w:styleId="8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85">
    <w:name w:val="Table Paragraph"/>
    <w:basedOn w:val="1"/>
    <w:qFormat/>
    <w:uiPriority w:val="1"/>
    <w:rPr>
      <w:rFonts w:ascii="宋体" w:hAnsi="宋体" w:cs="宋体"/>
      <w:lang w:val="zh-CN" w:bidi="zh-CN"/>
    </w:rPr>
  </w:style>
  <w:style w:type="paragraph" w:customStyle="1" w:styleId="86">
    <w:name w:val="WPSOffice手动目录 1"/>
    <w:qFormat/>
    <w:uiPriority w:val="0"/>
    <w:rPr>
      <w:rFonts w:ascii="Times New Roman" w:hAnsi="Times New Roman" w:eastAsia="宋体" w:cs="Times New Roman"/>
      <w:lang w:val="en-US" w:eastAsia="zh-CN" w:bidi="ar-SA"/>
    </w:rPr>
  </w:style>
  <w:style w:type="paragraph" w:customStyle="1" w:styleId="8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88">
    <w:name w:val="批注框文本 字符"/>
    <w:basedOn w:val="25"/>
    <w:link w:val="16"/>
    <w:qFormat/>
    <w:uiPriority w:val="0"/>
    <w:rPr>
      <w:kern w:val="2"/>
      <w:sz w:val="18"/>
      <w:szCs w:val="18"/>
    </w:rPr>
  </w:style>
  <w:style w:type="character" w:customStyle="1" w:styleId="89">
    <w:name w:val="font01"/>
    <w:qFormat/>
    <w:uiPriority w:val="0"/>
    <w:rPr>
      <w:rFonts w:hint="eastAsia" w:ascii="宋体" w:hAnsi="宋体" w:eastAsia="宋体" w:cs="宋体"/>
      <w:color w:val="000000"/>
      <w:sz w:val="22"/>
      <w:szCs w:val="22"/>
      <w:u w:val="single"/>
    </w:rPr>
  </w:style>
  <w:style w:type="character" w:customStyle="1" w:styleId="90">
    <w:name w:val="font31"/>
    <w:qFormat/>
    <w:uiPriority w:val="0"/>
    <w:rPr>
      <w:rFonts w:hint="eastAsia" w:ascii="宋体" w:hAnsi="宋体" w:eastAsia="宋体" w:cs="宋体"/>
      <w:color w:val="000000"/>
      <w:sz w:val="22"/>
      <w:szCs w:val="22"/>
      <w:u w:val="none"/>
    </w:rPr>
  </w:style>
  <w:style w:type="paragraph" w:customStyle="1" w:styleId="91">
    <w:name w:val="正文缩进 New"/>
    <w:basedOn w:val="1"/>
    <w:qFormat/>
    <w:uiPriority w:val="0"/>
    <w:pPr>
      <w:spacing w:line="360" w:lineRule="auto"/>
      <w:ind w:firstLine="420"/>
      <w:jc w:val="left"/>
    </w:pPr>
    <w:rPr>
      <w:rFonts w:ascii="宋体"/>
      <w:kern w:val="0"/>
      <w:sz w:val="20"/>
      <w:szCs w:val="20"/>
    </w:rPr>
  </w:style>
  <w:style w:type="paragraph" w:customStyle="1" w:styleId="92">
    <w:name w:val="_Style 6"/>
    <w:basedOn w:val="3"/>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52571</Words>
  <Characters>55572</Characters>
  <Lines>456</Lines>
  <Paragraphs>128</Paragraphs>
  <TotalTime>0</TotalTime>
  <ScaleCrop>false</ScaleCrop>
  <LinksUpToDate>false</LinksUpToDate>
  <CharactersWithSpaces>59754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2020-11-23T11:43:00Z</dcterms:created>
  <dc:creator>Administrator.9YC3XPMYSZZKUYG</dc:creator>
  <cp:lastModifiedBy>CICI</cp:lastModifiedBy>
  <cp:lastPrinted>2020-12-08T09:43:00Z</cp:lastPrinted>
  <dcterms:modified xsi:type="dcterms:W3CDTF">2022-03-13T03:39:33Z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5E5F2A71943040A6B1F7D18560FDB8EF</vt:lpwstr>
  </property>
</Properties>
</file>