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sz w:val="24"/>
          <w:szCs w:val="24"/>
        </w:rPr>
      </w:pPr>
      <w:r>
        <w:rPr>
          <w:rFonts w:hint="eastAsia" w:ascii="宋体" w:hAnsi="宋体"/>
          <w:sz w:val="24"/>
          <w:szCs w:val="24"/>
        </w:rPr>
        <w:t>实质性响应一览表</w:t>
      </w:r>
    </w:p>
    <w:tbl>
      <w:tblPr>
        <w:tblStyle w:val="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192"/>
        <w:gridCol w:w="192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r>
              <w:rPr>
                <w:rFonts w:hint="eastAsia" w:ascii="宋体" w:hAnsi="宋体"/>
                <w:sz w:val="24"/>
                <w:szCs w:val="24"/>
              </w:rPr>
              <w:t>序号</w:t>
            </w:r>
          </w:p>
        </w:tc>
        <w:tc>
          <w:tcPr>
            <w:tcW w:w="51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r>
              <w:rPr>
                <w:rFonts w:hint="eastAsia" w:ascii="宋体" w:hAnsi="宋体"/>
                <w:sz w:val="24"/>
                <w:szCs w:val="24"/>
              </w:rPr>
              <w:t>实质性响应条款</w:t>
            </w:r>
          </w:p>
        </w:tc>
        <w:tc>
          <w:tcPr>
            <w:tcW w:w="19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r>
              <w:rPr>
                <w:rFonts w:hint="eastAsia" w:ascii="宋体" w:hAnsi="宋体"/>
                <w:sz w:val="24"/>
                <w:szCs w:val="24"/>
              </w:rPr>
              <w:t>投标人响应情况</w:t>
            </w:r>
          </w:p>
        </w:tc>
        <w:tc>
          <w:tcPr>
            <w:tcW w:w="137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r>
              <w:rPr>
                <w:rFonts w:hint="eastAsia" w:ascii="宋体" w:hAnsi="宋体"/>
                <w:sz w:val="24"/>
                <w:szCs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r>
              <w:rPr>
                <w:rFonts w:hint="eastAsia" w:ascii="宋体" w:hAnsi="宋体"/>
                <w:sz w:val="24"/>
                <w:szCs w:val="24"/>
              </w:rPr>
              <w:t>1</w:t>
            </w:r>
          </w:p>
        </w:tc>
        <w:tc>
          <w:tcPr>
            <w:tcW w:w="5192"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★本次采购产品为非进口产品（进口产品指通过中国海关报关验放进入中国境内且产自关境外的产品）。</w:t>
            </w:r>
          </w:p>
        </w:tc>
        <w:tc>
          <w:tcPr>
            <w:tcW w:w="19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rPr>
                <w:rFonts w:hint="default" w:ascii="宋体" w:hAnsi="宋体"/>
                <w:sz w:val="24"/>
                <w:szCs w:val="24"/>
              </w:rPr>
            </w:pPr>
          </w:p>
        </w:tc>
        <w:tc>
          <w:tcPr>
            <w:tcW w:w="137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5192" w:type="dxa"/>
            <w:tcBorders>
              <w:top w:val="single" w:color="auto" w:sz="4" w:space="0"/>
              <w:left w:val="single" w:color="auto" w:sz="4" w:space="0"/>
              <w:bottom w:val="single" w:color="auto" w:sz="4" w:space="0"/>
              <w:right w:val="single" w:color="auto" w:sz="4" w:space="0"/>
            </w:tcBorders>
          </w:tcPr>
          <w:p>
            <w:pPr>
              <w:ind w:firstLine="420" w:firstLineChars="200"/>
              <w:rPr>
                <w:rFonts w:hint="default" w:ascii="宋体" w:hAnsi="宋体" w:eastAsia="宋体" w:cs="Times New Roman"/>
                <w:color w:val="auto"/>
                <w:szCs w:val="21"/>
              </w:rPr>
            </w:pPr>
            <w:r>
              <w:rPr>
                <w:rFonts w:hint="eastAsia" w:ascii="宋体" w:hAnsi="宋体" w:eastAsia="宋体" w:cs="Times New Roman"/>
                <w:color w:val="auto"/>
                <w:szCs w:val="21"/>
                <w:lang w:val="en-US" w:eastAsia="zh-CN"/>
              </w:rPr>
              <w:t>★凡属于《中华人民共和国实施强制性产品认证的产品目录》的产品，请投标人承诺在交货时提供该产品的“中国强制性产品认证”（CCC认证）证书。</w:t>
            </w:r>
          </w:p>
        </w:tc>
        <w:tc>
          <w:tcPr>
            <w:tcW w:w="19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rPr>
                <w:rFonts w:hint="default" w:ascii="宋体" w:hAnsi="宋体"/>
                <w:sz w:val="24"/>
                <w:szCs w:val="24"/>
              </w:rPr>
            </w:pPr>
          </w:p>
        </w:tc>
        <w:tc>
          <w:tcPr>
            <w:tcW w:w="137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5192" w:type="dxa"/>
            <w:tcBorders>
              <w:top w:val="single" w:color="auto" w:sz="4" w:space="0"/>
              <w:left w:val="single" w:color="auto" w:sz="4" w:space="0"/>
              <w:bottom w:val="single" w:color="auto" w:sz="4" w:space="0"/>
              <w:right w:val="single" w:color="auto" w:sz="4" w:space="0"/>
            </w:tcBorders>
          </w:tcPr>
          <w:p>
            <w:pPr>
              <w:ind w:firstLine="420" w:firstLineChars="200"/>
              <w:rPr>
                <w:rFonts w:hint="default" w:ascii="宋体" w:hAnsi="宋体" w:eastAsia="宋体" w:cs="Times New Roman"/>
                <w:color w:val="auto"/>
                <w:szCs w:val="21"/>
              </w:rPr>
            </w:pPr>
            <w:r>
              <w:rPr>
                <w:rFonts w:hint="eastAsia" w:ascii="宋体" w:hAnsi="宋体" w:eastAsia="宋体" w:cs="Times New Roman"/>
                <w:color w:val="auto"/>
                <w:szCs w:val="21"/>
                <w:lang w:val="en-US" w:eastAsia="zh-CN"/>
              </w:rPr>
              <w:t>★4）本项目为交钥匙项目，投标人需承诺中标后实施过程中如遇到需要辅材配件才能完成方案的，均由中标人自行解决，采购人不增加任何费用。投标人需承诺为采购人提供系统深化设计、设备调试、系统对接、系统优化、联调测试、培训、系统集成等专业化服务，保证系统正常运行，所有费用包含在报价中。</w:t>
            </w:r>
          </w:p>
        </w:tc>
        <w:tc>
          <w:tcPr>
            <w:tcW w:w="19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rPr>
                <w:rFonts w:hint="default" w:ascii="宋体" w:hAnsi="宋体"/>
                <w:sz w:val="24"/>
                <w:szCs w:val="24"/>
              </w:rPr>
            </w:pPr>
          </w:p>
        </w:tc>
        <w:tc>
          <w:tcPr>
            <w:tcW w:w="137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5192"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5）为确保产品质量和项目质量，防止虚假应标，投标人须承诺在中标后签订合同前，备齐其投标文件中提供的相关团队人员资格证书、企业资质证书、项目案例合同等所有投标中声明具有的资质证明文件原件，采购人有权要求中标人提供上述相关原件进行核对，若出现与原件不一致或不提供的将上报相关的政府采购监督管理部门进行处理，依法追究其法律责任。</w:t>
            </w:r>
          </w:p>
        </w:tc>
        <w:tc>
          <w:tcPr>
            <w:tcW w:w="19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rPr>
                <w:rFonts w:hint="default" w:ascii="宋体" w:hAnsi="宋体"/>
                <w:sz w:val="24"/>
                <w:szCs w:val="24"/>
              </w:rPr>
            </w:pPr>
          </w:p>
        </w:tc>
        <w:tc>
          <w:tcPr>
            <w:tcW w:w="137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5192"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上网行为管理与审计系统主机</w:t>
            </w:r>
            <w:r>
              <w:rPr>
                <w:rFonts w:hint="eastAsia" w:ascii="宋体" w:hAnsi="宋体" w:eastAsia="宋体" w:cs="Times New Roman"/>
                <w:color w:val="auto"/>
                <w:szCs w:val="21"/>
                <w:lang w:eastAsia="zh-CN"/>
              </w:rPr>
              <w:t>：</w:t>
            </w:r>
          </w:p>
          <w:p>
            <w:pPr>
              <w:ind w:firstLine="420" w:firstLineChars="200"/>
              <w:rPr>
                <w:rFonts w:hint="eastAsia" w:ascii="宋体" w:hAnsi="宋体" w:eastAsia="宋体" w:cs="仿宋"/>
                <w:sz w:val="24"/>
              </w:rPr>
            </w:pPr>
            <w:r>
              <w:rPr>
                <w:rFonts w:hint="eastAsia" w:ascii="宋体" w:hAnsi="宋体" w:eastAsia="宋体" w:cs="Times New Roman"/>
                <w:color w:val="auto"/>
                <w:szCs w:val="21"/>
              </w:rPr>
              <w:t>★3</w:t>
            </w:r>
            <w:r>
              <w:rPr>
                <w:rFonts w:ascii="宋体" w:hAnsi="宋体" w:eastAsia="宋体" w:cs="Times New Roman"/>
                <w:color w:val="auto"/>
                <w:szCs w:val="21"/>
              </w:rPr>
              <w:t>2</w:t>
            </w:r>
            <w:r>
              <w:rPr>
                <w:rFonts w:hint="eastAsia" w:ascii="宋体" w:hAnsi="宋体" w:eastAsia="宋体" w:cs="Times New Roman"/>
                <w:color w:val="auto"/>
                <w:szCs w:val="21"/>
              </w:rPr>
              <w:t>、需支持与本次项目采购的态势感知系统进行联动，支持接收来自态势感知系统下发的处置策略（包括但不限于阻断指定外部IP对内部的访问、阻断内部对指定域名/外部IP/URL的访问、审计内部对指定域名/外部IP/URL的访问等处置命令），支持对处置策略配置生效时长，支持撤销联动处置命令。（如标准产品无法实现需定制开发，则投标人需提供定制开发并承担相应的开发费用，要求在设备到货后20个自然日内完成对接，投标人需提供承诺函，格式自拟）</w:t>
            </w:r>
          </w:p>
        </w:tc>
        <w:tc>
          <w:tcPr>
            <w:tcW w:w="19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rPr>
                <w:rFonts w:hint="default" w:ascii="宋体" w:hAnsi="宋体"/>
                <w:sz w:val="24"/>
                <w:szCs w:val="24"/>
              </w:rPr>
            </w:pPr>
          </w:p>
        </w:tc>
        <w:tc>
          <w:tcPr>
            <w:tcW w:w="137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6</w:t>
            </w:r>
          </w:p>
        </w:tc>
        <w:tc>
          <w:tcPr>
            <w:tcW w:w="5192"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下一代防火墙</w:t>
            </w:r>
            <w:r>
              <w:rPr>
                <w:rFonts w:hint="eastAsia" w:ascii="宋体" w:hAnsi="宋体" w:eastAsia="宋体" w:cs="Times New Roman"/>
                <w:color w:val="auto"/>
                <w:szCs w:val="21"/>
                <w:lang w:eastAsia="zh-CN"/>
              </w:rPr>
              <w:t>：</w:t>
            </w:r>
          </w:p>
          <w:p>
            <w:pPr>
              <w:ind w:firstLine="420" w:firstLineChars="200"/>
              <w:rPr>
                <w:rFonts w:hint="default"/>
                <w:sz w:val="24"/>
              </w:rPr>
            </w:pPr>
            <w:r>
              <w:rPr>
                <w:rFonts w:hint="eastAsia" w:ascii="宋体" w:hAnsi="宋体" w:eastAsia="宋体" w:cs="Times New Roman"/>
                <w:color w:val="auto"/>
                <w:szCs w:val="21"/>
              </w:rPr>
              <w:t>★3</w:t>
            </w:r>
            <w:r>
              <w:rPr>
                <w:rFonts w:ascii="宋体" w:hAnsi="宋体" w:eastAsia="宋体" w:cs="Times New Roman"/>
                <w:color w:val="auto"/>
                <w:szCs w:val="21"/>
              </w:rPr>
              <w:t>0</w:t>
            </w:r>
            <w:r>
              <w:rPr>
                <w:rFonts w:hint="eastAsia" w:ascii="宋体" w:hAnsi="宋体" w:eastAsia="宋体" w:cs="Times New Roman"/>
                <w:color w:val="auto"/>
                <w:szCs w:val="21"/>
              </w:rPr>
              <w:t>、需支持与本次项目采购的态势感知系统进行联动，支持接收来自态势感知系统下发的处置策略（包括但不限于阻断指定外部IP对内部的访问、阻断内部对指定域名/外部IP/URL的访问、阻断指定内部IP对外部的访问、全网封禁高危端口、阻断外部对指定内部IP端口的访问、审计内部对指定外部域名/外部IP/URL的访问等处置命令），及时拦截绕过防御措施产生的高级威胁。（如标准产品无法实现需定制开发，则投标人需提供定制开发并承担相应的开发费用，要求在设备到货后20个自然日内完成对接，投标人需提供承诺函，格式自拟）。</w:t>
            </w:r>
          </w:p>
        </w:tc>
        <w:tc>
          <w:tcPr>
            <w:tcW w:w="19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rPr>
                <w:rFonts w:hint="default" w:ascii="宋体" w:hAnsi="宋体"/>
                <w:sz w:val="24"/>
                <w:szCs w:val="24"/>
              </w:rPr>
            </w:pPr>
          </w:p>
        </w:tc>
        <w:tc>
          <w:tcPr>
            <w:tcW w:w="137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7</w:t>
            </w:r>
          </w:p>
        </w:tc>
        <w:tc>
          <w:tcPr>
            <w:tcW w:w="5192"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态势感知系统软件基础平台</w:t>
            </w:r>
            <w:r>
              <w:rPr>
                <w:rFonts w:hint="eastAsia" w:ascii="宋体" w:hAnsi="宋体" w:eastAsia="宋体" w:cs="Times New Roman"/>
                <w:color w:val="auto"/>
                <w:szCs w:val="21"/>
                <w:lang w:eastAsia="zh-CN"/>
              </w:rPr>
              <w:t>：</w:t>
            </w:r>
          </w:p>
          <w:p>
            <w:pPr>
              <w:ind w:firstLine="420" w:firstLineChars="200"/>
              <w:rPr>
                <w:rFonts w:hint="default"/>
                <w:sz w:val="24"/>
              </w:rPr>
            </w:pPr>
            <w:r>
              <w:rPr>
                <w:rFonts w:hint="eastAsia" w:ascii="宋体" w:hAnsi="宋体" w:eastAsia="宋体" w:cs="Times New Roman"/>
                <w:color w:val="auto"/>
                <w:szCs w:val="21"/>
              </w:rPr>
              <w:t>★3</w:t>
            </w:r>
            <w:r>
              <w:rPr>
                <w:rFonts w:ascii="宋体" w:hAnsi="宋体" w:eastAsia="宋体" w:cs="Times New Roman"/>
                <w:color w:val="auto"/>
                <w:szCs w:val="21"/>
              </w:rPr>
              <w:t>3</w:t>
            </w:r>
            <w:r>
              <w:rPr>
                <w:rFonts w:hint="eastAsia" w:ascii="宋体" w:hAnsi="宋体" w:eastAsia="宋体" w:cs="Times New Roman"/>
                <w:color w:val="auto"/>
                <w:szCs w:val="21"/>
              </w:rPr>
              <w:t>、需支持与本次项目采购的下一代防火墙进行联动，直接从本平</w:t>
            </w:r>
            <w:bookmarkStart w:id="0" w:name="_GoBack"/>
            <w:bookmarkEnd w:id="0"/>
            <w:r>
              <w:rPr>
                <w:rFonts w:hint="eastAsia" w:ascii="宋体" w:hAnsi="宋体" w:eastAsia="宋体" w:cs="Times New Roman"/>
                <w:color w:val="auto"/>
                <w:szCs w:val="21"/>
              </w:rPr>
              <w:t>台向防火墙下发处置策略（包括但不限于阻断内部对指定域名/外部IP/URL的访问、阻断指定外部IP对内部的访问、阻断指定内部IP对外部的访问、阻断外部对指定内部IP端口的访问、全网封禁高危端口、审计内部对指定域名/外部IP/URL的访问等处置命令），支持对处置策略配置生效时长，支持撤销联动处置命令。（如标准产品无法实现需定制开发，则投标人需提供定制开发并承担相应的开发费用，要求在设备到货后20个自然日内完成对接，投标人需提供承诺函，格式自拟）</w:t>
            </w:r>
          </w:p>
        </w:tc>
        <w:tc>
          <w:tcPr>
            <w:tcW w:w="19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rPr>
                <w:rFonts w:hint="default" w:ascii="宋体" w:hAnsi="宋体"/>
                <w:sz w:val="24"/>
                <w:szCs w:val="24"/>
              </w:rPr>
            </w:pPr>
          </w:p>
        </w:tc>
        <w:tc>
          <w:tcPr>
            <w:tcW w:w="137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center"/>
              <w:rPr>
                <w:rFonts w:hint="default" w:ascii="宋体" w:hAnsi="宋体"/>
                <w:sz w:val="24"/>
                <w:szCs w:val="24"/>
              </w:rPr>
            </w:pPr>
          </w:p>
        </w:tc>
      </w:tr>
    </w:tbl>
    <w:p>
      <w:pPr>
        <w:spacing w:line="240" w:lineRule="auto"/>
        <w:rPr>
          <w:rFonts w:hint="eastAsia" w:ascii="宋体" w:hAnsi="宋体"/>
          <w:sz w:val="24"/>
          <w:szCs w:val="24"/>
        </w:rPr>
      </w:pPr>
    </w:p>
    <w:p>
      <w:pPr>
        <w:spacing w:line="240" w:lineRule="auto"/>
        <w:rPr>
          <w:rFonts w:ascii="宋体" w:hAnsi="宋体"/>
          <w:sz w:val="24"/>
          <w:szCs w:val="24"/>
        </w:rPr>
      </w:pPr>
      <w:r>
        <w:rPr>
          <w:rFonts w:hint="eastAsia" w:ascii="宋体" w:hAnsi="宋体"/>
          <w:sz w:val="24"/>
          <w:szCs w:val="24"/>
        </w:rPr>
        <w:t>说明：</w:t>
      </w:r>
    </w:p>
    <w:p>
      <w:pPr>
        <w:pStyle w:val="6"/>
        <w:shd w:val="clear" w:color="auto" w:fill="FFFFFF"/>
        <w:spacing w:line="240" w:lineRule="auto"/>
        <w:ind w:firstLine="480"/>
      </w:pPr>
      <w:r>
        <w:rPr>
          <w:rFonts w:hint="eastAsia"/>
        </w:rPr>
        <w:t>1.实质性响应条款一览表后续内容请根据第二章采购需求</w:t>
      </w:r>
      <w:r>
        <w:rPr>
          <w:rStyle w:val="9"/>
          <w:rFonts w:hint="eastAsia"/>
          <w:b w:val="0"/>
        </w:rPr>
        <w:t>★</w:t>
      </w:r>
      <w:r>
        <w:rPr>
          <w:rFonts w:hint="eastAsia"/>
        </w:rPr>
        <w:t>号条款详细列举</w:t>
      </w:r>
    </w:p>
    <w:p>
      <w:pPr>
        <w:pStyle w:val="6"/>
        <w:shd w:val="clear" w:color="auto" w:fill="FFFFFF"/>
        <w:spacing w:line="240" w:lineRule="auto"/>
        <w:ind w:firstLine="480"/>
      </w:pPr>
      <w:r>
        <w:rPr>
          <w:rFonts w:hint="eastAsia"/>
        </w:rPr>
        <w:t>2.本表所列条款必须一一予以响应，“投标人响应情况”一栏应</w:t>
      </w:r>
      <w:r>
        <w:rPr>
          <w:rStyle w:val="9"/>
          <w:rFonts w:hint="eastAsia"/>
          <w:b w:val="0"/>
        </w:rPr>
        <w:t>填写具体的响应内容，有差异</w:t>
      </w:r>
      <w:r>
        <w:rPr>
          <w:rFonts w:hint="eastAsia"/>
        </w:rPr>
        <w:t>的要具体说明。</w:t>
      </w:r>
    </w:p>
    <w:p>
      <w:pPr>
        <w:pStyle w:val="6"/>
        <w:shd w:val="clear" w:color="auto" w:fill="FFFFFF"/>
        <w:spacing w:line="240" w:lineRule="auto"/>
        <w:ind w:firstLine="480"/>
      </w:pPr>
      <w:r>
        <w:rPr>
          <w:rFonts w:hint="eastAsia"/>
        </w:rPr>
        <w:t>3.请投标人认真填写本表内容，如填写错误将可能导致投标无效。</w:t>
      </w:r>
    </w:p>
    <w:p>
      <w:pPr>
        <w:spacing w:line="24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ODRmOTNjMGQ0YjRmZmI1NGM4NGRiNWYzYWEyMGQifQ=="/>
  </w:docVars>
  <w:rsids>
    <w:rsidRoot w:val="002F3044"/>
    <w:rsid w:val="00076C5F"/>
    <w:rsid w:val="000C13F0"/>
    <w:rsid w:val="001079D2"/>
    <w:rsid w:val="00194F3E"/>
    <w:rsid w:val="001B369A"/>
    <w:rsid w:val="002048E3"/>
    <w:rsid w:val="0021128E"/>
    <w:rsid w:val="002F3044"/>
    <w:rsid w:val="003105EE"/>
    <w:rsid w:val="00321F0D"/>
    <w:rsid w:val="00387B33"/>
    <w:rsid w:val="004523E4"/>
    <w:rsid w:val="004B30C6"/>
    <w:rsid w:val="00544002"/>
    <w:rsid w:val="00706877"/>
    <w:rsid w:val="008103F4"/>
    <w:rsid w:val="008826E0"/>
    <w:rsid w:val="00906CA6"/>
    <w:rsid w:val="009238D2"/>
    <w:rsid w:val="00926E05"/>
    <w:rsid w:val="00967340"/>
    <w:rsid w:val="00A0648E"/>
    <w:rsid w:val="00A1664F"/>
    <w:rsid w:val="00A30155"/>
    <w:rsid w:val="00A50151"/>
    <w:rsid w:val="00A73AE4"/>
    <w:rsid w:val="00B47072"/>
    <w:rsid w:val="00BB1460"/>
    <w:rsid w:val="00BB7663"/>
    <w:rsid w:val="00C554C7"/>
    <w:rsid w:val="00CD0E81"/>
    <w:rsid w:val="00CF3FAB"/>
    <w:rsid w:val="00DF0BC4"/>
    <w:rsid w:val="00E33BF2"/>
    <w:rsid w:val="00F84676"/>
    <w:rsid w:val="0238075C"/>
    <w:rsid w:val="122E008D"/>
    <w:rsid w:val="129D70F4"/>
    <w:rsid w:val="2D287A6D"/>
    <w:rsid w:val="312930DF"/>
    <w:rsid w:val="3B70082B"/>
    <w:rsid w:val="3F800E1C"/>
    <w:rsid w:val="4A4300BD"/>
    <w:rsid w:val="4D2208BE"/>
    <w:rsid w:val="4E2441D4"/>
    <w:rsid w:val="4E3644F1"/>
    <w:rsid w:val="50B21470"/>
    <w:rsid w:val="55945546"/>
    <w:rsid w:val="58056D15"/>
    <w:rsid w:val="5B221D6D"/>
    <w:rsid w:val="5BC56459"/>
    <w:rsid w:val="60605BAC"/>
    <w:rsid w:val="61D0378D"/>
    <w:rsid w:val="67DF08A2"/>
    <w:rsid w:val="72B01607"/>
    <w:rsid w:val="75C6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0"/>
      <w:sz w:val="21"/>
      <w:szCs w:val="20"/>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4"/>
    <w:autoRedefine/>
    <w:unhideWhenUsed/>
    <w:qFormat/>
    <w:uiPriority w:val="0"/>
    <w:rPr>
      <w:sz w:val="20"/>
    </w:r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line="360" w:lineRule="auto"/>
    </w:pPr>
    <w:rPr>
      <w:rFonts w:ascii="宋体" w:hAnsi="宋体" w:cs="宋体"/>
      <w:sz w:val="24"/>
      <w:szCs w:val="24"/>
    </w:rPr>
  </w:style>
  <w:style w:type="character" w:styleId="9">
    <w:name w:val="Strong"/>
    <w:basedOn w:val="8"/>
    <w:autoRedefine/>
    <w:qFormat/>
    <w:uiPriority w:val="22"/>
    <w:rPr>
      <w:b/>
      <w:bCs/>
    </w:rPr>
  </w:style>
  <w:style w:type="character" w:styleId="10">
    <w:name w:val="annotation reference"/>
    <w:autoRedefine/>
    <w:qFormat/>
    <w:uiPriority w:val="99"/>
    <w:rPr>
      <w:rFonts w:ascii="Tahoma" w:hAnsi="Tahoma"/>
      <w:kern w:val="2"/>
      <w:sz w:val="21"/>
      <w:szCs w:val="21"/>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批注框文本 字符"/>
    <w:basedOn w:val="8"/>
    <w:link w:val="3"/>
    <w:autoRedefine/>
    <w:semiHidden/>
    <w:qFormat/>
    <w:uiPriority w:val="99"/>
    <w:rPr>
      <w:sz w:val="18"/>
      <w:szCs w:val="18"/>
    </w:rPr>
  </w:style>
  <w:style w:type="character" w:customStyle="1" w:styleId="14">
    <w:name w:val="批注文字 字符"/>
    <w:basedOn w:val="8"/>
    <w:link w:val="2"/>
    <w:autoRedefine/>
    <w:qFormat/>
    <w:uiPriority w:val="0"/>
    <w:rPr>
      <w:rFonts w:ascii="Times New Roman" w:hAnsi="Times New Roman" w:eastAsia="宋体" w:cs="Times New Roman"/>
      <w:kern w:val="0"/>
      <w:sz w:val="20"/>
      <w:szCs w:val="20"/>
    </w:rPr>
  </w:style>
  <w:style w:type="paragraph" w:customStyle="1" w:styleId="15">
    <w:name w:val="null3"/>
    <w:autoRedefine/>
    <w:hidden/>
    <w:qFormat/>
    <w:uiPriority w:val="0"/>
    <w:rPr>
      <w:rFonts w:hint="eastAsia" w:asciiTheme="minorHAnsi" w:hAnsiTheme="minorHAnsi" w:eastAsiaTheme="minorEastAsia" w:cstheme="minorBidi"/>
      <w:lang w:val="en-US" w:eastAsia="zh-Hans" w:bidi="ar-SA"/>
    </w:rPr>
  </w:style>
  <w:style w:type="paragraph" w:styleId="16">
    <w:name w:val="List Paragraph"/>
    <w:basedOn w:val="1"/>
    <w:autoRedefine/>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289</Words>
  <Characters>292</Characters>
  <Lines>2</Lines>
  <Paragraphs>1</Paragraphs>
  <TotalTime>0</TotalTime>
  <ScaleCrop>false</ScaleCrop>
  <LinksUpToDate>false</LinksUpToDate>
  <CharactersWithSpaces>295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吴宇歌</cp:lastModifiedBy>
  <dcterms:modified xsi:type="dcterms:W3CDTF">2024-06-13T05:14:24Z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C74A800FC1A54B2D927DDFCB1DAA7DB0_13</vt:lpwstr>
  </property>
</Properties>
</file>