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36"/>
          <w:highlight w:val="none"/>
          <w:u w:val="single"/>
        </w:rPr>
      </w:pPr>
    </w:p>
    <w:p>
      <w:pPr>
        <w:spacing w:after="240" w:line="360" w:lineRule="auto"/>
        <w:jc w:val="center"/>
        <w:rPr>
          <w:rFonts w:ascii="宋体" w:hAnsi="宋体"/>
          <w:b/>
          <w:color w:val="auto"/>
          <w:sz w:val="44"/>
          <w:szCs w:val="44"/>
          <w:highlight w:val="none"/>
        </w:rPr>
      </w:pPr>
      <w:r>
        <w:rPr>
          <w:rFonts w:hint="eastAsia" w:ascii="宋体" w:hAnsi="宋体"/>
          <w:b/>
          <w:color w:val="auto"/>
          <w:sz w:val="44"/>
          <w:szCs w:val="44"/>
          <w:highlight w:val="none"/>
        </w:rPr>
        <w:t>廉江市生活垃圾焚烧发电二期项目监理</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highlight w:val="none"/>
        </w:rPr>
      </w:pPr>
    </w:p>
    <w:p>
      <w:pPr>
        <w:rPr>
          <w:rFonts w:ascii="宋体" w:hAnsi="宋体"/>
          <w:color w:val="auto"/>
          <w:sz w:val="28"/>
          <w:highlight w:val="none"/>
        </w:rPr>
      </w:pPr>
    </w:p>
    <w:p>
      <w:pPr>
        <w:jc w:val="center"/>
        <w:rPr>
          <w:rFonts w:ascii="宋体" w:hAnsi="宋体"/>
          <w:b/>
          <w:color w:val="auto"/>
          <w:sz w:val="96"/>
          <w:szCs w:val="56"/>
          <w:highlight w:val="none"/>
        </w:rPr>
      </w:pPr>
      <w:r>
        <w:rPr>
          <w:rFonts w:hint="eastAsia" w:ascii="宋体" w:hAnsi="宋体"/>
          <w:b/>
          <w:color w:val="auto"/>
          <w:sz w:val="96"/>
          <w:szCs w:val="56"/>
          <w:highlight w:val="none"/>
        </w:rPr>
        <w:t>招标文件</w:t>
      </w:r>
    </w:p>
    <w:p>
      <w:pPr>
        <w:rPr>
          <w:rFonts w:ascii="宋体" w:hAnsi="宋体"/>
          <w:color w:val="auto"/>
          <w:sz w:val="28"/>
          <w:szCs w:val="28"/>
          <w:highlight w:val="none"/>
        </w:rPr>
      </w:pPr>
      <w:bookmarkStart w:id="0" w:name="_Toc152042287"/>
      <w:bookmarkStart w:id="1" w:name="_Toc144974479"/>
      <w:bookmarkStart w:id="2" w:name="_Toc152045511"/>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highlight w:val="none"/>
        </w:rPr>
      </w:pPr>
    </w:p>
    <w:p>
      <w:pPr>
        <w:rPr>
          <w:rFonts w:ascii="宋体" w:hAnsi="宋体"/>
          <w:color w:val="auto"/>
          <w:sz w:val="28"/>
          <w:szCs w:val="28"/>
          <w:highlight w:val="none"/>
        </w:rPr>
      </w:pPr>
    </w:p>
    <w:p>
      <w:pPr>
        <w:rPr>
          <w:rFonts w:ascii="宋体" w:hAnsi="宋体"/>
          <w:color w:val="auto"/>
          <w:sz w:val="28"/>
          <w:highlight w:val="none"/>
        </w:rPr>
      </w:pPr>
    </w:p>
    <w:p>
      <w:pPr>
        <w:jc w:val="center"/>
        <w:rPr>
          <w:rFonts w:ascii="宋体" w:hAnsi="宋体"/>
          <w:b/>
          <w:color w:val="auto"/>
          <w:sz w:val="28"/>
          <w:szCs w:val="24"/>
          <w:highlight w:val="none"/>
        </w:rPr>
      </w:pPr>
      <w:r>
        <w:rPr>
          <w:rFonts w:hint="eastAsia" w:ascii="宋体" w:hAnsi="宋体"/>
          <w:b/>
          <w:color w:val="auto"/>
          <w:sz w:val="28"/>
          <w:szCs w:val="24"/>
          <w:highlight w:val="none"/>
        </w:rPr>
        <w:t>招 标 人：廉江市绿色东方新能源有限公司</w:t>
      </w:r>
    </w:p>
    <w:p>
      <w:pPr>
        <w:jc w:val="center"/>
        <w:rPr>
          <w:rFonts w:ascii="宋体" w:hAnsi="宋体"/>
          <w:b/>
          <w:color w:val="auto"/>
          <w:sz w:val="28"/>
          <w:szCs w:val="24"/>
          <w:highlight w:val="none"/>
        </w:rPr>
      </w:pPr>
      <w:r>
        <w:rPr>
          <w:rFonts w:hint="eastAsia" w:ascii="宋体" w:hAnsi="宋体"/>
          <w:b/>
          <w:color w:val="auto"/>
          <w:sz w:val="28"/>
          <w:szCs w:val="24"/>
          <w:highlight w:val="none"/>
        </w:rPr>
        <w:t>招标代理单位：广东粤能工程管理有限公司</w:t>
      </w:r>
    </w:p>
    <w:p>
      <w:pPr>
        <w:jc w:val="center"/>
        <w:rPr>
          <w:rFonts w:ascii="宋体" w:hAnsi="宋体"/>
          <w:b/>
          <w:color w:val="auto"/>
          <w:sz w:val="28"/>
          <w:szCs w:val="28"/>
          <w:highlight w:val="none"/>
        </w:rPr>
      </w:pPr>
      <w:r>
        <w:rPr>
          <w:rFonts w:hint="eastAsia" w:ascii="宋体" w:hAnsi="宋体"/>
          <w:b/>
          <w:color w:val="auto"/>
          <w:sz w:val="28"/>
          <w:szCs w:val="28"/>
          <w:highlight w:val="none"/>
        </w:rPr>
        <w:t>2022年03月</w:t>
      </w:r>
    </w:p>
    <w:p>
      <w:pPr>
        <w:widowControl/>
        <w:spacing w:line="276" w:lineRule="auto"/>
        <w:jc w:val="left"/>
        <w:rPr>
          <w:rFonts w:ascii="宋体" w:hAnsi="宋体" w:cs="Calibri"/>
          <w:b/>
          <w:color w:val="auto"/>
          <w:kern w:val="0"/>
          <w:sz w:val="28"/>
          <w:szCs w:val="20"/>
          <w:highlight w:val="none"/>
          <w:lang w:val="zh-CN"/>
        </w:rPr>
        <w:sectPr>
          <w:pgSz w:w="11906" w:h="16838"/>
          <w:pgMar w:top="1247" w:right="1418" w:bottom="1247" w:left="1418" w:header="851" w:footer="992" w:gutter="0"/>
          <w:cols w:space="720" w:num="1"/>
          <w:docGrid w:type="lines" w:linePitch="312" w:charSpace="0"/>
        </w:sectPr>
      </w:pPr>
    </w:p>
    <w:p>
      <w:pPr>
        <w:pStyle w:val="37"/>
        <w:keepNext w:val="0"/>
        <w:keepLines w:val="0"/>
        <w:widowControl w:val="0"/>
        <w:jc w:val="center"/>
        <w:rPr>
          <w:rFonts w:ascii="宋体" w:hAnsi="宋体"/>
          <w:color w:val="auto"/>
          <w:highlight w:val="none"/>
          <w:lang w:val="zh-CN"/>
        </w:rPr>
      </w:pPr>
      <w:r>
        <w:rPr>
          <w:rFonts w:hint="eastAsia" w:ascii="宋体" w:hAnsi="宋体"/>
          <w:color w:val="auto"/>
          <w:highlight w:val="none"/>
          <w:lang w:val="zh-CN"/>
        </w:rPr>
        <w:t>目录</w:t>
      </w:r>
    </w:p>
    <w:p>
      <w:pPr>
        <w:jc w:val="center"/>
        <w:rPr>
          <w:color w:val="auto"/>
          <w:highlight w:val="none"/>
          <w:lang w:val="zh-CN"/>
        </w:rPr>
      </w:pP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TOC \o "1-1" \h \z \u </w:instrText>
      </w:r>
      <w:r>
        <w:rPr>
          <w:color w:val="auto"/>
          <w:szCs w:val="21"/>
          <w:highlight w:val="none"/>
        </w:rPr>
        <w:fldChar w:fldCharType="separate"/>
      </w:r>
      <w:r>
        <w:rPr>
          <w:color w:val="auto"/>
          <w:szCs w:val="21"/>
          <w:highlight w:val="none"/>
        </w:rPr>
        <w:fldChar w:fldCharType="begin"/>
      </w:r>
      <w:r>
        <w:rPr>
          <w:color w:val="auto"/>
          <w:szCs w:val="21"/>
          <w:highlight w:val="none"/>
        </w:rPr>
        <w:instrText xml:space="preserve"> HYPERLINK \l _Toc7252 </w:instrText>
      </w:r>
      <w:r>
        <w:rPr>
          <w:color w:val="auto"/>
          <w:szCs w:val="21"/>
          <w:highlight w:val="none"/>
        </w:rPr>
        <w:fldChar w:fldCharType="separate"/>
      </w:r>
      <w:r>
        <w:rPr>
          <w:rFonts w:hint="eastAsia" w:ascii="宋体" w:hAnsi="宋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_Toc7252 \h </w:instrText>
      </w:r>
      <w:r>
        <w:rPr>
          <w:color w:val="auto"/>
          <w:highlight w:val="none"/>
        </w:rPr>
        <w:fldChar w:fldCharType="separate"/>
      </w:r>
      <w:r>
        <w:rPr>
          <w:color w:val="auto"/>
          <w:highlight w:val="none"/>
        </w:rPr>
        <w:t>2</w:t>
      </w:r>
      <w:r>
        <w:rPr>
          <w:color w:val="auto"/>
          <w:highlight w:val="none"/>
        </w:rPr>
        <w:fldChar w:fldCharType="end"/>
      </w:r>
      <w:r>
        <w:rPr>
          <w:color w:val="auto"/>
          <w:szCs w:val="21"/>
          <w:highlight w:val="none"/>
        </w:rPr>
        <w:fldChar w:fldCharType="end"/>
      </w: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HYPERLINK \l _Toc9488 </w:instrText>
      </w:r>
      <w:r>
        <w:rPr>
          <w:color w:val="auto"/>
          <w:szCs w:val="21"/>
          <w:highlight w:val="none"/>
        </w:rPr>
        <w:fldChar w:fldCharType="separate"/>
      </w:r>
      <w:r>
        <w:rPr>
          <w:rFonts w:hint="eastAsia" w:ascii="宋体" w:hAnsi="宋体"/>
          <w:color w:val="auto"/>
          <w:szCs w:val="1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_Toc9488 \h </w:instrText>
      </w:r>
      <w:r>
        <w:rPr>
          <w:color w:val="auto"/>
          <w:highlight w:val="none"/>
        </w:rPr>
        <w:fldChar w:fldCharType="separate"/>
      </w:r>
      <w:r>
        <w:rPr>
          <w:color w:val="auto"/>
          <w:highlight w:val="none"/>
        </w:rPr>
        <w:t>2</w:t>
      </w:r>
      <w:r>
        <w:rPr>
          <w:color w:val="auto"/>
          <w:highlight w:val="none"/>
        </w:rPr>
        <w:fldChar w:fldCharType="end"/>
      </w:r>
      <w:r>
        <w:rPr>
          <w:color w:val="auto"/>
          <w:szCs w:val="21"/>
          <w:highlight w:val="none"/>
        </w:rPr>
        <w:fldChar w:fldCharType="end"/>
      </w: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HYPERLINK \l _Toc18321 </w:instrText>
      </w:r>
      <w:r>
        <w:rPr>
          <w:color w:val="auto"/>
          <w:szCs w:val="21"/>
          <w:highlight w:val="none"/>
        </w:rPr>
        <w:fldChar w:fldCharType="separate"/>
      </w:r>
      <w:r>
        <w:rPr>
          <w:rFonts w:hint="eastAsia" w:ascii="宋体" w:hAnsi="宋体"/>
          <w:color w:val="auto"/>
          <w:szCs w:val="1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_Toc18321 \h </w:instrText>
      </w:r>
      <w:r>
        <w:rPr>
          <w:color w:val="auto"/>
          <w:highlight w:val="none"/>
        </w:rPr>
        <w:fldChar w:fldCharType="separate"/>
      </w:r>
      <w:r>
        <w:rPr>
          <w:color w:val="auto"/>
          <w:highlight w:val="none"/>
        </w:rPr>
        <w:t>6</w:t>
      </w:r>
      <w:r>
        <w:rPr>
          <w:color w:val="auto"/>
          <w:highlight w:val="none"/>
        </w:rPr>
        <w:fldChar w:fldCharType="end"/>
      </w:r>
      <w:r>
        <w:rPr>
          <w:color w:val="auto"/>
          <w:szCs w:val="21"/>
          <w:highlight w:val="none"/>
        </w:rPr>
        <w:fldChar w:fldCharType="end"/>
      </w: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HYPERLINK \l _Toc31903 </w:instrText>
      </w:r>
      <w:r>
        <w:rPr>
          <w:color w:val="auto"/>
          <w:szCs w:val="21"/>
          <w:highlight w:val="none"/>
        </w:rPr>
        <w:fldChar w:fldCharType="separate"/>
      </w:r>
      <w:r>
        <w:rPr>
          <w:rFonts w:hint="eastAsia" w:ascii="宋体" w:hAnsi="宋体"/>
          <w:color w:val="auto"/>
          <w:szCs w:val="15"/>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_Toc31903 \h </w:instrText>
      </w:r>
      <w:r>
        <w:rPr>
          <w:color w:val="auto"/>
          <w:highlight w:val="none"/>
        </w:rPr>
        <w:fldChar w:fldCharType="separate"/>
      </w:r>
      <w:r>
        <w:rPr>
          <w:color w:val="auto"/>
          <w:highlight w:val="none"/>
        </w:rPr>
        <w:t>6</w:t>
      </w:r>
      <w:r>
        <w:rPr>
          <w:color w:val="auto"/>
          <w:highlight w:val="none"/>
        </w:rPr>
        <w:fldChar w:fldCharType="end"/>
      </w:r>
      <w:r>
        <w:rPr>
          <w:color w:val="auto"/>
          <w:szCs w:val="21"/>
          <w:highlight w:val="none"/>
        </w:rPr>
        <w:fldChar w:fldCharType="end"/>
      </w: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HYPERLINK \l _Toc20402 </w:instrText>
      </w:r>
      <w:r>
        <w:rPr>
          <w:color w:val="auto"/>
          <w:szCs w:val="21"/>
          <w:highlight w:val="none"/>
        </w:rPr>
        <w:fldChar w:fldCharType="separate"/>
      </w:r>
      <w:r>
        <w:rPr>
          <w:rFonts w:hint="eastAsia" w:ascii="宋体" w:hAnsi="宋体"/>
          <w:color w:val="auto"/>
          <w:szCs w:val="16"/>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_Toc20402 \h </w:instrText>
      </w:r>
      <w:r>
        <w:rPr>
          <w:color w:val="auto"/>
          <w:highlight w:val="none"/>
        </w:rPr>
        <w:fldChar w:fldCharType="separate"/>
      </w:r>
      <w:r>
        <w:rPr>
          <w:color w:val="auto"/>
          <w:highlight w:val="none"/>
        </w:rPr>
        <w:t>25</w:t>
      </w:r>
      <w:r>
        <w:rPr>
          <w:color w:val="auto"/>
          <w:highlight w:val="none"/>
        </w:rPr>
        <w:fldChar w:fldCharType="end"/>
      </w:r>
      <w:r>
        <w:rPr>
          <w:color w:val="auto"/>
          <w:szCs w:val="21"/>
          <w:highlight w:val="none"/>
        </w:rPr>
        <w:fldChar w:fldCharType="end"/>
      </w: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HYPERLINK \l _Toc26613 </w:instrText>
      </w:r>
      <w:r>
        <w:rPr>
          <w:color w:val="auto"/>
          <w:szCs w:val="21"/>
          <w:highlight w:val="none"/>
        </w:rPr>
        <w:fldChar w:fldCharType="separate"/>
      </w:r>
      <w:r>
        <w:rPr>
          <w:rFonts w:hint="eastAsia" w:ascii="宋体" w:hAnsi="宋体"/>
          <w:color w:val="auto"/>
          <w:szCs w:val="15"/>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_Toc26613 \h </w:instrText>
      </w:r>
      <w:r>
        <w:rPr>
          <w:color w:val="auto"/>
          <w:highlight w:val="none"/>
        </w:rPr>
        <w:fldChar w:fldCharType="separate"/>
      </w:r>
      <w:r>
        <w:rPr>
          <w:color w:val="auto"/>
          <w:highlight w:val="none"/>
        </w:rPr>
        <w:t>25</w:t>
      </w:r>
      <w:r>
        <w:rPr>
          <w:color w:val="auto"/>
          <w:highlight w:val="none"/>
        </w:rPr>
        <w:fldChar w:fldCharType="end"/>
      </w:r>
      <w:r>
        <w:rPr>
          <w:color w:val="auto"/>
          <w:szCs w:val="21"/>
          <w:highlight w:val="none"/>
        </w:rPr>
        <w:fldChar w:fldCharType="end"/>
      </w: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HYPERLINK \l _Toc29225 </w:instrText>
      </w:r>
      <w:r>
        <w:rPr>
          <w:color w:val="auto"/>
          <w:szCs w:val="21"/>
          <w:highlight w:val="none"/>
        </w:rPr>
        <w:fldChar w:fldCharType="separate"/>
      </w:r>
      <w:r>
        <w:rPr>
          <w:rFonts w:hint="eastAsia" w:ascii="宋体" w:hAnsi="宋体"/>
          <w:color w:val="auto"/>
          <w:szCs w:val="16"/>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_Toc29225 \h </w:instrText>
      </w:r>
      <w:r>
        <w:rPr>
          <w:color w:val="auto"/>
          <w:highlight w:val="none"/>
        </w:rPr>
        <w:fldChar w:fldCharType="separate"/>
      </w:r>
      <w:r>
        <w:rPr>
          <w:color w:val="auto"/>
          <w:highlight w:val="none"/>
        </w:rPr>
        <w:t>32</w:t>
      </w:r>
      <w:r>
        <w:rPr>
          <w:color w:val="auto"/>
          <w:highlight w:val="none"/>
        </w:rPr>
        <w:fldChar w:fldCharType="end"/>
      </w:r>
      <w:r>
        <w:rPr>
          <w:color w:val="auto"/>
          <w:szCs w:val="21"/>
          <w:highlight w:val="none"/>
        </w:rPr>
        <w:fldChar w:fldCharType="end"/>
      </w: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HYPERLINK \l _Toc1089 </w:instrText>
      </w:r>
      <w:r>
        <w:rPr>
          <w:color w:val="auto"/>
          <w:szCs w:val="21"/>
          <w:highlight w:val="none"/>
        </w:rPr>
        <w:fldChar w:fldCharType="separate"/>
      </w:r>
      <w:r>
        <w:rPr>
          <w:rFonts w:hint="eastAsia" w:ascii="宋体" w:hAnsi="宋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_Toc1089 \h </w:instrText>
      </w:r>
      <w:r>
        <w:rPr>
          <w:color w:val="auto"/>
          <w:highlight w:val="none"/>
        </w:rPr>
        <w:fldChar w:fldCharType="separate"/>
      </w:r>
      <w:r>
        <w:rPr>
          <w:color w:val="auto"/>
          <w:highlight w:val="none"/>
        </w:rPr>
        <w:t>33</w:t>
      </w:r>
      <w:r>
        <w:rPr>
          <w:color w:val="auto"/>
          <w:highlight w:val="none"/>
        </w:rPr>
        <w:fldChar w:fldCharType="end"/>
      </w:r>
      <w:r>
        <w:rPr>
          <w:color w:val="auto"/>
          <w:szCs w:val="21"/>
          <w:highlight w:val="none"/>
        </w:rPr>
        <w:fldChar w:fldCharType="end"/>
      </w: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HYPERLINK \l _Toc32463 </w:instrText>
      </w:r>
      <w:r>
        <w:rPr>
          <w:color w:val="auto"/>
          <w:szCs w:val="21"/>
          <w:highlight w:val="none"/>
        </w:rPr>
        <w:fldChar w:fldCharType="separate"/>
      </w:r>
      <w:r>
        <w:rPr>
          <w:rFonts w:hint="eastAsia" w:ascii="宋体" w:hAnsi="宋体"/>
          <w:color w:val="auto"/>
          <w:szCs w:val="16"/>
          <w:highlight w:val="none"/>
        </w:rPr>
        <w:t>第五章 委托人要求</w:t>
      </w:r>
      <w:r>
        <w:rPr>
          <w:color w:val="auto"/>
          <w:highlight w:val="none"/>
        </w:rPr>
        <w:tab/>
      </w:r>
      <w:r>
        <w:rPr>
          <w:color w:val="auto"/>
          <w:highlight w:val="none"/>
        </w:rPr>
        <w:fldChar w:fldCharType="begin"/>
      </w:r>
      <w:r>
        <w:rPr>
          <w:color w:val="auto"/>
          <w:highlight w:val="none"/>
        </w:rPr>
        <w:instrText xml:space="preserve"> PAGEREF _Toc32463 \h </w:instrText>
      </w:r>
      <w:r>
        <w:rPr>
          <w:color w:val="auto"/>
          <w:highlight w:val="none"/>
        </w:rPr>
        <w:fldChar w:fldCharType="separate"/>
      </w:r>
      <w:r>
        <w:rPr>
          <w:color w:val="auto"/>
          <w:highlight w:val="none"/>
        </w:rPr>
        <w:t>33</w:t>
      </w:r>
      <w:r>
        <w:rPr>
          <w:color w:val="auto"/>
          <w:highlight w:val="none"/>
        </w:rPr>
        <w:fldChar w:fldCharType="end"/>
      </w:r>
      <w:r>
        <w:rPr>
          <w:color w:val="auto"/>
          <w:szCs w:val="21"/>
          <w:highlight w:val="none"/>
        </w:rPr>
        <w:fldChar w:fldCharType="end"/>
      </w: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HYPERLINK \l _Toc29655 </w:instrText>
      </w:r>
      <w:r>
        <w:rPr>
          <w:color w:val="auto"/>
          <w:szCs w:val="21"/>
          <w:highlight w:val="none"/>
        </w:rPr>
        <w:fldChar w:fldCharType="separate"/>
      </w:r>
      <w:r>
        <w:rPr>
          <w:rFonts w:hint="eastAsia" w:ascii="宋体" w:hAnsi="宋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_Toc29655 \h </w:instrText>
      </w:r>
      <w:r>
        <w:rPr>
          <w:color w:val="auto"/>
          <w:highlight w:val="none"/>
        </w:rPr>
        <w:fldChar w:fldCharType="separate"/>
      </w:r>
      <w:r>
        <w:rPr>
          <w:color w:val="auto"/>
          <w:highlight w:val="none"/>
        </w:rPr>
        <w:t>37</w:t>
      </w:r>
      <w:r>
        <w:rPr>
          <w:color w:val="auto"/>
          <w:highlight w:val="none"/>
        </w:rPr>
        <w:fldChar w:fldCharType="end"/>
      </w:r>
      <w:r>
        <w:rPr>
          <w:color w:val="auto"/>
          <w:szCs w:val="21"/>
          <w:highlight w:val="none"/>
        </w:rPr>
        <w:fldChar w:fldCharType="end"/>
      </w:r>
    </w:p>
    <w:p>
      <w:pPr>
        <w:pStyle w:val="13"/>
        <w:tabs>
          <w:tab w:val="right" w:leader="dot" w:pos="9070"/>
        </w:tabs>
        <w:rPr>
          <w:color w:val="auto"/>
          <w:highlight w:val="none"/>
        </w:rPr>
      </w:pPr>
      <w:r>
        <w:rPr>
          <w:color w:val="auto"/>
          <w:szCs w:val="21"/>
          <w:highlight w:val="none"/>
        </w:rPr>
        <w:fldChar w:fldCharType="begin"/>
      </w:r>
      <w:r>
        <w:rPr>
          <w:color w:val="auto"/>
          <w:szCs w:val="21"/>
          <w:highlight w:val="none"/>
        </w:rPr>
        <w:instrText xml:space="preserve"> HYPERLINK \l _Toc16659 </w:instrText>
      </w:r>
      <w:r>
        <w:rPr>
          <w:color w:val="auto"/>
          <w:szCs w:val="21"/>
          <w:highlight w:val="none"/>
        </w:rPr>
        <w:fldChar w:fldCharType="separate"/>
      </w:r>
      <w:r>
        <w:rPr>
          <w:rFonts w:hint="eastAsia" w:ascii="宋体" w:hAnsi="宋体"/>
          <w:color w:val="auto"/>
          <w:szCs w:val="16"/>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_Toc16659 \h </w:instrText>
      </w:r>
      <w:r>
        <w:rPr>
          <w:color w:val="auto"/>
          <w:highlight w:val="none"/>
        </w:rPr>
        <w:fldChar w:fldCharType="separate"/>
      </w:r>
      <w:r>
        <w:rPr>
          <w:color w:val="auto"/>
          <w:highlight w:val="none"/>
        </w:rPr>
        <w:t>37</w:t>
      </w:r>
      <w:r>
        <w:rPr>
          <w:color w:val="auto"/>
          <w:highlight w:val="none"/>
        </w:rPr>
        <w:fldChar w:fldCharType="end"/>
      </w:r>
      <w:r>
        <w:rPr>
          <w:color w:val="auto"/>
          <w:szCs w:val="21"/>
          <w:highlight w:val="none"/>
        </w:rPr>
        <w:fldChar w:fldCharType="end"/>
      </w:r>
    </w:p>
    <w:p>
      <w:pPr>
        <w:spacing w:line="360" w:lineRule="auto"/>
        <w:rPr>
          <w:rFonts w:ascii="宋体" w:hAnsi="宋体"/>
          <w:color w:val="auto"/>
          <w:highlight w:val="none"/>
        </w:rPr>
      </w:pPr>
      <w:r>
        <w:rPr>
          <w:color w:val="auto"/>
          <w:szCs w:val="21"/>
          <w:highlight w:val="none"/>
        </w:rPr>
        <w:fldChar w:fldCharType="end"/>
      </w:r>
    </w:p>
    <w:p>
      <w:pPr>
        <w:widowControl/>
        <w:spacing w:line="480" w:lineRule="auto"/>
        <w:jc w:val="left"/>
        <w:rPr>
          <w:rFonts w:ascii="宋体" w:hAnsi="宋体"/>
          <w:color w:val="auto"/>
          <w:highlight w:val="none"/>
        </w:rPr>
        <w:sectPr>
          <w:footerReference r:id="rId3" w:type="default"/>
          <w:pgSz w:w="11906" w:h="16838"/>
          <w:pgMar w:top="1247" w:right="1418" w:bottom="1247" w:left="1418" w:header="720" w:footer="720" w:gutter="0"/>
          <w:pgNumType w:start="1"/>
          <w:cols w:space="720" w:num="1"/>
        </w:sectPr>
      </w:pPr>
    </w:p>
    <w:bookmarkEnd w:id="0"/>
    <w:bookmarkEnd w:id="1"/>
    <w:bookmarkEnd w:id="2"/>
    <w:p>
      <w:pPr>
        <w:pStyle w:val="3"/>
        <w:keepNext w:val="0"/>
        <w:keepLines w:val="0"/>
        <w:spacing w:before="120" w:line="240" w:lineRule="auto"/>
        <w:jc w:val="center"/>
        <w:rPr>
          <w:rFonts w:ascii="宋体" w:hAnsi="宋体"/>
          <w:color w:val="auto"/>
          <w:highlight w:val="none"/>
        </w:rPr>
      </w:pPr>
      <w:bookmarkStart w:id="3" w:name="_Toc511557024"/>
      <w:bookmarkStart w:id="4" w:name="_Toc7252"/>
      <w:r>
        <w:rPr>
          <w:rFonts w:hint="eastAsia" w:ascii="宋体" w:hAnsi="宋体"/>
          <w:color w:val="auto"/>
          <w:highlight w:val="none"/>
        </w:rPr>
        <w:t>第</w:t>
      </w:r>
      <w:bookmarkEnd w:id="3"/>
      <w:r>
        <w:rPr>
          <w:rFonts w:hint="eastAsia" w:ascii="宋体" w:hAnsi="宋体"/>
          <w:color w:val="auto"/>
          <w:highlight w:val="none"/>
        </w:rPr>
        <w:t>一卷</w:t>
      </w:r>
      <w:bookmarkEnd w:id="4"/>
    </w:p>
    <w:p>
      <w:pPr>
        <w:pStyle w:val="3"/>
        <w:keepNext w:val="0"/>
        <w:keepLines w:val="0"/>
        <w:spacing w:before="120" w:line="240" w:lineRule="auto"/>
        <w:jc w:val="center"/>
        <w:rPr>
          <w:rFonts w:ascii="宋体" w:hAnsi="宋体"/>
          <w:color w:val="auto"/>
          <w:sz w:val="36"/>
          <w:szCs w:val="16"/>
          <w:highlight w:val="none"/>
        </w:rPr>
      </w:pPr>
      <w:bookmarkStart w:id="5" w:name="_Toc9488"/>
      <w:r>
        <w:rPr>
          <w:rFonts w:hint="eastAsia" w:ascii="宋体" w:hAnsi="宋体"/>
          <w:color w:val="auto"/>
          <w:sz w:val="36"/>
          <w:szCs w:val="16"/>
          <w:highlight w:val="none"/>
        </w:rPr>
        <w:t>第一章 招标公告</w:t>
      </w:r>
      <w:bookmarkEnd w:id="5"/>
    </w:p>
    <w:p>
      <w:pPr>
        <w:snapToGrid w:val="0"/>
        <w:spacing w:line="360" w:lineRule="auto"/>
        <w:jc w:val="left"/>
        <w:outlineLvl w:val="1"/>
        <w:rPr>
          <w:rFonts w:ascii="宋体" w:hAnsi="宋体" w:cs="宋体"/>
          <w:b/>
          <w:bCs/>
          <w:color w:val="auto"/>
          <w:kern w:val="0"/>
          <w:sz w:val="28"/>
          <w:szCs w:val="24"/>
          <w:highlight w:val="none"/>
        </w:rPr>
      </w:pPr>
      <w:bookmarkStart w:id="6" w:name="_Toc529196504"/>
      <w:bookmarkStart w:id="7" w:name="_Toc535938695"/>
      <w:bookmarkStart w:id="8" w:name="_Toc511557025"/>
      <w:bookmarkStart w:id="9" w:name="_Toc529196507"/>
      <w:bookmarkStart w:id="10" w:name="_Toc511557028"/>
      <w:r>
        <w:rPr>
          <w:rFonts w:hint="eastAsia" w:ascii="宋体" w:hAnsi="宋体" w:cs="宋体"/>
          <w:b/>
          <w:bCs/>
          <w:color w:val="auto"/>
          <w:kern w:val="0"/>
          <w:sz w:val="28"/>
          <w:szCs w:val="24"/>
          <w:highlight w:val="none"/>
        </w:rPr>
        <w:t>1.招标条件</w:t>
      </w:r>
      <w:bookmarkEnd w:id="6"/>
      <w:bookmarkEnd w:id="7"/>
      <w:bookmarkEnd w:id="8"/>
    </w:p>
    <w:p>
      <w:pPr>
        <w:tabs>
          <w:tab w:val="left" w:pos="7513"/>
        </w:tabs>
        <w:spacing w:line="360" w:lineRule="auto"/>
        <w:ind w:firstLine="420" w:firstLineChars="200"/>
        <w:rPr>
          <w:rFonts w:ascii="宋体" w:hAnsi="宋体" w:cs="宋体"/>
          <w:color w:val="auto"/>
          <w:szCs w:val="21"/>
          <w:highlight w:val="none"/>
        </w:rPr>
      </w:pPr>
      <w:bookmarkStart w:id="11" w:name="_Toc511557026"/>
      <w:r>
        <w:rPr>
          <w:rFonts w:hint="eastAsia" w:ascii="宋体" w:hAnsi="宋体" w:cs="宋体"/>
          <w:color w:val="auto"/>
          <w:szCs w:val="21"/>
          <w:highlight w:val="none"/>
        </w:rPr>
        <w:t>本招标项目</w:t>
      </w:r>
      <w:r>
        <w:rPr>
          <w:rFonts w:hint="eastAsia" w:ascii="宋体" w:hAnsi="宋体" w:cs="宋体"/>
          <w:color w:val="auto"/>
          <w:szCs w:val="21"/>
          <w:highlight w:val="none"/>
          <w:u w:val="single"/>
        </w:rPr>
        <w:t>廉江市生活垃圾焚烧发电二期项目监理</w:t>
      </w:r>
      <w:r>
        <w:rPr>
          <w:rFonts w:hint="eastAsia" w:ascii="宋体" w:hAnsi="宋体"/>
          <w:color w:val="auto"/>
          <w:szCs w:val="20"/>
          <w:highlight w:val="none"/>
        </w:rPr>
        <w:t>以</w:t>
      </w:r>
      <w:r>
        <w:rPr>
          <w:rFonts w:hint="eastAsia" w:ascii="宋体" w:hAnsi="宋体" w:cs="宋体"/>
          <w:color w:val="auto"/>
          <w:spacing w:val="-3"/>
          <w:szCs w:val="20"/>
          <w:highlight w:val="none"/>
          <w:u w:val="single"/>
        </w:rPr>
        <w:t>廉江市发展和改革局（</w:t>
      </w:r>
      <w:r>
        <w:rPr>
          <w:rFonts w:hint="eastAsia" w:ascii="宋体" w:hAnsi="宋体" w:cs="宋体"/>
          <w:color w:val="auto"/>
          <w:spacing w:val="-2"/>
          <w:szCs w:val="20"/>
          <w:highlight w:val="none"/>
          <w:u w:val="single"/>
        </w:rPr>
        <w:t>湛廉发改核准〔</w:t>
      </w:r>
      <w:r>
        <w:rPr>
          <w:rFonts w:hint="eastAsia" w:ascii="宋体" w:hAnsi="宋体" w:cs="宋体"/>
          <w:color w:val="auto"/>
          <w:szCs w:val="20"/>
          <w:highlight w:val="none"/>
          <w:u w:val="single"/>
        </w:rPr>
        <w:t>2020</w:t>
      </w:r>
      <w:r>
        <w:rPr>
          <w:rFonts w:hint="eastAsia" w:ascii="宋体" w:hAnsi="宋体" w:cs="宋体"/>
          <w:color w:val="auto"/>
          <w:spacing w:val="-5"/>
          <w:szCs w:val="20"/>
          <w:highlight w:val="none"/>
          <w:u w:val="single"/>
        </w:rPr>
        <w:t>〕1</w:t>
      </w:r>
      <w:r>
        <w:rPr>
          <w:rFonts w:hint="eastAsia" w:ascii="宋体" w:hAnsi="宋体" w:cs="宋体"/>
          <w:color w:val="auto"/>
          <w:spacing w:val="-16"/>
          <w:szCs w:val="20"/>
          <w:highlight w:val="none"/>
          <w:u w:val="single"/>
        </w:rPr>
        <w:t xml:space="preserve"> 号</w:t>
      </w:r>
      <w:r>
        <w:rPr>
          <w:rFonts w:hint="eastAsia" w:ascii="宋体" w:hAnsi="宋体" w:cs="宋体"/>
          <w:color w:val="auto"/>
          <w:spacing w:val="-3"/>
          <w:szCs w:val="20"/>
          <w:highlight w:val="none"/>
          <w:u w:val="single"/>
        </w:rPr>
        <w:t>）</w:t>
      </w:r>
      <w:r>
        <w:rPr>
          <w:rFonts w:hint="eastAsia" w:ascii="宋体" w:hAnsi="宋体"/>
          <w:color w:val="auto"/>
          <w:szCs w:val="20"/>
          <w:highlight w:val="none"/>
        </w:rPr>
        <w:t>批准建设</w:t>
      </w:r>
      <w:r>
        <w:rPr>
          <w:rFonts w:hint="eastAsia" w:ascii="宋体" w:hAnsi="宋体" w:cs="宋体"/>
          <w:color w:val="auto"/>
          <w:szCs w:val="21"/>
          <w:highlight w:val="none"/>
        </w:rPr>
        <w:t>，项目业主为</w:t>
      </w:r>
      <w:r>
        <w:rPr>
          <w:rFonts w:hint="eastAsia" w:ascii="宋体" w:hAnsi="宋体" w:cs="宋体"/>
          <w:bCs/>
          <w:color w:val="auto"/>
          <w:spacing w:val="-1"/>
          <w:szCs w:val="20"/>
          <w:highlight w:val="none"/>
          <w:u w:val="single"/>
        </w:rPr>
        <w:t>廉江市绿色东方新能源有限公司</w:t>
      </w:r>
      <w:r>
        <w:rPr>
          <w:rFonts w:hint="eastAsia" w:ascii="宋体" w:hAnsi="宋体" w:cs="宋体"/>
          <w:color w:val="auto"/>
          <w:szCs w:val="21"/>
          <w:highlight w:val="none"/>
        </w:rPr>
        <w:t>，建设资金来源</w:t>
      </w:r>
      <w:r>
        <w:rPr>
          <w:rFonts w:hint="eastAsia" w:ascii="宋体" w:hAnsi="宋体" w:cs="宋体"/>
          <w:color w:val="auto"/>
          <w:szCs w:val="20"/>
          <w:highlight w:val="none"/>
          <w:u w:val="single"/>
        </w:rPr>
        <w:t>企业自筹30%，其余贷款</w:t>
      </w:r>
      <w:r>
        <w:rPr>
          <w:rFonts w:hint="eastAsia" w:ascii="宋体" w:hAnsi="宋体" w:cs="宋体"/>
          <w:color w:val="auto"/>
          <w:szCs w:val="21"/>
          <w:highlight w:val="none"/>
        </w:rPr>
        <w:t>，招标人为</w:t>
      </w:r>
      <w:r>
        <w:rPr>
          <w:rFonts w:hint="eastAsia" w:ascii="宋体" w:hAnsi="宋体" w:cs="宋体"/>
          <w:color w:val="auto"/>
          <w:szCs w:val="21"/>
          <w:highlight w:val="none"/>
          <w:u w:val="single"/>
        </w:rPr>
        <w:t>廉江市绿色东方新能源有限公司</w:t>
      </w:r>
      <w:r>
        <w:rPr>
          <w:rFonts w:hint="eastAsia" w:ascii="宋体" w:hAnsi="宋体" w:cs="宋体"/>
          <w:color w:val="auto"/>
          <w:szCs w:val="21"/>
          <w:highlight w:val="none"/>
        </w:rPr>
        <w:t>。项目已具备招标条件，现对该项目的监理进行公开招标。</w:t>
      </w:r>
    </w:p>
    <w:p>
      <w:pPr>
        <w:snapToGrid w:val="0"/>
        <w:spacing w:line="360" w:lineRule="auto"/>
        <w:jc w:val="left"/>
        <w:outlineLvl w:val="1"/>
        <w:rPr>
          <w:rFonts w:ascii="宋体" w:hAnsi="宋体" w:cs="宋体"/>
          <w:b/>
          <w:bCs/>
          <w:color w:val="auto"/>
          <w:kern w:val="0"/>
          <w:sz w:val="28"/>
          <w:szCs w:val="24"/>
          <w:highlight w:val="none"/>
        </w:rPr>
      </w:pPr>
      <w:bookmarkStart w:id="12" w:name="_Toc529196505"/>
      <w:bookmarkStart w:id="13" w:name="_Toc535938696"/>
      <w:r>
        <w:rPr>
          <w:rFonts w:hint="eastAsia" w:ascii="宋体" w:hAnsi="宋体" w:cs="宋体"/>
          <w:b/>
          <w:bCs/>
          <w:color w:val="auto"/>
          <w:kern w:val="0"/>
          <w:sz w:val="28"/>
          <w:szCs w:val="24"/>
          <w:highlight w:val="none"/>
        </w:rPr>
        <w:t>2.项目概况与招标范围</w:t>
      </w:r>
      <w:bookmarkEnd w:id="11"/>
      <w:bookmarkEnd w:id="12"/>
      <w:bookmarkEnd w:id="13"/>
    </w:p>
    <w:p>
      <w:pPr>
        <w:tabs>
          <w:tab w:val="left" w:pos="7513"/>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2.1招标项目概况</w:t>
      </w:r>
    </w:p>
    <w:p>
      <w:pPr>
        <w:tabs>
          <w:tab w:val="left" w:pos="7513"/>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2.1.1招标项目名称：</w:t>
      </w:r>
      <w:r>
        <w:rPr>
          <w:rFonts w:hint="eastAsia" w:ascii="宋体" w:hAnsi="宋体" w:cs="宋体"/>
          <w:color w:val="auto"/>
          <w:szCs w:val="21"/>
          <w:highlight w:val="none"/>
          <w:u w:val="single"/>
        </w:rPr>
        <w:t>廉江市生活垃圾焚烧发电二期项目监理</w:t>
      </w:r>
    </w:p>
    <w:p>
      <w:pPr>
        <w:tabs>
          <w:tab w:val="left" w:pos="7513"/>
        </w:tabs>
        <w:spacing w:line="360" w:lineRule="auto"/>
        <w:ind w:firstLine="420" w:firstLineChars="200"/>
        <w:rPr>
          <w:rFonts w:ascii="宋体" w:hAnsi="宋体"/>
          <w:color w:val="auto"/>
          <w:szCs w:val="21"/>
          <w:highlight w:val="none"/>
          <w:u w:val="single"/>
        </w:rPr>
      </w:pPr>
      <w:r>
        <w:rPr>
          <w:rFonts w:hint="eastAsia" w:ascii="宋体" w:hAnsi="宋体" w:cs="宋体"/>
          <w:color w:val="auto"/>
          <w:szCs w:val="21"/>
          <w:highlight w:val="none"/>
        </w:rPr>
        <w:t>2.1.2</w:t>
      </w:r>
      <w:r>
        <w:rPr>
          <w:rFonts w:hint="eastAsia" w:ascii="宋体" w:hAnsi="宋体"/>
          <w:bCs/>
          <w:color w:val="auto"/>
          <w:szCs w:val="21"/>
          <w:highlight w:val="none"/>
        </w:rPr>
        <w:t>工程建设规模</w:t>
      </w:r>
      <w:r>
        <w:rPr>
          <w:rFonts w:hint="eastAsia" w:ascii="宋体" w:hAnsi="宋体" w:cs="宋体"/>
          <w:color w:val="auto"/>
          <w:szCs w:val="21"/>
          <w:highlight w:val="none"/>
        </w:rPr>
        <w:t>：</w:t>
      </w:r>
      <w:r>
        <w:rPr>
          <w:rFonts w:hint="eastAsia" w:ascii="宋体" w:hAnsi="宋体" w:cs="宋体"/>
          <w:color w:val="auto"/>
          <w:szCs w:val="21"/>
          <w:highlight w:val="none"/>
          <w:u w:val="single"/>
        </w:rPr>
        <w:t>本项目包括二期扩建工程（新增一条600t/d垃圾焚烧线设备、1台12MW汽轮发电机、二期汽机间、一套烟气净化系统、220t/d渗滤液处理系统、高低压配电装置、冷却塔、净水系统、化水系统、自动化控制系统及辅助工程等）等。</w:t>
      </w:r>
    </w:p>
    <w:p>
      <w:pPr>
        <w:tabs>
          <w:tab w:val="left" w:pos="7513"/>
        </w:tabs>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2.1.3工程建设地点：</w:t>
      </w:r>
      <w:r>
        <w:rPr>
          <w:rFonts w:hint="eastAsia" w:ascii="宋体" w:hAnsi="宋体" w:cs="宋体"/>
          <w:color w:val="auto"/>
          <w:szCs w:val="21"/>
          <w:highlight w:val="none"/>
          <w:u w:val="single"/>
        </w:rPr>
        <w:t>湛江市廉江市横山镇七星岭廉江市生活垃圾焚烧发电厂内。</w:t>
      </w:r>
    </w:p>
    <w:p>
      <w:pPr>
        <w:tabs>
          <w:tab w:val="left" w:pos="7513"/>
        </w:tabs>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2.1.4工程概算/建筑安装工程费：</w:t>
      </w:r>
      <w:r>
        <w:rPr>
          <w:rFonts w:hint="eastAsia" w:ascii="宋体" w:hAnsi="宋体"/>
          <w:color w:val="auto"/>
          <w:szCs w:val="21"/>
          <w:highlight w:val="none"/>
          <w:u w:val="single"/>
        </w:rPr>
        <w:t>项目总投资24250.63万元，其中：项目资本金为7275.19万元，资本金占项目总投资的比例为30.0%。</w:t>
      </w:r>
    </w:p>
    <w:p>
      <w:pPr>
        <w:tabs>
          <w:tab w:val="left" w:pos="7513"/>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2.2招标范围</w:t>
      </w:r>
    </w:p>
    <w:p>
      <w:pPr>
        <w:tabs>
          <w:tab w:val="left" w:pos="7513"/>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w:t>
      </w:r>
      <w:r>
        <w:rPr>
          <w:rFonts w:hint="eastAsia" w:ascii="宋体" w:hAnsi="宋体"/>
          <w:bCs/>
          <w:color w:val="auto"/>
          <w:szCs w:val="21"/>
          <w:highlight w:val="none"/>
        </w:rPr>
        <w:t>标段划分：</w:t>
      </w:r>
      <w:r>
        <w:rPr>
          <w:rFonts w:hint="eastAsia" w:ascii="宋体" w:hAnsi="宋体"/>
          <w:color w:val="auto"/>
          <w:szCs w:val="21"/>
          <w:highlight w:val="none"/>
          <w:u w:val="single"/>
        </w:rPr>
        <w:t>本项目设1个标段。</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2.2.2监理范围：</w:t>
      </w:r>
      <w:r>
        <w:rPr>
          <w:rFonts w:hint="eastAsia" w:ascii="宋体" w:hAnsi="宋体" w:cs="宋体"/>
          <w:color w:val="auto"/>
          <w:szCs w:val="21"/>
          <w:highlight w:val="none"/>
          <w:u w:val="single"/>
        </w:rPr>
        <w:t>本工程施工准备阶段、施工阶段、工程收尾阶段（包括但不限于进度款支付审批、竣工验收、整改、工程移交、工程结算等）及工程质量保修阶段的质量控制、职业健康安全及环境监督管理、成本控制、进度控制、合同管理、信息管理、组织协调的相关工作等监理工作，具体以实际实施的监理范围为准。</w:t>
      </w:r>
    </w:p>
    <w:p>
      <w:pPr>
        <w:spacing w:line="360" w:lineRule="auto"/>
        <w:ind w:firstLine="420" w:firstLineChars="200"/>
        <w:rPr>
          <w:rFonts w:ascii="宋体" w:hAnsi="宋体"/>
          <w:color w:val="auto"/>
          <w:szCs w:val="21"/>
          <w:highlight w:val="none"/>
          <w:u w:val="single"/>
        </w:rPr>
      </w:pPr>
      <w:r>
        <w:rPr>
          <w:rFonts w:hint="eastAsia" w:ascii="宋体" w:hAnsi="宋体" w:cs="宋体"/>
          <w:color w:val="auto"/>
          <w:szCs w:val="21"/>
          <w:highlight w:val="none"/>
        </w:rPr>
        <w:t>2.2.3监理服务期限：</w:t>
      </w:r>
      <w:r>
        <w:rPr>
          <w:rFonts w:hint="eastAsia" w:ascii="宋体" w:hAnsi="宋体"/>
          <w:bCs/>
          <w:snapToGrid w:val="0"/>
          <w:color w:val="auto"/>
          <w:spacing w:val="4"/>
          <w:kern w:val="0"/>
          <w:szCs w:val="21"/>
          <w:highlight w:val="none"/>
          <w:u w:val="single"/>
        </w:rPr>
        <w:t>监理服务期自监理人收到中标通知书之日起算，至该工程质量保修期届满并办妥竣工结算止（此处竣工结算指经政府指定机构完成竣工结算审核为止）。监理服务期包括项目的项目前期阶段、施工准备阶段、施工阶段、工程收尾阶段和质量保修阶段，监理人须实行全过程监理服务。</w:t>
      </w:r>
    </w:p>
    <w:p>
      <w:pPr>
        <w:tabs>
          <w:tab w:val="left" w:pos="7513"/>
        </w:tabs>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2.3最高投标限价：</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u w:val="single"/>
          <w:lang w:val="en-US" w:eastAsia="zh-CN"/>
        </w:rPr>
        <w:t>150万</w:t>
      </w:r>
      <w:bookmarkStart w:id="555" w:name="_GoBack"/>
      <w:bookmarkEnd w:id="555"/>
      <w:r>
        <w:rPr>
          <w:rFonts w:hint="eastAsia" w:ascii="宋体" w:hAnsi="宋体" w:cs="宋体"/>
          <w:b w:val="0"/>
          <w:bCs/>
          <w:color w:val="auto"/>
          <w:szCs w:val="21"/>
          <w:highlight w:val="none"/>
          <w:u w:val="single"/>
        </w:rPr>
        <w:t>元</w:t>
      </w:r>
      <w:r>
        <w:rPr>
          <w:rFonts w:hint="eastAsia" w:ascii="宋体" w:hAnsi="宋体" w:cs="宋体"/>
          <w:b/>
          <w:color w:val="auto"/>
          <w:szCs w:val="21"/>
          <w:highlight w:val="none"/>
          <w:u w:val="single"/>
        </w:rPr>
        <w:t>。</w:t>
      </w:r>
    </w:p>
    <w:p>
      <w:pPr>
        <w:snapToGrid w:val="0"/>
        <w:spacing w:line="360" w:lineRule="auto"/>
        <w:jc w:val="left"/>
        <w:outlineLvl w:val="1"/>
        <w:rPr>
          <w:rFonts w:ascii="宋体" w:hAnsi="宋体" w:cs="宋体"/>
          <w:b/>
          <w:bCs/>
          <w:color w:val="auto"/>
          <w:kern w:val="0"/>
          <w:sz w:val="28"/>
          <w:szCs w:val="24"/>
          <w:highlight w:val="none"/>
        </w:rPr>
      </w:pPr>
      <w:bookmarkStart w:id="14" w:name="_Toc535938697"/>
      <w:bookmarkStart w:id="15" w:name="_Toc529196506"/>
      <w:bookmarkStart w:id="16" w:name="_Toc511557027"/>
      <w:r>
        <w:rPr>
          <w:rFonts w:hint="eastAsia" w:ascii="宋体" w:hAnsi="宋体" w:cs="宋体"/>
          <w:b/>
          <w:bCs/>
          <w:color w:val="auto"/>
          <w:kern w:val="0"/>
          <w:sz w:val="28"/>
          <w:szCs w:val="24"/>
          <w:highlight w:val="none"/>
        </w:rPr>
        <w:t>3.投标人资格要求</w:t>
      </w:r>
      <w:bookmarkEnd w:id="14"/>
      <w:bookmarkEnd w:id="15"/>
      <w:bookmarkEnd w:id="16"/>
    </w:p>
    <w:p>
      <w:pPr>
        <w:spacing w:line="360" w:lineRule="auto"/>
        <w:ind w:firstLine="420" w:firstLineChars="200"/>
        <w:rPr>
          <w:rFonts w:ascii="宋体" w:hAnsi="宋体" w:cs="楷体"/>
          <w:color w:val="auto"/>
          <w:szCs w:val="21"/>
          <w:highlight w:val="none"/>
          <w:u w:val="single"/>
        </w:rPr>
      </w:pPr>
      <w:bookmarkStart w:id="17" w:name="_Toc535938699"/>
      <w:r>
        <w:rPr>
          <w:rFonts w:hint="eastAsia" w:ascii="宋体" w:hAnsi="宋体" w:cs="宋体"/>
          <w:color w:val="auto"/>
          <w:szCs w:val="21"/>
          <w:highlight w:val="none"/>
        </w:rPr>
        <w:t>3.1投标人须具备建设行政主管部门颁发的</w:t>
      </w:r>
      <w:r>
        <w:rPr>
          <w:rFonts w:hint="eastAsia" w:ascii="宋体" w:hAnsi="宋体"/>
          <w:color w:val="auto"/>
          <w:szCs w:val="21"/>
          <w:highlight w:val="none"/>
          <w:u w:val="single"/>
        </w:rPr>
        <w:t>工程监理综合资质或市政公用工程监理乙级或以上资质</w:t>
      </w:r>
      <w:r>
        <w:rPr>
          <w:rFonts w:hint="eastAsia" w:ascii="宋体" w:hAnsi="宋体" w:cs="楷体"/>
          <w:color w:val="auto"/>
          <w:szCs w:val="21"/>
          <w:highlight w:val="none"/>
          <w:u w:val="singl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投标人自2015年1月1日至今完成过质量合格的类似工程业绩（类似工程是指第3.1点所述资质方能承接的市政公用工程监理业绩）。需同时提供中标通知书或免招标的相关证明、监理服务合同、竣工验收报告或竣工验收证明，业绩时间以竣工验收报告或竣工验收证明出具时间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3.3本次招标</w:t>
      </w:r>
      <w:r>
        <w:rPr>
          <w:rFonts w:hint="eastAsia" w:ascii="宋体" w:hAnsi="宋体" w:cs="宋体"/>
          <w:color w:val="auto"/>
          <w:szCs w:val="21"/>
          <w:highlight w:val="none"/>
          <w:u w:val="single"/>
        </w:rPr>
        <w:t xml:space="preserve"> 不接受 </w:t>
      </w:r>
      <w:r>
        <w:rPr>
          <w:rFonts w:hint="eastAsia" w:ascii="宋体" w:hAnsi="宋体" w:cs="宋体"/>
          <w:color w:val="auto"/>
          <w:szCs w:val="21"/>
          <w:highlight w:val="none"/>
        </w:rPr>
        <w:t>联合体投标。</w:t>
      </w:r>
    </w:p>
    <w:p>
      <w:pPr>
        <w:spacing w:line="360" w:lineRule="auto"/>
        <w:ind w:firstLine="420" w:firstLineChars="200"/>
        <w:rPr>
          <w:rFonts w:ascii="宋体" w:hAnsi="宋体" w:cs="楷体"/>
          <w:color w:val="auto"/>
          <w:szCs w:val="21"/>
          <w:highlight w:val="none"/>
          <w:u w:val="single"/>
        </w:rPr>
      </w:pPr>
      <w:r>
        <w:rPr>
          <w:rFonts w:hint="eastAsia" w:ascii="宋体" w:hAnsi="宋体" w:cs="宋体"/>
          <w:color w:val="auto"/>
          <w:szCs w:val="21"/>
          <w:highlight w:val="none"/>
        </w:rPr>
        <w:t>3.4拟派项目总监理工程师须具有建设部2006年4月1日后颁发的中华人民共和国注册监理工程师注册执业证书，且其注册证书专业为</w:t>
      </w:r>
      <w:r>
        <w:rPr>
          <w:rFonts w:hint="eastAsia" w:ascii="宋体" w:hAnsi="宋体" w:cs="宋体"/>
          <w:color w:val="auto"/>
          <w:szCs w:val="21"/>
          <w:highlight w:val="none"/>
          <w:u w:val="single"/>
        </w:rPr>
        <w:t>市政公用工程</w:t>
      </w:r>
      <w:r>
        <w:rPr>
          <w:rFonts w:hint="eastAsia" w:ascii="宋体" w:hAnsi="宋体" w:cs="宋体"/>
          <w:color w:val="auto"/>
          <w:szCs w:val="21"/>
          <w:highlight w:val="none"/>
        </w:rPr>
        <w:t>，注册执业单位为本公司</w:t>
      </w:r>
      <w:r>
        <w:rPr>
          <w:rFonts w:hint="eastAsia" w:ascii="宋体" w:hAnsi="宋体" w:cs="楷体"/>
          <w:color w:val="auto"/>
          <w:szCs w:val="21"/>
          <w:highlight w:val="none"/>
          <w:u w:val="single"/>
        </w:rPr>
        <w:t>。</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u w:val="single"/>
        </w:rPr>
        <w:t>①</w:t>
      </w:r>
      <w:r>
        <w:rPr>
          <w:rFonts w:hint="eastAsia" w:ascii="宋体" w:hAnsi="宋体"/>
          <w:color w:val="auto"/>
          <w:szCs w:val="21"/>
          <w:highlight w:val="none"/>
          <w:u w:val="single"/>
        </w:rPr>
        <w:t>有关资质证书有效期和使用的要求，按《住房和城乡建设部办公厅关于建设工程企业资质延续有关事项的通知》、《广东省住房和城乡建设厅关于建设工程企业资质延续有关事项的通知》执行。</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②</w:t>
      </w:r>
      <w:r>
        <w:rPr>
          <w:rFonts w:hint="eastAsia" w:ascii="宋体" w:hAnsi="宋体" w:cs="宋体"/>
          <w:color w:val="auto"/>
          <w:szCs w:val="21"/>
          <w:highlight w:val="none"/>
        </w:rPr>
        <w:t>工程监理企业资质证书有效期按《住房和城乡建设部办公厅关于建设工程企业资质延续有关事项的通知》（建办市函〔2020〕334号）、《住房和城乡建设部办公厅关于做好建筑业“证照分离”改革衔接有关工作的通知》（建办市〔2021〕30号）、《广东省住房和城乡建设厅关于建设工程企业资质延续有关事项的通知》（粤建许函〔2020〕298号）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3.5其他要求：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①投标人参加投标的意思表达清楚，投标人代表被授权有效。</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②投标人均具有独立法人资格，持有工商行政管理部门核发的法人营业执照，按国家法律经营。</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③投标人已按规定格式签名盖章《投标人声明》（详见附件一）。</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④投标人在广州公共资源交易中心企业库已办理企业信息登记。</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⑤在“中国执信信息公开网”网站（http://zxgk.court.gov.cn/shixin/)中未被列入失信被执行人名单的投标人 ，在国家企业信用信息公示系统（www.gsxt.gov.cn）中被列入严重违法失信企业名单的投标人，均按否决投标处理。</w:t>
      </w:r>
    </w:p>
    <w:p>
      <w:pPr>
        <w:spacing w:line="360" w:lineRule="auto"/>
        <w:ind w:firstLine="420" w:firstLineChars="200"/>
        <w:rPr>
          <w:rFonts w:ascii="宋体" w:hAnsi="宋体" w:cs="楷体"/>
          <w:color w:val="auto"/>
          <w:szCs w:val="21"/>
          <w:highlight w:val="none"/>
          <w:u w:val="single"/>
        </w:rPr>
      </w:pPr>
      <w:r>
        <w:rPr>
          <w:rFonts w:hint="eastAsia" w:ascii="宋体" w:hAnsi="宋体" w:cs="宋体"/>
          <w:color w:val="auto"/>
          <w:szCs w:val="21"/>
          <w:highlight w:val="none"/>
          <w:u w:val="single"/>
        </w:rPr>
        <w:t>⑥</w:t>
      </w:r>
      <w:r>
        <w:rPr>
          <w:rFonts w:hint="eastAsia" w:ascii="宋体" w:hAnsi="宋体" w:cs="楷体"/>
          <w:color w:val="auto"/>
          <w:szCs w:val="21"/>
          <w:highlight w:val="none"/>
          <w:u w:val="singl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pPr>
        <w:snapToGrid w:val="0"/>
        <w:spacing w:line="360" w:lineRule="auto"/>
        <w:jc w:val="left"/>
        <w:outlineLvl w:val="1"/>
        <w:rPr>
          <w:rFonts w:hint="eastAsia" w:ascii="宋体" w:hAnsi="宋体" w:cs="宋体"/>
          <w:b/>
          <w:bCs/>
          <w:color w:val="auto"/>
          <w:kern w:val="0"/>
          <w:sz w:val="28"/>
          <w:szCs w:val="24"/>
          <w:highlight w:val="none"/>
        </w:rPr>
      </w:pPr>
      <w:r>
        <w:rPr>
          <w:rFonts w:hint="eastAsia" w:ascii="宋体" w:hAnsi="宋体" w:cs="宋体"/>
          <w:b/>
          <w:bCs/>
          <w:color w:val="auto"/>
          <w:kern w:val="0"/>
          <w:sz w:val="28"/>
          <w:szCs w:val="24"/>
          <w:highlight w:val="none"/>
        </w:rPr>
        <w:t>4.投标人投标登记需提供的资料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投标登记时提供复印件，所有复印件须加盖投标人公章，所有证件必须在有效期内，如到期未延续，必须附有关行政主管部门的相关说明，否则视做无效证件：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4.2.1投标人的营业执照副本复印件；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4.2.2投标人有效的法定代表人证明书原件和</w:t>
      </w:r>
      <w:bookmarkStart w:id="18" w:name="_Hlk97418547"/>
      <w:r>
        <w:rPr>
          <w:rFonts w:hint="eastAsia" w:ascii="宋体" w:hAnsi="宋体" w:cs="宋体"/>
          <w:color w:val="auto"/>
          <w:szCs w:val="21"/>
          <w:highlight w:val="none"/>
        </w:rPr>
        <w:t>有效的第二代身份证</w:t>
      </w:r>
      <w:bookmarkEnd w:id="18"/>
      <w:r>
        <w:rPr>
          <w:rFonts w:hint="eastAsia" w:ascii="宋体" w:hAnsi="宋体" w:cs="宋体"/>
          <w:color w:val="auto"/>
          <w:szCs w:val="21"/>
          <w:highlight w:val="none"/>
        </w:rPr>
        <w:t>复印件、有效的授权委托书原件和有效的第二代身份证复印件(法定代表人亲自登记不需要授权委托书和被授权委托人的第二代身份证复印件)；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4.2.3投标人有效的资质证书复印件；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4.2.4投标人拟派总监理工程师相关证件复印件（注册证、有效的第二代身份证）；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4.2.5投标登记申请表(原件,单独提交)。投标人可自行在广州公共资源交易中心网上下载。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注：①投标人应严格按以上顺序编制投标登记资料并自行增加封面、目录和页码，每页加盖公章；②投标登记资料一式一份。</w:t>
      </w:r>
    </w:p>
    <w:p>
      <w:pPr>
        <w:snapToGrid w:val="0"/>
        <w:spacing w:line="360" w:lineRule="auto"/>
        <w:jc w:val="left"/>
        <w:outlineLvl w:val="1"/>
        <w:rPr>
          <w:rFonts w:ascii="宋体" w:hAnsi="宋体" w:cs="宋体"/>
          <w:b/>
          <w:bCs/>
          <w:color w:val="auto"/>
          <w:kern w:val="0"/>
          <w:sz w:val="28"/>
          <w:szCs w:val="24"/>
          <w:highlight w:val="none"/>
        </w:rPr>
      </w:pPr>
      <w:r>
        <w:rPr>
          <w:rFonts w:hint="eastAsia" w:ascii="宋体" w:hAnsi="宋体" w:cs="宋体"/>
          <w:b/>
          <w:bCs/>
          <w:color w:val="auto"/>
          <w:kern w:val="0"/>
          <w:sz w:val="28"/>
          <w:szCs w:val="24"/>
          <w:highlight w:val="none"/>
        </w:rPr>
        <w:t>5.投标登记及招标文件的获取</w:t>
      </w:r>
    </w:p>
    <w:p>
      <w:pPr>
        <w:shd w:val="solid" w:color="FFFFFF" w:fill="auto"/>
        <w:tabs>
          <w:tab w:val="left" w:pos="360"/>
        </w:tabs>
        <w:autoSpaceDN w:val="0"/>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shd w:val="clear" w:color="auto" w:fill="FFFFFF"/>
        </w:rPr>
        <w:t>5.1</w:t>
      </w:r>
      <w:r>
        <w:rPr>
          <w:rFonts w:hint="eastAsia" w:ascii="宋体" w:hAnsi="宋体" w:cs="宋体"/>
          <w:color w:val="auto"/>
          <w:szCs w:val="21"/>
          <w:highlight w:val="none"/>
        </w:rPr>
        <w:t>凡有意参加且投标登记资料符合招标公告要求的投标申请人，请于招标公告发布之日起</w:t>
      </w:r>
      <w:r>
        <w:rPr>
          <w:rFonts w:hint="eastAsia"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日（法定工作日）</w:t>
      </w:r>
      <w:r>
        <w:rPr>
          <w:rFonts w:hint="eastAsia" w:ascii="宋体" w:hAnsi="宋体" w:cs="宋体"/>
          <w:color w:val="auto"/>
          <w:spacing w:val="-2"/>
          <w:szCs w:val="21"/>
          <w:highlight w:val="none"/>
        </w:rPr>
        <w:t>上午9:30时至11:30时，下午14:00时至16:00时(北京时间)到广州公共资源交易中心</w:t>
      </w:r>
      <w:r>
        <w:rPr>
          <w:rFonts w:hint="eastAsia" w:ascii="宋体" w:hAnsi="宋体" w:cs="宋体"/>
          <w:color w:val="auto"/>
          <w:spacing w:val="-2"/>
          <w:szCs w:val="21"/>
          <w:highlight w:val="none"/>
          <w:u w:val="single"/>
        </w:rPr>
        <w:t>一楼指定窗口</w:t>
      </w:r>
      <w:r>
        <w:rPr>
          <w:rFonts w:hint="eastAsia" w:ascii="宋体" w:hAnsi="宋体" w:cs="宋体"/>
          <w:color w:val="auto"/>
          <w:spacing w:val="-2"/>
          <w:szCs w:val="21"/>
          <w:highlight w:val="none"/>
        </w:rPr>
        <w:t>(广州市天河区天润路333号)</w:t>
      </w:r>
      <w:r>
        <w:rPr>
          <w:rFonts w:hint="eastAsia" w:ascii="宋体" w:hAnsi="宋体" w:cs="宋体"/>
          <w:color w:val="auto"/>
          <w:szCs w:val="21"/>
          <w:highlight w:val="none"/>
        </w:rPr>
        <w:t>进行投标登记并购买招标文件。</w:t>
      </w:r>
      <w:r>
        <w:rPr>
          <w:rFonts w:hint="eastAsia" w:ascii="宋体" w:hAnsi="宋体" w:cs="宋体"/>
          <w:color w:val="auto"/>
          <w:spacing w:val="-2"/>
          <w:szCs w:val="21"/>
          <w:highlight w:val="none"/>
        </w:rPr>
        <w:t>招标文件(￥500元/份)，售后不退。</w:t>
      </w:r>
    </w:p>
    <w:p>
      <w:pPr>
        <w:snapToGrid w:val="0"/>
        <w:spacing w:line="360" w:lineRule="auto"/>
        <w:jc w:val="left"/>
        <w:outlineLvl w:val="1"/>
        <w:rPr>
          <w:rFonts w:ascii="宋体" w:hAnsi="宋体" w:cs="宋体"/>
          <w:b/>
          <w:bCs/>
          <w:color w:val="auto"/>
          <w:kern w:val="0"/>
          <w:sz w:val="28"/>
          <w:szCs w:val="24"/>
          <w:highlight w:val="none"/>
        </w:rPr>
      </w:pPr>
      <w:r>
        <w:rPr>
          <w:rFonts w:hint="eastAsia" w:ascii="宋体" w:hAnsi="宋体" w:cs="宋体"/>
          <w:b/>
          <w:bCs/>
          <w:color w:val="auto"/>
          <w:kern w:val="0"/>
          <w:sz w:val="28"/>
          <w:szCs w:val="24"/>
          <w:highlight w:val="none"/>
        </w:rPr>
        <w:t>6.投标文件的递交</w:t>
      </w:r>
      <w:bookmarkEnd w:id="17"/>
    </w:p>
    <w:p>
      <w:pPr>
        <w:tabs>
          <w:tab w:val="left" w:pos="0"/>
          <w:tab w:val="left" w:pos="540"/>
          <w:tab w:val="left" w:pos="900"/>
          <w:tab w:val="left" w:pos="1455"/>
        </w:tabs>
        <w:adjustRightInd w:val="0"/>
        <w:snapToGrid w:val="0"/>
        <w:spacing w:line="360" w:lineRule="auto"/>
        <w:ind w:firstLine="420" w:firstLineChars="200"/>
        <w:rPr>
          <w:rFonts w:ascii="宋体" w:hAnsi="宋体"/>
          <w:color w:val="auto"/>
          <w:szCs w:val="21"/>
          <w:highlight w:val="none"/>
        </w:rPr>
      </w:pPr>
      <w:bookmarkStart w:id="19" w:name="_Toc535938700"/>
      <w:r>
        <w:rPr>
          <w:rFonts w:hint="eastAsia" w:ascii="宋体" w:hAnsi="宋体" w:cs="宋体"/>
          <w:color w:val="auto"/>
          <w:kern w:val="0"/>
          <w:szCs w:val="21"/>
          <w:highlight w:val="none"/>
          <w:shd w:val="clear" w:color="auto" w:fill="FFFFFF"/>
        </w:rPr>
        <w:t>6.1</w:t>
      </w:r>
      <w:r>
        <w:rPr>
          <w:rFonts w:hint="eastAsia" w:ascii="宋体" w:hAnsi="宋体"/>
          <w:color w:val="auto"/>
          <w:szCs w:val="21"/>
          <w:highlight w:val="none"/>
        </w:rPr>
        <w:t>投标文件递交时间为：</w:t>
      </w:r>
      <w:r>
        <w:rPr>
          <w:rFonts w:hint="eastAsia" w:ascii="宋体" w:hAnsi="宋体"/>
          <w:color w:val="auto"/>
          <w:szCs w:val="21"/>
          <w:highlight w:val="none"/>
          <w:u w:val="single"/>
        </w:rPr>
        <w:t>2022</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pPr>
        <w:tabs>
          <w:tab w:val="left" w:pos="0"/>
          <w:tab w:val="left" w:pos="540"/>
          <w:tab w:val="left" w:pos="900"/>
          <w:tab w:val="left" w:pos="1455"/>
        </w:tabs>
        <w:adjustRightInd w:val="0"/>
        <w:snapToGri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投标文件递交截止时间（投标截止时间，下同）为</w:t>
      </w:r>
      <w:r>
        <w:rPr>
          <w:rFonts w:ascii="宋体" w:hAnsi="宋体"/>
          <w:color w:val="auto"/>
          <w:szCs w:val="21"/>
          <w:highlight w:val="none"/>
          <w:u w:val="single"/>
        </w:rPr>
        <w:t>20</w:t>
      </w:r>
      <w:r>
        <w:rPr>
          <w:rFonts w:hint="eastAsia" w:ascii="宋体" w:hAnsi="宋体"/>
          <w:color w:val="auto"/>
          <w:szCs w:val="21"/>
          <w:highlight w:val="none"/>
          <w:u w:val="single"/>
        </w:rPr>
        <w:t>22</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w:t>
      </w:r>
    </w:p>
    <w:p>
      <w:pPr>
        <w:tabs>
          <w:tab w:val="left" w:pos="0"/>
          <w:tab w:val="left" w:pos="540"/>
          <w:tab w:val="left" w:pos="900"/>
          <w:tab w:val="left" w:pos="1455"/>
        </w:tabs>
        <w:adjustRightInd w:val="0"/>
        <w:snapToGrid w:val="0"/>
        <w:spacing w:line="360" w:lineRule="auto"/>
        <w:ind w:firstLine="840" w:firstLineChars="400"/>
        <w:rPr>
          <w:rFonts w:ascii="宋体" w:hAnsi="宋体"/>
          <w:snapToGrid w:val="0"/>
          <w:color w:val="auto"/>
          <w:szCs w:val="21"/>
          <w:highlight w:val="none"/>
        </w:rPr>
      </w:pPr>
      <w:r>
        <w:rPr>
          <w:rFonts w:hint="eastAsia" w:ascii="宋体" w:hAnsi="宋体"/>
          <w:color w:val="auto"/>
          <w:szCs w:val="21"/>
          <w:highlight w:val="none"/>
        </w:rPr>
        <w:t>投标地点为</w:t>
      </w:r>
      <w:r>
        <w:rPr>
          <w:rFonts w:hint="eastAsia" w:ascii="宋体" w:hAnsi="宋体"/>
          <w:snapToGrid w:val="0"/>
          <w:color w:val="auto"/>
          <w:szCs w:val="21"/>
          <w:highlight w:val="none"/>
        </w:rPr>
        <w:t>广州公共资源交易中心</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开标室（广州市天河区天润路</w:t>
      </w:r>
      <w:r>
        <w:rPr>
          <w:rFonts w:ascii="宋体" w:hAnsi="宋体"/>
          <w:snapToGrid w:val="0"/>
          <w:color w:val="auto"/>
          <w:szCs w:val="21"/>
          <w:highlight w:val="none"/>
        </w:rPr>
        <w:t>333</w:t>
      </w:r>
      <w:r>
        <w:rPr>
          <w:rFonts w:hint="eastAsia" w:ascii="宋体" w:hAnsi="宋体"/>
          <w:snapToGrid w:val="0"/>
          <w:color w:val="auto"/>
          <w:szCs w:val="21"/>
          <w:highlight w:val="none"/>
        </w:rPr>
        <w:t>号）。</w:t>
      </w:r>
    </w:p>
    <w:p>
      <w:pPr>
        <w:tabs>
          <w:tab w:val="left" w:pos="0"/>
          <w:tab w:val="left" w:pos="540"/>
          <w:tab w:val="left" w:pos="900"/>
          <w:tab w:val="left" w:pos="1455"/>
        </w:tabs>
        <w:adjustRightInd w:val="0"/>
        <w:snapToGrid w:val="0"/>
        <w:spacing w:line="360" w:lineRule="auto"/>
        <w:ind w:firstLine="420" w:firstLineChars="2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6.2</w:t>
      </w:r>
      <w:r>
        <w:rPr>
          <w:rFonts w:hint="eastAsia" w:ascii="宋体" w:hAnsi="宋体"/>
          <w:color w:val="auto"/>
          <w:szCs w:val="21"/>
          <w:highlight w:val="none"/>
        </w:rPr>
        <w:t>逾期送达的或者未送达指定地点的投标文件，</w:t>
      </w:r>
      <w:r>
        <w:rPr>
          <w:rFonts w:hint="eastAsia" w:ascii="宋体" w:hAnsi="宋体"/>
          <w:color w:val="auto"/>
          <w:szCs w:val="21"/>
          <w:highlight w:val="none"/>
          <w:shd w:val="clear" w:color="auto" w:fill="FFFFFF"/>
        </w:rPr>
        <w:t xml:space="preserve">招标人或招标代理机构不予受理。 </w:t>
      </w:r>
    </w:p>
    <w:p>
      <w:pPr>
        <w:tabs>
          <w:tab w:val="left" w:pos="0"/>
          <w:tab w:val="left" w:pos="540"/>
          <w:tab w:val="left" w:pos="900"/>
          <w:tab w:val="left" w:pos="14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shd w:val="clear" w:color="auto" w:fill="FFFFFF"/>
        </w:rPr>
        <w:t>6.3</w:t>
      </w:r>
      <w:r>
        <w:rPr>
          <w:rFonts w:hint="eastAsia" w:ascii="宋体" w:hAnsi="宋体"/>
          <w:color w:val="auto"/>
          <w:szCs w:val="21"/>
          <w:highlight w:val="none"/>
        </w:rPr>
        <w:t>开标时间：</w:t>
      </w:r>
      <w:r>
        <w:rPr>
          <w:rFonts w:ascii="宋体" w:hAnsi="宋体"/>
          <w:color w:val="auto"/>
          <w:szCs w:val="21"/>
          <w:highlight w:val="none"/>
          <w:u w:val="single"/>
        </w:rPr>
        <w:t>20</w:t>
      </w:r>
      <w:r>
        <w:rPr>
          <w:rFonts w:hint="eastAsia" w:ascii="宋体" w:hAnsi="宋体"/>
          <w:color w:val="auto"/>
          <w:szCs w:val="21"/>
          <w:highlight w:val="none"/>
          <w:u w:val="single"/>
        </w:rPr>
        <w:t>22</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w:t>
      </w:r>
    </w:p>
    <w:p>
      <w:pPr>
        <w:snapToGrid w:val="0"/>
        <w:spacing w:line="360" w:lineRule="auto"/>
        <w:jc w:val="left"/>
        <w:outlineLvl w:val="1"/>
        <w:rPr>
          <w:rFonts w:ascii="宋体" w:hAnsi="宋体" w:cs="宋体"/>
          <w:b/>
          <w:bCs/>
          <w:color w:val="auto"/>
          <w:kern w:val="0"/>
          <w:sz w:val="28"/>
          <w:szCs w:val="24"/>
          <w:highlight w:val="none"/>
        </w:rPr>
      </w:pPr>
      <w:r>
        <w:rPr>
          <w:rFonts w:hint="eastAsia" w:ascii="宋体" w:hAnsi="宋体" w:cs="宋体"/>
          <w:b/>
          <w:bCs/>
          <w:color w:val="auto"/>
          <w:kern w:val="0"/>
          <w:sz w:val="28"/>
          <w:szCs w:val="24"/>
          <w:highlight w:val="none"/>
        </w:rPr>
        <w:t>7.</w:t>
      </w:r>
      <w:bookmarkEnd w:id="19"/>
      <w:bookmarkStart w:id="20" w:name="_Toc535938701"/>
      <w:r>
        <w:rPr>
          <w:rFonts w:hint="eastAsia" w:ascii="宋体" w:hAnsi="宋体" w:cs="宋体"/>
          <w:b/>
          <w:bCs/>
          <w:color w:val="auto"/>
          <w:kern w:val="0"/>
          <w:sz w:val="28"/>
          <w:szCs w:val="24"/>
          <w:highlight w:val="none"/>
        </w:rPr>
        <w:t>发布公告的媒介</w:t>
      </w:r>
      <w:bookmarkEnd w:id="2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本招标公告在中国招标投标公共服务平台（</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"http://www.cebpubservice.com/" </w:instrText>
      </w:r>
      <w:r>
        <w:rPr>
          <w:rFonts w:ascii="宋体" w:hAnsi="宋体" w:cs="宋体"/>
          <w:color w:val="auto"/>
          <w:szCs w:val="21"/>
          <w:highlight w:val="none"/>
        </w:rPr>
        <w:fldChar w:fldCharType="separate"/>
      </w:r>
      <w:r>
        <w:rPr>
          <w:rStyle w:val="21"/>
          <w:rFonts w:ascii="宋体" w:hAnsi="宋体" w:cs="宋体"/>
          <w:color w:val="auto"/>
          <w:szCs w:val="21"/>
          <w:highlight w:val="none"/>
        </w:rPr>
        <w:t>http://www.cebpubservice.com/</w:t>
      </w:r>
      <w:r>
        <w:rPr>
          <w:rFonts w:ascii="宋体" w:hAnsi="宋体" w:cs="宋体"/>
          <w:color w:val="auto"/>
          <w:szCs w:val="21"/>
          <w:highlight w:val="none"/>
        </w:rPr>
        <w:fldChar w:fldCharType="end"/>
      </w:r>
      <w:r>
        <w:rPr>
          <w:rFonts w:hint="eastAsia" w:ascii="宋体" w:hAnsi="宋体" w:cs="宋体"/>
          <w:color w:val="auto"/>
          <w:szCs w:val="21"/>
          <w:highlight w:val="none"/>
        </w:rPr>
        <w:t>）、广东省招标投标监管网（</w:t>
      </w:r>
      <w:r>
        <w:rPr>
          <w:rFonts w:ascii="宋体" w:hAnsi="宋体" w:cs="宋体"/>
          <w:color w:val="auto"/>
          <w:szCs w:val="21"/>
          <w:highlight w:val="none"/>
        </w:rPr>
        <w:t>http://zbtb.gd.gov.cn/login</w:t>
      </w:r>
      <w:r>
        <w:rPr>
          <w:rFonts w:hint="eastAsia" w:ascii="宋体" w:hAnsi="宋体" w:cs="宋体"/>
          <w:color w:val="auto"/>
          <w:szCs w:val="21"/>
          <w:highlight w:val="none"/>
        </w:rPr>
        <w:t>）、广州公共资源交易中心信息网（</w:t>
      </w:r>
      <w:r>
        <w:rPr>
          <w:rFonts w:ascii="宋体" w:hAnsi="宋体" w:cs="宋体"/>
          <w:color w:val="auto"/>
          <w:szCs w:val="21"/>
          <w:highlight w:val="none"/>
        </w:rPr>
        <w:t>http://ggzy.gz.gov.cn/</w:t>
      </w:r>
      <w:r>
        <w:rPr>
          <w:rFonts w:hint="eastAsia" w:ascii="宋体" w:hAnsi="宋体" w:cs="宋体"/>
          <w:color w:val="auto"/>
          <w:szCs w:val="21"/>
          <w:highlight w:val="none"/>
        </w:rPr>
        <w:t>）等媒体上发布；招标公告的修改、补充，在广州公共资源交易中心信息网上发布。如媒体发布公告不一致者，以广州公共资源交易中心信息网为准。</w:t>
      </w:r>
    </w:p>
    <w:bookmarkEnd w:id="9"/>
    <w:bookmarkEnd w:id="10"/>
    <w:p>
      <w:pPr>
        <w:snapToGrid w:val="0"/>
        <w:spacing w:line="360" w:lineRule="auto"/>
        <w:jc w:val="left"/>
        <w:outlineLvl w:val="1"/>
        <w:rPr>
          <w:rFonts w:ascii="宋体" w:hAnsi="宋体" w:cs="宋体"/>
          <w:b/>
          <w:bCs/>
          <w:color w:val="auto"/>
          <w:kern w:val="0"/>
          <w:sz w:val="28"/>
          <w:szCs w:val="24"/>
          <w:highlight w:val="none"/>
        </w:rPr>
      </w:pPr>
      <w:bookmarkStart w:id="21" w:name="_Toc535938702"/>
      <w:bookmarkStart w:id="22" w:name="_Toc529196510"/>
      <w:bookmarkStart w:id="23" w:name="_Toc516170523"/>
      <w:bookmarkStart w:id="24" w:name="_Toc511557031"/>
      <w:bookmarkStart w:id="25" w:name="_Toc352691457"/>
      <w:bookmarkStart w:id="26" w:name="_Toc369531499"/>
      <w:bookmarkStart w:id="27" w:name="_Toc152042290"/>
      <w:bookmarkStart w:id="28" w:name="_Toc247527537"/>
      <w:bookmarkStart w:id="29" w:name="_Toc144974482"/>
      <w:bookmarkStart w:id="30" w:name="_Toc384308189"/>
      <w:bookmarkStart w:id="31" w:name="_Toc361508564"/>
      <w:bookmarkStart w:id="32" w:name="_Toc300834931"/>
      <w:bookmarkStart w:id="33" w:name="_Toc152045514"/>
      <w:bookmarkStart w:id="34" w:name="_Toc2312"/>
      <w:bookmarkStart w:id="35" w:name="_Toc247513936"/>
      <w:r>
        <w:rPr>
          <w:rFonts w:hint="eastAsia" w:ascii="宋体" w:hAnsi="宋体" w:cs="宋体"/>
          <w:b/>
          <w:bCs/>
          <w:color w:val="auto"/>
          <w:kern w:val="0"/>
          <w:sz w:val="28"/>
          <w:szCs w:val="24"/>
          <w:highlight w:val="none"/>
        </w:rPr>
        <w:t>8.联系方式</w:t>
      </w:r>
      <w:bookmarkEnd w:id="21"/>
      <w:bookmarkEnd w:id="22"/>
      <w:bookmarkEnd w:id="23"/>
      <w:bookmarkEnd w:id="24"/>
    </w:p>
    <w:bookmarkEnd w:id="25"/>
    <w:bookmarkEnd w:id="26"/>
    <w:bookmarkEnd w:id="27"/>
    <w:bookmarkEnd w:id="28"/>
    <w:bookmarkEnd w:id="29"/>
    <w:bookmarkEnd w:id="30"/>
    <w:bookmarkEnd w:id="31"/>
    <w:bookmarkEnd w:id="32"/>
    <w:bookmarkEnd w:id="33"/>
    <w:bookmarkEnd w:id="34"/>
    <w:bookmarkEnd w:id="35"/>
    <w:p>
      <w:pPr>
        <w:widowControl/>
        <w:spacing w:line="360" w:lineRule="auto"/>
        <w:ind w:firstLine="210" w:firstLineChars="1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招标单位联系人：</w:t>
      </w:r>
      <w:r>
        <w:rPr>
          <w:rFonts w:hint="eastAsia" w:ascii="宋体" w:hAnsi="宋体"/>
          <w:color w:val="auto"/>
          <w:kern w:val="0"/>
          <w:szCs w:val="21"/>
          <w:highlight w:val="none"/>
          <w:u w:val="single"/>
        </w:rPr>
        <w:t>侯工</w:t>
      </w:r>
      <w:r>
        <w:rPr>
          <w:rFonts w:hint="eastAsia" w:ascii="宋体" w:hAnsi="宋体"/>
          <w:color w:val="auto"/>
          <w:kern w:val="0"/>
          <w:szCs w:val="21"/>
          <w:highlight w:val="none"/>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xml:space="preserve">15924371836 </w:t>
      </w:r>
    </w:p>
    <w:p>
      <w:pPr>
        <w:widowControl/>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招标代理联系人：</w:t>
      </w:r>
      <w:r>
        <w:rPr>
          <w:rFonts w:hint="eastAsia" w:ascii="宋体" w:hAnsi="宋体"/>
          <w:color w:val="auto"/>
          <w:kern w:val="0"/>
          <w:szCs w:val="21"/>
          <w:highlight w:val="none"/>
          <w:u w:val="single"/>
        </w:rPr>
        <w:t>张工</w:t>
      </w:r>
      <w:r>
        <w:rPr>
          <w:rFonts w:hint="eastAsia" w:ascii="宋体" w:hAnsi="宋体"/>
          <w:color w:val="auto"/>
          <w:kern w:val="0"/>
          <w:szCs w:val="21"/>
          <w:highlight w:val="none"/>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13450260413</w:t>
      </w:r>
      <w:r>
        <w:rPr>
          <w:rFonts w:hint="eastAsia" w:ascii="宋体" w:hAnsi="宋体"/>
          <w:color w:val="auto"/>
          <w:kern w:val="0"/>
          <w:szCs w:val="21"/>
          <w:highlight w:val="none"/>
          <w:u w:val="single"/>
        </w:rPr>
        <w:t xml:space="preserve"> </w:t>
      </w:r>
    </w:p>
    <w:p>
      <w:pPr>
        <w:widowControl/>
        <w:spacing w:line="360" w:lineRule="auto"/>
        <w:jc w:val="right"/>
        <w:rPr>
          <w:rFonts w:hint="eastAsia" w:ascii="宋体" w:hAnsi="宋体" w:cs="宋体"/>
          <w:color w:val="auto"/>
          <w:kern w:val="0"/>
          <w:szCs w:val="21"/>
          <w:highlight w:val="none"/>
        </w:rPr>
      </w:pPr>
    </w:p>
    <w:p>
      <w:pPr>
        <w:widowControl/>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招标单位：</w:t>
      </w:r>
      <w:r>
        <w:rPr>
          <w:rFonts w:hint="eastAsia" w:ascii="宋体" w:hAnsi="宋体"/>
          <w:color w:val="auto"/>
          <w:kern w:val="0"/>
          <w:szCs w:val="21"/>
          <w:highlight w:val="none"/>
          <w:u w:val="single"/>
        </w:rPr>
        <w:t>廉江市绿色东方新能源有限公司</w:t>
      </w:r>
    </w:p>
    <w:p>
      <w:pPr>
        <w:widowControl/>
        <w:spacing w:line="360" w:lineRule="auto"/>
        <w:jc w:val="right"/>
        <w:rPr>
          <w:rFonts w:hint="eastAsia" w:ascii="宋体" w:hAnsi="宋体"/>
          <w:color w:val="auto"/>
          <w:kern w:val="0"/>
          <w:szCs w:val="21"/>
          <w:highlight w:val="none"/>
          <w:u w:val="single"/>
        </w:rPr>
      </w:pPr>
      <w:r>
        <w:rPr>
          <w:rFonts w:hint="eastAsia" w:ascii="宋体" w:hAnsi="宋体" w:cs="宋体"/>
          <w:color w:val="auto"/>
          <w:kern w:val="0"/>
          <w:szCs w:val="21"/>
          <w:highlight w:val="none"/>
        </w:rPr>
        <w:t>招标代理机构：</w:t>
      </w:r>
      <w:r>
        <w:rPr>
          <w:rFonts w:hint="eastAsia" w:ascii="宋体" w:hAnsi="宋体"/>
          <w:color w:val="auto"/>
          <w:kern w:val="0"/>
          <w:szCs w:val="21"/>
          <w:highlight w:val="none"/>
          <w:u w:val="single"/>
        </w:rPr>
        <w:t>广东粤能工程管理有限公司</w:t>
      </w:r>
    </w:p>
    <w:p>
      <w:pPr>
        <w:pStyle w:val="2"/>
        <w:jc w:val="right"/>
        <w:rPr>
          <w:rFonts w:hAnsi="宋体"/>
          <w:color w:val="auto"/>
          <w:sz w:val="21"/>
          <w:szCs w:val="21"/>
          <w:highlight w:val="none"/>
        </w:rPr>
      </w:pPr>
      <w:r>
        <w:rPr>
          <w:rFonts w:hAnsi="宋体"/>
          <w:color w:val="auto"/>
          <w:sz w:val="21"/>
          <w:szCs w:val="21"/>
          <w:highlight w:val="none"/>
          <w:u w:val="single"/>
        </w:rPr>
        <w:t>20</w:t>
      </w:r>
      <w:r>
        <w:rPr>
          <w:rFonts w:hint="eastAsia" w:hAnsi="宋体"/>
          <w:color w:val="auto"/>
          <w:sz w:val="21"/>
          <w:szCs w:val="21"/>
          <w:highlight w:val="none"/>
          <w:u w:val="single"/>
        </w:rPr>
        <w:t>22</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p>
    <w:p>
      <w:pPr>
        <w:snapToGrid w:val="0"/>
        <w:spacing w:line="360" w:lineRule="auto"/>
        <w:jc w:val="left"/>
        <w:outlineLvl w:val="1"/>
        <w:rPr>
          <w:rFonts w:ascii="宋体" w:hAnsi="宋体" w:cs="宋体"/>
          <w:b/>
          <w:bCs/>
          <w:color w:val="auto"/>
          <w:kern w:val="0"/>
          <w:sz w:val="24"/>
          <w:highlight w:val="none"/>
        </w:rPr>
      </w:pPr>
      <w:r>
        <w:rPr>
          <w:rFonts w:hAnsi="宋体"/>
          <w:color w:val="auto"/>
          <w:sz w:val="24"/>
          <w:highlight w:val="none"/>
        </w:rPr>
        <w:br w:type="page"/>
      </w:r>
      <w:r>
        <w:rPr>
          <w:rFonts w:hint="eastAsia" w:ascii="宋体" w:hAnsi="宋体" w:cs="宋体"/>
          <w:b/>
          <w:bCs/>
          <w:color w:val="auto"/>
          <w:kern w:val="0"/>
          <w:sz w:val="24"/>
          <w:highlight w:val="none"/>
        </w:rPr>
        <w:t>附件一：投标人声明</w:t>
      </w:r>
    </w:p>
    <w:p>
      <w:pPr>
        <w:widowControl/>
        <w:snapToGrid w:val="0"/>
        <w:spacing w:before="120" w:beforeLines="50" w:after="120" w:afterLines="50"/>
        <w:ind w:right="386"/>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投标人声明</w:t>
      </w:r>
    </w:p>
    <w:p>
      <w:pPr>
        <w:snapToGrid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本招标项目招标人及招标监管机构：</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项目投标工作，作出郑重声明：</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一、本公司保证投标</w:t>
      </w:r>
      <w:r>
        <w:rPr>
          <w:rFonts w:hint="eastAsia" w:ascii="宋体" w:hAnsi="宋体" w:cs="宋体"/>
          <w:color w:val="auto"/>
          <w:kern w:val="0"/>
          <w:szCs w:val="21"/>
          <w:highlight w:val="none"/>
          <w:u w:val="single"/>
        </w:rPr>
        <w:t>登记</w:t>
      </w:r>
      <w:r>
        <w:rPr>
          <w:rFonts w:hint="eastAsia" w:ascii="宋体" w:hAnsi="宋体" w:cs="宋体"/>
          <w:color w:val="auto"/>
          <w:kern w:val="0"/>
          <w:szCs w:val="21"/>
          <w:highlight w:val="none"/>
        </w:rPr>
        <w:t>材料及其后提供的一切材料都是真实的。如我司成为本项目中标候选人，我司同意并授权招标人将我司投标文件商务部分的人员、业绩、奖项等资料进行公开。</w:t>
      </w:r>
    </w:p>
    <w:p>
      <w:pPr>
        <w:snapToGrid w:val="0"/>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三、本公司不存在招标文件第二章投标人须知第1.4.3项所规定的任何一种情形。</w:t>
      </w:r>
    </w:p>
    <w:p>
      <w:pPr>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四、本公司及其有隶属关系的机构，没有参加本项目招标文件的编写工作；本公司与本次招标的招标代理机构没有隶属关系或其他利害关系。</w:t>
      </w:r>
    </w:p>
    <w:p>
      <w:pPr>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五、本公司承诺，中标后严格执行安全生产相关管理规定。</w:t>
      </w:r>
    </w:p>
    <w:p>
      <w:pPr>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六、与本公司单位负责人为同一人或者与本公司存在控股、管理关系的其他单位包括：</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。（注：本条由投标人如实填写，如有，应列出全部满足招标公告资质要求的相关单位的名称；如无，则填写“无”。）</w:t>
      </w:r>
    </w:p>
    <w:p>
      <w:pPr>
        <w:widowControl/>
        <w:shd w:val="clear" w:color="auto" w:fill="FFFFFF"/>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本公司违反上述保证，或本声明陈述与事实不符，经查实，本公司愿意接受公开通报，承担由此带来的法律后果。</w:t>
      </w:r>
    </w:p>
    <w:p>
      <w:pPr>
        <w:widowControl/>
        <w:shd w:val="clear" w:color="auto" w:fill="FFFFFF"/>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特此声明。</w:t>
      </w:r>
    </w:p>
    <w:p>
      <w:pPr>
        <w:snapToGrid w:val="0"/>
        <w:spacing w:line="360" w:lineRule="auto"/>
        <w:ind w:firstLine="3780" w:firstLineChars="1800"/>
        <w:rPr>
          <w:rFonts w:hint="eastAsia" w:ascii="宋体" w:hAnsi="宋体" w:cs="宋体"/>
          <w:color w:val="auto"/>
          <w:kern w:val="0"/>
          <w:szCs w:val="21"/>
          <w:highlight w:val="none"/>
        </w:rPr>
      </w:pPr>
    </w:p>
    <w:p>
      <w:pPr>
        <w:snapToGrid w:val="0"/>
        <w:spacing w:line="360" w:lineRule="auto"/>
        <w:ind w:firstLine="4536" w:firstLineChars="216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声明企业：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(企业公章)</w:t>
      </w:r>
    </w:p>
    <w:p>
      <w:pPr>
        <w:snapToGrid w:val="0"/>
        <w:spacing w:line="360" w:lineRule="auto"/>
        <w:ind w:firstLine="4536" w:firstLineChars="216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总监理工程师：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（签字）</w:t>
      </w:r>
    </w:p>
    <w:p>
      <w:pPr>
        <w:snapToGrid w:val="0"/>
        <w:spacing w:line="360" w:lineRule="auto"/>
        <w:ind w:firstLine="4536" w:firstLineChars="216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法定代表人签字： </w:t>
      </w:r>
      <w:r>
        <w:rPr>
          <w:rFonts w:ascii="宋体" w:hAnsi="宋体" w:cs="宋体"/>
          <w:color w:val="auto"/>
          <w:kern w:val="0"/>
          <w:szCs w:val="21"/>
          <w:highlight w:val="none"/>
        </w:rPr>
        <w:t xml:space="preserve">               </w:t>
      </w:r>
    </w:p>
    <w:p>
      <w:pPr>
        <w:spacing w:line="360" w:lineRule="auto"/>
        <w:ind w:firstLine="5103" w:firstLineChars="243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   月   日</w:t>
      </w:r>
    </w:p>
    <w:p>
      <w:pPr>
        <w:pStyle w:val="3"/>
        <w:keepNext w:val="0"/>
        <w:keepLines w:val="0"/>
        <w:spacing w:before="120" w:line="240" w:lineRule="auto"/>
        <w:jc w:val="center"/>
        <w:rPr>
          <w:rFonts w:ascii="宋体" w:hAnsi="宋体"/>
          <w:color w:val="auto"/>
          <w:sz w:val="36"/>
          <w:szCs w:val="16"/>
          <w:highlight w:val="none"/>
        </w:rPr>
      </w:pPr>
      <w:r>
        <w:rPr>
          <w:rFonts w:hAnsi="宋体"/>
          <w:color w:val="auto"/>
          <w:sz w:val="24"/>
          <w:highlight w:val="none"/>
        </w:rPr>
        <w:br w:type="page"/>
      </w:r>
      <w:bookmarkStart w:id="36" w:name="_Toc18321"/>
      <w:r>
        <w:rPr>
          <w:rFonts w:hint="eastAsia" w:ascii="宋体" w:hAnsi="宋体"/>
          <w:color w:val="auto"/>
          <w:sz w:val="36"/>
          <w:szCs w:val="16"/>
          <w:highlight w:val="none"/>
        </w:rPr>
        <w:t>第二章 投标人须知</w:t>
      </w:r>
      <w:bookmarkEnd w:id="36"/>
    </w:p>
    <w:p>
      <w:pPr>
        <w:pStyle w:val="3"/>
        <w:keepNext w:val="0"/>
        <w:keepLines w:val="0"/>
        <w:spacing w:before="120" w:line="240" w:lineRule="auto"/>
        <w:jc w:val="center"/>
        <w:rPr>
          <w:rFonts w:ascii="宋体" w:hAnsi="宋体"/>
          <w:color w:val="auto"/>
          <w:sz w:val="32"/>
          <w:szCs w:val="15"/>
          <w:highlight w:val="none"/>
        </w:rPr>
      </w:pPr>
      <w:bookmarkStart w:id="37" w:name="_Toc31903"/>
      <w:bookmarkStart w:id="38" w:name="_Toc529196512"/>
      <w:bookmarkStart w:id="39" w:name="_Toc535938711"/>
      <w:bookmarkStart w:id="40" w:name="_Toc530470621"/>
      <w:r>
        <w:rPr>
          <w:rFonts w:hint="eastAsia" w:ascii="宋体" w:hAnsi="宋体"/>
          <w:color w:val="auto"/>
          <w:sz w:val="32"/>
          <w:szCs w:val="15"/>
          <w:highlight w:val="none"/>
        </w:rPr>
        <w:t>投标人须知前附表</w:t>
      </w:r>
      <w:bookmarkEnd w:id="37"/>
    </w:p>
    <w:tbl>
      <w:tblPr>
        <w:tblStyle w:val="18"/>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8"/>
        <w:gridCol w:w="2208"/>
        <w:gridCol w:w="68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958" w:type="dxa"/>
            <w:tcBorders>
              <w:top w:val="single" w:color="auto" w:sz="4"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2208" w:type="dxa"/>
            <w:tcBorders>
              <w:top w:val="single" w:color="auto" w:sz="4"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6899" w:type="dxa"/>
            <w:tcBorders>
              <w:top w:val="single" w:color="auto" w:sz="4" w:space="0"/>
              <w:left w:val="single" w:color="auto" w:sz="6" w:space="0"/>
              <w:bottom w:val="single" w:color="auto" w:sz="6" w:space="0"/>
              <w:right w:val="single" w:color="auto" w:sz="4" w:space="0"/>
            </w:tcBorders>
            <w:noWrap/>
            <w:vAlign w:val="center"/>
          </w:tcPr>
          <w:p>
            <w:pPr>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1.1.2</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 xml:space="preserve">名 </w:t>
            </w:r>
            <w:r>
              <w:rPr>
                <w:rFonts w:ascii="宋体" w:hAnsi="宋体" w:cs="宋体"/>
                <w:color w:val="auto"/>
                <w:szCs w:val="21"/>
                <w:highlight w:val="none"/>
              </w:rPr>
              <w:t xml:space="preserve"> </w:t>
            </w:r>
            <w:r>
              <w:rPr>
                <w:rFonts w:hint="eastAsia" w:ascii="宋体" w:hAnsi="宋体" w:cs="宋体"/>
                <w:color w:val="auto"/>
                <w:szCs w:val="21"/>
                <w:highlight w:val="none"/>
              </w:rPr>
              <w:t>称：廉江市绿色东方新能源有限公司</w:t>
            </w:r>
          </w:p>
          <w:p>
            <w:pPr>
              <w:spacing w:line="300" w:lineRule="auto"/>
              <w:rPr>
                <w:rFonts w:ascii="宋体" w:hAnsi="宋体" w:cs="宋体"/>
                <w:color w:val="auto"/>
                <w:szCs w:val="21"/>
                <w:highlight w:val="none"/>
              </w:rPr>
            </w:pPr>
            <w:r>
              <w:rPr>
                <w:rFonts w:hint="eastAsia" w:ascii="宋体" w:hAnsi="宋体" w:cs="宋体"/>
                <w:color w:val="auto"/>
                <w:szCs w:val="21"/>
                <w:highlight w:val="none"/>
              </w:rPr>
              <w:t xml:space="preserve">地 </w:t>
            </w:r>
            <w:r>
              <w:rPr>
                <w:rFonts w:ascii="宋体" w:hAnsi="宋体" w:cs="宋体"/>
                <w:color w:val="auto"/>
                <w:szCs w:val="21"/>
                <w:highlight w:val="none"/>
              </w:rPr>
              <w:t xml:space="preserve"> </w:t>
            </w:r>
            <w:r>
              <w:rPr>
                <w:rFonts w:hint="eastAsia" w:ascii="宋体" w:hAnsi="宋体" w:cs="宋体"/>
                <w:color w:val="auto"/>
                <w:szCs w:val="21"/>
                <w:highlight w:val="none"/>
              </w:rPr>
              <w:t>址：廉江市横山镇七星岭（县道680北侧）</w:t>
            </w:r>
          </w:p>
          <w:p>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联系人：侯工</w:t>
            </w:r>
          </w:p>
          <w:p>
            <w:pPr>
              <w:spacing w:line="300" w:lineRule="auto"/>
              <w:rPr>
                <w:rFonts w:ascii="宋体" w:hAnsi="宋体"/>
                <w:color w:val="auto"/>
                <w:szCs w:val="21"/>
                <w:highlight w:val="none"/>
              </w:rPr>
            </w:pPr>
            <w:r>
              <w:rPr>
                <w:rFonts w:hint="eastAsia" w:ascii="宋体" w:hAnsi="宋体" w:cs="宋体"/>
                <w:color w:val="auto"/>
                <w:szCs w:val="21"/>
                <w:highlight w:val="none"/>
              </w:rPr>
              <w:t xml:space="preserve">电 </w:t>
            </w:r>
            <w:r>
              <w:rPr>
                <w:rFonts w:ascii="宋体" w:hAnsi="宋体" w:cs="宋体"/>
                <w:color w:val="auto"/>
                <w:szCs w:val="21"/>
                <w:highlight w:val="none"/>
              </w:rPr>
              <w:t xml:space="preserve"> </w:t>
            </w:r>
            <w:r>
              <w:rPr>
                <w:rFonts w:hint="eastAsia" w:ascii="宋体" w:hAnsi="宋体" w:cs="宋体"/>
                <w:color w:val="auto"/>
                <w:szCs w:val="21"/>
                <w:highlight w:val="none"/>
              </w:rPr>
              <w:t>话：</w:t>
            </w:r>
            <w:r>
              <w:rPr>
                <w:rFonts w:ascii="宋体" w:hAnsi="宋体" w:cs="宋体"/>
                <w:color w:val="auto"/>
                <w:szCs w:val="21"/>
                <w:highlight w:val="none"/>
              </w:rPr>
              <w:t>15924371836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1.1.3</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招标代理机构</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hint="eastAsia" w:ascii="宋体" w:hAnsi="宋体"/>
                <w:color w:val="auto"/>
                <w:szCs w:val="21"/>
                <w:highlight w:val="none"/>
              </w:rPr>
            </w:pPr>
            <w:r>
              <w:rPr>
                <w:rFonts w:ascii="宋体" w:hAnsi="宋体"/>
                <w:color w:val="auto"/>
                <w:szCs w:val="21"/>
                <w:highlight w:val="none"/>
              </w:rPr>
              <w:t>名</w:t>
            </w:r>
            <w:r>
              <w:rPr>
                <w:rFonts w:hint="eastAsia" w:ascii="宋体" w:hAnsi="宋体"/>
                <w:color w:val="auto"/>
                <w:szCs w:val="21"/>
                <w:highlight w:val="none"/>
              </w:rPr>
              <w:t xml:space="preserve"> </w:t>
            </w:r>
            <w:r>
              <w:rPr>
                <w:rFonts w:ascii="宋体" w:hAnsi="宋体"/>
                <w:color w:val="auto"/>
                <w:szCs w:val="21"/>
                <w:highlight w:val="none"/>
              </w:rPr>
              <w:t xml:space="preserve"> 称：</w:t>
            </w:r>
            <w:r>
              <w:rPr>
                <w:rFonts w:hint="eastAsia" w:ascii="宋体" w:hAnsi="宋体"/>
                <w:color w:val="auto"/>
                <w:szCs w:val="21"/>
                <w:highlight w:val="none"/>
              </w:rPr>
              <w:t>广东粤能工程管理有限公司</w:t>
            </w:r>
          </w:p>
          <w:p>
            <w:pPr>
              <w:spacing w:line="300" w:lineRule="auto"/>
              <w:rPr>
                <w:rFonts w:ascii="宋体" w:hAnsi="宋体"/>
                <w:color w:val="auto"/>
                <w:szCs w:val="21"/>
                <w:highlight w:val="none"/>
              </w:rPr>
            </w:pPr>
            <w:r>
              <w:rPr>
                <w:rFonts w:ascii="宋体" w:hAnsi="宋体"/>
                <w:color w:val="auto"/>
                <w:szCs w:val="21"/>
                <w:highlight w:val="none"/>
              </w:rPr>
              <w:t>地</w:t>
            </w:r>
            <w:r>
              <w:rPr>
                <w:rFonts w:hint="eastAsia" w:ascii="宋体" w:hAnsi="宋体"/>
                <w:color w:val="auto"/>
                <w:szCs w:val="21"/>
                <w:highlight w:val="none"/>
              </w:rPr>
              <w:t xml:space="preserve"> </w:t>
            </w:r>
            <w:r>
              <w:rPr>
                <w:rFonts w:ascii="宋体" w:hAnsi="宋体"/>
                <w:color w:val="auto"/>
                <w:szCs w:val="21"/>
                <w:highlight w:val="none"/>
              </w:rPr>
              <w:t xml:space="preserve"> 址：</w:t>
            </w:r>
            <w:r>
              <w:rPr>
                <w:rFonts w:hint="eastAsia" w:ascii="宋体" w:hAnsi="宋体"/>
                <w:color w:val="auto"/>
                <w:szCs w:val="21"/>
                <w:highlight w:val="none"/>
              </w:rPr>
              <w:t>广东省广州市天河区华观路明旭街1号自编B1-2栋5楼521室</w:t>
            </w:r>
          </w:p>
          <w:p>
            <w:pPr>
              <w:spacing w:line="300" w:lineRule="auto"/>
              <w:rPr>
                <w:rFonts w:ascii="宋体" w:hAnsi="宋体"/>
                <w:color w:val="auto"/>
                <w:szCs w:val="21"/>
                <w:highlight w:val="none"/>
              </w:rPr>
            </w:pPr>
            <w:r>
              <w:rPr>
                <w:rFonts w:hint="eastAsia" w:ascii="宋体" w:hAnsi="宋体"/>
                <w:color w:val="auto"/>
                <w:szCs w:val="21"/>
                <w:highlight w:val="none"/>
              </w:rPr>
              <w:t>联系人：张工</w:t>
            </w:r>
          </w:p>
          <w:p>
            <w:pPr>
              <w:spacing w:line="300" w:lineRule="auto"/>
              <w:rPr>
                <w:rFonts w:ascii="宋体" w:hAnsi="宋体"/>
                <w:color w:val="auto"/>
                <w:szCs w:val="21"/>
                <w:highlight w:val="none"/>
              </w:rPr>
            </w:pPr>
            <w:r>
              <w:rPr>
                <w:rFonts w:hint="eastAsia" w:ascii="宋体" w:hAnsi="宋体"/>
                <w:color w:val="auto"/>
                <w:szCs w:val="21"/>
                <w:highlight w:val="none"/>
              </w:rPr>
              <w:t xml:space="preserve">电 </w:t>
            </w:r>
            <w:r>
              <w:rPr>
                <w:rFonts w:ascii="宋体" w:hAnsi="宋体"/>
                <w:color w:val="auto"/>
                <w:szCs w:val="21"/>
                <w:highlight w:val="none"/>
              </w:rPr>
              <w:t xml:space="preserve"> </w:t>
            </w:r>
            <w:r>
              <w:rPr>
                <w:rFonts w:hint="eastAsia" w:ascii="宋体" w:hAnsi="宋体"/>
                <w:color w:val="auto"/>
                <w:szCs w:val="21"/>
                <w:highlight w:val="none"/>
              </w:rPr>
              <w:t>话：13450260413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1.1.4</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招标项目名称</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ind w:firstLine="29" w:firstLineChars="14"/>
              <w:rPr>
                <w:rFonts w:ascii="宋体" w:hAnsi="宋体"/>
                <w:color w:val="auto"/>
                <w:szCs w:val="21"/>
                <w:highlight w:val="none"/>
              </w:rPr>
            </w:pPr>
            <w:r>
              <w:rPr>
                <w:rFonts w:hint="eastAsia" w:ascii="宋体" w:hAnsi="宋体"/>
                <w:color w:val="auto"/>
                <w:szCs w:val="21"/>
                <w:highlight w:val="none"/>
              </w:rPr>
              <w:t>廉江市生活垃圾焚烧发电二期项目监理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1.1.5</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项目建设地点</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湛江市廉江市横山镇七星岭廉江市生活垃圾焚烧发电厂内。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1.1.6</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项目建设规模</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olor w:val="auto"/>
                <w:szCs w:val="21"/>
                <w:highlight w:val="none"/>
              </w:rPr>
            </w:pPr>
            <w:r>
              <w:rPr>
                <w:rFonts w:ascii="宋体" w:hAnsi="宋体"/>
                <w:color w:val="auto"/>
                <w:szCs w:val="21"/>
                <w:highlight w:val="none"/>
              </w:rPr>
              <w:t>企业自筹</w:t>
            </w:r>
            <w:r>
              <w:rPr>
                <w:rFonts w:hint="eastAsia" w:ascii="宋体" w:hAnsi="宋体"/>
                <w:color w:val="auto"/>
                <w:szCs w:val="21"/>
                <w:highlight w:val="none"/>
              </w:rPr>
              <w:t>30%，其余贷款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1.1.7</w:t>
            </w:r>
          </w:p>
        </w:tc>
        <w:tc>
          <w:tcPr>
            <w:tcW w:w="2208" w:type="dxa"/>
            <w:tcBorders>
              <w:top w:val="single" w:color="auto" w:sz="6" w:space="0"/>
              <w:left w:val="single" w:color="auto" w:sz="6" w:space="0"/>
              <w:bottom w:val="single" w:color="auto" w:sz="6" w:space="0"/>
              <w:right w:val="single" w:color="auto" w:sz="6" w:space="0"/>
            </w:tcBorders>
            <w:noWrap/>
            <w:vAlign w:val="bottom"/>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工程项目施工预计开工日期和建设周期</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jc w:val="left"/>
              <w:rPr>
                <w:rFonts w:ascii="宋体" w:hAnsi="宋体"/>
                <w:color w:val="auto"/>
                <w:szCs w:val="21"/>
                <w:highlight w:val="none"/>
              </w:rPr>
            </w:pPr>
            <w:r>
              <w:rPr>
                <w:rFonts w:hint="eastAsia" w:ascii="宋体" w:hAnsi="宋体"/>
                <w:color w:val="auto"/>
                <w:szCs w:val="21"/>
                <w:highlight w:val="none"/>
              </w:rPr>
              <w:t>计划202</w:t>
            </w:r>
            <w:r>
              <w:rPr>
                <w:rFonts w:ascii="宋体" w:hAnsi="宋体"/>
                <w:color w:val="auto"/>
                <w:szCs w:val="21"/>
                <w:highlight w:val="none"/>
              </w:rPr>
              <w:t>2</w:t>
            </w:r>
            <w:r>
              <w:rPr>
                <w:rFonts w:hint="eastAsia" w:ascii="宋体" w:hAnsi="宋体"/>
                <w:color w:val="auto"/>
                <w:szCs w:val="21"/>
                <w:highlight w:val="none"/>
              </w:rPr>
              <w:t xml:space="preserve">月   月  </w:t>
            </w:r>
            <w:r>
              <w:rPr>
                <w:rFonts w:ascii="宋体" w:hAnsi="宋体"/>
                <w:color w:val="auto"/>
                <w:szCs w:val="21"/>
                <w:highlight w:val="none"/>
              </w:rPr>
              <w:t xml:space="preserve"> </w:t>
            </w:r>
            <w:r>
              <w:rPr>
                <w:rFonts w:hint="eastAsia" w:ascii="宋体" w:hAnsi="宋体"/>
                <w:color w:val="auto"/>
                <w:szCs w:val="21"/>
                <w:highlight w:val="none"/>
              </w:rPr>
              <w:t>日开始前期阶段监理工作，计划竣工日期为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1.1.8</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建筑安装工程费</w:t>
            </w:r>
          </w:p>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/工程概算</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jc w:val="left"/>
              <w:rPr>
                <w:rFonts w:ascii="宋体" w:hAnsi="宋体"/>
                <w:color w:val="auto"/>
                <w:szCs w:val="21"/>
                <w:highlight w:val="none"/>
              </w:rPr>
            </w:pPr>
            <w:r>
              <w:rPr>
                <w:rFonts w:hint="eastAsia" w:ascii="宋体" w:hAnsi="宋体"/>
                <w:color w:val="auto"/>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1.2.1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资金来源及比例</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ind w:left="40" w:leftChars="19" w:right="107" w:rightChars="51"/>
              <w:rPr>
                <w:rFonts w:ascii="宋体" w:hAnsi="宋体"/>
                <w:color w:val="auto"/>
                <w:szCs w:val="21"/>
                <w:highlight w:val="none"/>
              </w:rPr>
            </w:pPr>
            <w:r>
              <w:rPr>
                <w:rFonts w:hint="eastAsia" w:ascii="宋体" w:hAnsi="宋体"/>
                <w:color w:val="auto"/>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1.2.2</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资金落实情况</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1.3.1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招标范围</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ind w:right="106"/>
              <w:rPr>
                <w:rFonts w:ascii="宋体" w:hAnsi="宋体"/>
                <w:color w:val="auto"/>
                <w:szCs w:val="21"/>
                <w:highlight w:val="none"/>
              </w:rPr>
            </w:pPr>
            <w:r>
              <w:rPr>
                <w:rFonts w:hint="eastAsia" w:ascii="宋体" w:hAnsi="宋体"/>
                <w:color w:val="auto"/>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1.3.2</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监理服务期限</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ind w:left="40" w:leftChars="19" w:right="107" w:rightChars="51"/>
              <w:rPr>
                <w:rFonts w:ascii="宋体" w:hAnsi="宋体"/>
                <w:color w:val="auto"/>
                <w:szCs w:val="21"/>
                <w:highlight w:val="none"/>
              </w:rPr>
            </w:pPr>
            <w:r>
              <w:rPr>
                <w:rFonts w:hint="eastAsia" w:ascii="宋体" w:hAnsi="宋体"/>
                <w:color w:val="auto"/>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1.3.3</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质量标准</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olor w:val="auto"/>
                <w:szCs w:val="21"/>
                <w:highlight w:val="none"/>
                <w:u w:val="single"/>
              </w:rPr>
            </w:pPr>
            <w:r>
              <w:rPr>
                <w:rFonts w:hint="eastAsia" w:ascii="宋体" w:hAnsi="宋体"/>
                <w:color w:val="auto"/>
                <w:spacing w:val="4"/>
                <w:kern w:val="0"/>
                <w:szCs w:val="21"/>
                <w:highlight w:val="none"/>
                <w:u w:val="single"/>
              </w:rPr>
              <w:t>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1.4.1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投标人资质条件、能力、信誉</w:t>
            </w:r>
          </w:p>
        </w:tc>
        <w:tc>
          <w:tcPr>
            <w:tcW w:w="6899" w:type="dxa"/>
            <w:tcBorders>
              <w:top w:val="single" w:color="auto" w:sz="6" w:space="0"/>
              <w:left w:val="single" w:color="auto" w:sz="6" w:space="0"/>
              <w:bottom w:val="single" w:color="auto" w:sz="6" w:space="0"/>
              <w:right w:val="single" w:color="auto" w:sz="4" w:space="0"/>
            </w:tcBorders>
            <w:noWrap/>
            <w:vAlign w:val="center"/>
          </w:tcPr>
          <w:p>
            <w:pPr>
              <w:numPr>
                <w:ilvl w:val="0"/>
                <w:numId w:val="1"/>
              </w:numPr>
              <w:snapToGrid w:val="0"/>
              <w:spacing w:before="120" w:line="300" w:lineRule="auto"/>
              <w:ind w:hangingChars="200"/>
              <w:rPr>
                <w:rFonts w:ascii="宋体" w:hAnsi="宋体"/>
                <w:color w:val="auto"/>
                <w:szCs w:val="21"/>
                <w:highlight w:val="none"/>
              </w:rPr>
            </w:pPr>
            <w:r>
              <w:rPr>
                <w:rFonts w:hint="eastAsia" w:ascii="宋体" w:hAnsi="宋体"/>
                <w:color w:val="auto"/>
                <w:szCs w:val="21"/>
                <w:highlight w:val="none"/>
              </w:rPr>
              <w:t>资质要求：</w:t>
            </w:r>
            <w:r>
              <w:rPr>
                <w:rFonts w:hint="eastAsia" w:ascii="宋体" w:hAnsi="宋体"/>
                <w:color w:val="auto"/>
                <w:szCs w:val="21"/>
                <w:highlight w:val="none"/>
                <w:u w:val="single"/>
              </w:rPr>
              <w:t>见招标公告投标人资格要求；</w:t>
            </w:r>
          </w:p>
          <w:p>
            <w:pPr>
              <w:numPr>
                <w:ilvl w:val="0"/>
                <w:numId w:val="1"/>
              </w:numPr>
              <w:snapToGrid w:val="0"/>
              <w:spacing w:line="300" w:lineRule="auto"/>
              <w:rPr>
                <w:rFonts w:ascii="宋体" w:hAnsi="宋体"/>
                <w:color w:val="auto"/>
                <w:szCs w:val="21"/>
                <w:highlight w:val="none"/>
              </w:rPr>
            </w:pPr>
            <w:r>
              <w:rPr>
                <w:rFonts w:hint="eastAsia" w:ascii="宋体" w:hAnsi="宋体"/>
                <w:color w:val="auto"/>
                <w:szCs w:val="21"/>
                <w:highlight w:val="none"/>
              </w:rPr>
              <w:t>财务要求：</w:t>
            </w:r>
            <w:r>
              <w:rPr>
                <w:rFonts w:hint="eastAsia" w:ascii="宋体" w:hAnsi="宋体"/>
                <w:color w:val="auto"/>
                <w:szCs w:val="21"/>
                <w:highlight w:val="none"/>
                <w:u w:val="single"/>
              </w:rPr>
              <w:t>/</w:t>
            </w:r>
          </w:p>
          <w:p>
            <w:pPr>
              <w:numPr>
                <w:ilvl w:val="0"/>
                <w:numId w:val="1"/>
              </w:numPr>
              <w:snapToGrid w:val="0"/>
              <w:spacing w:line="300" w:lineRule="auto"/>
              <w:rPr>
                <w:rFonts w:ascii="宋体" w:hAnsi="宋体"/>
                <w:color w:val="auto"/>
                <w:szCs w:val="21"/>
                <w:highlight w:val="none"/>
              </w:rPr>
            </w:pPr>
            <w:r>
              <w:rPr>
                <w:rFonts w:hint="eastAsia" w:ascii="宋体" w:hAnsi="宋体"/>
                <w:color w:val="auto"/>
                <w:szCs w:val="21"/>
                <w:highlight w:val="none"/>
              </w:rPr>
              <w:t>业绩要求：</w:t>
            </w:r>
            <w:r>
              <w:rPr>
                <w:rFonts w:hint="eastAsia" w:ascii="宋体" w:hAnsi="宋体"/>
                <w:color w:val="auto"/>
                <w:szCs w:val="21"/>
                <w:highlight w:val="none"/>
                <w:u w:val="single"/>
              </w:rPr>
              <w:t>见招标公告投标人资格要求；</w:t>
            </w:r>
          </w:p>
          <w:p>
            <w:pPr>
              <w:numPr>
                <w:ilvl w:val="0"/>
                <w:numId w:val="1"/>
              </w:numPr>
              <w:snapToGrid w:val="0"/>
              <w:spacing w:line="300" w:lineRule="auto"/>
              <w:rPr>
                <w:rFonts w:ascii="宋体" w:hAnsi="宋体"/>
                <w:color w:val="auto"/>
                <w:szCs w:val="21"/>
                <w:highlight w:val="none"/>
              </w:rPr>
            </w:pPr>
            <w:r>
              <w:rPr>
                <w:rFonts w:hint="eastAsia" w:ascii="宋体" w:hAnsi="宋体"/>
                <w:color w:val="auto"/>
                <w:szCs w:val="21"/>
                <w:highlight w:val="none"/>
              </w:rPr>
              <w:t>信誉要求：</w:t>
            </w:r>
            <w:r>
              <w:rPr>
                <w:rFonts w:hint="eastAsia" w:ascii="宋体" w:hAnsi="宋体"/>
                <w:color w:val="auto"/>
                <w:szCs w:val="21"/>
                <w:highlight w:val="none"/>
                <w:u w:val="single"/>
              </w:rPr>
              <w:t>/</w:t>
            </w:r>
          </w:p>
          <w:p>
            <w:pPr>
              <w:numPr>
                <w:ilvl w:val="0"/>
                <w:numId w:val="1"/>
              </w:numPr>
              <w:snapToGrid w:val="0"/>
              <w:spacing w:line="300" w:lineRule="auto"/>
              <w:ind w:right="106"/>
              <w:jc w:val="left"/>
              <w:rPr>
                <w:rFonts w:ascii="宋体" w:hAnsi="宋体"/>
                <w:color w:val="auto"/>
                <w:szCs w:val="21"/>
                <w:highlight w:val="none"/>
              </w:rPr>
            </w:pPr>
            <w:r>
              <w:rPr>
                <w:rFonts w:hint="eastAsia" w:ascii="宋体" w:hAnsi="宋体"/>
                <w:color w:val="auto"/>
                <w:szCs w:val="21"/>
                <w:highlight w:val="none"/>
              </w:rPr>
              <w:t>总监理工程师的资格要求：</w:t>
            </w:r>
            <w:r>
              <w:rPr>
                <w:rFonts w:hint="eastAsia" w:ascii="宋体" w:hAnsi="宋体"/>
                <w:color w:val="auto"/>
                <w:szCs w:val="21"/>
                <w:highlight w:val="none"/>
                <w:u w:val="single"/>
              </w:rPr>
              <w:t>见招标公告投标人资格要求；</w:t>
            </w:r>
          </w:p>
          <w:p>
            <w:pPr>
              <w:numPr>
                <w:ilvl w:val="0"/>
                <w:numId w:val="1"/>
              </w:numPr>
              <w:snapToGrid w:val="0"/>
              <w:spacing w:line="300" w:lineRule="auto"/>
              <w:ind w:right="106"/>
              <w:rPr>
                <w:rFonts w:ascii="宋体" w:hAnsi="宋体"/>
                <w:color w:val="auto"/>
                <w:szCs w:val="21"/>
                <w:highlight w:val="none"/>
              </w:rPr>
            </w:pPr>
            <w:r>
              <w:rPr>
                <w:rFonts w:hint="eastAsia" w:ascii="宋体" w:hAnsi="宋体"/>
                <w:color w:val="auto"/>
                <w:szCs w:val="21"/>
                <w:highlight w:val="none"/>
              </w:rPr>
              <w:t>其他主要人员要求：</w:t>
            </w:r>
            <w:r>
              <w:rPr>
                <w:rFonts w:hint="eastAsia" w:ascii="宋体" w:hAnsi="宋体"/>
                <w:color w:val="auto"/>
                <w:szCs w:val="21"/>
                <w:highlight w:val="none"/>
                <w:u w:val="single"/>
              </w:rPr>
              <w:t>/</w:t>
            </w:r>
          </w:p>
          <w:p>
            <w:pPr>
              <w:numPr>
                <w:ilvl w:val="0"/>
                <w:numId w:val="1"/>
              </w:numPr>
              <w:snapToGrid w:val="0"/>
              <w:spacing w:line="300" w:lineRule="auto"/>
              <w:rPr>
                <w:rFonts w:ascii="宋体" w:hAnsi="宋体"/>
                <w:color w:val="auto"/>
                <w:szCs w:val="21"/>
                <w:highlight w:val="none"/>
              </w:rPr>
            </w:pPr>
            <w:r>
              <w:rPr>
                <w:rFonts w:hint="eastAsia" w:ascii="宋体" w:hAnsi="宋体"/>
                <w:color w:val="auto"/>
                <w:szCs w:val="21"/>
                <w:highlight w:val="none"/>
              </w:rPr>
              <w:t>试验检测仪器设备要求：</w:t>
            </w:r>
            <w:r>
              <w:rPr>
                <w:rFonts w:hint="eastAsia" w:ascii="宋体" w:hAnsi="宋体"/>
                <w:color w:val="auto"/>
                <w:szCs w:val="21"/>
                <w:highlight w:val="none"/>
                <w:u w:val="single"/>
              </w:rPr>
              <w:t>/</w:t>
            </w:r>
          </w:p>
          <w:p>
            <w:pPr>
              <w:numPr>
                <w:ilvl w:val="0"/>
                <w:numId w:val="1"/>
              </w:numPr>
              <w:snapToGrid w:val="0"/>
              <w:spacing w:line="300" w:lineRule="auto"/>
              <w:ind w:right="106"/>
              <w:rPr>
                <w:rFonts w:ascii="宋体" w:hAnsi="宋体"/>
                <w:color w:val="auto"/>
                <w:szCs w:val="21"/>
                <w:highlight w:val="none"/>
              </w:rPr>
            </w:pPr>
            <w:r>
              <w:rPr>
                <w:rFonts w:hint="eastAsia" w:ascii="宋体" w:hAnsi="宋体"/>
                <w:color w:val="auto"/>
                <w:szCs w:val="21"/>
                <w:highlight w:val="none"/>
              </w:rPr>
              <w:t>其他要求：</w:t>
            </w:r>
            <w:r>
              <w:rPr>
                <w:rFonts w:hint="eastAsia" w:ascii="宋体" w:hAnsi="宋体"/>
                <w:color w:val="auto"/>
                <w:szCs w:val="21"/>
                <w:highlight w:val="none"/>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1.4.2</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ind w:left="108" w:right="-238"/>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position w:val="3"/>
                <w:szCs w:val="21"/>
                <w:highlight w:val="none"/>
              </w:rPr>
              <w:t>不接受</w:t>
            </w:r>
          </w:p>
          <w:p>
            <w:pPr>
              <w:snapToGrid w:val="0"/>
              <w:spacing w:line="300" w:lineRule="auto"/>
              <w:ind w:firstLine="105" w:firstLineChars="50"/>
              <w:rPr>
                <w:rFonts w:ascii="宋体" w:hAnsi="宋体"/>
                <w:color w:val="auto"/>
                <w:szCs w:val="21"/>
                <w:highlight w:val="none"/>
              </w:rPr>
            </w:pPr>
            <w:r>
              <w:rPr>
                <w:rFonts w:hint="eastAsia" w:ascii="宋体" w:hAnsi="宋体"/>
                <w:color w:val="auto"/>
                <w:szCs w:val="21"/>
                <w:highlight w:val="none"/>
              </w:rPr>
              <w:t>□接受，应满足下列要求：</w:t>
            </w:r>
            <w:r>
              <w:rPr>
                <w:rFonts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1.4.3</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投标人不得存在的其他情形</w:t>
            </w:r>
          </w:p>
        </w:tc>
        <w:tc>
          <w:tcPr>
            <w:tcW w:w="6899"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line="300" w:lineRule="auto"/>
              <w:rPr>
                <w:rFonts w:ascii="宋体" w:hAnsi="宋体"/>
                <w:color w:val="auto"/>
                <w:szCs w:val="21"/>
                <w:highlight w:val="none"/>
              </w:rPr>
            </w:pPr>
            <w:r>
              <w:rPr>
                <w:rFonts w:hint="eastAsia" w:ascii="宋体" w:hAnsi="宋体"/>
                <w:color w:val="auto"/>
                <w:szCs w:val="21"/>
                <w:highlight w:val="none"/>
                <w:u w:val="single"/>
              </w:rPr>
              <w:t>（16）在近三年内投标人或其法定代表人、拟委任的总监理工程师有行贿犯罪行为的。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1.9.1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踏勘现场</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snapToGrid w:val="0"/>
              <w:spacing w:line="300" w:lineRule="auto"/>
              <w:rPr>
                <w:rFonts w:hAnsi="宋体"/>
                <w:color w:val="auto"/>
                <w:kern w:val="2"/>
                <w:sz w:val="21"/>
                <w:szCs w:val="21"/>
                <w:highlight w:val="none"/>
                <w:lang w:val="en-US" w:eastAsia="zh-CN"/>
              </w:rPr>
            </w:pPr>
            <w:r>
              <w:rPr>
                <w:rFonts w:hint="eastAsia" w:hAnsi="宋体"/>
                <w:color w:val="auto"/>
                <w:spacing w:val="-1"/>
                <w:kern w:val="2"/>
                <w:sz w:val="21"/>
                <w:szCs w:val="21"/>
                <w:highlight w:val="none"/>
                <w:lang w:val="en-US" w:eastAsia="zh-CN"/>
              </w:rPr>
              <w:t>■</w:t>
            </w:r>
            <w:r>
              <w:rPr>
                <w:rFonts w:hint="eastAsia" w:hAnsi="宋体"/>
                <w:color w:val="auto"/>
                <w:kern w:val="2"/>
                <w:sz w:val="21"/>
                <w:szCs w:val="21"/>
                <w:highlight w:val="none"/>
                <w:lang w:val="en-US" w:eastAsia="zh-CN"/>
              </w:rPr>
              <w:t>不组织。由投标人自行踏勘</w:t>
            </w:r>
          </w:p>
          <w:p>
            <w:pPr>
              <w:pStyle w:val="7"/>
              <w:topLinePunct/>
              <w:snapToGrid w:val="0"/>
              <w:spacing w:line="300" w:lineRule="auto"/>
              <w:rPr>
                <w:rFonts w:hAnsi="宋体"/>
                <w:color w:val="auto"/>
                <w:kern w:val="2"/>
                <w:sz w:val="21"/>
                <w:szCs w:val="21"/>
                <w:highlight w:val="none"/>
                <w:lang w:val="en-US" w:eastAsia="zh-CN"/>
              </w:rPr>
            </w:pPr>
            <w:r>
              <w:rPr>
                <w:rFonts w:hint="eastAsia" w:hAnsi="宋体"/>
                <w:color w:val="auto"/>
                <w:kern w:val="2"/>
                <w:sz w:val="21"/>
                <w:szCs w:val="21"/>
                <w:highlight w:val="none"/>
                <w:lang w:val="en-US" w:eastAsia="zh-CN"/>
              </w:rPr>
              <w:t>□组织，踏勘时间：</w:t>
            </w:r>
            <w:r>
              <w:rPr>
                <w:rFonts w:hint="eastAsia" w:hAnsi="宋体"/>
                <w:color w:val="auto"/>
                <w:sz w:val="21"/>
                <w:szCs w:val="21"/>
                <w:highlight w:val="none"/>
                <w:u w:val="single"/>
                <w:lang w:val="en-US" w:eastAsia="zh-CN"/>
              </w:rPr>
              <w:t>/</w:t>
            </w:r>
          </w:p>
          <w:p>
            <w:pPr>
              <w:pStyle w:val="7"/>
              <w:topLinePunct/>
              <w:snapToGrid w:val="0"/>
              <w:spacing w:line="300" w:lineRule="auto"/>
              <w:ind w:firstLine="884" w:firstLineChars="421"/>
              <w:rPr>
                <w:rFonts w:hAnsi="宋体"/>
                <w:color w:val="auto"/>
                <w:kern w:val="2"/>
                <w:sz w:val="21"/>
                <w:szCs w:val="21"/>
                <w:highlight w:val="none"/>
                <w:lang w:val="en-US" w:eastAsia="zh-CN"/>
              </w:rPr>
            </w:pPr>
            <w:r>
              <w:rPr>
                <w:rFonts w:hint="eastAsia" w:hAnsi="宋体"/>
                <w:color w:val="auto"/>
                <w:kern w:val="2"/>
                <w:sz w:val="21"/>
                <w:szCs w:val="21"/>
                <w:highlight w:val="none"/>
                <w:lang w:val="en-US" w:eastAsia="zh-CN"/>
              </w:rPr>
              <w:t>踏勘集中地点：</w:t>
            </w:r>
            <w:r>
              <w:rPr>
                <w:rFonts w:hint="eastAsia" w:hAnsi="宋体"/>
                <w:color w:val="auto"/>
                <w:sz w:val="21"/>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1.10.1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投标预备会</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spacing w:line="300" w:lineRule="auto"/>
              <w:ind w:left="40" w:leftChars="19" w:right="107" w:rightChars="51"/>
              <w:rPr>
                <w:rFonts w:hAnsi="宋体"/>
                <w:color w:val="auto"/>
                <w:sz w:val="21"/>
                <w:szCs w:val="21"/>
                <w:highlight w:val="none"/>
                <w:lang w:val="en-US" w:eastAsia="zh-CN"/>
              </w:rPr>
            </w:pPr>
            <w:r>
              <w:rPr>
                <w:rFonts w:hint="eastAsia" w:hAnsi="宋体"/>
                <w:color w:val="auto"/>
                <w:sz w:val="21"/>
                <w:szCs w:val="21"/>
                <w:highlight w:val="none"/>
                <w:lang w:val="en-US" w:eastAsia="zh-CN"/>
              </w:rPr>
              <w:t>■不召开</w:t>
            </w:r>
          </w:p>
          <w:p>
            <w:pPr>
              <w:spacing w:line="300" w:lineRule="auto"/>
              <w:ind w:left="40" w:leftChars="19" w:right="107" w:rightChars="51"/>
              <w:rPr>
                <w:rFonts w:ascii="宋体" w:hAnsi="宋体"/>
                <w:color w:val="auto"/>
                <w:szCs w:val="21"/>
                <w:highlight w:val="none"/>
              </w:rPr>
            </w:pPr>
            <w:r>
              <w:rPr>
                <w:rFonts w:hint="eastAsia" w:ascii="宋体" w:hAnsi="宋体"/>
                <w:color w:val="auto"/>
                <w:szCs w:val="21"/>
                <w:highlight w:val="none"/>
              </w:rPr>
              <w:t>□召开，召开时间：</w:t>
            </w:r>
            <w:r>
              <w:rPr>
                <w:rFonts w:hint="eastAsia" w:ascii="宋体" w:hAnsi="宋体"/>
                <w:color w:val="auto"/>
                <w:szCs w:val="21"/>
                <w:highlight w:val="none"/>
                <w:u w:val="single"/>
              </w:rPr>
              <w:t>/</w:t>
            </w:r>
          </w:p>
          <w:p>
            <w:pPr>
              <w:snapToGrid w:val="0"/>
              <w:spacing w:line="300" w:lineRule="auto"/>
              <w:ind w:firstLine="884" w:firstLineChars="421"/>
              <w:rPr>
                <w:rFonts w:ascii="宋体" w:hAnsi="宋体"/>
                <w:color w:val="auto"/>
                <w:szCs w:val="21"/>
                <w:highlight w:val="none"/>
              </w:rPr>
            </w:pPr>
            <w:r>
              <w:rPr>
                <w:rFonts w:hint="eastAsia" w:ascii="宋体" w:hAnsi="宋体"/>
                <w:color w:val="auto"/>
                <w:szCs w:val="21"/>
                <w:highlight w:val="none"/>
              </w:rPr>
              <w:t>召开地点：</w:t>
            </w:r>
            <w:r>
              <w:rPr>
                <w:rFonts w:hint="eastAsia"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1.10.2</w:t>
            </w:r>
          </w:p>
        </w:tc>
        <w:tc>
          <w:tcPr>
            <w:tcW w:w="2208" w:type="dxa"/>
            <w:vMerge w:val="restart"/>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投标人在投标预备会前提出问题</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pPr>
              <w:widowControl/>
              <w:spacing w:line="300" w:lineRule="auto"/>
              <w:jc w:val="left"/>
              <w:rPr>
                <w:rFonts w:ascii="宋体" w:hAnsi="宋体"/>
                <w:color w:val="auto"/>
                <w:szCs w:val="21"/>
                <w:highlight w:val="none"/>
              </w:rPr>
            </w:pPr>
          </w:p>
        </w:tc>
        <w:tc>
          <w:tcPr>
            <w:tcW w:w="2208" w:type="dxa"/>
            <w:vMerge w:val="continue"/>
            <w:tcBorders>
              <w:top w:val="single" w:color="auto" w:sz="6" w:space="0"/>
              <w:left w:val="single" w:color="auto" w:sz="6" w:space="0"/>
              <w:bottom w:val="single" w:color="auto" w:sz="6" w:space="0"/>
              <w:right w:val="single" w:color="auto" w:sz="6" w:space="0"/>
            </w:tcBorders>
            <w:noWrap/>
            <w:vAlign w:val="center"/>
          </w:tcPr>
          <w:p>
            <w:pPr>
              <w:widowControl/>
              <w:spacing w:line="300" w:lineRule="auto"/>
              <w:jc w:val="left"/>
              <w:rPr>
                <w:rFonts w:ascii="宋体" w:hAnsi="宋体"/>
                <w:color w:val="auto"/>
                <w:szCs w:val="21"/>
                <w:highlight w:val="none"/>
              </w:rPr>
            </w:pP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olor w:val="auto"/>
                <w:szCs w:val="21"/>
                <w:highlight w:val="none"/>
              </w:rPr>
            </w:pPr>
            <w:r>
              <w:rPr>
                <w:rFonts w:hint="eastAsia" w:ascii="宋体" w:hAnsi="宋体"/>
                <w:color w:val="auto"/>
                <w:szCs w:val="21"/>
                <w:highlight w:val="none"/>
              </w:rPr>
              <w:t>形式：</w:t>
            </w:r>
            <w:r>
              <w:rPr>
                <w:rFonts w:hint="eastAsia"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1.10.3</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1.12.1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实质性要求和条件</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snapToGrid w:val="0"/>
              <w:spacing w:line="300" w:lineRule="auto"/>
              <w:rPr>
                <w:rFonts w:hAnsi="宋体"/>
                <w:color w:val="auto"/>
                <w:kern w:val="2"/>
                <w:sz w:val="21"/>
                <w:szCs w:val="21"/>
                <w:highlight w:val="none"/>
                <w:lang w:val="en-US" w:eastAsia="zh-CN"/>
              </w:rPr>
            </w:pPr>
            <w:r>
              <w:rPr>
                <w:rFonts w:hint="eastAsia" w:hAnsi="宋体"/>
                <w:color w:val="auto"/>
                <w:sz w:val="21"/>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1.12.3</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偏差</w:t>
            </w:r>
          </w:p>
        </w:tc>
        <w:tc>
          <w:tcPr>
            <w:tcW w:w="6899" w:type="dxa"/>
            <w:tcBorders>
              <w:top w:val="single" w:color="auto" w:sz="6" w:space="0"/>
              <w:left w:val="single" w:color="auto" w:sz="6" w:space="0"/>
              <w:bottom w:val="single" w:color="auto" w:sz="6" w:space="0"/>
              <w:right w:val="single" w:color="auto" w:sz="4" w:space="0"/>
            </w:tcBorders>
            <w:noWrap/>
            <w:vAlign w:val="top"/>
          </w:tcPr>
          <w:p>
            <w:pPr>
              <w:spacing w:line="300" w:lineRule="auto"/>
              <w:ind w:left="40" w:leftChars="19" w:right="107" w:rightChars="51"/>
              <w:rPr>
                <w:rFonts w:ascii="宋体" w:hAnsi="宋体"/>
                <w:color w:val="auto"/>
                <w:szCs w:val="21"/>
                <w:highlight w:val="none"/>
              </w:rPr>
            </w:pPr>
            <w:r>
              <w:rPr>
                <w:rFonts w:hint="eastAsia" w:ascii="宋体" w:hAnsi="宋体"/>
                <w:color w:val="auto"/>
                <w:szCs w:val="21"/>
                <w:highlight w:val="none"/>
              </w:rPr>
              <w:t>■不允许</w:t>
            </w:r>
          </w:p>
          <w:p>
            <w:pPr>
              <w:pStyle w:val="7"/>
              <w:topLinePunct/>
              <w:spacing w:line="300" w:lineRule="auto"/>
              <w:ind w:left="40" w:leftChars="19" w:right="107" w:rightChars="51"/>
              <w:rPr>
                <w:rFonts w:hAnsi="宋体"/>
                <w:color w:val="auto"/>
                <w:sz w:val="21"/>
                <w:szCs w:val="21"/>
                <w:highlight w:val="none"/>
                <w:lang w:val="en-US" w:eastAsia="zh-CN"/>
              </w:rPr>
            </w:pPr>
            <w:r>
              <w:rPr>
                <w:rFonts w:hint="eastAsia" w:hAnsi="宋体"/>
                <w:color w:val="auto"/>
                <w:sz w:val="21"/>
                <w:szCs w:val="21"/>
                <w:highlight w:val="none"/>
                <w:lang w:val="en-US" w:eastAsia="zh-CN"/>
              </w:rPr>
              <w:t>□允许，偏差范围：</w:t>
            </w:r>
            <w:r>
              <w:rPr>
                <w:rFonts w:hint="eastAsia" w:hAnsi="宋体"/>
                <w:color w:val="auto"/>
                <w:sz w:val="21"/>
                <w:szCs w:val="21"/>
                <w:highlight w:val="none"/>
                <w:u w:val="single"/>
                <w:lang w:val="en-US" w:eastAsia="zh-CN"/>
              </w:rPr>
              <w:t>/</w:t>
            </w:r>
          </w:p>
          <w:p>
            <w:pPr>
              <w:topLinePunct/>
              <w:snapToGrid w:val="0"/>
              <w:spacing w:line="300" w:lineRule="auto"/>
              <w:ind w:firstLine="884" w:firstLineChars="421"/>
              <w:jc w:val="left"/>
              <w:rPr>
                <w:rFonts w:ascii="宋体" w:hAnsi="宋体"/>
                <w:color w:val="auto"/>
                <w:szCs w:val="21"/>
                <w:highlight w:val="none"/>
              </w:rPr>
            </w:pPr>
            <w:r>
              <w:rPr>
                <w:rFonts w:hint="eastAsia" w:ascii="宋体" w:hAnsi="宋体"/>
                <w:color w:val="auto"/>
                <w:szCs w:val="21"/>
                <w:highlight w:val="none"/>
              </w:rPr>
              <w:t>偏差幅度：</w:t>
            </w:r>
            <w:r>
              <w:rPr>
                <w:rFonts w:hint="eastAsia"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2.1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构成招标文件的其他资料</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2.2.1</w:t>
            </w:r>
          </w:p>
        </w:tc>
        <w:tc>
          <w:tcPr>
            <w:tcW w:w="2208" w:type="dxa"/>
            <w:vMerge w:val="restart"/>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投标人要求澄清招标文件</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u w:val="single"/>
              </w:rPr>
              <w:t>在提交投标文件截止时间18天前提出。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pPr>
              <w:widowControl/>
              <w:spacing w:line="300" w:lineRule="auto"/>
              <w:jc w:val="left"/>
              <w:rPr>
                <w:rFonts w:ascii="宋体" w:hAnsi="宋体"/>
                <w:color w:val="auto"/>
                <w:szCs w:val="21"/>
                <w:highlight w:val="none"/>
              </w:rPr>
            </w:pPr>
          </w:p>
        </w:tc>
        <w:tc>
          <w:tcPr>
            <w:tcW w:w="2208" w:type="dxa"/>
            <w:vMerge w:val="continue"/>
            <w:tcBorders>
              <w:top w:val="single" w:color="auto" w:sz="6" w:space="0"/>
              <w:left w:val="single" w:color="auto" w:sz="6" w:space="0"/>
              <w:bottom w:val="single" w:color="auto" w:sz="6" w:space="0"/>
              <w:right w:val="single" w:color="auto" w:sz="6" w:space="0"/>
            </w:tcBorders>
            <w:noWrap/>
            <w:vAlign w:val="center"/>
          </w:tcPr>
          <w:p>
            <w:pPr>
              <w:widowControl/>
              <w:spacing w:line="300" w:lineRule="auto"/>
              <w:jc w:val="left"/>
              <w:rPr>
                <w:rFonts w:ascii="宋体" w:hAnsi="宋体"/>
                <w:color w:val="auto"/>
                <w:szCs w:val="21"/>
                <w:highlight w:val="none"/>
              </w:rPr>
            </w:pP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16"/>
              <w:snapToGrid w:val="0"/>
              <w:spacing w:after="0" w:line="300" w:lineRule="auto"/>
              <w:ind w:right="174" w:rightChars="83" w:firstLine="0" w:firstLineChars="0"/>
              <w:rPr>
                <w:rFonts w:ascii="宋体" w:hAnsi="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形式：</w:t>
            </w:r>
            <w:r>
              <w:rPr>
                <w:rFonts w:hint="eastAsia" w:ascii="宋体" w:hAnsi="宋体" w:cs="宋体"/>
                <w:color w:val="auto"/>
                <w:sz w:val="21"/>
                <w:szCs w:val="21"/>
                <w:highlight w:val="none"/>
                <w:u w:val="single"/>
                <w:lang w:val="en-US" w:eastAsia="zh-CN"/>
              </w:rPr>
              <w:t>1</w:t>
            </w:r>
            <w:r>
              <w:rPr>
                <w:rFonts w:hint="eastAsia" w:ascii="宋体" w:hAnsi="宋体"/>
                <w:color w:val="auto"/>
                <w:sz w:val="21"/>
                <w:szCs w:val="21"/>
                <w:highlight w:val="none"/>
                <w:u w:val="single"/>
                <w:lang w:val="en-US" w:eastAsia="zh-CN"/>
              </w:rPr>
              <w:t>、招标答疑采用网上答疑方式进行。投标人若对招标文件（包括合同、</w:t>
            </w:r>
            <w:r>
              <w:rPr>
                <w:rFonts w:hint="eastAsia" w:ascii="宋体" w:hAnsi="宋体" w:cs="宋体"/>
                <w:color w:val="auto"/>
                <w:sz w:val="21"/>
                <w:szCs w:val="21"/>
                <w:highlight w:val="none"/>
                <w:u w:val="single"/>
                <w:lang w:val="en-US" w:eastAsia="zh-CN"/>
              </w:rPr>
              <w:t>最高投标限价</w:t>
            </w:r>
            <w:r>
              <w:rPr>
                <w:rFonts w:hint="eastAsia" w:ascii="宋体" w:hAnsi="宋体"/>
                <w:color w:val="auto"/>
                <w:sz w:val="21"/>
                <w:szCs w:val="21"/>
                <w:highlight w:val="none"/>
                <w:u w:val="single"/>
                <w:lang w:val="en-US" w:eastAsia="zh-CN"/>
              </w:rPr>
              <w:t>)</w:t>
            </w:r>
            <w:r>
              <w:rPr>
                <w:rFonts w:hint="eastAsia" w:ascii="宋体" w:hAnsi="宋体" w:cs="宋体"/>
                <w:color w:val="auto"/>
                <w:sz w:val="21"/>
                <w:szCs w:val="21"/>
                <w:highlight w:val="none"/>
                <w:u w:val="single"/>
                <w:lang w:val="en-US" w:eastAsia="zh-CN"/>
              </w:rPr>
              <w:t>有疑问的，可在规定的时间内通过广州公共资源交易中心网站进入提问区域将问题提交给招标人或招标代理人，提交问题时一律不得署名。</w:t>
            </w:r>
          </w:p>
          <w:p>
            <w:pPr>
              <w:pStyle w:val="16"/>
              <w:snapToGrid w:val="0"/>
              <w:spacing w:after="0" w:line="300" w:lineRule="auto"/>
              <w:ind w:right="174" w:rightChars="83" w:firstLine="0" w:firstLineChars="0"/>
              <w:rPr>
                <w:rFonts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网上答疑的操作指南为：投标人登录广州公共资源交易中心数字交易平台→进入“我是投标人”页面→进入“招标答疑提问”页面→通过项目编号或名称找到所需的项目→在上述答疑时间内点击“答疑提问”→无记名或匿名提出问题。</w:t>
            </w:r>
          </w:p>
          <w:p>
            <w:pPr>
              <w:pStyle w:val="16"/>
              <w:snapToGrid w:val="0"/>
              <w:spacing w:after="0" w:line="300" w:lineRule="auto"/>
              <w:ind w:right="174" w:rightChars="83" w:firstLine="0" w:firstLineChars="0"/>
              <w:rPr>
                <w:rFonts w:ascii="宋体" w:hAnsi="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2</w:t>
            </w:r>
            <w:r>
              <w:rPr>
                <w:rFonts w:hint="eastAsia" w:ascii="宋体" w:hAnsi="宋体"/>
                <w:color w:val="auto"/>
                <w:sz w:val="21"/>
                <w:szCs w:val="21"/>
                <w:highlight w:val="none"/>
                <w:u w:val="single"/>
                <w:lang w:val="en-US" w:eastAsia="zh-CN"/>
              </w:rPr>
              <w:t>、投标人应在投标截止时间</w:t>
            </w:r>
            <w:r>
              <w:rPr>
                <w:rFonts w:hint="eastAsia" w:ascii="宋体" w:hAnsi="宋体" w:cs="宋体"/>
                <w:color w:val="auto"/>
                <w:sz w:val="21"/>
                <w:szCs w:val="21"/>
                <w:highlight w:val="none"/>
                <w:u w:val="single"/>
                <w:lang w:val="en-US" w:eastAsia="zh-CN"/>
              </w:rPr>
              <w:t>18</w:t>
            </w:r>
            <w:r>
              <w:rPr>
                <w:rFonts w:hint="eastAsia" w:ascii="宋体" w:hAnsi="宋体"/>
                <w:color w:val="auto"/>
                <w:sz w:val="21"/>
                <w:szCs w:val="21"/>
                <w:highlight w:val="none"/>
                <w:u w:val="single"/>
                <w:lang w:val="en-US" w:eastAsia="zh-CN"/>
              </w:rPr>
              <w:t>日前停止质疑。招标人应在投标截止时间</w:t>
            </w:r>
            <w:r>
              <w:rPr>
                <w:rFonts w:hint="eastAsia" w:ascii="宋体" w:hAnsi="宋体" w:cs="宋体"/>
                <w:color w:val="auto"/>
                <w:sz w:val="21"/>
                <w:szCs w:val="21"/>
                <w:highlight w:val="none"/>
                <w:u w:val="single"/>
                <w:lang w:val="en-US" w:eastAsia="zh-CN"/>
              </w:rPr>
              <w:t>15</w:t>
            </w:r>
            <w:r>
              <w:rPr>
                <w:rFonts w:hint="eastAsia" w:ascii="宋体" w:hAnsi="宋体"/>
                <w:color w:val="auto"/>
                <w:sz w:val="21"/>
                <w:szCs w:val="21"/>
                <w:highlight w:val="none"/>
                <w:u w:val="single"/>
                <w:lang w:val="en-US" w:eastAsia="zh-CN"/>
              </w:rPr>
              <w:t>日前解答投标人对招标文件提出的疑问，形成答疑纪要，方可在广州公共资源交易中心网站项目答疑专区发布。</w:t>
            </w:r>
          </w:p>
          <w:p>
            <w:pPr>
              <w:pStyle w:val="16"/>
              <w:snapToGrid w:val="0"/>
              <w:spacing w:after="0" w:line="300" w:lineRule="auto"/>
              <w:ind w:right="174" w:rightChars="83" w:firstLine="0" w:firstLineChars="0"/>
              <w:rPr>
                <w:rFonts w:ascii="宋体" w:hAnsi="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3</w:t>
            </w:r>
            <w:r>
              <w:rPr>
                <w:rFonts w:hint="eastAsia" w:ascii="宋体" w:hAnsi="宋体"/>
                <w:color w:val="auto"/>
                <w:sz w:val="21"/>
                <w:szCs w:val="21"/>
                <w:highlight w:val="none"/>
                <w:u w:val="single"/>
                <w:lang w:val="en-US" w:eastAsia="zh-CN"/>
              </w:rPr>
              <w:t>、招标答疑纪要一经在广州公共资源交易中心网站发布，视作已发放给所有投标人。</w:t>
            </w:r>
          </w:p>
          <w:p>
            <w:pPr>
              <w:snapToGrid w:val="0"/>
              <w:spacing w:line="300" w:lineRule="auto"/>
              <w:rPr>
                <w:rFonts w:ascii="宋体" w:hAnsi="宋体"/>
                <w:color w:val="auto"/>
                <w:szCs w:val="21"/>
                <w:highlight w:val="none"/>
                <w:u w:val="single"/>
              </w:rPr>
            </w:pPr>
            <w:r>
              <w:rPr>
                <w:rFonts w:hint="eastAsia" w:ascii="宋体" w:hAnsi="宋体" w:cs="宋体"/>
                <w:color w:val="auto"/>
                <w:kern w:val="0"/>
                <w:szCs w:val="21"/>
                <w:highlight w:val="none"/>
                <w:u w:val="single"/>
              </w:rPr>
              <w:t>4</w:t>
            </w:r>
            <w:r>
              <w:rPr>
                <w:rFonts w:hint="eastAsia" w:ascii="宋体" w:hAnsi="宋体"/>
                <w:color w:val="auto"/>
                <w:kern w:val="0"/>
                <w:szCs w:val="21"/>
                <w:highlight w:val="none"/>
                <w:u w:val="single"/>
              </w:rPr>
              <w:t>、招标答疑纪要为招标文件的一部分。投标人可在广州公资源交易中心网站浏览、下载招标答疑纪要。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2.2.2</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u w:val="single"/>
              </w:rPr>
            </w:pPr>
            <w:r>
              <w:rPr>
                <w:rFonts w:hint="eastAsia" w:ascii="宋体" w:hAnsi="宋体"/>
                <w:color w:val="auto"/>
                <w:szCs w:val="21"/>
                <w:highlight w:val="none"/>
                <w:u w:val="single"/>
              </w:rPr>
              <w:t>在递交投标文件截止时间15天前；在广州公共资源交易中心网站通过项目答疑专区网上公开发布。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2.2.3</w:t>
            </w:r>
          </w:p>
        </w:tc>
        <w:tc>
          <w:tcPr>
            <w:tcW w:w="2208" w:type="dxa"/>
            <w:vMerge w:val="restart"/>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投标人确认收到招标文件澄清</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s="宋体"/>
                <w:color w:val="auto"/>
                <w:szCs w:val="21"/>
                <w:highlight w:val="none"/>
                <w:u w:val="single"/>
              </w:rPr>
              <w:t>招标文件澄清</w:t>
            </w:r>
            <w:r>
              <w:rPr>
                <w:rFonts w:hint="eastAsia" w:ascii="宋体" w:hAnsi="宋体"/>
                <w:color w:val="auto"/>
                <w:szCs w:val="21"/>
                <w:highlight w:val="none"/>
                <w:u w:val="single"/>
              </w:rPr>
              <w:t>（招标答疑纪要）</w:t>
            </w:r>
            <w:r>
              <w:rPr>
                <w:rFonts w:hint="eastAsia" w:ascii="宋体" w:hAnsi="宋体" w:cs="宋体"/>
                <w:color w:val="auto"/>
                <w:szCs w:val="21"/>
                <w:highlight w:val="none"/>
                <w:u w:val="single"/>
              </w:rPr>
              <w:t>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pPr>
              <w:widowControl/>
              <w:spacing w:line="300" w:lineRule="auto"/>
              <w:jc w:val="left"/>
              <w:rPr>
                <w:rFonts w:ascii="宋体" w:hAnsi="宋体"/>
                <w:color w:val="auto"/>
                <w:szCs w:val="21"/>
                <w:highlight w:val="none"/>
              </w:rPr>
            </w:pPr>
          </w:p>
        </w:tc>
        <w:tc>
          <w:tcPr>
            <w:tcW w:w="2208" w:type="dxa"/>
            <w:vMerge w:val="continue"/>
            <w:tcBorders>
              <w:top w:val="single" w:color="auto" w:sz="6" w:space="0"/>
              <w:left w:val="single" w:color="auto" w:sz="6" w:space="0"/>
              <w:bottom w:val="single" w:color="auto" w:sz="6" w:space="0"/>
              <w:right w:val="single" w:color="auto" w:sz="6" w:space="0"/>
            </w:tcBorders>
            <w:noWrap/>
            <w:vAlign w:val="center"/>
          </w:tcPr>
          <w:p>
            <w:pPr>
              <w:widowControl/>
              <w:spacing w:line="300" w:lineRule="auto"/>
              <w:jc w:val="left"/>
              <w:rPr>
                <w:rFonts w:ascii="宋体" w:hAnsi="宋体"/>
                <w:color w:val="auto"/>
                <w:szCs w:val="21"/>
                <w:highlight w:val="none"/>
              </w:rPr>
            </w:pP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网上答疑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2.3.1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招标文件修改发出的形式</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u w:val="single"/>
              </w:rPr>
            </w:pPr>
            <w:r>
              <w:rPr>
                <w:rFonts w:hint="eastAsia" w:ascii="宋体" w:hAnsi="宋体"/>
                <w:color w:val="auto"/>
                <w:szCs w:val="21"/>
                <w:highlight w:val="none"/>
                <w:u w:val="single"/>
              </w:rPr>
              <w:t>以补充公告或项目答疑澄清的方式在广州公共资源交易中心网站发布。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2.3.2</w:t>
            </w:r>
          </w:p>
        </w:tc>
        <w:tc>
          <w:tcPr>
            <w:tcW w:w="2208" w:type="dxa"/>
            <w:vMerge w:val="restart"/>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投标人确认收到招标文件修改</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olor w:val="auto"/>
                <w:szCs w:val="21"/>
                <w:highlight w:val="none"/>
                <w:u w:val="single"/>
              </w:rPr>
              <w:t>发出即视作收到。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pPr>
              <w:widowControl/>
              <w:spacing w:line="300" w:lineRule="auto"/>
              <w:jc w:val="left"/>
              <w:rPr>
                <w:rFonts w:ascii="宋体" w:hAnsi="宋体"/>
                <w:color w:val="auto"/>
                <w:szCs w:val="21"/>
                <w:highlight w:val="none"/>
              </w:rPr>
            </w:pPr>
          </w:p>
        </w:tc>
        <w:tc>
          <w:tcPr>
            <w:tcW w:w="2208" w:type="dxa"/>
            <w:vMerge w:val="continue"/>
            <w:tcBorders>
              <w:top w:val="single" w:color="auto" w:sz="6" w:space="0"/>
              <w:left w:val="single" w:color="auto" w:sz="6" w:space="0"/>
              <w:bottom w:val="single" w:color="auto" w:sz="6" w:space="0"/>
              <w:right w:val="single" w:color="auto" w:sz="6" w:space="0"/>
            </w:tcBorders>
            <w:noWrap/>
            <w:vAlign w:val="center"/>
          </w:tcPr>
          <w:p>
            <w:pPr>
              <w:widowControl/>
              <w:spacing w:line="300" w:lineRule="auto"/>
              <w:jc w:val="left"/>
              <w:rPr>
                <w:rFonts w:ascii="宋体" w:hAnsi="宋体"/>
                <w:color w:val="auto"/>
                <w:szCs w:val="21"/>
                <w:highlight w:val="none"/>
              </w:rPr>
            </w:pP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招标文件修改一经在广州公共资源交易中心网站发布，视作已发放给所有投标人，无需确认。潜在投标人应自行关注招标公告公布的网站公告，投标人因自身贻误行为导致投标失败的，责任自负。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3.1.1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构成投标文件的其他资料</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3.2.1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增值税税金的计算方法</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u w:val="single"/>
              </w:rPr>
            </w:pPr>
            <w:r>
              <w:rPr>
                <w:rFonts w:hint="eastAsia"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3.2.3</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报价方式</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u w:val="single"/>
              </w:rPr>
            </w:pPr>
            <w:r>
              <w:rPr>
                <w:rFonts w:hint="eastAsia" w:ascii="宋体" w:hAnsi="宋体" w:cs="宋体"/>
                <w:color w:val="auto"/>
                <w:szCs w:val="21"/>
                <w:highlight w:val="none"/>
                <w:u w:val="single"/>
              </w:rPr>
              <w:t>投标报价不得高于</w:t>
            </w:r>
            <w:r>
              <w:rPr>
                <w:rFonts w:hint="eastAsia" w:ascii="宋体" w:hAnsi="宋体"/>
                <w:color w:val="auto"/>
                <w:szCs w:val="21"/>
                <w:highlight w:val="none"/>
                <w:u w:val="single"/>
              </w:rPr>
              <w:t>最高投标限价</w:t>
            </w:r>
            <w:r>
              <w:rPr>
                <w:rFonts w:hint="eastAsia" w:ascii="宋体" w:hAnsi="宋体" w:cs="宋体"/>
                <w:color w:val="auto"/>
                <w:szCs w:val="21"/>
                <w:highlight w:val="none"/>
                <w:u w:val="single"/>
              </w:rPr>
              <w:t>，投标报价下浮率位于0%至10%之间，由投标人根据招标文件要求以及企业自身情况填写报价下浮率。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3.2.4</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最高投标限价</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olor w:val="auto"/>
                <w:szCs w:val="21"/>
                <w:highlight w:val="none"/>
              </w:rPr>
              <w:t>□无</w:t>
            </w:r>
          </w:p>
          <w:p>
            <w:pPr>
              <w:tabs>
                <w:tab w:val="left" w:pos="7513"/>
              </w:tabs>
              <w:adjustRightInd w:val="0"/>
              <w:snapToGrid w:val="0"/>
              <w:spacing w:line="300" w:lineRule="auto"/>
              <w:rPr>
                <w:rFonts w:ascii="宋体" w:hAnsi="宋体"/>
                <w:color w:val="auto"/>
                <w:szCs w:val="21"/>
                <w:highlight w:val="none"/>
                <w:u w:val="single"/>
              </w:rPr>
            </w:pPr>
            <w:r>
              <w:rPr>
                <w:rFonts w:hint="eastAsia" w:ascii="宋体" w:hAnsi="宋体"/>
                <w:color w:val="auto"/>
                <w:spacing w:val="-1"/>
                <w:szCs w:val="21"/>
                <w:highlight w:val="none"/>
              </w:rPr>
              <w:t>■</w:t>
            </w:r>
            <w:r>
              <w:rPr>
                <w:rFonts w:hint="eastAsia" w:ascii="宋体" w:hAnsi="宋体"/>
                <w:color w:val="auto"/>
                <w:szCs w:val="21"/>
                <w:highlight w:val="none"/>
              </w:rPr>
              <w:t>有，最高投标限价：</w:t>
            </w:r>
            <w:r>
              <w:rPr>
                <w:rFonts w:hint="eastAsia" w:ascii="宋体" w:hAnsi="宋体" w:cs="宋体"/>
                <w:color w:val="auto"/>
                <w:szCs w:val="21"/>
                <w:highlight w:val="none"/>
                <w:u w:val="single"/>
                <w:lang w:val="en-US" w:eastAsia="zh-CN"/>
              </w:rPr>
              <w:t>150</w:t>
            </w:r>
            <w:r>
              <w:rPr>
                <w:rFonts w:hint="eastAsia" w:ascii="宋体" w:hAnsi="宋体" w:cs="宋体"/>
                <w:b w:val="0"/>
                <w:bCs w:val="0"/>
                <w:color w:val="auto"/>
                <w:szCs w:val="21"/>
                <w:highlight w:val="none"/>
                <w:u w:val="single"/>
                <w:lang w:val="en-US" w:eastAsia="zh-CN"/>
              </w:rPr>
              <w:t>万</w:t>
            </w:r>
            <w:r>
              <w:rPr>
                <w:rFonts w:hint="eastAsia" w:ascii="宋体" w:hAnsi="宋体" w:cs="宋体"/>
                <w:b w:val="0"/>
                <w:bCs w:val="0"/>
                <w:color w:val="auto"/>
                <w:szCs w:val="21"/>
                <w:highlight w:val="none"/>
                <w:u w:val="single"/>
              </w:rPr>
              <w:t xml:space="preserve">  元</w:t>
            </w:r>
          </w:p>
          <w:p>
            <w:pPr>
              <w:tabs>
                <w:tab w:val="left" w:pos="7513"/>
              </w:tabs>
              <w:adjustRightInd w:val="0"/>
              <w:snapToGrid w:val="0"/>
              <w:spacing w:line="300" w:lineRule="auto"/>
              <w:rPr>
                <w:rFonts w:ascii="宋体" w:hAnsi="宋体"/>
                <w:b/>
                <w:bCs/>
                <w:color w:val="auto"/>
                <w:szCs w:val="21"/>
                <w:highlight w:val="none"/>
                <w:u w:val="single"/>
              </w:rPr>
            </w:pPr>
            <w:r>
              <w:rPr>
                <w:rFonts w:hint="eastAsia" w:ascii="宋体" w:hAnsi="宋体"/>
                <w:b/>
                <w:bCs/>
                <w:snapToGrid w:val="0"/>
                <w:color w:val="auto"/>
                <w:spacing w:val="4"/>
                <w:kern w:val="0"/>
                <w:szCs w:val="21"/>
                <w:highlight w:val="none"/>
              </w:rPr>
              <w:t>注：投标报价不得超过项目的最高投标限价。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3.2.5</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投标报价的其他</w:t>
            </w:r>
          </w:p>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要求</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snapToGrid w:val="0"/>
                <w:color w:val="auto"/>
                <w:spacing w:val="4"/>
                <w:kern w:val="0"/>
                <w:szCs w:val="21"/>
                <w:highlight w:val="none"/>
                <w:u w:val="single"/>
              </w:rPr>
              <w:t>投标人必须详细审阅全部招标文件,充分考虑职责和义务,全面地理解招标文件对投标报价的要求,并按招标人提出的条件及内容进行报价。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3.3.1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u w:val="single"/>
              </w:rPr>
            </w:pPr>
            <w:r>
              <w:rPr>
                <w:rFonts w:hint="eastAsia" w:ascii="宋体" w:hAnsi="宋体"/>
                <w:color w:val="auto"/>
                <w:szCs w:val="21"/>
                <w:highlight w:val="none"/>
                <w:u w:val="singl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3.4.1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snapToGrid w:val="0"/>
              <w:spacing w:line="300" w:lineRule="auto"/>
              <w:rPr>
                <w:rFonts w:hAnsi="宋体"/>
                <w:color w:val="auto"/>
                <w:kern w:val="2"/>
                <w:sz w:val="21"/>
                <w:szCs w:val="21"/>
                <w:highlight w:val="none"/>
                <w:u w:val="single"/>
                <w:lang w:val="en-US" w:eastAsia="zh-CN"/>
              </w:rPr>
            </w:pPr>
            <w:r>
              <w:rPr>
                <w:rFonts w:hint="eastAsia" w:hAnsi="宋体"/>
                <w:color w:val="auto"/>
                <w:kern w:val="2"/>
                <w:sz w:val="21"/>
                <w:szCs w:val="21"/>
                <w:highlight w:val="none"/>
                <w:u w:val="single"/>
                <w:lang w:val="en-US" w:eastAsia="zh-CN"/>
              </w:rPr>
              <w:t>是否要求投标人递交投标保证金：</w:t>
            </w:r>
          </w:p>
          <w:p>
            <w:pPr>
              <w:pStyle w:val="7"/>
              <w:topLinePunct/>
              <w:snapToGrid w:val="0"/>
              <w:spacing w:line="300" w:lineRule="auto"/>
              <w:ind w:left="40" w:leftChars="19" w:right="107" w:rightChars="51"/>
              <w:rPr>
                <w:rFonts w:hAnsi="宋体"/>
                <w:color w:val="auto"/>
                <w:kern w:val="2"/>
                <w:sz w:val="21"/>
                <w:szCs w:val="21"/>
                <w:highlight w:val="none"/>
                <w:lang w:val="en-US" w:eastAsia="zh-CN"/>
              </w:rPr>
            </w:pPr>
            <w:r>
              <w:rPr>
                <w:rFonts w:hint="eastAsia" w:hAnsi="宋体"/>
                <w:color w:val="auto"/>
                <w:spacing w:val="-1"/>
                <w:sz w:val="21"/>
                <w:szCs w:val="21"/>
                <w:highlight w:val="none"/>
                <w:lang w:val="en-US" w:eastAsia="zh-CN"/>
              </w:rPr>
              <w:t>■</w:t>
            </w:r>
            <w:r>
              <w:rPr>
                <w:rFonts w:hint="eastAsia" w:hAnsi="宋体"/>
                <w:color w:val="auto"/>
                <w:kern w:val="2"/>
                <w:sz w:val="21"/>
                <w:szCs w:val="21"/>
                <w:highlight w:val="none"/>
                <w:lang w:val="en-US" w:eastAsia="zh-CN"/>
              </w:rPr>
              <w:t>要求，</w:t>
            </w:r>
            <w:r>
              <w:rPr>
                <w:rFonts w:hint="eastAsia" w:hAnsi="宋体"/>
                <w:b/>
                <w:color w:val="auto"/>
                <w:kern w:val="2"/>
                <w:sz w:val="21"/>
                <w:szCs w:val="21"/>
                <w:highlight w:val="none"/>
                <w:lang w:val="en-US" w:eastAsia="zh-CN"/>
              </w:rPr>
              <w:t>投标保证金的形式：</w:t>
            </w:r>
            <w:r>
              <w:rPr>
                <w:rFonts w:hint="eastAsia" w:hAnsi="宋体"/>
                <w:color w:val="auto"/>
                <w:kern w:val="2"/>
                <w:sz w:val="21"/>
                <w:szCs w:val="21"/>
                <w:highlight w:val="none"/>
                <w:lang w:val="en-US" w:eastAsia="zh-CN"/>
              </w:rPr>
              <w:t>投标保证金可采用现金、支票、投标保函、投标保证保险等形式。</w:t>
            </w:r>
          </w:p>
          <w:p>
            <w:pPr>
              <w:pStyle w:val="7"/>
              <w:numPr>
                <w:ilvl w:val="0"/>
                <w:numId w:val="2"/>
              </w:numPr>
              <w:topLinePunct/>
              <w:snapToGrid w:val="0"/>
              <w:spacing w:line="300" w:lineRule="auto"/>
              <w:ind w:right="107" w:rightChars="51"/>
              <w:rPr>
                <w:rFonts w:hAnsi="宋体" w:cs="宋体"/>
                <w:color w:val="auto"/>
                <w:kern w:val="2"/>
                <w:sz w:val="21"/>
                <w:szCs w:val="21"/>
                <w:highlight w:val="none"/>
                <w:u w:val="single"/>
                <w:lang w:val="en-US" w:eastAsia="zh-CN"/>
              </w:rPr>
            </w:pPr>
            <w:r>
              <w:rPr>
                <w:rFonts w:hint="eastAsia" w:hAnsi="宋体" w:cs="宋体"/>
                <w:color w:val="auto"/>
                <w:kern w:val="2"/>
                <w:sz w:val="21"/>
                <w:szCs w:val="21"/>
                <w:highlight w:val="none"/>
                <w:u w:val="single"/>
                <w:lang w:val="en-US" w:eastAsia="zh-CN"/>
              </w:rPr>
              <w:t>收取方式：</w:t>
            </w:r>
          </w:p>
          <w:p>
            <w:pPr>
              <w:spacing w:line="300" w:lineRule="auto"/>
              <w:ind w:left="41" w:right="107" w:rightChars="51"/>
              <w:rPr>
                <w:rFonts w:ascii="宋体" w:hAnsi="宋体" w:cs="宋体"/>
                <w:color w:val="auto"/>
                <w:szCs w:val="21"/>
                <w:highlight w:val="none"/>
                <w:u w:val="single"/>
              </w:rPr>
            </w:pPr>
            <w:r>
              <w:rPr>
                <w:rFonts w:hint="eastAsia" w:ascii="宋体" w:hAnsi="宋体" w:cs="宋体"/>
                <w:color w:val="auto"/>
                <w:szCs w:val="21"/>
                <w:highlight w:val="none"/>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spacing w:line="300" w:lineRule="auto"/>
              <w:ind w:left="42" w:leftChars="20" w:right="107" w:rightChars="51"/>
              <w:rPr>
                <w:rFonts w:ascii="宋体" w:hAnsi="宋体" w:cs="宋体"/>
                <w:color w:val="auto"/>
                <w:szCs w:val="21"/>
                <w:highlight w:val="none"/>
                <w:u w:val="single"/>
              </w:rPr>
            </w:pPr>
            <w:r>
              <w:rPr>
                <w:rFonts w:hint="eastAsia" w:ascii="宋体" w:hAnsi="宋体" w:cs="宋体"/>
                <w:color w:val="auto"/>
                <w:szCs w:val="21"/>
                <w:highlight w:val="none"/>
                <w:u w:val="single"/>
              </w:rPr>
              <w:t>（2）投标人采用投标保函或投标保证保险</w:t>
            </w:r>
            <w:r>
              <w:rPr>
                <w:rFonts w:hint="eastAsia" w:ascii="宋体" w:hAnsi="宋体"/>
                <w:color w:val="auto"/>
                <w:szCs w:val="21"/>
                <w:highlight w:val="none"/>
                <w:u w:val="single"/>
              </w:rPr>
              <w:t>或专业担保公司担保的</w:t>
            </w:r>
            <w:r>
              <w:rPr>
                <w:rFonts w:hint="eastAsia" w:ascii="宋体" w:hAnsi="宋体" w:cs="宋体"/>
                <w:color w:val="auto"/>
                <w:szCs w:val="21"/>
                <w:highlight w:val="none"/>
                <w:u w:val="single"/>
              </w:rPr>
              <w:t>形式提交投标保证金的，在开标前不强制要求提交相关文本原件，但投标人应在投标文件中提交投标保函或投标保证保险文本</w:t>
            </w:r>
            <w:r>
              <w:rPr>
                <w:rFonts w:hint="eastAsia" w:ascii="宋体" w:hAnsi="宋体"/>
                <w:color w:val="auto"/>
                <w:szCs w:val="21"/>
                <w:highlight w:val="none"/>
                <w:u w:val="single"/>
              </w:rPr>
              <w:t>或专业担保公司担保的</w:t>
            </w:r>
            <w:r>
              <w:rPr>
                <w:rFonts w:hint="eastAsia" w:ascii="宋体" w:hAnsi="宋体" w:cs="宋体"/>
                <w:color w:val="auto"/>
                <w:szCs w:val="21"/>
                <w:highlight w:val="none"/>
                <w:u w:val="single"/>
              </w:rPr>
              <w:t>的复印件并加盖投标人公章。评审结束后，中标候选人应在中标候选人公示前提交其办理的投标保函或投标保证保险原件并在网上予以公示。</w:t>
            </w:r>
          </w:p>
          <w:p>
            <w:pPr>
              <w:spacing w:line="300" w:lineRule="auto"/>
              <w:ind w:left="41" w:right="107" w:rightChars="51"/>
              <w:jc w:val="left"/>
              <w:rPr>
                <w:rFonts w:ascii="宋体" w:hAnsi="宋体" w:cs="宋体"/>
                <w:color w:val="auto"/>
                <w:szCs w:val="21"/>
                <w:highlight w:val="none"/>
                <w:u w:val="single"/>
              </w:rPr>
            </w:pPr>
            <w:r>
              <w:rPr>
                <w:rFonts w:hint="eastAsia" w:ascii="宋体" w:hAnsi="宋体" w:cs="宋体"/>
                <w:color w:val="auto"/>
                <w:szCs w:val="21"/>
                <w:highlight w:val="none"/>
                <w:u w:val="single"/>
              </w:rPr>
              <w:t>（3）本项目允许递交电子保函，具体操作详见广州公共资源交易中心电子保函操作指引：</w:t>
            </w:r>
            <w:r>
              <w:rPr>
                <w:rFonts w:ascii="宋体" w:hAnsi="宋体" w:cs="宋体"/>
                <w:color w:val="auto"/>
                <w:szCs w:val="21"/>
                <w:highlight w:val="none"/>
                <w:u w:val="single"/>
              </w:rPr>
              <w:t>http://ggzy.gz.gov.cn/fwznbszycwxg/857020.jhtml</w:t>
            </w:r>
            <w:r>
              <w:rPr>
                <w:rFonts w:hint="eastAsia" w:ascii="宋体" w:hAnsi="宋体" w:cs="宋体"/>
                <w:color w:val="auto"/>
                <w:szCs w:val="21"/>
                <w:highlight w:val="none"/>
                <w:u w:val="single"/>
              </w:rPr>
              <w:t>。</w:t>
            </w:r>
          </w:p>
          <w:p>
            <w:pPr>
              <w:spacing w:line="300" w:lineRule="auto"/>
              <w:ind w:right="107" w:rightChars="51"/>
              <w:rPr>
                <w:rFonts w:ascii="宋体" w:hAnsi="宋体" w:cs="宋体"/>
                <w:color w:val="auto"/>
                <w:szCs w:val="21"/>
                <w:highlight w:val="none"/>
                <w:u w:val="single"/>
              </w:rPr>
            </w:pPr>
            <w:r>
              <w:rPr>
                <w:rFonts w:hint="eastAsia" w:ascii="宋体" w:hAnsi="宋体" w:cs="宋体"/>
                <w:color w:val="auto"/>
                <w:szCs w:val="21"/>
                <w:highlight w:val="none"/>
                <w:u w:val="single"/>
              </w:rPr>
              <w:t>2、缴纳时间：必须在投标截止时间前缴纳。</w:t>
            </w:r>
          </w:p>
          <w:p>
            <w:pPr>
              <w:pStyle w:val="7"/>
              <w:topLinePunct/>
              <w:spacing w:line="300" w:lineRule="auto"/>
              <w:ind w:left="40" w:leftChars="19" w:right="107" w:rightChars="51"/>
              <w:rPr>
                <w:rFonts w:hAnsi="宋体" w:cs="宋体"/>
                <w:b/>
                <w:color w:val="auto"/>
                <w:kern w:val="2"/>
                <w:sz w:val="21"/>
                <w:szCs w:val="21"/>
                <w:highlight w:val="none"/>
                <w:u w:val="single"/>
                <w:lang w:val="en-US" w:eastAsia="zh-CN"/>
              </w:rPr>
            </w:pPr>
            <w:r>
              <w:rPr>
                <w:rFonts w:hint="eastAsia" w:hAnsi="宋体"/>
                <w:b/>
                <w:color w:val="auto"/>
                <w:kern w:val="2"/>
                <w:sz w:val="21"/>
                <w:szCs w:val="21"/>
                <w:highlight w:val="none"/>
                <w:lang w:val="en-US" w:eastAsia="zh-CN"/>
              </w:rPr>
              <w:t>投标保证金的金额：</w:t>
            </w:r>
            <w:r>
              <w:rPr>
                <w:rFonts w:hint="eastAsia" w:hAnsi="宋体"/>
                <w:b/>
                <w:color w:val="auto"/>
                <w:kern w:val="2"/>
                <w:sz w:val="21"/>
                <w:szCs w:val="21"/>
                <w:highlight w:val="none"/>
                <w:u w:val="single"/>
                <w:lang w:val="en-US" w:eastAsia="zh-CN"/>
              </w:rPr>
              <w:t xml:space="preserve">   3 </w:t>
            </w:r>
            <w:r>
              <w:rPr>
                <w:rFonts w:hint="eastAsia" w:hAnsi="宋体" w:cs="宋体"/>
                <w:b/>
                <w:color w:val="auto"/>
                <w:kern w:val="2"/>
                <w:sz w:val="21"/>
                <w:szCs w:val="21"/>
                <w:highlight w:val="none"/>
                <w:u w:val="single"/>
                <w:lang w:val="en-US" w:eastAsia="zh-CN"/>
              </w:rPr>
              <w:t>万元人民币。</w:t>
            </w:r>
          </w:p>
          <w:p>
            <w:pPr>
              <w:pStyle w:val="7"/>
              <w:topLinePunct/>
              <w:snapToGrid w:val="0"/>
              <w:spacing w:line="300" w:lineRule="auto"/>
              <w:rPr>
                <w:rFonts w:hAnsi="宋体"/>
                <w:color w:val="auto"/>
                <w:kern w:val="2"/>
                <w:sz w:val="21"/>
                <w:szCs w:val="21"/>
                <w:highlight w:val="none"/>
                <w:lang w:val="en-US" w:eastAsia="zh-CN"/>
              </w:rPr>
            </w:pPr>
            <w:r>
              <w:rPr>
                <w:rFonts w:hint="eastAsia" w:hAnsi="宋体"/>
                <w:color w:val="auto"/>
                <w:kern w:val="2"/>
                <w:sz w:val="21"/>
                <w:szCs w:val="21"/>
                <w:highlight w:val="none"/>
                <w:lang w:val="en-US" w:eastAsia="zh-CN"/>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3.4.4</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其他可以不予退还投标保证金的情形</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olor w:val="auto"/>
                <w:szCs w:val="21"/>
                <w:highlight w:val="none"/>
                <w:u w:val="single"/>
              </w:rPr>
            </w:pPr>
            <w:r>
              <w:rPr>
                <w:rFonts w:hint="eastAsia" w:ascii="宋体" w:hAnsi="宋体"/>
                <w:color w:val="auto"/>
                <w:szCs w:val="21"/>
                <w:highlight w:val="none"/>
                <w:u w:val="single"/>
              </w:rPr>
              <w:t>（4）存在串通投标、围标情况的；</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（5）投标人以他人名义投标或者允许他人挂靠投标或借用本公司名义投标的；</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（6）提供虚假投标文件、虚假证明、虚假承诺/声明/保证或者以其他方式弄虚作假的；</w:t>
            </w:r>
          </w:p>
          <w:p>
            <w:pPr>
              <w:snapToGrid w:val="0"/>
              <w:spacing w:line="300" w:lineRule="auto"/>
              <w:rPr>
                <w:rFonts w:ascii="宋体" w:hAnsi="宋体"/>
                <w:color w:val="auto"/>
                <w:szCs w:val="21"/>
                <w:highlight w:val="none"/>
              </w:rPr>
            </w:pPr>
            <w:r>
              <w:rPr>
                <w:rFonts w:hint="eastAsia" w:ascii="宋体" w:hAnsi="宋体"/>
                <w:color w:val="auto"/>
                <w:szCs w:val="21"/>
                <w:highlight w:val="none"/>
                <w:u w:val="single"/>
              </w:rPr>
              <w:t>（7）法律或者本招标文件规定的其他情形。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3.5</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资格审查资料的特殊要求</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snapToGrid w:val="0"/>
              <w:spacing w:line="300" w:lineRule="auto"/>
              <w:ind w:right="174" w:rightChars="83"/>
              <w:rPr>
                <w:rFonts w:hAnsi="宋体"/>
                <w:color w:val="auto"/>
                <w:sz w:val="21"/>
                <w:szCs w:val="21"/>
                <w:highlight w:val="none"/>
                <w:lang w:val="en-US" w:eastAsia="zh-CN"/>
              </w:rPr>
            </w:pPr>
            <w:r>
              <w:rPr>
                <w:rFonts w:hint="eastAsia" w:hAnsi="宋体" w:cs="MS Mincho"/>
                <w:color w:val="auto"/>
                <w:sz w:val="21"/>
                <w:szCs w:val="21"/>
                <w:highlight w:val="none"/>
                <w:lang w:val="en-US" w:eastAsia="zh-CN"/>
              </w:rPr>
              <w:t>■</w:t>
            </w:r>
            <w:r>
              <w:rPr>
                <w:rFonts w:hint="eastAsia" w:hAnsi="宋体" w:cs="宋体"/>
                <w:color w:val="auto"/>
                <w:sz w:val="21"/>
                <w:szCs w:val="21"/>
                <w:highlight w:val="none"/>
                <w:lang w:val="en-US" w:eastAsia="zh-CN"/>
              </w:rPr>
              <w:t>无</w:t>
            </w:r>
          </w:p>
          <w:p>
            <w:pPr>
              <w:pStyle w:val="7"/>
              <w:topLinePunct/>
              <w:snapToGrid w:val="0"/>
              <w:spacing w:line="300" w:lineRule="auto"/>
              <w:rPr>
                <w:rFonts w:hAnsi="宋体"/>
                <w:color w:val="auto"/>
                <w:kern w:val="2"/>
                <w:sz w:val="21"/>
                <w:szCs w:val="21"/>
                <w:highlight w:val="none"/>
                <w:lang w:val="en-US" w:eastAsia="zh-CN"/>
              </w:rPr>
            </w:pPr>
            <w:r>
              <w:rPr>
                <w:rFonts w:hint="eastAsia" w:hAnsi="宋体" w:cs="宋体"/>
                <w:color w:val="auto"/>
                <w:sz w:val="21"/>
                <w:szCs w:val="21"/>
                <w:highlight w:val="none"/>
                <w:lang w:val="en-US" w:eastAsia="zh-CN"/>
              </w:rPr>
              <w:t>□</w:t>
            </w:r>
            <w:r>
              <w:rPr>
                <w:rFonts w:hint="eastAsia" w:hAnsi="宋体"/>
                <w:color w:val="auto"/>
                <w:sz w:val="21"/>
                <w:szCs w:val="21"/>
                <w:highlight w:val="no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3.5.2</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近年财务状况的年份要求</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u w:val="single"/>
              </w:rPr>
            </w:pPr>
            <w:r>
              <w:rPr>
                <w:rFonts w:hint="eastAsia"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3.5.3</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近年完成的类似项目情况的时间要求</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s="宋体"/>
                <w:color w:val="auto"/>
                <w:szCs w:val="21"/>
                <w:highlight w:val="none"/>
              </w:rPr>
              <w:t>自2015年1月1日至今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3.5.5</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近年发生的诉讼</w:t>
            </w:r>
          </w:p>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及仲裁情况的时间要求</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3.6.1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snapToGrid w:val="0"/>
              <w:spacing w:line="300" w:lineRule="auto"/>
              <w:rPr>
                <w:rFonts w:hAnsi="宋体"/>
                <w:color w:val="auto"/>
                <w:kern w:val="2"/>
                <w:sz w:val="21"/>
                <w:szCs w:val="21"/>
                <w:highlight w:val="none"/>
                <w:lang w:val="en-US" w:eastAsia="zh-CN"/>
              </w:rPr>
            </w:pPr>
            <w:r>
              <w:rPr>
                <w:rFonts w:hint="eastAsia" w:hAnsi="宋体"/>
                <w:color w:val="auto"/>
                <w:spacing w:val="-1"/>
                <w:kern w:val="2"/>
                <w:sz w:val="21"/>
                <w:szCs w:val="21"/>
                <w:highlight w:val="none"/>
                <w:lang w:val="en-US" w:eastAsia="zh-CN"/>
              </w:rPr>
              <w:t>■</w:t>
            </w:r>
            <w:r>
              <w:rPr>
                <w:rFonts w:hint="eastAsia" w:hAnsi="宋体"/>
                <w:color w:val="auto"/>
                <w:kern w:val="2"/>
                <w:sz w:val="21"/>
                <w:szCs w:val="21"/>
                <w:highlight w:val="none"/>
                <w:lang w:val="en-US" w:eastAsia="zh-CN"/>
              </w:rPr>
              <w:t>不允许</w:t>
            </w:r>
          </w:p>
          <w:p>
            <w:pPr>
              <w:snapToGrid w:val="0"/>
              <w:spacing w:line="300" w:lineRule="auto"/>
              <w:rPr>
                <w:rFonts w:ascii="宋体" w:hAnsi="宋体"/>
                <w:color w:val="auto"/>
                <w:szCs w:val="21"/>
                <w:highlight w:val="none"/>
              </w:rPr>
            </w:pPr>
            <w:r>
              <w:rPr>
                <w:rFonts w:hint="eastAsia" w:ascii="宋体" w:hAnsi="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3.7.3A（2）</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投标文件副本份数及其他要求</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hint="eastAsia" w:ascii="宋体" w:hAnsi="宋体"/>
                <w:color w:val="auto"/>
                <w:szCs w:val="21"/>
                <w:highlight w:val="none"/>
                <w:u w:val="single"/>
              </w:rPr>
            </w:pPr>
            <w:r>
              <w:rPr>
                <w:rFonts w:hint="eastAsia" w:ascii="宋体" w:hAnsi="宋体"/>
                <w:color w:val="auto"/>
                <w:szCs w:val="21"/>
                <w:highlight w:val="none"/>
                <w:u w:val="single"/>
              </w:rPr>
              <w:t>投标文件正本份数：1份。</w:t>
            </w:r>
          </w:p>
          <w:p>
            <w:pPr>
              <w:snapToGrid w:val="0"/>
              <w:spacing w:line="300" w:lineRule="auto"/>
              <w:rPr>
                <w:rFonts w:hint="eastAsia" w:ascii="宋体" w:hAnsi="宋体"/>
                <w:color w:val="auto"/>
                <w:szCs w:val="21"/>
                <w:highlight w:val="none"/>
                <w:u w:val="single"/>
              </w:rPr>
            </w:pPr>
            <w:r>
              <w:rPr>
                <w:rFonts w:hint="eastAsia" w:ascii="宋体" w:hAnsi="宋体"/>
                <w:color w:val="auto"/>
                <w:szCs w:val="21"/>
                <w:highlight w:val="none"/>
                <w:u w:val="single"/>
              </w:rPr>
              <w:t>投标文件副本份数：4份（副本可以是正本的复印件）。</w:t>
            </w:r>
          </w:p>
          <w:p>
            <w:pPr>
              <w:snapToGrid w:val="0"/>
              <w:spacing w:line="300" w:lineRule="auto"/>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电子文件份数：1份（</w:t>
            </w:r>
            <w:r>
              <w:rPr>
                <w:rFonts w:hint="eastAsia" w:ascii="宋体" w:hAnsi="宋体" w:cs="宋体"/>
                <w:color w:val="auto"/>
                <w:szCs w:val="21"/>
                <w:highlight w:val="none"/>
                <w:u w:val="single"/>
              </w:rPr>
              <w:t>光盘或</w:t>
            </w:r>
            <w:r>
              <w:rPr>
                <w:rFonts w:ascii="宋体" w:hAnsi="宋体" w:cs="宋体"/>
                <w:color w:val="auto"/>
                <w:szCs w:val="21"/>
                <w:highlight w:val="none"/>
                <w:u w:val="single"/>
              </w:rPr>
              <w:t>U</w:t>
            </w:r>
            <w:r>
              <w:rPr>
                <w:rFonts w:hint="eastAsia" w:ascii="宋体" w:hAnsi="宋体" w:cs="宋体"/>
                <w:color w:val="auto"/>
                <w:szCs w:val="21"/>
                <w:highlight w:val="none"/>
                <w:u w:val="single"/>
              </w:rPr>
              <w:t>盘</w:t>
            </w:r>
            <w:r>
              <w:rPr>
                <w:rFonts w:hint="eastAsia" w:ascii="宋体" w:hAnsi="宋体" w:cs="宋体"/>
                <w:color w:val="auto"/>
                <w:szCs w:val="21"/>
                <w:highlight w:val="none"/>
                <w:u w:val="single"/>
                <w:lang w:val="en-US" w:eastAsia="zh-CN"/>
              </w:rPr>
              <w:t>）</w:t>
            </w:r>
          </w:p>
          <w:p>
            <w:pPr>
              <w:snapToGrid w:val="0"/>
              <w:spacing w:line="300" w:lineRule="auto"/>
              <w:rPr>
                <w:rFonts w:ascii="宋体" w:hAnsi="宋体"/>
                <w:color w:val="auto"/>
                <w:szCs w:val="21"/>
                <w:highlight w:val="none"/>
              </w:rPr>
            </w:pPr>
            <w:r>
              <w:rPr>
                <w:rFonts w:hint="eastAsia" w:ascii="宋体" w:hAnsi="宋体" w:cs="宋体"/>
                <w:color w:val="auto"/>
                <w:szCs w:val="21"/>
                <w:highlight w:val="none"/>
                <w:u w:val="single"/>
              </w:rPr>
              <w:t>要求提供的电子文件光盘或</w:t>
            </w:r>
            <w:r>
              <w:rPr>
                <w:rFonts w:ascii="宋体" w:hAnsi="宋体" w:cs="宋体"/>
                <w:color w:val="auto"/>
                <w:szCs w:val="21"/>
                <w:highlight w:val="none"/>
                <w:u w:val="single"/>
              </w:rPr>
              <w:t>U</w:t>
            </w:r>
            <w:r>
              <w:rPr>
                <w:rFonts w:hint="eastAsia" w:ascii="宋体" w:hAnsi="宋体" w:cs="宋体"/>
                <w:color w:val="auto"/>
                <w:szCs w:val="21"/>
                <w:highlight w:val="none"/>
                <w:u w:val="single"/>
              </w:rPr>
              <w:t>盘必须无病毒、无加密、可打开、可编辑。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3.7.3A（3）</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投标文件是否需分册装订</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hint="eastAsia" w:ascii="宋体" w:hAnsi="宋体"/>
                <w:color w:val="auto"/>
                <w:szCs w:val="21"/>
                <w:highlight w:val="none"/>
              </w:rPr>
            </w:pPr>
            <w:r>
              <w:rPr>
                <w:rFonts w:hint="eastAsia" w:ascii="宋体" w:hAnsi="宋体"/>
                <w:color w:val="auto"/>
                <w:szCs w:val="21"/>
                <w:highlight w:val="none"/>
              </w:rPr>
              <w:t>■不需要。</w:t>
            </w:r>
          </w:p>
          <w:p>
            <w:pPr>
              <w:snapToGrid w:val="0"/>
              <w:spacing w:line="300" w:lineRule="auto"/>
              <w:rPr>
                <w:rFonts w:ascii="宋体" w:hAnsi="宋体"/>
                <w:color w:val="auto"/>
                <w:szCs w:val="21"/>
                <w:highlight w:val="none"/>
              </w:rPr>
            </w:pPr>
            <w:r>
              <w:rPr>
                <w:rFonts w:hint="eastAsia" w:ascii="宋体" w:hAnsi="宋体"/>
                <w:color w:val="auto"/>
                <w:szCs w:val="21"/>
                <w:highlight w:val="none"/>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3.7.3（B）</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投标文件所附证书证件要求</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snapToGrid w:val="0"/>
              <w:spacing w:line="300" w:lineRule="auto"/>
              <w:rPr>
                <w:rFonts w:hAnsi="宋体"/>
                <w:color w:val="auto"/>
                <w:kern w:val="2"/>
                <w:sz w:val="21"/>
                <w:szCs w:val="21"/>
                <w:highlight w:val="none"/>
                <w:u w:val="single"/>
                <w:lang w:val="en-US" w:eastAsia="zh-CN"/>
              </w:rPr>
            </w:pPr>
            <w:r>
              <w:rPr>
                <w:rFonts w:hint="eastAsia" w:hAnsi="宋体"/>
                <w:color w:val="auto"/>
                <w:kern w:val="2"/>
                <w:sz w:val="21"/>
                <w:szCs w:val="21"/>
                <w:highlight w:val="none"/>
                <w:u w:val="single"/>
                <w:lang w:val="en-US" w:eastAsia="zh-CN"/>
              </w:rPr>
              <w:t>本项目不属于电子招投标，投标人需要按照招标文件要求提交纸质的投标文件。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3.7.3（B）</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投标文件签字或盖章要求</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adjustRightInd w:val="0"/>
              <w:snapToGrid w:val="0"/>
              <w:spacing w:line="300" w:lineRule="auto"/>
              <w:textAlignment w:val="baseline"/>
              <w:outlineLvl w:val="1"/>
              <w:rPr>
                <w:rFonts w:hAnsi="宋体"/>
                <w:color w:val="auto"/>
                <w:kern w:val="2"/>
                <w:sz w:val="21"/>
                <w:szCs w:val="21"/>
                <w:highlight w:val="none"/>
                <w:u w:val="single"/>
                <w:lang w:val="en-US" w:eastAsia="zh-CN"/>
              </w:rPr>
            </w:pPr>
            <w:r>
              <w:rPr>
                <w:rFonts w:hint="eastAsia" w:hAnsi="宋体"/>
                <w:color w:val="auto"/>
                <w:kern w:val="2"/>
                <w:sz w:val="21"/>
                <w:szCs w:val="21"/>
                <w:highlight w:val="none"/>
                <w:u w:val="single"/>
                <w:lang w:val="en-US" w:eastAsia="zh-CN"/>
              </w:rPr>
              <w:t>投标文件正、副本封面必须加盖投标人单位公章并经法定代表人或其授权委托人签字或盖章。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4.1.1（B）</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投标文件加密要求</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adjustRightInd w:val="0"/>
              <w:snapToGrid w:val="0"/>
              <w:spacing w:line="300" w:lineRule="auto"/>
              <w:textAlignment w:val="baseline"/>
              <w:outlineLvl w:val="1"/>
              <w:rPr>
                <w:rFonts w:hAnsi="宋体"/>
                <w:color w:val="auto"/>
                <w:kern w:val="2"/>
                <w:sz w:val="21"/>
                <w:szCs w:val="21"/>
                <w:highlight w:val="none"/>
                <w:u w:val="single"/>
                <w:lang w:val="en-US" w:eastAsia="zh-CN"/>
              </w:rPr>
            </w:pPr>
            <w:r>
              <w:rPr>
                <w:rFonts w:hint="eastAsia" w:hAnsi="宋体"/>
                <w:color w:val="auto"/>
                <w:kern w:val="2"/>
                <w:sz w:val="21"/>
                <w:szCs w:val="21"/>
                <w:highlight w:val="none"/>
                <w:u w:val="single"/>
                <w:lang w:val="en-US" w:eastAsia="zh-CN"/>
              </w:rPr>
              <w:t>本项目不属于电子招投标，投标人需要按照招标文件要求提交纸质的投标文件。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4.1.2</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封套上应载明</w:t>
            </w:r>
          </w:p>
          <w:p>
            <w:pPr>
              <w:snapToGrid w:val="0"/>
              <w:spacing w:line="300" w:lineRule="auto"/>
              <w:jc w:val="center"/>
              <w:rPr>
                <w:rFonts w:ascii="宋体" w:hAnsi="宋体"/>
                <w:color w:val="auto"/>
                <w:szCs w:val="21"/>
                <w:highlight w:val="none"/>
                <w:shd w:val="clear" w:color="auto" w:fill="D9D9D9"/>
              </w:rPr>
            </w:pPr>
            <w:r>
              <w:rPr>
                <w:rFonts w:hint="eastAsia" w:ascii="宋体" w:hAnsi="宋体"/>
                <w:color w:val="auto"/>
                <w:szCs w:val="21"/>
                <w:highlight w:val="none"/>
              </w:rPr>
              <w:t>的信息</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snapToGrid w:val="0"/>
              <w:spacing w:line="300" w:lineRule="auto"/>
              <w:ind w:right="174" w:rightChars="83"/>
              <w:rPr>
                <w:rFonts w:hAnsi="宋体"/>
                <w:color w:val="auto"/>
                <w:sz w:val="21"/>
                <w:szCs w:val="21"/>
                <w:highlight w:val="none"/>
                <w:lang w:val="en-US" w:eastAsia="zh-CN"/>
              </w:rPr>
            </w:pPr>
            <w:r>
              <w:rPr>
                <w:rFonts w:hint="eastAsia" w:hAnsi="宋体"/>
                <w:color w:val="auto"/>
                <w:sz w:val="21"/>
                <w:szCs w:val="21"/>
                <w:highlight w:val="none"/>
                <w:lang w:val="en-US" w:eastAsia="zh-CN"/>
              </w:rPr>
              <w:t>招标人名称：廉江市绿色东方新能源有限公司</w:t>
            </w:r>
          </w:p>
          <w:p>
            <w:pPr>
              <w:pStyle w:val="7"/>
              <w:topLinePunct/>
              <w:snapToGrid w:val="0"/>
              <w:spacing w:line="300" w:lineRule="auto"/>
              <w:ind w:right="174" w:rightChars="83" w:firstLine="840" w:firstLineChars="400"/>
              <w:rPr>
                <w:rFonts w:hAnsi="宋体"/>
                <w:color w:val="auto"/>
                <w:sz w:val="21"/>
                <w:szCs w:val="21"/>
                <w:highlight w:val="none"/>
                <w:lang w:val="en-US" w:eastAsia="zh-CN"/>
              </w:rPr>
            </w:pPr>
            <w:r>
              <w:rPr>
                <w:rFonts w:hint="eastAsia" w:hAnsi="宋体"/>
                <w:color w:val="auto"/>
                <w:sz w:val="21"/>
                <w:szCs w:val="21"/>
                <w:highlight w:val="none"/>
                <w:lang w:val="en-US" w:eastAsia="zh-CN"/>
              </w:rPr>
              <w:t>廉江市生活垃圾焚烧发电二期项目监理投标文件</w:t>
            </w:r>
          </w:p>
          <w:p>
            <w:pPr>
              <w:pStyle w:val="7"/>
              <w:topLinePunct/>
              <w:snapToGrid w:val="0"/>
              <w:spacing w:line="300" w:lineRule="auto"/>
              <w:ind w:right="174" w:rightChars="83"/>
              <w:rPr>
                <w:rFonts w:hAnsi="宋体"/>
                <w:color w:val="auto"/>
                <w:sz w:val="21"/>
                <w:szCs w:val="21"/>
                <w:highlight w:val="none"/>
                <w:u w:val="single"/>
                <w:lang w:val="en-US" w:eastAsia="zh-CN"/>
              </w:rPr>
            </w:pPr>
            <w:r>
              <w:rPr>
                <w:rFonts w:hint="eastAsia" w:hAnsi="宋体"/>
                <w:color w:val="auto"/>
                <w:sz w:val="21"/>
                <w:szCs w:val="21"/>
                <w:highlight w:val="none"/>
                <w:lang w:val="en-US" w:eastAsia="zh-CN"/>
              </w:rPr>
              <w:t>招标项目编号：</w:t>
            </w:r>
          </w:p>
          <w:p>
            <w:pPr>
              <w:spacing w:line="300" w:lineRule="auto"/>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r>
              <w:rPr>
                <w:rFonts w:hint="eastAsia" w:ascii="宋体" w:hAnsi="宋体" w:cs="宋体"/>
                <w:color w:val="auto"/>
                <w:szCs w:val="21"/>
                <w:highlight w:val="none"/>
              </w:rPr>
              <w:t>加盖投标人公章）</w:t>
            </w:r>
          </w:p>
          <w:p>
            <w:pPr>
              <w:pStyle w:val="7"/>
              <w:topLinePunct/>
              <w:snapToGrid w:val="0"/>
              <w:spacing w:line="300" w:lineRule="auto"/>
              <w:rPr>
                <w:rFonts w:hAnsi="宋体"/>
                <w:color w:val="auto"/>
                <w:kern w:val="2"/>
                <w:sz w:val="21"/>
                <w:szCs w:val="21"/>
                <w:highlight w:val="none"/>
                <w:lang w:val="en-US" w:eastAsia="zh-CN"/>
              </w:rPr>
            </w:pPr>
            <w:r>
              <w:rPr>
                <w:rFonts w:hint="eastAsia" w:hAnsi="宋体"/>
                <w:color w:val="auto"/>
                <w:sz w:val="21"/>
                <w:szCs w:val="21"/>
                <w:highlight w:val="none"/>
                <w:u w:val="single"/>
                <w:lang w:val="en-US" w:eastAsia="zh-CN"/>
              </w:rPr>
              <w:t>在   年   月   日时</w:t>
            </w:r>
            <w:r>
              <w:rPr>
                <w:rFonts w:hint="eastAsia" w:hAnsi="宋体"/>
                <w:color w:val="auto"/>
                <w:sz w:val="21"/>
                <w:szCs w:val="21"/>
                <w:highlight w:val="none"/>
                <w:lang w:val="en-US" w:eastAsia="zh-CN"/>
              </w:rPr>
              <w:t>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4.2.1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投标截止时间</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olor w:val="auto"/>
                <w:szCs w:val="21"/>
                <w:highlight w:val="none"/>
                <w:u w:val="single"/>
              </w:rPr>
              <w:t>2022</w:t>
            </w:r>
            <w:r>
              <w:rPr>
                <w:rFonts w:hint="eastAsia" w:ascii="宋体" w:hAnsi="宋体"/>
                <w:color w:val="auto"/>
                <w:szCs w:val="21"/>
                <w:highlight w:val="none"/>
              </w:rPr>
              <w:t>年  月  日时分</w:t>
            </w:r>
            <w:r>
              <w:rPr>
                <w:rFonts w:hint="eastAsia" w:ascii="宋体" w:hAnsi="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hint="eastAsia" w:ascii="宋体" w:hAnsi="宋体"/>
                <w:color w:val="auto"/>
                <w:szCs w:val="21"/>
                <w:highlight w:val="none"/>
              </w:rPr>
            </w:pPr>
            <w:r>
              <w:rPr>
                <w:rFonts w:hint="eastAsia" w:ascii="宋体" w:hAnsi="宋体"/>
                <w:color w:val="auto"/>
                <w:szCs w:val="21"/>
                <w:highlight w:val="none"/>
              </w:rPr>
              <w:t>4.2.2（A</w:t>
            </w:r>
            <w:r>
              <w:rPr>
                <w:rFonts w:ascii="宋体" w:hAnsi="宋体"/>
                <w:color w:val="auto"/>
                <w:szCs w:val="21"/>
                <w:highlight w:val="none"/>
              </w:rPr>
              <w:t>）</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hint="eastAsia" w:ascii="宋体" w:hAnsi="宋体"/>
                <w:color w:val="auto"/>
                <w:szCs w:val="21"/>
                <w:highlight w:val="none"/>
              </w:rPr>
            </w:pPr>
            <w:r>
              <w:rPr>
                <w:rFonts w:hint="eastAsia" w:ascii="宋体" w:hAnsi="宋体"/>
                <w:color w:val="auto"/>
                <w:szCs w:val="21"/>
                <w:highlight w:val="none"/>
              </w:rPr>
              <w:t>递交投标文件地点</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u w:val="single"/>
              </w:rPr>
            </w:pPr>
            <w:r>
              <w:rPr>
                <w:rFonts w:ascii="宋体" w:hAnsi="宋体"/>
                <w:color w:val="auto"/>
                <w:szCs w:val="21"/>
                <w:highlight w:val="none"/>
              </w:rPr>
              <w:t>递交投标文件地点：</w:t>
            </w:r>
            <w:r>
              <w:rPr>
                <w:rFonts w:ascii="宋体" w:hAnsi="宋体"/>
                <w:color w:val="auto"/>
                <w:szCs w:val="21"/>
                <w:highlight w:val="none"/>
                <w:u w:val="single"/>
              </w:rPr>
              <w:t>广州公共资源交易中心指定开标室。</w:t>
            </w:r>
          </w:p>
          <w:p>
            <w:pPr>
              <w:widowControl/>
              <w:spacing w:line="300" w:lineRule="auto"/>
              <w:rPr>
                <w:rFonts w:ascii="宋体" w:hAnsi="宋体" w:cs="仿宋"/>
                <w:color w:val="auto"/>
                <w:szCs w:val="21"/>
                <w:highlight w:val="none"/>
                <w:u w:val="single"/>
              </w:rPr>
            </w:pPr>
            <w:r>
              <w:rPr>
                <w:rFonts w:hint="eastAsia" w:ascii="宋体" w:hAnsi="宋体" w:cs="仿宋"/>
                <w:color w:val="auto"/>
                <w:szCs w:val="21"/>
                <w:highlight w:val="none"/>
              </w:rPr>
              <w:t>开始接收投标文件时间：</w:t>
            </w:r>
            <w:r>
              <w:rPr>
                <w:rFonts w:hint="eastAsia" w:ascii="宋体" w:hAnsi="宋体" w:cs="仿宋"/>
                <w:color w:val="auto"/>
                <w:szCs w:val="21"/>
                <w:highlight w:val="none"/>
                <w:u w:val="single"/>
              </w:rPr>
              <w:t>2022</w:t>
            </w:r>
            <w:r>
              <w:rPr>
                <w:rFonts w:hint="eastAsia" w:ascii="宋体" w:hAnsi="宋体" w:cs="仿宋"/>
                <w:color w:val="auto"/>
                <w:szCs w:val="21"/>
                <w:highlight w:val="none"/>
              </w:rPr>
              <w:t>年</w:t>
            </w:r>
            <w:r>
              <w:rPr>
                <w:rFonts w:ascii="宋体" w:hAnsi="宋体" w:cs="仿宋"/>
                <w:color w:val="auto"/>
                <w:szCs w:val="21"/>
                <w:highlight w:val="none"/>
                <w:u w:val="single"/>
              </w:rPr>
              <w:t xml:space="preserve"> </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月</w:t>
            </w:r>
            <w:r>
              <w:rPr>
                <w:rFonts w:ascii="宋体" w:hAnsi="宋体" w:cs="仿宋"/>
                <w:color w:val="auto"/>
                <w:szCs w:val="21"/>
                <w:highlight w:val="none"/>
                <w:u w:val="single"/>
              </w:rPr>
              <w:t xml:space="preserve"> </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日</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 xml:space="preserve">时 </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分</w:t>
            </w:r>
          </w:p>
          <w:p>
            <w:pPr>
              <w:spacing w:line="300" w:lineRule="auto"/>
              <w:rPr>
                <w:rFonts w:ascii="宋体" w:hAnsi="宋体" w:cs="仿宋"/>
                <w:color w:val="auto"/>
                <w:szCs w:val="21"/>
                <w:highlight w:val="none"/>
              </w:rPr>
            </w:pPr>
            <w:r>
              <w:rPr>
                <w:rFonts w:ascii="宋体" w:hAnsi="宋体" w:cs="仿宋"/>
                <w:color w:val="auto"/>
                <w:szCs w:val="21"/>
                <w:highlight w:val="none"/>
              </w:rPr>
              <w:t>投标截止时间：</w:t>
            </w:r>
            <w:r>
              <w:rPr>
                <w:rFonts w:ascii="宋体" w:hAnsi="宋体" w:cs="仿宋"/>
                <w:color w:val="auto"/>
                <w:szCs w:val="21"/>
                <w:highlight w:val="none"/>
                <w:u w:val="single"/>
              </w:rPr>
              <w:t>20</w:t>
            </w:r>
            <w:r>
              <w:rPr>
                <w:rFonts w:hint="eastAsia" w:ascii="宋体" w:hAnsi="宋体" w:cs="仿宋"/>
                <w:color w:val="auto"/>
                <w:szCs w:val="21"/>
                <w:highlight w:val="none"/>
                <w:u w:val="single"/>
              </w:rPr>
              <w:t>22</w:t>
            </w:r>
            <w:r>
              <w:rPr>
                <w:rFonts w:ascii="宋体" w:hAnsi="宋体" w:cs="仿宋"/>
                <w:color w:val="auto"/>
                <w:szCs w:val="21"/>
                <w:highlight w:val="none"/>
              </w:rPr>
              <w:t>年</w:t>
            </w:r>
            <w:r>
              <w:rPr>
                <w:rFonts w:ascii="宋体" w:hAnsi="宋体" w:cs="仿宋"/>
                <w:color w:val="auto"/>
                <w:szCs w:val="21"/>
                <w:highlight w:val="none"/>
                <w:u w:val="single"/>
              </w:rPr>
              <w:t xml:space="preserve">   </w:t>
            </w:r>
            <w:r>
              <w:rPr>
                <w:rFonts w:ascii="宋体" w:hAnsi="宋体" w:cs="仿宋"/>
                <w:color w:val="auto"/>
                <w:szCs w:val="21"/>
                <w:highlight w:val="none"/>
              </w:rPr>
              <w:t>月</w:t>
            </w:r>
            <w:r>
              <w:rPr>
                <w:rFonts w:ascii="宋体" w:hAnsi="宋体" w:cs="仿宋"/>
                <w:color w:val="auto"/>
                <w:szCs w:val="21"/>
                <w:highlight w:val="none"/>
                <w:u w:val="single"/>
              </w:rPr>
              <w:t xml:space="preserve">   </w:t>
            </w:r>
            <w:r>
              <w:rPr>
                <w:rFonts w:ascii="宋体" w:hAnsi="宋体" w:cs="仿宋"/>
                <w:color w:val="auto"/>
                <w:szCs w:val="21"/>
                <w:highlight w:val="none"/>
              </w:rPr>
              <w:t>日</w:t>
            </w:r>
            <w:r>
              <w:rPr>
                <w:rFonts w:ascii="宋体" w:hAnsi="宋体" w:cs="仿宋"/>
                <w:color w:val="auto"/>
                <w:szCs w:val="21"/>
                <w:highlight w:val="none"/>
                <w:u w:val="single"/>
              </w:rPr>
              <w:t xml:space="preserve">   </w:t>
            </w:r>
            <w:r>
              <w:rPr>
                <w:rFonts w:ascii="宋体" w:hAnsi="宋体" w:cs="仿宋"/>
                <w:color w:val="auto"/>
                <w:szCs w:val="21"/>
                <w:highlight w:val="none"/>
              </w:rPr>
              <w:t>时</w:t>
            </w:r>
            <w:r>
              <w:rPr>
                <w:rFonts w:ascii="宋体" w:hAnsi="宋体" w:cs="仿宋"/>
                <w:color w:val="auto"/>
                <w:szCs w:val="21"/>
                <w:highlight w:val="none"/>
                <w:u w:val="single"/>
              </w:rPr>
              <w:t xml:space="preserve">   </w:t>
            </w:r>
            <w:r>
              <w:rPr>
                <w:rFonts w:ascii="宋体" w:hAnsi="宋体" w:cs="仿宋"/>
                <w:color w:val="auto"/>
                <w:szCs w:val="21"/>
                <w:highlight w:val="none"/>
              </w:rPr>
              <w:t>分</w:t>
            </w:r>
          </w:p>
          <w:p>
            <w:pPr>
              <w:snapToGrid w:val="0"/>
              <w:spacing w:line="300" w:lineRule="auto"/>
              <w:rPr>
                <w:rFonts w:hint="eastAsia" w:ascii="宋体" w:hAnsi="宋体"/>
                <w:color w:val="auto"/>
                <w:szCs w:val="21"/>
                <w:highlight w:val="none"/>
                <w:u w:val="single"/>
              </w:rPr>
            </w:pPr>
            <w:r>
              <w:rPr>
                <w:rFonts w:ascii="宋体" w:hAnsi="宋体" w:cs="仿宋"/>
                <w:color w:val="auto"/>
                <w:szCs w:val="21"/>
                <w:highlight w:val="none"/>
              </w:rPr>
              <w:t>具体时间地点可以到广州公共资源交易中心网站的服务指南中的交易活动安排输入本项目编号或项目名称进行查询。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4.2.3</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投标文件是否退还</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snapToGrid w:val="0"/>
              <w:spacing w:line="300" w:lineRule="auto"/>
              <w:rPr>
                <w:rFonts w:hAnsi="宋体"/>
                <w:color w:val="auto"/>
                <w:kern w:val="2"/>
                <w:sz w:val="21"/>
                <w:szCs w:val="21"/>
                <w:highlight w:val="none"/>
                <w:lang w:val="en-US" w:eastAsia="zh-CN"/>
              </w:rPr>
            </w:pPr>
            <w:r>
              <w:rPr>
                <w:rFonts w:hint="eastAsia" w:hAnsi="宋体"/>
                <w:color w:val="auto"/>
                <w:spacing w:val="-1"/>
                <w:kern w:val="2"/>
                <w:sz w:val="21"/>
                <w:szCs w:val="21"/>
                <w:highlight w:val="none"/>
                <w:lang w:val="en-US" w:eastAsia="zh-CN"/>
              </w:rPr>
              <w:t>■</w:t>
            </w:r>
            <w:r>
              <w:rPr>
                <w:rFonts w:hint="eastAsia" w:hAnsi="宋体"/>
                <w:color w:val="auto"/>
                <w:kern w:val="2"/>
                <w:sz w:val="21"/>
                <w:szCs w:val="21"/>
                <w:highlight w:val="none"/>
                <w:lang w:val="en-US" w:eastAsia="zh-CN"/>
              </w:rPr>
              <w:t>否</w:t>
            </w:r>
          </w:p>
          <w:p>
            <w:pPr>
              <w:pStyle w:val="7"/>
              <w:topLinePunct/>
              <w:snapToGrid w:val="0"/>
              <w:spacing w:line="300" w:lineRule="auto"/>
              <w:rPr>
                <w:rFonts w:hAnsi="宋体"/>
                <w:color w:val="auto"/>
                <w:kern w:val="2"/>
                <w:sz w:val="21"/>
                <w:szCs w:val="21"/>
                <w:highlight w:val="none"/>
                <w:lang w:val="en-US" w:eastAsia="zh-CN"/>
              </w:rPr>
            </w:pPr>
            <w:r>
              <w:rPr>
                <w:rFonts w:hint="eastAsia" w:hAnsi="宋体"/>
                <w:color w:val="auto"/>
                <w:kern w:val="2"/>
                <w:sz w:val="21"/>
                <w:szCs w:val="21"/>
                <w:highlight w:val="none"/>
                <w:lang w:val="en-US" w:eastAsia="zh-CN"/>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5.1（A）</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开标时间和地点</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olor w:val="auto"/>
                <w:szCs w:val="21"/>
                <w:highlight w:val="none"/>
              </w:rPr>
            </w:pPr>
            <w:r>
              <w:rPr>
                <w:rFonts w:hint="eastAsia" w:ascii="宋体" w:hAnsi="宋体"/>
                <w:color w:val="auto"/>
                <w:szCs w:val="21"/>
                <w:highlight w:val="none"/>
              </w:rPr>
              <w:t>开标时间：同投标截止时间</w:t>
            </w:r>
          </w:p>
          <w:p>
            <w:pPr>
              <w:snapToGrid w:val="0"/>
              <w:spacing w:line="300" w:lineRule="auto"/>
              <w:rPr>
                <w:rFonts w:hint="eastAsia" w:ascii="宋体" w:hAnsi="宋体"/>
                <w:color w:val="auto"/>
                <w:szCs w:val="21"/>
                <w:highlight w:val="none"/>
                <w:u w:val="single"/>
              </w:rPr>
            </w:pPr>
            <w:r>
              <w:rPr>
                <w:rFonts w:hint="eastAsia" w:ascii="宋体" w:hAnsi="宋体"/>
                <w:color w:val="auto"/>
                <w:szCs w:val="21"/>
                <w:highlight w:val="none"/>
              </w:rPr>
              <w:t>开标地点：</w:t>
            </w:r>
            <w:r>
              <w:rPr>
                <w:rFonts w:ascii="宋体" w:hAnsi="宋体"/>
                <w:color w:val="auto"/>
                <w:szCs w:val="21"/>
                <w:highlight w:val="none"/>
                <w:u w:val="single"/>
              </w:rPr>
              <w:t>广州公共资源交易中心指定开标室。</w:t>
            </w:r>
          </w:p>
          <w:p>
            <w:pPr>
              <w:snapToGrid w:val="0"/>
              <w:spacing w:line="300" w:lineRule="auto"/>
              <w:rPr>
                <w:rFonts w:ascii="宋体" w:hAnsi="宋体"/>
                <w:color w:val="auto"/>
                <w:szCs w:val="21"/>
                <w:highlight w:val="none"/>
              </w:rPr>
            </w:pPr>
            <w:r>
              <w:rPr>
                <w:rFonts w:ascii="宋体" w:hAnsi="宋体" w:cs="仿宋"/>
                <w:color w:val="auto"/>
                <w:szCs w:val="21"/>
                <w:highlight w:val="none"/>
              </w:rPr>
              <w:t>具体时间地点可以到广州公共资源交易中心网站的服务指南中的交易活动安排输入本项目编号或项目名称进行查询。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5.2（A）</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开标程序</w:t>
            </w:r>
          </w:p>
        </w:tc>
        <w:tc>
          <w:tcPr>
            <w:tcW w:w="6899" w:type="dxa"/>
            <w:tcBorders>
              <w:top w:val="single" w:color="auto" w:sz="6" w:space="0"/>
              <w:left w:val="single" w:color="auto" w:sz="6" w:space="0"/>
              <w:right w:val="single" w:color="auto" w:sz="4" w:space="0"/>
            </w:tcBorders>
            <w:noWrap/>
            <w:vAlign w:val="center"/>
          </w:tcPr>
          <w:p>
            <w:pPr>
              <w:spacing w:line="300" w:lineRule="auto"/>
              <w:rPr>
                <w:rFonts w:ascii="宋体" w:hAnsi="宋体"/>
                <w:color w:val="auto"/>
                <w:szCs w:val="21"/>
                <w:highlight w:val="none"/>
              </w:rPr>
            </w:pPr>
            <w:r>
              <w:rPr>
                <w:rFonts w:hint="eastAsia" w:ascii="宋体" w:hAnsi="宋体"/>
                <w:color w:val="auto"/>
                <w:szCs w:val="21"/>
                <w:highlight w:val="none"/>
              </w:rPr>
              <w:t>检查密封情况：由投标人推荐的代表检查投标文件的密封情况。</w:t>
            </w:r>
          </w:p>
          <w:p>
            <w:pPr>
              <w:snapToGrid w:val="0"/>
              <w:spacing w:line="300" w:lineRule="auto"/>
              <w:rPr>
                <w:rFonts w:ascii="宋体" w:hAnsi="宋体"/>
                <w:color w:val="auto"/>
                <w:szCs w:val="21"/>
                <w:highlight w:val="none"/>
                <w:u w:val="single"/>
              </w:rPr>
            </w:pPr>
            <w:r>
              <w:rPr>
                <w:rFonts w:hint="eastAsia" w:ascii="宋体" w:hAnsi="宋体"/>
                <w:color w:val="auto"/>
                <w:szCs w:val="21"/>
                <w:highlight w:val="none"/>
              </w:rPr>
              <w:t>开标顺序：按递交投标文件的先后顺序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6.1.1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评标委员会的组建</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s="宋体"/>
                <w:color w:val="auto"/>
                <w:szCs w:val="21"/>
                <w:highlight w:val="none"/>
                <w:u w:val="single"/>
              </w:rPr>
              <w:t>由招标人依法组建。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6.3.2</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评标委员会推荐中标候选人的人数</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u w:val="single"/>
              </w:rPr>
            </w:pPr>
            <w:r>
              <w:rPr>
                <w:rFonts w:hint="eastAsia" w:ascii="宋体" w:hAnsi="宋体"/>
                <w:color w:val="auto"/>
                <w:szCs w:val="21"/>
                <w:highlight w:val="none"/>
              </w:rPr>
              <w:t>推荐中标候选人：</w:t>
            </w:r>
            <w:r>
              <w:rPr>
                <w:rFonts w:hint="eastAsia" w:ascii="宋体" w:hAnsi="宋体"/>
                <w:color w:val="auto"/>
                <w:szCs w:val="21"/>
                <w:highlight w:val="none"/>
                <w:u w:val="single"/>
              </w:rPr>
              <w:t>3名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7.1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中标候选人公示媒介及期限</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ind w:left="34" w:right="108"/>
              <w:rPr>
                <w:rFonts w:ascii="宋体" w:hAnsi="宋体"/>
                <w:color w:val="auto"/>
                <w:szCs w:val="21"/>
                <w:highlight w:val="none"/>
                <w:u w:val="single"/>
              </w:rPr>
            </w:pPr>
            <w:r>
              <w:rPr>
                <w:rFonts w:hint="eastAsia" w:ascii="宋体" w:hAnsi="宋体"/>
                <w:color w:val="auto"/>
                <w:szCs w:val="21"/>
                <w:highlight w:val="none"/>
              </w:rPr>
              <w:t>公示媒介：</w:t>
            </w:r>
            <w:r>
              <w:rPr>
                <w:rFonts w:hint="eastAsia" w:ascii="宋体" w:hAnsi="宋体"/>
                <w:bCs/>
                <w:color w:val="auto"/>
                <w:szCs w:val="21"/>
                <w:highlight w:val="none"/>
                <w:u w:val="single"/>
              </w:rPr>
              <w:t>中国招标投标公共服务平台、广东省招标投标监管网、广州公共资源交易中心网</w:t>
            </w:r>
          </w:p>
          <w:p>
            <w:pPr>
              <w:snapToGrid w:val="0"/>
              <w:spacing w:line="300" w:lineRule="auto"/>
              <w:ind w:left="34" w:right="106"/>
              <w:rPr>
                <w:rFonts w:ascii="宋体" w:hAnsi="宋体"/>
                <w:color w:val="auto"/>
                <w:szCs w:val="21"/>
                <w:highlight w:val="none"/>
              </w:rPr>
            </w:pPr>
            <w:r>
              <w:rPr>
                <w:rFonts w:hint="eastAsia" w:ascii="宋体" w:hAnsi="宋体"/>
                <w:color w:val="auto"/>
                <w:szCs w:val="21"/>
                <w:highlight w:val="none"/>
              </w:rPr>
              <w:t>公示期限：</w:t>
            </w:r>
            <w:r>
              <w:rPr>
                <w:rFonts w:hint="eastAsia" w:ascii="宋体" w:hAnsi="宋体"/>
                <w:color w:val="auto"/>
                <w:szCs w:val="21"/>
                <w:highlight w:val="none"/>
                <w:u w:val="single"/>
              </w:rPr>
              <w:t>3</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7.4</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6899"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olor w:val="auto"/>
                <w:szCs w:val="21"/>
                <w:highlight w:val="none"/>
              </w:rPr>
            </w:pPr>
            <w:r>
              <w:rPr>
                <w:rFonts w:hint="eastAsia" w:ascii="宋体" w:hAnsi="宋体"/>
                <w:color w:val="auto"/>
                <w:szCs w:val="21"/>
                <w:highlight w:val="none"/>
              </w:rPr>
              <w:t>□是</w:t>
            </w:r>
          </w:p>
          <w:p>
            <w:pPr>
              <w:snapToGrid w:val="0"/>
              <w:spacing w:line="300" w:lineRule="auto"/>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7.6.1</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履约保证金</w:t>
            </w:r>
          </w:p>
        </w:tc>
        <w:tc>
          <w:tcPr>
            <w:tcW w:w="6899" w:type="dxa"/>
            <w:tcBorders>
              <w:top w:val="single" w:color="auto" w:sz="6" w:space="0"/>
              <w:left w:val="single" w:color="auto" w:sz="6" w:space="0"/>
              <w:bottom w:val="single" w:color="auto" w:sz="6" w:space="0"/>
              <w:right w:val="single" w:color="auto" w:sz="4" w:space="0"/>
            </w:tcBorders>
            <w:noWrap/>
            <w:vAlign w:val="center"/>
          </w:tcPr>
          <w:p>
            <w:pPr>
              <w:pStyle w:val="7"/>
              <w:topLinePunct/>
              <w:snapToGrid w:val="0"/>
              <w:spacing w:line="300" w:lineRule="auto"/>
              <w:rPr>
                <w:rFonts w:hAnsi="宋体"/>
                <w:color w:val="auto"/>
                <w:kern w:val="2"/>
                <w:sz w:val="21"/>
                <w:szCs w:val="21"/>
                <w:highlight w:val="none"/>
                <w:lang w:val="en-US" w:eastAsia="zh-CN"/>
              </w:rPr>
            </w:pPr>
            <w:r>
              <w:rPr>
                <w:rFonts w:hint="eastAsia" w:hAnsi="宋体"/>
                <w:color w:val="auto"/>
                <w:kern w:val="2"/>
                <w:sz w:val="21"/>
                <w:szCs w:val="21"/>
                <w:highlight w:val="none"/>
                <w:lang w:val="en-US" w:eastAsia="zh-CN"/>
              </w:rPr>
              <w:t>是否要求中标人提交履约保证金：</w:t>
            </w:r>
          </w:p>
          <w:p>
            <w:pPr>
              <w:pStyle w:val="7"/>
              <w:topLinePunct/>
              <w:spacing w:line="300" w:lineRule="auto"/>
              <w:ind w:left="40" w:leftChars="19" w:right="107" w:rightChars="51"/>
              <w:rPr>
                <w:rFonts w:hAnsi="宋体"/>
                <w:color w:val="auto"/>
                <w:sz w:val="21"/>
                <w:szCs w:val="21"/>
                <w:highlight w:val="none"/>
              </w:rPr>
            </w:pPr>
            <w:r>
              <w:rPr>
                <w:rFonts w:hint="eastAsia" w:hAnsi="宋体"/>
                <w:color w:val="auto"/>
                <w:spacing w:val="-1"/>
                <w:kern w:val="2"/>
                <w:sz w:val="21"/>
                <w:szCs w:val="21"/>
                <w:highlight w:val="none"/>
                <w:lang w:val="en-US" w:eastAsia="zh-CN"/>
              </w:rPr>
              <w:t>■</w:t>
            </w:r>
            <w:r>
              <w:rPr>
                <w:rFonts w:hint="eastAsia" w:hAnsi="宋体"/>
                <w:color w:val="auto"/>
                <w:kern w:val="2"/>
                <w:sz w:val="21"/>
                <w:szCs w:val="21"/>
                <w:highlight w:val="none"/>
                <w:lang w:val="en-US" w:eastAsia="zh-CN"/>
              </w:rPr>
              <w:t>要求，履约保证金的金额：</w:t>
            </w:r>
            <w:r>
              <w:rPr>
                <w:rFonts w:hint="eastAsia" w:hAnsi="宋体"/>
                <w:color w:val="auto"/>
                <w:kern w:val="2"/>
                <w:sz w:val="21"/>
                <w:szCs w:val="21"/>
                <w:highlight w:val="none"/>
                <w:u w:val="single"/>
                <w:lang w:val="en-US" w:eastAsia="zh-CN"/>
              </w:rPr>
              <w:t>中标价的5%。</w:t>
            </w:r>
          </w:p>
          <w:p>
            <w:pPr>
              <w:spacing w:line="300" w:lineRule="auto"/>
              <w:ind w:firstLine="840" w:firstLineChars="400"/>
              <w:rPr>
                <w:rFonts w:ascii="宋体" w:hAnsi="宋体"/>
                <w:color w:val="auto"/>
                <w:szCs w:val="21"/>
                <w:highlight w:val="none"/>
              </w:rPr>
            </w:pPr>
            <w:r>
              <w:rPr>
                <w:rFonts w:ascii="宋体" w:hAnsi="宋体"/>
                <w:color w:val="auto"/>
                <w:szCs w:val="21"/>
                <w:highlight w:val="none"/>
              </w:rPr>
              <w:t>履约担保的形式：</w:t>
            </w:r>
            <w:r>
              <w:rPr>
                <w:rFonts w:hint="eastAsia" w:ascii="宋体" w:hAnsi="宋体"/>
                <w:color w:val="auto"/>
                <w:szCs w:val="21"/>
                <w:highlight w:val="none"/>
              </w:rPr>
              <w:t>采用现金或银行转账或保函的方式（采用保函方式的，保函有效期不得少于本工程工期）转入招标人账户，如果采用银行转账方式则必须从中标人的法人开户银行的账号划出招标人指定的账户，并详细注明工程名称及用途。</w:t>
            </w:r>
          </w:p>
          <w:p>
            <w:pPr>
              <w:pStyle w:val="42"/>
              <w:spacing w:line="300" w:lineRule="auto"/>
              <w:ind w:firstLine="0"/>
              <w:rPr>
                <w:rFonts w:hAnsi="宋体"/>
                <w:color w:val="auto"/>
                <w:sz w:val="21"/>
                <w:szCs w:val="21"/>
                <w:highlight w:val="none"/>
              </w:rPr>
            </w:pPr>
            <w:r>
              <w:rPr>
                <w:rFonts w:hint="eastAsia" w:hAnsi="宋体"/>
                <w:color w:val="auto"/>
                <w:sz w:val="21"/>
                <w:szCs w:val="21"/>
                <w:highlight w:val="none"/>
              </w:rPr>
              <w:t>招标人指定的账户如下：</w:t>
            </w:r>
          </w:p>
          <w:p>
            <w:pPr>
              <w:pStyle w:val="42"/>
              <w:spacing w:line="300" w:lineRule="auto"/>
              <w:ind w:firstLineChars="200"/>
              <w:rPr>
                <w:rFonts w:hAnsi="宋体"/>
                <w:color w:val="auto"/>
                <w:sz w:val="21"/>
                <w:szCs w:val="21"/>
                <w:highlight w:val="none"/>
              </w:rPr>
            </w:pPr>
            <w:r>
              <w:rPr>
                <w:rFonts w:hint="eastAsia" w:hAnsi="宋体"/>
                <w:color w:val="auto"/>
                <w:sz w:val="21"/>
                <w:szCs w:val="21"/>
                <w:highlight w:val="none"/>
              </w:rPr>
              <w:t>开户名称：</w:t>
            </w:r>
            <w:r>
              <w:rPr>
                <w:rFonts w:hint="eastAsia" w:hAnsi="宋体" w:cs="宋体"/>
                <w:color w:val="auto"/>
                <w:sz w:val="21"/>
                <w:szCs w:val="21"/>
                <w:highlight w:val="none"/>
              </w:rPr>
              <w:t>廉江市绿色东方新能源有限公司</w:t>
            </w:r>
          </w:p>
          <w:p>
            <w:pPr>
              <w:pStyle w:val="42"/>
              <w:spacing w:line="300" w:lineRule="auto"/>
              <w:ind w:firstLineChars="200"/>
              <w:rPr>
                <w:rFonts w:hAnsi="宋体"/>
                <w:color w:val="auto"/>
                <w:sz w:val="21"/>
                <w:szCs w:val="21"/>
                <w:highlight w:val="none"/>
              </w:rPr>
            </w:pPr>
            <w:r>
              <w:rPr>
                <w:rFonts w:hint="eastAsia" w:hAnsi="宋体"/>
                <w:color w:val="auto"/>
                <w:sz w:val="21"/>
                <w:szCs w:val="21"/>
                <w:highlight w:val="none"/>
              </w:rPr>
              <w:t>开户银行：中国工商银行股份有限公司廉江支行</w:t>
            </w:r>
          </w:p>
          <w:p>
            <w:pPr>
              <w:spacing w:line="300" w:lineRule="auto"/>
              <w:ind w:right="107" w:rightChars="51" w:firstLine="420" w:firstLineChars="200"/>
              <w:rPr>
                <w:rFonts w:ascii="宋体" w:hAnsi="宋体"/>
                <w:color w:val="auto"/>
                <w:szCs w:val="21"/>
                <w:highlight w:val="none"/>
              </w:rPr>
            </w:pPr>
            <w:r>
              <w:rPr>
                <w:rFonts w:hint="eastAsia" w:ascii="宋体" w:hAnsi="宋体"/>
                <w:color w:val="auto"/>
                <w:szCs w:val="21"/>
                <w:highlight w:val="none"/>
              </w:rPr>
              <w:t>银行账号：</w:t>
            </w:r>
            <w:r>
              <w:rPr>
                <w:rFonts w:ascii="宋体" w:hAnsi="宋体"/>
                <w:color w:val="auto"/>
                <w:szCs w:val="21"/>
                <w:highlight w:val="none"/>
              </w:rPr>
              <w:t>2015021209201165889</w:t>
            </w:r>
          </w:p>
          <w:p>
            <w:pPr>
              <w:pStyle w:val="7"/>
              <w:topLinePunct/>
              <w:snapToGrid w:val="0"/>
              <w:spacing w:line="300" w:lineRule="auto"/>
              <w:rPr>
                <w:rFonts w:hAnsi="宋体"/>
                <w:color w:val="auto"/>
                <w:kern w:val="2"/>
                <w:sz w:val="21"/>
                <w:szCs w:val="21"/>
                <w:highlight w:val="none"/>
                <w:lang w:val="en-US" w:eastAsia="zh-CN"/>
              </w:rPr>
            </w:pPr>
            <w:r>
              <w:rPr>
                <w:rFonts w:hint="eastAsia" w:hAnsi="宋体"/>
                <w:color w:val="auto"/>
                <w:kern w:val="2"/>
                <w:sz w:val="21"/>
                <w:szCs w:val="21"/>
                <w:highlight w:val="none"/>
                <w:lang w:val="en-US" w:eastAsia="zh-CN"/>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9</w:t>
            </w:r>
          </w:p>
        </w:tc>
        <w:tc>
          <w:tcPr>
            <w:tcW w:w="2208" w:type="dxa"/>
            <w:tcBorders>
              <w:top w:val="single" w:color="auto" w:sz="6" w:space="0"/>
              <w:left w:val="single" w:color="auto" w:sz="6"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是否采用电子招标投标</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olor w:val="auto"/>
                <w:szCs w:val="21"/>
                <w:highlight w:val="none"/>
              </w:rPr>
            </w:pPr>
            <w:r>
              <w:rPr>
                <w:rFonts w:hint="eastAsia" w:ascii="宋体" w:hAnsi="宋体"/>
                <w:color w:val="auto"/>
                <w:szCs w:val="21"/>
                <w:highlight w:val="none"/>
              </w:rPr>
              <w:t>■否</w:t>
            </w:r>
          </w:p>
          <w:p>
            <w:pPr>
              <w:spacing w:line="300" w:lineRule="auto"/>
              <w:rPr>
                <w:rFonts w:ascii="宋体" w:hAnsi="宋体"/>
                <w:color w:val="auto"/>
                <w:szCs w:val="21"/>
                <w:highlight w:val="none"/>
              </w:rPr>
            </w:pPr>
            <w:r>
              <w:rPr>
                <w:rFonts w:hint="eastAsia" w:ascii="宋体" w:hAnsi="宋体"/>
                <w:color w:val="auto"/>
                <w:szCs w:val="21"/>
                <w:highlight w:val="none"/>
              </w:rPr>
              <w:t>□是，具体要求：/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10</w:t>
            </w:r>
          </w:p>
        </w:tc>
        <w:tc>
          <w:tcPr>
            <w:tcW w:w="9107" w:type="dxa"/>
            <w:gridSpan w:val="2"/>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jc w:val="left"/>
              <w:rPr>
                <w:rFonts w:ascii="宋体" w:hAnsi="宋体"/>
                <w:color w:val="auto"/>
                <w:szCs w:val="21"/>
                <w:highlight w:val="none"/>
              </w:rPr>
            </w:pPr>
            <w:r>
              <w:rPr>
                <w:rFonts w:hint="eastAsia" w:ascii="宋体" w:hAnsi="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10.1</w:t>
            </w:r>
          </w:p>
        </w:tc>
        <w:tc>
          <w:tcPr>
            <w:tcW w:w="2208" w:type="dxa"/>
            <w:tcBorders>
              <w:top w:val="single" w:color="auto" w:sz="6" w:space="0"/>
              <w:left w:val="single" w:color="auto" w:sz="6" w:space="0"/>
              <w:bottom w:val="single" w:color="auto" w:sz="6" w:space="0"/>
              <w:right w:val="single" w:color="auto" w:sz="6" w:space="0"/>
            </w:tcBorders>
            <w:noWrap/>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招标失败的情形</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olor w:val="auto"/>
                <w:kern w:val="0"/>
                <w:szCs w:val="21"/>
                <w:highlight w:val="none"/>
              </w:rPr>
            </w:pPr>
            <w:r>
              <w:rPr>
                <w:rFonts w:hint="eastAsia" w:ascii="宋体" w:hAnsi="宋体"/>
                <w:color w:val="auto"/>
                <w:szCs w:val="21"/>
                <w:highlight w:val="none"/>
              </w:rPr>
              <w:t>本项目采用资格后审方式，资格审查与评标同时进行，通过形式评审、资格审查、响应性评审的投标申请人不足3名时为招标失败。招标人分析招标失败原因，修正招标方案，报有关管理部门核准后，重新组织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10.2</w:t>
            </w:r>
          </w:p>
        </w:tc>
        <w:tc>
          <w:tcPr>
            <w:tcW w:w="2208" w:type="dxa"/>
            <w:tcBorders>
              <w:top w:val="single" w:color="auto" w:sz="6" w:space="0"/>
              <w:left w:val="single" w:color="auto" w:sz="6" w:space="0"/>
              <w:bottom w:val="single" w:color="auto" w:sz="6" w:space="0"/>
              <w:right w:val="single" w:color="auto" w:sz="6" w:space="0"/>
            </w:tcBorders>
            <w:noWrap/>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第一中标候选人放弃中标资格情形</w:t>
            </w:r>
          </w:p>
        </w:tc>
        <w:tc>
          <w:tcPr>
            <w:tcW w:w="6899" w:type="dxa"/>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00" w:lineRule="auto"/>
              <w:rPr>
                <w:rFonts w:ascii="宋体" w:hAnsi="宋体"/>
                <w:color w:val="auto"/>
                <w:kern w:val="0"/>
                <w:szCs w:val="21"/>
                <w:highlight w:val="none"/>
              </w:rPr>
            </w:pPr>
            <w:r>
              <w:rPr>
                <w:rFonts w:hint="eastAsia" w:ascii="宋体" w:hAnsi="宋体"/>
                <w:color w:val="auto"/>
                <w:szCs w:val="21"/>
                <w:highlight w:val="none"/>
                <w:u w:val="single"/>
              </w:rPr>
              <w:t>排名第一的中标候选人放弃中标、因不可抗力不能履行合同、不按照招标文件要求提交履约保证金，或者被查实存在影响中标结果的违法行为等情形，不符合中标条件的，招标人可以按照招标文件第三章第3.4.1款确定的推荐中标候选人原则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10.3</w:t>
            </w:r>
          </w:p>
        </w:tc>
        <w:tc>
          <w:tcPr>
            <w:tcW w:w="2208" w:type="dxa"/>
            <w:tcBorders>
              <w:top w:val="single" w:color="auto" w:sz="6" w:space="0"/>
              <w:left w:val="single" w:color="auto" w:sz="6" w:space="0"/>
              <w:bottom w:val="single" w:color="auto" w:sz="6" w:space="0"/>
              <w:right w:val="single" w:color="auto" w:sz="6" w:space="0"/>
            </w:tcBorders>
            <w:noWrap/>
            <w:vAlign w:val="center"/>
          </w:tcPr>
          <w:p>
            <w:pPr>
              <w:spacing w:line="300" w:lineRule="auto"/>
              <w:ind w:right="174" w:rightChars="83"/>
              <w:jc w:val="center"/>
              <w:rPr>
                <w:rFonts w:ascii="宋体" w:hAnsi="宋体"/>
                <w:color w:val="auto"/>
                <w:szCs w:val="21"/>
                <w:highlight w:val="none"/>
              </w:rPr>
            </w:pPr>
            <w:r>
              <w:rPr>
                <w:rFonts w:hint="eastAsia" w:ascii="宋体" w:hAnsi="宋体"/>
                <w:color w:val="auto"/>
                <w:szCs w:val="21"/>
                <w:highlight w:val="none"/>
              </w:rPr>
              <w:t>监理人员管理特别要求</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olor w:val="auto"/>
                <w:szCs w:val="21"/>
                <w:highlight w:val="none"/>
                <w:u w:val="single"/>
              </w:rPr>
            </w:pPr>
            <w:r>
              <w:rPr>
                <w:rFonts w:hint="eastAsia" w:ascii="宋体" w:hAnsi="宋体"/>
                <w:color w:val="auto"/>
                <w:szCs w:val="21"/>
                <w:highlight w:val="none"/>
                <w:u w:val="single"/>
              </w:rPr>
              <w:t>关于中标后监理人员管理的特别提醒：</w:t>
            </w:r>
          </w:p>
          <w:p>
            <w:pPr>
              <w:numPr>
                <w:ilvl w:val="0"/>
                <w:numId w:val="3"/>
              </w:numPr>
              <w:spacing w:line="300" w:lineRule="auto"/>
              <w:rPr>
                <w:rFonts w:hint="eastAsia" w:ascii="宋体" w:hAnsi="宋体"/>
                <w:color w:val="auto"/>
                <w:szCs w:val="21"/>
                <w:highlight w:val="none"/>
                <w:u w:val="single"/>
              </w:rPr>
            </w:pPr>
            <w:r>
              <w:rPr>
                <w:rFonts w:hint="eastAsia" w:ascii="宋体" w:hAnsi="宋体"/>
                <w:color w:val="auto"/>
                <w:szCs w:val="21"/>
                <w:highlight w:val="none"/>
                <w:u w:val="single"/>
              </w:rPr>
              <w:t>监理人不得随意更换投标时承诺投入的项目总监、总监代表，监理人有合法的理由提出申请，如需更换相关人员，须经招标人批准，否则招标人将按监理合同约定追究监理人违约责任。</w:t>
            </w:r>
          </w:p>
          <w:p>
            <w:pPr>
              <w:numPr>
                <w:ilvl w:val="0"/>
                <w:numId w:val="0"/>
              </w:numPr>
              <w:spacing w:line="300" w:lineRule="auto"/>
              <w:rPr>
                <w:rFonts w:ascii="宋体" w:hAnsi="宋体"/>
                <w:color w:val="auto"/>
                <w:szCs w:val="21"/>
                <w:highlight w:val="none"/>
                <w:u w:val="single"/>
              </w:rPr>
            </w:pPr>
            <w:r>
              <w:rPr>
                <w:rFonts w:hint="eastAsia" w:ascii="宋体" w:hAnsi="宋体"/>
                <w:color w:val="auto"/>
                <w:szCs w:val="21"/>
                <w:highlight w:val="none"/>
                <w:u w:val="single"/>
              </w:rPr>
              <w:t>2）经委托人同意监理人调换项目总监的，被调换的项目总监半年内不得再作为监理人参加委托人后续招标项目时拟委派监理机构的项目总监。</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3）除项目总监和总监代表外，其余监理人员应与投标文件保持一致，招标人不要求更换时不得更换。因特殊情况需要更换的，投标人应以书面形式向招标人提出意向（附前任和后任人员的详细履历资料），经招标人同意后方可更换。即使是招标人要求或同意更换的监理人员，其替代人员的资质及能力仍应得到招标人的认可。</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4）如招标人认为监理人员的数量、监理人员的业务水平、监理人员的专业配置不能满足监理工作所需时，招标人有权另行聘请符合工作需要的监理人员；所聘请监理人员的工资按照不低于《建设工程监理与相关服务收费管理规定》（发改价格[2007]670号）中附表四“建设工程监理与相关服务人员人工日费用标准”相应人员职级对应的工日费用标准上限的2.5倍支付，该费用已包括在本合同监理酬金内，由监理人向所聘监理人员支付。必要时招标人有权从本合同监理酬金中直接支付。</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（发生上述情形，招标人将书面报告建设主管部门、招标监督机构）</w:t>
            </w:r>
          </w:p>
          <w:p>
            <w:pPr>
              <w:spacing w:line="300" w:lineRule="auto"/>
              <w:rPr>
                <w:rFonts w:ascii="宋体" w:hAnsi="宋体"/>
                <w:color w:val="auto"/>
                <w:szCs w:val="21"/>
                <w:highlight w:val="none"/>
              </w:rPr>
            </w:pPr>
            <w:r>
              <w:rPr>
                <w:rFonts w:hint="eastAsia" w:ascii="宋体" w:hAnsi="宋体"/>
                <w:color w:val="auto"/>
                <w:szCs w:val="21"/>
                <w:highlight w:val="none"/>
                <w:u w:val="single"/>
              </w:rPr>
              <w:t>5）其他人员管理要求详见合同专用条件约定。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line="300" w:lineRule="auto"/>
              <w:jc w:val="center"/>
              <w:rPr>
                <w:rFonts w:ascii="宋体" w:hAnsi="宋体"/>
                <w:color w:val="auto"/>
                <w:szCs w:val="21"/>
                <w:highlight w:val="none"/>
              </w:rPr>
            </w:pPr>
            <w:r>
              <w:rPr>
                <w:rFonts w:hint="eastAsia" w:ascii="宋体" w:hAnsi="宋体"/>
                <w:color w:val="auto"/>
                <w:szCs w:val="21"/>
                <w:highlight w:val="none"/>
              </w:rPr>
              <w:t>10.4</w:t>
            </w:r>
          </w:p>
        </w:tc>
        <w:tc>
          <w:tcPr>
            <w:tcW w:w="2208" w:type="dxa"/>
            <w:tcBorders>
              <w:top w:val="single" w:color="auto" w:sz="6" w:space="0"/>
              <w:left w:val="single" w:color="auto" w:sz="6" w:space="0"/>
              <w:bottom w:val="single" w:color="auto" w:sz="6" w:space="0"/>
              <w:right w:val="single" w:color="auto" w:sz="6" w:space="0"/>
            </w:tcBorders>
            <w:noWrap/>
            <w:vAlign w:val="center"/>
          </w:tcPr>
          <w:p>
            <w:pPr>
              <w:spacing w:line="300" w:lineRule="auto"/>
              <w:ind w:right="174" w:rightChars="83"/>
              <w:jc w:val="center"/>
              <w:rPr>
                <w:rFonts w:ascii="宋体" w:hAnsi="宋体"/>
                <w:color w:val="auto"/>
                <w:szCs w:val="21"/>
                <w:highlight w:val="none"/>
              </w:rPr>
            </w:pPr>
            <w:r>
              <w:rPr>
                <w:rFonts w:hint="eastAsia" w:ascii="宋体" w:hAnsi="宋体"/>
                <w:color w:val="auto"/>
                <w:szCs w:val="21"/>
                <w:highlight w:val="none"/>
              </w:rPr>
              <w:t>否决投标条款</w:t>
            </w:r>
          </w:p>
        </w:tc>
        <w:tc>
          <w:tcPr>
            <w:tcW w:w="6899" w:type="dxa"/>
            <w:tcBorders>
              <w:top w:val="single" w:color="auto" w:sz="6" w:space="0"/>
              <w:left w:val="single" w:color="auto" w:sz="6" w:space="0"/>
              <w:bottom w:val="single" w:color="auto" w:sz="6" w:space="0"/>
              <w:right w:val="single" w:color="auto" w:sz="4" w:space="0"/>
            </w:tcBorders>
            <w:noWrap/>
            <w:vAlign w:val="center"/>
          </w:tcPr>
          <w:p>
            <w:pPr>
              <w:spacing w:line="300" w:lineRule="auto"/>
              <w:rPr>
                <w:rFonts w:ascii="宋体" w:hAnsi="宋体"/>
                <w:color w:val="auto"/>
                <w:szCs w:val="21"/>
                <w:highlight w:val="none"/>
                <w:u w:val="single"/>
              </w:rPr>
            </w:pPr>
            <w:r>
              <w:rPr>
                <w:rFonts w:hint="eastAsia" w:ascii="宋体" w:hAnsi="宋体"/>
                <w:color w:val="auto"/>
                <w:szCs w:val="21"/>
                <w:highlight w:val="none"/>
                <w:u w:val="single"/>
              </w:rPr>
              <w:t>否决投标条款：</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1、在投标截止期后逾期递交投标文件的，招标人将拒绝接收其投标文件。</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2、投标人未按招标文件要求提供附件或未按要求加盖投标人公章及签名或盖章的，经评标委员会认定后，其投标文件将被否决。</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3、投标人没有按要求提供投标担保的，并由评标委员会否决其投标。</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4、投标文件中投标报价高于最高投标限价的，其投标文件将被否决。</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5、按投标报价的算术校核原则及方法调整或修正投标文件的投标报价，调整后的投标报价对投标人起约束作用。如果投标人不接受修正后的报价，则取消其中标资格，并且其投标担保也将被没收。</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6、资审合格后，投标人的资格发生变化而不满足投标人合格条件，在发出中标通知书前，资格问题仍未解决的，招标人将取消其中标资格。</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7、中标人未按本招标文件第二章 投标人须知 第7.6.1项规定提交履约担保，视为放弃中标，其投标担保不予退还，给招标人造成的损失超过投标担保数额的，中标人还应当对超过部分予以赔偿。</w:t>
            </w:r>
          </w:p>
          <w:p>
            <w:pPr>
              <w:spacing w:line="300" w:lineRule="auto"/>
              <w:rPr>
                <w:rFonts w:ascii="宋体" w:hAnsi="宋体"/>
                <w:color w:val="auto"/>
                <w:szCs w:val="21"/>
                <w:highlight w:val="none"/>
                <w:u w:val="single"/>
              </w:rPr>
            </w:pPr>
            <w:r>
              <w:rPr>
                <w:rFonts w:hint="eastAsia" w:ascii="宋体" w:hAnsi="宋体"/>
                <w:color w:val="auto"/>
                <w:szCs w:val="21"/>
                <w:highlight w:val="none"/>
                <w:u w:val="single"/>
              </w:rPr>
              <w:t>8、投标人如在本项目中存在串通投标、弄虚作假、行贿情形的，中标无效，该投标人将被招标人列入黑名单并限制其投标。行政监督部门将对其违法行为进行政处罚并通报。</w:t>
            </w:r>
          </w:p>
          <w:p>
            <w:pPr>
              <w:spacing w:line="300" w:lineRule="auto"/>
              <w:ind w:left="38" w:leftChars="17" w:hanging="2" w:hangingChars="1"/>
              <w:rPr>
                <w:rFonts w:ascii="宋体" w:hAnsi="宋体"/>
                <w:color w:val="auto"/>
                <w:szCs w:val="21"/>
                <w:highlight w:val="none"/>
                <w:u w:val="single"/>
              </w:rPr>
            </w:pPr>
            <w:r>
              <w:rPr>
                <w:rFonts w:hint="eastAsia" w:ascii="宋体" w:hAnsi="宋体"/>
                <w:color w:val="auto"/>
                <w:szCs w:val="21"/>
                <w:highlight w:val="none"/>
                <w:u w:val="single"/>
              </w:rPr>
              <w:t>9、投标文件符合列于《评标办法前附表》“形式评审标准”“资格评审标准”“响应性评审标准”中所有情形的，为有效投标文件。任一情形不符合均为无效投标文件，经评标委员会认定后，其投标文件将被否决。</w:t>
            </w:r>
          </w:p>
        </w:tc>
      </w:tr>
    </w:tbl>
    <w:p>
      <w:pPr>
        <w:spacing w:before="240" w:beforeLines="100" w:line="360" w:lineRule="auto"/>
        <w:jc w:val="left"/>
        <w:outlineLvl w:val="1"/>
        <w:rPr>
          <w:rFonts w:ascii="宋体" w:hAnsi="宋体" w:cs="宋体"/>
          <w:b/>
          <w:bCs/>
          <w:color w:val="auto"/>
          <w:sz w:val="28"/>
          <w:szCs w:val="32"/>
          <w:highlight w:val="none"/>
        </w:rPr>
      </w:pPr>
      <w:r>
        <w:rPr>
          <w:rFonts w:hint="eastAsia"/>
          <w:color w:val="auto"/>
          <w:highlight w:val="none"/>
        </w:rPr>
        <w:br w:type="page"/>
      </w:r>
      <w:bookmarkEnd w:id="38"/>
      <w:bookmarkEnd w:id="39"/>
      <w:bookmarkEnd w:id="40"/>
      <w:r>
        <w:rPr>
          <w:rFonts w:hint="eastAsia" w:ascii="宋体" w:hAnsi="宋体" w:cs="宋体"/>
          <w:b/>
          <w:bCs/>
          <w:color w:val="auto"/>
          <w:sz w:val="28"/>
          <w:szCs w:val="32"/>
          <w:highlight w:val="none"/>
        </w:rPr>
        <w:t>第二章 正文详见《中华人民共和国标准监理招标文件》（2017年版）</w:t>
      </w:r>
    </w:p>
    <w:p>
      <w:pPr>
        <w:spacing w:before="120" w:line="360" w:lineRule="auto"/>
        <w:outlineLvl w:val="2"/>
        <w:rPr>
          <w:rFonts w:ascii="宋体" w:hAnsi="宋体" w:cs="宋体"/>
          <w:b/>
          <w:color w:val="auto"/>
          <w:sz w:val="28"/>
          <w:szCs w:val="28"/>
          <w:highlight w:val="none"/>
        </w:rPr>
      </w:pPr>
      <w:bookmarkStart w:id="41" w:name="_Toc529196520"/>
      <w:bookmarkStart w:id="42" w:name="_Toc515205193"/>
      <w:r>
        <w:rPr>
          <w:rFonts w:hint="eastAsia" w:ascii="宋体" w:hAnsi="宋体" w:cs="宋体"/>
          <w:b/>
          <w:color w:val="auto"/>
          <w:sz w:val="28"/>
          <w:szCs w:val="28"/>
          <w:highlight w:val="none"/>
        </w:rPr>
        <w:t>1. 总则</w:t>
      </w:r>
      <w:bookmarkEnd w:id="41"/>
      <w:bookmarkEnd w:id="42"/>
    </w:p>
    <w:p>
      <w:pPr>
        <w:snapToGrid w:val="0"/>
        <w:spacing w:line="360" w:lineRule="auto"/>
        <w:rPr>
          <w:rFonts w:ascii="宋体" w:hAnsi="宋体" w:cs="宋体"/>
          <w:b/>
          <w:color w:val="auto"/>
          <w:sz w:val="24"/>
          <w:szCs w:val="24"/>
          <w:highlight w:val="none"/>
        </w:rPr>
      </w:pPr>
      <w:bookmarkStart w:id="43" w:name="_Toc529196521"/>
      <w:bookmarkStart w:id="44" w:name="_Toc515205194"/>
      <w:r>
        <w:rPr>
          <w:rFonts w:hint="eastAsia" w:ascii="宋体" w:hAnsi="宋体" w:cs="宋体"/>
          <w:b/>
          <w:color w:val="auto"/>
          <w:sz w:val="24"/>
          <w:szCs w:val="24"/>
          <w:highlight w:val="none"/>
        </w:rPr>
        <w:t>1.1 招标项目概况</w:t>
      </w:r>
      <w:bookmarkEnd w:id="43"/>
      <w:bookmarkEnd w:id="4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1.1.1根据《中华人民共和国招标投标法》、《中华人民共和国招标投标法实施条例》等有关法律、法规和规章的规定，本招标项目已具备招标条件，现对监理进行招标。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招标人：见投标人须知前附表。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招标代理机构：见投标人须知前附表。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招标项目名称：见投标人须知前附表。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 项目建设地点：见投标人须知前附表。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1.1.6 项目建设规模：见投标人须知前附表。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1.1.7 工程项目施工预计开工日期和建设周期：见投标人须知前附表。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1.1.8 建筑安装工程费/工程概算：见投标人须知前附表。</w:t>
      </w:r>
    </w:p>
    <w:p>
      <w:pPr>
        <w:snapToGrid w:val="0"/>
        <w:spacing w:line="360" w:lineRule="auto"/>
        <w:rPr>
          <w:rFonts w:ascii="宋体" w:hAnsi="宋体" w:cs="宋体"/>
          <w:b/>
          <w:color w:val="auto"/>
          <w:sz w:val="24"/>
          <w:szCs w:val="24"/>
          <w:highlight w:val="none"/>
        </w:rPr>
      </w:pPr>
      <w:bookmarkStart w:id="45" w:name="_Toc515205195"/>
      <w:bookmarkStart w:id="46" w:name="_Toc529196522"/>
      <w:r>
        <w:rPr>
          <w:rFonts w:hint="eastAsia" w:ascii="宋体" w:hAnsi="宋体" w:cs="宋体"/>
          <w:b/>
          <w:color w:val="auto"/>
          <w:sz w:val="24"/>
          <w:szCs w:val="24"/>
          <w:highlight w:val="none"/>
        </w:rPr>
        <w:t>1.2 招标项目的资金来源和落实情况</w:t>
      </w:r>
      <w:bookmarkEnd w:id="45"/>
      <w:bookmarkEnd w:id="4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资金来源及比例：见投标人须知前附表。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资金落实情况：见投标人须知前附表。</w:t>
      </w:r>
    </w:p>
    <w:p>
      <w:pPr>
        <w:snapToGrid w:val="0"/>
        <w:spacing w:line="360" w:lineRule="auto"/>
        <w:rPr>
          <w:rFonts w:ascii="宋体" w:hAnsi="宋体" w:cs="宋体"/>
          <w:b/>
          <w:color w:val="auto"/>
          <w:sz w:val="24"/>
          <w:szCs w:val="24"/>
          <w:highlight w:val="none"/>
        </w:rPr>
      </w:pPr>
      <w:bookmarkStart w:id="47" w:name="_Toc515205196"/>
      <w:bookmarkStart w:id="48" w:name="_Toc529196523"/>
      <w:r>
        <w:rPr>
          <w:rFonts w:hint="eastAsia" w:ascii="宋体" w:hAnsi="宋体" w:cs="宋体"/>
          <w:b/>
          <w:color w:val="auto"/>
          <w:sz w:val="24"/>
          <w:szCs w:val="24"/>
          <w:highlight w:val="none"/>
        </w:rPr>
        <w:t>1.3招标范围、监理服务期限和质量标准</w:t>
      </w:r>
      <w:bookmarkEnd w:id="47"/>
      <w:bookmarkEnd w:id="4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 招标范围：见投标人须知前附表。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 监理服务期限：见投标人须知前附表。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质量标准：见投标人须知前附表。</w:t>
      </w:r>
    </w:p>
    <w:p>
      <w:pPr>
        <w:snapToGrid w:val="0"/>
        <w:spacing w:line="360" w:lineRule="auto"/>
        <w:rPr>
          <w:rFonts w:ascii="宋体" w:hAnsi="宋体" w:cs="宋体"/>
          <w:b/>
          <w:color w:val="auto"/>
          <w:sz w:val="24"/>
          <w:szCs w:val="24"/>
          <w:highlight w:val="none"/>
        </w:rPr>
      </w:pPr>
      <w:bookmarkStart w:id="49" w:name="_Toc529196524"/>
      <w:bookmarkStart w:id="50" w:name="_Toc515205197"/>
      <w:r>
        <w:rPr>
          <w:rFonts w:hint="eastAsia" w:ascii="宋体" w:hAnsi="宋体" w:cs="宋体"/>
          <w:b/>
          <w:color w:val="auto"/>
          <w:sz w:val="24"/>
          <w:szCs w:val="24"/>
          <w:highlight w:val="none"/>
        </w:rPr>
        <w:t>1.4投标人资格要求</w:t>
      </w:r>
      <w:bookmarkEnd w:id="49"/>
      <w:bookmarkEnd w:id="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 投标人应具备承担本招标项目资质条件、能力和信誉：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（1）资质要求：见投标人须知前附表；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（2）财务要求：见投标人须知前附表；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（3）业绩要求：见投标人须知前附表；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（4）信誉要求：见投标人须知前附表；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（5）总监理工程师的资格要求：应当具备工程注册监理工程师执业资格（如有），具体要求见投标人须知前附表；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（6）其他主要人员要求：见投标人须知前附表。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（7）试验检测仪器设备要求：见投标人须知前附表。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（8）其他要求：见投标人须知前附表。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需要提交的相关证明材料见本章第3.5款的规定。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1.4.2投标人须知前附表规定接受联合体投标的，联合体除应符合本章第1.4.1项和投标人须知前附表的要求外，还应遵守以下规定：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（1）联合体各方应按招标文件提供的格式签订联合体协议书，明确联合体牵头人和各方权利义务，并承诺就中标项目向招标人承担连带责任；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（3）联合体各方不得再以自己名义单独或参加其他联合体在本招标项目中投标，否则各相关投标均无效。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1.4.3 投标人不得存在下列情形之一：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（2）与招标人存在利害关系且可能影响招标公正性；</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（3）与本招标项目的其他投标人为同一个单位负责人；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（4）与本招标项目的其他投标人存在控股、管理关系；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（5）为本招标项目的代建人；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（6）为本招标项目的招标代理机构；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（7）与本招标项目的代建人或招标代理机构同为一个法定代表人；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（8）与本招标项目的代建人或招标代理机构存在控股或参股关系；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（9）与本招标项目的施工承包人以及建筑材料、建筑构配件和设备供应商有隶属关系或者其他利害关系；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（10）被依法暂停或者取消投标资格；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（11）被责令停产停业、暂扣或者吊销许可证、暂扣或者吊销执照；</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（12）进入清算程序，或被宣告破产，或其他丧失履约能力的情形；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（13）在最近三年内发生重大监理质量问题（以相关行业主管部门的行政处罚决定或司法机关出具的有关法律文书为准）；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（14）被工商行政管理机关在全国企业信用信息公示系统中列入严重违法失信企业名单；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（15）被最高人民法院在“信用中国”网站（www.creditchina.gov.cn）或各级信用信息共享平台中列入失信被执行人名单；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（16）在近三年内投标人或其法定代表人、拟委任的总监理工程师有行贿犯罪行为的；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（17）法律法规或投标人须知前附表规定的其他情形。</w:t>
      </w:r>
    </w:p>
    <w:p>
      <w:pPr>
        <w:snapToGrid w:val="0"/>
        <w:spacing w:line="360" w:lineRule="auto"/>
        <w:rPr>
          <w:rFonts w:ascii="宋体" w:hAnsi="宋体" w:cs="宋体"/>
          <w:b/>
          <w:color w:val="auto"/>
          <w:sz w:val="24"/>
          <w:szCs w:val="24"/>
          <w:highlight w:val="none"/>
        </w:rPr>
      </w:pPr>
      <w:bookmarkStart w:id="51" w:name="_Toc529196525"/>
      <w:bookmarkStart w:id="52" w:name="_Toc515205198"/>
      <w:r>
        <w:rPr>
          <w:rFonts w:hint="eastAsia" w:ascii="宋体" w:hAnsi="宋体" w:cs="宋体"/>
          <w:b/>
          <w:color w:val="auto"/>
          <w:sz w:val="24"/>
          <w:szCs w:val="24"/>
          <w:highlight w:val="none"/>
        </w:rPr>
        <w:t>1.5 费用承担</w:t>
      </w:r>
      <w:bookmarkEnd w:id="51"/>
      <w:bookmarkEnd w:id="5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投标人准备和参加投标活动发生的费用自理。</w:t>
      </w:r>
    </w:p>
    <w:p>
      <w:pPr>
        <w:snapToGrid w:val="0"/>
        <w:spacing w:line="360" w:lineRule="auto"/>
        <w:rPr>
          <w:rFonts w:ascii="宋体" w:hAnsi="宋体" w:cs="宋体"/>
          <w:b/>
          <w:color w:val="auto"/>
          <w:sz w:val="24"/>
          <w:szCs w:val="24"/>
          <w:highlight w:val="none"/>
        </w:rPr>
      </w:pPr>
      <w:bookmarkStart w:id="53" w:name="_Toc515205199"/>
      <w:bookmarkStart w:id="54" w:name="_Toc529196526"/>
      <w:r>
        <w:rPr>
          <w:rFonts w:hint="eastAsia" w:ascii="宋体" w:hAnsi="宋体" w:cs="宋体"/>
          <w:b/>
          <w:color w:val="auto"/>
          <w:sz w:val="24"/>
          <w:szCs w:val="24"/>
          <w:highlight w:val="none"/>
        </w:rPr>
        <w:t>1.6</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保密</w:t>
      </w:r>
      <w:bookmarkEnd w:id="53"/>
      <w:bookmarkEnd w:id="5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参与招标投标活动的各方应对招标文件和投标文件中</w:t>
      </w:r>
      <w:bookmarkStart w:id="55" w:name="_Toc361508589"/>
      <w:bookmarkStart w:id="56" w:name="_Toc352691477"/>
      <w:bookmarkStart w:id="57" w:name="_Toc5326"/>
      <w:bookmarkStart w:id="58" w:name="_Toc369531519"/>
      <w:bookmarkStart w:id="59" w:name="_Toc384308214"/>
      <w:r>
        <w:rPr>
          <w:rFonts w:hint="eastAsia" w:ascii="宋体" w:hAnsi="宋体"/>
          <w:color w:val="auto"/>
          <w:szCs w:val="21"/>
          <w:highlight w:val="none"/>
        </w:rPr>
        <w:t>的商业和技术等秘密保密</w:t>
      </w:r>
      <w:bookmarkEnd w:id="55"/>
      <w:bookmarkEnd w:id="56"/>
      <w:bookmarkEnd w:id="57"/>
      <w:bookmarkEnd w:id="58"/>
      <w:bookmarkEnd w:id="59"/>
      <w:r>
        <w:rPr>
          <w:rFonts w:hint="eastAsia" w:ascii="宋体" w:hAnsi="宋体"/>
          <w:color w:val="auto"/>
          <w:szCs w:val="21"/>
          <w:highlight w:val="none"/>
        </w:rPr>
        <w:t>，否则应承担相应的法律责任。</w:t>
      </w:r>
    </w:p>
    <w:p>
      <w:pPr>
        <w:snapToGrid w:val="0"/>
        <w:spacing w:line="360" w:lineRule="auto"/>
        <w:rPr>
          <w:rFonts w:ascii="宋体" w:hAnsi="宋体" w:cs="宋体"/>
          <w:b/>
          <w:color w:val="auto"/>
          <w:sz w:val="24"/>
          <w:szCs w:val="24"/>
          <w:highlight w:val="none"/>
        </w:rPr>
      </w:pPr>
      <w:bookmarkStart w:id="60" w:name="_Toc529196527"/>
      <w:bookmarkStart w:id="61" w:name="_Toc515205200"/>
      <w:r>
        <w:rPr>
          <w:rFonts w:hint="eastAsia" w:ascii="宋体" w:hAnsi="宋体" w:cs="宋体"/>
          <w:b/>
          <w:color w:val="auto"/>
          <w:sz w:val="24"/>
          <w:szCs w:val="24"/>
          <w:highlight w:val="none"/>
        </w:rPr>
        <w:t>1.7 语言文字</w:t>
      </w:r>
      <w:bookmarkEnd w:id="60"/>
      <w:bookmarkEnd w:id="6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招标投标文件使用的语言文字为中文。专用术语使用外文的，应附有中文注释。</w:t>
      </w:r>
    </w:p>
    <w:p>
      <w:pPr>
        <w:snapToGrid w:val="0"/>
        <w:spacing w:line="360" w:lineRule="auto"/>
        <w:rPr>
          <w:rFonts w:ascii="宋体" w:hAnsi="宋体" w:cs="宋体"/>
          <w:b/>
          <w:color w:val="auto"/>
          <w:sz w:val="24"/>
          <w:szCs w:val="24"/>
          <w:highlight w:val="none"/>
        </w:rPr>
      </w:pPr>
      <w:bookmarkStart w:id="62" w:name="_Toc529196528"/>
      <w:bookmarkStart w:id="63" w:name="_Toc515205201"/>
      <w:r>
        <w:rPr>
          <w:rFonts w:hint="eastAsia" w:ascii="宋体" w:hAnsi="宋体" w:cs="宋体"/>
          <w:b/>
          <w:color w:val="auto"/>
          <w:sz w:val="24"/>
          <w:szCs w:val="24"/>
          <w:highlight w:val="none"/>
        </w:rPr>
        <w:t>1.8计量单位</w:t>
      </w:r>
      <w:bookmarkEnd w:id="62"/>
      <w:bookmarkEnd w:id="6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pPr>
        <w:snapToGrid w:val="0"/>
        <w:spacing w:line="360" w:lineRule="auto"/>
        <w:rPr>
          <w:rFonts w:ascii="宋体" w:hAnsi="宋体" w:cs="宋体"/>
          <w:b/>
          <w:color w:val="auto"/>
          <w:sz w:val="24"/>
          <w:szCs w:val="24"/>
          <w:highlight w:val="none"/>
        </w:rPr>
      </w:pPr>
      <w:bookmarkStart w:id="64" w:name="_Toc370676289"/>
      <w:bookmarkStart w:id="65" w:name="_Toc300834959"/>
      <w:bookmarkStart w:id="66" w:name="_Toc515205202"/>
      <w:bookmarkStart w:id="67" w:name="_Toc529196529"/>
      <w:bookmarkStart w:id="68" w:name="_Toc384308219"/>
      <w:bookmarkStart w:id="69" w:name="_Toc482188480"/>
      <w:bookmarkStart w:id="70" w:name="_Toc144974507"/>
      <w:bookmarkStart w:id="71" w:name="_Toc247513962"/>
      <w:bookmarkStart w:id="72" w:name="_Toc361508594"/>
      <w:bookmarkStart w:id="73" w:name="_Toc152045539"/>
      <w:bookmarkStart w:id="74" w:name="_Toc247527563"/>
      <w:bookmarkStart w:id="75" w:name="_Toc391393967"/>
      <w:bookmarkStart w:id="76" w:name="_Toc152042315"/>
      <w:r>
        <w:rPr>
          <w:rFonts w:hint="eastAsia" w:ascii="宋体" w:hAnsi="宋体" w:cs="宋体"/>
          <w:b/>
          <w:color w:val="auto"/>
          <w:sz w:val="24"/>
          <w:szCs w:val="24"/>
          <w:highlight w:val="none"/>
        </w:rPr>
        <w:t>1.9 踏勘现场</w:t>
      </w:r>
      <w:bookmarkEnd w:id="64"/>
      <w:bookmarkEnd w:id="65"/>
      <w:bookmarkEnd w:id="66"/>
      <w:bookmarkEnd w:id="67"/>
      <w:bookmarkEnd w:id="68"/>
      <w:bookmarkEnd w:id="69"/>
      <w:bookmarkEnd w:id="70"/>
      <w:bookmarkEnd w:id="71"/>
      <w:bookmarkEnd w:id="72"/>
      <w:bookmarkEnd w:id="73"/>
      <w:bookmarkEnd w:id="74"/>
      <w:bookmarkEnd w:id="75"/>
      <w:bookmarkEnd w:id="7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 投标人踏勘现场发生的费用自理。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1.9.3 除招标人的原因外，投标人自行负责在踏勘现场中所发生的人员伤亡和财产损失。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1.9.4 招标人在踏勘现场中介绍的工程场地和相关的周边环境情况，供投标人在编制投标文件时参考，招标人不对投标人据此作出的判断和决策负责。</w:t>
      </w:r>
    </w:p>
    <w:p>
      <w:pPr>
        <w:snapToGrid w:val="0"/>
        <w:spacing w:line="360" w:lineRule="auto"/>
        <w:rPr>
          <w:rFonts w:ascii="宋体" w:hAnsi="宋体" w:cs="宋体"/>
          <w:b/>
          <w:color w:val="auto"/>
          <w:sz w:val="24"/>
          <w:szCs w:val="24"/>
          <w:highlight w:val="none"/>
        </w:rPr>
      </w:pPr>
      <w:bookmarkStart w:id="77" w:name="_Toc529196530"/>
      <w:bookmarkStart w:id="78" w:name="_Toc515205203"/>
      <w:r>
        <w:rPr>
          <w:rFonts w:hint="eastAsia" w:ascii="宋体" w:hAnsi="宋体" w:cs="宋体"/>
          <w:b/>
          <w:color w:val="auto"/>
          <w:sz w:val="24"/>
          <w:szCs w:val="24"/>
          <w:highlight w:val="none"/>
        </w:rPr>
        <w:t>1.10</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投标预备会</w:t>
      </w:r>
      <w:bookmarkEnd w:id="77"/>
      <w:bookmarkEnd w:id="7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1.10.1 投标人须知前附表规定召开投标预备会的，招标人按投标人须知前附表规定的时间和地点召开投标预备会，澄清投标人提出的问题。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1.10.2 投标人应按投标人须知前附表规定的时间和形式将提出的问题送达招标人，以便招标人在会议期间澄清。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1.10.3 投标预备会后，招标人将对投标人所提问题的澄清，以投标人须知前附表规定的形式通知所有购买招标文件的投标人。该澄清内容为招标文件的组成部分。</w:t>
      </w:r>
    </w:p>
    <w:p>
      <w:pPr>
        <w:snapToGrid w:val="0"/>
        <w:spacing w:line="360" w:lineRule="auto"/>
        <w:rPr>
          <w:rFonts w:ascii="宋体" w:hAnsi="宋体" w:cs="宋体"/>
          <w:b/>
          <w:color w:val="auto"/>
          <w:sz w:val="24"/>
          <w:szCs w:val="24"/>
          <w:highlight w:val="none"/>
        </w:rPr>
      </w:pPr>
      <w:bookmarkStart w:id="79" w:name="_Toc529196531"/>
      <w:bookmarkStart w:id="80" w:name="_Toc515205204"/>
      <w:r>
        <w:rPr>
          <w:rFonts w:hint="eastAsia" w:ascii="宋体" w:hAnsi="宋体" w:cs="宋体"/>
          <w:b/>
          <w:color w:val="auto"/>
          <w:sz w:val="24"/>
          <w:szCs w:val="24"/>
          <w:highlight w:val="none"/>
        </w:rPr>
        <w:t>1.11 分包</w:t>
      </w:r>
      <w:bookmarkEnd w:id="79"/>
      <w:bookmarkEnd w:id="8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本项目严禁分包。</w:t>
      </w:r>
    </w:p>
    <w:p>
      <w:pPr>
        <w:snapToGrid w:val="0"/>
        <w:spacing w:line="360" w:lineRule="auto"/>
        <w:rPr>
          <w:rFonts w:ascii="宋体" w:hAnsi="宋体" w:cs="宋体"/>
          <w:b/>
          <w:color w:val="auto"/>
          <w:sz w:val="24"/>
          <w:szCs w:val="24"/>
          <w:highlight w:val="none"/>
        </w:rPr>
      </w:pPr>
      <w:bookmarkStart w:id="81" w:name="_Toc529196532"/>
      <w:bookmarkStart w:id="82" w:name="_Toc515205205"/>
      <w:r>
        <w:rPr>
          <w:rFonts w:hint="eastAsia" w:ascii="宋体" w:hAnsi="宋体" w:cs="宋体"/>
          <w:b/>
          <w:color w:val="auto"/>
          <w:sz w:val="24"/>
          <w:szCs w:val="24"/>
          <w:highlight w:val="none"/>
        </w:rPr>
        <w:t>1.12</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响应和偏差</w:t>
      </w:r>
      <w:bookmarkEnd w:id="81"/>
      <w:bookmarkEnd w:id="8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1.12.2 投标人应根据招标文件的要求提供投标监理大纲等内容以对招标文件作出响应。</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1.12.3投标人须知前附表允许投标文件偏离招标文件某些要求的，偏差应当符合招标文件规定的偏差范围和幅度。</w:t>
      </w:r>
    </w:p>
    <w:p>
      <w:pPr>
        <w:spacing w:before="120" w:line="360" w:lineRule="auto"/>
        <w:outlineLvl w:val="2"/>
        <w:rPr>
          <w:rFonts w:ascii="宋体" w:hAnsi="宋体" w:cs="宋体"/>
          <w:b/>
          <w:color w:val="auto"/>
          <w:sz w:val="28"/>
          <w:szCs w:val="28"/>
          <w:highlight w:val="none"/>
        </w:rPr>
      </w:pPr>
      <w:bookmarkStart w:id="83" w:name="_Toc515205206"/>
      <w:bookmarkStart w:id="84" w:name="_Toc529196533"/>
      <w:r>
        <w:rPr>
          <w:rFonts w:hint="eastAsia" w:ascii="宋体" w:hAnsi="宋体" w:cs="宋体"/>
          <w:b/>
          <w:color w:val="auto"/>
          <w:sz w:val="28"/>
          <w:szCs w:val="28"/>
          <w:highlight w:val="none"/>
        </w:rPr>
        <w:t>2. 招标文件</w:t>
      </w:r>
      <w:bookmarkEnd w:id="83"/>
      <w:bookmarkEnd w:id="84"/>
    </w:p>
    <w:p>
      <w:pPr>
        <w:snapToGrid w:val="0"/>
        <w:spacing w:line="360" w:lineRule="auto"/>
        <w:rPr>
          <w:rFonts w:ascii="宋体" w:hAnsi="宋体" w:cs="宋体"/>
          <w:b/>
          <w:color w:val="auto"/>
          <w:sz w:val="24"/>
          <w:szCs w:val="24"/>
          <w:highlight w:val="none"/>
        </w:rPr>
      </w:pPr>
      <w:bookmarkStart w:id="85" w:name="_Toc529196534"/>
      <w:bookmarkStart w:id="86" w:name="_Toc515205207"/>
      <w:r>
        <w:rPr>
          <w:rFonts w:hint="eastAsia" w:ascii="宋体" w:hAnsi="宋体" w:cs="宋体"/>
          <w:b/>
          <w:color w:val="auto"/>
          <w:sz w:val="24"/>
          <w:szCs w:val="24"/>
          <w:highlight w:val="none"/>
        </w:rPr>
        <w:t>2.1 招标文件的组成</w:t>
      </w:r>
      <w:bookmarkEnd w:id="85"/>
      <w:bookmarkEnd w:id="8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本招标文件包括：</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（1）招标公告（或投标邀请书）；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（2）投标人须知；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（3）评标办法；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（4）合同条款及格式；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（5）委托人要求；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（7）投标人须知前附表规定的其他资料。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根据本章第1.10款、第2.2款和第2.3款对招标文件所作的澄清、修改，构成招标文件的组成部分。</w:t>
      </w:r>
    </w:p>
    <w:p>
      <w:pPr>
        <w:snapToGrid w:val="0"/>
        <w:spacing w:line="360" w:lineRule="auto"/>
        <w:rPr>
          <w:rFonts w:ascii="宋体" w:hAnsi="宋体" w:cs="宋体"/>
          <w:b/>
          <w:color w:val="auto"/>
          <w:sz w:val="24"/>
          <w:szCs w:val="24"/>
          <w:highlight w:val="none"/>
        </w:rPr>
      </w:pPr>
      <w:bookmarkStart w:id="87" w:name="_Toc515205208"/>
      <w:bookmarkStart w:id="88" w:name="_Toc529196535"/>
      <w:r>
        <w:rPr>
          <w:rFonts w:hint="eastAsia" w:ascii="宋体" w:hAnsi="宋体" w:cs="宋体"/>
          <w:b/>
          <w:color w:val="auto"/>
          <w:sz w:val="24"/>
          <w:szCs w:val="24"/>
          <w:highlight w:val="none"/>
        </w:rPr>
        <w:t>2.2 招标文件的澄清</w:t>
      </w:r>
      <w:bookmarkEnd w:id="87"/>
      <w:bookmarkEnd w:id="88"/>
    </w:p>
    <w:p>
      <w:pPr>
        <w:spacing w:line="360" w:lineRule="auto"/>
        <w:ind w:firstLine="420" w:firstLineChars="200"/>
        <w:rPr>
          <w:rFonts w:ascii="宋体" w:hAnsi="宋体"/>
          <w:color w:val="auto"/>
          <w:szCs w:val="21"/>
          <w:highlight w:val="none"/>
        </w:rPr>
      </w:pPr>
      <w:bookmarkStart w:id="89" w:name="_Hlk97422311"/>
      <w:r>
        <w:rPr>
          <w:rFonts w:hint="eastAsia" w:ascii="宋体" w:hAnsi="宋体"/>
          <w:color w:val="auto"/>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 投标人在收到澄清后，应按投标人须知前附表规定的时间和形式通知招标人，确认已收到该澄清。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 除非招标人认为确有必要答复，否则，招标人有权拒绝回复投标人在本章第2.2.1项规定的时间后的任何澄清要求。</w:t>
      </w:r>
    </w:p>
    <w:bookmarkEnd w:id="89"/>
    <w:p>
      <w:pPr>
        <w:snapToGrid w:val="0"/>
        <w:spacing w:line="360" w:lineRule="auto"/>
        <w:rPr>
          <w:rFonts w:ascii="宋体" w:hAnsi="宋体" w:cs="宋体"/>
          <w:b/>
          <w:color w:val="auto"/>
          <w:sz w:val="24"/>
          <w:szCs w:val="24"/>
          <w:highlight w:val="none"/>
        </w:rPr>
      </w:pPr>
      <w:bookmarkStart w:id="90" w:name="_Toc515205209"/>
      <w:bookmarkStart w:id="91" w:name="_Toc529196536"/>
      <w:bookmarkStart w:id="92" w:name="_Toc352691479"/>
      <w:r>
        <w:rPr>
          <w:rFonts w:hint="eastAsia" w:ascii="宋体" w:hAnsi="宋体" w:cs="宋体"/>
          <w:b/>
          <w:color w:val="auto"/>
          <w:sz w:val="24"/>
          <w:szCs w:val="24"/>
          <w:highlight w:val="none"/>
        </w:rPr>
        <w:t>2.3 招标文件的修</w:t>
      </w:r>
      <w:bookmarkStart w:id="93" w:name="_Toc16514"/>
      <w:bookmarkStart w:id="94" w:name="_Toc369531521"/>
      <w:r>
        <w:rPr>
          <w:rFonts w:hint="eastAsia" w:ascii="宋体" w:hAnsi="宋体" w:cs="宋体"/>
          <w:b/>
          <w:color w:val="auto"/>
          <w:sz w:val="24"/>
          <w:szCs w:val="24"/>
          <w:highlight w:val="none"/>
        </w:rPr>
        <w:t>改</w:t>
      </w:r>
      <w:bookmarkEnd w:id="90"/>
      <w:bookmarkEnd w:id="9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92"/>
    <w:bookmarkEnd w:id="93"/>
    <w:bookmarkEnd w:id="94"/>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 投标人收到修改内容</w:t>
      </w:r>
      <w:bookmarkStart w:id="95" w:name="_Toc144974506"/>
      <w:bookmarkStart w:id="96" w:name="_Toc24632"/>
      <w:bookmarkStart w:id="97" w:name="_Toc300834958"/>
      <w:bookmarkStart w:id="98" w:name="_Toc361508593"/>
      <w:bookmarkStart w:id="99" w:name="_Toc247513961"/>
      <w:bookmarkStart w:id="100" w:name="_Toc152045538"/>
      <w:bookmarkStart w:id="101" w:name="_Toc369531524"/>
      <w:bookmarkStart w:id="102" w:name="_Toc352691482"/>
      <w:bookmarkStart w:id="103" w:name="_Toc152042314"/>
      <w:bookmarkStart w:id="104" w:name="_Toc384308218"/>
      <w:bookmarkStart w:id="105" w:name="_Toc247527562"/>
      <w:r>
        <w:rPr>
          <w:rFonts w:hint="eastAsia" w:ascii="宋体" w:hAnsi="宋体"/>
          <w:color w:val="auto"/>
          <w:szCs w:val="21"/>
          <w:highlight w:val="none"/>
        </w:rPr>
        <w:t>后，</w:t>
      </w:r>
      <w:bookmarkEnd w:id="95"/>
      <w:bookmarkEnd w:id="96"/>
      <w:bookmarkEnd w:id="97"/>
      <w:bookmarkEnd w:id="98"/>
      <w:bookmarkEnd w:id="99"/>
      <w:bookmarkEnd w:id="100"/>
      <w:bookmarkEnd w:id="101"/>
      <w:bookmarkEnd w:id="102"/>
      <w:bookmarkEnd w:id="103"/>
      <w:bookmarkEnd w:id="104"/>
      <w:bookmarkEnd w:id="105"/>
      <w:bookmarkStart w:id="106" w:name="_Toc384308220"/>
      <w:bookmarkStart w:id="107" w:name="_Toc361508595"/>
      <w:bookmarkStart w:id="108" w:name="_Toc247527564"/>
      <w:bookmarkStart w:id="109" w:name="_Toc352691484"/>
      <w:bookmarkStart w:id="110" w:name="_Toc247513963"/>
      <w:bookmarkStart w:id="111" w:name="_Toc152045540"/>
      <w:bookmarkStart w:id="112" w:name="_Toc144974508"/>
      <w:bookmarkStart w:id="113" w:name="_Toc16623"/>
      <w:bookmarkStart w:id="114" w:name="_Toc369531526"/>
      <w:bookmarkStart w:id="115" w:name="_Toc152042316"/>
      <w:bookmarkStart w:id="116" w:name="_Toc300834960"/>
      <w:r>
        <w:rPr>
          <w:rFonts w:hint="eastAsia" w:ascii="宋体" w:hAnsi="宋体"/>
          <w:color w:val="auto"/>
          <w:szCs w:val="21"/>
          <w:highlight w:val="none"/>
        </w:rPr>
        <w:t>应按投标人须知前附表规定的时间和形式通知招标人，确认已收到该修改。</w:t>
      </w:r>
    </w:p>
    <w:p>
      <w:pPr>
        <w:snapToGrid w:val="0"/>
        <w:spacing w:line="360" w:lineRule="auto"/>
        <w:rPr>
          <w:rFonts w:ascii="宋体" w:hAnsi="宋体" w:cs="宋体"/>
          <w:b/>
          <w:color w:val="auto"/>
          <w:sz w:val="24"/>
          <w:szCs w:val="24"/>
          <w:highlight w:val="none"/>
        </w:rPr>
      </w:pPr>
      <w:bookmarkStart w:id="117" w:name="_Toc529196537"/>
      <w:bookmarkStart w:id="118" w:name="_Toc515205210"/>
      <w:r>
        <w:rPr>
          <w:rFonts w:hint="eastAsia" w:ascii="宋体" w:hAnsi="宋体" w:cs="宋体"/>
          <w:b/>
          <w:color w:val="auto"/>
          <w:sz w:val="24"/>
          <w:szCs w:val="24"/>
          <w:highlight w:val="none"/>
        </w:rPr>
        <w:t>2.</w:t>
      </w:r>
      <w:bookmarkEnd w:id="106"/>
      <w:bookmarkEnd w:id="107"/>
      <w:bookmarkEnd w:id="108"/>
      <w:bookmarkEnd w:id="109"/>
      <w:bookmarkEnd w:id="110"/>
      <w:bookmarkEnd w:id="111"/>
      <w:bookmarkEnd w:id="112"/>
      <w:bookmarkEnd w:id="113"/>
      <w:bookmarkEnd w:id="114"/>
      <w:bookmarkEnd w:id="115"/>
      <w:bookmarkEnd w:id="116"/>
      <w:r>
        <w:rPr>
          <w:rFonts w:hint="eastAsia" w:ascii="宋体" w:hAnsi="宋体" w:cs="宋体"/>
          <w:b/>
          <w:color w:val="auto"/>
          <w:sz w:val="24"/>
          <w:szCs w:val="24"/>
          <w:highlight w:val="none"/>
        </w:rPr>
        <w:t>4 招标文件的异议</w:t>
      </w:r>
      <w:bookmarkEnd w:id="117"/>
      <w:bookmarkEnd w:id="11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投标人或者其他利害关系人对招标文件有异议的，应当在投标截止时间10日前以书面形式提出。招标人将在收到异议之日起3日内作出答复；作出答复前，将暂停招标投标活动。</w:t>
      </w:r>
    </w:p>
    <w:p>
      <w:pPr>
        <w:spacing w:before="120" w:line="360" w:lineRule="auto"/>
        <w:outlineLvl w:val="2"/>
        <w:rPr>
          <w:rFonts w:ascii="宋体" w:hAnsi="宋体" w:cs="宋体"/>
          <w:b/>
          <w:color w:val="auto"/>
          <w:sz w:val="28"/>
          <w:szCs w:val="28"/>
          <w:highlight w:val="none"/>
        </w:rPr>
      </w:pPr>
      <w:bookmarkStart w:id="119" w:name="_Toc515205211"/>
      <w:bookmarkStart w:id="120" w:name="_Toc529196538"/>
      <w:r>
        <w:rPr>
          <w:rFonts w:hint="eastAsia" w:ascii="宋体" w:hAnsi="宋体" w:cs="宋体"/>
          <w:b/>
          <w:color w:val="auto"/>
          <w:sz w:val="28"/>
          <w:szCs w:val="28"/>
          <w:highlight w:val="none"/>
        </w:rPr>
        <w:t>3. 投标文件</w:t>
      </w:r>
      <w:bookmarkEnd w:id="119"/>
      <w:bookmarkEnd w:id="120"/>
    </w:p>
    <w:p>
      <w:pPr>
        <w:snapToGrid w:val="0"/>
        <w:spacing w:line="360" w:lineRule="auto"/>
        <w:rPr>
          <w:rFonts w:ascii="宋体" w:hAnsi="宋体" w:cs="宋体"/>
          <w:b/>
          <w:color w:val="auto"/>
          <w:sz w:val="24"/>
          <w:szCs w:val="24"/>
          <w:highlight w:val="none"/>
        </w:rPr>
      </w:pPr>
      <w:bookmarkStart w:id="121" w:name="_Toc515205212"/>
      <w:bookmarkStart w:id="122" w:name="_Toc529196539"/>
      <w:r>
        <w:rPr>
          <w:rFonts w:hint="eastAsia" w:ascii="宋体" w:hAnsi="宋体" w:cs="宋体"/>
          <w:b/>
          <w:color w:val="auto"/>
          <w:sz w:val="24"/>
          <w:szCs w:val="24"/>
          <w:highlight w:val="none"/>
        </w:rPr>
        <w:t>3.1 投标文件的组成</w:t>
      </w:r>
      <w:bookmarkEnd w:id="121"/>
      <w:bookmarkEnd w:id="12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 投标文件应包括下列内容：</w:t>
      </w:r>
      <w:r>
        <w:rPr>
          <w:rFonts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（1）投标函及投标函附录；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（2）法定代表人身份证明或授权委托书；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（4）监理报酬清单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（5）资格审查资料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（6）监理大纲；</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bookmarkStart w:id="123" w:name="_Hlk97427933"/>
      <w:r>
        <w:rPr>
          <w:rFonts w:hint="eastAsia" w:ascii="宋体" w:hAnsi="宋体"/>
          <w:color w:val="auto"/>
          <w:szCs w:val="21"/>
          <w:highlight w:val="none"/>
        </w:rPr>
        <w:t>其他资料（投标人须知前附表规定的或投标人认为需要提供的资料）</w:t>
      </w:r>
      <w:bookmarkEnd w:id="123"/>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投标人在评标过程中作出的符合法律法规和招标文件规定的澄清确认，构成投标文件的组成部分。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投标人须知前附表规定不接受联合体投标的，或投标人没有组成联合体的，投标文件不包括本章第3.1.1（3）目所指的联合体协议书。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投标人须知前附表未要求提交投标保证金的，投标文件不包括本章第3.1.1（3）目所指的投标保证金。</w:t>
      </w:r>
    </w:p>
    <w:p>
      <w:pPr>
        <w:snapToGrid w:val="0"/>
        <w:spacing w:line="360" w:lineRule="auto"/>
        <w:rPr>
          <w:rFonts w:ascii="宋体" w:hAnsi="宋体" w:cs="宋体"/>
          <w:b/>
          <w:color w:val="auto"/>
          <w:sz w:val="24"/>
          <w:szCs w:val="24"/>
          <w:highlight w:val="none"/>
        </w:rPr>
      </w:pPr>
      <w:bookmarkStart w:id="124" w:name="_Toc529196540"/>
      <w:bookmarkStart w:id="125" w:name="_Toc515205213"/>
      <w:bookmarkStart w:id="126" w:name="_Toc514876754"/>
      <w:r>
        <w:rPr>
          <w:rFonts w:hint="eastAsia" w:ascii="宋体" w:hAnsi="宋体" w:cs="宋体"/>
          <w:b/>
          <w:color w:val="auto"/>
          <w:sz w:val="24"/>
          <w:szCs w:val="24"/>
          <w:highlight w:val="none"/>
        </w:rPr>
        <w:t>3.2 投标报价</w:t>
      </w:r>
      <w:bookmarkEnd w:id="124"/>
      <w:bookmarkEnd w:id="125"/>
      <w:bookmarkEnd w:id="12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 投标人应充分了解该项目的总体情况以及影响投标报价的其他要素。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3.2.3本项目的报价方式见投标人须知前附表。投标人在投标截止时间前修改投标函中的投标报价总额，应同时修改投标文件“监理报酬清单”中的相应报价。此修改须符合本章第 4.3 款的有关要求。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3.2.4．招标人设有最高投标限价的，投标人的投标报价不得超过最高投标限价，最高投标限价在投标人须知前附表中载明。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3.2.5 投标报价的其他要求见投标人须知前附表3.2.5。</w:t>
      </w:r>
    </w:p>
    <w:p>
      <w:pPr>
        <w:snapToGrid w:val="0"/>
        <w:spacing w:line="360" w:lineRule="auto"/>
        <w:rPr>
          <w:rFonts w:ascii="宋体" w:hAnsi="宋体" w:cs="宋体"/>
          <w:b/>
          <w:color w:val="auto"/>
          <w:sz w:val="24"/>
          <w:szCs w:val="24"/>
          <w:highlight w:val="none"/>
        </w:rPr>
      </w:pPr>
      <w:bookmarkStart w:id="127" w:name="_Toc529196541"/>
      <w:bookmarkStart w:id="128" w:name="_Toc515205214"/>
      <w:r>
        <w:rPr>
          <w:rFonts w:hint="eastAsia" w:ascii="宋体" w:hAnsi="宋体" w:cs="宋体"/>
          <w:b/>
          <w:color w:val="auto"/>
          <w:sz w:val="24"/>
          <w:szCs w:val="24"/>
          <w:highlight w:val="none"/>
        </w:rPr>
        <w:t>3.3 投标有效期</w:t>
      </w:r>
      <w:bookmarkEnd w:id="127"/>
      <w:bookmarkEnd w:id="12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 除投标人须知前附表另有规定外，投标有效期为90天。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 在投标有效期内，投标人撤销投标文件的，应承担招标文件和法律规定的责任。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napToGrid w:val="0"/>
        <w:spacing w:line="360" w:lineRule="auto"/>
        <w:rPr>
          <w:rFonts w:ascii="宋体" w:hAnsi="宋体" w:cs="宋体"/>
          <w:b/>
          <w:color w:val="auto"/>
          <w:sz w:val="24"/>
          <w:szCs w:val="24"/>
          <w:highlight w:val="none"/>
        </w:rPr>
      </w:pPr>
      <w:bookmarkStart w:id="129" w:name="_Toc515205215"/>
      <w:bookmarkStart w:id="130" w:name="_Toc529196542"/>
      <w:r>
        <w:rPr>
          <w:rFonts w:hint="eastAsia" w:ascii="宋体" w:hAnsi="宋体" w:cs="宋体"/>
          <w:b/>
          <w:color w:val="auto"/>
          <w:sz w:val="24"/>
          <w:szCs w:val="24"/>
          <w:highlight w:val="none"/>
        </w:rPr>
        <w:t>3.4 投标保证金</w:t>
      </w:r>
      <w:bookmarkEnd w:id="129"/>
      <w:bookmarkEnd w:id="13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投标人在递交投标文件的同时，应按投标人须知前附表规定的金额</w:t>
      </w:r>
      <w:bookmarkStart w:id="131" w:name="_Toc4592"/>
      <w:bookmarkStart w:id="132" w:name="_Toc369531532"/>
      <w:bookmarkStart w:id="133" w:name="_Toc247527570"/>
      <w:bookmarkStart w:id="134" w:name="_Toc352691489"/>
      <w:bookmarkStart w:id="135" w:name="_Toc144974513"/>
      <w:bookmarkStart w:id="136" w:name="_Toc247513969"/>
      <w:bookmarkStart w:id="137" w:name="_Toc152045545"/>
      <w:bookmarkStart w:id="138" w:name="_Toc152042321"/>
      <w:bookmarkStart w:id="139" w:name="_Toc361508601"/>
      <w:bookmarkStart w:id="140" w:name="_Toc384308226"/>
      <w:bookmarkStart w:id="141" w:name="_Toc300834966"/>
      <w:r>
        <w:rPr>
          <w:rFonts w:hint="eastAsia" w:ascii="宋体" w:hAnsi="宋体"/>
          <w:color w:val="auto"/>
          <w:szCs w:val="21"/>
          <w:highlight w:val="none"/>
        </w:rPr>
        <w:t>、形式和第六章“投标文</w:t>
      </w:r>
      <w:bookmarkEnd w:id="131"/>
      <w:bookmarkEnd w:id="132"/>
      <w:bookmarkEnd w:id="133"/>
      <w:bookmarkEnd w:id="134"/>
      <w:bookmarkEnd w:id="135"/>
      <w:bookmarkEnd w:id="136"/>
      <w:bookmarkEnd w:id="137"/>
      <w:bookmarkEnd w:id="138"/>
      <w:bookmarkEnd w:id="139"/>
      <w:bookmarkEnd w:id="140"/>
      <w:bookmarkEnd w:id="141"/>
      <w:r>
        <w:rPr>
          <w:rFonts w:hint="eastAsia" w:ascii="宋体" w:hAnsi="宋体"/>
          <w:color w:val="auto"/>
          <w:szCs w:val="21"/>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3.4.2 投标人不按本章第3.4.1项</w:t>
      </w:r>
      <w:bookmarkStart w:id="142" w:name="_Toc29025"/>
      <w:bookmarkStart w:id="143" w:name="_Toc369531533"/>
      <w:bookmarkStart w:id="144" w:name="_Toc361508602"/>
      <w:bookmarkStart w:id="145" w:name="_Toc352691490"/>
      <w:bookmarkStart w:id="146" w:name="_Toc384308227"/>
      <w:r>
        <w:rPr>
          <w:rFonts w:hint="eastAsia" w:ascii="宋体" w:hAnsi="宋体"/>
          <w:color w:val="auto"/>
          <w:szCs w:val="21"/>
          <w:highlight w:val="none"/>
        </w:rPr>
        <w:t>要求提交投标保证金的，</w:t>
      </w:r>
      <w:bookmarkEnd w:id="142"/>
      <w:bookmarkEnd w:id="143"/>
      <w:bookmarkEnd w:id="144"/>
      <w:bookmarkEnd w:id="145"/>
      <w:bookmarkEnd w:id="146"/>
      <w:r>
        <w:rPr>
          <w:rFonts w:hint="eastAsia" w:ascii="宋体" w:hAnsi="宋体"/>
          <w:color w:val="auto"/>
          <w:szCs w:val="21"/>
          <w:highlight w:val="none"/>
        </w:rPr>
        <w:t>评标委员会将否决其投标。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3.4.3 招标人最迟将在与中标人</w:t>
      </w:r>
      <w:bookmarkStart w:id="147" w:name="_Toc369531534"/>
      <w:bookmarkStart w:id="148" w:name="_Toc247513970"/>
      <w:bookmarkStart w:id="149" w:name="_Toc152042322"/>
      <w:bookmarkStart w:id="150" w:name="_Toc352691491"/>
      <w:bookmarkStart w:id="151" w:name="_Toc361508603"/>
      <w:bookmarkStart w:id="152" w:name="_Toc144974514"/>
      <w:bookmarkStart w:id="153" w:name="_Toc152045546"/>
      <w:bookmarkStart w:id="154" w:name="_Toc300834967"/>
      <w:bookmarkStart w:id="155" w:name="_Toc14751"/>
      <w:bookmarkStart w:id="156" w:name="_Toc247527571"/>
      <w:bookmarkStart w:id="157" w:name="_Toc384308228"/>
      <w:r>
        <w:rPr>
          <w:rFonts w:hint="eastAsia" w:ascii="宋体" w:hAnsi="宋体"/>
          <w:color w:val="auto"/>
          <w:szCs w:val="21"/>
          <w:highlight w:val="none"/>
        </w:rPr>
        <w:t>签订合同后5日</w:t>
      </w:r>
      <w:bookmarkEnd w:id="147"/>
      <w:bookmarkEnd w:id="148"/>
      <w:bookmarkEnd w:id="149"/>
      <w:bookmarkEnd w:id="150"/>
      <w:bookmarkEnd w:id="151"/>
      <w:bookmarkEnd w:id="152"/>
      <w:bookmarkEnd w:id="153"/>
      <w:bookmarkEnd w:id="154"/>
      <w:bookmarkEnd w:id="155"/>
      <w:bookmarkEnd w:id="156"/>
      <w:bookmarkEnd w:id="157"/>
      <w:r>
        <w:rPr>
          <w:rFonts w:hint="eastAsia" w:ascii="宋体" w:hAnsi="宋体"/>
          <w:color w:val="auto"/>
          <w:szCs w:val="21"/>
          <w:highlight w:val="none"/>
        </w:rPr>
        <w:t>内</w:t>
      </w:r>
      <w:bookmarkStart w:id="158" w:name="_Toc144974515"/>
      <w:bookmarkStart w:id="159" w:name="_Toc247513971"/>
      <w:bookmarkStart w:id="160" w:name="_Toc17952"/>
      <w:bookmarkStart w:id="161" w:name="_Toc384308229"/>
      <w:bookmarkStart w:id="162" w:name="_Toc361508604"/>
      <w:bookmarkStart w:id="163" w:name="_Toc369531535"/>
      <w:bookmarkStart w:id="164" w:name="_Toc152042323"/>
      <w:bookmarkStart w:id="165" w:name="_Toc352691492"/>
      <w:bookmarkStart w:id="166" w:name="_Toc247527572"/>
      <w:bookmarkStart w:id="167" w:name="_Toc300834968"/>
      <w:bookmarkStart w:id="168" w:name="_Toc152045547"/>
      <w:r>
        <w:rPr>
          <w:rFonts w:hint="eastAsia" w:ascii="宋体" w:hAnsi="宋体"/>
          <w:color w:val="auto"/>
          <w:szCs w:val="21"/>
          <w:highlight w:val="none"/>
        </w:rPr>
        <w:t>，向未中标的投标人和中</w:t>
      </w:r>
      <w:bookmarkEnd w:id="158"/>
      <w:bookmarkEnd w:id="159"/>
      <w:bookmarkEnd w:id="160"/>
      <w:bookmarkEnd w:id="161"/>
      <w:bookmarkEnd w:id="162"/>
      <w:bookmarkEnd w:id="163"/>
      <w:bookmarkEnd w:id="164"/>
      <w:bookmarkEnd w:id="165"/>
      <w:bookmarkEnd w:id="166"/>
      <w:bookmarkEnd w:id="167"/>
      <w:bookmarkEnd w:id="168"/>
      <w:r>
        <w:rPr>
          <w:rFonts w:hint="eastAsia" w:ascii="宋体" w:hAnsi="宋体"/>
          <w:color w:val="auto"/>
          <w:szCs w:val="21"/>
          <w:highlight w:val="none"/>
        </w:rPr>
        <w:t>标人退还投标保证金。投标保证金以现金或者支票形式递交的，还应退还银行同期存款利息。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3.4.4 有下列情形之一的，投标保证金将不予退还：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（1）投标人在投标有效期内撤销投标文件；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（2）中标人在收到中标通知书后，无正当理由不与招标人订立合同，在签订合同时向招标人提出附加条件，或者不按照招标文件要求提交履约保证金；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（3）发生投标人须知前附表规定的其他可以不予退还投标保证金的情形。</w:t>
      </w:r>
    </w:p>
    <w:p>
      <w:pPr>
        <w:snapToGrid w:val="0"/>
        <w:spacing w:line="360" w:lineRule="auto"/>
        <w:rPr>
          <w:rFonts w:ascii="宋体" w:hAnsi="宋体" w:cs="宋体"/>
          <w:b/>
          <w:color w:val="auto"/>
          <w:sz w:val="24"/>
          <w:szCs w:val="24"/>
          <w:highlight w:val="none"/>
        </w:rPr>
      </w:pPr>
      <w:bookmarkStart w:id="169" w:name="_Toc529196544"/>
      <w:bookmarkStart w:id="170" w:name="_Toc515205217"/>
      <w:r>
        <w:rPr>
          <w:rFonts w:hint="eastAsia" w:ascii="宋体" w:hAnsi="宋体" w:cs="宋体"/>
          <w:b/>
          <w:color w:val="auto"/>
          <w:sz w:val="24"/>
          <w:szCs w:val="24"/>
          <w:highlight w:val="none"/>
        </w:rPr>
        <w:t>3.5 资格审查资料（适用于未进行资格预审的）</w:t>
      </w:r>
      <w:bookmarkEnd w:id="169"/>
      <w:bookmarkEnd w:id="170"/>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投标人根据招标公告“3.投标人资格要求”提供相关证明。</w:t>
      </w:r>
    </w:p>
    <w:p>
      <w:pPr>
        <w:snapToGrid w:val="0"/>
        <w:spacing w:line="360" w:lineRule="auto"/>
        <w:rPr>
          <w:rFonts w:ascii="宋体" w:hAnsi="宋体" w:cs="宋体"/>
          <w:b/>
          <w:color w:val="auto"/>
          <w:sz w:val="24"/>
          <w:szCs w:val="24"/>
          <w:highlight w:val="none"/>
        </w:rPr>
      </w:pPr>
      <w:bookmarkStart w:id="171" w:name="_Toc515205218"/>
      <w:bookmarkStart w:id="172" w:name="_Toc529196545"/>
      <w:r>
        <w:rPr>
          <w:rFonts w:hint="eastAsia" w:ascii="宋体" w:hAnsi="宋体" w:cs="宋体"/>
          <w:b/>
          <w:color w:val="auto"/>
          <w:sz w:val="24"/>
          <w:szCs w:val="24"/>
          <w:highlight w:val="none"/>
        </w:rPr>
        <w:t>3.6 备选投标方案</w:t>
      </w:r>
      <w:bookmarkEnd w:id="171"/>
      <w:bookmarkEnd w:id="17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3.6.1 除投标人须知前附表规定允许外，投标人不得递交备选投标方案，否则其投标将被否决。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3.6.3 投标人提供两个或两个以上投标报价，或者在投标文件中提供一个报价，但同时提供两个或两个以上</w:t>
      </w:r>
      <w:bookmarkStart w:id="173" w:name="_Toc361508607"/>
      <w:bookmarkStart w:id="174" w:name="_Toc352691495"/>
      <w:bookmarkStart w:id="175" w:name="_Toc152045550"/>
      <w:bookmarkStart w:id="176" w:name="_Toc384308232"/>
      <w:bookmarkStart w:id="177" w:name="_Toc29902"/>
      <w:bookmarkStart w:id="178" w:name="_Toc144974518"/>
      <w:bookmarkStart w:id="179" w:name="_Toc247527575"/>
      <w:bookmarkStart w:id="180" w:name="_Toc300834971"/>
      <w:bookmarkStart w:id="181" w:name="_Toc152042326"/>
      <w:bookmarkStart w:id="182" w:name="_Toc369531538"/>
      <w:bookmarkStart w:id="183" w:name="_Toc247513974"/>
      <w:r>
        <w:rPr>
          <w:rFonts w:hint="eastAsia" w:ascii="宋体" w:hAnsi="宋体"/>
          <w:color w:val="auto"/>
          <w:szCs w:val="21"/>
          <w:highlight w:val="none"/>
        </w:rPr>
        <w:t>监理方案的</w:t>
      </w:r>
      <w:bookmarkEnd w:id="173"/>
      <w:bookmarkEnd w:id="174"/>
      <w:bookmarkEnd w:id="175"/>
      <w:bookmarkEnd w:id="176"/>
      <w:bookmarkEnd w:id="177"/>
      <w:bookmarkEnd w:id="178"/>
      <w:bookmarkEnd w:id="179"/>
      <w:bookmarkEnd w:id="180"/>
      <w:bookmarkEnd w:id="181"/>
      <w:bookmarkEnd w:id="182"/>
      <w:bookmarkEnd w:id="183"/>
      <w:r>
        <w:rPr>
          <w:rFonts w:hint="eastAsia" w:ascii="宋体" w:hAnsi="宋体"/>
          <w:color w:val="auto"/>
          <w:szCs w:val="21"/>
          <w:highlight w:val="none"/>
        </w:rPr>
        <w:t>，视为提供备选方案。</w:t>
      </w:r>
    </w:p>
    <w:p>
      <w:pPr>
        <w:snapToGrid w:val="0"/>
        <w:spacing w:line="360" w:lineRule="auto"/>
        <w:rPr>
          <w:rFonts w:ascii="宋体" w:hAnsi="宋体" w:cs="宋体"/>
          <w:b/>
          <w:color w:val="auto"/>
          <w:sz w:val="24"/>
          <w:szCs w:val="24"/>
          <w:highlight w:val="none"/>
        </w:rPr>
      </w:pPr>
      <w:bookmarkStart w:id="184" w:name="_Toc529196546"/>
      <w:bookmarkStart w:id="185" w:name="_Toc515205219"/>
      <w:r>
        <w:rPr>
          <w:rFonts w:hint="eastAsia" w:ascii="宋体" w:hAnsi="宋体" w:cs="宋体"/>
          <w:b/>
          <w:color w:val="auto"/>
          <w:sz w:val="24"/>
          <w:szCs w:val="24"/>
          <w:highlight w:val="none"/>
        </w:rPr>
        <w:t>3.7 投标文件的编制</w:t>
      </w:r>
      <w:bookmarkEnd w:id="184"/>
      <w:bookmarkEnd w:id="18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3.7.2 投标文件应当对招标文件有关监理服务期限、投标有效期、委托人要求、招标范围等实质性内容作出响应。</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（3）投标文件的正本与副本应分别装订，并编制目录，投标文件需分册装订的，具体分册装订要求见投标人须知前附表规定。</w:t>
      </w:r>
    </w:p>
    <w:p>
      <w:pPr>
        <w:spacing w:before="120" w:line="360" w:lineRule="auto"/>
        <w:outlineLvl w:val="2"/>
        <w:rPr>
          <w:rFonts w:ascii="宋体" w:hAnsi="宋体" w:cs="宋体"/>
          <w:b/>
          <w:color w:val="auto"/>
          <w:sz w:val="28"/>
          <w:szCs w:val="28"/>
          <w:highlight w:val="none"/>
        </w:rPr>
      </w:pPr>
      <w:bookmarkStart w:id="186" w:name="_Toc529196547"/>
      <w:bookmarkStart w:id="187" w:name="_Toc515205220"/>
      <w:r>
        <w:rPr>
          <w:rFonts w:hint="eastAsia" w:ascii="宋体" w:hAnsi="宋体" w:cs="宋体"/>
          <w:b/>
          <w:color w:val="auto"/>
          <w:sz w:val="28"/>
          <w:szCs w:val="28"/>
          <w:highlight w:val="none"/>
        </w:rPr>
        <w:t>4. 投标</w:t>
      </w:r>
      <w:bookmarkEnd w:id="186"/>
      <w:bookmarkEnd w:id="187"/>
    </w:p>
    <w:p>
      <w:pPr>
        <w:snapToGrid w:val="0"/>
        <w:spacing w:line="360" w:lineRule="auto"/>
        <w:rPr>
          <w:rFonts w:ascii="宋体" w:hAnsi="宋体" w:cs="宋体"/>
          <w:b/>
          <w:color w:val="auto"/>
          <w:sz w:val="24"/>
          <w:szCs w:val="24"/>
          <w:highlight w:val="none"/>
        </w:rPr>
      </w:pPr>
      <w:bookmarkStart w:id="188" w:name="_Toc529196548"/>
      <w:bookmarkStart w:id="189" w:name="_Toc515205221"/>
      <w:r>
        <w:rPr>
          <w:rFonts w:hint="eastAsia" w:ascii="宋体" w:hAnsi="宋体" w:cs="宋体"/>
          <w:b/>
          <w:color w:val="auto"/>
          <w:sz w:val="24"/>
          <w:szCs w:val="24"/>
          <w:highlight w:val="none"/>
        </w:rPr>
        <w:t>4.1 投标文件的密封和标记</w:t>
      </w:r>
      <w:bookmarkEnd w:id="188"/>
      <w:bookmarkEnd w:id="1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4.1.1 （A）投标文件应密封包装，并在封套的封口处加盖投标人单位章或由投标人的法定代表人或其授权的代理人签字或盖章。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 投标文件封套上应写明的内容见投标人须知前附表。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 未按本章第4.1.1项要求密封的投标文件，招标人将予以拒收。</w:t>
      </w:r>
    </w:p>
    <w:p>
      <w:pPr>
        <w:snapToGrid w:val="0"/>
        <w:spacing w:line="360" w:lineRule="auto"/>
        <w:rPr>
          <w:rFonts w:ascii="宋体" w:hAnsi="宋体" w:cs="宋体"/>
          <w:b/>
          <w:color w:val="auto"/>
          <w:sz w:val="24"/>
          <w:szCs w:val="24"/>
          <w:highlight w:val="none"/>
        </w:rPr>
      </w:pPr>
      <w:bookmarkStart w:id="190" w:name="_Toc529196549"/>
      <w:bookmarkStart w:id="191" w:name="_Toc515205222"/>
      <w:r>
        <w:rPr>
          <w:rFonts w:hint="eastAsia" w:ascii="宋体" w:hAnsi="宋体" w:cs="宋体"/>
          <w:b/>
          <w:color w:val="auto"/>
          <w:sz w:val="24"/>
          <w:szCs w:val="24"/>
          <w:highlight w:val="none"/>
        </w:rPr>
        <w:t>4.2 投标文件的递交</w:t>
      </w:r>
      <w:bookmarkEnd w:id="190"/>
      <w:bookmarkEnd w:id="19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4.2.1 投标人应在投标人须知前附表规定的投标截止时间前递交投标文件。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4.2.2 （A）投标人递交投标文件的地点：见投标人须知前附表。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4.2.3 除投标人须知前附表另有规定外，投标人所递交的投标文件不予退还。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4.2.4 （A）招标人收到投标文件后，向投标人出具签收凭证。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4.2.5 （A）逾期送达的投标文件，招标人将予以拒收。</w:t>
      </w:r>
    </w:p>
    <w:p>
      <w:pPr>
        <w:snapToGrid w:val="0"/>
        <w:spacing w:line="360" w:lineRule="auto"/>
        <w:rPr>
          <w:rFonts w:ascii="宋体" w:hAnsi="宋体" w:cs="宋体"/>
          <w:b/>
          <w:color w:val="auto"/>
          <w:sz w:val="24"/>
          <w:szCs w:val="24"/>
          <w:highlight w:val="none"/>
        </w:rPr>
      </w:pPr>
      <w:bookmarkStart w:id="192" w:name="_Toc529196550"/>
      <w:bookmarkStart w:id="193" w:name="_Toc515205223"/>
      <w:r>
        <w:rPr>
          <w:rFonts w:hint="eastAsia" w:ascii="宋体" w:hAnsi="宋体" w:cs="宋体"/>
          <w:b/>
          <w:color w:val="auto"/>
          <w:sz w:val="24"/>
          <w:szCs w:val="24"/>
          <w:highlight w:val="none"/>
        </w:rPr>
        <w:t>4.3 投标文件的修改与撤回</w:t>
      </w:r>
      <w:bookmarkEnd w:id="192"/>
      <w:bookmarkEnd w:id="19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4.3.1 在本章第4.2.1项规定的投标截止时间前，投标人可以修改或撤回已递交的投标文件，但应以书面形式通知招标人。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4.3.2 （A）投标人修改或撤回已递交投标文件的书面通知应按照本章第3.7.3（A）项的要求签字或盖章。招标人收到书面通知后，向投标人出具签收凭证。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4.3.3 投标人撤回投标文件的，招标人自收到投标人书面撤回通知之日起5日内退还已收取的投标保证金。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w:t>
      </w:r>
      <w:bookmarkStart w:id="194" w:name="_Toc300834974"/>
      <w:bookmarkStart w:id="195" w:name="_Toc384308235"/>
      <w:bookmarkStart w:id="196" w:name="_Toc144974521"/>
      <w:bookmarkStart w:id="197" w:name="_Toc361508610"/>
      <w:bookmarkStart w:id="198" w:name="_Toc152042329"/>
      <w:bookmarkStart w:id="199" w:name="_Toc19203"/>
      <w:bookmarkStart w:id="200" w:name="_Toc152045553"/>
      <w:bookmarkStart w:id="201" w:name="_Toc247513977"/>
      <w:bookmarkStart w:id="202" w:name="_Toc247527578"/>
      <w:bookmarkStart w:id="203" w:name="_Toc369531541"/>
      <w:bookmarkStart w:id="204" w:name="_Toc352691497"/>
      <w:r>
        <w:rPr>
          <w:rFonts w:hint="eastAsia" w:ascii="宋体" w:hAnsi="宋体"/>
          <w:color w:val="auto"/>
          <w:szCs w:val="21"/>
          <w:highlight w:val="none"/>
        </w:rPr>
        <w:t>4 修改的内容为投标</w:t>
      </w:r>
      <w:bookmarkEnd w:id="194"/>
      <w:bookmarkEnd w:id="195"/>
      <w:bookmarkEnd w:id="196"/>
      <w:bookmarkEnd w:id="197"/>
      <w:bookmarkEnd w:id="198"/>
      <w:bookmarkEnd w:id="199"/>
      <w:bookmarkEnd w:id="200"/>
      <w:bookmarkEnd w:id="201"/>
      <w:bookmarkEnd w:id="202"/>
      <w:bookmarkEnd w:id="203"/>
      <w:bookmarkEnd w:id="204"/>
      <w:r>
        <w:rPr>
          <w:rFonts w:hint="eastAsia" w:ascii="宋体" w:hAnsi="宋体"/>
          <w:color w:val="auto"/>
          <w:szCs w:val="21"/>
          <w:highlight w:val="none"/>
        </w:rPr>
        <w:t>文件的组成部分。修改的投标文件应按照本章第3条、第4条的规定进行编制、密封、标记和递交，并标明“修改”字样。</w:t>
      </w:r>
    </w:p>
    <w:p>
      <w:pPr>
        <w:spacing w:before="120" w:line="360" w:lineRule="auto"/>
        <w:outlineLvl w:val="2"/>
        <w:rPr>
          <w:rFonts w:ascii="宋体" w:hAnsi="宋体" w:cs="宋体"/>
          <w:b/>
          <w:color w:val="auto"/>
          <w:sz w:val="28"/>
          <w:szCs w:val="28"/>
          <w:highlight w:val="none"/>
        </w:rPr>
      </w:pPr>
      <w:bookmarkStart w:id="205" w:name="_Toc515205224"/>
      <w:bookmarkStart w:id="206" w:name="_Toc529196551"/>
      <w:r>
        <w:rPr>
          <w:rFonts w:hint="eastAsia" w:ascii="宋体" w:hAnsi="宋体" w:cs="宋体"/>
          <w:b/>
          <w:color w:val="auto"/>
          <w:sz w:val="28"/>
          <w:szCs w:val="28"/>
          <w:highlight w:val="none"/>
        </w:rPr>
        <w:t>5. 开标</w:t>
      </w:r>
      <w:bookmarkEnd w:id="205"/>
      <w:bookmarkEnd w:id="206"/>
    </w:p>
    <w:p>
      <w:pPr>
        <w:snapToGrid w:val="0"/>
        <w:spacing w:line="360" w:lineRule="auto"/>
        <w:rPr>
          <w:rFonts w:ascii="宋体" w:hAnsi="宋体" w:cs="宋体"/>
          <w:b/>
          <w:color w:val="auto"/>
          <w:sz w:val="24"/>
          <w:szCs w:val="24"/>
          <w:highlight w:val="none"/>
        </w:rPr>
      </w:pPr>
      <w:bookmarkStart w:id="207" w:name="_Toc515205225"/>
      <w:bookmarkStart w:id="208" w:name="_Toc529196552"/>
      <w:r>
        <w:rPr>
          <w:rFonts w:hint="eastAsia" w:ascii="宋体" w:hAnsi="宋体" w:cs="宋体"/>
          <w:b/>
          <w:color w:val="auto"/>
          <w:sz w:val="24"/>
          <w:szCs w:val="24"/>
          <w:highlight w:val="none"/>
        </w:rPr>
        <w:t>5.1 开标时间和地点（A）</w:t>
      </w:r>
      <w:bookmarkEnd w:id="207"/>
      <w:bookmarkEnd w:id="20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招标人在本章第4.2.1项规定的投标截止时间（开标时间）和投标人须知前附表规定的地点公开开标，并邀请所有投标人的法定代表人或其委托代理人准时参加。</w:t>
      </w:r>
    </w:p>
    <w:p>
      <w:pPr>
        <w:snapToGrid w:val="0"/>
        <w:spacing w:line="360" w:lineRule="auto"/>
        <w:rPr>
          <w:rFonts w:ascii="宋体" w:hAnsi="宋体" w:cs="宋体"/>
          <w:b/>
          <w:color w:val="auto"/>
          <w:sz w:val="24"/>
          <w:szCs w:val="24"/>
          <w:highlight w:val="none"/>
        </w:rPr>
      </w:pPr>
      <w:bookmarkStart w:id="209" w:name="_Toc529196554"/>
      <w:bookmarkStart w:id="210" w:name="_Toc515205227"/>
      <w:r>
        <w:rPr>
          <w:rFonts w:hint="eastAsia" w:ascii="宋体" w:hAnsi="宋体" w:cs="宋体"/>
          <w:b/>
          <w:color w:val="auto"/>
          <w:sz w:val="24"/>
          <w:szCs w:val="24"/>
          <w:highlight w:val="none"/>
        </w:rPr>
        <w:t>5.2 开标程序</w:t>
      </w:r>
      <w:bookmarkEnd w:id="209"/>
      <w:bookmarkEnd w:id="21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（1）宣布开标纪律；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（2）公布在投标截止时间前递交投标文件的投标人名称；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（3）宣布</w:t>
      </w:r>
      <w:bookmarkStart w:id="211" w:name="_Toc300834975"/>
      <w:bookmarkStart w:id="212" w:name="_Toc352691498"/>
      <w:bookmarkStart w:id="213" w:name="_Toc144974522"/>
      <w:bookmarkStart w:id="214" w:name="_Toc152042330"/>
      <w:bookmarkStart w:id="215" w:name="_Toc384308236"/>
      <w:bookmarkStart w:id="216" w:name="_Toc22119"/>
      <w:bookmarkStart w:id="217" w:name="_Toc152045554"/>
      <w:bookmarkStart w:id="218" w:name="_Toc247513978"/>
      <w:bookmarkStart w:id="219" w:name="_Toc247527579"/>
      <w:bookmarkStart w:id="220" w:name="_Toc369531542"/>
      <w:bookmarkStart w:id="221" w:name="_Toc361508611"/>
      <w:r>
        <w:rPr>
          <w:rFonts w:hint="eastAsia" w:ascii="宋体" w:hAnsi="宋体"/>
          <w:color w:val="auto"/>
          <w:szCs w:val="21"/>
          <w:highlight w:val="none"/>
        </w:rPr>
        <w:t>开标人、唱标人、记录人</w:t>
      </w:r>
      <w:bookmarkEnd w:id="211"/>
      <w:bookmarkEnd w:id="212"/>
      <w:bookmarkEnd w:id="213"/>
      <w:bookmarkEnd w:id="214"/>
      <w:bookmarkEnd w:id="215"/>
      <w:bookmarkEnd w:id="216"/>
      <w:bookmarkEnd w:id="217"/>
      <w:bookmarkEnd w:id="218"/>
      <w:bookmarkEnd w:id="219"/>
      <w:bookmarkEnd w:id="220"/>
      <w:bookmarkEnd w:id="221"/>
      <w:r>
        <w:rPr>
          <w:rFonts w:hint="eastAsia" w:ascii="宋体" w:hAnsi="宋体"/>
          <w:color w:val="auto"/>
          <w:szCs w:val="21"/>
          <w:highlight w:val="none"/>
        </w:rPr>
        <w:t>、监标人等有关人员姓名；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（4）（A）检查投标文件的密封情况，按照投标人须知前附表规定的开标顺序当众开标，公布招标项目名称、投标人名称、投标保证金的递交情况、投标报价、监理服务期限及其他内容，并记录在案；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（5）（A）投标人代表、招标人代表、监标人、记录人等有关人员在开标记录上签字确认；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（6）开标结束。</w:t>
      </w:r>
    </w:p>
    <w:p>
      <w:pPr>
        <w:snapToGrid w:val="0"/>
        <w:spacing w:line="360" w:lineRule="auto"/>
        <w:rPr>
          <w:rFonts w:ascii="宋体" w:hAnsi="宋体" w:cs="宋体"/>
          <w:b/>
          <w:color w:val="auto"/>
          <w:sz w:val="24"/>
          <w:szCs w:val="24"/>
          <w:highlight w:val="none"/>
        </w:rPr>
      </w:pPr>
      <w:bookmarkStart w:id="222" w:name="_Toc529196555"/>
      <w:bookmarkStart w:id="223" w:name="_Toc515205228"/>
      <w:r>
        <w:rPr>
          <w:rFonts w:hint="eastAsia" w:ascii="宋体" w:hAnsi="宋体" w:cs="宋体"/>
          <w:b/>
          <w:color w:val="auto"/>
          <w:sz w:val="24"/>
          <w:szCs w:val="24"/>
          <w:highlight w:val="none"/>
        </w:rPr>
        <w:t>5.3 开标异议</w:t>
      </w:r>
      <w:bookmarkEnd w:id="222"/>
      <w:bookmarkEnd w:id="22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投标人对开标有异议的，应当在开标现场提出，招标人当场作出答复，并制作记录。</w:t>
      </w:r>
    </w:p>
    <w:p>
      <w:pPr>
        <w:spacing w:before="120" w:line="360" w:lineRule="auto"/>
        <w:outlineLvl w:val="2"/>
        <w:rPr>
          <w:rFonts w:ascii="宋体" w:hAnsi="宋体" w:cs="宋体"/>
          <w:b/>
          <w:color w:val="auto"/>
          <w:sz w:val="28"/>
          <w:szCs w:val="28"/>
          <w:highlight w:val="none"/>
        </w:rPr>
      </w:pPr>
      <w:bookmarkStart w:id="224" w:name="_Toc529196556"/>
      <w:bookmarkStart w:id="225" w:name="_Toc515205229"/>
      <w:r>
        <w:rPr>
          <w:rFonts w:hint="eastAsia" w:ascii="宋体" w:hAnsi="宋体" w:cs="宋体"/>
          <w:b/>
          <w:color w:val="auto"/>
          <w:sz w:val="28"/>
          <w:szCs w:val="28"/>
          <w:highlight w:val="none"/>
        </w:rPr>
        <w:t>6. 评标</w:t>
      </w:r>
      <w:bookmarkEnd w:id="224"/>
      <w:bookmarkEnd w:id="225"/>
    </w:p>
    <w:p>
      <w:pPr>
        <w:snapToGrid w:val="0"/>
        <w:spacing w:line="360" w:lineRule="auto"/>
        <w:rPr>
          <w:rFonts w:ascii="宋体" w:hAnsi="宋体" w:cs="宋体"/>
          <w:b/>
          <w:color w:val="auto"/>
          <w:sz w:val="24"/>
          <w:szCs w:val="24"/>
          <w:highlight w:val="none"/>
        </w:rPr>
      </w:pPr>
      <w:bookmarkStart w:id="226" w:name="_Toc515205230"/>
      <w:bookmarkStart w:id="227" w:name="_Toc529196557"/>
      <w:r>
        <w:rPr>
          <w:rFonts w:hint="eastAsia" w:ascii="宋体" w:hAnsi="宋体" w:cs="宋体"/>
          <w:b/>
          <w:color w:val="auto"/>
          <w:sz w:val="24"/>
          <w:szCs w:val="24"/>
          <w:highlight w:val="none"/>
        </w:rPr>
        <w:t>6.1 评标委员会</w:t>
      </w:r>
      <w:bookmarkEnd w:id="226"/>
      <w:bookmarkEnd w:id="22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 评标委员会成员有下列情形之一的，应当回避：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（1）投标人或投标人主要负责人的近亲属；</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（3）与投标人有经济利益关系，可能影响对投标公正评审的；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（4）曾因在招标、评</w:t>
      </w:r>
      <w:bookmarkStart w:id="228" w:name="_Toc384308237"/>
      <w:bookmarkStart w:id="229" w:name="_Toc6230"/>
      <w:bookmarkStart w:id="230" w:name="_Toc369531543"/>
      <w:bookmarkStart w:id="231" w:name="_Toc247513979"/>
      <w:bookmarkStart w:id="232" w:name="_Toc352691499"/>
      <w:bookmarkStart w:id="233" w:name="_Toc152042331"/>
      <w:bookmarkStart w:id="234" w:name="_Toc152045555"/>
      <w:bookmarkStart w:id="235" w:name="_Toc361508612"/>
      <w:bookmarkStart w:id="236" w:name="_Toc144974523"/>
      <w:bookmarkStart w:id="237" w:name="_Toc247527580"/>
      <w:bookmarkStart w:id="238" w:name="_Toc300834976"/>
      <w:r>
        <w:rPr>
          <w:rFonts w:hint="eastAsia" w:ascii="宋体" w:hAnsi="宋体"/>
          <w:color w:val="auto"/>
          <w:szCs w:val="21"/>
          <w:highlight w:val="none"/>
        </w:rPr>
        <w:t>标以及其他</w:t>
      </w:r>
      <w:bookmarkEnd w:id="228"/>
      <w:bookmarkEnd w:id="229"/>
      <w:bookmarkEnd w:id="230"/>
      <w:bookmarkEnd w:id="231"/>
      <w:bookmarkEnd w:id="232"/>
      <w:bookmarkEnd w:id="233"/>
      <w:bookmarkEnd w:id="234"/>
      <w:bookmarkEnd w:id="235"/>
      <w:bookmarkEnd w:id="236"/>
      <w:bookmarkEnd w:id="237"/>
      <w:bookmarkEnd w:id="238"/>
      <w:r>
        <w:rPr>
          <w:rFonts w:hint="eastAsia" w:ascii="宋体" w:hAnsi="宋体"/>
          <w:color w:val="auto"/>
          <w:szCs w:val="21"/>
          <w:highlight w:val="none"/>
        </w:rPr>
        <w:t>与</w:t>
      </w:r>
      <w:bookmarkStart w:id="239" w:name="_Toc152042332"/>
      <w:bookmarkStart w:id="240" w:name="_Toc247527581"/>
      <w:bookmarkStart w:id="241" w:name="_Toc369531544"/>
      <w:bookmarkStart w:id="242" w:name="_Toc352691500"/>
      <w:bookmarkStart w:id="243" w:name="_Toc144974524"/>
      <w:bookmarkStart w:id="244" w:name="_Toc247513980"/>
      <w:bookmarkStart w:id="245" w:name="_Toc300834977"/>
      <w:bookmarkStart w:id="246" w:name="_Toc361508613"/>
      <w:bookmarkStart w:id="247" w:name="_Toc384308238"/>
      <w:bookmarkStart w:id="248" w:name="_Toc17703"/>
      <w:bookmarkStart w:id="249" w:name="_Toc152045556"/>
      <w:r>
        <w:rPr>
          <w:rFonts w:hint="eastAsia" w:ascii="宋体" w:hAnsi="宋体"/>
          <w:color w:val="auto"/>
          <w:szCs w:val="21"/>
          <w:highlight w:val="none"/>
        </w:rPr>
        <w:t>招标投标有关活动中从事违法行</w:t>
      </w:r>
      <w:bookmarkEnd w:id="239"/>
      <w:bookmarkEnd w:id="240"/>
      <w:bookmarkEnd w:id="241"/>
      <w:bookmarkEnd w:id="242"/>
      <w:bookmarkEnd w:id="243"/>
      <w:bookmarkEnd w:id="244"/>
      <w:bookmarkEnd w:id="245"/>
      <w:bookmarkEnd w:id="246"/>
      <w:bookmarkEnd w:id="247"/>
      <w:bookmarkEnd w:id="248"/>
      <w:bookmarkEnd w:id="249"/>
      <w:r>
        <w:rPr>
          <w:rFonts w:hint="eastAsia" w:ascii="宋体" w:hAnsi="宋体"/>
          <w:color w:val="auto"/>
          <w:szCs w:val="21"/>
          <w:highlight w:val="none"/>
        </w:rPr>
        <w:t>为而受过行政处罚或刑事处罚的；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（5）与投标人有其他利害关系。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snapToGrid w:val="0"/>
        <w:spacing w:line="360" w:lineRule="auto"/>
        <w:rPr>
          <w:rFonts w:ascii="宋体" w:hAnsi="宋体" w:cs="宋体"/>
          <w:b/>
          <w:color w:val="auto"/>
          <w:sz w:val="24"/>
          <w:szCs w:val="24"/>
          <w:highlight w:val="none"/>
        </w:rPr>
      </w:pPr>
      <w:bookmarkStart w:id="250" w:name="_Toc529196558"/>
      <w:bookmarkStart w:id="251" w:name="_Toc515205231"/>
      <w:r>
        <w:rPr>
          <w:rFonts w:hint="eastAsia" w:ascii="宋体" w:hAnsi="宋体" w:cs="宋体"/>
          <w:b/>
          <w:color w:val="auto"/>
          <w:sz w:val="24"/>
          <w:szCs w:val="24"/>
          <w:highlight w:val="none"/>
        </w:rPr>
        <w:t>6.2 评标原则</w:t>
      </w:r>
      <w:bookmarkEnd w:id="250"/>
      <w:bookmarkEnd w:id="25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评标活动遵循公平、公正、科学和择优的原</w:t>
      </w:r>
      <w:bookmarkStart w:id="252" w:name="_Toc152042333"/>
      <w:bookmarkStart w:id="253" w:name="_Toc152045557"/>
      <w:bookmarkStart w:id="254" w:name="_Toc300834978"/>
      <w:bookmarkStart w:id="255" w:name="_Toc18949"/>
      <w:bookmarkStart w:id="256" w:name="_Toc384308239"/>
      <w:bookmarkStart w:id="257" w:name="_Toc352691501"/>
      <w:bookmarkStart w:id="258" w:name="_Toc247513981"/>
      <w:bookmarkStart w:id="259" w:name="_Toc144974525"/>
      <w:bookmarkStart w:id="260" w:name="_Toc361508614"/>
      <w:bookmarkStart w:id="261" w:name="_Toc247527582"/>
      <w:bookmarkStart w:id="262" w:name="_Toc369531545"/>
      <w:r>
        <w:rPr>
          <w:rFonts w:hint="eastAsia" w:ascii="宋体" w:hAnsi="宋体"/>
          <w:color w:val="auto"/>
          <w:szCs w:val="21"/>
          <w:highlight w:val="none"/>
        </w:rPr>
        <w:t>则。</w:t>
      </w:r>
    </w:p>
    <w:p>
      <w:pPr>
        <w:snapToGrid w:val="0"/>
        <w:spacing w:line="360" w:lineRule="auto"/>
        <w:rPr>
          <w:rFonts w:ascii="宋体" w:hAnsi="宋体" w:cs="宋体"/>
          <w:b/>
          <w:color w:val="auto"/>
          <w:sz w:val="24"/>
          <w:szCs w:val="24"/>
          <w:highlight w:val="none"/>
        </w:rPr>
      </w:pPr>
      <w:bookmarkStart w:id="263" w:name="_Toc515205232"/>
      <w:bookmarkStart w:id="264" w:name="_Toc529196559"/>
      <w:r>
        <w:rPr>
          <w:rFonts w:hint="eastAsia" w:ascii="宋体" w:hAnsi="宋体" w:cs="宋体"/>
          <w:b/>
          <w:color w:val="auto"/>
          <w:sz w:val="24"/>
          <w:szCs w:val="24"/>
          <w:highlight w:val="none"/>
        </w:rPr>
        <w:t>6.3 评标</w:t>
      </w:r>
      <w:bookmarkEnd w:id="263"/>
      <w:bookmarkEnd w:id="26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bookmarkEnd w:id="252"/>
      <w:bookmarkEnd w:id="253"/>
      <w:bookmarkEnd w:id="254"/>
      <w:bookmarkEnd w:id="255"/>
      <w:bookmarkEnd w:id="256"/>
      <w:bookmarkEnd w:id="257"/>
      <w:bookmarkEnd w:id="258"/>
      <w:bookmarkEnd w:id="259"/>
      <w:bookmarkEnd w:id="260"/>
      <w:bookmarkEnd w:id="261"/>
      <w:bookmarkEnd w:id="262"/>
      <w:r>
        <w:rPr>
          <w:rFonts w:hint="eastAsia" w:ascii="宋体" w:hAnsi="宋体"/>
          <w:color w:val="auto"/>
          <w:szCs w:val="21"/>
          <w:highlight w:val="none"/>
        </w:rPr>
        <w:t>.3.1评标委员会按照第三章“评标办法”规定的方法、评审因素、标准和程序对投标文件进行评审。第三章“评标办法”没有规定的方法、评审因素和标准，不作为评标依据。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6.3.2评标完成后，评标委员会应当向招标人提交书面评标报告和中标候选人名单。评标委员会推荐中标</w:t>
      </w:r>
      <w:bookmarkStart w:id="265" w:name="_Toc152045558"/>
      <w:bookmarkStart w:id="266" w:name="_Toc300834979"/>
      <w:bookmarkStart w:id="267" w:name="_Toc369531546"/>
      <w:bookmarkStart w:id="268" w:name="_Toc247527583"/>
      <w:bookmarkStart w:id="269" w:name="_Toc352691502"/>
      <w:bookmarkStart w:id="270" w:name="_Toc144974526"/>
      <w:bookmarkStart w:id="271" w:name="_Toc247513982"/>
      <w:bookmarkStart w:id="272" w:name="_Toc361508615"/>
      <w:bookmarkStart w:id="273" w:name="_Toc384308240"/>
      <w:bookmarkStart w:id="274" w:name="_Toc12259"/>
      <w:bookmarkStart w:id="275" w:name="_Toc152042334"/>
      <w:r>
        <w:rPr>
          <w:rFonts w:hint="eastAsia" w:ascii="宋体" w:hAnsi="宋体"/>
          <w:color w:val="auto"/>
          <w:szCs w:val="21"/>
          <w:highlight w:val="none"/>
        </w:rPr>
        <w:t>候选人的人数见投标人须知前附</w:t>
      </w:r>
      <w:bookmarkEnd w:id="265"/>
      <w:bookmarkEnd w:id="266"/>
      <w:bookmarkEnd w:id="267"/>
      <w:bookmarkEnd w:id="268"/>
      <w:bookmarkEnd w:id="269"/>
      <w:bookmarkEnd w:id="270"/>
      <w:bookmarkEnd w:id="271"/>
      <w:bookmarkEnd w:id="272"/>
      <w:bookmarkEnd w:id="273"/>
      <w:bookmarkEnd w:id="274"/>
      <w:bookmarkEnd w:id="275"/>
      <w:r>
        <w:rPr>
          <w:rFonts w:hint="eastAsia" w:ascii="宋体" w:hAnsi="宋体"/>
          <w:color w:val="auto"/>
          <w:szCs w:val="21"/>
          <w:highlight w:val="none"/>
        </w:rPr>
        <w:t>表。</w:t>
      </w:r>
    </w:p>
    <w:p>
      <w:pPr>
        <w:spacing w:before="120" w:line="360" w:lineRule="auto"/>
        <w:outlineLvl w:val="2"/>
        <w:rPr>
          <w:rFonts w:ascii="宋体" w:hAnsi="宋体" w:cs="宋体"/>
          <w:b/>
          <w:color w:val="auto"/>
          <w:sz w:val="28"/>
          <w:szCs w:val="28"/>
          <w:highlight w:val="none"/>
        </w:rPr>
      </w:pPr>
      <w:bookmarkStart w:id="276" w:name="_Toc515205233"/>
      <w:bookmarkStart w:id="277" w:name="_Toc529196560"/>
      <w:r>
        <w:rPr>
          <w:rFonts w:hint="eastAsia" w:ascii="宋体" w:hAnsi="宋体" w:cs="宋体"/>
          <w:b/>
          <w:color w:val="auto"/>
          <w:sz w:val="28"/>
          <w:szCs w:val="28"/>
          <w:highlight w:val="none"/>
        </w:rPr>
        <w:t>7. 合同授予</w:t>
      </w:r>
      <w:bookmarkEnd w:id="276"/>
      <w:bookmarkEnd w:id="277"/>
    </w:p>
    <w:p>
      <w:pPr>
        <w:snapToGrid w:val="0"/>
        <w:spacing w:line="360" w:lineRule="auto"/>
        <w:rPr>
          <w:rFonts w:ascii="宋体" w:hAnsi="宋体" w:cs="宋体"/>
          <w:b/>
          <w:color w:val="auto"/>
          <w:sz w:val="24"/>
          <w:szCs w:val="24"/>
          <w:highlight w:val="none"/>
        </w:rPr>
      </w:pPr>
      <w:bookmarkStart w:id="278" w:name="_Toc515205234"/>
      <w:bookmarkStart w:id="279" w:name="_Toc529196561"/>
      <w:r>
        <w:rPr>
          <w:rFonts w:hint="eastAsia" w:ascii="宋体" w:hAnsi="宋体" w:cs="宋体"/>
          <w:b/>
          <w:color w:val="auto"/>
          <w:sz w:val="24"/>
          <w:szCs w:val="24"/>
          <w:highlight w:val="none"/>
        </w:rPr>
        <w:t>7.1 中标候选人公示</w:t>
      </w:r>
      <w:bookmarkEnd w:id="278"/>
      <w:bookmarkEnd w:id="27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招标人在收到评标报告之日起3日内，按照投标人须知前附表规定的公示媒介和期限公示中标候选人，公示期不得少于3天。</w:t>
      </w:r>
    </w:p>
    <w:p>
      <w:pPr>
        <w:snapToGrid w:val="0"/>
        <w:spacing w:line="360" w:lineRule="auto"/>
        <w:rPr>
          <w:rFonts w:ascii="宋体" w:hAnsi="宋体" w:cs="宋体"/>
          <w:b/>
          <w:color w:val="auto"/>
          <w:sz w:val="24"/>
          <w:szCs w:val="24"/>
          <w:highlight w:val="none"/>
        </w:rPr>
      </w:pPr>
      <w:bookmarkStart w:id="280" w:name="_Toc515205235"/>
      <w:bookmarkStart w:id="281" w:name="_Toc529196562"/>
      <w:r>
        <w:rPr>
          <w:rFonts w:hint="eastAsia" w:ascii="宋体" w:hAnsi="宋体" w:cs="宋体"/>
          <w:b/>
          <w:color w:val="auto"/>
          <w:sz w:val="24"/>
          <w:szCs w:val="24"/>
          <w:highlight w:val="none"/>
        </w:rPr>
        <w:t>7.2 评标结果异议</w:t>
      </w:r>
      <w:bookmarkEnd w:id="280"/>
      <w:bookmarkEnd w:id="28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投标人或者其他利</w:t>
      </w:r>
      <w:bookmarkStart w:id="282" w:name="_Toc361508618"/>
      <w:bookmarkStart w:id="283" w:name="_Toc152045561"/>
      <w:bookmarkStart w:id="284" w:name="_Toc144974529"/>
      <w:bookmarkStart w:id="285" w:name="_Toc30095"/>
      <w:bookmarkStart w:id="286" w:name="_Toc247527586"/>
      <w:bookmarkStart w:id="287" w:name="_Toc152042337"/>
      <w:bookmarkStart w:id="288" w:name="_Toc300834982"/>
      <w:bookmarkStart w:id="289" w:name="_Toc369531549"/>
      <w:bookmarkStart w:id="290" w:name="_Toc352691505"/>
      <w:bookmarkStart w:id="291" w:name="_Toc247513985"/>
      <w:bookmarkStart w:id="292" w:name="_Toc384308243"/>
      <w:r>
        <w:rPr>
          <w:rFonts w:hint="eastAsia" w:ascii="宋体" w:hAnsi="宋体"/>
          <w:color w:val="auto"/>
          <w:szCs w:val="21"/>
          <w:highlight w:val="none"/>
        </w:rPr>
        <w:t>害关系人对评标结</w:t>
      </w:r>
      <w:bookmarkEnd w:id="282"/>
      <w:bookmarkEnd w:id="283"/>
      <w:bookmarkEnd w:id="284"/>
      <w:bookmarkEnd w:id="285"/>
      <w:bookmarkEnd w:id="286"/>
      <w:bookmarkEnd w:id="287"/>
      <w:bookmarkEnd w:id="288"/>
      <w:bookmarkEnd w:id="289"/>
      <w:bookmarkEnd w:id="290"/>
      <w:bookmarkEnd w:id="291"/>
      <w:bookmarkEnd w:id="292"/>
      <w:r>
        <w:rPr>
          <w:rFonts w:hint="eastAsia" w:ascii="宋体" w:hAnsi="宋体"/>
          <w:color w:val="auto"/>
          <w:szCs w:val="21"/>
          <w:highlight w:val="none"/>
        </w:rPr>
        <w:t>果有异议的，应当在中标候选人公示期间提出。招标人将在收到异议之日起3日内作出答复；作出答复前，将暂停招标投标活动。</w:t>
      </w:r>
    </w:p>
    <w:p>
      <w:pPr>
        <w:snapToGrid w:val="0"/>
        <w:spacing w:line="360" w:lineRule="auto"/>
        <w:rPr>
          <w:rFonts w:ascii="宋体" w:hAnsi="宋体" w:cs="宋体"/>
          <w:b/>
          <w:color w:val="auto"/>
          <w:sz w:val="24"/>
          <w:szCs w:val="24"/>
          <w:highlight w:val="none"/>
        </w:rPr>
      </w:pPr>
      <w:bookmarkStart w:id="293" w:name="_Toc529196563"/>
      <w:bookmarkStart w:id="294" w:name="_Toc515205236"/>
      <w:r>
        <w:rPr>
          <w:rFonts w:hint="eastAsia" w:ascii="宋体" w:hAnsi="宋体" w:cs="宋体"/>
          <w:b/>
          <w:color w:val="auto"/>
          <w:sz w:val="24"/>
          <w:szCs w:val="24"/>
          <w:highlight w:val="none"/>
        </w:rPr>
        <w:t>7.3 中标候选人履约能力审查</w:t>
      </w:r>
      <w:bookmarkEnd w:id="293"/>
      <w:bookmarkEnd w:id="29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napToGrid w:val="0"/>
        <w:spacing w:line="360" w:lineRule="auto"/>
        <w:rPr>
          <w:rFonts w:ascii="宋体" w:hAnsi="宋体" w:cs="宋体"/>
          <w:b/>
          <w:color w:val="auto"/>
          <w:sz w:val="24"/>
          <w:szCs w:val="24"/>
          <w:highlight w:val="none"/>
        </w:rPr>
      </w:pPr>
      <w:bookmarkStart w:id="295" w:name="_Toc529196564"/>
      <w:bookmarkStart w:id="296" w:name="_Toc515205237"/>
      <w:r>
        <w:rPr>
          <w:rFonts w:hint="eastAsia" w:ascii="宋体" w:hAnsi="宋体" w:cs="宋体"/>
          <w:b/>
          <w:color w:val="auto"/>
          <w:sz w:val="24"/>
          <w:szCs w:val="24"/>
          <w:highlight w:val="none"/>
        </w:rPr>
        <w:t>7.4 定标</w:t>
      </w:r>
      <w:bookmarkEnd w:id="295"/>
      <w:bookmarkEnd w:id="29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按照投标人须知前附表的规定，招标人或招标人授权的评标委员会依法确定中标人。</w:t>
      </w:r>
    </w:p>
    <w:p>
      <w:pPr>
        <w:snapToGrid w:val="0"/>
        <w:spacing w:line="360" w:lineRule="auto"/>
        <w:rPr>
          <w:rFonts w:ascii="宋体" w:hAnsi="宋体" w:cs="宋体"/>
          <w:b/>
          <w:color w:val="auto"/>
          <w:sz w:val="24"/>
          <w:szCs w:val="24"/>
          <w:highlight w:val="none"/>
        </w:rPr>
      </w:pPr>
      <w:bookmarkStart w:id="297" w:name="_Toc515205238"/>
      <w:bookmarkStart w:id="298" w:name="_Toc529196565"/>
      <w:r>
        <w:rPr>
          <w:rFonts w:hint="eastAsia" w:ascii="宋体" w:hAnsi="宋体" w:cs="宋体"/>
          <w:b/>
          <w:color w:val="auto"/>
          <w:sz w:val="24"/>
          <w:szCs w:val="24"/>
          <w:highlight w:val="none"/>
        </w:rPr>
        <w:t>7.5 中标通知</w:t>
      </w:r>
      <w:bookmarkEnd w:id="297"/>
      <w:bookmarkEnd w:id="29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在本章第3.3款规定的投标有效期内，招标人以书面形式向中标人发出中标</w:t>
      </w:r>
      <w:bookmarkStart w:id="299" w:name="_Toc384308244"/>
      <w:bookmarkStart w:id="300" w:name="_Toc369531550"/>
      <w:bookmarkStart w:id="301" w:name="_Toc352691506"/>
      <w:bookmarkStart w:id="302" w:name="_Toc300834983"/>
      <w:bookmarkStart w:id="303" w:name="_Toc361508619"/>
      <w:bookmarkStart w:id="304" w:name="_Toc5668"/>
      <w:r>
        <w:rPr>
          <w:rFonts w:hint="eastAsia" w:ascii="宋体" w:hAnsi="宋体"/>
          <w:color w:val="auto"/>
          <w:szCs w:val="21"/>
          <w:highlight w:val="none"/>
        </w:rPr>
        <w:t>通知书，同时将中</w:t>
      </w:r>
      <w:bookmarkEnd w:id="299"/>
      <w:bookmarkEnd w:id="300"/>
      <w:bookmarkEnd w:id="301"/>
      <w:bookmarkEnd w:id="302"/>
      <w:bookmarkEnd w:id="303"/>
      <w:bookmarkEnd w:id="304"/>
      <w:r>
        <w:rPr>
          <w:rFonts w:hint="eastAsia" w:ascii="宋体" w:hAnsi="宋体"/>
          <w:color w:val="auto"/>
          <w:szCs w:val="21"/>
          <w:highlight w:val="none"/>
        </w:rPr>
        <w:t>标结果通知未中标的投标人。</w:t>
      </w:r>
    </w:p>
    <w:p>
      <w:pPr>
        <w:snapToGrid w:val="0"/>
        <w:spacing w:line="360" w:lineRule="auto"/>
        <w:rPr>
          <w:rFonts w:ascii="宋体" w:hAnsi="宋体" w:cs="宋体"/>
          <w:b/>
          <w:color w:val="auto"/>
          <w:sz w:val="24"/>
          <w:szCs w:val="24"/>
          <w:highlight w:val="none"/>
        </w:rPr>
      </w:pPr>
      <w:bookmarkStart w:id="305" w:name="_Toc529196566"/>
      <w:bookmarkStart w:id="306" w:name="_Toc515205239"/>
      <w:r>
        <w:rPr>
          <w:rFonts w:hint="eastAsia" w:ascii="宋体" w:hAnsi="宋体" w:cs="宋体"/>
          <w:b/>
          <w:color w:val="auto"/>
          <w:sz w:val="24"/>
          <w:szCs w:val="24"/>
          <w:highlight w:val="none"/>
        </w:rPr>
        <w:t>7.6 履约保证金</w:t>
      </w:r>
      <w:bookmarkEnd w:id="305"/>
      <w:bookmarkEnd w:id="30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7.6.2 中标人不能按本章第7.6.1项要求提交履约保证金的，视为放弃中标，其投标保证金不予退还，给招标人造成的损失超过投标保证金数额的，中标人还应当对超过部分予以赔偿。</w:t>
      </w:r>
    </w:p>
    <w:p>
      <w:pPr>
        <w:snapToGrid w:val="0"/>
        <w:spacing w:line="360" w:lineRule="auto"/>
        <w:rPr>
          <w:rFonts w:ascii="宋体" w:hAnsi="宋体" w:cs="宋体"/>
          <w:b/>
          <w:color w:val="auto"/>
          <w:sz w:val="24"/>
          <w:szCs w:val="24"/>
          <w:highlight w:val="none"/>
        </w:rPr>
      </w:pPr>
      <w:bookmarkStart w:id="307" w:name="_Toc515205240"/>
      <w:bookmarkStart w:id="308" w:name="_Toc529196567"/>
      <w:r>
        <w:rPr>
          <w:rFonts w:hint="eastAsia" w:ascii="宋体" w:hAnsi="宋体" w:cs="宋体"/>
          <w:b/>
          <w:color w:val="auto"/>
          <w:sz w:val="24"/>
          <w:szCs w:val="24"/>
          <w:highlight w:val="none"/>
        </w:rPr>
        <w:t>7.7 签订合同</w:t>
      </w:r>
      <w:bookmarkEnd w:id="307"/>
      <w:bookmarkEnd w:id="30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7.7.2 发出中标通知书后，招标人无正当理由拒签合同，或者在签订合同时向中标人提出附加条件的，招标人向中标人退还投标保证金；给中标人造成损失的，还应当赔偿损失。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7.7.3联合体中标的，联合体各方应当共同与招标人签订合同，就中标项目向招标人承担连带责任。</w:t>
      </w:r>
    </w:p>
    <w:p>
      <w:pPr>
        <w:spacing w:before="120" w:line="360" w:lineRule="auto"/>
        <w:outlineLvl w:val="2"/>
        <w:rPr>
          <w:rFonts w:ascii="宋体" w:hAnsi="宋体" w:cs="宋体"/>
          <w:b/>
          <w:color w:val="auto"/>
          <w:sz w:val="28"/>
          <w:szCs w:val="28"/>
          <w:highlight w:val="none"/>
        </w:rPr>
      </w:pPr>
      <w:bookmarkStart w:id="309" w:name="_Toc361508627"/>
      <w:bookmarkStart w:id="310" w:name="_Toc384308252"/>
      <w:bookmarkStart w:id="311" w:name="_Toc24067"/>
      <w:bookmarkStart w:id="312" w:name="_Toc515205241"/>
      <w:bookmarkStart w:id="313" w:name="_Toc529196568"/>
      <w:bookmarkStart w:id="314" w:name="_Toc152045568"/>
      <w:bookmarkStart w:id="315" w:name="_Toc152042344"/>
      <w:bookmarkStart w:id="316" w:name="_Toc144974536"/>
      <w:bookmarkStart w:id="317" w:name="_Toc300834991"/>
      <w:bookmarkStart w:id="318" w:name="_Toc247513992"/>
      <w:bookmarkStart w:id="319" w:name="_Toc247527593"/>
      <w:r>
        <w:rPr>
          <w:rFonts w:hint="eastAsia" w:ascii="宋体" w:hAnsi="宋体" w:cs="宋体"/>
          <w:b/>
          <w:color w:val="auto"/>
          <w:sz w:val="28"/>
          <w:szCs w:val="28"/>
          <w:highlight w:val="none"/>
        </w:rPr>
        <w:t>8.</w:t>
      </w:r>
      <w:bookmarkEnd w:id="309"/>
      <w:bookmarkEnd w:id="310"/>
      <w:bookmarkEnd w:id="311"/>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纪律和监督</w:t>
      </w:r>
      <w:bookmarkEnd w:id="312"/>
      <w:bookmarkEnd w:id="313"/>
    </w:p>
    <w:p>
      <w:pPr>
        <w:snapToGrid w:val="0"/>
        <w:spacing w:line="360" w:lineRule="auto"/>
        <w:rPr>
          <w:rFonts w:ascii="宋体" w:hAnsi="宋体" w:cs="宋体"/>
          <w:b/>
          <w:color w:val="auto"/>
          <w:sz w:val="24"/>
          <w:szCs w:val="24"/>
          <w:highlight w:val="none"/>
        </w:rPr>
      </w:pPr>
      <w:bookmarkStart w:id="320" w:name="_Toc515205242"/>
      <w:bookmarkStart w:id="321" w:name="_Toc529196569"/>
      <w:r>
        <w:rPr>
          <w:rFonts w:hint="eastAsia" w:ascii="宋体" w:hAnsi="宋体" w:cs="宋体"/>
          <w:b/>
          <w:color w:val="auto"/>
          <w:sz w:val="24"/>
          <w:szCs w:val="24"/>
          <w:highlight w:val="none"/>
        </w:rPr>
        <w:t>8.1 对招标人的纪律要求</w:t>
      </w:r>
      <w:bookmarkEnd w:id="320"/>
      <w:bookmarkEnd w:id="32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招标人不得泄露招标投标活动中应当保密的情况和资料，不得与投标人串通损害国家利益、社会公共利益或者他人合法权益。</w:t>
      </w:r>
    </w:p>
    <w:p>
      <w:pPr>
        <w:snapToGrid w:val="0"/>
        <w:spacing w:line="360" w:lineRule="auto"/>
        <w:rPr>
          <w:rFonts w:ascii="宋体" w:hAnsi="宋体" w:cs="宋体"/>
          <w:b/>
          <w:color w:val="auto"/>
          <w:sz w:val="24"/>
          <w:szCs w:val="24"/>
          <w:highlight w:val="none"/>
        </w:rPr>
      </w:pPr>
      <w:bookmarkStart w:id="322" w:name="_Toc515205243"/>
      <w:bookmarkStart w:id="323" w:name="_Toc529196570"/>
      <w:r>
        <w:rPr>
          <w:rFonts w:hint="eastAsia" w:ascii="宋体" w:hAnsi="宋体" w:cs="宋体"/>
          <w:b/>
          <w:color w:val="auto"/>
          <w:sz w:val="24"/>
          <w:szCs w:val="24"/>
          <w:highlight w:val="none"/>
        </w:rPr>
        <w:t>8.2 对投标人的纪律要求</w:t>
      </w:r>
      <w:bookmarkEnd w:id="322"/>
      <w:bookmarkEnd w:id="32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napToGrid w:val="0"/>
        <w:spacing w:line="360" w:lineRule="auto"/>
        <w:rPr>
          <w:rFonts w:ascii="宋体" w:hAnsi="宋体" w:cs="宋体"/>
          <w:b/>
          <w:color w:val="auto"/>
          <w:sz w:val="24"/>
          <w:szCs w:val="24"/>
          <w:highlight w:val="none"/>
        </w:rPr>
      </w:pPr>
      <w:bookmarkStart w:id="324" w:name="_Toc515205244"/>
      <w:bookmarkStart w:id="325" w:name="_Toc529196571"/>
      <w:r>
        <w:rPr>
          <w:rFonts w:hint="eastAsia" w:ascii="宋体" w:hAnsi="宋体" w:cs="宋体"/>
          <w:b/>
          <w:color w:val="auto"/>
          <w:sz w:val="24"/>
          <w:szCs w:val="24"/>
          <w:highlight w:val="none"/>
        </w:rPr>
        <w:t>8.3 对评标委员会成员的纪律要求</w:t>
      </w:r>
      <w:bookmarkEnd w:id="324"/>
      <w:bookmarkEnd w:id="32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评标委员会成员不得收受他人的财物或者其他好处，不得向他人透露对投标文件的评审</w:t>
      </w:r>
      <w:bookmarkStart w:id="326" w:name="_Toc369531559"/>
      <w:bookmarkStart w:id="327" w:name="_Toc361508628"/>
      <w:bookmarkStart w:id="328" w:name="_Toc352691515"/>
      <w:bookmarkStart w:id="329" w:name="_Toc13644"/>
      <w:bookmarkStart w:id="330" w:name="_Toc384308253"/>
      <w:r>
        <w:rPr>
          <w:rFonts w:hint="eastAsia" w:ascii="宋体" w:hAnsi="宋体"/>
          <w:color w:val="auto"/>
          <w:szCs w:val="21"/>
          <w:highlight w:val="none"/>
        </w:rPr>
        <w:t>和比较、中标候选人</w:t>
      </w:r>
      <w:bookmarkEnd w:id="314"/>
      <w:bookmarkEnd w:id="315"/>
      <w:bookmarkEnd w:id="316"/>
      <w:bookmarkEnd w:id="317"/>
      <w:bookmarkEnd w:id="318"/>
      <w:bookmarkEnd w:id="319"/>
      <w:bookmarkEnd w:id="326"/>
      <w:bookmarkEnd w:id="327"/>
      <w:bookmarkEnd w:id="328"/>
      <w:bookmarkEnd w:id="329"/>
      <w:bookmarkEnd w:id="330"/>
      <w:r>
        <w:rPr>
          <w:rFonts w:hint="eastAsia" w:ascii="宋体" w:hAnsi="宋体"/>
          <w:color w:val="auto"/>
          <w:szCs w:val="21"/>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napToGrid w:val="0"/>
        <w:spacing w:line="360" w:lineRule="auto"/>
        <w:rPr>
          <w:rFonts w:ascii="宋体" w:hAnsi="宋体" w:cs="宋体"/>
          <w:b/>
          <w:color w:val="auto"/>
          <w:sz w:val="24"/>
          <w:szCs w:val="24"/>
          <w:highlight w:val="none"/>
        </w:rPr>
      </w:pPr>
      <w:bookmarkStart w:id="331" w:name="_Toc529196572"/>
      <w:bookmarkStart w:id="332" w:name="_Toc515205245"/>
      <w:r>
        <w:rPr>
          <w:rFonts w:hint="eastAsia" w:ascii="宋体" w:hAnsi="宋体" w:cs="宋体"/>
          <w:b/>
          <w:color w:val="auto"/>
          <w:sz w:val="24"/>
          <w:szCs w:val="24"/>
          <w:highlight w:val="none"/>
        </w:rPr>
        <w:t>8.4 对与评标活动有关的工作人员的纪律要求</w:t>
      </w:r>
      <w:bookmarkEnd w:id="331"/>
      <w:bookmarkEnd w:id="33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与评标活动有关的工作人员不得收受他人的财物或者其他好处，不得向他人透露对投标文件</w:t>
      </w:r>
      <w:bookmarkStart w:id="333" w:name="_Toc144974537"/>
      <w:bookmarkStart w:id="334" w:name="_Toc152042345"/>
      <w:bookmarkStart w:id="335" w:name="_Toc247527594"/>
      <w:bookmarkStart w:id="336" w:name="_Toc152045569"/>
      <w:bookmarkStart w:id="337" w:name="_Toc352691516"/>
      <w:bookmarkStart w:id="338" w:name="_Toc19429"/>
      <w:bookmarkStart w:id="339" w:name="_Toc247513993"/>
      <w:bookmarkStart w:id="340" w:name="_Toc384308254"/>
      <w:bookmarkStart w:id="341" w:name="_Toc369531560"/>
      <w:bookmarkStart w:id="342" w:name="_Toc361508629"/>
      <w:bookmarkStart w:id="343" w:name="_Toc300834992"/>
      <w:r>
        <w:rPr>
          <w:rFonts w:hint="eastAsia" w:ascii="宋体" w:hAnsi="宋体"/>
          <w:color w:val="auto"/>
          <w:szCs w:val="21"/>
          <w:highlight w:val="none"/>
        </w:rPr>
        <w:t>的评审和比较、中标</w:t>
      </w:r>
      <w:bookmarkEnd w:id="333"/>
      <w:bookmarkEnd w:id="334"/>
      <w:bookmarkEnd w:id="335"/>
      <w:bookmarkEnd w:id="336"/>
      <w:bookmarkEnd w:id="337"/>
      <w:bookmarkEnd w:id="338"/>
      <w:bookmarkEnd w:id="339"/>
      <w:bookmarkEnd w:id="340"/>
      <w:bookmarkEnd w:id="341"/>
      <w:bookmarkEnd w:id="342"/>
      <w:bookmarkEnd w:id="343"/>
      <w:r>
        <w:rPr>
          <w:rFonts w:hint="eastAsia" w:ascii="宋体" w:hAnsi="宋体"/>
          <w:color w:val="auto"/>
          <w:szCs w:val="21"/>
          <w:highlight w:val="none"/>
        </w:rPr>
        <w:t>候选人的推荐情况以及评标有关的其他情况。在评标活动中，与评标活动有关的工作人员不得擅离职守，影响评标程序正常进行。</w:t>
      </w:r>
    </w:p>
    <w:p>
      <w:pPr>
        <w:snapToGrid w:val="0"/>
        <w:spacing w:line="360" w:lineRule="auto"/>
        <w:rPr>
          <w:rFonts w:ascii="宋体" w:hAnsi="宋体" w:cs="宋体"/>
          <w:b/>
          <w:color w:val="auto"/>
          <w:sz w:val="24"/>
          <w:szCs w:val="24"/>
          <w:highlight w:val="none"/>
        </w:rPr>
      </w:pPr>
      <w:bookmarkStart w:id="344" w:name="_Toc515205246"/>
      <w:bookmarkStart w:id="345" w:name="_Toc529196573"/>
      <w:r>
        <w:rPr>
          <w:rFonts w:hint="eastAsia" w:ascii="宋体" w:hAnsi="宋体" w:cs="宋体"/>
          <w:b/>
          <w:color w:val="auto"/>
          <w:sz w:val="24"/>
          <w:szCs w:val="24"/>
          <w:highlight w:val="none"/>
        </w:rPr>
        <w:t>8.5 投诉</w:t>
      </w:r>
      <w:bookmarkEnd w:id="344"/>
      <w:bookmarkEnd w:id="34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8.5.2 投标人或者其他利害关系人对招标文件、开标和评标结果提出投诉的，应当按照投标人须知第2.4款、第5.3款和第7.2款的规定先向招标人提出异议。异议答复期间</w:t>
      </w:r>
      <w:bookmarkStart w:id="346" w:name="_Toc152045570"/>
      <w:bookmarkStart w:id="347" w:name="_Toc352691517"/>
      <w:bookmarkStart w:id="348" w:name="_Toc247513994"/>
      <w:bookmarkStart w:id="349" w:name="_Toc247527595"/>
      <w:bookmarkStart w:id="350" w:name="_Toc384308255"/>
      <w:bookmarkStart w:id="351" w:name="_Toc369531561"/>
      <w:bookmarkStart w:id="352" w:name="_Toc300834993"/>
      <w:bookmarkStart w:id="353" w:name="_Toc361508630"/>
      <w:bookmarkStart w:id="354" w:name="_Toc12776"/>
      <w:bookmarkStart w:id="355" w:name="_Toc144974538"/>
      <w:bookmarkStart w:id="356" w:name="_Toc152042346"/>
      <w:r>
        <w:rPr>
          <w:rFonts w:hint="eastAsia" w:ascii="宋体" w:hAnsi="宋体"/>
          <w:color w:val="auto"/>
          <w:szCs w:val="21"/>
          <w:highlight w:val="none"/>
        </w:rPr>
        <w:t>不计算在第8.5.</w:t>
      </w:r>
      <w:bookmarkEnd w:id="346"/>
      <w:bookmarkEnd w:id="347"/>
      <w:bookmarkEnd w:id="348"/>
      <w:bookmarkEnd w:id="349"/>
      <w:bookmarkEnd w:id="350"/>
      <w:bookmarkEnd w:id="351"/>
      <w:bookmarkEnd w:id="352"/>
      <w:bookmarkEnd w:id="353"/>
      <w:bookmarkEnd w:id="354"/>
      <w:bookmarkEnd w:id="355"/>
      <w:bookmarkEnd w:id="356"/>
      <w:r>
        <w:rPr>
          <w:rFonts w:hint="eastAsia" w:ascii="宋体" w:hAnsi="宋体"/>
          <w:color w:val="auto"/>
          <w:szCs w:val="21"/>
          <w:highlight w:val="none"/>
        </w:rPr>
        <w:t>1项规定的期限内。</w:t>
      </w:r>
    </w:p>
    <w:p>
      <w:pPr>
        <w:spacing w:before="120" w:line="360" w:lineRule="auto"/>
        <w:outlineLvl w:val="2"/>
        <w:rPr>
          <w:rFonts w:ascii="宋体" w:hAnsi="宋体" w:cs="宋体"/>
          <w:b/>
          <w:color w:val="auto"/>
          <w:sz w:val="28"/>
          <w:szCs w:val="28"/>
          <w:highlight w:val="none"/>
        </w:rPr>
      </w:pPr>
      <w:bookmarkStart w:id="357" w:name="_Toc515205247"/>
      <w:bookmarkStart w:id="358" w:name="_Toc529196574"/>
      <w:bookmarkStart w:id="359" w:name="_Toc477134992"/>
      <w:r>
        <w:rPr>
          <w:rFonts w:hint="eastAsia" w:ascii="宋体" w:hAnsi="宋体" w:cs="宋体"/>
          <w:b/>
          <w:color w:val="auto"/>
          <w:sz w:val="28"/>
          <w:szCs w:val="28"/>
          <w:highlight w:val="none"/>
        </w:rPr>
        <w:t>9. 是否采用电子招标投标</w:t>
      </w:r>
      <w:bookmarkEnd w:id="357"/>
      <w:bookmarkEnd w:id="358"/>
      <w:bookmarkEnd w:id="35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本招标项目是否采用电子招标投标方式，见投标人须知前附表。</w:t>
      </w:r>
    </w:p>
    <w:p>
      <w:pPr>
        <w:snapToGrid w:val="0"/>
        <w:spacing w:before="120" w:line="360" w:lineRule="auto"/>
        <w:outlineLvl w:val="2"/>
        <w:rPr>
          <w:rFonts w:ascii="宋体" w:hAnsi="宋体" w:cs="宋体"/>
          <w:b/>
          <w:color w:val="auto"/>
          <w:sz w:val="28"/>
          <w:szCs w:val="28"/>
          <w:highlight w:val="none"/>
        </w:rPr>
      </w:pPr>
      <w:bookmarkStart w:id="360" w:name="_Toc515205248"/>
      <w:bookmarkStart w:id="361" w:name="_Toc529196575"/>
      <w:r>
        <w:rPr>
          <w:rFonts w:hint="eastAsia" w:ascii="宋体" w:hAnsi="宋体" w:cs="宋体"/>
          <w:b/>
          <w:color w:val="auto"/>
          <w:sz w:val="28"/>
          <w:szCs w:val="28"/>
          <w:highlight w:val="none"/>
        </w:rPr>
        <w:t>10. 需要补充的其他内容</w:t>
      </w:r>
      <w:bookmarkEnd w:id="360"/>
      <w:bookmarkEnd w:id="36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见投标人须知前附表。</w:t>
      </w:r>
    </w:p>
    <w:p>
      <w:pPr>
        <w:spacing w:line="360" w:lineRule="auto"/>
        <w:ind w:firstLine="420" w:firstLineChars="200"/>
        <w:rPr>
          <w:rFonts w:ascii="宋体" w:hAnsi="宋体"/>
          <w:color w:val="auto"/>
          <w:szCs w:val="21"/>
          <w:highlight w:val="none"/>
        </w:rPr>
        <w:sectPr>
          <w:pgSz w:w="11906" w:h="16838"/>
          <w:pgMar w:top="1247" w:right="1418" w:bottom="1247" w:left="1418" w:header="0" w:footer="567" w:gutter="0"/>
          <w:cols w:space="720" w:num="1"/>
          <w:docGrid w:linePitch="286" w:charSpace="0"/>
        </w:sectPr>
      </w:pPr>
    </w:p>
    <w:p>
      <w:pPr>
        <w:spacing w:line="2" w:lineRule="exact"/>
        <w:rPr>
          <w:rFonts w:eastAsia="Times New Roman"/>
          <w:color w:val="auto"/>
          <w:highlight w:val="none"/>
        </w:rPr>
      </w:pPr>
    </w:p>
    <w:p>
      <w:pPr>
        <w:spacing w:after="240"/>
        <w:rPr>
          <w:b/>
          <w:color w:val="auto"/>
          <w:sz w:val="28"/>
          <w:highlight w:val="none"/>
        </w:rPr>
      </w:pPr>
      <w:bookmarkStart w:id="362" w:name="_Toc535938714"/>
      <w:bookmarkStart w:id="363" w:name="_Toc530470624"/>
      <w:bookmarkStart w:id="364" w:name="_Toc529196576"/>
      <w:r>
        <w:rPr>
          <w:rFonts w:hint="eastAsia"/>
          <w:b/>
          <w:color w:val="auto"/>
          <w:sz w:val="28"/>
          <w:szCs w:val="20"/>
          <w:highlight w:val="none"/>
        </w:rPr>
        <w:t>附件一：开标记录表</w:t>
      </w:r>
      <w:bookmarkEnd w:id="362"/>
      <w:bookmarkEnd w:id="363"/>
      <w:bookmarkEnd w:id="364"/>
      <w:r>
        <w:rPr>
          <w:rFonts w:hint="eastAsia"/>
          <w:b/>
          <w:color w:val="auto"/>
          <w:sz w:val="28"/>
          <w:highlight w:val="none"/>
        </w:rPr>
        <w:t>（按广州公共资源交易中心系统导出为准）</w:t>
      </w:r>
    </w:p>
    <w:p>
      <w:pPr>
        <w:spacing w:line="440" w:lineRule="exact"/>
        <w:jc w:val="center"/>
        <w:rPr>
          <w:rFonts w:ascii="宋体" w:hAnsi="宋体"/>
          <w:b/>
          <w:color w:val="auto"/>
          <w:sz w:val="36"/>
          <w:szCs w:val="28"/>
          <w:highlight w:val="none"/>
        </w:rPr>
      </w:pPr>
      <w:r>
        <w:rPr>
          <w:rFonts w:hint="eastAsia" w:ascii="宋体" w:hAnsi="宋体"/>
          <w:b/>
          <w:color w:val="auto"/>
          <w:sz w:val="36"/>
          <w:szCs w:val="28"/>
          <w:highlight w:val="none"/>
        </w:rPr>
        <w:t>开标记录表</w:t>
      </w:r>
    </w:p>
    <w:p>
      <w:pPr>
        <w:spacing w:beforeLines="50" w:afterLines="50" w:line="400" w:lineRule="exact"/>
        <w:ind w:right="525"/>
        <w:jc w:val="left"/>
        <w:rPr>
          <w:rFonts w:ascii="宋体" w:hAnsi="宋体"/>
          <w:color w:val="auto"/>
          <w:sz w:val="22"/>
          <w:highlight w:val="none"/>
        </w:rPr>
      </w:pPr>
      <w:r>
        <w:rPr>
          <w:rFonts w:hint="eastAsia" w:ascii="宋体" w:hAnsi="宋体"/>
          <w:color w:val="auto"/>
          <w:sz w:val="22"/>
          <w:highlight w:val="none"/>
        </w:rPr>
        <w:t xml:space="preserve">开标时间： </w:t>
      </w:r>
      <w:r>
        <w:rPr>
          <w:rFonts w:ascii="宋体" w:hAnsi="宋体"/>
          <w:color w:val="auto"/>
          <w:sz w:val="22"/>
          <w:highlight w:val="none"/>
        </w:rPr>
        <w:t xml:space="preserve">   </w:t>
      </w:r>
      <w:r>
        <w:rPr>
          <w:rFonts w:hint="eastAsia" w:ascii="宋体" w:hAnsi="宋体"/>
          <w:color w:val="auto"/>
          <w:sz w:val="22"/>
          <w:highlight w:val="none"/>
        </w:rPr>
        <w:t xml:space="preserve">年 </w:t>
      </w:r>
      <w:r>
        <w:rPr>
          <w:rFonts w:ascii="宋体" w:hAnsi="宋体"/>
          <w:color w:val="auto"/>
          <w:sz w:val="22"/>
          <w:highlight w:val="none"/>
        </w:rPr>
        <w:t xml:space="preserve">  </w:t>
      </w:r>
      <w:r>
        <w:rPr>
          <w:rFonts w:hint="eastAsia" w:ascii="宋体" w:hAnsi="宋体"/>
          <w:color w:val="auto"/>
          <w:sz w:val="22"/>
          <w:highlight w:val="none"/>
        </w:rPr>
        <w:t xml:space="preserve">月 </w:t>
      </w:r>
      <w:r>
        <w:rPr>
          <w:rFonts w:ascii="宋体" w:hAnsi="宋体"/>
          <w:color w:val="auto"/>
          <w:sz w:val="22"/>
          <w:highlight w:val="none"/>
        </w:rPr>
        <w:t xml:space="preserve">  </w:t>
      </w:r>
      <w:r>
        <w:rPr>
          <w:rFonts w:hint="eastAsia" w:ascii="宋体" w:hAnsi="宋体"/>
          <w:color w:val="auto"/>
          <w:sz w:val="22"/>
          <w:highlight w:val="none"/>
        </w:rPr>
        <w:t xml:space="preserve">日 </w:t>
      </w:r>
      <w:r>
        <w:rPr>
          <w:rFonts w:ascii="宋体" w:hAnsi="宋体"/>
          <w:color w:val="auto"/>
          <w:sz w:val="22"/>
          <w:highlight w:val="none"/>
        </w:rPr>
        <w:t xml:space="preserve">  </w:t>
      </w:r>
      <w:r>
        <w:rPr>
          <w:rFonts w:hint="eastAsia" w:ascii="宋体" w:hAnsi="宋体"/>
          <w:color w:val="auto"/>
          <w:sz w:val="22"/>
          <w:highlight w:val="none"/>
        </w:rPr>
        <w:t xml:space="preserve">时 </w:t>
      </w:r>
      <w:r>
        <w:rPr>
          <w:rFonts w:ascii="宋体" w:hAnsi="宋体"/>
          <w:color w:val="auto"/>
          <w:sz w:val="22"/>
          <w:highlight w:val="none"/>
        </w:rPr>
        <w:t xml:space="preserve">  </w:t>
      </w:r>
      <w:r>
        <w:rPr>
          <w:rFonts w:hint="eastAsia" w:ascii="宋体" w:hAnsi="宋体"/>
          <w:color w:val="auto"/>
          <w:sz w:val="22"/>
          <w:highlight w:val="none"/>
        </w:rPr>
        <w:t>分</w:t>
      </w:r>
    </w:p>
    <w:p>
      <w:pPr>
        <w:spacing w:beforeLines="50" w:afterLines="50" w:line="400" w:lineRule="exact"/>
        <w:ind w:right="420"/>
        <w:jc w:val="left"/>
        <w:rPr>
          <w:rFonts w:ascii="宋体" w:hAnsi="宋体"/>
          <w:color w:val="auto"/>
          <w:sz w:val="22"/>
          <w:highlight w:val="none"/>
        </w:rPr>
      </w:pPr>
      <w:r>
        <w:rPr>
          <w:rFonts w:hint="eastAsia" w:ascii="宋体" w:hAnsi="宋体"/>
          <w:color w:val="auto"/>
          <w:sz w:val="22"/>
          <w:highlight w:val="none"/>
        </w:rPr>
        <w:t>项目名称：</w:t>
      </w:r>
    </w:p>
    <w:tbl>
      <w:tblPr>
        <w:tblStyle w:val="18"/>
        <w:tblW w:w="5000" w:type="pct"/>
        <w:tblInd w:w="0" w:type="dxa"/>
        <w:tblLayout w:type="fixed"/>
        <w:tblCellMar>
          <w:top w:w="0" w:type="dxa"/>
          <w:left w:w="108" w:type="dxa"/>
          <w:bottom w:w="0" w:type="dxa"/>
          <w:right w:w="108" w:type="dxa"/>
        </w:tblCellMar>
      </w:tblPr>
      <w:tblGrid>
        <w:gridCol w:w="674"/>
        <w:gridCol w:w="994"/>
        <w:gridCol w:w="1135"/>
        <w:gridCol w:w="1274"/>
        <w:gridCol w:w="1276"/>
        <w:gridCol w:w="1025"/>
        <w:gridCol w:w="1101"/>
        <w:gridCol w:w="709"/>
        <w:gridCol w:w="1098"/>
      </w:tblGrid>
      <w:tr>
        <w:tblPrEx>
          <w:tblCellMar>
            <w:top w:w="0" w:type="dxa"/>
            <w:left w:w="108" w:type="dxa"/>
            <w:bottom w:w="0" w:type="dxa"/>
            <w:right w:w="108" w:type="dxa"/>
          </w:tblCellMar>
        </w:tblPrEx>
        <w:trPr>
          <w:trHeight w:val="850" w:hRule="atLeast"/>
        </w:trPr>
        <w:tc>
          <w:tcPr>
            <w:tcW w:w="363"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序号</w:t>
            </w: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投标人</w:t>
            </w: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密封情况</w:t>
            </w: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276" w:lineRule="auto"/>
              <w:ind w:right="-12" w:rightChars="-6"/>
              <w:jc w:val="center"/>
              <w:rPr>
                <w:rFonts w:ascii="宋体" w:hAnsi="宋体"/>
                <w:color w:val="auto"/>
                <w:szCs w:val="21"/>
                <w:highlight w:val="none"/>
              </w:rPr>
            </w:pPr>
            <w:r>
              <w:rPr>
                <w:rFonts w:hint="eastAsia" w:ascii="宋体" w:hAnsi="宋体"/>
                <w:color w:val="auto"/>
                <w:szCs w:val="21"/>
                <w:highlight w:val="none"/>
              </w:rPr>
              <w:t>投标报价（元）</w:t>
            </w: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总监理工程师</w:t>
            </w: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监理服务期限</w:t>
            </w: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备注</w:t>
            </w: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投标人</w:t>
            </w:r>
          </w:p>
          <w:p>
            <w:pPr>
              <w:spacing w:line="276" w:lineRule="auto"/>
              <w:jc w:val="center"/>
              <w:rPr>
                <w:rFonts w:ascii="宋体" w:hAnsi="宋体"/>
                <w:color w:val="auto"/>
                <w:szCs w:val="21"/>
                <w:highlight w:val="none"/>
              </w:rPr>
            </w:pPr>
            <w:r>
              <w:rPr>
                <w:rFonts w:hint="eastAsia" w:ascii="宋体" w:hAnsi="宋体"/>
                <w:color w:val="auto"/>
                <w:szCs w:val="21"/>
                <w:highlight w:val="none"/>
              </w:rPr>
              <w:t>代表签名</w:t>
            </w:r>
          </w:p>
        </w:tc>
      </w:tr>
      <w:tr>
        <w:tblPrEx>
          <w:tblCellMar>
            <w:top w:w="0" w:type="dxa"/>
            <w:left w:w="108" w:type="dxa"/>
            <w:bottom w:w="0" w:type="dxa"/>
            <w:right w:w="108" w:type="dxa"/>
          </w:tblCellMar>
        </w:tblPrEx>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blPrEx>
          <w:tblCellMar>
            <w:top w:w="0" w:type="dxa"/>
            <w:left w:w="108" w:type="dxa"/>
            <w:bottom w:w="0" w:type="dxa"/>
            <w:right w:w="108" w:type="dxa"/>
          </w:tblCellMar>
        </w:tblPrEx>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blPrEx>
          <w:tblCellMar>
            <w:top w:w="0" w:type="dxa"/>
            <w:left w:w="108" w:type="dxa"/>
            <w:bottom w:w="0" w:type="dxa"/>
            <w:right w:w="108" w:type="dxa"/>
          </w:tblCellMar>
        </w:tblPrEx>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blPrEx>
          <w:tblCellMar>
            <w:top w:w="0" w:type="dxa"/>
            <w:left w:w="108" w:type="dxa"/>
            <w:bottom w:w="0" w:type="dxa"/>
            <w:right w:w="108" w:type="dxa"/>
          </w:tblCellMar>
        </w:tblPrEx>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blPrEx>
          <w:tblCellMar>
            <w:top w:w="0" w:type="dxa"/>
            <w:left w:w="108" w:type="dxa"/>
            <w:bottom w:w="0" w:type="dxa"/>
            <w:right w:w="108" w:type="dxa"/>
          </w:tblCellMar>
        </w:tblPrEx>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blPrEx>
          <w:tblCellMar>
            <w:top w:w="0" w:type="dxa"/>
            <w:left w:w="108" w:type="dxa"/>
            <w:bottom w:w="0" w:type="dxa"/>
            <w:right w:w="108" w:type="dxa"/>
          </w:tblCellMar>
        </w:tblPrEx>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blPrEx>
          <w:tblCellMar>
            <w:top w:w="0" w:type="dxa"/>
            <w:left w:w="108" w:type="dxa"/>
            <w:bottom w:w="0" w:type="dxa"/>
            <w:right w:w="108" w:type="dxa"/>
          </w:tblCellMar>
        </w:tblPrEx>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02" w:hRule="atLeast"/>
        </w:trPr>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blPrEx>
          <w:tblCellMar>
            <w:top w:w="0" w:type="dxa"/>
            <w:left w:w="108" w:type="dxa"/>
            <w:bottom w:w="0" w:type="dxa"/>
            <w:right w:w="108" w:type="dxa"/>
          </w:tblCellMar>
        </w:tblPrEx>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blPrEx>
          <w:tblCellMar>
            <w:top w:w="0" w:type="dxa"/>
            <w:left w:w="108" w:type="dxa"/>
            <w:bottom w:w="0" w:type="dxa"/>
            <w:right w:w="108" w:type="dxa"/>
          </w:tblCellMar>
        </w:tblPrEx>
        <w:tc>
          <w:tcPr>
            <w:tcW w:w="36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35"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6"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382"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c>
          <w:tcPr>
            <w:tcW w:w="591" w:type="pc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r>
        <w:tblPrEx>
          <w:tblCellMar>
            <w:top w:w="0" w:type="dxa"/>
            <w:left w:w="108" w:type="dxa"/>
            <w:bottom w:w="0" w:type="dxa"/>
            <w:right w:w="108" w:type="dxa"/>
          </w:tblCellMar>
        </w:tblPrEx>
        <w:tc>
          <w:tcPr>
            <w:tcW w:w="1509" w:type="pct"/>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最高投标限价：</w:t>
            </w:r>
          </w:p>
        </w:tc>
        <w:tc>
          <w:tcPr>
            <w:tcW w:w="3491" w:type="pct"/>
            <w:gridSpan w:val="6"/>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Cs w:val="21"/>
                <w:highlight w:val="none"/>
              </w:rPr>
            </w:pPr>
          </w:p>
        </w:tc>
      </w:tr>
    </w:tbl>
    <w:p>
      <w:pPr>
        <w:spacing w:line="620" w:lineRule="exact"/>
        <w:rPr>
          <w:rFonts w:ascii="宋体" w:hAnsi="宋体"/>
          <w:color w:val="auto"/>
          <w:sz w:val="22"/>
          <w:szCs w:val="22"/>
          <w:highlight w:val="none"/>
        </w:rPr>
      </w:pPr>
      <w:r>
        <w:rPr>
          <w:rFonts w:hint="eastAsia" w:ascii="宋体" w:hAnsi="宋体"/>
          <w:color w:val="auto"/>
          <w:sz w:val="22"/>
          <w:szCs w:val="22"/>
          <w:highlight w:val="none"/>
        </w:rPr>
        <w:t xml:space="preserve">招标人代表： </w:t>
      </w:r>
      <w:r>
        <w:rPr>
          <w:rFonts w:ascii="宋体" w:hAnsi="宋体"/>
          <w:color w:val="auto"/>
          <w:sz w:val="22"/>
          <w:highlight w:val="none"/>
        </w:rPr>
        <w:t xml:space="preserve">      </w:t>
      </w:r>
      <w:r>
        <w:rPr>
          <w:rFonts w:hint="eastAsia" w:ascii="宋体" w:hAnsi="宋体"/>
          <w:color w:val="auto"/>
          <w:sz w:val="22"/>
          <w:szCs w:val="22"/>
          <w:highlight w:val="none"/>
        </w:rPr>
        <w:t xml:space="preserve"> 记录人： </w:t>
      </w:r>
      <w:r>
        <w:rPr>
          <w:rFonts w:ascii="宋体" w:hAnsi="宋体"/>
          <w:color w:val="auto"/>
          <w:sz w:val="22"/>
          <w:highlight w:val="none"/>
        </w:rPr>
        <w:t xml:space="preserve">        </w:t>
      </w:r>
      <w:r>
        <w:rPr>
          <w:rFonts w:hint="eastAsia" w:ascii="宋体" w:hAnsi="宋体"/>
          <w:color w:val="auto"/>
          <w:sz w:val="22"/>
          <w:szCs w:val="22"/>
          <w:highlight w:val="none"/>
        </w:rPr>
        <w:t xml:space="preserve"> 监标人：</w:t>
      </w:r>
    </w:p>
    <w:p>
      <w:pPr>
        <w:wordWrap w:val="0"/>
        <w:spacing w:line="620" w:lineRule="exact"/>
        <w:jc w:val="right"/>
        <w:rPr>
          <w:rFonts w:ascii="宋体" w:hAnsi="宋体"/>
          <w:color w:val="auto"/>
          <w:sz w:val="28"/>
          <w:szCs w:val="28"/>
          <w:highlight w:val="none"/>
        </w:rPr>
      </w:pPr>
      <w:r>
        <w:rPr>
          <w:rFonts w:hint="eastAsia" w:ascii="宋体" w:hAnsi="宋体"/>
          <w:color w:val="auto"/>
          <w:sz w:val="28"/>
          <w:szCs w:val="28"/>
          <w:highlight w:val="none"/>
        </w:rPr>
        <w:t xml:space="preserve">   年 </w:t>
      </w:r>
      <w:r>
        <w:rPr>
          <w:rFonts w:ascii="宋体" w:hAnsi="宋体"/>
          <w:color w:val="auto"/>
          <w:sz w:val="28"/>
          <w:szCs w:val="28"/>
          <w:highlight w:val="none"/>
        </w:rPr>
        <w:t xml:space="preserve">  </w:t>
      </w:r>
      <w:r>
        <w:rPr>
          <w:rFonts w:hint="eastAsia" w:ascii="宋体" w:hAnsi="宋体"/>
          <w:color w:val="auto"/>
          <w:sz w:val="28"/>
          <w:szCs w:val="28"/>
          <w:highlight w:val="none"/>
        </w:rPr>
        <w:t xml:space="preserve">月 </w:t>
      </w:r>
      <w:r>
        <w:rPr>
          <w:rFonts w:ascii="宋体" w:hAnsi="宋体"/>
          <w:color w:val="auto"/>
          <w:sz w:val="28"/>
          <w:szCs w:val="28"/>
          <w:highlight w:val="none"/>
        </w:rPr>
        <w:t xml:space="preserve">  </w:t>
      </w:r>
      <w:r>
        <w:rPr>
          <w:rFonts w:hint="eastAsia" w:ascii="宋体" w:hAnsi="宋体"/>
          <w:color w:val="auto"/>
          <w:sz w:val="28"/>
          <w:szCs w:val="28"/>
          <w:highlight w:val="none"/>
        </w:rPr>
        <w:t>日</w:t>
      </w:r>
    </w:p>
    <w:p>
      <w:pPr>
        <w:rPr>
          <w:rFonts w:ascii="宋体" w:hAnsi="宋体"/>
          <w:color w:val="auto"/>
          <w:highlight w:val="none"/>
        </w:rPr>
      </w:pPr>
      <w:bookmarkStart w:id="365" w:name="_Toc529196577"/>
      <w:r>
        <w:rPr>
          <w:rFonts w:hint="eastAsia" w:ascii="宋体" w:hAnsi="宋体"/>
          <w:color w:val="auto"/>
          <w:highlight w:val="none"/>
        </w:rPr>
        <w:t>本表仅供参考，具体以开标时的开标记录表为准。</w:t>
      </w:r>
    </w:p>
    <w:p>
      <w:pPr>
        <w:spacing w:after="240"/>
        <w:rPr>
          <w:b/>
          <w:color w:val="auto"/>
          <w:sz w:val="28"/>
          <w:szCs w:val="20"/>
          <w:highlight w:val="none"/>
        </w:rPr>
      </w:pPr>
      <w:r>
        <w:rPr>
          <w:rFonts w:hint="eastAsia" w:ascii="宋体" w:hAnsi="宋体"/>
          <w:b/>
          <w:color w:val="auto"/>
          <w:sz w:val="28"/>
          <w:szCs w:val="20"/>
          <w:highlight w:val="none"/>
        </w:rPr>
        <w:br w:type="page"/>
      </w:r>
      <w:bookmarkStart w:id="366" w:name="_Toc530470625"/>
      <w:bookmarkStart w:id="367" w:name="_Toc535938715"/>
      <w:r>
        <w:rPr>
          <w:rFonts w:hint="eastAsia"/>
          <w:b/>
          <w:color w:val="auto"/>
          <w:sz w:val="28"/>
          <w:szCs w:val="20"/>
          <w:highlight w:val="none"/>
        </w:rPr>
        <w:t>附件二：问题澄清通知（按广州公共资源交易中心问题澄清通知格式）</w:t>
      </w:r>
      <w:bookmarkEnd w:id="365"/>
      <w:bookmarkEnd w:id="366"/>
      <w:bookmarkEnd w:id="367"/>
      <w:bookmarkStart w:id="368" w:name="_Toc152042355"/>
      <w:bookmarkStart w:id="369" w:name="_Toc144974546"/>
    </w:p>
    <w:p>
      <w:pPr>
        <w:spacing w:after="240"/>
        <w:rPr>
          <w:b/>
          <w:color w:val="auto"/>
          <w:sz w:val="28"/>
          <w:szCs w:val="20"/>
          <w:highlight w:val="none"/>
        </w:rPr>
      </w:pPr>
      <w:bookmarkStart w:id="370" w:name="_Toc530470626"/>
      <w:bookmarkStart w:id="371" w:name="_Toc535938716"/>
      <w:bookmarkStart w:id="372" w:name="_Toc529196578"/>
      <w:r>
        <w:rPr>
          <w:rFonts w:hint="eastAsia"/>
          <w:b/>
          <w:color w:val="auto"/>
          <w:sz w:val="28"/>
          <w:szCs w:val="20"/>
          <w:highlight w:val="none"/>
        </w:rPr>
        <w:t>附件三：问题的澄清</w:t>
      </w:r>
      <w:bookmarkEnd w:id="368"/>
      <w:bookmarkStart w:id="373" w:name="_Toc352691524"/>
      <w:bookmarkStart w:id="374" w:name="_Toc384308263"/>
      <w:bookmarkStart w:id="375" w:name="_Toc247527604"/>
      <w:bookmarkStart w:id="376" w:name="_Toc3622"/>
      <w:bookmarkStart w:id="377" w:name="_Toc152042356"/>
      <w:bookmarkStart w:id="378" w:name="_Toc369531568"/>
      <w:bookmarkStart w:id="379" w:name="_Toc361508637"/>
      <w:bookmarkStart w:id="380" w:name="_Toc247514003"/>
      <w:bookmarkStart w:id="381" w:name="_Toc152045579"/>
      <w:bookmarkStart w:id="382" w:name="_Toc300834999"/>
      <w:r>
        <w:rPr>
          <w:rFonts w:hint="eastAsia"/>
          <w:b/>
          <w:color w:val="auto"/>
          <w:sz w:val="28"/>
          <w:szCs w:val="20"/>
          <w:highlight w:val="none"/>
        </w:rPr>
        <w:t>（按广州公共资源交易中心问题澄清格式）</w:t>
      </w:r>
      <w:bookmarkEnd w:id="370"/>
      <w:bookmarkEnd w:id="371"/>
      <w:bookmarkEnd w:id="372"/>
    </w:p>
    <w:bookmarkEnd w:id="369"/>
    <w:bookmarkEnd w:id="373"/>
    <w:bookmarkEnd w:id="374"/>
    <w:bookmarkEnd w:id="375"/>
    <w:bookmarkEnd w:id="376"/>
    <w:bookmarkEnd w:id="377"/>
    <w:bookmarkEnd w:id="378"/>
    <w:bookmarkEnd w:id="379"/>
    <w:bookmarkEnd w:id="380"/>
    <w:bookmarkEnd w:id="381"/>
    <w:bookmarkEnd w:id="382"/>
    <w:p>
      <w:pPr>
        <w:spacing w:after="240"/>
        <w:rPr>
          <w:b/>
          <w:color w:val="auto"/>
          <w:sz w:val="28"/>
          <w:szCs w:val="20"/>
          <w:highlight w:val="none"/>
        </w:rPr>
      </w:pPr>
      <w:bookmarkStart w:id="383" w:name="_Toc492300623"/>
      <w:bookmarkStart w:id="384" w:name="_Toc529196579"/>
      <w:bookmarkStart w:id="385" w:name="_Toc535938718"/>
      <w:bookmarkStart w:id="386" w:name="_Toc530470627"/>
      <w:r>
        <w:rPr>
          <w:rFonts w:hint="eastAsia"/>
          <w:b/>
          <w:color w:val="auto"/>
          <w:sz w:val="28"/>
          <w:szCs w:val="20"/>
          <w:highlight w:val="none"/>
        </w:rPr>
        <w:t>附件四：中标通知书</w:t>
      </w:r>
      <w:bookmarkEnd w:id="383"/>
      <w:r>
        <w:rPr>
          <w:rFonts w:hint="eastAsia"/>
          <w:b/>
          <w:color w:val="auto"/>
          <w:sz w:val="28"/>
          <w:szCs w:val="20"/>
          <w:highlight w:val="none"/>
        </w:rPr>
        <w:t>（按广州公共资源交易中心中标通知书格式）</w:t>
      </w:r>
      <w:bookmarkEnd w:id="384"/>
      <w:bookmarkEnd w:id="385"/>
      <w:bookmarkEnd w:id="386"/>
    </w:p>
    <w:p>
      <w:pPr>
        <w:spacing w:after="240"/>
        <w:rPr>
          <w:b/>
          <w:color w:val="auto"/>
          <w:sz w:val="28"/>
          <w:szCs w:val="20"/>
          <w:highlight w:val="none"/>
        </w:rPr>
      </w:pPr>
      <w:bookmarkStart w:id="387" w:name="_Toc492300625"/>
      <w:bookmarkStart w:id="388" w:name="_Toc492300624"/>
      <w:bookmarkStart w:id="389" w:name="_Toc530470628"/>
      <w:bookmarkStart w:id="390" w:name="_Toc529196580"/>
      <w:bookmarkStart w:id="391" w:name="_Toc535938719"/>
      <w:r>
        <w:rPr>
          <w:rFonts w:hint="eastAsia"/>
          <w:b/>
          <w:color w:val="auto"/>
          <w:sz w:val="28"/>
          <w:szCs w:val="20"/>
          <w:highlight w:val="none"/>
        </w:rPr>
        <w:t>附件五：</w:t>
      </w:r>
      <w:bookmarkEnd w:id="387"/>
      <w:r>
        <w:rPr>
          <w:rFonts w:hint="eastAsia"/>
          <w:b/>
          <w:color w:val="auto"/>
          <w:sz w:val="28"/>
          <w:szCs w:val="20"/>
          <w:highlight w:val="none"/>
        </w:rPr>
        <w:t>中标结果通知书</w:t>
      </w:r>
      <w:bookmarkEnd w:id="388"/>
      <w:r>
        <w:rPr>
          <w:rFonts w:hint="eastAsia"/>
          <w:b/>
          <w:color w:val="auto"/>
          <w:sz w:val="28"/>
          <w:szCs w:val="20"/>
          <w:highlight w:val="none"/>
        </w:rPr>
        <w:t>（按广州公共资源交易中心中标结果通知书格式）</w:t>
      </w:r>
      <w:bookmarkEnd w:id="389"/>
      <w:bookmarkEnd w:id="390"/>
      <w:bookmarkEnd w:id="391"/>
    </w:p>
    <w:p>
      <w:pPr>
        <w:spacing w:after="240"/>
        <w:rPr>
          <w:b/>
          <w:color w:val="auto"/>
          <w:sz w:val="28"/>
          <w:szCs w:val="20"/>
          <w:highlight w:val="none"/>
        </w:rPr>
      </w:pPr>
      <w:r>
        <w:rPr>
          <w:rFonts w:hint="eastAsia"/>
          <w:b/>
          <w:color w:val="auto"/>
          <w:sz w:val="28"/>
          <w:szCs w:val="20"/>
          <w:highlight w:val="none"/>
        </w:rPr>
        <w:t>附件六：确认通知（按广州公共资源交易中心确认通知格式）</w:t>
      </w:r>
    </w:p>
    <w:p>
      <w:pPr>
        <w:pStyle w:val="3"/>
        <w:keepNext w:val="0"/>
        <w:keepLines w:val="0"/>
        <w:spacing w:before="120" w:line="240" w:lineRule="auto"/>
        <w:jc w:val="center"/>
        <w:rPr>
          <w:rFonts w:ascii="宋体" w:hAnsi="宋体"/>
          <w:color w:val="auto"/>
          <w:sz w:val="36"/>
          <w:szCs w:val="16"/>
          <w:highlight w:val="none"/>
        </w:rPr>
      </w:pPr>
      <w:r>
        <w:rPr>
          <w:rFonts w:hint="eastAsia" w:ascii="宋体" w:hAnsi="宋体"/>
          <w:b w:val="0"/>
          <w:color w:val="auto"/>
          <w:highlight w:val="none"/>
        </w:rPr>
        <w:br w:type="page"/>
      </w:r>
      <w:bookmarkStart w:id="392" w:name="_Toc20402"/>
      <w:r>
        <w:rPr>
          <w:rFonts w:hint="eastAsia" w:ascii="宋体" w:hAnsi="宋体"/>
          <w:color w:val="auto"/>
          <w:sz w:val="36"/>
          <w:szCs w:val="16"/>
          <w:highlight w:val="none"/>
        </w:rPr>
        <w:t>第三章 评标办法（综合评估法）</w:t>
      </w:r>
      <w:bookmarkEnd w:id="392"/>
    </w:p>
    <w:p>
      <w:pPr>
        <w:pStyle w:val="3"/>
        <w:keepNext w:val="0"/>
        <w:keepLines w:val="0"/>
        <w:spacing w:before="120" w:line="240" w:lineRule="auto"/>
        <w:jc w:val="center"/>
        <w:rPr>
          <w:rFonts w:ascii="宋体" w:hAnsi="宋体"/>
          <w:color w:val="auto"/>
          <w:sz w:val="32"/>
          <w:szCs w:val="15"/>
          <w:highlight w:val="none"/>
        </w:rPr>
      </w:pPr>
      <w:bookmarkStart w:id="393" w:name="_Toc26613"/>
      <w:bookmarkStart w:id="394" w:name="_Toc535938721"/>
      <w:bookmarkStart w:id="395" w:name="_Toc529196582"/>
      <w:r>
        <w:rPr>
          <w:rFonts w:hint="eastAsia" w:ascii="宋体" w:hAnsi="宋体"/>
          <w:color w:val="auto"/>
          <w:sz w:val="32"/>
          <w:szCs w:val="15"/>
          <w:highlight w:val="none"/>
        </w:rPr>
        <w:t>评标办法前附表</w:t>
      </w:r>
      <w:bookmarkEnd w:id="393"/>
      <w:bookmarkEnd w:id="394"/>
      <w:bookmarkEnd w:id="395"/>
    </w:p>
    <w:tbl>
      <w:tblPr>
        <w:tblStyle w:val="18"/>
        <w:tblW w:w="9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60"/>
        <w:gridCol w:w="992"/>
        <w:gridCol w:w="1701"/>
        <w:gridCol w:w="5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1969" w:type="dxa"/>
            <w:gridSpan w:val="3"/>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条款号</w:t>
            </w: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评审因素</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1</w:t>
            </w:r>
          </w:p>
        </w:tc>
        <w:tc>
          <w:tcPr>
            <w:tcW w:w="992"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评标方法</w:t>
            </w: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中标候选人</w:t>
            </w:r>
          </w:p>
          <w:p>
            <w:pPr>
              <w:topLinePunct/>
              <w:snapToGrid w:val="0"/>
              <w:spacing w:line="300" w:lineRule="auto"/>
              <w:jc w:val="center"/>
              <w:rPr>
                <w:color w:val="auto"/>
                <w:highlight w:val="none"/>
              </w:rPr>
            </w:pPr>
            <w:r>
              <w:rPr>
                <w:rFonts w:hint="eastAsia"/>
                <w:color w:val="auto"/>
                <w:highlight w:val="none"/>
              </w:rPr>
              <w:t>排序方法</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本次评标采用综合评估法。评标委员会对满足招标文件实质性要求的投标文件，按照本章规定的评分标准进行打分，并按得分由高到低顺序推荐前三名作为中标候选人，综合评分相等的，以投标报价低的优先；投标报价也相等的，以监理大纲得分高的优先；如果监理大纲得分也相等，则由评委采用记名投票方式，确定相等得分的中标候选人的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jc w:val="center"/>
        </w:trPr>
        <w:tc>
          <w:tcPr>
            <w:tcW w:w="977" w:type="dxa"/>
            <w:gridSpan w:val="2"/>
            <w:vMerge w:val="restart"/>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2.1.1</w:t>
            </w:r>
          </w:p>
        </w:tc>
        <w:tc>
          <w:tcPr>
            <w:tcW w:w="992" w:type="dxa"/>
            <w:vMerge w:val="restart"/>
            <w:tcBorders>
              <w:top w:val="single" w:color="auto" w:sz="4" w:space="0"/>
              <w:left w:val="nil"/>
              <w:bottom w:val="nil"/>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形式评审标准</w:t>
            </w: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投标人名称</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nil"/>
              <w:bottom w:val="nil"/>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投标函及投标函附录签字盖章</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有法定代表人或被授权人签字（或盖章）并加盖单位章。由法定代表人签字（或盖章）的，应附法定代表人身份证明，由被授权人签字或盖章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nil"/>
              <w:bottom w:val="nil"/>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投标文件格式</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投标函符合第六章“投标文件格式”的规定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nil"/>
              <w:bottom w:val="nil"/>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备选投标方案</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不接受备选投标方案。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restart"/>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2.1.2</w:t>
            </w:r>
          </w:p>
        </w:tc>
        <w:tc>
          <w:tcPr>
            <w:tcW w:w="992" w:type="dxa"/>
            <w:vMerge w:val="restart"/>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资格评审标准</w:t>
            </w: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营业执照和组织机构代码证</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符合第二章“投标人须知”第3.5.1项规定，具备有效的营业执照和组织机构代码证。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资质要求</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业绩要求</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总监理工程师</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其他要求</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联合体投标人</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不存在禁止投标的情形</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不存在第二章“投标人须知”第1.4.3项规定的任何一种情形（以投标人声明为评审依据）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restart"/>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2.1.3</w:t>
            </w:r>
          </w:p>
        </w:tc>
        <w:tc>
          <w:tcPr>
            <w:tcW w:w="992" w:type="dxa"/>
            <w:vMerge w:val="restart"/>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响应性评审标准</w:t>
            </w: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投标文件</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投标文件所列投标人名称、项目（总监）负责人与投标登记时一致；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投标报价</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3.2</w:t>
            </w:r>
            <w:r>
              <w:rPr>
                <w:rFonts w:hint="eastAsia"/>
                <w:color w:val="auto"/>
                <w:highlight w:val="none"/>
              </w:rPr>
              <w:t>款规定，对同一招标项目没有出现：两个或以上的投标报价且修正无依据。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投标内容</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1.3.1</w:t>
            </w:r>
            <w:r>
              <w:rPr>
                <w:rFonts w:hint="eastAsia"/>
                <w:color w:val="auto"/>
                <w:highlight w:val="none"/>
              </w:rPr>
              <w:t>项规定，投标文件按规定的格式填写，内容齐全或关键字迹清晰、容易辩认；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监理服务期限</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1.3.2</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质量标准</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1.3.3</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投标有效期</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3.3.1</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nil"/>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投标保证金</w:t>
            </w:r>
          </w:p>
        </w:tc>
        <w:tc>
          <w:tcPr>
            <w:tcW w:w="5528" w:type="dxa"/>
            <w:tcBorders>
              <w:top w:val="single" w:color="auto" w:sz="4" w:space="0"/>
              <w:left w:val="single" w:color="auto" w:sz="4" w:space="0"/>
              <w:bottom w:val="nil"/>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3.4.1</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7" w:type="dxa"/>
            <w:gridSpan w:val="2"/>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nil"/>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串通投标情形</w:t>
            </w:r>
          </w:p>
        </w:tc>
        <w:tc>
          <w:tcPr>
            <w:tcW w:w="5528" w:type="dxa"/>
            <w:tcBorders>
              <w:top w:val="single" w:color="auto" w:sz="4" w:space="0"/>
              <w:left w:val="single" w:color="auto" w:sz="4" w:space="0"/>
              <w:bottom w:val="nil"/>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969" w:type="dxa"/>
            <w:gridSpan w:val="3"/>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条款号</w:t>
            </w: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条款内容</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969" w:type="dxa"/>
            <w:gridSpan w:val="3"/>
            <w:tcBorders>
              <w:top w:val="nil"/>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2.2.1</w:t>
            </w:r>
          </w:p>
        </w:tc>
        <w:tc>
          <w:tcPr>
            <w:tcW w:w="1701"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分值构成</w:t>
            </w:r>
          </w:p>
          <w:p>
            <w:pPr>
              <w:topLinePunct/>
              <w:snapToGrid w:val="0"/>
              <w:spacing w:line="300" w:lineRule="auto"/>
              <w:jc w:val="center"/>
              <w:rPr>
                <w:color w:val="auto"/>
                <w:highlight w:val="none"/>
              </w:rPr>
            </w:pPr>
            <w:r>
              <w:rPr>
                <w:color w:val="auto"/>
                <w:highlight w:val="none"/>
              </w:rPr>
              <w:t>(</w:t>
            </w:r>
            <w:r>
              <w:rPr>
                <w:rFonts w:hint="eastAsia"/>
                <w:color w:val="auto"/>
                <w:highlight w:val="none"/>
              </w:rPr>
              <w:t>总分</w:t>
            </w:r>
            <w:r>
              <w:rPr>
                <w:color w:val="auto"/>
                <w:highlight w:val="none"/>
              </w:rPr>
              <w:t>100</w:t>
            </w:r>
            <w:r>
              <w:rPr>
                <w:rFonts w:hint="eastAsia"/>
                <w:color w:val="auto"/>
                <w:highlight w:val="none"/>
              </w:rPr>
              <w:t>分</w:t>
            </w:r>
            <w:r>
              <w:rPr>
                <w:color w:val="auto"/>
                <w:highlight w:val="none"/>
              </w:rPr>
              <w:t>)</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资信业绩部分：40分</w:t>
            </w:r>
          </w:p>
          <w:p>
            <w:pPr>
              <w:topLinePunct/>
              <w:snapToGrid w:val="0"/>
              <w:spacing w:line="300" w:lineRule="auto"/>
              <w:rPr>
                <w:color w:val="auto"/>
                <w:highlight w:val="none"/>
              </w:rPr>
            </w:pPr>
            <w:r>
              <w:rPr>
                <w:rFonts w:hint="eastAsia"/>
                <w:color w:val="auto"/>
                <w:highlight w:val="none"/>
              </w:rPr>
              <w:t>监理大纲部分：10分</w:t>
            </w:r>
          </w:p>
          <w:p>
            <w:pPr>
              <w:topLinePunct/>
              <w:snapToGrid w:val="0"/>
              <w:spacing w:line="300" w:lineRule="auto"/>
              <w:rPr>
                <w:color w:val="auto"/>
                <w:highlight w:val="none"/>
              </w:rPr>
            </w:pPr>
            <w:r>
              <w:rPr>
                <w:rFonts w:hint="eastAsia"/>
                <w:color w:val="auto"/>
                <w:highlight w:val="none"/>
              </w:rPr>
              <w:t>投标报价：50分</w:t>
            </w:r>
          </w:p>
          <w:p>
            <w:pPr>
              <w:topLinePunct/>
              <w:snapToGrid w:val="0"/>
              <w:spacing w:line="300" w:lineRule="auto"/>
              <w:rPr>
                <w:color w:val="auto"/>
                <w:highlight w:val="none"/>
              </w:rPr>
            </w:pPr>
            <w:r>
              <w:rPr>
                <w:rFonts w:hint="eastAsia"/>
                <w:color w:val="auto"/>
                <w:highlight w:val="none"/>
              </w:rPr>
              <w:t>其他评分因素：无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0" w:hRule="atLeast"/>
          <w:jc w:val="center"/>
        </w:trPr>
        <w:tc>
          <w:tcPr>
            <w:tcW w:w="1969" w:type="dxa"/>
            <w:gridSpan w:val="3"/>
            <w:tcBorders>
              <w:top w:val="single" w:color="auto" w:sz="4" w:space="0"/>
              <w:left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2.2.2</w:t>
            </w:r>
          </w:p>
        </w:tc>
        <w:tc>
          <w:tcPr>
            <w:tcW w:w="1701" w:type="dxa"/>
            <w:tcBorders>
              <w:top w:val="single" w:color="auto" w:sz="4" w:space="0"/>
              <w:left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基准下浮率</w:t>
            </w:r>
          </w:p>
          <w:p>
            <w:pPr>
              <w:topLinePunct/>
              <w:snapToGrid w:val="0"/>
              <w:spacing w:line="300" w:lineRule="auto"/>
              <w:jc w:val="center"/>
              <w:rPr>
                <w:color w:val="auto"/>
                <w:highlight w:val="none"/>
              </w:rPr>
            </w:pPr>
            <w:r>
              <w:rPr>
                <w:rFonts w:hint="eastAsia"/>
                <w:color w:val="auto"/>
                <w:highlight w:val="none"/>
              </w:rPr>
              <w:t>计算方法</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报价下浮率X须浮动在[0% ,10%]范围内为有效报价,否则作无效投标处理。经评审的有效下浮率平均值为基准下浮率。</w:t>
            </w:r>
          </w:p>
          <w:p>
            <w:pPr>
              <w:topLinePunct/>
              <w:snapToGrid w:val="0"/>
              <w:spacing w:line="300" w:lineRule="auto"/>
              <w:rPr>
                <w:color w:val="auto"/>
                <w:highlight w:val="none"/>
              </w:rPr>
            </w:pPr>
            <w:r>
              <w:rPr>
                <w:rFonts w:hint="eastAsia"/>
                <w:color w:val="auto"/>
                <w:highlight w:val="none"/>
              </w:rPr>
              <w:t>当通过形式、资格、响应性评审的有效投标人大于5名时，去掉一个最高报价下浮率和一个最低报价下浮率，取余下有效报价下浮率（报价下浮率是指算术复核后的报价下浮率）的算术平均值计算基准下浮率；</w:t>
            </w:r>
          </w:p>
          <w:p>
            <w:pPr>
              <w:topLinePunct/>
              <w:snapToGrid w:val="0"/>
              <w:spacing w:line="300" w:lineRule="auto"/>
              <w:rPr>
                <w:color w:val="auto"/>
                <w:highlight w:val="none"/>
              </w:rPr>
            </w:pPr>
            <w:r>
              <w:rPr>
                <w:rFonts w:hint="eastAsia"/>
                <w:color w:val="auto"/>
                <w:highlight w:val="none"/>
              </w:rPr>
              <w:t>当通过形式、资格、响应性评审的有效投标人小于或等于5名时，取所有入围的有效报价下浮率的算术平均值计算基准下浮率。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restart"/>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2.2.4（1）</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资信业绩</w:t>
            </w:r>
          </w:p>
          <w:p>
            <w:pPr>
              <w:topLinePunct/>
              <w:snapToGrid w:val="0"/>
              <w:spacing w:line="300" w:lineRule="auto"/>
              <w:jc w:val="center"/>
              <w:rPr>
                <w:color w:val="auto"/>
                <w:highlight w:val="none"/>
              </w:rPr>
            </w:pPr>
            <w:r>
              <w:rPr>
                <w:color w:val="auto"/>
                <w:highlight w:val="none"/>
              </w:rPr>
              <w:t>部</w:t>
            </w:r>
            <w:r>
              <w:rPr>
                <w:rFonts w:hint="eastAsia"/>
                <w:color w:val="auto"/>
                <w:highlight w:val="none"/>
              </w:rPr>
              <w:t>分</w:t>
            </w:r>
          </w:p>
          <w:p>
            <w:pPr>
              <w:topLinePunct/>
              <w:snapToGrid w:val="0"/>
              <w:spacing w:line="300" w:lineRule="auto"/>
              <w:jc w:val="center"/>
              <w:rPr>
                <w:color w:val="auto"/>
                <w:highlight w:val="none"/>
              </w:rPr>
            </w:pPr>
            <w:r>
              <w:rPr>
                <w:rFonts w:hint="eastAsia"/>
                <w:color w:val="auto"/>
                <w:highlight w:val="none"/>
              </w:rPr>
              <w:t>（40分）</w:t>
            </w:r>
          </w:p>
        </w:tc>
        <w:tc>
          <w:tcPr>
            <w:tcW w:w="1701"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类似项目业绩</w:t>
            </w:r>
          </w:p>
          <w:p>
            <w:pPr>
              <w:topLinePunct/>
              <w:snapToGrid w:val="0"/>
              <w:spacing w:line="300" w:lineRule="auto"/>
              <w:jc w:val="center"/>
              <w:rPr>
                <w:color w:val="auto"/>
                <w:highlight w:val="none"/>
              </w:rPr>
            </w:pPr>
            <w:r>
              <w:rPr>
                <w:color w:val="auto"/>
                <w:highlight w:val="none"/>
              </w:rPr>
              <w:t>（</w:t>
            </w:r>
            <w:r>
              <w:rPr>
                <w:rFonts w:hint="eastAsia"/>
                <w:color w:val="auto"/>
                <w:highlight w:val="none"/>
              </w:rPr>
              <w:t>9分）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自</w:t>
            </w:r>
            <w:r>
              <w:rPr>
                <w:color w:val="auto"/>
                <w:highlight w:val="none"/>
              </w:rPr>
              <w:t>20</w:t>
            </w:r>
            <w:r>
              <w:rPr>
                <w:rFonts w:hint="eastAsia"/>
                <w:color w:val="auto"/>
                <w:highlight w:val="none"/>
              </w:rPr>
              <w:t>15年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日至投标截止时间止，投标人独立承建过市政公用工程监理项目，每项得3分，最多得9分。</w:t>
            </w:r>
          </w:p>
          <w:p>
            <w:pPr>
              <w:topLinePunct/>
              <w:snapToGrid w:val="0"/>
              <w:spacing w:line="300" w:lineRule="auto"/>
              <w:rPr>
                <w:color w:val="auto"/>
                <w:highlight w:val="none"/>
              </w:rPr>
            </w:pPr>
            <w:r>
              <w:rPr>
                <w:rFonts w:hint="eastAsia"/>
                <w:color w:val="auto"/>
                <w:highlight w:val="none"/>
              </w:rPr>
              <w:t>注：需提供中标通知书或监理合同关键页复印件，原件备查。否则不得分，时间以中标通知书或合同签订时间为准。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获奖情况</w:t>
            </w:r>
          </w:p>
          <w:p>
            <w:pPr>
              <w:topLinePunct/>
              <w:snapToGrid w:val="0"/>
              <w:spacing w:line="300" w:lineRule="auto"/>
              <w:jc w:val="center"/>
              <w:rPr>
                <w:color w:val="auto"/>
                <w:highlight w:val="none"/>
              </w:rPr>
            </w:pPr>
            <w:r>
              <w:rPr>
                <w:color w:val="auto"/>
                <w:highlight w:val="none"/>
              </w:rPr>
              <w:t>（</w:t>
            </w:r>
            <w:r>
              <w:rPr>
                <w:rFonts w:hint="eastAsia"/>
                <w:color w:val="auto"/>
                <w:highlight w:val="none"/>
              </w:rPr>
              <w:t>11分）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自</w:t>
            </w:r>
            <w:r>
              <w:rPr>
                <w:color w:val="auto"/>
                <w:highlight w:val="none"/>
              </w:rPr>
              <w:t>201</w:t>
            </w:r>
            <w:r>
              <w:rPr>
                <w:rFonts w:hint="eastAsia"/>
                <w:color w:val="auto"/>
                <w:highlight w:val="none"/>
              </w:rPr>
              <w:t>5年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日至投标截止时间止，投标人独立完成过的工程监理项目获得：国家奖的每项得2.5分，省级奖的每项得2分，市级奖每项得1分。</w:t>
            </w:r>
          </w:p>
          <w:p>
            <w:pPr>
              <w:topLinePunct/>
              <w:snapToGrid w:val="0"/>
              <w:spacing w:line="300" w:lineRule="auto"/>
              <w:rPr>
                <w:rFonts w:hint="eastAsia"/>
                <w:color w:val="auto"/>
                <w:highlight w:val="none"/>
              </w:rPr>
            </w:pPr>
            <w:r>
              <w:rPr>
                <w:rFonts w:hint="eastAsia"/>
                <w:color w:val="auto"/>
                <w:highlight w:val="none"/>
              </w:rPr>
              <w:t>注：同一项目获得多个奖项的，仅按最高奖项计分一次，奖项的时间以获奖证书或获奖文件记载的颁发时间为准。提供相关复印件，原件备查，否则不得分。本小项满分为8分。</w:t>
            </w:r>
          </w:p>
          <w:p>
            <w:pPr>
              <w:pStyle w:val="2"/>
              <w:ind w:left="0" w:leftChars="0" w:firstLine="0" w:firstLineChars="0"/>
              <w:rPr>
                <w:color w:val="auto"/>
                <w:highlight w:val="none"/>
              </w:rPr>
            </w:pPr>
            <w:r>
              <w:rPr>
                <w:rFonts w:hint="eastAsia"/>
                <w:color w:val="auto"/>
                <w:highlight w:val="none"/>
              </w:rPr>
              <w:t>注：① 以投标人提供的获奖证书为准，获奖时间以获奖证书颁发日期为准；②同一工程获得多个奖项的，按最高奖项计取，不重复计算。③国家级质量奖项是指：鲁班奖（住建部或中国建筑业协会颁发）、或国家优质工程金质奖（中国施工企业管理协会颁发）、或国家优质工程奖（原国家优质工程银质奖，中国施工企业管理协会颁发）、或土木工程詹天佑奖（中国土木工程学会、詹天佑土木工程科技发展基金会颁发）；④省级质量奖项是指由省级行政主管部门或相关行业协会（行业协会须在民政部门备案，提供备案网页截图）颁发的工程质量奖项；市级（含副省级）质量奖项是指由市级（含副省级）行政主管部门或相关行业协会（行业协会须在民政部门备案，提供备案网页截图）颁发的工程质量奖项。</w:t>
            </w:r>
          </w:p>
          <w:p>
            <w:pPr>
              <w:topLinePunct/>
              <w:snapToGrid w:val="0"/>
              <w:spacing w:line="300" w:lineRule="auto"/>
              <w:rPr>
                <w:color w:val="auto"/>
                <w:highlight w:val="none"/>
              </w:rPr>
            </w:pPr>
            <w:r>
              <w:rPr>
                <w:rFonts w:hint="eastAsia"/>
                <w:color w:val="auto"/>
                <w:highlight w:val="none"/>
              </w:rPr>
              <w:t>2.自</w:t>
            </w:r>
            <w:r>
              <w:rPr>
                <w:color w:val="auto"/>
                <w:highlight w:val="none"/>
              </w:rPr>
              <w:t>20</w:t>
            </w:r>
            <w:r>
              <w:rPr>
                <w:rFonts w:hint="eastAsia"/>
                <w:color w:val="auto"/>
                <w:highlight w:val="none"/>
              </w:rPr>
              <w:t>15年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日至投标截止时间止，投标人被评为省级高新技术企业得3分。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项目人员架构</w:t>
            </w:r>
          </w:p>
          <w:p>
            <w:pPr>
              <w:topLinePunct/>
              <w:snapToGrid w:val="0"/>
              <w:spacing w:line="300" w:lineRule="auto"/>
              <w:jc w:val="center"/>
              <w:rPr>
                <w:color w:val="auto"/>
                <w:highlight w:val="none"/>
              </w:rPr>
            </w:pPr>
            <w:r>
              <w:rPr>
                <w:color w:val="auto"/>
                <w:highlight w:val="none"/>
              </w:rPr>
              <w:t>（</w:t>
            </w:r>
            <w:r>
              <w:rPr>
                <w:rFonts w:hint="eastAsia"/>
                <w:color w:val="auto"/>
                <w:highlight w:val="none"/>
              </w:rPr>
              <w:t>10分）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numPr>
                <w:ilvl w:val="0"/>
                <w:numId w:val="4"/>
              </w:numPr>
              <w:topLinePunct/>
              <w:snapToGrid w:val="0"/>
              <w:spacing w:line="300" w:lineRule="auto"/>
              <w:rPr>
                <w:rFonts w:hint="eastAsia"/>
                <w:color w:val="auto"/>
                <w:highlight w:val="none"/>
              </w:rPr>
            </w:pPr>
            <w:r>
              <w:rPr>
                <w:color w:val="auto"/>
                <w:highlight w:val="none"/>
              </w:rPr>
              <w:t>拟派本项目总监理工程师具备工程师或以上职称的得2分</w:t>
            </w:r>
            <w:r>
              <w:rPr>
                <w:rFonts w:hint="eastAsia"/>
                <w:color w:val="auto"/>
                <w:highlight w:val="none"/>
              </w:rPr>
              <w:t>，不满足不得分。</w:t>
            </w:r>
          </w:p>
          <w:p>
            <w:pPr>
              <w:pStyle w:val="6"/>
              <w:rPr>
                <w:color w:val="auto"/>
                <w:highlight w:val="none"/>
              </w:rPr>
            </w:pPr>
            <w:r>
              <w:rPr>
                <w:rFonts w:hint="eastAsia"/>
                <w:color w:val="auto"/>
                <w:highlight w:val="none"/>
              </w:rPr>
              <w:t>注：需填报总监理工程师“主要人员简历表”（格式见招标文件第六章）并附身份证、职称证、注册监理工程师执业证书和投标人企业（不含子公司）购买的投标截止前一个月（2022年1月）社保证明文件（若在“新型冠状病毒感染肺炎”疫情期间，当地政府部门允许企业在疫情期间缓缴社会保险费且投标人未缴纳的，投标人可提供当地政府部门允许缓缴社保的相关文件作为缴纳社保的证明；并在中标后，提供后续的社保补缴情况供招标方核实，若发现弄虚作假的，则将其行为纳入不诚信名单，招标人保留上报给行政主管部门的权力）</w:t>
            </w:r>
          </w:p>
          <w:p>
            <w:pPr>
              <w:topLinePunct/>
              <w:snapToGrid w:val="0"/>
              <w:spacing w:line="300" w:lineRule="auto"/>
              <w:rPr>
                <w:rFonts w:hint="eastAsia"/>
                <w:color w:val="auto"/>
                <w:highlight w:val="none"/>
              </w:rPr>
            </w:pPr>
            <w:r>
              <w:rPr>
                <w:rFonts w:hint="eastAsia"/>
                <w:color w:val="auto"/>
                <w:highlight w:val="none"/>
              </w:rPr>
              <w:t>2.拟派本项目监理人员专业能力：</w:t>
            </w:r>
          </w:p>
          <w:p>
            <w:pPr>
              <w:topLinePunct/>
              <w:snapToGrid w:val="0"/>
              <w:spacing w:line="300" w:lineRule="auto"/>
              <w:rPr>
                <w:rFonts w:hint="eastAsia"/>
                <w:color w:val="auto"/>
                <w:highlight w:val="none"/>
              </w:rPr>
            </w:pPr>
            <w:r>
              <w:rPr>
                <w:rFonts w:hint="eastAsia"/>
                <w:color w:val="auto"/>
                <w:highlight w:val="none"/>
              </w:rPr>
              <w:t>项目总监理工程师除外，拟派本项目监理人员中具备国家注册安全工程师、房屋建筑工程专业、机电安装工程专业、电气工程专业、市政公用工程专业各1名以及4名相关专业监理员的得8分，少一名扣3分，扣完为止。</w:t>
            </w:r>
          </w:p>
          <w:p>
            <w:pPr>
              <w:pStyle w:val="2"/>
              <w:ind w:left="0" w:leftChars="0" w:firstLine="0" w:firstLineChars="0"/>
              <w:rPr>
                <w:rFonts w:hint="eastAsia"/>
                <w:color w:val="auto"/>
                <w:highlight w:val="none"/>
              </w:rPr>
            </w:pPr>
            <w:r>
              <w:rPr>
                <w:rFonts w:hint="eastAsia"/>
                <w:color w:val="auto"/>
                <w:highlight w:val="none"/>
              </w:rPr>
              <w:t>注：应附身份证、职称证（如有）、有关证书（如有）和投标人企业（不含子公司）购买的投标截止前一个月（2022年1月）社保证明文件（若在“新型冠状病毒感染肺炎”疫情期间，当地政府部门允许企业在疫情期间缓缴社会保险费且投标人未缴纳的，投标人可提供当地政府部门允许缓缴社保的相关文件作为缴纳社保的证明；并在中标后，提供后续的社保补缴情况供招标方核实，若发现弄虚作假的，则将其行为纳入不诚信名单，招标人保留上报给行政主管部门的权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企业诚信</w:t>
            </w:r>
          </w:p>
          <w:p>
            <w:pPr>
              <w:topLinePunct/>
              <w:snapToGrid w:val="0"/>
              <w:spacing w:line="300" w:lineRule="auto"/>
              <w:jc w:val="center"/>
              <w:rPr>
                <w:color w:val="auto"/>
                <w:highlight w:val="none"/>
              </w:rPr>
            </w:pPr>
            <w:r>
              <w:rPr>
                <w:color w:val="auto"/>
                <w:highlight w:val="none"/>
              </w:rPr>
              <w:t>（</w:t>
            </w:r>
            <w:r>
              <w:rPr>
                <w:rFonts w:hint="eastAsia"/>
                <w:color w:val="auto"/>
                <w:highlight w:val="none"/>
              </w:rPr>
              <w:t>10分）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获得过省级以上工商局或中国商务诚信公共服务平台颁发的</w:t>
            </w:r>
          </w:p>
          <w:p>
            <w:pPr>
              <w:topLinePunct/>
              <w:snapToGrid w:val="0"/>
              <w:spacing w:line="300" w:lineRule="auto"/>
              <w:rPr>
                <w:rFonts w:hint="eastAsia"/>
                <w:color w:val="auto"/>
                <w:highlight w:val="none"/>
              </w:rPr>
            </w:pPr>
            <w:r>
              <w:rPr>
                <w:rFonts w:hint="eastAsia"/>
                <w:color w:val="auto"/>
                <w:highlight w:val="none"/>
              </w:rPr>
              <w:t>1.重合同守信用企业AAA得3 分；</w:t>
            </w:r>
          </w:p>
          <w:p>
            <w:pPr>
              <w:topLinePunct/>
              <w:snapToGrid w:val="0"/>
              <w:spacing w:line="300" w:lineRule="auto"/>
              <w:rPr>
                <w:rFonts w:hint="eastAsia"/>
                <w:color w:val="auto"/>
                <w:highlight w:val="none"/>
              </w:rPr>
            </w:pPr>
            <w:r>
              <w:rPr>
                <w:rFonts w:hint="eastAsia"/>
                <w:color w:val="auto"/>
                <w:highlight w:val="none"/>
              </w:rPr>
              <w:t>2.企业资信等级证书AAA等3 分；</w:t>
            </w:r>
          </w:p>
          <w:p>
            <w:pPr>
              <w:topLinePunct/>
              <w:snapToGrid w:val="0"/>
              <w:spacing w:line="300" w:lineRule="auto"/>
              <w:rPr>
                <w:rFonts w:hint="eastAsia"/>
                <w:color w:val="auto"/>
                <w:highlight w:val="none"/>
              </w:rPr>
            </w:pPr>
            <w:r>
              <w:rPr>
                <w:rFonts w:hint="eastAsia"/>
                <w:color w:val="auto"/>
                <w:highlight w:val="none"/>
              </w:rPr>
              <w:t>3.企业信用等级证书AAA等2 分；</w:t>
            </w:r>
          </w:p>
          <w:p>
            <w:pPr>
              <w:topLinePunct/>
              <w:snapToGrid w:val="0"/>
              <w:spacing w:line="300" w:lineRule="auto"/>
              <w:rPr>
                <w:color w:val="auto"/>
                <w:highlight w:val="none"/>
              </w:rPr>
            </w:pPr>
            <w:r>
              <w:rPr>
                <w:rFonts w:hint="eastAsia"/>
                <w:color w:val="auto"/>
                <w:highlight w:val="none"/>
              </w:rPr>
              <w:t>4.服务商具有诚信经营示范单位AAA得 2 分；</w:t>
            </w:r>
          </w:p>
          <w:p>
            <w:pPr>
              <w:topLinePunct/>
              <w:snapToGrid w:val="0"/>
              <w:spacing w:line="300" w:lineRule="auto"/>
              <w:rPr>
                <w:color w:val="auto"/>
                <w:highlight w:val="none"/>
              </w:rPr>
            </w:pPr>
            <w:r>
              <w:rPr>
                <w:rFonts w:hint="eastAsia"/>
                <w:color w:val="auto"/>
                <w:highlight w:val="none"/>
              </w:rPr>
              <w:t>本项最高10分，不可重复得分。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restart"/>
            <w:tcBorders>
              <w:top w:val="single" w:color="auto" w:sz="4" w:space="0"/>
              <w:left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2.2.4（2）</w:t>
            </w:r>
          </w:p>
        </w:tc>
        <w:tc>
          <w:tcPr>
            <w:tcW w:w="1152" w:type="dxa"/>
            <w:gridSpan w:val="2"/>
            <w:vMerge w:val="restart"/>
            <w:tcBorders>
              <w:top w:val="single" w:color="auto" w:sz="4" w:space="0"/>
              <w:left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color w:val="auto"/>
                <w:highlight w:val="none"/>
              </w:rPr>
              <w:t>监理大纲</w:t>
            </w:r>
          </w:p>
          <w:p>
            <w:pPr>
              <w:topLinePunct/>
              <w:snapToGrid w:val="0"/>
              <w:spacing w:line="300" w:lineRule="auto"/>
              <w:jc w:val="center"/>
              <w:rPr>
                <w:color w:val="auto"/>
                <w:highlight w:val="none"/>
              </w:rPr>
            </w:pPr>
            <w:r>
              <w:rPr>
                <w:color w:val="auto"/>
                <w:highlight w:val="none"/>
              </w:rPr>
              <w:t>部分</w:t>
            </w:r>
          </w:p>
          <w:p>
            <w:pPr>
              <w:topLinePunct/>
              <w:snapToGrid w:val="0"/>
              <w:spacing w:line="300" w:lineRule="auto"/>
              <w:jc w:val="center"/>
              <w:rPr>
                <w:color w:val="auto"/>
                <w:highlight w:val="none"/>
              </w:rPr>
            </w:pPr>
            <w:r>
              <w:rPr>
                <w:rFonts w:hint="eastAsia"/>
                <w:color w:val="auto"/>
                <w:highlight w:val="none"/>
              </w:rPr>
              <w:t>（10分）</w:t>
            </w:r>
          </w:p>
        </w:tc>
        <w:tc>
          <w:tcPr>
            <w:tcW w:w="1701"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投资控制措施</w:t>
            </w:r>
          </w:p>
          <w:p>
            <w:pPr>
              <w:topLinePunct/>
              <w:snapToGrid w:val="0"/>
              <w:spacing w:line="300" w:lineRule="auto"/>
              <w:jc w:val="center"/>
              <w:rPr>
                <w:color w:val="auto"/>
                <w:highlight w:val="none"/>
              </w:rPr>
            </w:pPr>
            <w:r>
              <w:rPr>
                <w:rFonts w:hint="eastAsia"/>
                <w:color w:val="auto"/>
                <w:highlight w:val="none"/>
              </w:rPr>
              <w:t>（1.5分）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要求明白明确、方法合理可行、措施具体针对性强。</w:t>
            </w:r>
          </w:p>
          <w:p>
            <w:pPr>
              <w:topLinePunct/>
              <w:snapToGrid w:val="0"/>
              <w:spacing w:line="300" w:lineRule="auto"/>
              <w:rPr>
                <w:rFonts w:hint="eastAsia"/>
                <w:color w:val="auto"/>
                <w:highlight w:val="none"/>
              </w:rPr>
            </w:pPr>
            <w:r>
              <w:rPr>
                <w:rFonts w:hint="eastAsia"/>
                <w:color w:val="auto"/>
                <w:highlight w:val="none"/>
              </w:rPr>
              <w:t>【优良】得1.5分</w:t>
            </w:r>
          </w:p>
          <w:p>
            <w:pPr>
              <w:topLinePunct/>
              <w:snapToGrid w:val="0"/>
              <w:spacing w:line="300" w:lineRule="auto"/>
              <w:rPr>
                <w:rFonts w:hint="eastAsia"/>
                <w:color w:val="auto"/>
                <w:highlight w:val="none"/>
              </w:rPr>
            </w:pPr>
            <w:r>
              <w:rPr>
                <w:rFonts w:hint="eastAsia"/>
                <w:color w:val="auto"/>
                <w:highlight w:val="none"/>
              </w:rPr>
              <w:t>【一般】得1分</w:t>
            </w:r>
          </w:p>
          <w:p>
            <w:pPr>
              <w:topLinePunct/>
              <w:snapToGrid w:val="0"/>
              <w:spacing w:line="300" w:lineRule="auto"/>
              <w:rPr>
                <w:color w:val="auto"/>
                <w:highlight w:val="none"/>
              </w:rPr>
            </w:pPr>
            <w:r>
              <w:rPr>
                <w:rFonts w:hint="eastAsia"/>
                <w:color w:val="auto"/>
                <w:highlight w:val="none"/>
              </w:rPr>
              <w:t>【差得】0.5分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continue"/>
            <w:tcBorders>
              <w:left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152" w:type="dxa"/>
            <w:gridSpan w:val="2"/>
            <w:vMerge w:val="continue"/>
            <w:tcBorders>
              <w:left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进度控制措施</w:t>
            </w:r>
          </w:p>
          <w:p>
            <w:pPr>
              <w:topLinePunct/>
              <w:snapToGrid w:val="0"/>
              <w:spacing w:line="300" w:lineRule="auto"/>
              <w:jc w:val="center"/>
              <w:rPr>
                <w:color w:val="auto"/>
                <w:highlight w:val="none"/>
              </w:rPr>
            </w:pPr>
            <w:r>
              <w:rPr>
                <w:rFonts w:hint="eastAsia"/>
                <w:color w:val="auto"/>
                <w:highlight w:val="none"/>
              </w:rPr>
              <w:t>（1.5分）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要求明白明确、方法合理可行、措施具体针对性强。</w:t>
            </w:r>
          </w:p>
          <w:p>
            <w:pPr>
              <w:topLinePunct/>
              <w:snapToGrid w:val="0"/>
              <w:spacing w:line="300" w:lineRule="auto"/>
              <w:rPr>
                <w:rFonts w:hint="eastAsia"/>
                <w:color w:val="auto"/>
                <w:highlight w:val="none"/>
              </w:rPr>
            </w:pPr>
            <w:r>
              <w:rPr>
                <w:rFonts w:hint="eastAsia"/>
                <w:color w:val="auto"/>
                <w:highlight w:val="none"/>
              </w:rPr>
              <w:t>【优良】得1.5分</w:t>
            </w:r>
          </w:p>
          <w:p>
            <w:pPr>
              <w:topLinePunct/>
              <w:snapToGrid w:val="0"/>
              <w:spacing w:line="300" w:lineRule="auto"/>
              <w:rPr>
                <w:rFonts w:hint="eastAsia"/>
                <w:color w:val="auto"/>
                <w:highlight w:val="none"/>
              </w:rPr>
            </w:pPr>
            <w:r>
              <w:rPr>
                <w:rFonts w:hint="eastAsia"/>
                <w:color w:val="auto"/>
                <w:highlight w:val="none"/>
              </w:rPr>
              <w:t>【一般】得1分</w:t>
            </w:r>
          </w:p>
          <w:p>
            <w:pPr>
              <w:topLinePunct/>
              <w:snapToGrid w:val="0"/>
              <w:spacing w:line="300" w:lineRule="auto"/>
              <w:rPr>
                <w:color w:val="auto"/>
                <w:highlight w:val="none"/>
              </w:rPr>
            </w:pPr>
            <w:r>
              <w:rPr>
                <w:rFonts w:hint="eastAsia"/>
                <w:color w:val="auto"/>
                <w:highlight w:val="none"/>
              </w:rPr>
              <w:t>【差得】0.5分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continue"/>
            <w:tcBorders>
              <w:left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152" w:type="dxa"/>
            <w:gridSpan w:val="2"/>
            <w:vMerge w:val="continue"/>
            <w:tcBorders>
              <w:left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质量控制措施</w:t>
            </w:r>
          </w:p>
          <w:p>
            <w:pPr>
              <w:topLinePunct/>
              <w:snapToGrid w:val="0"/>
              <w:spacing w:line="300" w:lineRule="auto"/>
              <w:jc w:val="center"/>
              <w:rPr>
                <w:color w:val="auto"/>
                <w:highlight w:val="none"/>
              </w:rPr>
            </w:pPr>
            <w:r>
              <w:rPr>
                <w:rFonts w:hint="eastAsia"/>
                <w:color w:val="auto"/>
                <w:highlight w:val="none"/>
              </w:rPr>
              <w:t>（1.5分）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要求明白明确、方法合理可行、措施具体针对性强。</w:t>
            </w:r>
          </w:p>
          <w:p>
            <w:pPr>
              <w:topLinePunct/>
              <w:snapToGrid w:val="0"/>
              <w:spacing w:line="300" w:lineRule="auto"/>
              <w:rPr>
                <w:rFonts w:hint="eastAsia"/>
                <w:color w:val="auto"/>
                <w:highlight w:val="none"/>
              </w:rPr>
            </w:pPr>
            <w:r>
              <w:rPr>
                <w:rFonts w:hint="eastAsia"/>
                <w:color w:val="auto"/>
                <w:highlight w:val="none"/>
              </w:rPr>
              <w:t>【优良】得1.5分</w:t>
            </w:r>
          </w:p>
          <w:p>
            <w:pPr>
              <w:topLinePunct/>
              <w:snapToGrid w:val="0"/>
              <w:spacing w:line="300" w:lineRule="auto"/>
              <w:rPr>
                <w:rFonts w:hint="eastAsia"/>
                <w:color w:val="auto"/>
                <w:highlight w:val="none"/>
              </w:rPr>
            </w:pPr>
            <w:r>
              <w:rPr>
                <w:rFonts w:hint="eastAsia"/>
                <w:color w:val="auto"/>
                <w:highlight w:val="none"/>
              </w:rPr>
              <w:t>【一般】得1分</w:t>
            </w:r>
          </w:p>
          <w:p>
            <w:pPr>
              <w:topLinePunct/>
              <w:snapToGrid w:val="0"/>
              <w:spacing w:line="300" w:lineRule="auto"/>
              <w:rPr>
                <w:color w:val="auto"/>
                <w:highlight w:val="none"/>
              </w:rPr>
            </w:pPr>
            <w:r>
              <w:rPr>
                <w:rFonts w:hint="eastAsia"/>
                <w:color w:val="auto"/>
                <w:highlight w:val="none"/>
              </w:rPr>
              <w:t>【差得】0.5分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continue"/>
            <w:tcBorders>
              <w:left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152" w:type="dxa"/>
            <w:gridSpan w:val="2"/>
            <w:vMerge w:val="continue"/>
            <w:tcBorders>
              <w:left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安全文明</w:t>
            </w:r>
          </w:p>
          <w:p>
            <w:pPr>
              <w:topLinePunct/>
              <w:snapToGrid w:val="0"/>
              <w:spacing w:line="300" w:lineRule="auto"/>
              <w:jc w:val="center"/>
              <w:rPr>
                <w:color w:val="auto"/>
                <w:highlight w:val="none"/>
              </w:rPr>
            </w:pPr>
            <w:r>
              <w:rPr>
                <w:rFonts w:hint="eastAsia"/>
                <w:color w:val="auto"/>
                <w:highlight w:val="none"/>
              </w:rPr>
              <w:t>控制措施</w:t>
            </w:r>
          </w:p>
          <w:p>
            <w:pPr>
              <w:topLinePunct/>
              <w:snapToGrid w:val="0"/>
              <w:spacing w:line="300" w:lineRule="auto"/>
              <w:jc w:val="center"/>
              <w:rPr>
                <w:color w:val="auto"/>
                <w:highlight w:val="none"/>
              </w:rPr>
            </w:pPr>
            <w:r>
              <w:rPr>
                <w:rFonts w:hint="eastAsia"/>
                <w:color w:val="auto"/>
                <w:highlight w:val="none"/>
              </w:rPr>
              <w:t>（1.5分）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要求明白明确、方法合理可行、措施具体针对性强。</w:t>
            </w:r>
          </w:p>
          <w:p>
            <w:pPr>
              <w:topLinePunct/>
              <w:snapToGrid w:val="0"/>
              <w:spacing w:line="300" w:lineRule="auto"/>
              <w:rPr>
                <w:rFonts w:hint="eastAsia"/>
                <w:color w:val="auto"/>
                <w:highlight w:val="none"/>
              </w:rPr>
            </w:pPr>
            <w:r>
              <w:rPr>
                <w:rFonts w:hint="eastAsia"/>
                <w:color w:val="auto"/>
                <w:highlight w:val="none"/>
              </w:rPr>
              <w:t>【优良】得1.5分</w:t>
            </w:r>
          </w:p>
          <w:p>
            <w:pPr>
              <w:topLinePunct/>
              <w:snapToGrid w:val="0"/>
              <w:spacing w:line="300" w:lineRule="auto"/>
              <w:rPr>
                <w:rFonts w:hint="eastAsia"/>
                <w:color w:val="auto"/>
                <w:highlight w:val="none"/>
              </w:rPr>
            </w:pPr>
            <w:r>
              <w:rPr>
                <w:rFonts w:hint="eastAsia"/>
                <w:color w:val="auto"/>
                <w:highlight w:val="none"/>
              </w:rPr>
              <w:t>【一般】得1分</w:t>
            </w:r>
          </w:p>
          <w:p>
            <w:pPr>
              <w:topLinePunct/>
              <w:snapToGrid w:val="0"/>
              <w:spacing w:line="300" w:lineRule="auto"/>
              <w:rPr>
                <w:color w:val="auto"/>
                <w:highlight w:val="none"/>
              </w:rPr>
            </w:pPr>
            <w:r>
              <w:rPr>
                <w:rFonts w:hint="eastAsia"/>
                <w:color w:val="auto"/>
                <w:highlight w:val="none"/>
              </w:rPr>
              <w:t>【差得】0.5分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continue"/>
            <w:tcBorders>
              <w:left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152" w:type="dxa"/>
            <w:gridSpan w:val="2"/>
            <w:vMerge w:val="continue"/>
            <w:tcBorders>
              <w:left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合同管理、信息管理、组织协调</w:t>
            </w:r>
          </w:p>
          <w:p>
            <w:pPr>
              <w:topLinePunct/>
              <w:snapToGrid w:val="0"/>
              <w:spacing w:line="300" w:lineRule="auto"/>
              <w:jc w:val="center"/>
              <w:rPr>
                <w:color w:val="auto"/>
                <w:highlight w:val="none"/>
              </w:rPr>
            </w:pPr>
            <w:r>
              <w:rPr>
                <w:rFonts w:hint="eastAsia"/>
                <w:color w:val="auto"/>
                <w:highlight w:val="none"/>
              </w:rPr>
              <w:t>（1.5分）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要求明白明确、方法合理可行、措施具体针对性强。</w:t>
            </w:r>
          </w:p>
          <w:p>
            <w:pPr>
              <w:topLinePunct/>
              <w:snapToGrid w:val="0"/>
              <w:spacing w:line="300" w:lineRule="auto"/>
              <w:rPr>
                <w:rFonts w:hint="eastAsia"/>
                <w:color w:val="auto"/>
                <w:highlight w:val="none"/>
              </w:rPr>
            </w:pPr>
            <w:r>
              <w:rPr>
                <w:rFonts w:hint="eastAsia"/>
                <w:color w:val="auto"/>
                <w:highlight w:val="none"/>
              </w:rPr>
              <w:t>【优良】得1.5分</w:t>
            </w:r>
          </w:p>
          <w:p>
            <w:pPr>
              <w:topLinePunct/>
              <w:snapToGrid w:val="0"/>
              <w:spacing w:line="300" w:lineRule="auto"/>
              <w:rPr>
                <w:rFonts w:hint="eastAsia"/>
                <w:color w:val="auto"/>
                <w:highlight w:val="none"/>
              </w:rPr>
            </w:pPr>
            <w:r>
              <w:rPr>
                <w:rFonts w:hint="eastAsia"/>
                <w:color w:val="auto"/>
                <w:highlight w:val="none"/>
              </w:rPr>
              <w:t>【一般】得1分</w:t>
            </w:r>
          </w:p>
          <w:p>
            <w:pPr>
              <w:topLinePunct/>
              <w:snapToGrid w:val="0"/>
              <w:spacing w:line="300" w:lineRule="auto"/>
              <w:rPr>
                <w:color w:val="auto"/>
                <w:highlight w:val="none"/>
              </w:rPr>
            </w:pPr>
            <w:r>
              <w:rPr>
                <w:rFonts w:hint="eastAsia"/>
                <w:color w:val="auto"/>
                <w:highlight w:val="none"/>
              </w:rPr>
              <w:t>【差得】0.5分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continue"/>
            <w:tcBorders>
              <w:left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152" w:type="dxa"/>
            <w:gridSpan w:val="2"/>
            <w:vMerge w:val="continue"/>
            <w:tcBorders>
              <w:left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重难点控制措施</w:t>
            </w:r>
          </w:p>
          <w:p>
            <w:pPr>
              <w:topLinePunct/>
              <w:snapToGrid w:val="0"/>
              <w:spacing w:line="300" w:lineRule="auto"/>
              <w:jc w:val="center"/>
              <w:rPr>
                <w:rFonts w:hint="eastAsia"/>
                <w:color w:val="auto"/>
                <w:highlight w:val="none"/>
              </w:rPr>
            </w:pPr>
            <w:r>
              <w:rPr>
                <w:rFonts w:hint="eastAsia"/>
                <w:color w:val="auto"/>
                <w:highlight w:val="none"/>
              </w:rPr>
              <w:t>（1.5分）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要求明白明确、方法合理可行、措施具体针对性强。</w:t>
            </w:r>
          </w:p>
          <w:p>
            <w:pPr>
              <w:topLinePunct/>
              <w:snapToGrid w:val="0"/>
              <w:spacing w:line="300" w:lineRule="auto"/>
              <w:rPr>
                <w:rFonts w:hint="eastAsia"/>
                <w:color w:val="auto"/>
                <w:highlight w:val="none"/>
              </w:rPr>
            </w:pPr>
            <w:r>
              <w:rPr>
                <w:rFonts w:hint="eastAsia"/>
                <w:color w:val="auto"/>
                <w:highlight w:val="none"/>
              </w:rPr>
              <w:t>【优良】得1.5分</w:t>
            </w:r>
          </w:p>
          <w:p>
            <w:pPr>
              <w:topLinePunct/>
              <w:snapToGrid w:val="0"/>
              <w:spacing w:line="300" w:lineRule="auto"/>
              <w:rPr>
                <w:rFonts w:hint="eastAsia"/>
                <w:color w:val="auto"/>
                <w:highlight w:val="none"/>
              </w:rPr>
            </w:pPr>
            <w:r>
              <w:rPr>
                <w:rFonts w:hint="eastAsia"/>
                <w:color w:val="auto"/>
                <w:highlight w:val="none"/>
              </w:rPr>
              <w:t>【一般】得1分</w:t>
            </w:r>
          </w:p>
          <w:p>
            <w:pPr>
              <w:topLinePunct/>
              <w:snapToGrid w:val="0"/>
              <w:spacing w:line="300" w:lineRule="auto"/>
              <w:rPr>
                <w:rFonts w:hint="eastAsia"/>
                <w:color w:val="auto"/>
                <w:highlight w:val="none"/>
              </w:rPr>
            </w:pPr>
            <w:r>
              <w:rPr>
                <w:rFonts w:hint="eastAsia"/>
                <w:color w:val="auto"/>
                <w:highlight w:val="none"/>
              </w:rPr>
              <w:t>【差得】0.5分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vMerge w:val="continue"/>
            <w:tcBorders>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152" w:type="dxa"/>
            <w:gridSpan w:val="2"/>
            <w:vMerge w:val="continue"/>
            <w:tcBorders>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topLinePunct/>
              <w:snapToGrid w:val="0"/>
              <w:spacing w:line="300" w:lineRule="auto"/>
              <w:jc w:val="center"/>
              <w:rPr>
                <w:color w:val="auto"/>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合理化建议</w:t>
            </w:r>
          </w:p>
          <w:p>
            <w:pPr>
              <w:topLinePunct/>
              <w:snapToGrid w:val="0"/>
              <w:spacing w:line="300" w:lineRule="auto"/>
              <w:jc w:val="center"/>
              <w:rPr>
                <w:rFonts w:hint="eastAsia"/>
                <w:color w:val="auto"/>
                <w:highlight w:val="none"/>
              </w:rPr>
            </w:pPr>
            <w:r>
              <w:rPr>
                <w:rFonts w:hint="eastAsia"/>
                <w:color w:val="auto"/>
                <w:highlight w:val="none"/>
              </w:rPr>
              <w:t>（1分）</w:t>
            </w:r>
          </w:p>
        </w:tc>
        <w:tc>
          <w:tcPr>
            <w:tcW w:w="5528" w:type="dxa"/>
            <w:tcBorders>
              <w:top w:val="single" w:color="auto" w:sz="4" w:space="0"/>
              <w:left w:val="single" w:color="auto" w:sz="4" w:space="0"/>
              <w:bottom w:val="single" w:color="auto" w:sz="4" w:space="0"/>
              <w:right w:val="single" w:color="auto" w:sz="4" w:space="0"/>
            </w:tcBorders>
            <w:shd w:val="clear" w:color="auto" w:fill="FFFFFF"/>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要求明白明确、方法合理可行、措施具体针对性强。</w:t>
            </w:r>
          </w:p>
          <w:p>
            <w:pPr>
              <w:topLinePunct/>
              <w:snapToGrid w:val="0"/>
              <w:spacing w:line="300" w:lineRule="auto"/>
              <w:rPr>
                <w:rFonts w:hint="eastAsia"/>
                <w:color w:val="auto"/>
                <w:highlight w:val="none"/>
              </w:rPr>
            </w:pPr>
            <w:r>
              <w:rPr>
                <w:rFonts w:hint="eastAsia"/>
                <w:color w:val="auto"/>
                <w:highlight w:val="none"/>
              </w:rPr>
              <w:t>【优良】得1分</w:t>
            </w:r>
          </w:p>
          <w:p>
            <w:pPr>
              <w:topLinePunct/>
              <w:snapToGrid w:val="0"/>
              <w:spacing w:line="300" w:lineRule="auto"/>
              <w:rPr>
                <w:rFonts w:hint="eastAsia"/>
                <w:color w:val="auto"/>
                <w:highlight w:val="none"/>
              </w:rPr>
            </w:pPr>
            <w:r>
              <w:rPr>
                <w:rFonts w:hint="eastAsia"/>
                <w:color w:val="auto"/>
                <w:highlight w:val="none"/>
              </w:rPr>
              <w:t>【一般】得0.5分</w:t>
            </w:r>
          </w:p>
          <w:p>
            <w:pPr>
              <w:topLinePunct/>
              <w:snapToGrid w:val="0"/>
              <w:spacing w:line="300" w:lineRule="auto"/>
              <w:rPr>
                <w:rFonts w:hint="eastAsia"/>
                <w:color w:val="auto"/>
                <w:highlight w:val="none"/>
              </w:rPr>
            </w:pPr>
            <w:r>
              <w:rPr>
                <w:rFonts w:hint="eastAsia"/>
                <w:color w:val="auto"/>
                <w:highlight w:val="none"/>
              </w:rPr>
              <w:t>【差得】0.3分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2.2.4（3）</w:t>
            </w:r>
          </w:p>
        </w:tc>
        <w:tc>
          <w:tcPr>
            <w:tcW w:w="2853" w:type="dxa"/>
            <w:gridSpan w:val="3"/>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报价得分</w:t>
            </w:r>
          </w:p>
          <w:p>
            <w:pPr>
              <w:topLinePunct/>
              <w:snapToGrid w:val="0"/>
              <w:spacing w:line="300" w:lineRule="auto"/>
              <w:jc w:val="center"/>
              <w:rPr>
                <w:color w:val="auto"/>
                <w:highlight w:val="none"/>
              </w:rPr>
            </w:pPr>
            <w:r>
              <w:rPr>
                <w:rFonts w:hint="eastAsia"/>
                <w:color w:val="auto"/>
                <w:highlight w:val="none"/>
              </w:rPr>
              <w:t>（50分）</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rFonts w:hint="eastAsia"/>
                <w:color w:val="auto"/>
                <w:highlight w:val="none"/>
              </w:rPr>
            </w:pPr>
            <w:r>
              <w:rPr>
                <w:rFonts w:hint="eastAsia"/>
                <w:color w:val="auto"/>
                <w:highlight w:val="none"/>
              </w:rPr>
              <w:t>报价下浮率等于基准下浮率的，得50分；</w:t>
            </w:r>
          </w:p>
          <w:p>
            <w:pPr>
              <w:topLinePunct/>
              <w:snapToGrid w:val="0"/>
              <w:spacing w:line="300" w:lineRule="auto"/>
              <w:rPr>
                <w:rFonts w:hint="eastAsia"/>
                <w:color w:val="auto"/>
                <w:highlight w:val="none"/>
              </w:rPr>
            </w:pPr>
            <w:r>
              <w:rPr>
                <w:rFonts w:hint="eastAsia"/>
                <w:color w:val="auto"/>
                <w:highlight w:val="none"/>
              </w:rPr>
              <w:t>报价得分按内插法计算，保留两位小数，第三位四舍五入。</w:t>
            </w:r>
          </w:p>
          <w:p>
            <w:pPr>
              <w:topLinePunct/>
              <w:snapToGrid w:val="0"/>
              <w:spacing w:line="300" w:lineRule="auto"/>
              <w:rPr>
                <w:rFonts w:hint="eastAsia"/>
                <w:color w:val="auto"/>
                <w:highlight w:val="none"/>
              </w:rPr>
            </w:pPr>
            <w:r>
              <w:rPr>
                <w:rFonts w:hint="eastAsia"/>
                <w:color w:val="auto"/>
                <w:highlight w:val="none"/>
              </w:rPr>
              <w:t>内插法计算公式为：</w:t>
            </w:r>
          </w:p>
          <w:p>
            <w:pPr>
              <w:topLinePunct/>
              <w:snapToGrid w:val="0"/>
              <w:spacing w:line="300" w:lineRule="auto"/>
              <w:rPr>
                <w:rFonts w:hint="eastAsia"/>
                <w:color w:val="auto"/>
                <w:highlight w:val="none"/>
              </w:rPr>
            </w:pPr>
            <w:r>
              <w:rPr>
                <w:rFonts w:hint="eastAsia"/>
                <w:color w:val="auto"/>
                <w:highlight w:val="none"/>
              </w:rPr>
              <w:t>投标下浮率=基准下浮率得50分</w:t>
            </w:r>
          </w:p>
          <w:p>
            <w:pPr>
              <w:topLinePunct/>
              <w:snapToGrid w:val="0"/>
              <w:spacing w:line="300" w:lineRule="auto"/>
              <w:rPr>
                <w:rFonts w:hint="eastAsia"/>
                <w:color w:val="auto"/>
                <w:highlight w:val="none"/>
              </w:rPr>
            </w:pPr>
            <w:r>
              <w:rPr>
                <w:rFonts w:hint="eastAsia"/>
                <w:color w:val="auto"/>
                <w:highlight w:val="none"/>
              </w:rPr>
              <w:t>投标下浮率大于基准下浮率的:A＝</w:t>
            </w:r>
            <w:r>
              <w:rPr>
                <w:rFonts w:hint="eastAsia"/>
                <w:color w:val="auto"/>
                <w:highlight w:val="none"/>
                <w:lang w:val="en-US" w:eastAsia="zh-CN"/>
              </w:rPr>
              <w:t>50</w:t>
            </w:r>
            <w:r>
              <w:rPr>
                <w:rFonts w:hint="eastAsia"/>
                <w:color w:val="auto"/>
                <w:highlight w:val="none"/>
              </w:rPr>
              <w:t>－</w:t>
            </w:r>
            <w:r>
              <w:rPr>
                <w:rFonts w:hint="eastAsia"/>
                <w:color w:val="auto"/>
                <w:highlight w:val="none"/>
              </w:rPr>
              <w:object>
                <v:shape id="_x0000_i1025" o:spt="75" type="#_x0000_t75" style="height:33.6pt;width:38.35pt;" o:ole="t" filled="f" o:preferrelative="t" stroked="f" coordsize="21600,21600">
                  <v:path/>
                  <v:fill on="f" focussize="0,0"/>
                  <v:stroke on="f"/>
                  <v:imagedata r:id="rId11" o:title=""/>
                  <o:lock v:ext="edit" grouping="f" rotation="f" text="f" aspectratio="t"/>
                  <w10:wrap type="none"/>
                  <w10:anchorlock/>
                </v:shape>
                <o:OLEObject Type="Embed" ProgID="Equation.3" ShapeID="_x0000_i1025" DrawAspect="Content" ObjectID="_1468075725" r:id="rId10">
                  <o:LockedField>false</o:LockedField>
                </o:OLEObject>
              </w:object>
            </w:r>
            <w:r>
              <w:rPr>
                <w:rFonts w:hint="eastAsia"/>
                <w:color w:val="auto"/>
                <w:highlight w:val="none"/>
              </w:rPr>
              <w:t>×100×0.01</w:t>
            </w:r>
          </w:p>
          <w:p>
            <w:pPr>
              <w:topLinePunct/>
              <w:snapToGrid w:val="0"/>
              <w:spacing w:line="300" w:lineRule="auto"/>
              <w:rPr>
                <w:rFonts w:hint="eastAsia"/>
                <w:color w:val="auto"/>
                <w:highlight w:val="none"/>
              </w:rPr>
            </w:pPr>
            <w:r>
              <w:rPr>
                <w:rFonts w:hint="eastAsia"/>
                <w:color w:val="auto"/>
                <w:highlight w:val="none"/>
              </w:rPr>
              <w:t>投标下浮率小于基准下浮率的:A＝</w:t>
            </w:r>
            <w:r>
              <w:rPr>
                <w:rFonts w:hint="eastAsia"/>
                <w:color w:val="auto"/>
                <w:highlight w:val="none"/>
                <w:lang w:val="en-US" w:eastAsia="zh-CN"/>
              </w:rPr>
              <w:t>50</w:t>
            </w:r>
            <w:r>
              <w:rPr>
                <w:rFonts w:hint="eastAsia"/>
                <w:color w:val="auto"/>
                <w:highlight w:val="none"/>
              </w:rPr>
              <w:t>－</w:t>
            </w:r>
            <w:r>
              <w:rPr>
                <w:rFonts w:hint="eastAsia"/>
                <w:color w:val="auto"/>
                <w:highlight w:val="none"/>
              </w:rPr>
              <w:object>
                <v:shape id="_x0000_i1026" o:spt="75" type="#_x0000_t75" style="height:33.6pt;width:38.35pt;" o:ole="t" filled="f" o:preferrelative="t" stroked="f" coordsize="21600,21600">
                  <v:path/>
                  <v:fill on="f" focussize="0,0"/>
                  <v:stroke on="f"/>
                  <v:imagedata r:id="rId11" o:title=""/>
                  <o:lock v:ext="edit" grouping="f" rotation="f" text="f" aspectratio="t"/>
                  <w10:wrap type="none"/>
                  <w10:anchorlock/>
                </v:shape>
                <o:OLEObject Type="Embed" ProgID="Equation.3" ShapeID="_x0000_i1026" DrawAspect="Content" ObjectID="_1468075726" r:id="rId12">
                  <o:LockedField>false</o:LockedField>
                </o:OLEObject>
              </w:object>
            </w:r>
            <w:r>
              <w:rPr>
                <w:rFonts w:hint="eastAsia"/>
                <w:color w:val="auto"/>
                <w:highlight w:val="none"/>
              </w:rPr>
              <w:t>×100×0.02</w:t>
            </w:r>
          </w:p>
          <w:p>
            <w:pPr>
              <w:topLinePunct/>
              <w:snapToGrid w:val="0"/>
              <w:spacing w:line="300" w:lineRule="auto"/>
              <w:rPr>
                <w:rFonts w:hint="eastAsia"/>
                <w:color w:val="auto"/>
                <w:highlight w:val="none"/>
              </w:rPr>
            </w:pPr>
            <w:r>
              <w:rPr>
                <w:rFonts w:hint="eastAsia"/>
                <w:color w:val="auto"/>
                <w:highlight w:val="none"/>
              </w:rPr>
              <w:t>式中:A—投标人的报价得分</w:t>
            </w:r>
          </w:p>
          <w:p>
            <w:pPr>
              <w:topLinePunct/>
              <w:snapToGrid w:val="0"/>
              <w:spacing w:line="300" w:lineRule="auto"/>
              <w:rPr>
                <w:rFonts w:hint="eastAsia"/>
                <w:color w:val="auto"/>
                <w:highlight w:val="none"/>
              </w:rPr>
            </w:pPr>
            <w:r>
              <w:rPr>
                <w:rFonts w:hint="eastAsia"/>
                <w:color w:val="auto"/>
                <w:highlight w:val="none"/>
              </w:rPr>
              <w:t>X—投标人的报价下浮率</w:t>
            </w:r>
          </w:p>
          <w:p>
            <w:pPr>
              <w:topLinePunct/>
              <w:snapToGrid w:val="0"/>
              <w:spacing w:line="300" w:lineRule="auto"/>
              <w:rPr>
                <w:color w:val="auto"/>
                <w:highlight w:val="none"/>
              </w:rPr>
            </w:pPr>
            <w:r>
              <w:rPr>
                <w:rFonts w:hint="eastAsia"/>
                <w:color w:val="auto"/>
                <w:highlight w:val="none"/>
              </w:rPr>
              <w:t>K—基准下浮率（评标基准价）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2.2.4（4）</w:t>
            </w:r>
          </w:p>
        </w:tc>
        <w:tc>
          <w:tcPr>
            <w:tcW w:w="2853" w:type="dxa"/>
            <w:gridSpan w:val="3"/>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jc w:val="center"/>
              <w:rPr>
                <w:color w:val="auto"/>
                <w:highlight w:val="none"/>
              </w:rPr>
            </w:pPr>
            <w:r>
              <w:rPr>
                <w:rFonts w:hint="eastAsia"/>
                <w:color w:val="auto"/>
                <w:highlight w:val="none"/>
              </w:rPr>
              <w:t>其他评分因素</w:t>
            </w:r>
          </w:p>
        </w:tc>
        <w:tc>
          <w:tcPr>
            <w:tcW w:w="5528" w:type="dxa"/>
            <w:tcBorders>
              <w:top w:val="single" w:color="auto" w:sz="4" w:space="0"/>
              <w:left w:val="single" w:color="auto" w:sz="4" w:space="0"/>
              <w:bottom w:val="single" w:color="auto" w:sz="4" w:space="0"/>
              <w:right w:val="single" w:color="auto" w:sz="4" w:space="0"/>
            </w:tcBorders>
            <w:noWrap/>
            <w:tcMar>
              <w:top w:w="57" w:type="dxa"/>
              <w:left w:w="57" w:type="dxa"/>
              <w:bottom w:w="57" w:type="dxa"/>
              <w:right w:w="57" w:type="dxa"/>
            </w:tcMar>
            <w:vAlign w:val="center"/>
          </w:tcPr>
          <w:p>
            <w:pPr>
              <w:topLinePunct/>
              <w:snapToGrid w:val="0"/>
              <w:spacing w:line="300" w:lineRule="auto"/>
              <w:rPr>
                <w:color w:val="auto"/>
                <w:highlight w:val="none"/>
              </w:rPr>
            </w:pPr>
            <w:r>
              <w:rPr>
                <w:rFonts w:hint="eastAsia"/>
                <w:color w:val="auto"/>
                <w:highlight w:val="none"/>
              </w:rPr>
              <w:t>/</w:t>
            </w:r>
          </w:p>
        </w:tc>
      </w:tr>
    </w:tbl>
    <w:p>
      <w:pPr>
        <w:snapToGrid w:val="0"/>
        <w:spacing w:line="360" w:lineRule="auto"/>
        <w:rPr>
          <w:color w:val="auto"/>
          <w:highlight w:val="none"/>
        </w:rPr>
      </w:pPr>
      <w:r>
        <w:rPr>
          <w:rFonts w:hint="eastAsia"/>
          <w:color w:val="auto"/>
          <w:highlight w:val="none"/>
        </w:rPr>
        <w:t>注：1、投标人的综合得分（含资信业绩得分、监理大纲得分、投标报价得分）为各评委的评分的算术平均分（分数出现小数点时，保留小数点后二位，第三位小数四舍五入）。</w:t>
      </w:r>
      <w:bookmarkStart w:id="396" w:name="_Hlk97422425"/>
    </w:p>
    <w:p>
      <w:pPr>
        <w:snapToGrid w:val="0"/>
        <w:spacing w:line="360" w:lineRule="auto"/>
        <w:rPr>
          <w:rFonts w:hint="eastAsia"/>
          <w:color w:val="auto"/>
          <w:highlight w:val="none"/>
        </w:rPr>
      </w:pPr>
      <w:r>
        <w:rPr>
          <w:rFonts w:hint="eastAsia"/>
          <w:color w:val="auto"/>
          <w:highlight w:val="none"/>
        </w:rPr>
        <w:t>2、投标人提供的网页信息截图打印件或证明材料复印件内容必须清晰可辨，如因网页信息截图或证明材料扫描件内容模糊导致评标时无法判断的，后果由投标人自负。</w:t>
      </w:r>
    </w:p>
    <w:p>
      <w:pPr>
        <w:snapToGrid w:val="0"/>
        <w:spacing w:before="1" w:beforeLines="100" w:line="360" w:lineRule="auto"/>
        <w:jc w:val="left"/>
        <w:outlineLvl w:val="1"/>
        <w:rPr>
          <w:rFonts w:hint="eastAsia" w:ascii="宋体" w:hAnsi="宋体" w:cs="宋体"/>
          <w:b/>
          <w:bCs/>
          <w:color w:val="auto"/>
          <w:sz w:val="28"/>
          <w:szCs w:val="32"/>
          <w:highlight w:val="none"/>
        </w:rPr>
      </w:pPr>
      <w:r>
        <w:rPr>
          <w:rFonts w:ascii="宋体" w:hAnsi="宋体"/>
          <w:color w:val="auto"/>
          <w:highlight w:val="none"/>
        </w:rPr>
        <w:br w:type="page"/>
      </w:r>
      <w:r>
        <w:rPr>
          <w:rFonts w:hint="eastAsia" w:ascii="宋体" w:hAnsi="宋体" w:cs="宋体"/>
          <w:b/>
          <w:bCs/>
          <w:color w:val="auto"/>
          <w:sz w:val="28"/>
          <w:szCs w:val="32"/>
          <w:highlight w:val="none"/>
        </w:rPr>
        <w:t>（第三章正文详见《中华人民共和国标准监理招标文件》（2017版））</w:t>
      </w:r>
    </w:p>
    <w:p>
      <w:pPr>
        <w:snapToGrid w:val="0"/>
        <w:spacing w:before="120" w:line="360" w:lineRule="auto"/>
        <w:outlineLvl w:val="2"/>
        <w:rPr>
          <w:rFonts w:hint="eastAsia" w:ascii="宋体" w:hAnsi="宋体" w:cs="宋体"/>
          <w:b/>
          <w:color w:val="auto"/>
          <w:sz w:val="28"/>
          <w:szCs w:val="28"/>
          <w:highlight w:val="none"/>
        </w:rPr>
      </w:pPr>
      <w:bookmarkStart w:id="397" w:name="_Toc529196583"/>
      <w:bookmarkStart w:id="398" w:name="_Toc515205256"/>
      <w:r>
        <w:rPr>
          <w:rFonts w:hint="eastAsia" w:ascii="宋体" w:hAnsi="宋体" w:cs="宋体"/>
          <w:b/>
          <w:color w:val="auto"/>
          <w:sz w:val="28"/>
          <w:szCs w:val="28"/>
          <w:highlight w:val="none"/>
        </w:rPr>
        <w:t>1. 评标方法</w:t>
      </w:r>
      <w:bookmarkEnd w:id="397"/>
      <w:bookmarkEnd w:id="398"/>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bookmarkEnd w:id="396"/>
      <w:r>
        <w:rPr>
          <w:rFonts w:hint="eastAsia" w:ascii="宋体" w:hAnsi="宋体"/>
          <w:color w:val="auto"/>
          <w:szCs w:val="21"/>
          <w:highlight w:val="none"/>
        </w:rPr>
        <w:t>。</w:t>
      </w:r>
    </w:p>
    <w:p>
      <w:pPr>
        <w:snapToGrid w:val="0"/>
        <w:spacing w:before="120" w:line="360" w:lineRule="auto"/>
        <w:outlineLvl w:val="2"/>
        <w:rPr>
          <w:rFonts w:ascii="宋体" w:hAnsi="宋体" w:cs="宋体"/>
          <w:b/>
          <w:color w:val="auto"/>
          <w:sz w:val="28"/>
          <w:szCs w:val="28"/>
          <w:highlight w:val="none"/>
        </w:rPr>
      </w:pPr>
      <w:bookmarkStart w:id="399" w:name="_Toc515205257"/>
      <w:bookmarkStart w:id="400" w:name="_Toc529196584"/>
      <w:r>
        <w:rPr>
          <w:rFonts w:hint="eastAsia" w:ascii="宋体" w:hAnsi="宋体" w:cs="宋体"/>
          <w:b/>
          <w:color w:val="auto"/>
          <w:sz w:val="28"/>
          <w:szCs w:val="28"/>
          <w:highlight w:val="none"/>
        </w:rPr>
        <w:t>2. 评审标准</w:t>
      </w:r>
      <w:bookmarkEnd w:id="399"/>
      <w:bookmarkEnd w:id="400"/>
    </w:p>
    <w:p>
      <w:pPr>
        <w:snapToGrid w:val="0"/>
        <w:spacing w:beforeLines="50" w:afterLines="50" w:line="360" w:lineRule="auto"/>
        <w:rPr>
          <w:rFonts w:ascii="宋体" w:hAnsi="宋体" w:cs="宋体"/>
          <w:b/>
          <w:color w:val="auto"/>
          <w:sz w:val="24"/>
          <w:szCs w:val="24"/>
          <w:highlight w:val="none"/>
        </w:rPr>
      </w:pPr>
      <w:bookmarkStart w:id="401" w:name="_Toc529196585"/>
      <w:bookmarkStart w:id="402" w:name="_Toc515205258"/>
      <w:r>
        <w:rPr>
          <w:rFonts w:hint="eastAsia" w:ascii="宋体" w:hAnsi="宋体" w:cs="宋体"/>
          <w:b/>
          <w:color w:val="auto"/>
          <w:sz w:val="24"/>
          <w:szCs w:val="24"/>
          <w:highlight w:val="none"/>
        </w:rPr>
        <w:t>2.1 初步评审标准</w:t>
      </w:r>
      <w:bookmarkEnd w:id="401"/>
      <w:bookmarkEnd w:id="402"/>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 形式评审标准：见评标办法前附表。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 资格评审标准：见评标办法前附表。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 响应性评审标准：见评标办法前附表。</w:t>
      </w:r>
    </w:p>
    <w:p>
      <w:pPr>
        <w:snapToGrid w:val="0"/>
        <w:spacing w:beforeLines="50" w:afterLines="50" w:line="360" w:lineRule="auto"/>
        <w:rPr>
          <w:rFonts w:ascii="宋体" w:hAnsi="宋体" w:cs="宋体"/>
          <w:b/>
          <w:color w:val="auto"/>
          <w:sz w:val="24"/>
          <w:szCs w:val="24"/>
          <w:highlight w:val="none"/>
        </w:rPr>
      </w:pPr>
      <w:bookmarkStart w:id="403" w:name="_Toc515205259"/>
      <w:bookmarkStart w:id="404" w:name="_Toc529196586"/>
      <w:r>
        <w:rPr>
          <w:rFonts w:hint="eastAsia" w:ascii="宋体" w:hAnsi="宋体" w:cs="宋体"/>
          <w:b/>
          <w:color w:val="auto"/>
          <w:sz w:val="24"/>
          <w:szCs w:val="24"/>
          <w:highlight w:val="none"/>
        </w:rPr>
        <w:t>2.2 分值构成与评分标准</w:t>
      </w:r>
      <w:bookmarkEnd w:id="403"/>
      <w:bookmarkEnd w:id="404"/>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分值构成：</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（1）资信业绩部分：见评标办法前附表；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（2）监理大纲部分：见评标办法前附表；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（3）投标报价：见评标办法前附表；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（4）其他评分因素：见评标办法前附表。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评标基准价计算</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评标基准价计算方法：见评标办法前附表。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 投标报价的偏差率计算</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投标报价的偏差率计算公式：见评标办法前附表。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 评分标准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（1）资信业绩评分标准：见评标办法前附表；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（2）监理大纲评分标准：见评标办法前附表；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（3）投标报价评分标准：见评标办法前附表；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（4）其他因素评分标准：见评标办法前附表。</w:t>
      </w:r>
    </w:p>
    <w:p>
      <w:pPr>
        <w:snapToGrid w:val="0"/>
        <w:spacing w:before="120" w:line="360" w:lineRule="auto"/>
        <w:outlineLvl w:val="2"/>
        <w:rPr>
          <w:rFonts w:ascii="宋体" w:hAnsi="宋体" w:cs="宋体"/>
          <w:b/>
          <w:color w:val="auto"/>
          <w:sz w:val="28"/>
          <w:szCs w:val="28"/>
          <w:highlight w:val="none"/>
        </w:rPr>
      </w:pPr>
      <w:bookmarkStart w:id="405" w:name="_Toc529196587"/>
      <w:bookmarkStart w:id="406" w:name="_Toc515205260"/>
      <w:r>
        <w:rPr>
          <w:rFonts w:hint="eastAsia" w:ascii="宋体" w:hAnsi="宋体" w:cs="宋体"/>
          <w:b/>
          <w:color w:val="auto"/>
          <w:sz w:val="28"/>
          <w:szCs w:val="28"/>
          <w:highlight w:val="none"/>
        </w:rPr>
        <w:t>3. 评标程序</w:t>
      </w:r>
      <w:bookmarkEnd w:id="405"/>
      <w:bookmarkEnd w:id="406"/>
    </w:p>
    <w:p>
      <w:pPr>
        <w:snapToGrid w:val="0"/>
        <w:spacing w:beforeLines="50" w:afterLines="50" w:line="360" w:lineRule="auto"/>
        <w:rPr>
          <w:rFonts w:ascii="宋体" w:hAnsi="宋体" w:cs="宋体"/>
          <w:b/>
          <w:color w:val="auto"/>
          <w:sz w:val="24"/>
          <w:szCs w:val="24"/>
          <w:highlight w:val="none"/>
        </w:rPr>
      </w:pPr>
      <w:bookmarkStart w:id="407" w:name="_Toc515205261"/>
      <w:bookmarkStart w:id="408" w:name="_Toc529196588"/>
      <w:r>
        <w:rPr>
          <w:rFonts w:hint="eastAsia" w:ascii="宋体" w:hAnsi="宋体" w:cs="宋体"/>
          <w:b/>
          <w:color w:val="auto"/>
          <w:sz w:val="24"/>
          <w:szCs w:val="24"/>
          <w:highlight w:val="none"/>
        </w:rPr>
        <w:t>3.1 初步评审</w:t>
      </w:r>
      <w:bookmarkEnd w:id="407"/>
      <w:bookmarkEnd w:id="408"/>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投标人有以下情形之一的，评标委员会应当否决其投标：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（1）投标文件没有对招标文件的实质性要求和条件作出响应，或者对招标文件的偏差超出招标文件规定的偏差范围或最高项数；</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（2）有串通投标、弄虚作假、行贿等违法行为。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投标报价有算术错误及其他错误的，评标委员会按以下原则要求投标人对投标报价进</w:t>
      </w:r>
      <w:bookmarkStart w:id="409" w:name="_Toc144974570"/>
      <w:bookmarkStart w:id="410" w:name="_Toc352691538"/>
      <w:bookmarkStart w:id="411" w:name="_Toc369531582"/>
      <w:bookmarkStart w:id="412" w:name="_Toc247527628"/>
      <w:bookmarkStart w:id="413" w:name="_Toc152045603"/>
      <w:bookmarkStart w:id="414" w:name="_Toc152042380"/>
      <w:bookmarkStart w:id="415" w:name="_Toc2907"/>
      <w:bookmarkStart w:id="416" w:name="_Toc247514027"/>
      <w:bookmarkStart w:id="417" w:name="_Toc300835013"/>
      <w:bookmarkStart w:id="418" w:name="_Toc384308277"/>
      <w:bookmarkStart w:id="419" w:name="_Toc361508651"/>
      <w:r>
        <w:rPr>
          <w:rFonts w:hint="eastAsia" w:ascii="宋体" w:hAnsi="宋体"/>
          <w:color w:val="auto"/>
          <w:szCs w:val="21"/>
          <w:highlight w:val="none"/>
        </w:rPr>
        <w:t>行修正，并要求投标人书面澄清确认。</w:t>
      </w:r>
      <w:bookmarkEnd w:id="409"/>
      <w:bookmarkEnd w:id="410"/>
      <w:bookmarkEnd w:id="411"/>
      <w:bookmarkEnd w:id="412"/>
      <w:bookmarkEnd w:id="413"/>
      <w:bookmarkEnd w:id="414"/>
      <w:bookmarkEnd w:id="415"/>
      <w:bookmarkEnd w:id="416"/>
      <w:bookmarkEnd w:id="417"/>
      <w:bookmarkEnd w:id="418"/>
      <w:bookmarkEnd w:id="419"/>
      <w:r>
        <w:rPr>
          <w:rFonts w:hint="eastAsia" w:ascii="宋体" w:hAnsi="宋体"/>
          <w:color w:val="auto"/>
          <w:szCs w:val="21"/>
          <w:highlight w:val="none"/>
        </w:rPr>
        <w:t>投标人拒不澄清确认的，评标委员会应当否决其投标：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（1）投标文件中的大写金额与小写金额不一致的，以大写金额为准；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（2）总价金额与单价金额不一致的，以单价金额为准，但单价金额小数点有明显错误的除外。</w:t>
      </w:r>
    </w:p>
    <w:p>
      <w:pPr>
        <w:snapToGrid w:val="0"/>
        <w:spacing w:beforeLines="50" w:afterLines="50" w:line="360" w:lineRule="auto"/>
        <w:rPr>
          <w:rFonts w:ascii="宋体" w:hAnsi="宋体" w:cs="宋体"/>
          <w:b/>
          <w:color w:val="auto"/>
          <w:sz w:val="24"/>
          <w:szCs w:val="24"/>
          <w:highlight w:val="none"/>
        </w:rPr>
      </w:pPr>
      <w:bookmarkStart w:id="420" w:name="_Toc515205262"/>
      <w:bookmarkStart w:id="421" w:name="_Toc529196589"/>
      <w:r>
        <w:rPr>
          <w:rFonts w:hint="eastAsia" w:ascii="宋体" w:hAnsi="宋体" w:cs="宋体"/>
          <w:b/>
          <w:color w:val="auto"/>
          <w:sz w:val="24"/>
          <w:szCs w:val="24"/>
          <w:highlight w:val="none"/>
        </w:rPr>
        <w:t>3.2 详细评审</w:t>
      </w:r>
      <w:bookmarkEnd w:id="420"/>
      <w:bookmarkEnd w:id="421"/>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 评标委员会按本章第2.2款规定的量化因素和分值进行打分，并计算出综合评估得分。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（1）按本章第 2.2.4（1）目规定的评审因素和分值对资信业绩部分计算出得分 A；</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（2）按本章第 2.2.4（2）目规定的评审因素和分值对监理大纲部分计算出得分 B；</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（3）按本章第 2.2.4（3）目规定的评审因素和分值对投标报价计算出得分 C；</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（4）按本章第 2.2.4（4）目规定的评审因素和分值对其他部分计算出得分 D。</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 评分分值计算保留小数点后两位，小数点后第三位“四舍五入”。</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3.2.3 投标人得分=A+B+C</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napToGrid w:val="0"/>
        <w:spacing w:beforeLines="50" w:afterLines="50" w:line="360" w:lineRule="auto"/>
        <w:rPr>
          <w:rFonts w:ascii="宋体" w:hAnsi="宋体" w:cs="宋体"/>
          <w:b/>
          <w:color w:val="auto"/>
          <w:sz w:val="24"/>
          <w:szCs w:val="24"/>
          <w:highlight w:val="none"/>
        </w:rPr>
      </w:pPr>
      <w:bookmarkStart w:id="422" w:name="_Toc529196590"/>
      <w:bookmarkStart w:id="423" w:name="_Toc515205263"/>
      <w:r>
        <w:rPr>
          <w:rFonts w:hint="eastAsia" w:ascii="宋体" w:hAnsi="宋体" w:cs="宋体"/>
          <w:b/>
          <w:color w:val="auto"/>
          <w:sz w:val="24"/>
          <w:szCs w:val="24"/>
          <w:highlight w:val="none"/>
        </w:rPr>
        <w:t>3.3 投标文件的澄清</w:t>
      </w:r>
      <w:bookmarkEnd w:id="422"/>
      <w:bookmarkEnd w:id="423"/>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 澄清、说明或补正不得超出投标文件的范围且不得改变投标文件的实质性内容，并构成投标文件的组成部分。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3.3.3 评标委员会对投标人提交的澄清、说明或补正有疑问的，可以要求投标人进一步澄清、说明或补正，直至满足评标委员会的要求。</w:t>
      </w:r>
    </w:p>
    <w:p>
      <w:pPr>
        <w:snapToGrid w:val="0"/>
        <w:spacing w:beforeLines="50" w:afterLines="50" w:line="360" w:lineRule="auto"/>
        <w:rPr>
          <w:rFonts w:ascii="宋体" w:hAnsi="宋体" w:cs="宋体"/>
          <w:b/>
          <w:color w:val="auto"/>
          <w:sz w:val="24"/>
          <w:szCs w:val="24"/>
          <w:highlight w:val="none"/>
        </w:rPr>
      </w:pPr>
      <w:bookmarkStart w:id="424" w:name="_Toc529196591"/>
      <w:bookmarkStart w:id="425" w:name="_Toc515205264"/>
      <w:r>
        <w:rPr>
          <w:rFonts w:hint="eastAsia" w:ascii="宋体" w:hAnsi="宋体" w:cs="宋体"/>
          <w:b/>
          <w:color w:val="auto"/>
          <w:sz w:val="24"/>
          <w:szCs w:val="24"/>
          <w:highlight w:val="none"/>
        </w:rPr>
        <w:t>3.4 评标结果</w:t>
      </w:r>
      <w:bookmarkEnd w:id="424"/>
      <w:bookmarkEnd w:id="425"/>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除第二章“投标人须知”前附表授权直接确定中标人外，评标委员会按照得分由高到低的顺序推荐中标候选人，并标明排序。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3.4.2 评标委员会完成评标后，应当向招标人提交书面评标报告和中标候选人名单。</w:t>
      </w:r>
    </w:p>
    <w:p>
      <w:pPr>
        <w:pStyle w:val="3"/>
        <w:keepNext w:val="0"/>
        <w:keepLines w:val="0"/>
        <w:spacing w:before="120" w:line="240" w:lineRule="auto"/>
        <w:jc w:val="center"/>
        <w:rPr>
          <w:rFonts w:ascii="宋体" w:hAnsi="宋体"/>
          <w:color w:val="auto"/>
          <w:sz w:val="36"/>
          <w:szCs w:val="16"/>
          <w:highlight w:val="none"/>
        </w:rPr>
      </w:pPr>
      <w:r>
        <w:rPr>
          <w:rFonts w:hint="eastAsia" w:ascii="宋体" w:hAnsi="宋体"/>
          <w:color w:val="auto"/>
          <w:highlight w:val="none"/>
        </w:rPr>
        <w:br w:type="page"/>
      </w:r>
      <w:bookmarkStart w:id="426" w:name="_Toc29225"/>
      <w:r>
        <w:rPr>
          <w:rFonts w:hint="eastAsia" w:ascii="宋体" w:hAnsi="宋体"/>
          <w:color w:val="auto"/>
          <w:sz w:val="36"/>
          <w:szCs w:val="16"/>
          <w:highlight w:val="none"/>
        </w:rPr>
        <w:t>第四章 合同条款及格式</w:t>
      </w:r>
      <w:bookmarkEnd w:id="426"/>
    </w:p>
    <w:p>
      <w:pPr>
        <w:spacing w:line="360" w:lineRule="auto"/>
        <w:jc w:val="center"/>
        <w:rPr>
          <w:b/>
          <w:color w:val="auto"/>
          <w:sz w:val="28"/>
          <w:szCs w:val="21"/>
          <w:highlight w:val="none"/>
        </w:rPr>
      </w:pPr>
      <w:r>
        <w:rPr>
          <w:rFonts w:hint="eastAsia"/>
          <w:b/>
          <w:color w:val="auto"/>
          <w:sz w:val="28"/>
          <w:szCs w:val="21"/>
          <w:highlight w:val="none"/>
        </w:rPr>
        <w:t>（另附）</w:t>
      </w:r>
    </w:p>
    <w:p>
      <w:pPr>
        <w:widowControl/>
        <w:jc w:val="left"/>
        <w:rPr>
          <w:color w:val="auto"/>
          <w:sz w:val="18"/>
          <w:highlight w:val="none"/>
        </w:rPr>
      </w:pPr>
    </w:p>
    <w:p>
      <w:pPr>
        <w:widowControl/>
        <w:jc w:val="left"/>
        <w:rPr>
          <w:color w:val="auto"/>
          <w:sz w:val="18"/>
          <w:highlight w:val="none"/>
        </w:rPr>
        <w:sectPr>
          <w:pgSz w:w="11906" w:h="16838"/>
          <w:pgMar w:top="1247" w:right="1418" w:bottom="1247" w:left="1418" w:header="0" w:footer="748" w:gutter="0"/>
          <w:cols w:space="720" w:num="1"/>
          <w:docGrid w:type="linesAndChars" w:linePitch="1" w:charSpace="0"/>
        </w:sectPr>
      </w:pPr>
    </w:p>
    <w:p>
      <w:pPr>
        <w:pStyle w:val="3"/>
        <w:keepNext w:val="0"/>
        <w:keepLines w:val="0"/>
        <w:spacing w:before="120" w:line="240" w:lineRule="auto"/>
        <w:jc w:val="center"/>
        <w:rPr>
          <w:rFonts w:ascii="宋体" w:hAnsi="宋体"/>
          <w:color w:val="auto"/>
          <w:highlight w:val="none"/>
        </w:rPr>
      </w:pPr>
      <w:bookmarkStart w:id="427" w:name="_Toc1089"/>
      <w:bookmarkStart w:id="428" w:name="_Toc246996338"/>
      <w:bookmarkStart w:id="429" w:name="_Toc247085853"/>
      <w:bookmarkStart w:id="430" w:name="_Toc179632787"/>
      <w:bookmarkStart w:id="431" w:name="_Toc246997081"/>
      <w:bookmarkStart w:id="432" w:name="_Toc144974578"/>
      <w:bookmarkStart w:id="433" w:name="_Toc152045610"/>
      <w:bookmarkStart w:id="434" w:name="_Toc152042549"/>
      <w:bookmarkStart w:id="435" w:name="_Toc300835199"/>
      <w:bookmarkStart w:id="436" w:name="_Toc152042388"/>
      <w:bookmarkStart w:id="437" w:name="_Toc184635122"/>
      <w:bookmarkStart w:id="438" w:name="_Toc144974829"/>
      <w:bookmarkStart w:id="439" w:name="_Toc247527798"/>
      <w:bookmarkStart w:id="440" w:name="_Toc247514197"/>
      <w:r>
        <w:rPr>
          <w:rFonts w:hint="eastAsia" w:ascii="宋体" w:hAnsi="宋体"/>
          <w:color w:val="auto"/>
          <w:highlight w:val="none"/>
        </w:rPr>
        <w:t>第二卷</w:t>
      </w:r>
      <w:bookmarkEnd w:id="427"/>
    </w:p>
    <w:p>
      <w:pPr>
        <w:pStyle w:val="3"/>
        <w:keepNext w:val="0"/>
        <w:keepLines w:val="0"/>
        <w:spacing w:before="120" w:line="240" w:lineRule="auto"/>
        <w:jc w:val="center"/>
        <w:rPr>
          <w:rFonts w:ascii="宋体" w:hAnsi="宋体"/>
          <w:color w:val="auto"/>
          <w:sz w:val="36"/>
          <w:szCs w:val="16"/>
          <w:highlight w:val="none"/>
        </w:rPr>
      </w:pPr>
      <w:bookmarkStart w:id="441" w:name="_Toc32463"/>
      <w:r>
        <w:rPr>
          <w:rFonts w:hint="eastAsia" w:ascii="宋体" w:hAnsi="宋体"/>
          <w:color w:val="auto"/>
          <w:sz w:val="36"/>
          <w:szCs w:val="16"/>
          <w:highlight w:val="none"/>
        </w:rPr>
        <w:t>第五章 委托人要求</w:t>
      </w:r>
      <w:bookmarkEnd w:id="428"/>
      <w:bookmarkEnd w:id="429"/>
      <w:bookmarkEnd w:id="430"/>
      <w:bookmarkEnd w:id="431"/>
      <w:bookmarkEnd w:id="441"/>
      <w:bookmarkStart w:id="442" w:name="_Toc525827491"/>
      <w:bookmarkStart w:id="443" w:name="_Toc530470634"/>
      <w:bookmarkStart w:id="444" w:name="_Toc386995907"/>
      <w:bookmarkStart w:id="445" w:name="_Toc529196595"/>
      <w:bookmarkStart w:id="446" w:name="_Toc535938725"/>
      <w:bookmarkStart w:id="447" w:name="_Toc497745189"/>
      <w:bookmarkStart w:id="448" w:name="_Toc525828225"/>
    </w:p>
    <w:bookmarkEnd w:id="442"/>
    <w:bookmarkEnd w:id="443"/>
    <w:bookmarkEnd w:id="444"/>
    <w:bookmarkEnd w:id="445"/>
    <w:bookmarkEnd w:id="446"/>
    <w:bookmarkEnd w:id="447"/>
    <w:bookmarkEnd w:id="448"/>
    <w:p>
      <w:pPr>
        <w:jc w:val="center"/>
        <w:rPr>
          <w:rFonts w:ascii="宋体" w:hAnsi="宋体"/>
          <w:b/>
          <w:color w:val="auto"/>
          <w:sz w:val="21"/>
          <w:szCs w:val="21"/>
          <w:highlight w:val="none"/>
        </w:rPr>
      </w:pPr>
      <w:bookmarkStart w:id="449" w:name="_Toc497745205"/>
      <w:bookmarkEnd w:id="449"/>
      <w:bookmarkStart w:id="450" w:name="_Toc15598"/>
      <w:bookmarkEnd w:id="450"/>
      <w:bookmarkStart w:id="451" w:name="_Toc6575"/>
      <w:bookmarkEnd w:id="451"/>
      <w:bookmarkStart w:id="452" w:name="_Toc1244"/>
      <w:bookmarkEnd w:id="452"/>
      <w:r>
        <w:rPr>
          <w:rFonts w:hint="eastAsia" w:ascii="宋体" w:hAnsi="宋体"/>
          <w:b/>
          <w:color w:val="auto"/>
          <w:sz w:val="21"/>
          <w:szCs w:val="21"/>
          <w:highlight w:val="none"/>
        </w:rPr>
        <w:t>委托人要求通常包括但不限于以下内容：</w:t>
      </w:r>
    </w:p>
    <w:p>
      <w:pPr>
        <w:pStyle w:val="4"/>
        <w:keepNext w:val="0"/>
        <w:keepLines w:val="0"/>
        <w:spacing w:line="240" w:lineRule="auto"/>
        <w:rPr>
          <w:rFonts w:ascii="宋体" w:hAnsi="宋体" w:eastAsia="宋体"/>
          <w:b w:val="0"/>
          <w:color w:val="auto"/>
          <w:sz w:val="21"/>
          <w:szCs w:val="21"/>
          <w:highlight w:val="none"/>
        </w:rPr>
      </w:pPr>
      <w:bookmarkStart w:id="453" w:name="_Toc535327235"/>
      <w:bookmarkStart w:id="454" w:name="_Toc511557110"/>
      <w:bookmarkStart w:id="455" w:name="_Toc482188637"/>
      <w:r>
        <w:rPr>
          <w:rFonts w:hint="eastAsia" w:ascii="宋体" w:hAnsi="宋体" w:eastAsia="宋体"/>
          <w:b w:val="0"/>
          <w:color w:val="auto"/>
          <w:sz w:val="21"/>
          <w:szCs w:val="21"/>
          <w:highlight w:val="none"/>
        </w:rPr>
        <w:t>一、监理要求</w:t>
      </w:r>
      <w:bookmarkEnd w:id="453"/>
      <w:bookmarkEnd w:id="454"/>
      <w:bookmarkEnd w:id="455"/>
    </w:p>
    <w:p>
      <w:pPr>
        <w:spacing w:line="440" w:lineRule="exact"/>
        <w:ind w:firstLine="412" w:firstLineChars="171"/>
        <w:rPr>
          <w:rFonts w:ascii="宋体" w:hAnsi="宋体"/>
          <w:b/>
          <w:color w:val="auto"/>
          <w:sz w:val="24"/>
          <w:highlight w:val="none"/>
        </w:rPr>
      </w:pPr>
      <w:r>
        <w:rPr>
          <w:rFonts w:hint="eastAsia" w:ascii="宋体" w:hAnsi="宋体"/>
          <w:b/>
          <w:color w:val="auto"/>
          <w:sz w:val="24"/>
          <w:highlight w:val="none"/>
        </w:rPr>
        <w:t>招标人应当根据项目情况在本章中明确相应的监理要求，一般应包括以下内容：</w:t>
      </w:r>
    </w:p>
    <w:p>
      <w:pPr>
        <w:tabs>
          <w:tab w:val="left" w:pos="7513"/>
        </w:tabs>
        <w:spacing w:line="360" w:lineRule="auto"/>
        <w:ind w:firstLine="371" w:firstLineChars="177"/>
        <w:rPr>
          <w:rFonts w:hint="eastAsia" w:ascii="宋体" w:hAnsi="宋体"/>
          <w:color w:val="auto"/>
          <w:sz w:val="21"/>
          <w:szCs w:val="21"/>
          <w:highlight w:val="none"/>
        </w:rPr>
      </w:pPr>
      <w:r>
        <w:rPr>
          <w:rFonts w:hint="eastAsia" w:ascii="宋体" w:hAnsi="宋体"/>
          <w:color w:val="auto"/>
          <w:sz w:val="21"/>
          <w:szCs w:val="21"/>
          <w:highlight w:val="none"/>
        </w:rPr>
        <w:t>1. 项目概况：本项目包括二期扩建工程（新增一条600t/d垃圾焚烧线设备、1台12MW汽轮发电机、二期汽机间、一套烟气净化系统、220t/d渗滤液处理系统、高低压配电装置、冷却塔、净水系统、化水系统、自动化控制系统及辅助工程等）等。</w:t>
      </w:r>
    </w:p>
    <w:p>
      <w:pPr>
        <w:shd w:val="clear" w:color="auto" w:fill="FFFFFF"/>
        <w:adjustRightInd w:val="0"/>
        <w:spacing w:line="360" w:lineRule="auto"/>
        <w:ind w:firstLine="367" w:firstLineChars="175"/>
        <w:jc w:val="left"/>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监理范围及内容</w:t>
      </w:r>
    </w:p>
    <w:p>
      <w:pPr>
        <w:tabs>
          <w:tab w:val="left" w:pos="7513"/>
        </w:tabs>
        <w:spacing w:line="360" w:lineRule="auto"/>
        <w:ind w:firstLine="371" w:firstLineChars="177"/>
        <w:rPr>
          <w:rFonts w:ascii="宋体" w:hAnsi="宋体"/>
          <w:color w:val="auto"/>
          <w:sz w:val="21"/>
          <w:szCs w:val="21"/>
          <w:highlight w:val="none"/>
        </w:rPr>
      </w:pPr>
      <w:r>
        <w:rPr>
          <w:rFonts w:hint="eastAsia" w:ascii="宋体" w:hAnsi="宋体"/>
          <w:color w:val="auto"/>
          <w:sz w:val="21"/>
          <w:szCs w:val="21"/>
          <w:highlight w:val="none"/>
        </w:rPr>
        <w:t>（1）本工程施工准备阶段、施工阶段、工程收尾阶段（包括但不限于进度款支付审批、竣工验收、整改、工程移交、工程结算等）及工程质量保修阶段的质量控制、职业健康安全及环境监督管理、成本控制、进度控制、合同管理、信息管理、组织协调的相关工作等监理工作。</w:t>
      </w:r>
    </w:p>
    <w:p>
      <w:pPr>
        <w:tabs>
          <w:tab w:val="left" w:pos="7513"/>
        </w:tabs>
        <w:spacing w:line="360" w:lineRule="auto"/>
        <w:ind w:firstLine="371" w:firstLineChars="177"/>
        <w:rPr>
          <w:rFonts w:ascii="宋体" w:hAnsi="宋体"/>
          <w:color w:val="auto"/>
          <w:sz w:val="21"/>
          <w:szCs w:val="21"/>
          <w:highlight w:val="none"/>
        </w:rPr>
      </w:pPr>
      <w:r>
        <w:rPr>
          <w:rFonts w:hint="eastAsia" w:ascii="宋体" w:hAnsi="宋体"/>
          <w:color w:val="auto"/>
          <w:sz w:val="21"/>
          <w:szCs w:val="21"/>
          <w:highlight w:val="none"/>
        </w:rPr>
        <w:t>（2）除上述工作范围外，监理人还须按委托人的要求提前进场参与开工前期的准备和筹划工作，协助委托人制定工程管理办法、各参建方职责及有关事务性工作等。</w:t>
      </w:r>
    </w:p>
    <w:p>
      <w:pPr>
        <w:tabs>
          <w:tab w:val="left" w:pos="7513"/>
        </w:tabs>
        <w:spacing w:line="360" w:lineRule="auto"/>
        <w:ind w:firstLine="371" w:firstLineChars="177"/>
        <w:rPr>
          <w:rFonts w:hint="eastAsia" w:ascii="宋体" w:hAnsi="宋体"/>
          <w:color w:val="auto"/>
          <w:sz w:val="21"/>
          <w:szCs w:val="21"/>
          <w:highlight w:val="none"/>
        </w:rPr>
      </w:pPr>
      <w:r>
        <w:rPr>
          <w:rFonts w:hint="eastAsia" w:ascii="宋体" w:hAnsi="宋体"/>
          <w:color w:val="auto"/>
          <w:sz w:val="21"/>
          <w:szCs w:val="21"/>
          <w:highlight w:val="none"/>
        </w:rPr>
        <w:t>（3）监理服务期：从监理人收到中标通知书起算，至所有工程保修期结束且办妥竣工结算止（此处竣工结算指政府终审部门进行的竣工结算）,包括本工程的施工准备期、全过程施工期、工程收尾期、工程质量保修等全过程监理服务。</w:t>
      </w:r>
    </w:p>
    <w:p>
      <w:pPr>
        <w:pStyle w:val="2"/>
        <w:rPr>
          <w:rFonts w:hint="eastAsia" w:hAnsi="宋体"/>
          <w:color w:val="auto"/>
          <w:kern w:val="2"/>
          <w:sz w:val="21"/>
          <w:szCs w:val="21"/>
          <w:highlight w:val="none"/>
        </w:rPr>
      </w:pPr>
      <w:r>
        <w:rPr>
          <w:rFonts w:hint="eastAsia" w:hAnsi="宋体"/>
          <w:color w:val="auto"/>
          <w:kern w:val="2"/>
          <w:sz w:val="21"/>
          <w:szCs w:val="21"/>
          <w:highlight w:val="none"/>
        </w:rPr>
        <w:t>（4）拟派项目总监理工程师市政公用工程专业，驻地专业监理工程师5名及以上（其中须包含1名机电安装专业监理工程师、1名电气工程专业监理工程师、1名市政公用工程专业监理工程师、1名房屋建筑工程专业监理工程师、1名安全监理工程专业监理工程师），监理员4名及以上。</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监理依据：</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）适用的法律、行政法规及部门规章；</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）与工程有关的规范、标准、规程；</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）工程勘察文件、设计文件及其他文件；</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）本工程监理的委托合同及补充合同；</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5</w:t>
      </w:r>
      <w:r>
        <w:rPr>
          <w:rFonts w:hint="eastAsia" w:ascii="宋体" w:hAnsi="宋体"/>
          <w:color w:val="auto"/>
          <w:sz w:val="21"/>
          <w:szCs w:val="21"/>
          <w:highlight w:val="none"/>
        </w:rPr>
        <w:t>）委托人签订的勘察、设计和施工承包合同；</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6</w:t>
      </w:r>
      <w:r>
        <w:rPr>
          <w:rFonts w:hint="eastAsia" w:ascii="宋体" w:hAnsi="宋体"/>
          <w:color w:val="auto"/>
          <w:sz w:val="21"/>
          <w:szCs w:val="21"/>
          <w:highlight w:val="none"/>
        </w:rPr>
        <w:t>）合同履行中与监理服务有关的来往函件；</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7</w:t>
      </w:r>
      <w:r>
        <w:rPr>
          <w:rFonts w:hint="eastAsia" w:ascii="宋体" w:hAnsi="宋体"/>
          <w:color w:val="auto"/>
          <w:sz w:val="21"/>
          <w:szCs w:val="21"/>
          <w:highlight w:val="none"/>
        </w:rPr>
        <w:t>）其他监理依据。</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监理的技术要求：</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）符合法律、行政法规及部门规章；</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）符合本工程有关的规范、标准、规程；</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监理工作目标要求</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①质量控制目标：</w:t>
      </w:r>
      <w:r>
        <w:rPr>
          <w:rFonts w:hint="eastAsia" w:ascii="宋体" w:hAnsi="宋体"/>
          <w:color w:val="auto"/>
          <w:sz w:val="21"/>
          <w:szCs w:val="21"/>
          <w:highlight w:val="none"/>
          <w:u w:val="single"/>
        </w:rPr>
        <w:t>工程质量达到一次验收合格标准。</w:t>
      </w:r>
    </w:p>
    <w:p>
      <w:pPr>
        <w:spacing w:line="440" w:lineRule="exact"/>
        <w:ind w:left="315" w:leftChars="150" w:firstLine="44" w:firstLineChars="21"/>
        <w:rPr>
          <w:rFonts w:ascii="宋体" w:hAnsi="宋体"/>
          <w:color w:val="auto"/>
          <w:sz w:val="21"/>
          <w:szCs w:val="21"/>
          <w:highlight w:val="none"/>
        </w:rPr>
      </w:pPr>
      <w:r>
        <w:rPr>
          <w:rFonts w:hint="eastAsia" w:ascii="宋体" w:hAnsi="宋体"/>
          <w:color w:val="auto"/>
          <w:sz w:val="21"/>
          <w:szCs w:val="21"/>
          <w:highlight w:val="none"/>
        </w:rPr>
        <w:t>②进度控制目标：</w:t>
      </w:r>
      <w:r>
        <w:rPr>
          <w:rFonts w:hint="eastAsia" w:ascii="宋体" w:hAnsi="宋体"/>
          <w:color w:val="auto"/>
          <w:sz w:val="21"/>
          <w:szCs w:val="21"/>
          <w:highlight w:val="none"/>
          <w:u w:val="single"/>
        </w:rPr>
        <w:t>按委托人对工期的要求进行进度目标控制。</w:t>
      </w:r>
    </w:p>
    <w:p>
      <w:pPr>
        <w:spacing w:line="440" w:lineRule="exact"/>
        <w:ind w:left="2039" w:leftChars="171" w:hanging="1680" w:hangingChars="800"/>
        <w:rPr>
          <w:rFonts w:ascii="宋体" w:hAnsi="宋体"/>
          <w:color w:val="auto"/>
          <w:sz w:val="21"/>
          <w:szCs w:val="21"/>
          <w:highlight w:val="none"/>
        </w:rPr>
      </w:pPr>
      <w:r>
        <w:rPr>
          <w:rFonts w:hint="eastAsia" w:ascii="宋体" w:hAnsi="宋体"/>
          <w:color w:val="auto"/>
          <w:sz w:val="21"/>
          <w:szCs w:val="21"/>
          <w:highlight w:val="none"/>
        </w:rPr>
        <w:t>③投资控制目标：</w:t>
      </w:r>
      <w:r>
        <w:rPr>
          <w:rFonts w:hint="eastAsia" w:ascii="宋体" w:hAnsi="宋体"/>
          <w:color w:val="auto"/>
          <w:sz w:val="21"/>
          <w:szCs w:val="21"/>
          <w:highlight w:val="none"/>
          <w:u w:val="single"/>
        </w:rPr>
        <w:t>投资控制在工程概算内。</w:t>
      </w:r>
    </w:p>
    <w:p>
      <w:pPr>
        <w:spacing w:line="440" w:lineRule="exact"/>
        <w:ind w:left="315" w:leftChars="150" w:firstLine="44" w:firstLineChars="21"/>
        <w:rPr>
          <w:rFonts w:ascii="宋体" w:hAnsi="宋体"/>
          <w:color w:val="auto"/>
          <w:sz w:val="21"/>
          <w:szCs w:val="21"/>
          <w:highlight w:val="none"/>
          <w:u w:val="single"/>
        </w:rPr>
      </w:pPr>
      <w:r>
        <w:rPr>
          <w:rFonts w:hint="eastAsia" w:ascii="宋体" w:hAnsi="宋体"/>
          <w:color w:val="auto"/>
          <w:sz w:val="21"/>
          <w:szCs w:val="21"/>
          <w:highlight w:val="none"/>
        </w:rPr>
        <w:t>④安全生产文明施工控制目标：</w:t>
      </w:r>
      <w:r>
        <w:rPr>
          <w:rFonts w:hint="eastAsia" w:ascii="宋体" w:hAnsi="宋体"/>
          <w:color w:val="auto"/>
          <w:sz w:val="21"/>
          <w:szCs w:val="21"/>
          <w:highlight w:val="none"/>
          <w:u w:val="single"/>
        </w:rPr>
        <w:t>确保工程无人员死亡事故；确保实施期内有关建设人员不违反委托人安全监管规定。</w:t>
      </w:r>
    </w:p>
    <w:p>
      <w:pPr>
        <w:spacing w:line="440" w:lineRule="exact"/>
        <w:ind w:left="315" w:leftChars="150" w:firstLine="44" w:firstLineChars="21"/>
        <w:rPr>
          <w:rFonts w:ascii="宋体" w:hAnsi="宋体"/>
          <w:color w:val="auto"/>
          <w:sz w:val="21"/>
          <w:szCs w:val="21"/>
          <w:highlight w:val="none"/>
          <w:u w:val="single"/>
        </w:rPr>
      </w:pPr>
      <w:r>
        <w:rPr>
          <w:rFonts w:hint="eastAsia" w:ascii="宋体" w:hAnsi="宋体"/>
          <w:color w:val="auto"/>
          <w:sz w:val="21"/>
          <w:szCs w:val="21"/>
          <w:highlight w:val="none"/>
        </w:rPr>
        <w:t>⑤</w:t>
      </w:r>
      <w:r>
        <w:rPr>
          <w:rFonts w:hint="eastAsia" w:ascii="宋体" w:hAnsi="宋体"/>
          <w:color w:val="auto"/>
          <w:sz w:val="21"/>
          <w:szCs w:val="21"/>
          <w:highlight w:val="none"/>
          <w:u w:val="single"/>
        </w:rPr>
        <w:t>职业健康安全管理目标：杜绝一般事故等级以上的伤亡事故且工伤责任事故死亡人数为零。</w:t>
      </w:r>
    </w:p>
    <w:p>
      <w:pPr>
        <w:spacing w:line="440" w:lineRule="exact"/>
        <w:ind w:left="315" w:leftChars="150" w:firstLine="44" w:firstLineChars="21"/>
        <w:rPr>
          <w:rFonts w:ascii="宋体" w:hAnsi="宋体"/>
          <w:color w:val="auto"/>
          <w:sz w:val="21"/>
          <w:szCs w:val="21"/>
          <w:highlight w:val="none"/>
        </w:rPr>
      </w:pPr>
      <w:r>
        <w:rPr>
          <w:rFonts w:hint="eastAsia" w:ascii="宋体" w:hAnsi="宋体"/>
          <w:color w:val="auto"/>
          <w:sz w:val="21"/>
          <w:szCs w:val="21"/>
          <w:highlight w:val="none"/>
        </w:rPr>
        <w:t>⑥合同管理目标：</w:t>
      </w:r>
      <w:r>
        <w:rPr>
          <w:rFonts w:ascii="宋体" w:hAnsi="宋体"/>
          <w:color w:val="auto"/>
          <w:sz w:val="21"/>
          <w:szCs w:val="21"/>
          <w:highlight w:val="none"/>
        </w:rPr>
        <w:t>/</w:t>
      </w:r>
    </w:p>
    <w:p>
      <w:pPr>
        <w:spacing w:line="440" w:lineRule="exact"/>
        <w:ind w:left="315" w:leftChars="150" w:firstLine="44" w:firstLineChars="21"/>
        <w:rPr>
          <w:rFonts w:ascii="宋体" w:hAnsi="宋体"/>
          <w:color w:val="auto"/>
          <w:sz w:val="21"/>
          <w:szCs w:val="21"/>
          <w:highlight w:val="none"/>
        </w:rPr>
      </w:pPr>
      <w:r>
        <w:rPr>
          <w:rFonts w:hint="eastAsia" w:ascii="宋体" w:hAnsi="宋体"/>
          <w:color w:val="auto"/>
          <w:sz w:val="21"/>
          <w:szCs w:val="21"/>
          <w:highlight w:val="none"/>
        </w:rPr>
        <w:t>⑦信息管理目标：</w:t>
      </w:r>
      <w:r>
        <w:rPr>
          <w:rFonts w:ascii="宋体" w:hAnsi="宋体"/>
          <w:color w:val="auto"/>
          <w:sz w:val="21"/>
          <w:szCs w:val="21"/>
          <w:highlight w:val="none"/>
        </w:rPr>
        <w:t>/</w:t>
      </w:r>
    </w:p>
    <w:p>
      <w:pPr>
        <w:spacing w:line="440" w:lineRule="exact"/>
        <w:ind w:left="315" w:leftChars="150" w:firstLine="44" w:firstLineChars="21"/>
        <w:rPr>
          <w:rFonts w:ascii="宋体" w:hAnsi="宋体"/>
          <w:color w:val="auto"/>
          <w:sz w:val="21"/>
          <w:szCs w:val="21"/>
          <w:highlight w:val="none"/>
        </w:rPr>
      </w:pPr>
      <w:r>
        <w:rPr>
          <w:rFonts w:ascii="宋体" w:hAnsi="宋体"/>
          <w:color w:val="auto"/>
          <w:sz w:val="21"/>
          <w:szCs w:val="21"/>
          <w:highlight w:val="none"/>
        </w:rPr>
        <w:fldChar w:fldCharType="begin"/>
      </w:r>
      <w:r>
        <w:rPr>
          <w:rFonts w:hint="eastAsia" w:ascii="宋体" w:hAnsi="宋体"/>
          <w:color w:val="auto"/>
          <w:sz w:val="21"/>
          <w:szCs w:val="21"/>
          <w:highlight w:val="none"/>
        </w:rPr>
        <w:instrText xml:space="preserve">eq \o\ac(</w:instrText>
      </w:r>
      <w:r>
        <w:rPr>
          <w:rFonts w:hint="eastAsia" w:ascii="宋体" w:hAnsi="宋体"/>
          <w:color w:val="auto"/>
          <w:position w:val="-4"/>
          <w:sz w:val="31"/>
          <w:szCs w:val="21"/>
          <w:highlight w:val="none"/>
        </w:rPr>
        <w:instrText xml:space="preserve">○</w:instrText>
      </w:r>
      <w:r>
        <w:rPr>
          <w:rFonts w:hint="eastAsia" w:ascii="宋体" w:hAnsi="宋体"/>
          <w:color w:val="auto"/>
          <w:position w:val="0"/>
          <w:sz w:val="21"/>
          <w:szCs w:val="21"/>
          <w:highlight w:val="none"/>
        </w:rPr>
        <w:instrText xml:space="preserve">,8)</w:instrText>
      </w:r>
      <w:r>
        <w:rPr>
          <w:rFonts w:ascii="宋体" w:hAnsi="宋体"/>
          <w:color w:val="auto"/>
          <w:sz w:val="21"/>
          <w:szCs w:val="21"/>
          <w:highlight w:val="none"/>
        </w:rPr>
        <w:fldChar w:fldCharType="end"/>
      </w:r>
      <w:r>
        <w:rPr>
          <w:rFonts w:hint="eastAsia" w:ascii="宋体" w:hAnsi="宋体"/>
          <w:color w:val="auto"/>
          <w:sz w:val="21"/>
          <w:szCs w:val="21"/>
          <w:highlight w:val="none"/>
        </w:rPr>
        <w:t>建筑节能目标：</w:t>
      </w:r>
      <w:r>
        <w:rPr>
          <w:rFonts w:ascii="宋体" w:hAnsi="宋体"/>
          <w:color w:val="auto"/>
          <w:sz w:val="21"/>
          <w:szCs w:val="21"/>
          <w:highlight w:val="none"/>
        </w:rPr>
        <w:t>/</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 xml:space="preserve">. </w:t>
      </w:r>
      <w:r>
        <w:rPr>
          <w:rFonts w:hint="eastAsia" w:ascii="宋体" w:hAnsi="宋体"/>
          <w:color w:val="auto"/>
          <w:sz w:val="21"/>
          <w:szCs w:val="21"/>
          <w:highlight w:val="none"/>
        </w:rPr>
        <w:t>其他要求</w:t>
      </w:r>
    </w:p>
    <w:p>
      <w:pPr>
        <w:pStyle w:val="4"/>
        <w:keepNext w:val="0"/>
        <w:keepLines w:val="0"/>
        <w:spacing w:line="240" w:lineRule="auto"/>
        <w:rPr>
          <w:rFonts w:ascii="宋体" w:hAnsi="宋体" w:eastAsia="宋体"/>
          <w:b w:val="0"/>
          <w:color w:val="auto"/>
          <w:sz w:val="21"/>
          <w:szCs w:val="21"/>
          <w:highlight w:val="none"/>
        </w:rPr>
      </w:pPr>
      <w:bookmarkStart w:id="456" w:name="_Toc535327236"/>
      <w:bookmarkStart w:id="457" w:name="_Toc511557111"/>
      <w:bookmarkStart w:id="458" w:name="_Toc482188638"/>
      <w:r>
        <w:rPr>
          <w:rFonts w:hint="eastAsia" w:ascii="宋体" w:hAnsi="宋体" w:eastAsia="宋体"/>
          <w:b w:val="0"/>
          <w:color w:val="auto"/>
          <w:sz w:val="21"/>
          <w:szCs w:val="21"/>
          <w:highlight w:val="none"/>
        </w:rPr>
        <w:t>二、适用规范标准</w:t>
      </w:r>
      <w:bookmarkEnd w:id="456"/>
      <w:bookmarkEnd w:id="457"/>
      <w:bookmarkEnd w:id="458"/>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1. </w:t>
      </w:r>
      <w:r>
        <w:rPr>
          <w:rFonts w:hint="eastAsia" w:ascii="宋体" w:hAnsi="宋体"/>
          <w:color w:val="auto"/>
          <w:sz w:val="21"/>
          <w:szCs w:val="21"/>
          <w:highlight w:val="none"/>
        </w:rPr>
        <w:t>国家、行业、项目所在地规范名录：</w:t>
      </w:r>
      <w:r>
        <w:rPr>
          <w:rFonts w:hint="eastAsia" w:ascii="宋体" w:hAnsi="宋体"/>
          <w:color w:val="auto"/>
          <w:sz w:val="21"/>
          <w:szCs w:val="21"/>
          <w:highlight w:val="none"/>
          <w:u w:val="single"/>
        </w:rPr>
        <w:t>《建设工程监理规范》</w:t>
      </w:r>
      <w:r>
        <w:rPr>
          <w:rFonts w:ascii="宋体" w:hAnsi="宋体"/>
          <w:color w:val="auto"/>
          <w:sz w:val="21"/>
          <w:szCs w:val="21"/>
          <w:highlight w:val="none"/>
          <w:u w:val="single"/>
        </w:rPr>
        <w:t>GB/T50319-2013</w:t>
      </w:r>
      <w:r>
        <w:rPr>
          <w:rFonts w:hint="eastAsia" w:ascii="宋体" w:hAnsi="宋体"/>
          <w:color w:val="auto"/>
          <w:sz w:val="21"/>
          <w:szCs w:val="21"/>
          <w:highlight w:val="none"/>
          <w:u w:val="single"/>
        </w:rPr>
        <w:t>，按国家、行业、项目所在地规范名录执行。</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国家、行业、项目所在地标准名录：</w:t>
      </w:r>
      <w:r>
        <w:rPr>
          <w:rFonts w:hint="eastAsia" w:ascii="宋体" w:hAnsi="宋体"/>
          <w:color w:val="auto"/>
          <w:sz w:val="21"/>
          <w:szCs w:val="21"/>
          <w:highlight w:val="none"/>
          <w:u w:val="single"/>
        </w:rPr>
        <w:t>按国家、行业、项目所在地规范标准执行。</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国家、行业、项目所在地规程名录：</w:t>
      </w:r>
      <w:r>
        <w:rPr>
          <w:rFonts w:hint="eastAsia" w:ascii="宋体" w:hAnsi="宋体"/>
          <w:color w:val="auto"/>
          <w:sz w:val="21"/>
          <w:szCs w:val="21"/>
          <w:highlight w:val="none"/>
          <w:u w:val="single"/>
        </w:rPr>
        <w:t>按国家、行业、项目所在地规范规程执行。</w:t>
      </w:r>
    </w:p>
    <w:p>
      <w:pPr>
        <w:pStyle w:val="4"/>
        <w:keepNext w:val="0"/>
        <w:keepLines w:val="0"/>
        <w:spacing w:line="240" w:lineRule="auto"/>
        <w:rPr>
          <w:rFonts w:hint="eastAsia" w:ascii="宋体" w:hAnsi="宋体" w:eastAsia="宋体" w:cs="宋体"/>
          <w:b w:val="0"/>
          <w:color w:val="auto"/>
          <w:sz w:val="21"/>
          <w:szCs w:val="21"/>
          <w:highlight w:val="none"/>
        </w:rPr>
      </w:pPr>
      <w:bookmarkStart w:id="459" w:name="_Toc535327237"/>
      <w:bookmarkStart w:id="460" w:name="_Toc511557112"/>
      <w:bookmarkStart w:id="461" w:name="_Toc482188639"/>
      <w:r>
        <w:rPr>
          <w:rFonts w:hint="eastAsia" w:ascii="宋体" w:hAnsi="宋体" w:eastAsia="宋体" w:cs="宋体"/>
          <w:b w:val="0"/>
          <w:color w:val="auto"/>
          <w:sz w:val="21"/>
          <w:szCs w:val="21"/>
          <w:highlight w:val="none"/>
        </w:rPr>
        <w:t>三、成果文件要求</w:t>
      </w:r>
      <w:bookmarkEnd w:id="459"/>
      <w:bookmarkEnd w:id="460"/>
      <w:bookmarkEnd w:id="461"/>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按《建设工程监理规范》（GB/T50319-2013）和招标人要求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 成果文件的组成</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1、勘察设计文件、建设工程监理合同及其他合同文件；</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2、监理规划、监理实施细则；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3、设计交底和图纸会审会议纪要；</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4、施工组织设计、（专项）施工方案、施工进度计划报审文件资料；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5、分包单位资格报审文件资料；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6、施工控制测量成果报验文件资料；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7、总监理工程师任命书、工程开工令、暂停令、复工令、开工或复工报审文件资料；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8、工程材料、设备、构配件报验文件资料；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9、见证取样和平行检验文件资料；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10、工程质量检查报验资料及工程有关验收资料；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11、工程变更、费用索赔及工程延期文件资料；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12、工程计量、工程款支付文件资料；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13、监理通知单、工作联系单与监理报告；</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14、第一次工地会议、监理例会、专题会议等会议纪要；</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15、监理月报、监理日志、旁站记录；</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16、工程质量或生产安全事故处理文件资料；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17、工程质量评估报告及竣工验收监理文件资料；</w:t>
      </w:r>
    </w:p>
    <w:p>
      <w:pPr>
        <w:numPr>
          <w:ilvl w:val="0"/>
          <w:numId w:val="5"/>
        </w:numPr>
        <w:tabs>
          <w:tab w:val="left" w:pos="680"/>
        </w:tabs>
        <w:snapToGrid w:val="0"/>
        <w:spacing w:after="200"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18、监理工作总结。</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 成果文件的深度:</w:t>
      </w:r>
      <w:r>
        <w:rPr>
          <w:rFonts w:hint="eastAsia" w:ascii="宋体" w:hAnsi="宋体" w:cs="宋体"/>
          <w:color w:val="auto"/>
          <w:sz w:val="21"/>
          <w:szCs w:val="21"/>
          <w:highlight w:val="none"/>
          <w:u w:val="single"/>
        </w:rPr>
        <w:t>满足本项目监理服务要求。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 成果文件的格式要求:</w:t>
      </w:r>
      <w:r>
        <w:rPr>
          <w:rFonts w:hint="eastAsia" w:ascii="宋体" w:hAnsi="宋体" w:cs="宋体"/>
          <w:color w:val="auto"/>
          <w:sz w:val="21"/>
          <w:szCs w:val="21"/>
          <w:highlight w:val="none"/>
          <w:u w:val="single"/>
        </w:rPr>
        <w:t>满足本项目监理服务要求。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 成果文件的份数要求:</w:t>
      </w:r>
      <w:r>
        <w:rPr>
          <w:rFonts w:hint="eastAsia" w:ascii="宋体" w:hAnsi="宋体" w:cs="宋体"/>
          <w:color w:val="auto"/>
          <w:sz w:val="21"/>
          <w:szCs w:val="21"/>
          <w:highlight w:val="none"/>
          <w:u w:val="single"/>
        </w:rPr>
        <w:t>一式六份</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 成果文件的载体要求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（1）纸质版的要求：:</w:t>
      </w:r>
      <w:r>
        <w:rPr>
          <w:rFonts w:hint="eastAsia" w:ascii="宋体" w:hAnsi="宋体" w:cs="宋体"/>
          <w:color w:val="auto"/>
          <w:sz w:val="21"/>
          <w:szCs w:val="21"/>
          <w:highlight w:val="none"/>
          <w:u w:val="single"/>
        </w:rPr>
        <w:t>一式六份，</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（2）电子版的要求：:</w:t>
      </w:r>
      <w:r>
        <w:rPr>
          <w:rFonts w:hint="eastAsia" w:ascii="宋体" w:hAnsi="宋体" w:cs="宋体"/>
          <w:color w:val="auto"/>
          <w:sz w:val="21"/>
          <w:szCs w:val="21"/>
          <w:highlight w:val="none"/>
          <w:u w:val="single"/>
        </w:rPr>
        <w:t>与纸质版一致的电子版文件</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（3）其他要求。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 成果文件的其他要求: :</w:t>
      </w:r>
      <w:r>
        <w:rPr>
          <w:rFonts w:hint="eastAsia" w:ascii="宋体" w:hAnsi="宋体" w:cs="宋体"/>
          <w:color w:val="auto"/>
          <w:sz w:val="21"/>
          <w:szCs w:val="21"/>
          <w:highlight w:val="none"/>
          <w:u w:val="single"/>
        </w:rPr>
        <w:t>满足本项目监理服务要求。</w:t>
      </w:r>
    </w:p>
    <w:p>
      <w:pPr>
        <w:pStyle w:val="4"/>
        <w:keepNext w:val="0"/>
        <w:keepLines w:val="0"/>
        <w:spacing w:line="240" w:lineRule="auto"/>
        <w:rPr>
          <w:rFonts w:hint="eastAsia" w:ascii="宋体" w:hAnsi="宋体" w:eastAsia="宋体" w:cs="宋体"/>
          <w:b w:val="0"/>
          <w:color w:val="auto"/>
          <w:sz w:val="21"/>
          <w:szCs w:val="21"/>
          <w:highlight w:val="none"/>
        </w:rPr>
      </w:pPr>
      <w:bookmarkStart w:id="462" w:name="_Toc482188640"/>
      <w:bookmarkStart w:id="463" w:name="_Toc511557113"/>
      <w:bookmarkStart w:id="464" w:name="_Toc535327238"/>
      <w:r>
        <w:rPr>
          <w:rFonts w:hint="eastAsia" w:ascii="宋体" w:hAnsi="宋体" w:eastAsia="宋体" w:cs="宋体"/>
          <w:b w:val="0"/>
          <w:color w:val="auto"/>
          <w:sz w:val="21"/>
          <w:szCs w:val="21"/>
          <w:highlight w:val="none"/>
        </w:rPr>
        <w:t>四、委托人财产清单</w:t>
      </w:r>
      <w:bookmarkEnd w:id="462"/>
      <w:bookmarkEnd w:id="463"/>
      <w:bookmarkEnd w:id="464"/>
    </w:p>
    <w:p>
      <w:pPr>
        <w:pStyle w:val="5"/>
        <w:keepNext w:val="0"/>
        <w:keepLines w:val="0"/>
        <w:ind w:firstLine="118"/>
        <w:rPr>
          <w:rFonts w:hint="eastAsia" w:ascii="宋体" w:cs="宋体"/>
          <w:color w:val="auto"/>
          <w:sz w:val="21"/>
          <w:szCs w:val="21"/>
          <w:highlight w:val="none"/>
        </w:rPr>
      </w:pPr>
      <w:bookmarkStart w:id="465" w:name="_Toc535327239"/>
      <w:bookmarkStart w:id="466" w:name="_Toc482188641"/>
      <w:bookmarkStart w:id="467" w:name="_Toc511557114"/>
      <w:r>
        <w:rPr>
          <w:rFonts w:hint="eastAsia" w:ascii="宋体" w:cs="宋体"/>
          <w:color w:val="auto"/>
          <w:sz w:val="21"/>
          <w:szCs w:val="21"/>
          <w:highlight w:val="none"/>
        </w:rPr>
        <w:t>（一）委托人提供的设备、设施</w:t>
      </w:r>
      <w:bookmarkEnd w:id="465"/>
      <w:bookmarkEnd w:id="466"/>
      <w:bookmarkEnd w:id="467"/>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 委托人提供的办公房屋及冷暖设施：</w:t>
      </w:r>
      <w:r>
        <w:rPr>
          <w:rFonts w:hint="eastAsia" w:ascii="宋体" w:hAnsi="宋体" w:cs="宋体"/>
          <w:color w:val="auto"/>
          <w:sz w:val="21"/>
          <w:szCs w:val="21"/>
          <w:highlight w:val="none"/>
          <w:u w:val="single"/>
        </w:rPr>
        <w:t>无；</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2. 委托人提供的设备清单：</w:t>
      </w:r>
      <w:r>
        <w:rPr>
          <w:rFonts w:hint="eastAsia" w:ascii="宋体" w:hAnsi="宋体" w:cs="宋体"/>
          <w:color w:val="auto"/>
          <w:sz w:val="21"/>
          <w:szCs w:val="21"/>
          <w:highlight w:val="none"/>
          <w:u w:val="single"/>
        </w:rPr>
        <w:t>无；</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 委托人提供的设施清单：</w:t>
      </w:r>
      <w:r>
        <w:rPr>
          <w:rFonts w:hint="eastAsia" w:ascii="宋体" w:hAnsi="宋体" w:cs="宋体"/>
          <w:color w:val="auto"/>
          <w:sz w:val="21"/>
          <w:szCs w:val="21"/>
          <w:highlight w:val="none"/>
          <w:u w:val="single"/>
        </w:rPr>
        <w:t>无；</w:t>
      </w:r>
    </w:p>
    <w:p>
      <w:pPr>
        <w:spacing w:line="360" w:lineRule="auto"/>
        <w:ind w:firstLine="420" w:firstLineChars="200"/>
        <w:rPr>
          <w:rFonts w:hint="eastAsia" w:ascii="宋体" w:hAnsi="宋体" w:cs="宋体"/>
          <w:color w:val="auto"/>
          <w:sz w:val="21"/>
          <w:szCs w:val="21"/>
          <w:highlight w:val="none"/>
        </w:rPr>
      </w:pPr>
    </w:p>
    <w:p>
      <w:pPr>
        <w:pStyle w:val="5"/>
        <w:keepNext w:val="0"/>
        <w:keepLines w:val="0"/>
        <w:ind w:firstLine="36" w:firstLineChars="17"/>
        <w:rPr>
          <w:rFonts w:hint="eastAsia" w:ascii="宋体" w:cs="宋体"/>
          <w:color w:val="auto"/>
          <w:sz w:val="21"/>
          <w:szCs w:val="21"/>
          <w:highlight w:val="none"/>
        </w:rPr>
      </w:pPr>
      <w:bookmarkStart w:id="468" w:name="_Toc511557115"/>
      <w:bookmarkStart w:id="469" w:name="_Toc535327240"/>
      <w:bookmarkStart w:id="470" w:name="_Toc482188642"/>
      <w:r>
        <w:rPr>
          <w:rFonts w:hint="eastAsia" w:ascii="宋体" w:cs="宋体"/>
          <w:color w:val="auto"/>
          <w:sz w:val="21"/>
          <w:szCs w:val="21"/>
          <w:highlight w:val="none"/>
        </w:rPr>
        <w:t>（二）委托人提供的资料</w:t>
      </w:r>
      <w:bookmarkEnd w:id="468"/>
      <w:bookmarkEnd w:id="469"/>
      <w:bookmarkEnd w:id="470"/>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 定位放线的基准点、基准线和基准标高</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 委托人取得的有关审批、核准和备案材料</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 勘察文件、设计文件等资料</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 技术标准、规范</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 工程承包合同及其他相关合同</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 其他资料</w:t>
      </w:r>
    </w:p>
    <w:p>
      <w:pPr>
        <w:spacing w:line="360" w:lineRule="auto"/>
        <w:ind w:firstLine="420" w:firstLineChars="200"/>
        <w:rPr>
          <w:rFonts w:hint="eastAsia" w:ascii="宋体" w:hAnsi="宋体" w:cs="宋体"/>
          <w:color w:val="auto"/>
          <w:sz w:val="21"/>
          <w:szCs w:val="21"/>
          <w:highlight w:val="none"/>
        </w:rPr>
      </w:pPr>
      <w:bookmarkStart w:id="471" w:name="_Toc482188643"/>
      <w:r>
        <w:rPr>
          <w:rFonts w:hint="eastAsia" w:ascii="宋体" w:hAnsi="宋体" w:cs="宋体"/>
          <w:color w:val="auto"/>
          <w:sz w:val="21"/>
          <w:szCs w:val="21"/>
          <w:highlight w:val="none"/>
        </w:rPr>
        <w:t>……</w:t>
      </w:r>
    </w:p>
    <w:p>
      <w:pPr>
        <w:pStyle w:val="5"/>
        <w:keepNext w:val="0"/>
        <w:keepLines w:val="0"/>
        <w:ind w:firstLine="118"/>
        <w:rPr>
          <w:rFonts w:hint="eastAsia" w:ascii="宋体" w:cs="宋体"/>
          <w:color w:val="auto"/>
          <w:sz w:val="21"/>
          <w:szCs w:val="21"/>
          <w:highlight w:val="none"/>
        </w:rPr>
      </w:pPr>
      <w:bookmarkStart w:id="472" w:name="_Toc511557116"/>
      <w:bookmarkStart w:id="473" w:name="_Toc535327241"/>
      <w:r>
        <w:rPr>
          <w:rFonts w:hint="eastAsia" w:ascii="宋体" w:cs="宋体"/>
          <w:color w:val="auto"/>
          <w:sz w:val="21"/>
          <w:szCs w:val="21"/>
          <w:highlight w:val="none"/>
        </w:rPr>
        <w:t>（三）委托人财产使用要求及退还要求</w:t>
      </w:r>
      <w:bookmarkEnd w:id="471"/>
      <w:bookmarkEnd w:id="472"/>
      <w:bookmarkEnd w:id="473"/>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 委托人财产使用要求：</w:t>
      </w:r>
      <w:r>
        <w:rPr>
          <w:rFonts w:hint="eastAsia" w:ascii="宋体" w:hAnsi="宋体" w:cs="宋体"/>
          <w:color w:val="auto"/>
          <w:sz w:val="21"/>
          <w:szCs w:val="21"/>
          <w:highlight w:val="none"/>
          <w:u w:val="single"/>
        </w:rPr>
        <w:t>监理人对委托人财产保存完好，避免有损坏或丢失等情况发生；</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 委托人财产退还要求：</w:t>
      </w:r>
      <w:r>
        <w:rPr>
          <w:rFonts w:hint="eastAsia" w:ascii="宋体" w:hAnsi="宋体" w:cs="宋体"/>
          <w:color w:val="auto"/>
          <w:sz w:val="21"/>
          <w:szCs w:val="21"/>
          <w:highlight w:val="none"/>
          <w:u w:val="single"/>
        </w:rPr>
        <w:t>工程完工后监理人将委托人财产全数完好地退还给委托人。</w:t>
      </w:r>
    </w:p>
    <w:p>
      <w:pPr>
        <w:spacing w:line="360" w:lineRule="auto"/>
        <w:ind w:firstLine="420" w:firstLineChars="200"/>
        <w:rPr>
          <w:rFonts w:hint="eastAsia" w:ascii="宋体" w:hAnsi="宋体" w:cs="宋体"/>
          <w:color w:val="auto"/>
          <w:sz w:val="21"/>
          <w:szCs w:val="21"/>
          <w:highlight w:val="none"/>
        </w:rPr>
      </w:pPr>
      <w:bookmarkStart w:id="474" w:name="_Toc482188644"/>
      <w:r>
        <w:rPr>
          <w:rFonts w:hint="eastAsia" w:ascii="宋体" w:hAnsi="宋体" w:cs="宋体"/>
          <w:color w:val="auto"/>
          <w:sz w:val="21"/>
          <w:szCs w:val="21"/>
          <w:highlight w:val="none"/>
        </w:rPr>
        <w:t>……</w:t>
      </w:r>
    </w:p>
    <w:p>
      <w:pPr>
        <w:pStyle w:val="4"/>
        <w:keepNext w:val="0"/>
        <w:keepLines w:val="0"/>
        <w:spacing w:line="240" w:lineRule="auto"/>
        <w:rPr>
          <w:rFonts w:hint="eastAsia" w:ascii="宋体" w:hAnsi="宋体" w:eastAsia="宋体" w:cs="宋体"/>
          <w:b w:val="0"/>
          <w:color w:val="auto"/>
          <w:sz w:val="21"/>
          <w:szCs w:val="21"/>
          <w:highlight w:val="none"/>
        </w:rPr>
      </w:pPr>
      <w:bookmarkStart w:id="475" w:name="_Toc535327242"/>
      <w:bookmarkStart w:id="476" w:name="_Toc511557117"/>
      <w:r>
        <w:rPr>
          <w:rFonts w:hint="eastAsia" w:ascii="宋体" w:hAnsi="宋体" w:eastAsia="宋体" w:cs="宋体"/>
          <w:b w:val="0"/>
          <w:color w:val="auto"/>
          <w:sz w:val="21"/>
          <w:szCs w:val="21"/>
          <w:highlight w:val="none"/>
        </w:rPr>
        <w:t>五、委托人提供的便利条件</w:t>
      </w:r>
      <w:bookmarkEnd w:id="474"/>
      <w:bookmarkEnd w:id="475"/>
      <w:bookmarkEnd w:id="476"/>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 委托人提供的生活条件：</w:t>
      </w:r>
      <w:r>
        <w:rPr>
          <w:rFonts w:hint="eastAsia" w:ascii="宋体" w:hAnsi="宋体" w:cs="宋体"/>
          <w:color w:val="auto"/>
          <w:sz w:val="21"/>
          <w:szCs w:val="21"/>
          <w:highlight w:val="none"/>
          <w:u w:val="single"/>
        </w:rPr>
        <w:t>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 委托人提供的交通条件：</w:t>
      </w:r>
      <w:r>
        <w:rPr>
          <w:rFonts w:hint="eastAsia" w:ascii="宋体" w:hAnsi="宋体" w:cs="宋体"/>
          <w:color w:val="auto"/>
          <w:sz w:val="21"/>
          <w:szCs w:val="21"/>
          <w:highlight w:val="none"/>
          <w:u w:val="single"/>
        </w:rPr>
        <w:t>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 委托人提供的网络、通讯条件：</w:t>
      </w:r>
      <w:r>
        <w:rPr>
          <w:rFonts w:hint="eastAsia" w:ascii="宋体" w:hAnsi="宋体" w:cs="宋体"/>
          <w:color w:val="auto"/>
          <w:sz w:val="21"/>
          <w:szCs w:val="21"/>
          <w:highlight w:val="none"/>
          <w:u w:val="single"/>
        </w:rPr>
        <w:t>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 委托人提供的协助人员：</w:t>
      </w:r>
      <w:r>
        <w:rPr>
          <w:rFonts w:hint="eastAsia" w:ascii="宋体" w:hAnsi="宋体" w:cs="宋体"/>
          <w:color w:val="auto"/>
          <w:sz w:val="21"/>
          <w:szCs w:val="21"/>
          <w:highlight w:val="none"/>
          <w:u w:val="single"/>
        </w:rPr>
        <w:t>无</w:t>
      </w:r>
      <w:bookmarkStart w:id="477" w:name="_Toc482188645"/>
      <w:r>
        <w:rPr>
          <w:rFonts w:hint="eastAsia" w:ascii="宋体" w:hAnsi="宋体" w:cs="宋体"/>
          <w:color w:val="auto"/>
          <w:sz w:val="21"/>
          <w:szCs w:val="21"/>
          <w:highlight w:val="none"/>
        </w:rPr>
        <w:t>……</w:t>
      </w:r>
    </w:p>
    <w:p>
      <w:pPr>
        <w:pStyle w:val="4"/>
        <w:keepNext w:val="0"/>
        <w:keepLines w:val="0"/>
        <w:spacing w:line="240" w:lineRule="auto"/>
        <w:rPr>
          <w:rFonts w:hint="eastAsia" w:ascii="宋体" w:hAnsi="宋体" w:eastAsia="宋体" w:cs="宋体"/>
          <w:b w:val="0"/>
          <w:color w:val="auto"/>
          <w:sz w:val="21"/>
          <w:szCs w:val="21"/>
          <w:highlight w:val="none"/>
        </w:rPr>
      </w:pPr>
      <w:bookmarkStart w:id="478" w:name="_Toc511557118"/>
      <w:bookmarkStart w:id="479" w:name="_Toc535327243"/>
      <w:r>
        <w:rPr>
          <w:rFonts w:hint="eastAsia" w:ascii="宋体" w:hAnsi="宋体" w:eastAsia="宋体" w:cs="宋体"/>
          <w:b w:val="0"/>
          <w:color w:val="auto"/>
          <w:sz w:val="21"/>
          <w:szCs w:val="21"/>
          <w:highlight w:val="none"/>
        </w:rPr>
        <w:t>六、监理人需要自备的工作条件</w:t>
      </w:r>
      <w:bookmarkEnd w:id="477"/>
      <w:bookmarkEnd w:id="478"/>
      <w:bookmarkEnd w:id="479"/>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 监理人自备的工作手册：</w:t>
      </w:r>
      <w:r>
        <w:rPr>
          <w:rFonts w:hint="eastAsia" w:ascii="宋体" w:hAnsi="宋体" w:cs="宋体"/>
          <w:color w:val="auto"/>
          <w:sz w:val="21"/>
          <w:szCs w:val="21"/>
          <w:highlight w:val="none"/>
          <w:u w:val="single"/>
        </w:rPr>
        <w:t>本项目必备的规范标准、图集等。</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 监理人自备的办公设备：</w:t>
      </w:r>
      <w:r>
        <w:rPr>
          <w:rFonts w:hint="eastAsia" w:ascii="宋体" w:hAnsi="宋体" w:cs="宋体"/>
          <w:color w:val="auto"/>
          <w:sz w:val="21"/>
          <w:szCs w:val="21"/>
          <w:highlight w:val="none"/>
          <w:u w:val="single"/>
        </w:rPr>
        <w:t>电脑、软件、投影、打印机、复印机、照相机等。</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 监理人自备的交通工具：</w:t>
      </w:r>
      <w:r>
        <w:rPr>
          <w:rFonts w:hint="eastAsia" w:ascii="宋体" w:hAnsi="宋体" w:cs="宋体"/>
          <w:color w:val="auto"/>
          <w:sz w:val="21"/>
          <w:szCs w:val="21"/>
          <w:highlight w:val="none"/>
          <w:u w:val="single"/>
        </w:rPr>
        <w:t>出行车辆等。</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 监理人自备的现场办公设施：</w:t>
      </w:r>
      <w:r>
        <w:rPr>
          <w:rFonts w:hint="eastAsia" w:ascii="宋体" w:hAnsi="宋体" w:cs="宋体"/>
          <w:color w:val="auto"/>
          <w:sz w:val="21"/>
          <w:szCs w:val="21"/>
          <w:highlight w:val="none"/>
          <w:u w:val="single"/>
        </w:rPr>
        <w:t>办公桌椅、文件柜等。</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 监理人自备的安全设施：</w:t>
      </w:r>
      <w:r>
        <w:rPr>
          <w:rFonts w:hint="eastAsia" w:ascii="宋体" w:hAnsi="宋体" w:cs="宋体"/>
          <w:color w:val="auto"/>
          <w:sz w:val="21"/>
          <w:szCs w:val="21"/>
          <w:highlight w:val="none"/>
          <w:u w:val="single"/>
        </w:rPr>
        <w:t>安全帽、安全鞋、手电筒等。</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 监理人自备的试验检测仪器、设备、工具：</w:t>
      </w:r>
      <w:r>
        <w:rPr>
          <w:rFonts w:hint="eastAsia" w:ascii="宋体" w:hAnsi="宋体" w:cs="宋体"/>
          <w:color w:val="auto"/>
          <w:sz w:val="21"/>
          <w:szCs w:val="21"/>
          <w:highlight w:val="none"/>
          <w:u w:val="single"/>
        </w:rPr>
        <w:t>满足本项目监理服务要求。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 监理人自备的试验用房、样品用房：</w:t>
      </w:r>
      <w:r>
        <w:rPr>
          <w:rFonts w:hint="eastAsia" w:ascii="宋体" w:hAnsi="宋体" w:cs="宋体"/>
          <w:color w:val="auto"/>
          <w:sz w:val="21"/>
          <w:szCs w:val="21"/>
          <w:highlight w:val="none"/>
          <w:u w:val="single"/>
        </w:rPr>
        <w:t>监理人根据现场实际情况自行准备。</w:t>
      </w:r>
    </w:p>
    <w:p>
      <w:pPr>
        <w:spacing w:line="360" w:lineRule="auto"/>
        <w:ind w:firstLine="420" w:firstLineChars="200"/>
        <w:rPr>
          <w:rFonts w:hint="eastAsia" w:ascii="宋体" w:hAnsi="宋体" w:cs="宋体"/>
          <w:color w:val="auto"/>
          <w:sz w:val="21"/>
          <w:szCs w:val="21"/>
          <w:highlight w:val="none"/>
        </w:rPr>
      </w:pPr>
      <w:bookmarkStart w:id="480" w:name="_Toc482188646"/>
      <w:r>
        <w:rPr>
          <w:rFonts w:hint="eastAsia" w:ascii="宋体" w:hAnsi="宋体" w:cs="宋体"/>
          <w:color w:val="auto"/>
          <w:sz w:val="21"/>
          <w:szCs w:val="21"/>
          <w:highlight w:val="none"/>
        </w:rPr>
        <w:t>……</w:t>
      </w:r>
    </w:p>
    <w:p>
      <w:pPr>
        <w:pStyle w:val="4"/>
        <w:keepNext w:val="0"/>
        <w:keepLines w:val="0"/>
        <w:spacing w:line="240" w:lineRule="auto"/>
        <w:rPr>
          <w:rFonts w:hint="eastAsia" w:ascii="宋体" w:hAnsi="宋体" w:eastAsia="宋体" w:cs="宋体"/>
          <w:b w:val="0"/>
          <w:color w:val="auto"/>
          <w:sz w:val="21"/>
          <w:szCs w:val="21"/>
          <w:highlight w:val="none"/>
        </w:rPr>
      </w:pPr>
      <w:bookmarkStart w:id="481" w:name="_Toc535327244"/>
      <w:bookmarkStart w:id="482" w:name="_Toc511557119"/>
      <w:r>
        <w:rPr>
          <w:rFonts w:hint="eastAsia" w:ascii="宋体" w:hAnsi="宋体" w:eastAsia="宋体" w:cs="宋体"/>
          <w:b w:val="0"/>
          <w:color w:val="auto"/>
          <w:sz w:val="21"/>
          <w:szCs w:val="21"/>
          <w:highlight w:val="none"/>
        </w:rPr>
        <w:t>七、委托人的其他要求</w:t>
      </w:r>
      <w:bookmarkEnd w:id="480"/>
      <w:bookmarkEnd w:id="481"/>
      <w:bookmarkEnd w:id="482"/>
    </w:p>
    <w:p>
      <w:pPr>
        <w:autoSpaceDE w:val="0"/>
        <w:autoSpaceDN w:val="0"/>
        <w:adjustRightInd w:val="0"/>
        <w:spacing w:line="360" w:lineRule="auto"/>
        <w:rPr>
          <w:rFonts w:hint="eastAsia" w:ascii="宋体" w:hAnsi="宋体" w:cs="宋体"/>
          <w:color w:val="auto"/>
          <w:sz w:val="24"/>
          <w:highlight w:val="none"/>
        </w:rPr>
      </w:pPr>
      <w:r>
        <w:rPr>
          <w:rFonts w:hint="eastAsia" w:ascii="宋体" w:hAnsi="宋体" w:cs="宋体"/>
          <w:color w:val="auto"/>
          <w:sz w:val="21"/>
          <w:szCs w:val="21"/>
          <w:highlight w:val="none"/>
        </w:rPr>
        <w:t>委托人的其他要求：</w:t>
      </w:r>
      <w:r>
        <w:rPr>
          <w:rFonts w:hint="eastAsia" w:ascii="宋体" w:hAnsi="宋体" w:cs="宋体"/>
          <w:color w:val="auto"/>
          <w:sz w:val="21"/>
          <w:szCs w:val="21"/>
          <w:highlight w:val="none"/>
          <w:u w:val="single"/>
        </w:rPr>
        <w:t>其他要求详见监理合同。</w:t>
      </w:r>
    </w:p>
    <w:p>
      <w:pPr>
        <w:pStyle w:val="3"/>
        <w:keepNext w:val="0"/>
        <w:keepLines w:val="0"/>
        <w:spacing w:before="120" w:line="240" w:lineRule="auto"/>
        <w:jc w:val="center"/>
        <w:rPr>
          <w:rFonts w:ascii="宋体" w:hAnsi="宋体"/>
          <w:color w:val="auto"/>
          <w:highlight w:val="none"/>
        </w:rPr>
      </w:pPr>
      <w:r>
        <w:rPr>
          <w:color w:val="auto"/>
          <w:highlight w:val="none"/>
        </w:rPr>
        <w:br w:type="page"/>
      </w:r>
      <w:bookmarkStart w:id="483" w:name="_Toc29655"/>
      <w:r>
        <w:rPr>
          <w:rFonts w:hint="eastAsia" w:ascii="宋体" w:hAnsi="宋体"/>
          <w:color w:val="auto"/>
          <w:highlight w:val="none"/>
        </w:rPr>
        <w:t>第三卷</w:t>
      </w:r>
      <w:bookmarkEnd w:id="483"/>
    </w:p>
    <w:p>
      <w:pPr>
        <w:pStyle w:val="3"/>
        <w:keepNext w:val="0"/>
        <w:keepLines w:val="0"/>
        <w:spacing w:before="120" w:line="240" w:lineRule="auto"/>
        <w:jc w:val="center"/>
        <w:rPr>
          <w:rFonts w:ascii="宋体" w:hAnsi="宋体"/>
          <w:color w:val="auto"/>
          <w:sz w:val="36"/>
          <w:szCs w:val="16"/>
          <w:highlight w:val="none"/>
        </w:rPr>
      </w:pPr>
      <w:bookmarkStart w:id="484" w:name="_Toc16659"/>
      <w:r>
        <w:rPr>
          <w:rFonts w:hint="eastAsia" w:ascii="宋体" w:hAnsi="宋体"/>
          <w:color w:val="auto"/>
          <w:sz w:val="36"/>
          <w:szCs w:val="16"/>
          <w:highlight w:val="none"/>
        </w:rPr>
        <w:t>第六章 投标文件格式</w:t>
      </w:r>
      <w:bookmarkEnd w:id="484"/>
    </w:p>
    <w:p>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u w:val="single"/>
        </w:rPr>
        <w:br w:type="page"/>
      </w:r>
    </w:p>
    <w:p>
      <w:pPr>
        <w:spacing w:line="360" w:lineRule="auto"/>
        <w:jc w:val="center"/>
        <w:rPr>
          <w:rFonts w:ascii="宋体" w:hAnsi="宋体"/>
          <w:b/>
          <w:color w:val="auto"/>
          <w:sz w:val="24"/>
          <w:szCs w:val="28"/>
          <w:highlight w:val="none"/>
          <w:u w:val="single"/>
        </w:rPr>
      </w:pPr>
      <w:r>
        <w:rPr>
          <w:rFonts w:hint="eastAsia" w:ascii="宋体" w:hAnsi="宋体"/>
          <w:b/>
          <w:color w:val="auto"/>
          <w:sz w:val="32"/>
          <w:szCs w:val="28"/>
          <w:highlight w:val="none"/>
          <w:u w:val="single"/>
        </w:rPr>
        <w:t xml:space="preserve"> </w:t>
      </w:r>
      <w:r>
        <w:rPr>
          <w:rFonts w:ascii="宋体" w:hAnsi="宋体"/>
          <w:b/>
          <w:color w:val="auto"/>
          <w:sz w:val="32"/>
          <w:szCs w:val="28"/>
          <w:highlight w:val="none"/>
          <w:u w:val="single"/>
        </w:rPr>
        <w:t xml:space="preserve">                    </w:t>
      </w:r>
      <w:r>
        <w:rPr>
          <w:rFonts w:hint="eastAsia" w:ascii="宋体" w:hAnsi="宋体"/>
          <w:b/>
          <w:color w:val="auto"/>
          <w:sz w:val="32"/>
          <w:szCs w:val="28"/>
          <w:highlight w:val="none"/>
          <w:u w:val="single"/>
        </w:rPr>
        <w:t>（项目名称）</w:t>
      </w:r>
    </w:p>
    <w:p>
      <w:pPr>
        <w:spacing w:line="360" w:lineRule="auto"/>
        <w:jc w:val="center"/>
        <w:rPr>
          <w:rFonts w:ascii="宋体" w:hAnsi="宋体"/>
          <w:color w:val="auto"/>
          <w:sz w:val="20"/>
          <w:highlight w:val="none"/>
        </w:rPr>
      </w:pPr>
      <w:r>
        <w:rPr>
          <w:rFonts w:hint="eastAsia" w:ascii="宋体" w:hAnsi="宋体"/>
          <w:color w:val="auto"/>
          <w:sz w:val="20"/>
          <w:highlight w:val="none"/>
        </w:rPr>
        <w:t xml:space="preserve"> </w:t>
      </w: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(项目编号：       )</w:t>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jc w:val="center"/>
        <w:rPr>
          <w:rFonts w:ascii="宋体" w:hAnsi="宋体"/>
          <w:b/>
          <w:color w:val="auto"/>
          <w:sz w:val="96"/>
          <w:szCs w:val="40"/>
          <w:highlight w:val="none"/>
        </w:rPr>
      </w:pPr>
      <w:r>
        <w:rPr>
          <w:rFonts w:hint="eastAsia" w:ascii="宋体" w:hAnsi="宋体"/>
          <w:b/>
          <w:color w:val="auto"/>
          <w:sz w:val="96"/>
          <w:szCs w:val="40"/>
          <w:highlight w:val="none"/>
        </w:rPr>
        <w:t>投标文件</w:t>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ind w:firstLine="1120" w:firstLineChars="400"/>
        <w:rPr>
          <w:rFonts w:ascii="宋体" w:hAnsi="宋体"/>
          <w:color w:val="auto"/>
          <w:sz w:val="28"/>
          <w:highlight w:val="none"/>
          <w:u w:val="single"/>
        </w:rPr>
      </w:pPr>
      <w:r>
        <w:rPr>
          <w:rFonts w:hint="eastAsia" w:ascii="宋体" w:hAnsi="宋体"/>
          <w:color w:val="auto"/>
          <w:sz w:val="28"/>
          <w:highlight w:val="none"/>
        </w:rPr>
        <w:t>投标人：（盖单位章）</w:t>
      </w:r>
    </w:p>
    <w:p>
      <w:pPr>
        <w:spacing w:line="360" w:lineRule="auto"/>
        <w:ind w:firstLine="1120" w:firstLineChars="400"/>
        <w:jc w:val="left"/>
        <w:rPr>
          <w:rFonts w:ascii="宋体" w:hAnsi="宋体"/>
          <w:color w:val="auto"/>
          <w:sz w:val="28"/>
          <w:highlight w:val="none"/>
        </w:rPr>
      </w:pPr>
      <w:r>
        <w:rPr>
          <w:rFonts w:hint="eastAsia" w:ascii="宋体" w:hAnsi="宋体"/>
          <w:color w:val="auto"/>
          <w:sz w:val="28"/>
          <w:highlight w:val="none"/>
        </w:rPr>
        <w:t>法定代表人或其委托代理人：（签字或盖章）</w:t>
      </w:r>
    </w:p>
    <w:p>
      <w:pPr>
        <w:spacing w:line="360" w:lineRule="auto"/>
        <w:ind w:firstLine="3360" w:firstLineChars="1200"/>
        <w:rPr>
          <w:rFonts w:ascii="宋体" w:hAnsi="宋体"/>
          <w:color w:val="auto"/>
          <w:sz w:val="28"/>
          <w:highlight w:val="none"/>
        </w:rPr>
      </w:pPr>
      <w:r>
        <w:rPr>
          <w:rFonts w:hint="eastAsia" w:ascii="宋体" w:hAnsi="宋体"/>
          <w:color w:val="auto"/>
          <w:sz w:val="28"/>
          <w:highlight w:val="none"/>
        </w:rPr>
        <w:t xml:space="preserve">年 </w:t>
      </w:r>
      <w:r>
        <w:rPr>
          <w:rFonts w:ascii="宋体" w:hAnsi="宋体"/>
          <w:color w:val="auto"/>
          <w:sz w:val="28"/>
          <w:highlight w:val="none"/>
        </w:rPr>
        <w:t xml:space="preserve">  </w:t>
      </w:r>
      <w:r>
        <w:rPr>
          <w:rFonts w:hint="eastAsia" w:ascii="宋体" w:hAnsi="宋体"/>
          <w:color w:val="auto"/>
          <w:sz w:val="28"/>
          <w:highlight w:val="none"/>
        </w:rPr>
        <w:t xml:space="preserve">月 </w:t>
      </w:r>
      <w:r>
        <w:rPr>
          <w:rFonts w:ascii="宋体" w:hAnsi="宋体"/>
          <w:color w:val="auto"/>
          <w:sz w:val="28"/>
          <w:highlight w:val="none"/>
        </w:rPr>
        <w:t xml:space="preserve">  </w:t>
      </w:r>
      <w:r>
        <w:rPr>
          <w:rFonts w:hint="eastAsia" w:ascii="宋体" w:hAnsi="宋体"/>
          <w:color w:val="auto"/>
          <w:sz w:val="28"/>
          <w:highlight w:val="none"/>
        </w:rPr>
        <w:t>日</w:t>
      </w:r>
    </w:p>
    <w:p>
      <w:pPr>
        <w:pStyle w:val="4"/>
        <w:jc w:val="center"/>
        <w:rPr>
          <w:rFonts w:ascii="宋体" w:hAnsi="宋体" w:eastAsia="宋体"/>
          <w:color w:val="auto"/>
          <w:highlight w:val="none"/>
        </w:rPr>
      </w:pPr>
      <w:r>
        <w:rPr>
          <w:rFonts w:hint="eastAsia" w:ascii="宋体" w:hAnsi="宋体"/>
          <w:b w:val="0"/>
          <w:bCs w:val="0"/>
          <w:color w:val="auto"/>
          <w:highlight w:val="none"/>
        </w:rPr>
        <w:br w:type="page"/>
      </w:r>
      <w:bookmarkStart w:id="485" w:name="_Toc530470640"/>
      <w:bookmarkStart w:id="486" w:name="_Toc535938750"/>
      <w:bookmarkStart w:id="487" w:name="_Toc529196598"/>
      <w:r>
        <w:rPr>
          <w:rFonts w:hint="eastAsia" w:ascii="宋体" w:hAnsi="宋体" w:eastAsia="宋体"/>
          <w:color w:val="auto"/>
          <w:highlight w:val="none"/>
        </w:rPr>
        <w:t>目   录</w:t>
      </w:r>
      <w:bookmarkEnd w:id="485"/>
      <w:bookmarkEnd w:id="486"/>
      <w:bookmarkEnd w:id="487"/>
    </w:p>
    <w:p>
      <w:pPr>
        <w:spacing w:line="540" w:lineRule="exact"/>
        <w:rPr>
          <w:rFonts w:ascii="宋体" w:hAnsi="宋体"/>
          <w:color w:val="auto"/>
          <w:highlight w:val="none"/>
        </w:rPr>
      </w:pPr>
    </w:p>
    <w:p>
      <w:pPr>
        <w:snapToGrid w:val="0"/>
        <w:spacing w:line="360" w:lineRule="auto"/>
        <w:rPr>
          <w:rFonts w:ascii="宋体" w:hAnsi="宋体"/>
          <w:color w:val="auto"/>
          <w:sz w:val="28"/>
          <w:szCs w:val="28"/>
          <w:highlight w:val="none"/>
        </w:rPr>
      </w:pPr>
      <w:bookmarkStart w:id="488" w:name="_Toc7039"/>
      <w:bookmarkStart w:id="489" w:name="_Toc369531691"/>
      <w:bookmarkStart w:id="490" w:name="_Toc352691655"/>
      <w:r>
        <w:rPr>
          <w:rFonts w:hint="eastAsia" w:ascii="宋体" w:hAnsi="宋体"/>
          <w:color w:val="auto"/>
          <w:sz w:val="28"/>
          <w:szCs w:val="28"/>
          <w:highlight w:val="none"/>
        </w:rPr>
        <w:t>一、投标函及投标函附录</w:t>
      </w:r>
    </w:p>
    <w:p>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二、法定代表人身份证明（适用于无委托代理人的情况）、授权委托书（适用于有委托代理人的情况）</w:t>
      </w:r>
    </w:p>
    <w:p>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三、投标保证金</w:t>
      </w:r>
    </w:p>
    <w:p>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四、监理报酬清单</w:t>
      </w:r>
    </w:p>
    <w:p>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五、资格审查资料</w:t>
      </w:r>
    </w:p>
    <w:p>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六、监理大纲</w:t>
      </w:r>
    </w:p>
    <w:p>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七、其他资料（投标人须知前附表规定的或投标人认为需要提供的资料）</w:t>
      </w:r>
    </w:p>
    <w:bookmarkEnd w:id="488"/>
    <w:bookmarkEnd w:id="489"/>
    <w:bookmarkEnd w:id="490"/>
    <w:p>
      <w:pPr>
        <w:pStyle w:val="4"/>
        <w:spacing w:line="360" w:lineRule="auto"/>
        <w:rPr>
          <w:rFonts w:ascii="宋体" w:hAnsi="宋体" w:eastAsia="宋体"/>
          <w:color w:val="auto"/>
          <w:sz w:val="30"/>
          <w:szCs w:val="30"/>
          <w:highlight w:val="none"/>
        </w:rPr>
      </w:pPr>
      <w:bookmarkStart w:id="491" w:name="_Toc535938751"/>
      <w:bookmarkStart w:id="492" w:name="_Toc530470642"/>
      <w:bookmarkStart w:id="493" w:name="_Toc529196600"/>
      <w:r>
        <w:rPr>
          <w:rFonts w:ascii="宋体" w:hAnsi="宋体" w:eastAsia="宋体"/>
          <w:color w:val="auto"/>
          <w:highlight w:val="none"/>
        </w:rPr>
        <w:br w:type="page"/>
      </w:r>
      <w:r>
        <w:rPr>
          <w:rFonts w:hint="eastAsia" w:ascii="宋体" w:hAnsi="宋体" w:eastAsia="宋体"/>
          <w:color w:val="auto"/>
          <w:sz w:val="30"/>
          <w:szCs w:val="30"/>
          <w:highlight w:val="none"/>
        </w:rPr>
        <w:t>一、投标</w:t>
      </w:r>
      <w:bookmarkStart w:id="494" w:name="_Toc369531692"/>
      <w:bookmarkStart w:id="495" w:name="_Toc6931"/>
      <w:bookmarkStart w:id="496" w:name="_Toc352691656"/>
      <w:r>
        <w:rPr>
          <w:rFonts w:hint="eastAsia" w:ascii="宋体" w:hAnsi="宋体" w:eastAsia="宋体"/>
          <w:color w:val="auto"/>
          <w:sz w:val="30"/>
          <w:szCs w:val="30"/>
          <w:highlight w:val="none"/>
        </w:rPr>
        <w:t>函及投标函附录</w:t>
      </w:r>
      <w:bookmarkEnd w:id="491"/>
      <w:bookmarkEnd w:id="492"/>
      <w:bookmarkEnd w:id="493"/>
    </w:p>
    <w:bookmarkEnd w:id="494"/>
    <w:bookmarkEnd w:id="495"/>
    <w:bookmarkEnd w:id="496"/>
    <w:p>
      <w:pPr>
        <w:pStyle w:val="5"/>
        <w:rPr>
          <w:rFonts w:ascii="宋体" w:hAnsi="宋体" w:eastAsia="宋体"/>
          <w:color w:val="auto"/>
          <w:sz w:val="28"/>
          <w:szCs w:val="24"/>
          <w:highlight w:val="none"/>
        </w:rPr>
      </w:pPr>
      <w:bookmarkStart w:id="497" w:name="_Toc391394111"/>
      <w:bookmarkStart w:id="498" w:name="_Toc482188651"/>
      <w:bookmarkStart w:id="499" w:name="_Toc370676426"/>
      <w:bookmarkStart w:id="500" w:name="_Toc530470643"/>
      <w:bookmarkStart w:id="501" w:name="_Toc359594235"/>
      <w:bookmarkStart w:id="502" w:name="_Toc529196601"/>
      <w:bookmarkStart w:id="503" w:name="_Toc535938752"/>
      <w:bookmarkStart w:id="504" w:name="_Toc385943065"/>
      <w:r>
        <w:rPr>
          <w:rFonts w:hint="eastAsia" w:ascii="宋体" w:hAnsi="宋体" w:eastAsia="宋体"/>
          <w:color w:val="auto"/>
          <w:sz w:val="28"/>
          <w:szCs w:val="24"/>
          <w:highlight w:val="none"/>
        </w:rPr>
        <w:t>（一）投标函</w:t>
      </w:r>
      <w:bookmarkEnd w:id="497"/>
      <w:bookmarkEnd w:id="498"/>
      <w:bookmarkEnd w:id="499"/>
      <w:bookmarkEnd w:id="500"/>
      <w:bookmarkEnd w:id="501"/>
      <w:bookmarkEnd w:id="502"/>
      <w:bookmarkEnd w:id="503"/>
      <w:bookmarkEnd w:id="504"/>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（招标人名称）：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1．我方已仔细研究了（项目名称）监理招标项目招标文件的全部内容，愿意以《投标函附录》中的投标报价和监理服务期限，按合同约定完成监理工作。</w:t>
      </w:r>
    </w:p>
    <w:p>
      <w:pPr>
        <w:spacing w:line="360" w:lineRule="auto"/>
        <w:ind w:firstLine="420" w:firstLineChars="200"/>
        <w:rPr>
          <w:rFonts w:ascii="宋体" w:hAnsi="宋体"/>
          <w:color w:val="auto"/>
          <w:szCs w:val="21"/>
          <w:highlight w:val="none"/>
        </w:rPr>
      </w:pPr>
      <w:bookmarkStart w:id="505" w:name="_Toc530470644"/>
      <w:r>
        <w:rPr>
          <w:rFonts w:hint="eastAsia" w:ascii="宋体" w:hAnsi="宋体"/>
          <w:color w:val="auto"/>
          <w:szCs w:val="21"/>
          <w:highlight w:val="none"/>
        </w:rPr>
        <w:t>2．我方的投标文件包括下列内容：</w:t>
      </w:r>
      <w:bookmarkEnd w:id="505"/>
    </w:p>
    <w:p>
      <w:pPr>
        <w:spacing w:line="360" w:lineRule="auto"/>
        <w:ind w:firstLine="405"/>
        <w:rPr>
          <w:rFonts w:ascii="宋体" w:hAnsi="宋体"/>
          <w:color w:val="auto"/>
          <w:szCs w:val="21"/>
          <w:highlight w:val="none"/>
        </w:rPr>
      </w:pPr>
      <w:r>
        <w:rPr>
          <w:rFonts w:hint="eastAsia" w:ascii="宋体" w:hAnsi="宋体"/>
          <w:color w:val="auto"/>
          <w:szCs w:val="21"/>
          <w:highlight w:val="none"/>
        </w:rPr>
        <w:t>（1）投标函及投标函附录；</w:t>
      </w:r>
    </w:p>
    <w:p>
      <w:pPr>
        <w:spacing w:line="360" w:lineRule="auto"/>
        <w:ind w:firstLine="405"/>
        <w:rPr>
          <w:rFonts w:ascii="宋体" w:hAnsi="宋体"/>
          <w:color w:val="auto"/>
          <w:szCs w:val="21"/>
          <w:highlight w:val="none"/>
        </w:rPr>
      </w:pPr>
      <w:r>
        <w:rPr>
          <w:rFonts w:hint="eastAsia" w:ascii="宋体" w:hAnsi="宋体"/>
          <w:color w:val="auto"/>
          <w:szCs w:val="21"/>
          <w:highlight w:val="none"/>
        </w:rPr>
        <w:t>（2）法定代表人身份证明或授权委托书（如有）；</w:t>
      </w:r>
    </w:p>
    <w:p>
      <w:pPr>
        <w:spacing w:line="360" w:lineRule="auto"/>
        <w:ind w:firstLine="405"/>
        <w:rPr>
          <w:rFonts w:ascii="宋体" w:hAnsi="宋体"/>
          <w:color w:val="auto"/>
          <w:szCs w:val="21"/>
          <w:highlight w:val="none"/>
        </w:rPr>
      </w:pPr>
      <w:r>
        <w:rPr>
          <w:rFonts w:hint="eastAsia" w:ascii="宋体" w:hAnsi="宋体"/>
          <w:color w:val="auto"/>
          <w:szCs w:val="21"/>
          <w:highlight w:val="none"/>
        </w:rPr>
        <w:t>（3）投标保证金；</w:t>
      </w:r>
    </w:p>
    <w:p>
      <w:pPr>
        <w:spacing w:line="360" w:lineRule="auto"/>
        <w:ind w:firstLine="405"/>
        <w:rPr>
          <w:rFonts w:ascii="宋体" w:hAnsi="宋体"/>
          <w:strike/>
          <w:color w:val="auto"/>
          <w:szCs w:val="21"/>
          <w:highlight w:val="none"/>
        </w:rPr>
      </w:pPr>
      <w:r>
        <w:rPr>
          <w:rFonts w:hint="eastAsia" w:ascii="宋体" w:hAnsi="宋体"/>
          <w:color w:val="auto"/>
          <w:szCs w:val="21"/>
          <w:highlight w:val="none"/>
        </w:rPr>
        <w:t>（4）监理报酬清单；</w:t>
      </w:r>
    </w:p>
    <w:p>
      <w:pPr>
        <w:spacing w:line="360" w:lineRule="auto"/>
        <w:ind w:firstLine="405"/>
        <w:rPr>
          <w:rFonts w:ascii="宋体" w:hAnsi="宋体"/>
          <w:color w:val="auto"/>
          <w:szCs w:val="21"/>
          <w:highlight w:val="none"/>
        </w:rPr>
      </w:pPr>
      <w:r>
        <w:rPr>
          <w:rFonts w:hint="eastAsia" w:ascii="宋体" w:hAnsi="宋体"/>
          <w:color w:val="auto"/>
          <w:szCs w:val="21"/>
          <w:highlight w:val="none"/>
        </w:rPr>
        <w:t>（5）资格审查资料</w:t>
      </w:r>
    </w:p>
    <w:p>
      <w:pPr>
        <w:spacing w:line="360" w:lineRule="auto"/>
        <w:ind w:firstLine="405"/>
        <w:rPr>
          <w:rFonts w:ascii="宋体" w:hAnsi="宋体"/>
          <w:color w:val="auto"/>
          <w:szCs w:val="21"/>
          <w:highlight w:val="none"/>
        </w:rPr>
      </w:pPr>
      <w:r>
        <w:rPr>
          <w:rFonts w:hint="eastAsia" w:ascii="宋体" w:hAnsi="宋体"/>
          <w:color w:val="auto"/>
          <w:szCs w:val="21"/>
          <w:highlight w:val="none"/>
        </w:rPr>
        <w:t>（6）监理大纲；</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（7）其他资料：</w:t>
      </w:r>
      <w:r>
        <w:rPr>
          <w:rFonts w:hint="eastAsia" w:ascii="宋体" w:hAnsi="宋体" w:cs="宋体"/>
          <w:color w:val="auto"/>
          <w:szCs w:val="21"/>
          <w:highlight w:val="none"/>
          <w:u w:val="single"/>
        </w:rPr>
        <w:t xml:space="preserve">           </w:t>
      </w:r>
      <w:r>
        <w:rPr>
          <w:rFonts w:hint="eastAsia" w:ascii="宋体" w:hAnsi="宋体"/>
          <w:color w:val="auto"/>
          <w:szCs w:val="21"/>
          <w:highlight w:val="none"/>
        </w:rPr>
        <w:t>（如有）。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投标文件的上述组成部分如存在内容不一致的，以投标函为准。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3．我方承诺在招标文件规定的投标有效期</w:t>
      </w:r>
      <w:r>
        <w:rPr>
          <w:rFonts w:hint="eastAsia" w:ascii="宋体" w:hAnsi="宋体"/>
          <w:color w:val="auto"/>
          <w:szCs w:val="21"/>
          <w:highlight w:val="none"/>
          <w:u w:val="single"/>
        </w:rPr>
        <w:t>90</w:t>
      </w:r>
      <w:r>
        <w:rPr>
          <w:rFonts w:hint="eastAsia" w:ascii="宋体" w:hAnsi="宋体"/>
          <w:color w:val="auto"/>
          <w:szCs w:val="21"/>
          <w:highlight w:val="none"/>
        </w:rPr>
        <w:t>日历天内不撤销投标文件。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4．如我方中标，我方承诺：</w:t>
      </w:r>
    </w:p>
    <w:p>
      <w:pPr>
        <w:spacing w:line="360" w:lineRule="auto"/>
        <w:ind w:firstLine="619" w:firstLineChars="295"/>
        <w:rPr>
          <w:rFonts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pPr>
        <w:spacing w:line="360" w:lineRule="auto"/>
        <w:ind w:firstLine="619" w:firstLineChars="295"/>
        <w:rPr>
          <w:rFonts w:ascii="宋体" w:hAnsi="宋体"/>
          <w:color w:val="auto"/>
          <w:szCs w:val="21"/>
          <w:highlight w:val="none"/>
        </w:rPr>
      </w:pPr>
      <w:r>
        <w:rPr>
          <w:rFonts w:hint="eastAsia" w:ascii="宋体" w:hAnsi="宋体"/>
          <w:color w:val="auto"/>
          <w:szCs w:val="21"/>
          <w:highlight w:val="none"/>
        </w:rPr>
        <w:t>（2）在签订合同时不向你方提出附加条件；</w:t>
      </w:r>
    </w:p>
    <w:p>
      <w:pPr>
        <w:spacing w:line="360" w:lineRule="auto"/>
        <w:ind w:firstLine="619" w:firstLineChars="295"/>
        <w:rPr>
          <w:rFonts w:ascii="宋体" w:hAnsi="宋体"/>
          <w:color w:val="auto"/>
          <w:szCs w:val="21"/>
          <w:highlight w:val="none"/>
        </w:rPr>
      </w:pPr>
      <w:r>
        <w:rPr>
          <w:rFonts w:hint="eastAsia" w:ascii="宋体" w:hAnsi="宋体"/>
          <w:color w:val="auto"/>
          <w:szCs w:val="21"/>
          <w:highlight w:val="none"/>
        </w:rPr>
        <w:t>（3）按照招标文件要求提交履约保证金；</w:t>
      </w:r>
      <w:bookmarkStart w:id="506" w:name="_Toc369531694"/>
      <w:bookmarkStart w:id="507" w:name="_Toc352691658"/>
      <w:bookmarkStart w:id="508" w:name="_Toc1187"/>
    </w:p>
    <w:p>
      <w:pPr>
        <w:spacing w:line="360" w:lineRule="auto"/>
        <w:ind w:firstLine="619" w:firstLineChars="295"/>
        <w:rPr>
          <w:rFonts w:ascii="宋体" w:hAnsi="宋体"/>
          <w:color w:val="auto"/>
          <w:szCs w:val="21"/>
          <w:highlight w:val="none"/>
        </w:rPr>
      </w:pPr>
      <w:r>
        <w:rPr>
          <w:rFonts w:hint="eastAsia" w:ascii="宋体" w:hAnsi="宋体"/>
          <w:color w:val="auto"/>
          <w:szCs w:val="21"/>
          <w:highlight w:val="none"/>
        </w:rPr>
        <w:t>（4）在合</w:t>
      </w:r>
      <w:bookmarkEnd w:id="506"/>
      <w:bookmarkEnd w:id="507"/>
      <w:bookmarkEnd w:id="508"/>
      <w:r>
        <w:rPr>
          <w:rFonts w:hint="eastAsia" w:ascii="宋体" w:hAnsi="宋体"/>
          <w:color w:val="auto"/>
          <w:szCs w:val="21"/>
          <w:highlight w:val="none"/>
        </w:rPr>
        <w:t>同约定的期限内完成合同规定的全部义务。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5．我方在此声明，</w:t>
      </w:r>
      <w:bookmarkStart w:id="509" w:name="_Hlk22686284"/>
      <w:r>
        <w:rPr>
          <w:rFonts w:hint="eastAsia" w:ascii="宋体" w:hAnsi="宋体"/>
          <w:color w:val="auto"/>
          <w:szCs w:val="21"/>
          <w:highlight w:val="none"/>
        </w:rPr>
        <w:t>所递交的投标文件</w:t>
      </w:r>
      <w:bookmarkEnd w:id="509"/>
      <w:r>
        <w:rPr>
          <w:rFonts w:hint="eastAsia" w:ascii="宋体" w:hAnsi="宋体"/>
          <w:color w:val="auto"/>
          <w:szCs w:val="21"/>
          <w:highlight w:val="none"/>
        </w:rPr>
        <w:t>及有关资料内容完整、真实和准确，且不存在第二章“投标人须知”第1.4.3项规定的任何一种情形。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6．如我方中标，我方承诺，满足“委托人要求”中的所有内容。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w:t>
      </w:r>
    </w:p>
    <w:bookmarkEnd w:id="432"/>
    <w:bookmarkEnd w:id="433"/>
    <w:bookmarkEnd w:id="434"/>
    <w:bookmarkEnd w:id="435"/>
    <w:bookmarkEnd w:id="436"/>
    <w:bookmarkEnd w:id="437"/>
    <w:bookmarkEnd w:id="438"/>
    <w:bookmarkEnd w:id="439"/>
    <w:bookmarkEnd w:id="440"/>
    <w:p>
      <w:pPr>
        <w:spacing w:line="360" w:lineRule="auto"/>
        <w:ind w:firstLine="2520" w:firstLineChars="1200"/>
        <w:jc w:val="left"/>
        <w:rPr>
          <w:rFonts w:ascii="宋体" w:hAnsi="宋体"/>
          <w:color w:val="auto"/>
          <w:szCs w:val="21"/>
          <w:highlight w:val="none"/>
        </w:rPr>
      </w:pPr>
    </w:p>
    <w:p>
      <w:pPr>
        <w:spacing w:line="360" w:lineRule="auto"/>
        <w:ind w:firstLine="3259" w:firstLineChars="1552"/>
        <w:rPr>
          <w:rFonts w:ascii="宋体" w:hAnsi="宋体"/>
          <w:color w:val="auto"/>
          <w:szCs w:val="21"/>
          <w:highlight w:val="none"/>
        </w:rPr>
      </w:pPr>
      <w:bookmarkStart w:id="510" w:name="_Toc530470645"/>
      <w:bookmarkStart w:id="511" w:name="_Toc359594236"/>
      <w:bookmarkStart w:id="512" w:name="_Toc535938753"/>
      <w:bookmarkStart w:id="513" w:name="_Toc370676427"/>
      <w:bookmarkStart w:id="514" w:name="_Toc391394112"/>
      <w:bookmarkStart w:id="515" w:name="_Toc529196602"/>
      <w:bookmarkStart w:id="516" w:name="_Toc482188652"/>
      <w:bookmarkStart w:id="517" w:name="_Toc385943066"/>
      <w:bookmarkStart w:id="518" w:name="_Toc152045787"/>
      <w:bookmarkStart w:id="519" w:name="_Toc352691661"/>
      <w:bookmarkStart w:id="520" w:name="_Toc300835209"/>
      <w:bookmarkStart w:id="521" w:name="_Toc384308375"/>
      <w:bookmarkStart w:id="522" w:name="_Toc17960"/>
      <w:bookmarkStart w:id="523" w:name="_Toc247514246"/>
      <w:bookmarkStart w:id="524" w:name="_Toc144974856"/>
      <w:bookmarkStart w:id="525" w:name="_Toc361508752"/>
      <w:bookmarkStart w:id="526" w:name="_Toc369531697"/>
      <w:bookmarkStart w:id="527" w:name="_Toc247527827"/>
      <w:bookmarkStart w:id="528" w:name="_Toc152042576"/>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（加盖投标人公章）</w:t>
      </w:r>
    </w:p>
    <w:p>
      <w:pPr>
        <w:spacing w:line="360" w:lineRule="auto"/>
        <w:ind w:firstLine="3259" w:firstLineChars="1552"/>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rPr>
        <w:t>(</w:t>
      </w:r>
      <w:r>
        <w:rPr>
          <w:rFonts w:hint="eastAsia" w:ascii="宋体" w:hAnsi="宋体"/>
          <w:color w:val="auto"/>
          <w:szCs w:val="21"/>
          <w:highlight w:val="none"/>
        </w:rPr>
        <w:t>或被授权人</w:t>
      </w:r>
      <w:r>
        <w:rPr>
          <w:rFonts w:ascii="宋体" w:hAnsi="宋体"/>
          <w:color w:val="auto"/>
          <w:szCs w:val="21"/>
          <w:highlight w:val="none"/>
        </w:rPr>
        <w:t>)</w:t>
      </w:r>
      <w:r>
        <w:rPr>
          <w:rFonts w:hint="eastAsia" w:ascii="宋体" w:hAnsi="宋体"/>
          <w:color w:val="auto"/>
          <w:szCs w:val="21"/>
          <w:highlight w:val="none"/>
        </w:rPr>
        <w:t>（签名或盖章）：</w:t>
      </w:r>
    </w:p>
    <w:p>
      <w:pPr>
        <w:spacing w:line="360" w:lineRule="auto"/>
        <w:ind w:firstLine="3259" w:firstLineChars="1552"/>
        <w:rPr>
          <w:rFonts w:ascii="宋体" w:hAnsi="宋体"/>
          <w:color w:val="auto"/>
          <w:szCs w:val="21"/>
          <w:highlight w:val="none"/>
        </w:rPr>
      </w:pPr>
      <w:r>
        <w:rPr>
          <w:rFonts w:hint="eastAsia" w:ascii="宋体" w:hAnsi="宋体"/>
          <w:color w:val="auto"/>
          <w:szCs w:val="21"/>
          <w:highlight w:val="none"/>
        </w:rPr>
        <w:t xml:space="preserve">地 </w:t>
      </w:r>
      <w:r>
        <w:rPr>
          <w:rFonts w:ascii="宋体" w:hAnsi="宋体"/>
          <w:color w:val="auto"/>
          <w:szCs w:val="21"/>
          <w:highlight w:val="none"/>
        </w:rPr>
        <w:t xml:space="preserve">   </w:t>
      </w:r>
      <w:r>
        <w:rPr>
          <w:rFonts w:hint="eastAsia" w:ascii="宋体" w:hAnsi="宋体"/>
          <w:color w:val="auto"/>
          <w:szCs w:val="21"/>
          <w:highlight w:val="none"/>
        </w:rPr>
        <w:t>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3259" w:firstLineChars="1552"/>
        <w:rPr>
          <w:rFonts w:ascii="宋体" w:hAnsi="宋体"/>
          <w:color w:val="auto"/>
          <w:szCs w:val="21"/>
          <w:highlight w:val="none"/>
        </w:rPr>
      </w:pPr>
      <w:r>
        <w:rPr>
          <w:rFonts w:hint="eastAsia" w:ascii="宋体" w:hAnsi="宋体"/>
          <w:color w:val="auto"/>
          <w:szCs w:val="21"/>
          <w:highlight w:val="none"/>
        </w:rPr>
        <w:t xml:space="preserve">网 </w:t>
      </w:r>
      <w:r>
        <w:rPr>
          <w:rFonts w:ascii="宋体" w:hAnsi="宋体"/>
          <w:color w:val="auto"/>
          <w:szCs w:val="21"/>
          <w:highlight w:val="none"/>
        </w:rPr>
        <w:t xml:space="preserve">   </w:t>
      </w:r>
      <w:r>
        <w:rPr>
          <w:rFonts w:hint="eastAsia" w:ascii="宋体" w:hAnsi="宋体"/>
          <w:color w:val="auto"/>
          <w:szCs w:val="21"/>
          <w:highlight w:val="none"/>
        </w:rPr>
        <w:t>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right="85" w:firstLine="3259" w:firstLineChars="1552"/>
        <w:rPr>
          <w:rFonts w:ascii="宋体" w:hAnsi="宋体"/>
          <w:color w:val="auto"/>
          <w:szCs w:val="21"/>
          <w:highlight w:val="none"/>
        </w:rPr>
      </w:pPr>
      <w:r>
        <w:rPr>
          <w:rFonts w:hint="eastAsia" w:ascii="宋体" w:hAnsi="宋体"/>
          <w:color w:val="auto"/>
          <w:szCs w:val="21"/>
          <w:highlight w:val="none"/>
        </w:rPr>
        <w:t xml:space="preserve">电 </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3259" w:firstLineChars="1552"/>
        <w:rPr>
          <w:rFonts w:ascii="宋体" w:hAnsi="宋体"/>
          <w:color w:val="auto"/>
          <w:szCs w:val="21"/>
          <w:highlight w:val="none"/>
        </w:rPr>
      </w:pPr>
      <w:r>
        <w:rPr>
          <w:rFonts w:hint="eastAsia" w:ascii="宋体" w:hAnsi="宋体"/>
          <w:color w:val="auto"/>
          <w:szCs w:val="21"/>
          <w:highlight w:val="none"/>
        </w:rPr>
        <w:t xml:space="preserve">传 </w:t>
      </w:r>
      <w:r>
        <w:rPr>
          <w:rFonts w:ascii="宋体" w:hAnsi="宋体"/>
          <w:color w:val="auto"/>
          <w:szCs w:val="21"/>
          <w:highlight w:val="none"/>
        </w:rPr>
        <w:t xml:space="preserve">   </w:t>
      </w:r>
      <w:r>
        <w:rPr>
          <w:rFonts w:hint="eastAsia" w:ascii="宋体" w:hAnsi="宋体"/>
          <w:color w:val="auto"/>
          <w:szCs w:val="21"/>
          <w:highlight w:val="none"/>
        </w:rPr>
        <w:t>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3259" w:firstLineChars="1552"/>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3259" w:firstLineChars="1552"/>
        <w:rPr>
          <w:rFonts w:ascii="宋体" w:hAnsi="宋体"/>
          <w:color w:val="auto"/>
          <w:szCs w:val="21"/>
          <w:highlight w:val="none"/>
        </w:rPr>
      </w:pP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 xml:space="preserve">期： </w:t>
      </w:r>
      <w:r>
        <w:rPr>
          <w:rFonts w:ascii="宋体" w:hAnsi="宋体"/>
          <w:color w:val="auto"/>
          <w:szCs w:val="21"/>
          <w:highlight w:val="none"/>
        </w:rPr>
        <w:t xml:space="preserve">   </w:t>
      </w:r>
      <w:r>
        <w:rPr>
          <w:rFonts w:hint="eastAsia" w:ascii="宋体" w:hAnsi="宋体"/>
          <w:color w:val="auto"/>
          <w:szCs w:val="21"/>
          <w:highlight w:val="none"/>
        </w:rPr>
        <w:t xml:space="preserve">年   月 </w:t>
      </w:r>
      <w:r>
        <w:rPr>
          <w:rFonts w:ascii="宋体" w:hAnsi="宋体"/>
          <w:color w:val="auto"/>
          <w:szCs w:val="21"/>
          <w:highlight w:val="none"/>
        </w:rPr>
        <w:t xml:space="preserve"> </w:t>
      </w:r>
      <w:r>
        <w:rPr>
          <w:rFonts w:hint="eastAsia" w:ascii="宋体" w:hAnsi="宋体"/>
          <w:color w:val="auto"/>
          <w:szCs w:val="21"/>
          <w:highlight w:val="none"/>
        </w:rPr>
        <w:t xml:space="preserve"> 日</w:t>
      </w:r>
    </w:p>
    <w:p>
      <w:pPr>
        <w:pStyle w:val="5"/>
        <w:rPr>
          <w:rFonts w:ascii="宋体" w:hAnsi="宋体" w:eastAsia="宋体"/>
          <w:color w:val="auto"/>
          <w:sz w:val="28"/>
          <w:szCs w:val="24"/>
          <w:highlight w:val="none"/>
        </w:rPr>
      </w:pPr>
      <w:r>
        <w:rPr>
          <w:rFonts w:hint="eastAsia" w:ascii="宋体" w:hAnsi="宋体"/>
          <w:b w:val="0"/>
          <w:bCs w:val="0"/>
          <w:color w:val="auto"/>
          <w:highlight w:val="none"/>
        </w:rPr>
        <w:br w:type="page"/>
      </w:r>
      <w:r>
        <w:rPr>
          <w:rFonts w:hint="eastAsia" w:ascii="宋体" w:hAnsi="宋体" w:eastAsia="宋体"/>
          <w:color w:val="auto"/>
          <w:sz w:val="28"/>
          <w:szCs w:val="24"/>
          <w:highlight w:val="none"/>
        </w:rPr>
        <w:t>（二）投标函附录</w:t>
      </w:r>
      <w:bookmarkEnd w:id="510"/>
      <w:bookmarkEnd w:id="511"/>
      <w:bookmarkEnd w:id="512"/>
      <w:bookmarkEnd w:id="513"/>
      <w:bookmarkEnd w:id="514"/>
      <w:bookmarkEnd w:id="515"/>
      <w:bookmarkEnd w:id="516"/>
      <w:bookmarkEnd w:id="517"/>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411"/>
        <w:gridCol w:w="435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1298"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条款名称</w:t>
            </w:r>
          </w:p>
        </w:tc>
        <w:tc>
          <w:tcPr>
            <w:tcW w:w="23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约定内容</w:t>
            </w:r>
          </w:p>
        </w:tc>
        <w:tc>
          <w:tcPr>
            <w:tcW w:w="841"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16" w:type="pc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contextualSpacing/>
              <w:jc w:val="center"/>
              <w:rPr>
                <w:rFonts w:ascii="宋体" w:hAnsi="宋体"/>
                <w:color w:val="auto"/>
                <w:szCs w:val="21"/>
                <w:highlight w:val="none"/>
              </w:rPr>
            </w:pPr>
            <w:r>
              <w:rPr>
                <w:rFonts w:hint="eastAsia" w:ascii="宋体" w:hAnsi="宋体"/>
                <w:color w:val="auto"/>
                <w:szCs w:val="21"/>
                <w:highlight w:val="none"/>
              </w:rPr>
              <w:t>1</w:t>
            </w:r>
          </w:p>
        </w:tc>
        <w:tc>
          <w:tcPr>
            <w:tcW w:w="1298" w:type="pc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contextualSpacing/>
              <w:jc w:val="center"/>
              <w:rPr>
                <w:rFonts w:ascii="宋体" w:hAnsi="宋体"/>
                <w:color w:val="auto"/>
                <w:szCs w:val="21"/>
                <w:highlight w:val="none"/>
              </w:rPr>
            </w:pPr>
            <w:r>
              <w:rPr>
                <w:rFonts w:hint="eastAsia" w:ascii="宋体" w:hAnsi="宋体"/>
                <w:color w:val="auto"/>
                <w:szCs w:val="21"/>
                <w:highlight w:val="none"/>
              </w:rPr>
              <w:t>总监理工程师</w:t>
            </w:r>
          </w:p>
        </w:tc>
        <w:tc>
          <w:tcPr>
            <w:tcW w:w="2345" w:type="pct"/>
            <w:tcBorders>
              <w:top w:val="single" w:color="auto" w:sz="4" w:space="0"/>
              <w:left w:val="single" w:color="auto" w:sz="4" w:space="0"/>
              <w:bottom w:val="single" w:color="auto" w:sz="4" w:space="0"/>
              <w:right w:val="single" w:color="auto" w:sz="4" w:space="0"/>
            </w:tcBorders>
            <w:noWrap/>
            <w:vAlign w:val="center"/>
          </w:tcPr>
          <w:p>
            <w:pPr>
              <w:spacing w:line="360" w:lineRule="auto"/>
              <w:contextualSpacing/>
              <w:rPr>
                <w:rFonts w:ascii="宋体" w:hAnsi="宋体"/>
                <w:color w:val="auto"/>
                <w:szCs w:val="21"/>
                <w:highlight w:val="none"/>
              </w:rPr>
            </w:pPr>
            <w:r>
              <w:rPr>
                <w:rFonts w:hint="eastAsia" w:ascii="宋体" w:hAnsi="宋体"/>
                <w:color w:val="auto"/>
                <w:szCs w:val="21"/>
                <w:highlight w:val="none"/>
              </w:rPr>
              <w:t>姓名：</w:t>
            </w:r>
          </w:p>
          <w:p>
            <w:pPr>
              <w:spacing w:line="360" w:lineRule="auto"/>
              <w:contextualSpacing/>
              <w:rPr>
                <w:rFonts w:ascii="宋体" w:hAnsi="宋体"/>
                <w:color w:val="auto"/>
                <w:szCs w:val="21"/>
                <w:highlight w:val="none"/>
              </w:rPr>
            </w:pPr>
            <w:r>
              <w:rPr>
                <w:rFonts w:hint="eastAsia" w:ascii="宋体" w:hAnsi="宋体"/>
                <w:color w:val="auto"/>
                <w:szCs w:val="21"/>
                <w:highlight w:val="none"/>
              </w:rPr>
              <w:t>技术职称：</w:t>
            </w:r>
          </w:p>
          <w:p>
            <w:pPr>
              <w:pStyle w:val="7"/>
              <w:topLinePunct/>
              <w:spacing w:line="360" w:lineRule="auto"/>
              <w:contextualSpacing/>
              <w:rPr>
                <w:rFonts w:hAnsi="宋体"/>
                <w:color w:val="auto"/>
                <w:kern w:val="2"/>
                <w:sz w:val="21"/>
                <w:szCs w:val="21"/>
                <w:highlight w:val="none"/>
                <w:lang w:val="en-US" w:eastAsia="zh-CN"/>
              </w:rPr>
            </w:pPr>
            <w:r>
              <w:rPr>
                <w:rFonts w:hint="eastAsia" w:hAnsi="宋体"/>
                <w:color w:val="auto"/>
                <w:sz w:val="21"/>
                <w:szCs w:val="21"/>
                <w:highlight w:val="none"/>
                <w:lang w:val="en-US" w:eastAsia="zh-CN"/>
              </w:rPr>
              <w:t>注册证号：</w:t>
            </w:r>
          </w:p>
        </w:tc>
        <w:tc>
          <w:tcPr>
            <w:tcW w:w="841" w:type="pct"/>
            <w:tcBorders>
              <w:top w:val="single" w:color="auto" w:sz="4" w:space="0"/>
              <w:left w:val="single" w:color="auto" w:sz="4" w:space="0"/>
              <w:bottom w:val="single" w:color="auto" w:sz="4" w:space="0"/>
              <w:right w:val="single" w:color="auto" w:sz="4" w:space="0"/>
            </w:tcBorders>
            <w:noWrap/>
            <w:vAlign w:val="center"/>
          </w:tcPr>
          <w:p>
            <w:pPr>
              <w:ind w:firstLine="718" w:firstLineChars="342"/>
              <w:contextualSpacing/>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6" w:type="pct"/>
            <w:tcBorders>
              <w:top w:val="single" w:color="auto" w:sz="4" w:space="0"/>
              <w:left w:val="single" w:color="auto" w:sz="4" w:space="0"/>
              <w:bottom w:val="single" w:color="auto" w:sz="4" w:space="0"/>
              <w:right w:val="single" w:color="auto" w:sz="4" w:space="0"/>
            </w:tcBorders>
            <w:noWrap/>
            <w:vAlign w:val="center"/>
          </w:tcPr>
          <w:p>
            <w:pPr>
              <w:contextualSpacing/>
              <w:jc w:val="center"/>
              <w:rPr>
                <w:rFonts w:ascii="宋体" w:hAnsi="宋体"/>
                <w:color w:val="auto"/>
                <w:szCs w:val="21"/>
                <w:highlight w:val="none"/>
              </w:rPr>
            </w:pPr>
            <w:r>
              <w:rPr>
                <w:rFonts w:hint="eastAsia" w:ascii="宋体" w:hAnsi="宋体"/>
                <w:color w:val="auto"/>
                <w:szCs w:val="21"/>
                <w:highlight w:val="none"/>
              </w:rPr>
              <w:t>2</w:t>
            </w:r>
          </w:p>
        </w:tc>
        <w:tc>
          <w:tcPr>
            <w:tcW w:w="1298" w:type="pc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contextualSpacing/>
              <w:jc w:val="center"/>
              <w:rPr>
                <w:rFonts w:ascii="宋体" w:hAnsi="宋体"/>
                <w:color w:val="auto"/>
                <w:szCs w:val="21"/>
                <w:highlight w:val="none"/>
              </w:rPr>
            </w:pPr>
            <w:r>
              <w:rPr>
                <w:rFonts w:hint="eastAsia" w:ascii="宋体" w:hAnsi="宋体"/>
                <w:color w:val="auto"/>
                <w:szCs w:val="21"/>
                <w:highlight w:val="none"/>
              </w:rPr>
              <w:t>监理服务期限</w:t>
            </w:r>
          </w:p>
        </w:tc>
        <w:tc>
          <w:tcPr>
            <w:tcW w:w="2345" w:type="pct"/>
            <w:tcBorders>
              <w:top w:val="single" w:color="auto" w:sz="4" w:space="0"/>
              <w:left w:val="single" w:color="auto" w:sz="4" w:space="0"/>
              <w:bottom w:val="single" w:color="auto" w:sz="4" w:space="0"/>
              <w:right w:val="single" w:color="auto" w:sz="4" w:space="0"/>
            </w:tcBorders>
            <w:noWrap/>
            <w:vAlign w:val="center"/>
          </w:tcPr>
          <w:p>
            <w:pPr>
              <w:pStyle w:val="7"/>
              <w:topLinePunct/>
              <w:contextualSpacing/>
              <w:jc w:val="center"/>
              <w:rPr>
                <w:rFonts w:hAnsi="宋体"/>
                <w:color w:val="auto"/>
                <w:kern w:val="2"/>
                <w:sz w:val="21"/>
                <w:szCs w:val="21"/>
                <w:highlight w:val="none"/>
                <w:lang w:val="en-US" w:eastAsia="zh-CN"/>
              </w:rPr>
            </w:pPr>
            <w:r>
              <w:rPr>
                <w:rFonts w:hint="eastAsia" w:hAnsi="宋体"/>
                <w:color w:val="auto"/>
                <w:kern w:val="2"/>
                <w:sz w:val="21"/>
                <w:szCs w:val="21"/>
                <w:highlight w:val="none"/>
                <w:u w:val="single"/>
                <w:lang w:val="en-US" w:eastAsia="zh-CN"/>
              </w:rPr>
              <w:t>按招标文件要求</w:t>
            </w:r>
          </w:p>
        </w:tc>
        <w:tc>
          <w:tcPr>
            <w:tcW w:w="841" w:type="pct"/>
            <w:tcBorders>
              <w:top w:val="single" w:color="auto" w:sz="4" w:space="0"/>
              <w:left w:val="single" w:color="auto" w:sz="4" w:space="0"/>
              <w:bottom w:val="single" w:color="auto" w:sz="4" w:space="0"/>
              <w:right w:val="single" w:color="auto" w:sz="4" w:space="0"/>
            </w:tcBorders>
            <w:noWrap/>
            <w:vAlign w:val="center"/>
          </w:tcPr>
          <w:p>
            <w:pPr>
              <w:contextualSpacing/>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6" w:type="pct"/>
            <w:tcBorders>
              <w:top w:val="single" w:color="auto" w:sz="4" w:space="0"/>
              <w:left w:val="single" w:color="auto" w:sz="4" w:space="0"/>
              <w:bottom w:val="single" w:color="auto" w:sz="4" w:space="0"/>
              <w:right w:val="single" w:color="auto" w:sz="4" w:space="0"/>
            </w:tcBorders>
            <w:noWrap/>
            <w:vAlign w:val="center"/>
          </w:tcPr>
          <w:p>
            <w:pPr>
              <w:contextualSpacing/>
              <w:jc w:val="center"/>
              <w:rPr>
                <w:rFonts w:ascii="宋体" w:hAnsi="宋体"/>
                <w:color w:val="auto"/>
                <w:szCs w:val="21"/>
                <w:highlight w:val="none"/>
              </w:rPr>
            </w:pPr>
            <w:r>
              <w:rPr>
                <w:rFonts w:hint="eastAsia" w:ascii="宋体" w:hAnsi="宋体"/>
                <w:color w:val="auto"/>
                <w:szCs w:val="21"/>
                <w:highlight w:val="none"/>
              </w:rPr>
              <w:t>3</w:t>
            </w:r>
          </w:p>
        </w:tc>
        <w:tc>
          <w:tcPr>
            <w:tcW w:w="1298" w:type="pct"/>
            <w:tcBorders>
              <w:top w:val="single" w:color="auto" w:sz="4" w:space="0"/>
              <w:left w:val="single" w:color="auto" w:sz="4" w:space="0"/>
              <w:bottom w:val="single" w:color="auto" w:sz="4" w:space="0"/>
              <w:right w:val="single" w:color="auto" w:sz="4" w:space="0"/>
            </w:tcBorders>
            <w:noWrap/>
            <w:vAlign w:val="center"/>
          </w:tcPr>
          <w:p>
            <w:pPr>
              <w:contextualSpacing/>
              <w:jc w:val="center"/>
              <w:rPr>
                <w:rFonts w:ascii="宋体" w:hAnsi="宋体"/>
                <w:color w:val="auto"/>
                <w:szCs w:val="21"/>
                <w:highlight w:val="none"/>
              </w:rPr>
            </w:pPr>
            <w:r>
              <w:rPr>
                <w:rFonts w:hint="eastAsia" w:ascii="宋体" w:hAnsi="宋体"/>
                <w:color w:val="auto"/>
                <w:szCs w:val="21"/>
                <w:highlight w:val="none"/>
              </w:rPr>
              <w:t>质量标准</w:t>
            </w:r>
          </w:p>
        </w:tc>
        <w:tc>
          <w:tcPr>
            <w:tcW w:w="2345" w:type="pct"/>
            <w:tcBorders>
              <w:top w:val="single" w:color="auto" w:sz="4" w:space="0"/>
              <w:left w:val="single" w:color="auto" w:sz="4" w:space="0"/>
              <w:bottom w:val="single" w:color="auto" w:sz="4" w:space="0"/>
              <w:right w:val="single" w:color="auto" w:sz="4" w:space="0"/>
            </w:tcBorders>
            <w:noWrap/>
            <w:vAlign w:val="center"/>
          </w:tcPr>
          <w:p>
            <w:pPr>
              <w:contextualSpacing/>
              <w:jc w:val="center"/>
              <w:rPr>
                <w:rFonts w:ascii="宋体" w:hAnsi="宋体"/>
                <w:color w:val="auto"/>
                <w:szCs w:val="21"/>
                <w:highlight w:val="none"/>
              </w:rPr>
            </w:pPr>
            <w:r>
              <w:rPr>
                <w:rFonts w:hint="eastAsia" w:ascii="宋体" w:hAnsi="宋体"/>
                <w:color w:val="auto"/>
                <w:szCs w:val="21"/>
                <w:highlight w:val="none"/>
                <w:u w:val="single"/>
              </w:rPr>
              <w:t>按招标文件要求</w:t>
            </w:r>
          </w:p>
        </w:tc>
        <w:tc>
          <w:tcPr>
            <w:tcW w:w="841" w:type="pct"/>
            <w:tcBorders>
              <w:top w:val="single" w:color="auto" w:sz="4" w:space="0"/>
              <w:left w:val="single" w:color="auto" w:sz="4" w:space="0"/>
              <w:bottom w:val="single" w:color="auto" w:sz="4" w:space="0"/>
              <w:right w:val="single" w:color="auto" w:sz="4" w:space="0"/>
            </w:tcBorders>
            <w:noWrap/>
            <w:vAlign w:val="center"/>
          </w:tcPr>
          <w:p>
            <w:pPr>
              <w:tabs>
                <w:tab w:val="left" w:pos="360"/>
              </w:tabs>
              <w:contextualSpacing/>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6" w:type="pct"/>
            <w:tcBorders>
              <w:top w:val="single" w:color="auto" w:sz="4" w:space="0"/>
              <w:left w:val="single" w:color="auto" w:sz="4" w:space="0"/>
              <w:bottom w:val="single" w:color="auto" w:sz="4" w:space="0"/>
              <w:right w:val="single" w:color="auto" w:sz="4" w:space="0"/>
            </w:tcBorders>
            <w:noWrap/>
            <w:vAlign w:val="center"/>
          </w:tcPr>
          <w:p>
            <w:pPr>
              <w:contextualSpacing/>
              <w:jc w:val="center"/>
              <w:rPr>
                <w:rFonts w:ascii="宋体" w:hAnsi="宋体"/>
                <w:color w:val="auto"/>
                <w:szCs w:val="21"/>
                <w:highlight w:val="none"/>
              </w:rPr>
            </w:pPr>
            <w:r>
              <w:rPr>
                <w:rFonts w:hint="eastAsia" w:ascii="宋体" w:hAnsi="宋体"/>
                <w:color w:val="auto"/>
                <w:szCs w:val="21"/>
                <w:highlight w:val="none"/>
              </w:rPr>
              <w:t>4</w:t>
            </w:r>
          </w:p>
        </w:tc>
        <w:tc>
          <w:tcPr>
            <w:tcW w:w="1298" w:type="pct"/>
            <w:tcBorders>
              <w:top w:val="single" w:color="auto" w:sz="4" w:space="0"/>
              <w:left w:val="single" w:color="auto" w:sz="4" w:space="0"/>
              <w:bottom w:val="single" w:color="auto" w:sz="4" w:space="0"/>
              <w:right w:val="single" w:color="auto" w:sz="4" w:space="0"/>
            </w:tcBorders>
            <w:noWrap/>
            <w:vAlign w:val="center"/>
          </w:tcPr>
          <w:p>
            <w:pPr>
              <w:contextualSpacing/>
              <w:jc w:val="center"/>
              <w:rPr>
                <w:rFonts w:ascii="宋体" w:hAnsi="宋体"/>
                <w:color w:val="auto"/>
                <w:szCs w:val="21"/>
                <w:highlight w:val="none"/>
              </w:rPr>
            </w:pPr>
            <w:r>
              <w:rPr>
                <w:rFonts w:hint="eastAsia" w:ascii="宋体" w:hAnsi="宋体"/>
                <w:color w:val="auto"/>
                <w:szCs w:val="21"/>
                <w:highlight w:val="none"/>
              </w:rPr>
              <w:t>报价下浮率</w:t>
            </w:r>
          </w:p>
        </w:tc>
        <w:tc>
          <w:tcPr>
            <w:tcW w:w="2345" w:type="pct"/>
            <w:tcBorders>
              <w:top w:val="single" w:color="auto" w:sz="4" w:space="0"/>
              <w:left w:val="single" w:color="auto" w:sz="4" w:space="0"/>
              <w:bottom w:val="single" w:color="auto" w:sz="4" w:space="0"/>
              <w:right w:val="single" w:color="auto" w:sz="4" w:space="0"/>
            </w:tcBorders>
            <w:noWrap/>
            <w:vAlign w:val="center"/>
          </w:tcPr>
          <w:p>
            <w:pPr>
              <w:spacing w:before="156" w:beforeLines="50" w:after="156" w:afterLines="50"/>
              <w:contextualSpacing/>
              <w:jc w:val="center"/>
              <w:rPr>
                <w:rFonts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rPr>
              <w:t>%</w:t>
            </w:r>
          </w:p>
        </w:tc>
        <w:tc>
          <w:tcPr>
            <w:tcW w:w="841" w:type="pct"/>
            <w:tcBorders>
              <w:top w:val="single" w:color="auto" w:sz="4" w:space="0"/>
              <w:left w:val="single" w:color="auto" w:sz="4" w:space="0"/>
              <w:bottom w:val="single" w:color="auto" w:sz="4" w:space="0"/>
              <w:right w:val="single" w:color="auto" w:sz="4" w:space="0"/>
            </w:tcBorders>
            <w:noWrap/>
            <w:vAlign w:val="center"/>
          </w:tcPr>
          <w:p>
            <w:pPr>
              <w:tabs>
                <w:tab w:val="left" w:pos="360"/>
              </w:tabs>
              <w:contextualSpacing/>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6" w:type="pct"/>
            <w:tcBorders>
              <w:top w:val="single" w:color="auto" w:sz="4" w:space="0"/>
              <w:left w:val="single" w:color="auto" w:sz="4" w:space="0"/>
              <w:bottom w:val="single" w:color="auto" w:sz="4" w:space="0"/>
              <w:right w:val="single" w:color="auto" w:sz="4" w:space="0"/>
            </w:tcBorders>
            <w:noWrap/>
            <w:vAlign w:val="center"/>
          </w:tcPr>
          <w:p>
            <w:pPr>
              <w:contextualSpacing/>
              <w:jc w:val="center"/>
              <w:rPr>
                <w:rFonts w:hint="eastAsia" w:ascii="宋体" w:hAnsi="宋体"/>
                <w:color w:val="auto"/>
                <w:szCs w:val="21"/>
                <w:highlight w:val="none"/>
              </w:rPr>
            </w:pPr>
            <w:r>
              <w:rPr>
                <w:rFonts w:hint="eastAsia" w:ascii="宋体" w:hAnsi="宋体"/>
                <w:color w:val="auto"/>
                <w:szCs w:val="21"/>
                <w:highlight w:val="none"/>
              </w:rPr>
              <w:t>5</w:t>
            </w:r>
          </w:p>
        </w:tc>
        <w:tc>
          <w:tcPr>
            <w:tcW w:w="1298" w:type="pct"/>
            <w:tcBorders>
              <w:top w:val="single" w:color="auto" w:sz="4" w:space="0"/>
              <w:left w:val="single" w:color="auto" w:sz="4" w:space="0"/>
              <w:bottom w:val="single" w:color="auto" w:sz="4" w:space="0"/>
              <w:right w:val="single" w:color="auto" w:sz="4" w:space="0"/>
            </w:tcBorders>
            <w:noWrap/>
            <w:vAlign w:val="center"/>
          </w:tcPr>
          <w:p>
            <w:pPr>
              <w:contextualSpacing/>
              <w:jc w:val="center"/>
              <w:rPr>
                <w:rFonts w:hint="eastAsia" w:ascii="宋体" w:hAnsi="宋体"/>
                <w:color w:val="auto"/>
                <w:szCs w:val="21"/>
                <w:highlight w:val="none"/>
              </w:rPr>
            </w:pPr>
            <w:r>
              <w:rPr>
                <w:rFonts w:hint="eastAsia" w:ascii="宋体" w:hAnsi="宋体"/>
                <w:color w:val="auto"/>
                <w:szCs w:val="21"/>
                <w:highlight w:val="none"/>
              </w:rPr>
              <w:t>投标报价</w:t>
            </w:r>
          </w:p>
        </w:tc>
        <w:tc>
          <w:tcPr>
            <w:tcW w:w="2345" w:type="pct"/>
            <w:tcBorders>
              <w:top w:val="single" w:color="auto" w:sz="4" w:space="0"/>
              <w:left w:val="single" w:color="auto" w:sz="4" w:space="0"/>
              <w:bottom w:val="single" w:color="auto" w:sz="4" w:space="0"/>
              <w:right w:val="single" w:color="auto" w:sz="4" w:space="0"/>
            </w:tcBorders>
            <w:noWrap/>
            <w:vAlign w:val="center"/>
          </w:tcPr>
          <w:p>
            <w:pPr>
              <w:spacing w:before="156" w:beforeLines="50" w:after="156" w:afterLines="50"/>
              <w:contextualSpacing/>
              <w:jc w:val="center"/>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元</w:t>
            </w:r>
          </w:p>
        </w:tc>
        <w:tc>
          <w:tcPr>
            <w:tcW w:w="841" w:type="pct"/>
            <w:tcBorders>
              <w:top w:val="single" w:color="auto" w:sz="4" w:space="0"/>
              <w:left w:val="single" w:color="auto" w:sz="4" w:space="0"/>
              <w:bottom w:val="single" w:color="auto" w:sz="4" w:space="0"/>
              <w:right w:val="single" w:color="auto" w:sz="4" w:space="0"/>
            </w:tcBorders>
            <w:noWrap/>
            <w:vAlign w:val="center"/>
          </w:tcPr>
          <w:p>
            <w:pPr>
              <w:tabs>
                <w:tab w:val="left" w:pos="360"/>
              </w:tabs>
              <w:contextualSpacing/>
              <w:jc w:val="center"/>
              <w:rPr>
                <w:rFonts w:ascii="宋体" w:hAnsi="宋体"/>
                <w:b/>
                <w:color w:val="auto"/>
                <w:szCs w:val="21"/>
                <w:highlight w:val="none"/>
              </w:rPr>
            </w:pPr>
          </w:p>
        </w:tc>
      </w:tr>
    </w:tbl>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注：1.报价下浮率位于0%至10%之间，由投标人根据招标文件要求以及企业自身情况填写报价下浮率。</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2.投标报价不得高于最高投标限价，投标报价=最高投标限价×（1-报价下浮率）。</w:t>
      </w:r>
    </w:p>
    <w:p>
      <w:pPr>
        <w:spacing w:line="360" w:lineRule="auto"/>
        <w:ind w:firstLine="2730" w:firstLineChars="1300"/>
        <w:jc w:val="left"/>
        <w:rPr>
          <w:rFonts w:ascii="宋体" w:hAnsi="宋体"/>
          <w:color w:val="auto"/>
          <w:szCs w:val="21"/>
          <w:highlight w:val="none"/>
        </w:rPr>
      </w:pPr>
    </w:p>
    <w:p>
      <w:pPr>
        <w:spacing w:line="360" w:lineRule="auto"/>
        <w:ind w:firstLine="3968" w:firstLineChars="1890"/>
        <w:jc w:val="left"/>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color w:val="auto"/>
          <w:szCs w:val="21"/>
          <w:highlight w:val="none"/>
        </w:rPr>
        <w:t>（加盖投标人公章）</w:t>
      </w:r>
    </w:p>
    <w:p>
      <w:pPr>
        <w:spacing w:line="360" w:lineRule="auto"/>
        <w:ind w:firstLine="3968" w:firstLineChars="1890"/>
        <w:jc w:val="left"/>
        <w:rPr>
          <w:rFonts w:ascii="宋体" w:hAnsi="宋体"/>
          <w:color w:val="auto"/>
          <w:szCs w:val="21"/>
          <w:highlight w:val="none"/>
        </w:rPr>
      </w:pPr>
      <w:r>
        <w:rPr>
          <w:rFonts w:hint="eastAsia" w:ascii="宋体" w:hAnsi="宋体"/>
          <w:color w:val="auto"/>
          <w:szCs w:val="21"/>
          <w:highlight w:val="none"/>
        </w:rPr>
        <w:t>法定代表人或其委托代理人：（签字或盖章）</w:t>
      </w:r>
    </w:p>
    <w:p>
      <w:pPr>
        <w:wordWrap w:val="0"/>
        <w:spacing w:line="360" w:lineRule="auto"/>
        <w:ind w:right="840" w:firstLine="3968" w:firstLineChars="1890"/>
        <w:rPr>
          <w:rFonts w:ascii="宋体" w:hAnsi="宋体"/>
          <w:color w:val="auto"/>
          <w:szCs w:val="21"/>
          <w:highlight w:val="none"/>
        </w:rPr>
      </w:pP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 xml:space="preserve">期：  </w:t>
      </w:r>
      <w:r>
        <w:rPr>
          <w:rFonts w:ascii="宋体" w:hAnsi="宋体"/>
          <w:color w:val="auto"/>
          <w:szCs w:val="21"/>
          <w:highlight w:val="none"/>
        </w:rPr>
        <w:t xml:space="preserve">  </w:t>
      </w:r>
      <w:r>
        <w:rPr>
          <w:rFonts w:hint="eastAsia" w:ascii="宋体" w:hAnsi="宋体"/>
          <w:color w:val="auto"/>
          <w:szCs w:val="21"/>
          <w:highlight w:val="none"/>
        </w:rPr>
        <w:t xml:space="preserve"> 年   月   日</w:t>
      </w:r>
    </w:p>
    <w:p>
      <w:pPr>
        <w:pStyle w:val="4"/>
        <w:spacing w:line="360" w:lineRule="auto"/>
        <w:rPr>
          <w:rFonts w:ascii="宋体" w:hAnsi="宋体" w:eastAsia="宋体"/>
          <w:color w:val="auto"/>
          <w:sz w:val="30"/>
          <w:szCs w:val="30"/>
          <w:highlight w:val="none"/>
        </w:rPr>
      </w:pPr>
      <w:r>
        <w:rPr>
          <w:rFonts w:hint="eastAsia" w:ascii="宋体" w:hAnsi="宋体"/>
          <w:b w:val="0"/>
          <w:bCs w:val="0"/>
          <w:color w:val="auto"/>
          <w:sz w:val="21"/>
          <w:szCs w:val="21"/>
          <w:highlight w:val="none"/>
        </w:rPr>
        <w:br w:type="page"/>
      </w:r>
      <w:bookmarkStart w:id="529" w:name="_Toc529196603"/>
      <w:bookmarkStart w:id="530" w:name="_Toc535938754"/>
      <w:bookmarkStart w:id="531" w:name="_Toc530470646"/>
      <w:r>
        <w:rPr>
          <w:rFonts w:hint="eastAsia" w:ascii="宋体" w:hAnsi="宋体" w:eastAsia="宋体"/>
          <w:color w:val="auto"/>
          <w:sz w:val="30"/>
          <w:szCs w:val="30"/>
          <w:highlight w:val="none"/>
        </w:rPr>
        <w:t>二</w:t>
      </w:r>
      <w:bookmarkEnd w:id="518"/>
      <w:bookmarkEnd w:id="519"/>
      <w:bookmarkEnd w:id="520"/>
      <w:bookmarkEnd w:id="521"/>
      <w:bookmarkEnd w:id="522"/>
      <w:bookmarkEnd w:id="523"/>
      <w:bookmarkEnd w:id="524"/>
      <w:bookmarkEnd w:id="525"/>
      <w:bookmarkEnd w:id="526"/>
      <w:bookmarkEnd w:id="527"/>
      <w:bookmarkEnd w:id="528"/>
      <w:r>
        <w:rPr>
          <w:rFonts w:hint="eastAsia" w:ascii="宋体" w:hAnsi="宋体" w:eastAsia="宋体"/>
          <w:color w:val="auto"/>
          <w:sz w:val="30"/>
          <w:szCs w:val="30"/>
          <w:highlight w:val="none"/>
        </w:rPr>
        <w:t>、法定代表人身份证明或授权委托书（格式可自定）</w:t>
      </w:r>
      <w:bookmarkEnd w:id="529"/>
      <w:bookmarkEnd w:id="530"/>
      <w:bookmarkEnd w:id="531"/>
    </w:p>
    <w:p>
      <w:pPr>
        <w:pStyle w:val="5"/>
        <w:rPr>
          <w:rFonts w:ascii="宋体" w:hAnsi="宋体" w:eastAsia="宋体"/>
          <w:color w:val="auto"/>
          <w:sz w:val="28"/>
          <w:szCs w:val="24"/>
          <w:highlight w:val="none"/>
        </w:rPr>
      </w:pPr>
      <w:r>
        <w:rPr>
          <w:rFonts w:hint="eastAsia" w:ascii="宋体" w:hAnsi="宋体" w:eastAsia="宋体"/>
          <w:color w:val="auto"/>
          <w:sz w:val="28"/>
          <w:szCs w:val="24"/>
          <w:highlight w:val="none"/>
        </w:rPr>
        <w:t>法定代表人身份证明</w:t>
      </w:r>
    </w:p>
    <w:p>
      <w:pPr>
        <w:spacing w:line="440" w:lineRule="exact"/>
        <w:rPr>
          <w:color w:val="auto"/>
          <w:szCs w:val="21"/>
          <w:highlight w:val="none"/>
        </w:rPr>
      </w:pPr>
      <w:r>
        <w:rPr>
          <w:color w:val="auto"/>
          <w:szCs w:val="21"/>
          <w:highlight w:val="none"/>
        </w:rPr>
        <w:t>投标人名称：</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440" w:lineRule="exact"/>
        <w:rPr>
          <w:color w:val="auto"/>
          <w:szCs w:val="21"/>
          <w:highlight w:val="none"/>
        </w:rPr>
      </w:pPr>
      <w:r>
        <w:rPr>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color w:val="auto"/>
          <w:szCs w:val="21"/>
          <w:highlight w:val="none"/>
        </w:rPr>
        <w:t xml:space="preserve"> 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pPr>
        <w:spacing w:line="440" w:lineRule="exact"/>
        <w:ind w:firstLine="420" w:firstLineChars="200"/>
        <w:rPr>
          <w:color w:val="auto"/>
          <w:szCs w:val="21"/>
          <w:highlight w:val="none"/>
        </w:rPr>
      </w:pPr>
      <w:r>
        <w:rPr>
          <w:color w:val="auto"/>
          <w:szCs w:val="21"/>
          <w:highlight w:val="none"/>
        </w:rPr>
        <w:t>特此证明。</w:t>
      </w:r>
    </w:p>
    <w:p>
      <w:pPr>
        <w:spacing w:line="440" w:lineRule="exact"/>
        <w:rPr>
          <w:color w:val="auto"/>
          <w:szCs w:val="21"/>
          <w:highlight w:val="none"/>
        </w:rPr>
      </w:pPr>
    </w:p>
    <w:p>
      <w:pPr>
        <w:spacing w:line="440" w:lineRule="exact"/>
        <w:rPr>
          <w:rFonts w:ascii="宋体"/>
          <w:color w:val="auto"/>
          <w:szCs w:val="21"/>
          <w:highlight w:val="none"/>
        </w:rPr>
      </w:pPr>
      <w:r>
        <w:rPr>
          <w:rFonts w:hint="eastAsia" w:ascii="宋体"/>
          <w:color w:val="auto"/>
          <w:szCs w:val="21"/>
          <w:highlight w:val="none"/>
        </w:rPr>
        <w:t>附：法定代表人身份证复印件</w:t>
      </w:r>
      <w:r>
        <w:rPr>
          <w:rFonts w:hint="eastAsia" w:ascii="宋体" w:cs="宋体"/>
          <w:color w:val="auto"/>
          <w:szCs w:val="21"/>
          <w:highlight w:val="none"/>
        </w:rPr>
        <w:t>或扫描打印件</w:t>
      </w:r>
      <w:r>
        <w:rPr>
          <w:rFonts w:hint="eastAsia" w:ascii="宋体"/>
          <w:color w:val="auto"/>
          <w:szCs w:val="21"/>
          <w:highlight w:val="none"/>
        </w:rPr>
        <w:t>。</w:t>
      </w:r>
    </w:p>
    <w:p>
      <w:pPr>
        <w:spacing w:line="440" w:lineRule="exact"/>
        <w:ind w:firstLine="735" w:firstLineChars="350"/>
        <w:rPr>
          <w:rFonts w:ascii="宋体"/>
          <w:color w:val="auto"/>
          <w:szCs w:val="21"/>
          <w:highlight w:val="none"/>
        </w:rPr>
      </w:pPr>
    </w:p>
    <w:p>
      <w:pPr>
        <w:spacing w:line="360" w:lineRule="auto"/>
        <w:ind w:firstLine="3968" w:firstLineChars="1890"/>
        <w:jc w:val="left"/>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color w:val="auto"/>
          <w:szCs w:val="21"/>
          <w:highlight w:val="none"/>
        </w:rPr>
        <w:t>（加盖投标人公章）</w:t>
      </w:r>
    </w:p>
    <w:p>
      <w:pPr>
        <w:wordWrap w:val="0"/>
        <w:spacing w:line="360" w:lineRule="auto"/>
        <w:ind w:right="840" w:firstLine="3968" w:firstLineChars="1890"/>
        <w:rPr>
          <w:rFonts w:ascii="宋体" w:hAnsi="宋体"/>
          <w:color w:val="auto"/>
          <w:szCs w:val="21"/>
          <w:highlight w:val="none"/>
        </w:rPr>
      </w:pP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 xml:space="preserve">期：  </w:t>
      </w:r>
      <w:r>
        <w:rPr>
          <w:rFonts w:ascii="宋体" w:hAnsi="宋体"/>
          <w:color w:val="auto"/>
          <w:szCs w:val="21"/>
          <w:highlight w:val="none"/>
        </w:rPr>
        <w:t xml:space="preserve">  </w:t>
      </w:r>
      <w:r>
        <w:rPr>
          <w:rFonts w:hint="eastAsia" w:ascii="宋体" w:hAnsi="宋体"/>
          <w:color w:val="auto"/>
          <w:szCs w:val="21"/>
          <w:highlight w:val="none"/>
        </w:rPr>
        <w:t xml:space="preserve"> 年   月   日</w:t>
      </w:r>
    </w:p>
    <w:p>
      <w:pPr>
        <w:pStyle w:val="5"/>
        <w:rPr>
          <w:rFonts w:ascii="宋体" w:hAnsi="宋体" w:eastAsia="宋体"/>
          <w:color w:val="auto"/>
          <w:sz w:val="28"/>
          <w:szCs w:val="24"/>
          <w:highlight w:val="none"/>
        </w:rPr>
      </w:pPr>
      <w:r>
        <w:rPr>
          <w:rFonts w:ascii="宋体"/>
          <w:color w:val="auto"/>
          <w:szCs w:val="21"/>
          <w:highlight w:val="none"/>
        </w:rPr>
        <w:br w:type="page"/>
      </w:r>
      <w:r>
        <w:rPr>
          <w:rFonts w:ascii="宋体" w:hAnsi="宋体" w:eastAsia="宋体"/>
          <w:color w:val="auto"/>
          <w:sz w:val="28"/>
          <w:szCs w:val="24"/>
          <w:highlight w:val="none"/>
        </w:rPr>
        <w:t>授权委托书</w:t>
      </w:r>
    </w:p>
    <w:p>
      <w:pPr>
        <w:topLinePunct/>
        <w:spacing w:line="44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（投标人名称）的法定代表人，现委托</w:t>
      </w:r>
      <w:r>
        <w:rPr>
          <w:color w:val="auto"/>
          <w:szCs w:val="21"/>
          <w:highlight w:val="none"/>
          <w:u w:val="single"/>
        </w:rPr>
        <w:t xml:space="preserve">        </w:t>
      </w:r>
      <w:r>
        <w:rPr>
          <w:color w:val="auto"/>
          <w:szCs w:val="21"/>
          <w:highlight w:val="none"/>
        </w:rPr>
        <w:t>（姓名）为我方代理人。代理人根据授权，以我方名义签署、澄清</w:t>
      </w:r>
      <w:r>
        <w:rPr>
          <w:rFonts w:hint="eastAsia"/>
          <w:color w:val="auto"/>
          <w:szCs w:val="21"/>
          <w:highlight w:val="none"/>
        </w:rPr>
        <w:t>、说明、补正</w:t>
      </w:r>
      <w:r>
        <w:rPr>
          <w:color w:val="auto"/>
          <w:szCs w:val="21"/>
          <w:highlight w:val="none"/>
        </w:rPr>
        <w:t>、递交、撤回、修改</w:t>
      </w:r>
      <w:r>
        <w:rPr>
          <w:color w:val="auto"/>
          <w:szCs w:val="21"/>
          <w:highlight w:val="none"/>
          <w:u w:val="single"/>
        </w:rPr>
        <w:t xml:space="preserve">           </w:t>
      </w:r>
      <w:r>
        <w:rPr>
          <w:color w:val="auto"/>
          <w:szCs w:val="21"/>
          <w:highlight w:val="none"/>
        </w:rPr>
        <w:t>（项目名称）投标文件、签订合同和处理有关事宜，其法律后果由我方承担。</w:t>
      </w:r>
    </w:p>
    <w:p>
      <w:pPr>
        <w:spacing w:line="440" w:lineRule="exact"/>
        <w:ind w:firstLine="420" w:firstLineChars="200"/>
        <w:rPr>
          <w:color w:val="auto"/>
          <w:szCs w:val="21"/>
          <w:highlight w:val="none"/>
        </w:rPr>
      </w:pPr>
      <w:r>
        <w:rPr>
          <w:color w:val="auto"/>
          <w:szCs w:val="21"/>
          <w:highlight w:val="none"/>
        </w:rPr>
        <w:t>委托期限：</w:t>
      </w:r>
      <w:r>
        <w:rPr>
          <w:color w:val="auto"/>
          <w:szCs w:val="21"/>
          <w:highlight w:val="none"/>
          <w:u w:val="single"/>
        </w:rPr>
        <w:t xml:space="preserve">             </w:t>
      </w:r>
      <w:r>
        <w:rPr>
          <w:rFonts w:hint="eastAsia"/>
          <w:color w:val="auto"/>
          <w:szCs w:val="21"/>
          <w:highlight w:val="none"/>
        </w:rPr>
        <w:t>。</w:t>
      </w:r>
    </w:p>
    <w:p>
      <w:pPr>
        <w:spacing w:line="440" w:lineRule="exact"/>
        <w:ind w:firstLine="420" w:firstLineChars="200"/>
        <w:rPr>
          <w:color w:val="auto"/>
          <w:szCs w:val="21"/>
          <w:highlight w:val="none"/>
        </w:rPr>
      </w:pPr>
      <w:r>
        <w:rPr>
          <w:color w:val="auto"/>
          <w:szCs w:val="21"/>
          <w:highlight w:val="none"/>
        </w:rPr>
        <w:t>代理人无转委托权。</w:t>
      </w:r>
    </w:p>
    <w:p>
      <w:pPr>
        <w:spacing w:line="440" w:lineRule="exact"/>
        <w:rPr>
          <w:color w:val="auto"/>
          <w:szCs w:val="21"/>
          <w:highlight w:val="none"/>
        </w:rPr>
      </w:pPr>
    </w:p>
    <w:p>
      <w:pPr>
        <w:spacing w:line="440" w:lineRule="exact"/>
        <w:rPr>
          <w:color w:val="auto"/>
          <w:szCs w:val="21"/>
          <w:highlight w:val="none"/>
        </w:rPr>
      </w:pPr>
      <w:r>
        <w:rPr>
          <w:rFonts w:hint="eastAsia"/>
          <w:color w:val="auto"/>
          <w:szCs w:val="21"/>
          <w:highlight w:val="none"/>
        </w:rPr>
        <w:t>附：法定代表人和被授权人身份证</w:t>
      </w:r>
      <w:r>
        <w:rPr>
          <w:rFonts w:hint="eastAsia" w:ascii="宋体"/>
          <w:color w:val="auto"/>
          <w:szCs w:val="21"/>
          <w:highlight w:val="none"/>
        </w:rPr>
        <w:t>复</w:t>
      </w:r>
      <w:r>
        <w:rPr>
          <w:rFonts w:hint="eastAsia" w:ascii="宋体" w:cs="宋体"/>
          <w:color w:val="auto"/>
          <w:szCs w:val="21"/>
          <w:highlight w:val="none"/>
        </w:rPr>
        <w:t>印件或扫描打印件。</w:t>
      </w:r>
    </w:p>
    <w:p>
      <w:pPr>
        <w:spacing w:line="440" w:lineRule="exact"/>
        <w:rPr>
          <w:color w:val="auto"/>
          <w:szCs w:val="21"/>
          <w:highlight w:val="none"/>
        </w:rPr>
      </w:pPr>
    </w:p>
    <w:p>
      <w:pPr>
        <w:spacing w:line="360" w:lineRule="auto"/>
        <w:ind w:firstLine="2692" w:firstLineChars="1282"/>
        <w:rPr>
          <w:rFonts w:ascii="宋体"/>
          <w:color w:val="auto"/>
          <w:szCs w:val="21"/>
          <w:highlight w:val="none"/>
        </w:rPr>
      </w:pPr>
      <w:r>
        <w:rPr>
          <w:rFonts w:hint="eastAsia" w:ascii="宋体"/>
          <w:color w:val="auto"/>
          <w:szCs w:val="21"/>
          <w:highlight w:val="none"/>
        </w:rPr>
        <w:t xml:space="preserve">投 </w:t>
      </w:r>
      <w:r>
        <w:rPr>
          <w:rFonts w:ascii="宋体"/>
          <w:color w:val="auto"/>
          <w:szCs w:val="21"/>
          <w:highlight w:val="none"/>
        </w:rPr>
        <w:t xml:space="preserve"> </w:t>
      </w:r>
      <w:r>
        <w:rPr>
          <w:rFonts w:hint="eastAsia" w:ascii="宋体"/>
          <w:color w:val="auto"/>
          <w:szCs w:val="21"/>
          <w:highlight w:val="none"/>
        </w:rPr>
        <w:t xml:space="preserve">标 </w:t>
      </w:r>
      <w:r>
        <w:rPr>
          <w:rFonts w:ascii="宋体"/>
          <w:color w:val="auto"/>
          <w:szCs w:val="21"/>
          <w:highlight w:val="none"/>
        </w:rPr>
        <w:t xml:space="preserve"> </w:t>
      </w:r>
      <w:r>
        <w:rPr>
          <w:rFonts w:hint="eastAsia" w:ascii="宋体"/>
          <w:color w:val="auto"/>
          <w:szCs w:val="21"/>
          <w:highlight w:val="none"/>
        </w:rPr>
        <w:t>人：</w:t>
      </w:r>
      <w:r>
        <w:rPr>
          <w:rFonts w:hint="eastAsia" w:ascii="宋体"/>
          <w:color w:val="auto"/>
          <w:szCs w:val="21"/>
          <w:highlight w:val="none"/>
          <w:u w:val="single"/>
        </w:rPr>
        <w:t xml:space="preserve">                               </w:t>
      </w:r>
      <w:r>
        <w:rPr>
          <w:rFonts w:hint="eastAsia" w:ascii="宋体"/>
          <w:color w:val="auto"/>
          <w:szCs w:val="21"/>
          <w:highlight w:val="none"/>
        </w:rPr>
        <w:t>（</w:t>
      </w:r>
      <w:r>
        <w:rPr>
          <w:rFonts w:hint="eastAsia"/>
          <w:color w:val="auto"/>
          <w:szCs w:val="21"/>
          <w:highlight w:val="none"/>
        </w:rPr>
        <w:t>加盖投标人公章</w:t>
      </w:r>
      <w:r>
        <w:rPr>
          <w:rFonts w:hint="eastAsia" w:ascii="宋体"/>
          <w:color w:val="auto"/>
          <w:szCs w:val="21"/>
          <w:highlight w:val="none"/>
        </w:rPr>
        <w:t>）</w:t>
      </w:r>
    </w:p>
    <w:p>
      <w:pPr>
        <w:spacing w:line="360" w:lineRule="auto"/>
        <w:ind w:firstLine="2692" w:firstLineChars="1282"/>
        <w:rPr>
          <w:rFonts w:ascii="宋体"/>
          <w:color w:val="auto"/>
          <w:szCs w:val="21"/>
          <w:highlight w:val="none"/>
        </w:rPr>
      </w:pPr>
      <w:r>
        <w:rPr>
          <w:rFonts w:hint="eastAsia" w:ascii="宋体"/>
          <w:color w:val="auto"/>
          <w:szCs w:val="21"/>
          <w:highlight w:val="none"/>
        </w:rPr>
        <w:t>法定代表人：</w:t>
      </w:r>
      <w:r>
        <w:rPr>
          <w:rFonts w:hint="eastAsia" w:ascii="宋体"/>
          <w:color w:val="auto"/>
          <w:szCs w:val="21"/>
          <w:highlight w:val="none"/>
          <w:u w:val="single"/>
        </w:rPr>
        <w:t xml:space="preserve">                               </w:t>
      </w:r>
      <w:r>
        <w:rPr>
          <w:rFonts w:hint="eastAsia" w:ascii="宋体" w:cs="宋体"/>
          <w:color w:val="auto"/>
          <w:kern w:val="0"/>
          <w:szCs w:val="21"/>
          <w:highlight w:val="none"/>
        </w:rPr>
        <w:t>（签字或盖章）</w:t>
      </w:r>
    </w:p>
    <w:p>
      <w:pPr>
        <w:spacing w:line="360" w:lineRule="auto"/>
        <w:ind w:firstLine="2692" w:firstLineChars="1282"/>
        <w:rPr>
          <w:rFonts w:ascii="宋体"/>
          <w:color w:val="auto"/>
          <w:szCs w:val="21"/>
          <w:highlight w:val="none"/>
        </w:rPr>
      </w:pPr>
      <w:r>
        <w:rPr>
          <w:rFonts w:hint="eastAsia" w:ascii="宋体"/>
          <w:color w:val="auto"/>
          <w:szCs w:val="21"/>
          <w:highlight w:val="none"/>
        </w:rPr>
        <w:t>身份证号码：</w:t>
      </w:r>
      <w:r>
        <w:rPr>
          <w:rFonts w:hint="eastAsia" w:ascii="宋体"/>
          <w:color w:val="auto"/>
          <w:szCs w:val="21"/>
          <w:highlight w:val="none"/>
          <w:u w:val="single"/>
        </w:rPr>
        <w:t xml:space="preserve">                               </w:t>
      </w:r>
    </w:p>
    <w:p>
      <w:pPr>
        <w:spacing w:line="360" w:lineRule="auto"/>
        <w:ind w:firstLine="2692" w:firstLineChars="1282"/>
        <w:rPr>
          <w:rFonts w:ascii="宋体"/>
          <w:color w:val="auto"/>
          <w:szCs w:val="21"/>
          <w:highlight w:val="none"/>
        </w:rPr>
      </w:pPr>
      <w:r>
        <w:rPr>
          <w:rFonts w:hint="eastAsia" w:ascii="宋体"/>
          <w:color w:val="auto"/>
          <w:szCs w:val="21"/>
          <w:highlight w:val="none"/>
        </w:rPr>
        <w:t>委托代理人：</w:t>
      </w:r>
      <w:r>
        <w:rPr>
          <w:rFonts w:hint="eastAsia" w:ascii="宋体"/>
          <w:color w:val="auto"/>
          <w:szCs w:val="21"/>
          <w:highlight w:val="none"/>
          <w:u w:val="single"/>
        </w:rPr>
        <w:t xml:space="preserve">                               </w:t>
      </w:r>
      <w:r>
        <w:rPr>
          <w:rFonts w:hint="eastAsia" w:ascii="宋体" w:cs="宋体"/>
          <w:color w:val="auto"/>
          <w:kern w:val="0"/>
          <w:szCs w:val="21"/>
          <w:highlight w:val="none"/>
        </w:rPr>
        <w:t>（签字或盖章）</w:t>
      </w:r>
    </w:p>
    <w:p>
      <w:pPr>
        <w:spacing w:line="360" w:lineRule="auto"/>
        <w:ind w:firstLine="2692" w:firstLineChars="1282"/>
        <w:rPr>
          <w:rFonts w:ascii="宋体"/>
          <w:color w:val="auto"/>
          <w:szCs w:val="21"/>
          <w:highlight w:val="none"/>
          <w:u w:val="single"/>
        </w:rPr>
      </w:pPr>
      <w:r>
        <w:rPr>
          <w:rFonts w:hint="eastAsia" w:ascii="宋体"/>
          <w:color w:val="auto"/>
          <w:szCs w:val="21"/>
          <w:highlight w:val="none"/>
        </w:rPr>
        <w:t>身份证号码：</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u w:val="single"/>
        </w:rPr>
        <w:t xml:space="preserve">    </w:t>
      </w:r>
    </w:p>
    <w:p>
      <w:pPr>
        <w:spacing w:line="440" w:lineRule="exact"/>
        <w:ind w:firstLine="2692" w:firstLineChars="1282"/>
        <w:rPr>
          <w:rFonts w:ascii="宋体"/>
          <w:color w:val="auto"/>
          <w:szCs w:val="21"/>
          <w:highlight w:val="none"/>
        </w:rPr>
      </w:pPr>
      <w:r>
        <w:rPr>
          <w:rFonts w:hint="eastAsia" w:ascii="宋体"/>
          <w:color w:val="auto"/>
          <w:szCs w:val="21"/>
          <w:highlight w:val="none"/>
        </w:rPr>
        <w:t xml:space="preserve">日 </w:t>
      </w:r>
      <w:r>
        <w:rPr>
          <w:rFonts w:ascii="宋体"/>
          <w:color w:val="auto"/>
          <w:szCs w:val="21"/>
          <w:highlight w:val="none"/>
        </w:rPr>
        <w:t xml:space="preserve">     </w:t>
      </w:r>
      <w:r>
        <w:rPr>
          <w:rFonts w:hint="eastAsia" w:ascii="宋体"/>
          <w:color w:val="auto"/>
          <w:szCs w:val="21"/>
          <w:highlight w:val="none"/>
        </w:rPr>
        <w:t>期：</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年   月   日</w:t>
      </w:r>
    </w:p>
    <w:p>
      <w:pPr>
        <w:pStyle w:val="4"/>
        <w:spacing w:line="360" w:lineRule="auto"/>
        <w:rPr>
          <w:rFonts w:ascii="宋体" w:hAnsi="宋体" w:eastAsia="宋体"/>
          <w:color w:val="auto"/>
          <w:sz w:val="30"/>
          <w:szCs w:val="30"/>
          <w:highlight w:val="none"/>
        </w:rPr>
      </w:pPr>
      <w:r>
        <w:rPr>
          <w:rFonts w:hint="eastAsia" w:ascii="宋体" w:hAnsi="宋体"/>
          <w:b w:val="0"/>
          <w:bCs w:val="0"/>
          <w:color w:val="auto"/>
          <w:highlight w:val="none"/>
        </w:rPr>
        <w:br w:type="page"/>
      </w:r>
      <w:bookmarkStart w:id="532" w:name="_Toc529196605"/>
      <w:bookmarkStart w:id="533" w:name="_Toc530470648"/>
      <w:bookmarkStart w:id="534" w:name="_Toc535938756"/>
      <w:r>
        <w:rPr>
          <w:rFonts w:hint="eastAsia" w:ascii="宋体" w:hAnsi="宋体" w:eastAsia="宋体"/>
          <w:color w:val="auto"/>
          <w:sz w:val="30"/>
          <w:szCs w:val="30"/>
          <w:highlight w:val="none"/>
        </w:rPr>
        <w:t>三、投标保证金（格式可自定）</w:t>
      </w:r>
      <w:bookmarkEnd w:id="532"/>
      <w:bookmarkEnd w:id="533"/>
      <w:bookmarkEnd w:id="534"/>
    </w:p>
    <w:p>
      <w:pPr>
        <w:spacing w:line="1" w:lineRule="exact"/>
        <w:rPr>
          <w:rFonts w:ascii="宋体" w:hAnsi="宋体"/>
          <w:color w:val="auto"/>
          <w:highlight w:val="none"/>
        </w:rPr>
      </w:pPr>
    </w:p>
    <w:p>
      <w:pPr>
        <w:topLinePunct/>
        <w:spacing w:line="440" w:lineRule="exact"/>
        <w:ind w:firstLine="420" w:firstLineChars="200"/>
        <w:rPr>
          <w:color w:val="auto"/>
          <w:szCs w:val="21"/>
          <w:highlight w:val="none"/>
        </w:rPr>
      </w:pPr>
      <w:r>
        <w:rPr>
          <w:rFonts w:hint="eastAsia"/>
          <w:color w:val="auto"/>
          <w:szCs w:val="21"/>
          <w:highlight w:val="non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topLinePunct/>
        <w:spacing w:line="440" w:lineRule="exact"/>
        <w:ind w:firstLine="420" w:firstLineChars="200"/>
        <w:rPr>
          <w:color w:val="auto"/>
          <w:szCs w:val="21"/>
          <w:highlight w:val="none"/>
        </w:rPr>
      </w:pPr>
      <w:r>
        <w:rPr>
          <w:rFonts w:hint="eastAsia"/>
          <w:color w:val="auto"/>
          <w:szCs w:val="21"/>
          <w:highlight w:val="none"/>
        </w:rPr>
        <w:t>2、如采用投标保函或投标保证保险的形式提交的，须在投标截止前单独密封递交至开标室。此页附上投标保函或投标保证保险复印件或扫描打印件并加盖单位公章。</w:t>
      </w:r>
    </w:p>
    <w:p>
      <w:pPr>
        <w:pStyle w:val="4"/>
        <w:spacing w:line="360" w:lineRule="auto"/>
        <w:rPr>
          <w:rFonts w:ascii="宋体" w:hAnsi="宋体" w:eastAsia="宋体"/>
          <w:color w:val="auto"/>
          <w:sz w:val="30"/>
          <w:szCs w:val="30"/>
          <w:highlight w:val="none"/>
        </w:rPr>
      </w:pPr>
      <w:r>
        <w:rPr>
          <w:rFonts w:hint="eastAsia" w:ascii="宋体" w:hAnsi="宋体"/>
          <w:color w:val="auto"/>
          <w:highlight w:val="none"/>
        </w:rPr>
        <w:br w:type="page"/>
      </w:r>
      <w:bookmarkStart w:id="535" w:name="_Toc529196606"/>
      <w:bookmarkStart w:id="536" w:name="_Toc535938757"/>
      <w:bookmarkStart w:id="537" w:name="_Toc530470649"/>
      <w:r>
        <w:rPr>
          <w:rFonts w:hint="eastAsia" w:ascii="宋体" w:hAnsi="宋体" w:eastAsia="宋体"/>
          <w:color w:val="auto"/>
          <w:sz w:val="30"/>
          <w:szCs w:val="30"/>
          <w:highlight w:val="none"/>
        </w:rPr>
        <w:t>四、监理报酬清单</w:t>
      </w:r>
      <w:bookmarkEnd w:id="535"/>
      <w:bookmarkEnd w:id="536"/>
      <w:bookmarkEnd w:id="537"/>
      <w:r>
        <w:rPr>
          <w:rFonts w:hint="eastAsia" w:ascii="宋体" w:hAnsi="宋体" w:eastAsia="宋体"/>
          <w:color w:val="auto"/>
          <w:sz w:val="30"/>
          <w:szCs w:val="30"/>
          <w:highlight w:val="none"/>
        </w:rPr>
        <w:t>（格式可自定）</w:t>
      </w:r>
    </w:p>
    <w:p>
      <w:pPr>
        <w:jc w:val="center"/>
        <w:rPr>
          <w:b/>
          <w:bCs/>
          <w:color w:val="auto"/>
          <w:sz w:val="28"/>
          <w:szCs w:val="28"/>
          <w:highlight w:val="none"/>
        </w:rPr>
      </w:pPr>
      <w:bookmarkStart w:id="538" w:name="_Toc529196608"/>
      <w:bookmarkStart w:id="539" w:name="_Toc525827486"/>
      <w:bookmarkStart w:id="540" w:name="_Toc530470650"/>
      <w:bookmarkStart w:id="541" w:name="_Toc525828220"/>
      <w:bookmarkStart w:id="542" w:name="_Toc361508760"/>
      <w:r>
        <w:rPr>
          <w:rFonts w:hint="eastAsia"/>
          <w:b/>
          <w:bCs/>
          <w:color w:val="auto"/>
          <w:sz w:val="28"/>
          <w:szCs w:val="28"/>
          <w:highlight w:val="none"/>
        </w:rPr>
        <w:t>监理报酬清单（格式可自定）</w:t>
      </w:r>
    </w:p>
    <w:tbl>
      <w:tblPr>
        <w:tblStyle w:val="18"/>
        <w:tblW w:w="5000" w:type="pct"/>
        <w:jc w:val="center"/>
        <w:tblLayout w:type="autofit"/>
        <w:tblCellMar>
          <w:top w:w="0" w:type="dxa"/>
          <w:left w:w="108" w:type="dxa"/>
          <w:bottom w:w="0" w:type="dxa"/>
          <w:right w:w="108" w:type="dxa"/>
        </w:tblCellMar>
      </w:tblPr>
      <w:tblGrid>
        <w:gridCol w:w="3441"/>
        <w:gridCol w:w="2749"/>
        <w:gridCol w:w="3096"/>
      </w:tblGrid>
      <w:tr>
        <w:tblPrEx>
          <w:tblCellMar>
            <w:top w:w="0" w:type="dxa"/>
            <w:left w:w="108" w:type="dxa"/>
            <w:bottom w:w="0" w:type="dxa"/>
            <w:right w:w="108" w:type="dxa"/>
          </w:tblCellMar>
        </w:tblPrEx>
        <w:trPr>
          <w:trHeight w:val="851" w:hRule="atLeast"/>
          <w:jc w:val="center"/>
        </w:trPr>
        <w:tc>
          <w:tcPr>
            <w:tcW w:w="185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项目名称</w:t>
            </w:r>
          </w:p>
        </w:tc>
        <w:tc>
          <w:tcPr>
            <w:tcW w:w="1480" w:type="pct"/>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报价下浮率</w:t>
            </w:r>
          </w:p>
        </w:tc>
        <w:tc>
          <w:tcPr>
            <w:tcW w:w="1667" w:type="pct"/>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投标报价</w:t>
            </w:r>
          </w:p>
        </w:tc>
      </w:tr>
      <w:tr>
        <w:tblPrEx>
          <w:tblCellMar>
            <w:top w:w="0" w:type="dxa"/>
            <w:left w:w="108" w:type="dxa"/>
            <w:bottom w:w="0" w:type="dxa"/>
            <w:right w:w="108" w:type="dxa"/>
          </w:tblCellMar>
        </w:tblPrEx>
        <w:trPr>
          <w:trHeight w:val="851" w:hRule="atLeast"/>
          <w:jc w:val="center"/>
        </w:trPr>
        <w:tc>
          <w:tcPr>
            <w:tcW w:w="185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p>
        </w:tc>
        <w:tc>
          <w:tcPr>
            <w:tcW w:w="1480" w:type="pct"/>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u w:val="single"/>
              </w:rPr>
              <w:t xml:space="preserve"> </w:t>
            </w:r>
            <w:r>
              <w:rPr>
                <w:rFonts w:ascii="宋体" w:hAnsi="宋体"/>
                <w:b/>
                <w:bCs/>
                <w:color w:val="auto"/>
                <w:szCs w:val="21"/>
                <w:highlight w:val="none"/>
                <w:u w:val="single"/>
              </w:rPr>
              <w:t xml:space="preserve">   </w:t>
            </w:r>
            <w:r>
              <w:rPr>
                <w:rFonts w:ascii="宋体" w:hAnsi="宋体"/>
                <w:b/>
                <w:bCs/>
                <w:color w:val="auto"/>
                <w:szCs w:val="21"/>
                <w:highlight w:val="none"/>
              </w:rPr>
              <w:t>%</w:t>
            </w:r>
          </w:p>
        </w:tc>
        <w:tc>
          <w:tcPr>
            <w:tcW w:w="1667" w:type="pct"/>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rPr>
              <w:t>元</w:t>
            </w:r>
          </w:p>
        </w:tc>
      </w:tr>
      <w:tr>
        <w:tblPrEx>
          <w:tblCellMar>
            <w:top w:w="0" w:type="dxa"/>
            <w:left w:w="108" w:type="dxa"/>
            <w:bottom w:w="0" w:type="dxa"/>
            <w:right w:w="108" w:type="dxa"/>
          </w:tblCellMar>
        </w:tblPrEx>
        <w:trPr>
          <w:trHeight w:val="851" w:hRule="atLeast"/>
          <w:jc w:val="center"/>
        </w:trPr>
        <w:tc>
          <w:tcPr>
            <w:tcW w:w="185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备注</w:t>
            </w:r>
          </w:p>
        </w:tc>
        <w:tc>
          <w:tcPr>
            <w:tcW w:w="3147" w:type="pct"/>
            <w:gridSpan w:val="2"/>
            <w:tcBorders>
              <w:top w:val="single" w:color="auto" w:sz="4" w:space="0"/>
              <w:left w:val="nil"/>
              <w:bottom w:val="single" w:color="auto" w:sz="4" w:space="0"/>
              <w:right w:val="single" w:color="auto" w:sz="4" w:space="0"/>
            </w:tcBorders>
            <w:noWrap/>
            <w:vAlign w:val="center"/>
          </w:tcPr>
          <w:p>
            <w:pPr>
              <w:rPr>
                <w:rFonts w:ascii="宋体" w:hAnsi="宋体"/>
                <w:b/>
                <w:bCs/>
                <w:color w:val="auto"/>
                <w:szCs w:val="21"/>
                <w:highlight w:val="none"/>
              </w:rPr>
            </w:pPr>
          </w:p>
        </w:tc>
      </w:tr>
    </w:tbl>
    <w:p>
      <w:pPr>
        <w:spacing w:line="360" w:lineRule="auto"/>
        <w:ind w:firstLine="3968" w:firstLineChars="1890"/>
        <w:jc w:val="left"/>
        <w:rPr>
          <w:rFonts w:ascii="宋体" w:hAnsi="宋体"/>
          <w:color w:val="auto"/>
          <w:szCs w:val="21"/>
          <w:highlight w:val="none"/>
        </w:rPr>
      </w:pPr>
    </w:p>
    <w:p>
      <w:pPr>
        <w:spacing w:line="360" w:lineRule="auto"/>
        <w:ind w:firstLine="3968" w:firstLineChars="1890"/>
        <w:jc w:val="left"/>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color w:val="auto"/>
          <w:szCs w:val="21"/>
          <w:highlight w:val="none"/>
        </w:rPr>
        <w:t>（加盖投标人公章）</w:t>
      </w:r>
    </w:p>
    <w:p>
      <w:pPr>
        <w:spacing w:line="360" w:lineRule="auto"/>
        <w:ind w:firstLine="3968" w:firstLineChars="1890"/>
        <w:jc w:val="left"/>
        <w:rPr>
          <w:rFonts w:ascii="宋体" w:hAnsi="宋体"/>
          <w:color w:val="auto"/>
          <w:szCs w:val="21"/>
          <w:highlight w:val="none"/>
        </w:rPr>
      </w:pPr>
      <w:r>
        <w:rPr>
          <w:rFonts w:hint="eastAsia" w:ascii="宋体" w:hAnsi="宋体"/>
          <w:color w:val="auto"/>
          <w:szCs w:val="21"/>
          <w:highlight w:val="none"/>
        </w:rPr>
        <w:t>法定代表人或其委托代理人：（签字或盖章）</w:t>
      </w:r>
    </w:p>
    <w:p>
      <w:pPr>
        <w:wordWrap w:val="0"/>
        <w:spacing w:line="360" w:lineRule="auto"/>
        <w:ind w:right="840" w:firstLine="3968" w:firstLineChars="1890"/>
        <w:rPr>
          <w:rFonts w:ascii="宋体" w:hAnsi="宋体"/>
          <w:color w:val="auto"/>
          <w:szCs w:val="21"/>
          <w:highlight w:val="none"/>
        </w:rPr>
      </w:pP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 xml:space="preserve">期：  </w:t>
      </w:r>
      <w:r>
        <w:rPr>
          <w:rFonts w:ascii="宋体" w:hAnsi="宋体"/>
          <w:color w:val="auto"/>
          <w:szCs w:val="21"/>
          <w:highlight w:val="none"/>
        </w:rPr>
        <w:t xml:space="preserve">  </w:t>
      </w:r>
      <w:r>
        <w:rPr>
          <w:rFonts w:hint="eastAsia" w:ascii="宋体" w:hAnsi="宋体"/>
          <w:color w:val="auto"/>
          <w:szCs w:val="21"/>
          <w:highlight w:val="none"/>
        </w:rPr>
        <w:t xml:space="preserve"> 年   月   日</w:t>
      </w:r>
    </w:p>
    <w:bookmarkEnd w:id="538"/>
    <w:bookmarkEnd w:id="539"/>
    <w:bookmarkEnd w:id="540"/>
    <w:bookmarkEnd w:id="541"/>
    <w:p>
      <w:pPr>
        <w:pStyle w:val="4"/>
        <w:spacing w:line="360" w:lineRule="auto"/>
        <w:rPr>
          <w:rFonts w:ascii="宋体" w:hAnsi="宋体" w:eastAsia="宋体"/>
          <w:color w:val="auto"/>
          <w:sz w:val="30"/>
          <w:szCs w:val="30"/>
          <w:highlight w:val="none"/>
        </w:rPr>
      </w:pPr>
      <w:r>
        <w:rPr>
          <w:rFonts w:hint="eastAsia" w:ascii="宋体" w:hAnsi="宋体"/>
          <w:b w:val="0"/>
          <w:bCs w:val="0"/>
          <w:color w:val="auto"/>
          <w:szCs w:val="24"/>
          <w:highlight w:val="none"/>
        </w:rPr>
        <w:br w:type="page"/>
      </w:r>
      <w:r>
        <w:rPr>
          <w:rFonts w:hint="eastAsia" w:ascii="宋体" w:hAnsi="宋体" w:eastAsia="宋体"/>
          <w:color w:val="auto"/>
          <w:sz w:val="30"/>
          <w:szCs w:val="30"/>
          <w:highlight w:val="none"/>
        </w:rPr>
        <w:t>五、</w:t>
      </w:r>
      <w:bookmarkStart w:id="543" w:name="_Hlk22686998"/>
      <w:r>
        <w:rPr>
          <w:rFonts w:hint="eastAsia" w:ascii="宋体" w:hAnsi="宋体" w:eastAsia="宋体"/>
          <w:color w:val="auto"/>
          <w:sz w:val="30"/>
          <w:szCs w:val="30"/>
          <w:highlight w:val="none"/>
        </w:rPr>
        <w:t>资格审查资料</w:t>
      </w:r>
      <w:bookmarkEnd w:id="543"/>
    </w:p>
    <w:p>
      <w:pPr>
        <w:pStyle w:val="5"/>
        <w:rPr>
          <w:rFonts w:ascii="宋体" w:hAnsi="宋体" w:eastAsia="宋体"/>
          <w:color w:val="auto"/>
          <w:sz w:val="28"/>
          <w:szCs w:val="24"/>
          <w:highlight w:val="none"/>
        </w:rPr>
      </w:pPr>
      <w:r>
        <w:rPr>
          <w:rFonts w:hint="eastAsia" w:ascii="宋体" w:hAnsi="宋体" w:eastAsia="宋体"/>
          <w:color w:val="auto"/>
          <w:sz w:val="28"/>
          <w:szCs w:val="24"/>
          <w:highlight w:val="none"/>
        </w:rPr>
        <w:t>（一）基本情况表（格式可自定）</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投标人名称</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注册地址</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邮政编码</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联系方式</w:t>
            </w:r>
          </w:p>
        </w:tc>
        <w:tc>
          <w:tcPr>
            <w:tcW w:w="991"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联系人</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电 话</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传  真</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网 址</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法定代表人</w:t>
            </w:r>
          </w:p>
        </w:tc>
        <w:tc>
          <w:tcPr>
            <w:tcW w:w="991"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技术负责人</w:t>
            </w:r>
          </w:p>
        </w:tc>
        <w:tc>
          <w:tcPr>
            <w:tcW w:w="991"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企业监理资质证书</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firstLine="105" w:firstLineChars="50"/>
              <w:rPr>
                <w:rFonts w:ascii="宋体" w:hAnsi="宋体"/>
                <w:color w:val="auto"/>
                <w:szCs w:val="21"/>
                <w:highlight w:val="none"/>
              </w:rPr>
            </w:pPr>
            <w:r>
              <w:rPr>
                <w:rFonts w:hint="eastAsia" w:ascii="宋体" w:hAnsi="宋体"/>
                <w:color w:val="auto"/>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质量管理体系证书</w:t>
            </w:r>
            <w:r>
              <w:rPr>
                <w:rFonts w:ascii="宋体" w:hAnsi="宋体"/>
                <w:color w:val="auto"/>
                <w:szCs w:val="21"/>
                <w:highlight w:val="none"/>
              </w:rPr>
              <w:br w:type="textWrapping"/>
            </w:r>
            <w:r>
              <w:rPr>
                <w:rFonts w:hint="eastAsia" w:ascii="宋体" w:hAnsi="宋体"/>
                <w:color w:val="auto"/>
                <w:szCs w:val="21"/>
                <w:highlight w:val="none"/>
              </w:rPr>
              <w:t>（如有）</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ind w:firstLine="105" w:firstLineChars="50"/>
              <w:rPr>
                <w:rFonts w:ascii="宋体" w:hAnsi="宋体"/>
                <w:color w:val="auto"/>
                <w:szCs w:val="21"/>
                <w:highlight w:val="none"/>
              </w:rPr>
            </w:pPr>
            <w:r>
              <w:rPr>
                <w:rFonts w:hint="eastAsia" w:ascii="宋体" w:hAnsi="宋体"/>
                <w:color w:val="auto"/>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营业执照号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3786" w:type="dxa"/>
            <w:gridSpan w:val="5"/>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注册资本</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其中</w:t>
            </w: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高级职称人员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成立日期</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中级职称人员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基本账户开户银行</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技术人员数量</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基本账户银行账号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各类注册人员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经营范围</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备注</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bl>
    <w:p>
      <w:pPr>
        <w:spacing w:line="400" w:lineRule="exact"/>
        <w:rPr>
          <w:rFonts w:ascii="宋体" w:hAnsi="宋体"/>
          <w:color w:val="auto"/>
          <w:szCs w:val="21"/>
          <w:highlight w:val="none"/>
        </w:rPr>
      </w:pPr>
      <w:r>
        <w:rPr>
          <w:rFonts w:hint="eastAsia" w:ascii="宋体" w:hAnsi="宋体"/>
          <w:color w:val="auto"/>
          <w:szCs w:val="21"/>
          <w:highlight w:val="none"/>
        </w:rPr>
        <w:t>注：投标人应</w:t>
      </w:r>
      <w:bookmarkStart w:id="544" w:name="_Toc520184751"/>
      <w:r>
        <w:rPr>
          <w:rFonts w:hint="eastAsia" w:ascii="宋体" w:hAnsi="宋体"/>
          <w:color w:val="auto"/>
          <w:szCs w:val="21"/>
          <w:highlight w:val="none"/>
        </w:rPr>
        <w:t>根据投标人须知第3.5</w:t>
      </w:r>
      <w:bookmarkEnd w:id="544"/>
      <w:r>
        <w:rPr>
          <w:rFonts w:hint="eastAsia" w:ascii="宋体" w:hAnsi="宋体"/>
          <w:color w:val="auto"/>
          <w:szCs w:val="21"/>
          <w:highlight w:val="none"/>
        </w:rPr>
        <w:t>.1项的要求在本表后附相关证</w:t>
      </w:r>
      <w:bookmarkStart w:id="545" w:name="_Toc520184752"/>
      <w:r>
        <w:rPr>
          <w:rFonts w:hint="eastAsia" w:ascii="宋体" w:hAnsi="宋体"/>
          <w:color w:val="auto"/>
          <w:szCs w:val="21"/>
          <w:highlight w:val="none"/>
        </w:rPr>
        <w:t>明材料。</w:t>
      </w:r>
      <w:bookmarkEnd w:id="545"/>
    </w:p>
    <w:p>
      <w:pPr>
        <w:pStyle w:val="5"/>
        <w:rPr>
          <w:rFonts w:ascii="宋体" w:hAnsi="宋体" w:eastAsia="宋体"/>
          <w:color w:val="auto"/>
          <w:sz w:val="28"/>
          <w:szCs w:val="24"/>
          <w:highlight w:val="none"/>
        </w:rPr>
      </w:pPr>
      <w:r>
        <w:rPr>
          <w:rFonts w:hint="eastAsia" w:ascii="宋体" w:hAnsi="宋体"/>
          <w:b w:val="0"/>
          <w:bCs w:val="0"/>
          <w:color w:val="auto"/>
          <w:highlight w:val="none"/>
        </w:rPr>
        <w:br w:type="page"/>
      </w:r>
      <w:r>
        <w:rPr>
          <w:rFonts w:hint="eastAsia" w:ascii="宋体" w:hAnsi="宋体" w:eastAsia="宋体"/>
          <w:color w:val="auto"/>
          <w:sz w:val="28"/>
          <w:szCs w:val="24"/>
          <w:highlight w:val="none"/>
        </w:rPr>
        <w:t>（二）近年完成的类似项目情况表（格式可自定）</w:t>
      </w:r>
    </w:p>
    <w:tbl>
      <w:tblPr>
        <w:tblStyle w:val="18"/>
        <w:tblW w:w="5000" w:type="pct"/>
        <w:jc w:val="center"/>
        <w:tblLayout w:type="autofit"/>
        <w:tblCellMar>
          <w:top w:w="0" w:type="dxa"/>
          <w:left w:w="108" w:type="dxa"/>
          <w:bottom w:w="0" w:type="dxa"/>
          <w:right w:w="108" w:type="dxa"/>
        </w:tblCellMar>
      </w:tblPr>
      <w:tblGrid>
        <w:gridCol w:w="2472"/>
        <w:gridCol w:w="6814"/>
      </w:tblGrid>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项目名称</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项目所在地</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委托人名称</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委托人地址</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委托人电话</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合同价格</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监理服务期限</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监理内容</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总监理工程师</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项目描述</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备注</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bl>
    <w:p>
      <w:pPr>
        <w:spacing w:line="440" w:lineRule="exact"/>
        <w:rPr>
          <w:rFonts w:ascii="宋体" w:hAnsi="宋体"/>
          <w:color w:val="auto"/>
          <w:szCs w:val="21"/>
          <w:highlight w:val="none"/>
        </w:rPr>
      </w:pPr>
      <w:r>
        <w:rPr>
          <w:rFonts w:hint="eastAsia" w:ascii="宋体" w:hAnsi="宋体"/>
          <w:color w:val="auto"/>
          <w:szCs w:val="21"/>
          <w:highlight w:val="none"/>
        </w:rPr>
        <w:t>注：投标人应根据投标人须知第3.5.3项的要求在本表后附相关证明材料。</w:t>
      </w:r>
    </w:p>
    <w:p>
      <w:pPr>
        <w:pStyle w:val="5"/>
        <w:rPr>
          <w:rFonts w:ascii="宋体" w:hAnsi="宋体" w:eastAsia="宋体"/>
          <w:color w:val="auto"/>
          <w:sz w:val="28"/>
          <w:szCs w:val="24"/>
          <w:highlight w:val="none"/>
        </w:rPr>
      </w:pPr>
      <w:r>
        <w:rPr>
          <w:rFonts w:hint="eastAsia" w:ascii="宋体" w:hAnsi="宋体"/>
          <w:b w:val="0"/>
          <w:bCs w:val="0"/>
          <w:color w:val="auto"/>
          <w:highlight w:val="none"/>
        </w:rPr>
        <w:br w:type="page"/>
      </w:r>
      <w:r>
        <w:rPr>
          <w:rFonts w:hint="eastAsia" w:ascii="宋体" w:hAnsi="宋体" w:eastAsia="宋体"/>
          <w:color w:val="auto"/>
          <w:sz w:val="28"/>
          <w:szCs w:val="24"/>
          <w:highlight w:val="none"/>
        </w:rPr>
        <w:t>（三）正在监理和新承接的项目情况表（如有）</w:t>
      </w:r>
    </w:p>
    <w:tbl>
      <w:tblPr>
        <w:tblStyle w:val="18"/>
        <w:tblW w:w="5000" w:type="pct"/>
        <w:jc w:val="center"/>
        <w:tblLayout w:type="autofit"/>
        <w:tblCellMar>
          <w:top w:w="0" w:type="dxa"/>
          <w:left w:w="108" w:type="dxa"/>
          <w:bottom w:w="0" w:type="dxa"/>
          <w:right w:w="108" w:type="dxa"/>
        </w:tblCellMar>
      </w:tblPr>
      <w:tblGrid>
        <w:gridCol w:w="2472"/>
        <w:gridCol w:w="6814"/>
      </w:tblGrid>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项目名称</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项目所在地</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委托人名称</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委托人地址</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委托人电话</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签约合同价</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监理服务期限</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监理内容</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总监理工程师</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项目描述</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备注</w:t>
            </w:r>
          </w:p>
        </w:tc>
        <w:tc>
          <w:tcPr>
            <w:tcW w:w="3669" w:type="pct"/>
            <w:tcBorders>
              <w:top w:val="single" w:color="auto" w:sz="4" w:space="0"/>
              <w:left w:val="nil"/>
              <w:bottom w:val="single" w:color="auto" w:sz="4" w:space="0"/>
              <w:right w:val="single" w:color="auto" w:sz="4" w:space="0"/>
            </w:tcBorders>
            <w:noWrap/>
            <w:vAlign w:val="center"/>
          </w:tcPr>
          <w:p>
            <w:pPr>
              <w:topLinePunct/>
              <w:rPr>
                <w:rFonts w:ascii="宋体" w:hAnsi="宋体"/>
                <w:color w:val="auto"/>
                <w:szCs w:val="21"/>
                <w:highlight w:val="none"/>
              </w:rPr>
            </w:pPr>
          </w:p>
        </w:tc>
      </w:tr>
    </w:tbl>
    <w:p>
      <w:pPr>
        <w:spacing w:line="440" w:lineRule="exact"/>
        <w:rPr>
          <w:rFonts w:ascii="宋体" w:hAnsi="宋体"/>
          <w:color w:val="auto"/>
          <w:szCs w:val="21"/>
          <w:highlight w:val="none"/>
        </w:rPr>
      </w:pPr>
      <w:r>
        <w:rPr>
          <w:rFonts w:hint="eastAsia" w:ascii="宋体" w:hAnsi="宋体"/>
          <w:color w:val="auto"/>
          <w:szCs w:val="21"/>
          <w:highlight w:val="none"/>
        </w:rPr>
        <w:t>注：投标人应根据投标人须知第3.5.4项的要求在本表后附相关证明材料。</w:t>
      </w:r>
    </w:p>
    <w:p>
      <w:pPr>
        <w:pStyle w:val="5"/>
        <w:rPr>
          <w:rFonts w:ascii="宋体" w:hAnsi="宋体" w:eastAsia="宋体"/>
          <w:color w:val="auto"/>
          <w:sz w:val="28"/>
          <w:szCs w:val="24"/>
          <w:highlight w:val="none"/>
        </w:rPr>
      </w:pPr>
      <w:r>
        <w:rPr>
          <w:rFonts w:ascii="宋体" w:hAnsi="宋体"/>
          <w:b w:val="0"/>
          <w:bCs w:val="0"/>
          <w:color w:val="auto"/>
          <w:highlight w:val="none"/>
        </w:rPr>
        <w:br w:type="page"/>
      </w:r>
      <w:r>
        <w:rPr>
          <w:rFonts w:hint="eastAsia" w:ascii="宋体" w:hAnsi="宋体" w:eastAsia="宋体"/>
          <w:color w:val="auto"/>
          <w:sz w:val="28"/>
          <w:szCs w:val="24"/>
          <w:highlight w:val="none"/>
        </w:rPr>
        <w:t>（四）拟委任的主要人员汇总表（格式可自定）</w:t>
      </w:r>
    </w:p>
    <w:tbl>
      <w:tblPr>
        <w:tblStyle w:val="18"/>
        <w:tblW w:w="5000" w:type="pct"/>
        <w:jc w:val="center"/>
        <w:tblLayout w:type="autofit"/>
        <w:tblCellMar>
          <w:top w:w="0" w:type="dxa"/>
          <w:left w:w="108" w:type="dxa"/>
          <w:bottom w:w="0" w:type="dxa"/>
          <w:right w:w="108" w:type="dxa"/>
        </w:tblCellMar>
      </w:tblPr>
      <w:tblGrid>
        <w:gridCol w:w="817"/>
        <w:gridCol w:w="1611"/>
        <w:gridCol w:w="802"/>
        <w:gridCol w:w="802"/>
        <w:gridCol w:w="802"/>
        <w:gridCol w:w="1165"/>
        <w:gridCol w:w="1165"/>
        <w:gridCol w:w="1167"/>
        <w:gridCol w:w="955"/>
      </w:tblGrid>
      <w:tr>
        <w:tblPrEx>
          <w:tblCellMar>
            <w:top w:w="0" w:type="dxa"/>
            <w:left w:w="108" w:type="dxa"/>
            <w:bottom w:w="0" w:type="dxa"/>
            <w:right w:w="108" w:type="dxa"/>
          </w:tblCellMar>
        </w:tblPrEx>
        <w:trPr>
          <w:trHeight w:val="567" w:hRule="atLeast"/>
          <w:jc w:val="center"/>
        </w:trPr>
        <w:tc>
          <w:tcPr>
            <w:tcW w:w="440" w:type="pct"/>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序号</w:t>
            </w:r>
          </w:p>
        </w:tc>
        <w:tc>
          <w:tcPr>
            <w:tcW w:w="867" w:type="pct"/>
            <w:vMerge w:val="restar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本项目任职</w:t>
            </w:r>
          </w:p>
        </w:tc>
        <w:tc>
          <w:tcPr>
            <w:tcW w:w="432" w:type="pct"/>
            <w:vMerge w:val="restar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姓名</w:t>
            </w:r>
          </w:p>
        </w:tc>
        <w:tc>
          <w:tcPr>
            <w:tcW w:w="432" w:type="pct"/>
            <w:vMerge w:val="restar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职称</w:t>
            </w:r>
          </w:p>
        </w:tc>
        <w:tc>
          <w:tcPr>
            <w:tcW w:w="432" w:type="pct"/>
            <w:vMerge w:val="restar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专业</w:t>
            </w:r>
          </w:p>
        </w:tc>
        <w:tc>
          <w:tcPr>
            <w:tcW w:w="1881" w:type="pct"/>
            <w:gridSpan w:val="3"/>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514" w:type="pct"/>
            <w:vMerge w:val="restart"/>
            <w:tcBorders>
              <w:top w:val="single" w:color="auto" w:sz="4" w:space="0"/>
              <w:left w:val="nil"/>
              <w:right w:val="single" w:color="auto" w:sz="4" w:space="0"/>
            </w:tcBorders>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CellMar>
            <w:top w:w="0" w:type="dxa"/>
            <w:left w:w="108" w:type="dxa"/>
            <w:bottom w:w="0" w:type="dxa"/>
            <w:right w:w="108" w:type="dxa"/>
          </w:tblCellMar>
        </w:tblPrEx>
        <w:trPr>
          <w:trHeight w:val="567" w:hRule="atLeast"/>
          <w:jc w:val="center"/>
        </w:trPr>
        <w:tc>
          <w:tcPr>
            <w:tcW w:w="44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867" w:type="pct"/>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432" w:type="pct"/>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432" w:type="pct"/>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432" w:type="pct"/>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line="440" w:lineRule="exact"/>
              <w:jc w:val="center"/>
              <w:rPr>
                <w:rFonts w:ascii="宋体" w:hAnsi="宋体"/>
                <w:color w:val="auto"/>
                <w:szCs w:val="21"/>
                <w:highlight w:val="none"/>
              </w:rPr>
            </w:pPr>
            <w:r>
              <w:rPr>
                <w:rFonts w:hint="eastAsia" w:ascii="宋体" w:hAnsi="宋体"/>
                <w:color w:val="auto"/>
                <w:szCs w:val="21"/>
                <w:highlight w:val="none"/>
              </w:rPr>
              <w:t>证书名称</w:t>
            </w:r>
          </w:p>
        </w:tc>
        <w:tc>
          <w:tcPr>
            <w:tcW w:w="627"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line="440" w:lineRule="exact"/>
              <w:jc w:val="center"/>
              <w:rPr>
                <w:rFonts w:ascii="宋体" w:hAnsi="宋体"/>
                <w:color w:val="auto"/>
                <w:szCs w:val="21"/>
                <w:highlight w:val="none"/>
              </w:rPr>
            </w:pPr>
            <w:r>
              <w:rPr>
                <w:rFonts w:hint="eastAsia" w:ascii="宋体" w:hAnsi="宋体"/>
                <w:color w:val="auto"/>
                <w:szCs w:val="21"/>
                <w:highlight w:val="none"/>
              </w:rPr>
              <w:t>级别</w:t>
            </w:r>
          </w:p>
        </w:tc>
        <w:tc>
          <w:tcPr>
            <w:tcW w:w="628"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line="440" w:lineRule="exact"/>
              <w:jc w:val="center"/>
              <w:rPr>
                <w:rFonts w:ascii="宋体" w:hAnsi="宋体"/>
                <w:color w:val="auto"/>
                <w:szCs w:val="21"/>
                <w:highlight w:val="none"/>
              </w:rPr>
            </w:pPr>
            <w:r>
              <w:rPr>
                <w:rFonts w:hint="eastAsia" w:ascii="宋体" w:hAnsi="宋体"/>
                <w:color w:val="auto"/>
                <w:szCs w:val="21"/>
                <w:highlight w:val="none"/>
              </w:rPr>
              <w:t>证号</w:t>
            </w:r>
          </w:p>
        </w:tc>
        <w:tc>
          <w:tcPr>
            <w:tcW w:w="514" w:type="pct"/>
            <w:vMerge w:val="continue"/>
            <w:tcBorders>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4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86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432"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7"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628"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c>
          <w:tcPr>
            <w:tcW w:w="514" w:type="pc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highlight w:val="none"/>
              </w:rPr>
            </w:pPr>
          </w:p>
        </w:tc>
      </w:tr>
    </w:tbl>
    <w:p>
      <w:pPr>
        <w:pStyle w:val="5"/>
        <w:rPr>
          <w:rFonts w:ascii="宋体" w:hAnsi="宋体" w:eastAsia="宋体"/>
          <w:color w:val="auto"/>
          <w:sz w:val="28"/>
          <w:szCs w:val="24"/>
          <w:highlight w:val="none"/>
        </w:rPr>
      </w:pPr>
      <w:r>
        <w:rPr>
          <w:rFonts w:ascii="宋体" w:hAnsi="宋体"/>
          <w:color w:val="auto"/>
          <w:szCs w:val="24"/>
          <w:highlight w:val="none"/>
        </w:rPr>
        <w:br w:type="page"/>
      </w:r>
      <w:r>
        <w:rPr>
          <w:rFonts w:hint="eastAsia" w:ascii="宋体" w:hAnsi="宋体" w:eastAsia="宋体"/>
          <w:color w:val="auto"/>
          <w:sz w:val="28"/>
          <w:szCs w:val="24"/>
          <w:highlight w:val="none"/>
        </w:rPr>
        <w:t>（五）主要人员简历表（格式可自定）</w:t>
      </w:r>
    </w:p>
    <w:tbl>
      <w:tblPr>
        <w:tblStyle w:val="18"/>
        <w:tblW w:w="5000" w:type="pct"/>
        <w:tblInd w:w="0" w:type="dxa"/>
        <w:tblLayout w:type="fixed"/>
        <w:tblCellMar>
          <w:top w:w="0" w:type="dxa"/>
          <w:left w:w="108" w:type="dxa"/>
          <w:bottom w:w="0" w:type="dxa"/>
          <w:right w:w="108" w:type="dxa"/>
        </w:tblCellMar>
      </w:tblPr>
      <w:tblGrid>
        <w:gridCol w:w="1383"/>
        <w:gridCol w:w="1417"/>
        <w:gridCol w:w="992"/>
        <w:gridCol w:w="994"/>
        <w:gridCol w:w="2125"/>
        <w:gridCol w:w="2375"/>
      </w:tblGrid>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姓  名</w:t>
            </w:r>
          </w:p>
        </w:tc>
        <w:tc>
          <w:tcPr>
            <w:tcW w:w="763"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534"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年龄</w:t>
            </w:r>
          </w:p>
        </w:tc>
        <w:tc>
          <w:tcPr>
            <w:tcW w:w="535"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144"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执业资格证书</w:t>
            </w:r>
            <w:r>
              <w:rPr>
                <w:rFonts w:ascii="宋体" w:hAnsi="宋体"/>
                <w:color w:val="auto"/>
                <w:szCs w:val="21"/>
                <w:highlight w:val="none"/>
              </w:rPr>
              <w:br w:type="textWrapping"/>
            </w:r>
            <w:r>
              <w:rPr>
                <w:rFonts w:hint="eastAsia" w:ascii="宋体" w:hAnsi="宋体"/>
                <w:color w:val="auto"/>
                <w:szCs w:val="21"/>
                <w:highlight w:val="none"/>
              </w:rPr>
              <w:t>（或上岗证书）名称</w:t>
            </w:r>
          </w:p>
        </w:tc>
        <w:tc>
          <w:tcPr>
            <w:tcW w:w="1279"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职  称</w:t>
            </w:r>
          </w:p>
        </w:tc>
        <w:tc>
          <w:tcPr>
            <w:tcW w:w="763"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534"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学历</w:t>
            </w:r>
          </w:p>
        </w:tc>
        <w:tc>
          <w:tcPr>
            <w:tcW w:w="535"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144"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拟在本项目任职</w:t>
            </w:r>
          </w:p>
        </w:tc>
        <w:tc>
          <w:tcPr>
            <w:tcW w:w="1279"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工作年限</w:t>
            </w:r>
          </w:p>
        </w:tc>
        <w:tc>
          <w:tcPr>
            <w:tcW w:w="1832" w:type="pct"/>
            <w:gridSpan w:val="3"/>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144"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从事监理工作年限</w:t>
            </w:r>
          </w:p>
        </w:tc>
        <w:tc>
          <w:tcPr>
            <w:tcW w:w="1279"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毕业学校</w:t>
            </w:r>
          </w:p>
        </w:tc>
        <w:tc>
          <w:tcPr>
            <w:tcW w:w="4255" w:type="pct"/>
            <w:gridSpan w:val="5"/>
            <w:tcBorders>
              <w:top w:val="single" w:color="auto" w:sz="4" w:space="0"/>
              <w:left w:val="nil"/>
              <w:bottom w:val="single" w:color="auto" w:sz="4" w:space="0"/>
              <w:right w:val="single" w:color="auto" w:sz="4" w:space="0"/>
            </w:tcBorders>
            <w:noWrap/>
            <w:vAlign w:val="center"/>
          </w:tcPr>
          <w:p>
            <w:pPr>
              <w:spacing w:before="100" w:beforeAutospacing="1" w:after="100" w:afterAutospacing="1"/>
              <w:ind w:firstLine="1155" w:firstLineChars="550"/>
              <w:rPr>
                <w:rFonts w:ascii="宋体" w:hAnsi="宋体"/>
                <w:color w:val="auto"/>
                <w:szCs w:val="21"/>
                <w:highlight w:val="none"/>
              </w:rPr>
            </w:pPr>
            <w:r>
              <w:rPr>
                <w:rFonts w:hint="eastAsia" w:ascii="宋体" w:hAnsi="宋体"/>
                <w:color w:val="auto"/>
                <w:szCs w:val="21"/>
                <w:highlight w:val="none"/>
              </w:rPr>
              <w:t>年毕业于            学校        专业</w:t>
            </w:r>
          </w:p>
        </w:tc>
      </w:tr>
      <w:tr>
        <w:tblPrEx>
          <w:tblCellMar>
            <w:top w:w="0" w:type="dxa"/>
            <w:left w:w="108" w:type="dxa"/>
            <w:bottom w:w="0" w:type="dxa"/>
            <w:right w:w="108" w:type="dxa"/>
          </w:tblCellMar>
        </w:tblPrEx>
        <w:trPr>
          <w:trHeight w:val="567"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ascii="宋体" w:hAnsi="宋体"/>
                <w:color w:val="auto"/>
                <w:szCs w:val="21"/>
                <w:highlight w:val="none"/>
              </w:rPr>
            </w:pPr>
            <w:r>
              <w:rPr>
                <w:rFonts w:hint="eastAsia" w:ascii="宋体" w:hAnsi="宋体"/>
                <w:color w:val="auto"/>
                <w:szCs w:val="21"/>
                <w:highlight w:val="none"/>
              </w:rPr>
              <w:t>主要工作经历</w:t>
            </w: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时  间</w:t>
            </w:r>
          </w:p>
        </w:tc>
        <w:tc>
          <w:tcPr>
            <w:tcW w:w="1832" w:type="pct"/>
            <w:gridSpan w:val="3"/>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参加过的类似项目</w:t>
            </w:r>
          </w:p>
        </w:tc>
        <w:tc>
          <w:tcPr>
            <w:tcW w:w="1144"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担任职务</w:t>
            </w:r>
          </w:p>
        </w:tc>
        <w:tc>
          <w:tcPr>
            <w:tcW w:w="1278"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委托人及联系电话</w:t>
            </w: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832" w:type="pct"/>
            <w:gridSpan w:val="3"/>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144"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278"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832" w:type="pct"/>
            <w:gridSpan w:val="3"/>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144"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278"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832" w:type="pct"/>
            <w:gridSpan w:val="3"/>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144"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278"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832" w:type="pct"/>
            <w:gridSpan w:val="3"/>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144"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278"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832" w:type="pct"/>
            <w:gridSpan w:val="3"/>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144"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278"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832" w:type="pct"/>
            <w:gridSpan w:val="3"/>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144"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278"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67" w:hRule="atLeast"/>
        </w:trPr>
        <w:tc>
          <w:tcPr>
            <w:tcW w:w="7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832" w:type="pct"/>
            <w:gridSpan w:val="3"/>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144"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c>
          <w:tcPr>
            <w:tcW w:w="1278" w:type="pct"/>
            <w:tcBorders>
              <w:top w:val="single" w:color="auto" w:sz="4" w:space="0"/>
              <w:left w:val="nil"/>
              <w:bottom w:val="single" w:color="auto" w:sz="4" w:space="0"/>
              <w:right w:val="single" w:color="auto" w:sz="4" w:space="0"/>
            </w:tcBorders>
            <w:noWrap/>
            <w:vAlign w:val="center"/>
          </w:tcPr>
          <w:p>
            <w:pPr>
              <w:jc w:val="center"/>
              <w:rPr>
                <w:rFonts w:ascii="宋体" w:hAnsi="宋体"/>
                <w:color w:val="auto"/>
                <w:szCs w:val="21"/>
                <w:highlight w:val="none"/>
              </w:rPr>
            </w:pPr>
          </w:p>
        </w:tc>
      </w:tr>
    </w:tbl>
    <w:p>
      <w:pPr>
        <w:spacing w:line="440" w:lineRule="exact"/>
        <w:rPr>
          <w:rFonts w:ascii="宋体" w:hAnsi="宋体"/>
          <w:color w:val="auto"/>
          <w:szCs w:val="21"/>
          <w:highlight w:val="none"/>
        </w:rPr>
      </w:pPr>
      <w:r>
        <w:rPr>
          <w:rFonts w:hint="eastAsia" w:ascii="宋体" w:hAnsi="宋体"/>
          <w:color w:val="auto"/>
          <w:szCs w:val="21"/>
          <w:highlight w:val="none"/>
        </w:rPr>
        <w:t>注：投标人应根据投标人须知第3.5.6项的要求在本表后附相关证明材料。</w:t>
      </w:r>
    </w:p>
    <w:p>
      <w:pPr>
        <w:pStyle w:val="5"/>
        <w:rPr>
          <w:rFonts w:ascii="宋体" w:hAnsi="宋体" w:eastAsia="宋体"/>
          <w:color w:val="auto"/>
          <w:sz w:val="28"/>
          <w:szCs w:val="24"/>
          <w:highlight w:val="none"/>
        </w:rPr>
      </w:pPr>
      <w:r>
        <w:rPr>
          <w:rFonts w:hint="eastAsia" w:ascii="宋体" w:hAnsi="宋体"/>
          <w:b w:val="0"/>
          <w:bCs w:val="0"/>
          <w:color w:val="auto"/>
          <w:szCs w:val="24"/>
          <w:highlight w:val="none"/>
        </w:rPr>
        <w:br w:type="page"/>
      </w:r>
      <w:r>
        <w:rPr>
          <w:rFonts w:hint="eastAsia" w:ascii="宋体" w:hAnsi="宋体" w:eastAsia="宋体"/>
          <w:color w:val="auto"/>
          <w:sz w:val="28"/>
          <w:szCs w:val="24"/>
          <w:highlight w:val="none"/>
        </w:rPr>
        <w:t>（六）拟投入本项目的主要设备表（格式可自定）</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1657"/>
        <w:gridCol w:w="1751"/>
        <w:gridCol w:w="1699"/>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名称及型号</w:t>
            </w:r>
          </w:p>
        </w:tc>
        <w:tc>
          <w:tcPr>
            <w:tcW w:w="3648"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申请单位能达到的程度简述（由申请单位填写）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892"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数量（台套）</w:t>
            </w:r>
          </w:p>
        </w:tc>
        <w:tc>
          <w:tcPr>
            <w:tcW w:w="2756"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拟投入本项目情况（台套）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89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新购</w:t>
            </w:r>
          </w:p>
        </w:tc>
        <w:tc>
          <w:tcPr>
            <w:tcW w:w="91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自有</w:t>
            </w:r>
          </w:p>
        </w:tc>
        <w:tc>
          <w:tcPr>
            <w:tcW w:w="897"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1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97"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olor w:val="auto"/>
                <w:szCs w:val="21"/>
                <w:highlight w:val="none"/>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1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97"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olor w:val="auto"/>
                <w:szCs w:val="21"/>
                <w:highlight w:val="none"/>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1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97"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olor w:val="auto"/>
                <w:szCs w:val="21"/>
                <w:highlight w:val="none"/>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1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97"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92"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1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97"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bl>
    <w:p>
      <w:pPr>
        <w:pStyle w:val="38"/>
        <w:ind w:firstLine="496"/>
        <w:rPr>
          <w:rFonts w:hint="eastAsia"/>
          <w:color w:val="auto"/>
          <w:highlight w:val="none"/>
          <w:lang w:eastAsia="zh-CN"/>
        </w:rPr>
      </w:pPr>
    </w:p>
    <w:p>
      <w:pPr>
        <w:spacing w:line="360" w:lineRule="auto"/>
        <w:ind w:firstLine="3968" w:firstLineChars="1890"/>
        <w:jc w:val="left"/>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color w:val="auto"/>
          <w:szCs w:val="21"/>
          <w:highlight w:val="none"/>
        </w:rPr>
        <w:t>（加盖投标人公章）</w:t>
      </w:r>
    </w:p>
    <w:p>
      <w:pPr>
        <w:spacing w:line="360" w:lineRule="auto"/>
        <w:ind w:firstLine="3968" w:firstLineChars="1890"/>
        <w:jc w:val="left"/>
        <w:rPr>
          <w:rFonts w:ascii="宋体" w:hAnsi="宋体"/>
          <w:color w:val="auto"/>
          <w:szCs w:val="21"/>
          <w:highlight w:val="none"/>
        </w:rPr>
      </w:pPr>
      <w:r>
        <w:rPr>
          <w:rFonts w:hint="eastAsia" w:ascii="宋体" w:hAnsi="宋体"/>
          <w:color w:val="auto"/>
          <w:szCs w:val="21"/>
          <w:highlight w:val="none"/>
        </w:rPr>
        <w:t>法定代表人或其委托代理人：（签字或盖章）</w:t>
      </w:r>
    </w:p>
    <w:p>
      <w:pPr>
        <w:wordWrap w:val="0"/>
        <w:spacing w:line="360" w:lineRule="auto"/>
        <w:ind w:right="840" w:firstLine="3968" w:firstLineChars="1890"/>
        <w:rPr>
          <w:rFonts w:ascii="宋体" w:hAnsi="宋体"/>
          <w:color w:val="auto"/>
          <w:szCs w:val="21"/>
          <w:highlight w:val="none"/>
        </w:rPr>
      </w:pP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 xml:space="preserve">期：  </w:t>
      </w:r>
      <w:r>
        <w:rPr>
          <w:rFonts w:ascii="宋体" w:hAnsi="宋体"/>
          <w:color w:val="auto"/>
          <w:szCs w:val="21"/>
          <w:highlight w:val="none"/>
        </w:rPr>
        <w:t xml:space="preserve">  </w:t>
      </w:r>
      <w:r>
        <w:rPr>
          <w:rFonts w:hint="eastAsia" w:ascii="宋体" w:hAnsi="宋体"/>
          <w:color w:val="auto"/>
          <w:szCs w:val="21"/>
          <w:highlight w:val="none"/>
        </w:rPr>
        <w:t xml:space="preserve"> 年   月   日</w:t>
      </w:r>
    </w:p>
    <w:p>
      <w:pPr>
        <w:pStyle w:val="5"/>
        <w:rPr>
          <w:rFonts w:ascii="宋体" w:hAnsi="宋体" w:eastAsia="宋体"/>
          <w:color w:val="auto"/>
          <w:sz w:val="28"/>
          <w:szCs w:val="24"/>
          <w:highlight w:val="none"/>
        </w:rPr>
      </w:pPr>
      <w:r>
        <w:rPr>
          <w:rFonts w:hint="eastAsia" w:ascii="宋体" w:hAnsi="宋体"/>
          <w:color w:val="auto"/>
          <w:spacing w:val="18"/>
          <w:sz w:val="24"/>
          <w:szCs w:val="24"/>
          <w:highlight w:val="none"/>
        </w:rPr>
        <w:br w:type="page"/>
      </w:r>
      <w:r>
        <w:rPr>
          <w:rFonts w:hint="eastAsia" w:ascii="宋体" w:hAnsi="宋体" w:eastAsia="宋体"/>
          <w:color w:val="auto"/>
          <w:sz w:val="28"/>
          <w:szCs w:val="24"/>
          <w:highlight w:val="none"/>
        </w:rPr>
        <w:t>（七）投标人声明格式</w:t>
      </w:r>
    </w:p>
    <w:p>
      <w:pPr>
        <w:topLinePunct/>
        <w:spacing w:line="360" w:lineRule="auto"/>
        <w:jc w:val="center"/>
        <w:rPr>
          <w:rFonts w:ascii="宋体" w:hAnsi="宋体"/>
          <w:color w:val="auto"/>
          <w:spacing w:val="18"/>
          <w:szCs w:val="20"/>
          <w:highlight w:val="none"/>
        </w:rPr>
      </w:pPr>
      <w:r>
        <w:rPr>
          <w:rFonts w:hint="eastAsia" w:ascii="宋体" w:hAnsi="宋体"/>
          <w:snapToGrid w:val="0"/>
          <w:color w:val="auto"/>
          <w:spacing w:val="4"/>
          <w:kern w:val="0"/>
          <w:szCs w:val="20"/>
          <w:highlight w:val="none"/>
        </w:rPr>
        <w:t>格式详见招标公告附件一</w:t>
      </w:r>
    </w:p>
    <w:p>
      <w:pPr>
        <w:pStyle w:val="4"/>
        <w:spacing w:line="360" w:lineRule="auto"/>
        <w:rPr>
          <w:rFonts w:ascii="宋体" w:hAnsi="宋体" w:eastAsia="宋体"/>
          <w:color w:val="auto"/>
          <w:sz w:val="30"/>
          <w:szCs w:val="30"/>
          <w:highlight w:val="none"/>
        </w:rPr>
      </w:pPr>
      <w:r>
        <w:rPr>
          <w:rFonts w:hint="eastAsia" w:ascii="宋体" w:hAnsi="宋体"/>
          <w:color w:val="auto"/>
          <w:sz w:val="24"/>
          <w:szCs w:val="24"/>
          <w:highlight w:val="none"/>
        </w:rPr>
        <w:br w:type="page"/>
      </w:r>
      <w:bookmarkEnd w:id="542"/>
      <w:bookmarkStart w:id="546" w:name="_Toc535938758"/>
      <w:bookmarkStart w:id="547" w:name="_Toc530470651"/>
      <w:bookmarkStart w:id="548" w:name="_Toc529196610"/>
      <w:r>
        <w:rPr>
          <w:rFonts w:hint="eastAsia" w:ascii="宋体" w:hAnsi="宋体" w:eastAsia="宋体"/>
          <w:color w:val="auto"/>
          <w:sz w:val="30"/>
          <w:szCs w:val="30"/>
          <w:highlight w:val="none"/>
        </w:rPr>
        <w:t>六、监理大纲</w:t>
      </w:r>
      <w:bookmarkEnd w:id="546"/>
      <w:bookmarkEnd w:id="547"/>
      <w:bookmarkEnd w:id="548"/>
    </w:p>
    <w:p>
      <w:pPr>
        <w:spacing w:line="360" w:lineRule="auto"/>
        <w:ind w:firstLine="474" w:firstLineChars="226"/>
        <w:rPr>
          <w:rFonts w:ascii="宋体" w:hAnsi="宋体"/>
          <w:color w:val="auto"/>
          <w:szCs w:val="21"/>
          <w:highlight w:val="none"/>
        </w:rPr>
      </w:pPr>
      <w:r>
        <w:rPr>
          <w:rFonts w:hint="eastAsia" w:ascii="宋体" w:hAnsi="宋体"/>
          <w:color w:val="auto"/>
          <w:szCs w:val="21"/>
          <w:highlight w:val="none"/>
        </w:rPr>
        <w:t>监理大纲应包括（但不限于）下列内容：</w:t>
      </w:r>
    </w:p>
    <w:p>
      <w:pPr>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（1）投资控制措施</w:t>
      </w:r>
    </w:p>
    <w:p>
      <w:pPr>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（2）进度控制措施</w:t>
      </w:r>
    </w:p>
    <w:p>
      <w:pPr>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（3）质量控制措施</w:t>
      </w:r>
    </w:p>
    <w:p>
      <w:pPr>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（4）安全文明控制措施</w:t>
      </w:r>
    </w:p>
    <w:p>
      <w:pPr>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（5）合同管理、信息管理、组织协调</w:t>
      </w:r>
    </w:p>
    <w:p>
      <w:pPr>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（6）重难点控制措施</w:t>
      </w:r>
    </w:p>
    <w:p>
      <w:pPr>
        <w:spacing w:line="360" w:lineRule="auto"/>
        <w:ind w:firstLine="474" w:firstLineChars="226"/>
        <w:rPr>
          <w:rFonts w:ascii="宋体" w:hAnsi="宋体"/>
          <w:color w:val="auto"/>
          <w:szCs w:val="21"/>
          <w:highlight w:val="none"/>
        </w:rPr>
      </w:pPr>
      <w:r>
        <w:rPr>
          <w:rFonts w:hint="eastAsia" w:ascii="宋体" w:hAnsi="宋体"/>
          <w:color w:val="auto"/>
          <w:szCs w:val="21"/>
          <w:highlight w:val="none"/>
        </w:rPr>
        <w:t>（7）合理化建议</w:t>
      </w:r>
    </w:p>
    <w:p>
      <w:pPr>
        <w:pStyle w:val="4"/>
        <w:spacing w:line="360" w:lineRule="auto"/>
        <w:rPr>
          <w:rFonts w:ascii="宋体" w:hAnsi="宋体" w:eastAsia="宋体"/>
          <w:color w:val="auto"/>
          <w:sz w:val="30"/>
          <w:szCs w:val="30"/>
          <w:highlight w:val="none"/>
        </w:rPr>
      </w:pPr>
      <w:r>
        <w:rPr>
          <w:rFonts w:hint="eastAsia" w:ascii="宋体" w:hAnsi="宋体"/>
          <w:b w:val="0"/>
          <w:bCs w:val="0"/>
          <w:color w:val="auto"/>
          <w:highlight w:val="none"/>
        </w:rPr>
        <w:br w:type="page"/>
      </w:r>
      <w:bookmarkStart w:id="549" w:name="_Toc535938759"/>
      <w:bookmarkStart w:id="550" w:name="_Toc529196611"/>
      <w:bookmarkStart w:id="551" w:name="_Toc530470652"/>
      <w:r>
        <w:rPr>
          <w:rFonts w:hint="eastAsia" w:ascii="宋体" w:hAnsi="宋体" w:eastAsia="宋体"/>
          <w:color w:val="auto"/>
          <w:sz w:val="30"/>
          <w:szCs w:val="30"/>
          <w:highlight w:val="none"/>
        </w:rPr>
        <w:t>七、其他资料</w:t>
      </w:r>
      <w:bookmarkEnd w:id="549"/>
      <w:bookmarkEnd w:id="550"/>
      <w:bookmarkEnd w:id="551"/>
    </w:p>
    <w:p>
      <w:pPr>
        <w:spacing w:line="360" w:lineRule="auto"/>
        <w:jc w:val="center"/>
        <w:outlineLvl w:val="2"/>
        <w:rPr>
          <w:rFonts w:ascii="宋体" w:hAnsi="宋体"/>
          <w:b/>
          <w:color w:val="auto"/>
          <w:sz w:val="28"/>
          <w:szCs w:val="28"/>
          <w:highlight w:val="none"/>
        </w:rPr>
      </w:pPr>
      <w:bookmarkStart w:id="552" w:name="_Toc535938766"/>
      <w:bookmarkStart w:id="553" w:name="_Toc530470659"/>
      <w:bookmarkStart w:id="554" w:name="_Hlk22687129"/>
      <w:r>
        <w:rPr>
          <w:rFonts w:hint="eastAsia" w:ascii="宋体" w:hAnsi="宋体"/>
          <w:b/>
          <w:color w:val="auto"/>
          <w:sz w:val="28"/>
          <w:szCs w:val="28"/>
          <w:highlight w:val="none"/>
        </w:rPr>
        <w:t>投标人须知前附表规定的或投标人认为需要提供的资料（如有）</w:t>
      </w:r>
      <w:bookmarkEnd w:id="552"/>
      <w:bookmarkEnd w:id="553"/>
      <w:bookmarkEnd w:id="554"/>
    </w:p>
    <w:sectPr>
      <w:headerReference r:id="rId5" w:type="first"/>
      <w:footerReference r:id="rId8" w:type="first"/>
      <w:headerReference r:id="rId4" w:type="default"/>
      <w:footerReference r:id="rId6" w:type="default"/>
      <w:footerReference r:id="rId7" w:type="even"/>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32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Align="top"/>
      <w:jc w:val="center"/>
    </w:pPr>
    <w:r>
      <w:fldChar w:fldCharType="begin"/>
    </w:r>
    <w:r>
      <w:instrText xml:space="preserve">PAGE   \* MERGEFORMAT</w:instrText>
    </w:r>
    <w:r>
      <w:fldChar w:fldCharType="separate"/>
    </w:r>
    <w:r>
      <w:rPr>
        <w:lang w:val="zh-CN"/>
      </w:rPr>
      <w:t>52</w:t>
    </w:r>
    <w:r>
      <w:fldChar w:fldCharType="end"/>
    </w:r>
  </w:p>
  <w:p>
    <w:pPr>
      <w:pStyle w:val="11"/>
      <w:framePr w:wrap="around" w:vAnchor="text" w:hAnchor="margin" w:xAlign="right" w:yAlign="top"/>
      <w:rPr>
        <w:rStyle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t xml:space="preserve"> PAGE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pStyle w:val="11"/>
                          </w:pP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DIhRzQAAAAAwEAAA8AAAAAAAAAAQAgAAAAIgAAAGRycy9kb3du&#10;cmV2LnhtbFBLAQIUABQAAAAIAIdO4kD6K+gHzgEAAJkDAAAOAAAAAAAAAAEAIAAAAB8BAABkcnMv&#10;ZTJvRG9jLnhtbFBLBQYAAAAABgAGAFkBAABfBQAAAAA=&#10;">
              <v:fill on="f" focussize="0,0"/>
              <v:stroke on="f"/>
              <v:imagedata o:title=""/>
              <o:lock v:ext="edit" aspectratio="f"/>
              <v:textbox inset="0mm,0mm,0mm,0mm" style="mso-fit-shape-to-text:t;">
                <w:txbxContent>
                  <w:p>
                    <w:pPr>
                      <w:pStyle w:val="11"/>
                    </w:pP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Align="top"/>
      <w:rPr>
        <w:rStyle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7"/>
    <w:multiLevelType w:val="multilevel"/>
    <w:tmpl w:val="0000000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2375A77"/>
    <w:multiLevelType w:val="singleLevel"/>
    <w:tmpl w:val="32375A77"/>
    <w:lvl w:ilvl="0" w:tentative="0">
      <w:start w:val="1"/>
      <w:numFmt w:val="decimal"/>
      <w:suff w:val="nothing"/>
      <w:lvlText w:val="%1）"/>
      <w:lvlJc w:val="left"/>
    </w:lvl>
  </w:abstractNum>
  <w:abstractNum w:abstractNumId="3">
    <w:nsid w:val="4EAC5494"/>
    <w:multiLevelType w:val="multilevel"/>
    <w:tmpl w:val="4EAC5494"/>
    <w:lvl w:ilvl="0" w:tentative="0">
      <w:start w:val="1"/>
      <w:numFmt w:val="decimal"/>
      <w:lvlText w:val="%1、"/>
      <w:lvlJc w:val="left"/>
      <w:pPr>
        <w:ind w:left="400" w:hanging="36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4">
    <w:nsid w:val="74C9B518"/>
    <w:multiLevelType w:val="singleLevel"/>
    <w:tmpl w:val="74C9B518"/>
    <w:lvl w:ilvl="0" w:tentative="0">
      <w:start w:val="1"/>
      <w:numFmt w:val="decimal"/>
      <w:lvlText w:val="%1."/>
      <w:lvlJc w:val="left"/>
      <w:pPr>
        <w:tabs>
          <w:tab w:val="left" w:pos="312"/>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20"/>
    <w:rsid w:val="000312B9"/>
    <w:rsid w:val="00031998"/>
    <w:rsid w:val="00036E0F"/>
    <w:rsid w:val="000374A9"/>
    <w:rsid w:val="00043FA2"/>
    <w:rsid w:val="00065B2E"/>
    <w:rsid w:val="00071220"/>
    <w:rsid w:val="00074110"/>
    <w:rsid w:val="00074ED9"/>
    <w:rsid w:val="00090278"/>
    <w:rsid w:val="000C651C"/>
    <w:rsid w:val="000E7974"/>
    <w:rsid w:val="000F64E1"/>
    <w:rsid w:val="00102D00"/>
    <w:rsid w:val="00110496"/>
    <w:rsid w:val="00124236"/>
    <w:rsid w:val="001558BE"/>
    <w:rsid w:val="001559FF"/>
    <w:rsid w:val="001601AC"/>
    <w:rsid w:val="00162650"/>
    <w:rsid w:val="001B7CD9"/>
    <w:rsid w:val="001C11D1"/>
    <w:rsid w:val="001C20E4"/>
    <w:rsid w:val="001C42BD"/>
    <w:rsid w:val="001D0134"/>
    <w:rsid w:val="001F43A2"/>
    <w:rsid w:val="00202673"/>
    <w:rsid w:val="00207DD0"/>
    <w:rsid w:val="002211C5"/>
    <w:rsid w:val="002247B5"/>
    <w:rsid w:val="0023415D"/>
    <w:rsid w:val="002503B3"/>
    <w:rsid w:val="0025732E"/>
    <w:rsid w:val="00260009"/>
    <w:rsid w:val="00261BF7"/>
    <w:rsid w:val="00263AB3"/>
    <w:rsid w:val="002772BB"/>
    <w:rsid w:val="0027760C"/>
    <w:rsid w:val="00280A2E"/>
    <w:rsid w:val="00294B52"/>
    <w:rsid w:val="002B22DD"/>
    <w:rsid w:val="002B4820"/>
    <w:rsid w:val="002C07CB"/>
    <w:rsid w:val="002C2EEB"/>
    <w:rsid w:val="00314C40"/>
    <w:rsid w:val="00323DC5"/>
    <w:rsid w:val="00355FF8"/>
    <w:rsid w:val="00356CD2"/>
    <w:rsid w:val="00365720"/>
    <w:rsid w:val="00370C13"/>
    <w:rsid w:val="00383FEB"/>
    <w:rsid w:val="003A6AAC"/>
    <w:rsid w:val="003B171E"/>
    <w:rsid w:val="003B3E4A"/>
    <w:rsid w:val="003C07E3"/>
    <w:rsid w:val="003D3474"/>
    <w:rsid w:val="003D59CB"/>
    <w:rsid w:val="003E2AA9"/>
    <w:rsid w:val="003F67A7"/>
    <w:rsid w:val="003F6E90"/>
    <w:rsid w:val="004078D4"/>
    <w:rsid w:val="004117CE"/>
    <w:rsid w:val="004304B0"/>
    <w:rsid w:val="004312C2"/>
    <w:rsid w:val="004468BB"/>
    <w:rsid w:val="00464558"/>
    <w:rsid w:val="0047630F"/>
    <w:rsid w:val="00492696"/>
    <w:rsid w:val="004A0013"/>
    <w:rsid w:val="004A36A1"/>
    <w:rsid w:val="004C1726"/>
    <w:rsid w:val="004C7EF2"/>
    <w:rsid w:val="004F52BE"/>
    <w:rsid w:val="004F704F"/>
    <w:rsid w:val="004F70D5"/>
    <w:rsid w:val="00504C18"/>
    <w:rsid w:val="00506EE0"/>
    <w:rsid w:val="0051509C"/>
    <w:rsid w:val="005201F3"/>
    <w:rsid w:val="00522B8B"/>
    <w:rsid w:val="00527DE2"/>
    <w:rsid w:val="00534A01"/>
    <w:rsid w:val="005373A9"/>
    <w:rsid w:val="00541C14"/>
    <w:rsid w:val="0054656E"/>
    <w:rsid w:val="0055445F"/>
    <w:rsid w:val="005720E0"/>
    <w:rsid w:val="00580065"/>
    <w:rsid w:val="0058466C"/>
    <w:rsid w:val="0059059E"/>
    <w:rsid w:val="00595C4F"/>
    <w:rsid w:val="00596820"/>
    <w:rsid w:val="005A329C"/>
    <w:rsid w:val="005A5D03"/>
    <w:rsid w:val="005C0DC9"/>
    <w:rsid w:val="005C2472"/>
    <w:rsid w:val="005D2591"/>
    <w:rsid w:val="005D4C47"/>
    <w:rsid w:val="005D4EF2"/>
    <w:rsid w:val="005E3A87"/>
    <w:rsid w:val="005E7707"/>
    <w:rsid w:val="00627EDE"/>
    <w:rsid w:val="00634F0D"/>
    <w:rsid w:val="00641D4A"/>
    <w:rsid w:val="0064577B"/>
    <w:rsid w:val="0065520B"/>
    <w:rsid w:val="0066330D"/>
    <w:rsid w:val="00663593"/>
    <w:rsid w:val="0066483E"/>
    <w:rsid w:val="00674947"/>
    <w:rsid w:val="006765B9"/>
    <w:rsid w:val="006824D5"/>
    <w:rsid w:val="00697239"/>
    <w:rsid w:val="006B35F5"/>
    <w:rsid w:val="006B39C3"/>
    <w:rsid w:val="006B55ED"/>
    <w:rsid w:val="006C1038"/>
    <w:rsid w:val="006C13A8"/>
    <w:rsid w:val="006C67DE"/>
    <w:rsid w:val="006D306B"/>
    <w:rsid w:val="006D6006"/>
    <w:rsid w:val="00720C1E"/>
    <w:rsid w:val="00731624"/>
    <w:rsid w:val="007356D6"/>
    <w:rsid w:val="00747062"/>
    <w:rsid w:val="00754523"/>
    <w:rsid w:val="00763BEF"/>
    <w:rsid w:val="0076706F"/>
    <w:rsid w:val="007745C7"/>
    <w:rsid w:val="007A7F98"/>
    <w:rsid w:val="007B1D86"/>
    <w:rsid w:val="007B28A1"/>
    <w:rsid w:val="007C075E"/>
    <w:rsid w:val="007C0CC5"/>
    <w:rsid w:val="007E2BFD"/>
    <w:rsid w:val="007F121E"/>
    <w:rsid w:val="007F22F5"/>
    <w:rsid w:val="00805899"/>
    <w:rsid w:val="0082544B"/>
    <w:rsid w:val="0085447F"/>
    <w:rsid w:val="00876A67"/>
    <w:rsid w:val="00880FF2"/>
    <w:rsid w:val="008A6E8C"/>
    <w:rsid w:val="008B0DEA"/>
    <w:rsid w:val="008B693B"/>
    <w:rsid w:val="008B6C20"/>
    <w:rsid w:val="008C519C"/>
    <w:rsid w:val="008E318E"/>
    <w:rsid w:val="008F2692"/>
    <w:rsid w:val="008F2710"/>
    <w:rsid w:val="00907A04"/>
    <w:rsid w:val="009329FD"/>
    <w:rsid w:val="009346AC"/>
    <w:rsid w:val="00944F59"/>
    <w:rsid w:val="00956F98"/>
    <w:rsid w:val="0096248E"/>
    <w:rsid w:val="00965662"/>
    <w:rsid w:val="009657A5"/>
    <w:rsid w:val="00970FDD"/>
    <w:rsid w:val="00986423"/>
    <w:rsid w:val="00993765"/>
    <w:rsid w:val="00995A70"/>
    <w:rsid w:val="009A1560"/>
    <w:rsid w:val="009B2203"/>
    <w:rsid w:val="009B621D"/>
    <w:rsid w:val="009B6C4D"/>
    <w:rsid w:val="009D627B"/>
    <w:rsid w:val="009D70A4"/>
    <w:rsid w:val="009D79F3"/>
    <w:rsid w:val="00A074B3"/>
    <w:rsid w:val="00A07DAD"/>
    <w:rsid w:val="00A138C1"/>
    <w:rsid w:val="00A16F25"/>
    <w:rsid w:val="00A242B5"/>
    <w:rsid w:val="00A32E29"/>
    <w:rsid w:val="00A44EFE"/>
    <w:rsid w:val="00A460B3"/>
    <w:rsid w:val="00A4768F"/>
    <w:rsid w:val="00A5088E"/>
    <w:rsid w:val="00A51CDE"/>
    <w:rsid w:val="00A5741C"/>
    <w:rsid w:val="00A6464B"/>
    <w:rsid w:val="00A64988"/>
    <w:rsid w:val="00A74A4A"/>
    <w:rsid w:val="00A85323"/>
    <w:rsid w:val="00A97F08"/>
    <w:rsid w:val="00AA0D7E"/>
    <w:rsid w:val="00AA32CA"/>
    <w:rsid w:val="00AB7E77"/>
    <w:rsid w:val="00AC64BB"/>
    <w:rsid w:val="00AC7AED"/>
    <w:rsid w:val="00AD12E1"/>
    <w:rsid w:val="00AD5284"/>
    <w:rsid w:val="00AF4E59"/>
    <w:rsid w:val="00B03720"/>
    <w:rsid w:val="00B04F57"/>
    <w:rsid w:val="00B06AF8"/>
    <w:rsid w:val="00B26355"/>
    <w:rsid w:val="00B32C30"/>
    <w:rsid w:val="00B34A7B"/>
    <w:rsid w:val="00B35B51"/>
    <w:rsid w:val="00B37C07"/>
    <w:rsid w:val="00B47D40"/>
    <w:rsid w:val="00B57097"/>
    <w:rsid w:val="00B641FD"/>
    <w:rsid w:val="00B85809"/>
    <w:rsid w:val="00B864B7"/>
    <w:rsid w:val="00B87371"/>
    <w:rsid w:val="00BA1AE0"/>
    <w:rsid w:val="00BB02D0"/>
    <w:rsid w:val="00BB4544"/>
    <w:rsid w:val="00BD6C80"/>
    <w:rsid w:val="00C0752D"/>
    <w:rsid w:val="00C07C26"/>
    <w:rsid w:val="00C17D4F"/>
    <w:rsid w:val="00C2406B"/>
    <w:rsid w:val="00C26480"/>
    <w:rsid w:val="00C32B29"/>
    <w:rsid w:val="00C5110E"/>
    <w:rsid w:val="00C54A57"/>
    <w:rsid w:val="00C60145"/>
    <w:rsid w:val="00C61B73"/>
    <w:rsid w:val="00C7375E"/>
    <w:rsid w:val="00C81202"/>
    <w:rsid w:val="00C863CB"/>
    <w:rsid w:val="00CB231B"/>
    <w:rsid w:val="00CB26C9"/>
    <w:rsid w:val="00CB4474"/>
    <w:rsid w:val="00CB5AF2"/>
    <w:rsid w:val="00CE72A3"/>
    <w:rsid w:val="00D0733B"/>
    <w:rsid w:val="00D20D06"/>
    <w:rsid w:val="00D63975"/>
    <w:rsid w:val="00D724D0"/>
    <w:rsid w:val="00D829E2"/>
    <w:rsid w:val="00DB743D"/>
    <w:rsid w:val="00DC6845"/>
    <w:rsid w:val="00DF080C"/>
    <w:rsid w:val="00DF550C"/>
    <w:rsid w:val="00E012C6"/>
    <w:rsid w:val="00E0335A"/>
    <w:rsid w:val="00E073CC"/>
    <w:rsid w:val="00E13DAB"/>
    <w:rsid w:val="00E15A0D"/>
    <w:rsid w:val="00E1715E"/>
    <w:rsid w:val="00E27BB9"/>
    <w:rsid w:val="00E3533C"/>
    <w:rsid w:val="00E5082D"/>
    <w:rsid w:val="00E712CA"/>
    <w:rsid w:val="00E77927"/>
    <w:rsid w:val="00E84199"/>
    <w:rsid w:val="00E87D01"/>
    <w:rsid w:val="00EA5F51"/>
    <w:rsid w:val="00EA632A"/>
    <w:rsid w:val="00EB5F50"/>
    <w:rsid w:val="00EC7835"/>
    <w:rsid w:val="00EE48E3"/>
    <w:rsid w:val="00EF1C8C"/>
    <w:rsid w:val="00F054FC"/>
    <w:rsid w:val="00F13057"/>
    <w:rsid w:val="00F23467"/>
    <w:rsid w:val="00F24E7B"/>
    <w:rsid w:val="00F2794E"/>
    <w:rsid w:val="00F31CC2"/>
    <w:rsid w:val="00F663CC"/>
    <w:rsid w:val="00F80F80"/>
    <w:rsid w:val="00F87B90"/>
    <w:rsid w:val="00F928A8"/>
    <w:rsid w:val="00F93CC2"/>
    <w:rsid w:val="00FB32A3"/>
    <w:rsid w:val="00FB38FB"/>
    <w:rsid w:val="00FC7EA6"/>
    <w:rsid w:val="00FD0420"/>
    <w:rsid w:val="00FD32BF"/>
    <w:rsid w:val="00FD5213"/>
    <w:rsid w:val="00FD59DD"/>
    <w:rsid w:val="00FD7E17"/>
    <w:rsid w:val="00FE1AB5"/>
    <w:rsid w:val="00FE5A42"/>
    <w:rsid w:val="00FF6313"/>
    <w:rsid w:val="095A3034"/>
    <w:rsid w:val="1F8D5796"/>
    <w:rsid w:val="20B460C7"/>
    <w:rsid w:val="221F03E4"/>
    <w:rsid w:val="34EB0D80"/>
    <w:rsid w:val="3DD139CF"/>
    <w:rsid w:val="5B9E1864"/>
    <w:rsid w:val="691B6B22"/>
    <w:rsid w:val="7E2B37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24"/>
    <w:qFormat/>
    <w:uiPriority w:val="0"/>
    <w:pPr>
      <w:jc w:val="left"/>
      <w:outlineLvl w:val="1"/>
    </w:pPr>
    <w:rPr>
      <w:rFonts w:ascii="Arial" w:hAnsi="Arial" w:eastAsia="黑体"/>
      <w:b/>
      <w:bCs/>
      <w:color w:val="000000"/>
      <w:kern w:val="0"/>
      <w:sz w:val="36"/>
      <w:szCs w:val="32"/>
    </w:rPr>
  </w:style>
  <w:style w:type="paragraph" w:styleId="5">
    <w:name w:val="heading 3"/>
    <w:basedOn w:val="1"/>
    <w:next w:val="1"/>
    <w:link w:val="25"/>
    <w:qFormat/>
    <w:uiPriority w:val="0"/>
    <w:pPr>
      <w:spacing w:line="360" w:lineRule="auto"/>
      <w:ind w:left="118"/>
      <w:jc w:val="center"/>
      <w:outlineLvl w:val="2"/>
    </w:pPr>
    <w:rPr>
      <w:rFonts w:ascii="Times New Roman" w:hAnsi="Times New Roman" w:eastAsia="黑体"/>
      <w:b/>
      <w:bCs/>
      <w:color w:val="800000"/>
      <w:kern w:val="0"/>
      <w:sz w:val="32"/>
      <w:szCs w:val="32"/>
    </w:rPr>
  </w:style>
  <w:style w:type="character" w:default="1" w:styleId="19">
    <w:name w:val="Default Paragraph Font"/>
    <w:unhideWhenUsed/>
    <w:qFormat/>
    <w:uiPriority w:val="1"/>
  </w:style>
  <w:style w:type="table" w:default="1" w:styleId="18">
    <w:name w:val="Normal Table"/>
    <w:unhideWhenUsed/>
    <w:uiPriority w:val="99"/>
    <w:tblPr>
      <w:tblCellMar>
        <w:top w:w="0" w:type="dxa"/>
        <w:left w:w="108" w:type="dxa"/>
        <w:bottom w:w="0" w:type="dxa"/>
        <w:right w:w="108" w:type="dxa"/>
      </w:tblCellMar>
    </w:tblPr>
  </w:style>
  <w:style w:type="paragraph" w:customStyle="1" w:styleId="2">
    <w:name w:val="Normal Indent1"/>
    <w:basedOn w:val="1"/>
    <w:qFormat/>
    <w:uiPriority w:val="0"/>
    <w:pPr>
      <w:widowControl/>
      <w:spacing w:line="360" w:lineRule="auto"/>
      <w:ind w:firstLine="420"/>
      <w:jc w:val="left"/>
    </w:pPr>
    <w:rPr>
      <w:rFonts w:ascii="宋体" w:hAnsi="Times New Roman"/>
      <w:kern w:val="0"/>
      <w:sz w:val="20"/>
      <w:szCs w:val="20"/>
    </w:rPr>
  </w:style>
  <w:style w:type="paragraph" w:styleId="6">
    <w:name w:val="annotation text"/>
    <w:basedOn w:val="1"/>
    <w:link w:val="26"/>
    <w:unhideWhenUsed/>
    <w:qFormat/>
    <w:uiPriority w:val="0"/>
    <w:pPr>
      <w:jc w:val="left"/>
    </w:pPr>
  </w:style>
  <w:style w:type="paragraph" w:styleId="7">
    <w:name w:val="Body Text 3"/>
    <w:basedOn w:val="1"/>
    <w:link w:val="27"/>
    <w:unhideWhenUsed/>
    <w:qFormat/>
    <w:uiPriority w:val="0"/>
    <w:rPr>
      <w:rFonts w:ascii="宋体" w:hAnsi="Times New Roman"/>
      <w:kern w:val="0"/>
      <w:sz w:val="24"/>
      <w:szCs w:val="20"/>
    </w:rPr>
  </w:style>
  <w:style w:type="paragraph" w:styleId="8">
    <w:name w:val="Body Text"/>
    <w:basedOn w:val="1"/>
    <w:next w:val="1"/>
    <w:link w:val="28"/>
    <w:qFormat/>
    <w:uiPriority w:val="0"/>
    <w:pPr>
      <w:spacing w:after="120"/>
    </w:pPr>
    <w:rPr>
      <w:rFonts w:ascii="等线" w:hAnsi="等线"/>
      <w:kern w:val="0"/>
      <w:sz w:val="20"/>
      <w:szCs w:val="24"/>
    </w:rPr>
  </w:style>
  <w:style w:type="paragraph" w:styleId="9">
    <w:name w:val="Body Text Indent"/>
    <w:basedOn w:val="1"/>
    <w:link w:val="29"/>
    <w:qFormat/>
    <w:uiPriority w:val="0"/>
    <w:pPr>
      <w:ind w:firstLine="560" w:firstLineChars="200"/>
    </w:pPr>
    <w:rPr>
      <w:rFonts w:ascii="Times New Roman" w:hAnsi="Times New Roman"/>
      <w:kern w:val="0"/>
      <w:sz w:val="28"/>
      <w:szCs w:val="24"/>
    </w:rPr>
  </w:style>
  <w:style w:type="paragraph" w:styleId="10">
    <w:name w:val="Balloon Text"/>
    <w:basedOn w:val="1"/>
    <w:link w:val="30"/>
    <w:unhideWhenUsed/>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kern w:val="0"/>
      <w:sz w:val="18"/>
      <w:szCs w:val="18"/>
    </w:rPr>
  </w:style>
  <w:style w:type="paragraph" w:styleId="12">
    <w:name w:val="header"/>
    <w:basedOn w:val="1"/>
    <w:link w:val="32"/>
    <w:unhideWhenUsed/>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rPr>
      <w:rFonts w:ascii="Times New Roman" w:hAnsi="Times New Roman" w:cs="Calibri"/>
    </w:rPr>
  </w:style>
  <w:style w:type="paragraph" w:styleId="14">
    <w:name w:val="Normal (Web)"/>
    <w:basedOn w:val="1"/>
    <w:qFormat/>
    <w:uiPriority w:val="0"/>
    <w:pPr>
      <w:jc w:val="left"/>
    </w:pPr>
    <w:rPr>
      <w:rFonts w:ascii="微软雅黑" w:hAnsi="微软雅黑" w:eastAsia="微软雅黑"/>
      <w:kern w:val="0"/>
      <w:sz w:val="20"/>
      <w:szCs w:val="20"/>
    </w:rPr>
  </w:style>
  <w:style w:type="paragraph" w:styleId="15">
    <w:name w:val="annotation subject"/>
    <w:basedOn w:val="6"/>
    <w:next w:val="6"/>
    <w:link w:val="33"/>
    <w:unhideWhenUsed/>
    <w:uiPriority w:val="99"/>
    <w:rPr>
      <w:b/>
      <w:bCs/>
    </w:rPr>
  </w:style>
  <w:style w:type="paragraph" w:styleId="16">
    <w:name w:val="Body Text First Indent"/>
    <w:basedOn w:val="8"/>
    <w:next w:val="17"/>
    <w:link w:val="34"/>
    <w:qFormat/>
    <w:uiPriority w:val="0"/>
    <w:pPr>
      <w:ind w:firstLine="420" w:firstLineChars="100"/>
    </w:pPr>
    <w:rPr>
      <w:rFonts w:ascii="Calibri" w:hAnsi="Calibri"/>
    </w:rPr>
  </w:style>
  <w:style w:type="paragraph" w:styleId="17">
    <w:name w:val="Body Text First Indent 2"/>
    <w:basedOn w:val="9"/>
    <w:link w:val="35"/>
    <w:qFormat/>
    <w:uiPriority w:val="0"/>
    <w:pPr>
      <w:spacing w:line="420" w:lineRule="exact"/>
      <w:ind w:firstLine="420"/>
      <w:jc w:val="left"/>
    </w:pPr>
    <w:rPr>
      <w:rFonts w:ascii="宋体" w:hAnsi="宋体"/>
      <w:color w:val="000000"/>
      <w:sz w:val="24"/>
      <w:szCs w:val="18"/>
    </w:rPr>
  </w:style>
  <w:style w:type="character" w:styleId="20">
    <w:name w:val="page number"/>
    <w:unhideWhenUsed/>
    <w:qFormat/>
    <w:uiPriority w:val="0"/>
    <w:rPr>
      <w:rFonts w:hint="default" w:ascii="Calibri" w:hAnsi="Calibri" w:eastAsia="宋体" w:cs="Calibri"/>
    </w:rPr>
  </w:style>
  <w:style w:type="character" w:styleId="21">
    <w:name w:val="Hyperlink"/>
    <w:unhideWhenUsed/>
    <w:qFormat/>
    <w:uiPriority w:val="99"/>
    <w:rPr>
      <w:rFonts w:hint="default" w:ascii="Calibri" w:hAnsi="Calibri" w:eastAsia="宋体" w:cs="Calibri"/>
      <w:color w:val="0000FF"/>
      <w:u w:val="single"/>
    </w:rPr>
  </w:style>
  <w:style w:type="character" w:styleId="22">
    <w:name w:val="annotation reference"/>
    <w:unhideWhenUsed/>
    <w:qFormat/>
    <w:uiPriority w:val="0"/>
    <w:rPr>
      <w:sz w:val="21"/>
      <w:szCs w:val="21"/>
    </w:rPr>
  </w:style>
  <w:style w:type="character" w:customStyle="1" w:styleId="23">
    <w:name w:val="标题 1 Char"/>
    <w:link w:val="3"/>
    <w:uiPriority w:val="0"/>
    <w:rPr>
      <w:rFonts w:ascii="Times New Roman" w:hAnsi="Times New Roman"/>
      <w:b/>
      <w:kern w:val="44"/>
      <w:sz w:val="44"/>
    </w:rPr>
  </w:style>
  <w:style w:type="character" w:customStyle="1" w:styleId="24">
    <w:name w:val="标题 2 Char"/>
    <w:link w:val="4"/>
    <w:uiPriority w:val="0"/>
    <w:rPr>
      <w:rFonts w:ascii="Arial" w:hAnsi="Arial" w:eastAsia="黑体"/>
      <w:b/>
      <w:bCs/>
      <w:color w:val="000000"/>
      <w:sz w:val="36"/>
      <w:szCs w:val="32"/>
    </w:rPr>
  </w:style>
  <w:style w:type="character" w:customStyle="1" w:styleId="25">
    <w:name w:val="标题 3 Char"/>
    <w:link w:val="5"/>
    <w:uiPriority w:val="0"/>
    <w:rPr>
      <w:rFonts w:ascii="Times New Roman" w:hAnsi="Times New Roman" w:eastAsia="黑体"/>
      <w:b/>
      <w:bCs/>
      <w:color w:val="800000"/>
      <w:sz w:val="32"/>
      <w:szCs w:val="32"/>
    </w:rPr>
  </w:style>
  <w:style w:type="character" w:customStyle="1" w:styleId="26">
    <w:name w:val="批注文字 Char"/>
    <w:link w:val="6"/>
    <w:uiPriority w:val="0"/>
    <w:rPr>
      <w:kern w:val="2"/>
      <w:sz w:val="21"/>
      <w:szCs w:val="22"/>
    </w:rPr>
  </w:style>
  <w:style w:type="character" w:customStyle="1" w:styleId="27">
    <w:name w:val="正文文本 3 Char"/>
    <w:link w:val="7"/>
    <w:uiPriority w:val="0"/>
    <w:rPr>
      <w:rFonts w:ascii="宋体" w:hAnsi="Times New Roman"/>
      <w:sz w:val="24"/>
    </w:rPr>
  </w:style>
  <w:style w:type="character" w:customStyle="1" w:styleId="28">
    <w:name w:val="正文文本 Char"/>
    <w:link w:val="8"/>
    <w:uiPriority w:val="0"/>
    <w:rPr>
      <w:rFonts w:ascii="等线" w:hAnsi="等线"/>
      <w:szCs w:val="24"/>
    </w:rPr>
  </w:style>
  <w:style w:type="character" w:customStyle="1" w:styleId="29">
    <w:name w:val="正文文本缩进 Char"/>
    <w:link w:val="9"/>
    <w:uiPriority w:val="0"/>
    <w:rPr>
      <w:rFonts w:ascii="Times New Roman" w:hAnsi="Times New Roman"/>
      <w:sz w:val="28"/>
      <w:szCs w:val="24"/>
    </w:rPr>
  </w:style>
  <w:style w:type="character" w:customStyle="1" w:styleId="30">
    <w:name w:val="批注框文本 Char"/>
    <w:link w:val="10"/>
    <w:semiHidden/>
    <w:uiPriority w:val="99"/>
    <w:rPr>
      <w:kern w:val="2"/>
      <w:sz w:val="18"/>
      <w:szCs w:val="18"/>
    </w:rPr>
  </w:style>
  <w:style w:type="character" w:customStyle="1" w:styleId="31">
    <w:name w:val="页脚 Char"/>
    <w:link w:val="11"/>
    <w:uiPriority w:val="99"/>
    <w:rPr>
      <w:sz w:val="18"/>
      <w:szCs w:val="18"/>
    </w:rPr>
  </w:style>
  <w:style w:type="character" w:customStyle="1" w:styleId="32">
    <w:name w:val="页眉 Char"/>
    <w:link w:val="12"/>
    <w:uiPriority w:val="99"/>
    <w:rPr>
      <w:sz w:val="18"/>
      <w:szCs w:val="18"/>
    </w:rPr>
  </w:style>
  <w:style w:type="character" w:customStyle="1" w:styleId="33">
    <w:name w:val="批注主题 Char"/>
    <w:link w:val="15"/>
    <w:semiHidden/>
    <w:uiPriority w:val="99"/>
    <w:rPr>
      <w:b/>
      <w:bCs/>
      <w:kern w:val="2"/>
      <w:sz w:val="21"/>
      <w:szCs w:val="22"/>
    </w:rPr>
  </w:style>
  <w:style w:type="character" w:customStyle="1" w:styleId="34">
    <w:name w:val="正文首行缩进 Char"/>
    <w:basedOn w:val="28"/>
    <w:link w:val="16"/>
    <w:uiPriority w:val="0"/>
  </w:style>
  <w:style w:type="character" w:customStyle="1" w:styleId="35">
    <w:name w:val="正文首行缩进 2 Char"/>
    <w:link w:val="17"/>
    <w:uiPriority w:val="0"/>
    <w:rPr>
      <w:rFonts w:ascii="宋体" w:hAnsi="宋体"/>
      <w:color w:val="000000"/>
      <w:sz w:val="24"/>
      <w:szCs w:val="18"/>
    </w:rPr>
  </w:style>
  <w:style w:type="paragraph" w:styleId="36">
    <w:name w:val="List Paragraph"/>
    <w:basedOn w:val="1"/>
    <w:qFormat/>
    <w:uiPriority w:val="34"/>
    <w:pPr>
      <w:ind w:firstLine="420" w:firstLineChars="200"/>
    </w:pPr>
    <w:rPr>
      <w:rFonts w:ascii="Times New Roman" w:hAnsi="Times New Roman"/>
    </w:rPr>
  </w:style>
  <w:style w:type="paragraph" w:customStyle="1" w:styleId="37">
    <w:name w:val="TOC 标题1"/>
    <w:basedOn w:val="3"/>
    <w:next w:val="1"/>
    <w:qFormat/>
    <w:uiPriority w:val="0"/>
    <w:pPr>
      <w:widowControl/>
      <w:spacing w:before="480" w:after="0" w:line="276" w:lineRule="auto"/>
      <w:jc w:val="left"/>
      <w:outlineLvl w:val="9"/>
    </w:pPr>
    <w:rPr>
      <w:rFonts w:ascii="Cambria" w:hAnsi="Cambria" w:cs="Calibri"/>
      <w:color w:val="365F91"/>
      <w:kern w:val="0"/>
      <w:sz w:val="28"/>
    </w:rPr>
  </w:style>
  <w:style w:type="paragraph" w:customStyle="1" w:styleId="38">
    <w:name w:val="文一"/>
    <w:basedOn w:val="1"/>
    <w:link w:val="39"/>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39">
    <w:name w:val="文一 Char"/>
    <w:link w:val="38"/>
    <w:uiPriority w:val="0"/>
    <w:rPr>
      <w:rFonts w:ascii="Times New Roman" w:hAnsi="Times New Roman"/>
      <w:spacing w:val="4"/>
      <w:sz w:val="24"/>
      <w:szCs w:val="24"/>
    </w:rPr>
  </w:style>
  <w:style w:type="paragraph" w:customStyle="1" w:styleId="40">
    <w:name w:val="文二"/>
    <w:basedOn w:val="1"/>
    <w:qFormat/>
    <w:uiPriority w:val="0"/>
    <w:rPr>
      <w:rFonts w:ascii="宋体" w:hAnsi="宋体" w:cs="Calibri"/>
      <w:szCs w:val="21"/>
    </w:rPr>
  </w:style>
  <w:style w:type="paragraph" w:customStyle="1" w:styleId="41">
    <w:name w:val="表格文字"/>
    <w:basedOn w:val="1"/>
    <w:next w:val="1"/>
    <w:qFormat/>
    <w:uiPriority w:val="0"/>
    <w:pPr>
      <w:adjustRightInd w:val="0"/>
      <w:spacing w:line="420" w:lineRule="atLeast"/>
      <w:jc w:val="left"/>
    </w:pPr>
    <w:rPr>
      <w:rFonts w:ascii="Times New Roman" w:hAnsi="Times New Roman" w:cs="Calibri"/>
      <w:kern w:val="0"/>
      <w:szCs w:val="20"/>
    </w:rPr>
  </w:style>
  <w:style w:type="paragraph" w:customStyle="1" w:styleId="42">
    <w:name w:val="正文缩进1"/>
    <w:basedOn w:val="1"/>
    <w:qFormat/>
    <w:uiPriority w:val="0"/>
    <w:pPr>
      <w:widowControl/>
      <w:spacing w:line="360" w:lineRule="auto"/>
      <w:ind w:firstLine="420"/>
      <w:jc w:val="left"/>
    </w:pPr>
    <w:rPr>
      <w:rFonts w:ascii="宋体" w:hAnsi="Times New Roman"/>
      <w:kern w:val="0"/>
      <w:sz w:val="20"/>
      <w:szCs w:val="20"/>
    </w:rPr>
  </w:style>
  <w:style w:type="paragraph" w:customStyle="1" w:styleId="43">
    <w:name w:val="_Style 43"/>
    <w:semiHidden/>
    <w:uiPriority w:val="99"/>
    <w:rPr>
      <w:rFonts w:ascii="Calibri" w:hAnsi="Calibri" w:eastAsia="宋体" w:cs="Times New Roman"/>
      <w:kern w:val="2"/>
      <w:sz w:val="21"/>
      <w:szCs w:val="22"/>
      <w:lang w:val="en-US" w:eastAsia="zh-CN" w:bidi="ar-SA"/>
    </w:rPr>
  </w:style>
  <w:style w:type="character" w:customStyle="1" w:styleId="44">
    <w:name w:val="未处理的提及"/>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4278</Words>
  <Characters>24387</Characters>
  <Lines>203</Lines>
  <Paragraphs>57</Paragraphs>
  <TotalTime>6</TotalTime>
  <ScaleCrop>false</ScaleCrop>
  <LinksUpToDate>false</LinksUpToDate>
  <CharactersWithSpaces>28608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2022-03-05T13:06:00Z</dcterms:created>
  <dc:creator>未定义</dc:creator>
  <cp:lastModifiedBy>season</cp:lastModifiedBy>
  <dcterms:modified xsi:type="dcterms:W3CDTF">2022-03-08T08:29:13Z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D7C8488ECA5E4F34BD31296318E618F6</vt:lpwstr>
  </property>
</Properties>
</file>