
<file path=[Content_Types].xml><?xml version="1.0" encoding="utf-8"?>
<Types xmlns="http://schemas.openxmlformats.org/package/2006/content-types">
  <Default Extension="xml" ContentType="application/xml"/>
  <Default Extension="xlsx" ContentType="application/vnd.openxmlformats-officedocument.spreadsheetml.sheet"/>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0"/>
        <w:keepNext w:val="0"/>
        <w:keepLines w:val="0"/>
        <w:pageBreakBefore w:val="0"/>
        <w:widowControl/>
        <w:kinsoku/>
        <w:wordWrap/>
        <w:overflowPunct/>
        <w:topLinePunct w:val="0"/>
        <w:autoSpaceDE/>
        <w:autoSpaceDN/>
        <w:bidi w:val="0"/>
        <w:adjustRightInd/>
        <w:snapToGrid/>
        <w:textAlignment w:val="auto"/>
        <w:outlineLvl w:val="9"/>
        <w:rPr>
          <w:rFonts w:hint="default" w:ascii="Times New Roman" w:hAnsi="Times New Roman" w:cs="Times New Roman" w:eastAsiaTheme="minorEastAsia"/>
          <w:sz w:val="28"/>
          <w:szCs w:val="28"/>
        </w:rPr>
      </w:pPr>
    </w:p>
    <w:p>
      <w:pPr>
        <w:pStyle w:val="40"/>
        <w:keepNext w:val="0"/>
        <w:keepLines w:val="0"/>
        <w:pageBreakBefore w:val="0"/>
        <w:widowControl/>
        <w:kinsoku/>
        <w:wordWrap/>
        <w:overflowPunct/>
        <w:topLinePunct w:val="0"/>
        <w:autoSpaceDE/>
        <w:autoSpaceDN/>
        <w:bidi w:val="0"/>
        <w:adjustRightInd/>
        <w:snapToGrid/>
        <w:textAlignment w:val="auto"/>
        <w:outlineLvl w:val="9"/>
        <w:rPr>
          <w:rFonts w:hint="default" w:ascii="Times New Roman" w:hAnsi="Times New Roman" w:cs="Times New Roman" w:eastAsiaTheme="minorEastAsia"/>
          <w:b/>
          <w:bCs w:val="0"/>
          <w:sz w:val="28"/>
          <w:szCs w:val="28"/>
        </w:rPr>
      </w:pPr>
    </w:p>
    <w:p>
      <w:pPr>
        <w:spacing w:line="276" w:lineRule="auto"/>
        <w:ind w:firstLine="0" w:firstLineChars="0"/>
        <w:jc w:val="center"/>
        <w:rPr>
          <w:rFonts w:hint="eastAsia" w:ascii="楷体" w:hAnsi="楷体" w:eastAsia="楷体" w:cs="Times New Roman"/>
          <w:b/>
          <w:sz w:val="48"/>
          <w:szCs w:val="48"/>
          <w:lang w:val="en-US" w:eastAsia="zh-CN"/>
        </w:rPr>
      </w:pPr>
      <w:r>
        <w:rPr>
          <w:rFonts w:hint="eastAsia" w:ascii="楷体" w:hAnsi="楷体" w:eastAsia="楷体" w:cs="Times New Roman"/>
          <w:b/>
          <w:sz w:val="48"/>
          <w:szCs w:val="48"/>
          <w:lang w:val="en-US" w:eastAsia="zh-CN"/>
        </w:rPr>
        <w:t>桥南街大蕴涌排涝通道改造工程</w:t>
      </w:r>
    </w:p>
    <w:p>
      <w:pPr>
        <w:spacing w:line="276" w:lineRule="auto"/>
        <w:ind w:firstLine="0" w:firstLineChars="0"/>
        <w:jc w:val="center"/>
        <w:rPr>
          <w:rFonts w:hint="eastAsia" w:ascii="楷体" w:hAnsi="楷体" w:eastAsia="楷体"/>
          <w:b/>
          <w:sz w:val="48"/>
          <w:szCs w:val="48"/>
          <w:lang w:val="en-US" w:eastAsia="zh-CN"/>
        </w:rPr>
      </w:pPr>
      <w:r>
        <w:rPr>
          <w:rFonts w:hint="eastAsia" w:ascii="楷体" w:hAnsi="楷体" w:eastAsia="楷体"/>
          <w:b/>
          <w:sz w:val="48"/>
          <w:szCs w:val="48"/>
          <w:lang w:val="en-US" w:eastAsia="zh-CN"/>
        </w:rPr>
        <w:t>初步设计</w:t>
      </w:r>
      <w:r>
        <w:rPr>
          <w:rFonts w:hint="eastAsia" w:ascii="楷体" w:hAnsi="楷体" w:eastAsia="楷体"/>
          <w:b/>
          <w:sz w:val="48"/>
          <w:szCs w:val="48"/>
          <w:highlight w:val="none"/>
          <w:lang w:val="en-US" w:eastAsia="zh-CN"/>
        </w:rPr>
        <w:t>报告</w:t>
      </w:r>
    </w:p>
    <w:p>
      <w:pPr>
        <w:pStyle w:val="40"/>
        <w:outlineLvl w:val="9"/>
        <w:rPr>
          <w:rFonts w:hint="default" w:ascii="Times New Roman" w:hAnsi="Times New Roman" w:cs="Times New Roman" w:eastAsiaTheme="minorEastAsia"/>
          <w:sz w:val="32"/>
          <w:szCs w:val="32"/>
        </w:rPr>
      </w:pPr>
    </w:p>
    <w:p>
      <w:pPr>
        <w:pStyle w:val="40"/>
        <w:outlineLvl w:val="9"/>
        <w:rPr>
          <w:rFonts w:hint="default" w:ascii="Times New Roman" w:hAnsi="Times New Roman" w:cs="Times New Roman" w:eastAsiaTheme="minorEastAsia"/>
          <w:sz w:val="32"/>
          <w:szCs w:val="32"/>
        </w:rPr>
      </w:pPr>
    </w:p>
    <w:p>
      <w:pPr>
        <w:pStyle w:val="40"/>
        <w:outlineLvl w:val="9"/>
        <w:rPr>
          <w:rFonts w:hint="default" w:ascii="Times New Roman" w:hAnsi="Times New Roman" w:cs="Times New Roman" w:eastAsiaTheme="minorEastAsia"/>
          <w:sz w:val="32"/>
          <w:szCs w:val="32"/>
        </w:rPr>
      </w:pPr>
    </w:p>
    <w:p>
      <w:pPr>
        <w:pStyle w:val="40"/>
        <w:outlineLvl w:val="9"/>
        <w:rPr>
          <w:rFonts w:hint="default" w:ascii="Times New Roman" w:hAnsi="Times New Roman" w:cs="Times New Roman" w:eastAsiaTheme="minorEastAsia"/>
          <w:sz w:val="32"/>
          <w:szCs w:val="32"/>
        </w:rPr>
      </w:pPr>
    </w:p>
    <w:p>
      <w:pPr>
        <w:pStyle w:val="40"/>
        <w:outlineLvl w:val="9"/>
        <w:rPr>
          <w:rFonts w:hint="default" w:ascii="Times New Roman" w:hAnsi="Times New Roman" w:cs="Times New Roman" w:eastAsiaTheme="minorEastAsia"/>
          <w:sz w:val="32"/>
          <w:szCs w:val="32"/>
        </w:rPr>
      </w:pPr>
    </w:p>
    <w:p>
      <w:pPr>
        <w:pStyle w:val="40"/>
        <w:outlineLvl w:val="9"/>
        <w:rPr>
          <w:rFonts w:hint="default" w:ascii="Times New Roman" w:hAnsi="Times New Roman" w:cs="Times New Roman" w:eastAsiaTheme="minorEastAsia"/>
          <w:sz w:val="32"/>
          <w:szCs w:val="32"/>
        </w:rPr>
      </w:pPr>
    </w:p>
    <w:p>
      <w:pPr>
        <w:pStyle w:val="40"/>
        <w:outlineLvl w:val="9"/>
        <w:rPr>
          <w:rFonts w:hint="default" w:ascii="Times New Roman" w:hAnsi="Times New Roman" w:cs="Times New Roman" w:eastAsiaTheme="minorEastAsia"/>
          <w:sz w:val="32"/>
          <w:szCs w:val="32"/>
        </w:rPr>
      </w:pPr>
    </w:p>
    <w:p>
      <w:pPr>
        <w:pStyle w:val="40"/>
        <w:outlineLvl w:val="9"/>
        <w:rPr>
          <w:rFonts w:hint="default" w:ascii="Times New Roman" w:hAnsi="Times New Roman" w:cs="Times New Roman" w:eastAsiaTheme="minorEastAsia"/>
          <w:sz w:val="32"/>
          <w:szCs w:val="32"/>
        </w:rPr>
      </w:pPr>
    </w:p>
    <w:p>
      <w:pPr>
        <w:pStyle w:val="40"/>
        <w:outlineLvl w:val="9"/>
        <w:rPr>
          <w:rFonts w:hint="default" w:ascii="Times New Roman" w:hAnsi="Times New Roman" w:cs="Times New Roman" w:eastAsiaTheme="minorEastAsia"/>
          <w:sz w:val="32"/>
          <w:szCs w:val="32"/>
        </w:rPr>
      </w:pPr>
    </w:p>
    <w:p>
      <w:pPr>
        <w:pStyle w:val="40"/>
        <w:outlineLvl w:val="9"/>
        <w:rPr>
          <w:rFonts w:hint="default" w:ascii="Times New Roman" w:hAnsi="Times New Roman" w:cs="Times New Roman" w:eastAsiaTheme="minorEastAsia"/>
          <w:sz w:val="32"/>
          <w:szCs w:val="32"/>
        </w:rPr>
      </w:pPr>
    </w:p>
    <w:p>
      <w:pPr>
        <w:pStyle w:val="40"/>
        <w:outlineLvl w:val="9"/>
        <w:rPr>
          <w:rFonts w:hint="default" w:ascii="Times New Roman" w:hAnsi="Times New Roman" w:cs="Times New Roman" w:eastAsiaTheme="minorEastAsia"/>
          <w:sz w:val="32"/>
          <w:szCs w:val="32"/>
        </w:rPr>
      </w:pPr>
    </w:p>
    <w:p>
      <w:pPr>
        <w:pStyle w:val="40"/>
        <w:outlineLvl w:val="9"/>
        <w:rPr>
          <w:rFonts w:hint="default" w:ascii="Times New Roman" w:hAnsi="Times New Roman" w:cs="Times New Roman" w:eastAsiaTheme="minorEastAsia"/>
          <w:sz w:val="32"/>
          <w:szCs w:val="32"/>
        </w:rPr>
      </w:pPr>
    </w:p>
    <w:p>
      <w:pPr>
        <w:pStyle w:val="40"/>
        <w:outlineLvl w:val="9"/>
        <w:rPr>
          <w:rFonts w:hint="default" w:ascii="Times New Roman" w:hAnsi="Times New Roman" w:cs="Times New Roman" w:eastAsiaTheme="minorEastAsia"/>
          <w:sz w:val="32"/>
          <w:szCs w:val="32"/>
        </w:rPr>
      </w:pPr>
    </w:p>
    <w:p>
      <w:pPr>
        <w:pStyle w:val="40"/>
        <w:outlineLvl w:val="9"/>
        <w:rPr>
          <w:rFonts w:hint="default" w:ascii="Times New Roman" w:hAnsi="Times New Roman" w:cs="Times New Roman" w:eastAsiaTheme="minorEastAsia"/>
          <w:sz w:val="32"/>
          <w:szCs w:val="32"/>
        </w:rPr>
      </w:pPr>
    </w:p>
    <w:p>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黑体" w:hAnsi="黑体" w:eastAsia="黑体" w:cs="黑体"/>
          <w:b/>
          <w:bCs/>
          <w:sz w:val="36"/>
          <w:szCs w:val="36"/>
        </w:rPr>
      </w:pPr>
      <w:r>
        <w:rPr>
          <w:rFonts w:hint="eastAsia" w:ascii="黑体" w:hAnsi="黑体" w:eastAsia="黑体" w:cs="黑体"/>
          <w:b/>
          <w:bCs/>
          <w:sz w:val="36"/>
          <w:szCs w:val="36"/>
          <w:lang w:eastAsia="zh-CN"/>
        </w:rPr>
        <w:t>广东顺境工程设计</w:t>
      </w:r>
      <w:r>
        <w:rPr>
          <w:rFonts w:hint="eastAsia" w:ascii="黑体" w:hAnsi="黑体" w:eastAsia="黑体" w:cs="黑体"/>
          <w:b/>
          <w:bCs/>
          <w:sz w:val="36"/>
          <w:szCs w:val="36"/>
        </w:rPr>
        <w:t>有限公司</w:t>
      </w:r>
    </w:p>
    <w:p>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黑体" w:hAnsi="黑体" w:eastAsia="黑体" w:cs="黑体"/>
          <w:b/>
          <w:bCs/>
          <w:color w:val="auto"/>
          <w:sz w:val="36"/>
          <w:szCs w:val="36"/>
        </w:rPr>
      </w:pPr>
      <w:bookmarkStart w:id="0" w:name="_Toc28533"/>
      <w:bookmarkStart w:id="1" w:name="_Toc22545"/>
      <w:bookmarkStart w:id="2" w:name="_Toc6078"/>
      <w:bookmarkStart w:id="3" w:name="_Toc8892"/>
      <w:bookmarkStart w:id="4" w:name="_Toc30040"/>
      <w:bookmarkStart w:id="5" w:name="_Toc28241"/>
      <w:bookmarkStart w:id="6" w:name="_Toc24540"/>
      <w:bookmarkStart w:id="7" w:name="_Toc22767"/>
      <w:bookmarkStart w:id="8" w:name="_Toc10431"/>
      <w:bookmarkStart w:id="9" w:name="_Toc29475"/>
      <w:bookmarkStart w:id="10" w:name="_Toc143"/>
      <w:bookmarkStart w:id="11" w:name="_Toc12724"/>
      <w:r>
        <w:rPr>
          <w:rFonts w:hint="eastAsia" w:ascii="黑体" w:hAnsi="黑体" w:eastAsia="黑体" w:cs="黑体"/>
          <w:b/>
          <w:bCs/>
          <w:color w:val="auto"/>
          <w:sz w:val="36"/>
          <w:szCs w:val="36"/>
          <w:lang w:eastAsia="zh-CN"/>
        </w:rPr>
        <w:t>二〇二四</w:t>
      </w:r>
      <w:r>
        <w:rPr>
          <w:rFonts w:hint="eastAsia" w:ascii="黑体" w:hAnsi="黑体" w:eastAsia="黑体" w:cs="黑体"/>
          <w:b/>
          <w:bCs/>
          <w:color w:val="auto"/>
          <w:sz w:val="36"/>
          <w:szCs w:val="36"/>
        </w:rPr>
        <w:t>年</w:t>
      </w:r>
      <w:r>
        <w:rPr>
          <w:rFonts w:hint="eastAsia" w:ascii="黑体" w:hAnsi="黑体" w:eastAsia="黑体" w:cs="黑体"/>
          <w:b/>
          <w:bCs/>
          <w:color w:val="auto"/>
          <w:sz w:val="36"/>
          <w:szCs w:val="36"/>
          <w:lang w:val="en-US" w:eastAsia="zh-CN"/>
        </w:rPr>
        <w:t>四</w:t>
      </w:r>
      <w:r>
        <w:rPr>
          <w:rFonts w:hint="eastAsia" w:ascii="黑体" w:hAnsi="黑体" w:eastAsia="黑体" w:cs="黑体"/>
          <w:b/>
          <w:bCs/>
          <w:color w:val="auto"/>
          <w:sz w:val="36"/>
          <w:szCs w:val="36"/>
        </w:rPr>
        <w:t>月</w:t>
      </w:r>
      <w:bookmarkEnd w:id="0"/>
      <w:bookmarkEnd w:id="1"/>
      <w:bookmarkEnd w:id="2"/>
      <w:bookmarkEnd w:id="3"/>
      <w:bookmarkEnd w:id="4"/>
      <w:bookmarkEnd w:id="5"/>
      <w:bookmarkEnd w:id="6"/>
      <w:bookmarkEnd w:id="7"/>
      <w:bookmarkEnd w:id="8"/>
      <w:bookmarkEnd w:id="9"/>
      <w:bookmarkEnd w:id="10"/>
      <w:bookmarkEnd w:id="11"/>
    </w:p>
    <w:p>
      <w:pPr>
        <w:rPr>
          <w:rFonts w:hint="default" w:ascii="Times New Roman" w:hAnsi="Times New Roman" w:cs="Times New Roman" w:eastAsiaTheme="minorEastAsia"/>
          <w:sz w:val="28"/>
          <w:szCs w:val="28"/>
        </w:rPr>
      </w:pPr>
      <w:r>
        <w:rPr>
          <w:rFonts w:hint="default" w:ascii="Times New Roman" w:hAnsi="Times New Roman" w:cs="Times New Roman" w:eastAsiaTheme="minorEastAsia"/>
          <w:sz w:val="28"/>
          <w:szCs w:val="28"/>
        </w:rPr>
        <w:br w:type="page"/>
      </w:r>
    </w:p>
    <w:p>
      <w:pPr>
        <w:spacing w:line="276" w:lineRule="auto"/>
        <w:ind w:firstLine="0" w:firstLineChars="0"/>
        <w:jc w:val="center"/>
        <w:rPr>
          <w:rFonts w:hint="eastAsia" w:ascii="楷体" w:hAnsi="楷体" w:eastAsia="楷体"/>
          <w:b/>
          <w:sz w:val="48"/>
          <w:szCs w:val="48"/>
          <w:lang w:eastAsia="zh-CN"/>
        </w:rPr>
      </w:pPr>
    </w:p>
    <w:p>
      <w:pPr>
        <w:spacing w:line="276" w:lineRule="auto"/>
        <w:ind w:firstLine="0" w:firstLineChars="0"/>
        <w:jc w:val="center"/>
        <w:rPr>
          <w:rFonts w:hint="eastAsia" w:ascii="楷体" w:hAnsi="楷体" w:eastAsia="楷体"/>
          <w:b/>
          <w:sz w:val="48"/>
          <w:szCs w:val="48"/>
          <w:lang w:eastAsia="zh-CN"/>
        </w:rPr>
      </w:pPr>
    </w:p>
    <w:p>
      <w:pPr>
        <w:spacing w:line="276" w:lineRule="auto"/>
        <w:ind w:firstLine="0" w:firstLineChars="0"/>
        <w:jc w:val="center"/>
        <w:rPr>
          <w:rFonts w:hint="eastAsia" w:ascii="楷体" w:hAnsi="楷体" w:eastAsia="楷体" w:cs="Times New Roman"/>
          <w:b/>
          <w:sz w:val="48"/>
          <w:szCs w:val="48"/>
          <w:lang w:eastAsia="zh-CN"/>
        </w:rPr>
      </w:pPr>
      <w:r>
        <w:rPr>
          <w:rFonts w:hint="eastAsia" w:ascii="楷体" w:hAnsi="楷体" w:eastAsia="楷体" w:cs="Times New Roman"/>
          <w:b/>
          <w:sz w:val="48"/>
          <w:szCs w:val="48"/>
          <w:lang w:eastAsia="zh-CN"/>
        </w:rPr>
        <w:t>桥南街大蕴涌排涝通道改造工程</w:t>
      </w:r>
    </w:p>
    <w:p>
      <w:pPr>
        <w:spacing w:line="276" w:lineRule="auto"/>
        <w:ind w:firstLine="0" w:firstLineChars="0"/>
        <w:jc w:val="center"/>
        <w:rPr>
          <w:rFonts w:ascii="楷体" w:hAnsi="楷体" w:eastAsia="楷体"/>
          <w:b/>
          <w:sz w:val="48"/>
          <w:szCs w:val="48"/>
        </w:rPr>
      </w:pPr>
      <w:r>
        <w:rPr>
          <w:rFonts w:hint="eastAsia" w:ascii="楷体" w:hAnsi="楷体" w:eastAsia="楷体"/>
          <w:b/>
          <w:sz w:val="48"/>
          <w:szCs w:val="48"/>
          <w:lang w:val="en-US" w:eastAsia="zh-CN"/>
        </w:rPr>
        <w:t>初步设计</w:t>
      </w:r>
      <w:r>
        <w:rPr>
          <w:rFonts w:hint="eastAsia" w:ascii="楷体" w:hAnsi="楷体" w:eastAsia="楷体"/>
          <w:b/>
          <w:sz w:val="48"/>
          <w:szCs w:val="48"/>
          <w:highlight w:val="none"/>
          <w:lang w:eastAsia="zh-CN"/>
        </w:rPr>
        <w:t>报告</w:t>
      </w:r>
    </w:p>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ascii="楷体" w:hAnsi="楷体" w:eastAsia="楷体"/>
          <w:sz w:val="48"/>
          <w:szCs w:val="48"/>
        </w:rPr>
      </w:pPr>
    </w:p>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ascii="楷体" w:hAnsi="楷体" w:eastAsia="楷体"/>
          <w:b/>
          <w:sz w:val="52"/>
          <w:szCs w:val="52"/>
        </w:rPr>
      </w:pPr>
    </w:p>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sz w:val="36"/>
          <w:szCs w:val="36"/>
        </w:rPr>
      </w:pPr>
    </w:p>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sz w:val="36"/>
          <w:szCs w:val="36"/>
        </w:rPr>
      </w:pPr>
    </w:p>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eastAsia="宋体" w:cs="Times New Roman"/>
          <w:sz w:val="36"/>
          <w:szCs w:val="36"/>
        </w:rPr>
      </w:pPr>
    </w:p>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eastAsia="宋体" w:cs="Times New Roman"/>
          <w:sz w:val="36"/>
          <w:szCs w:val="36"/>
        </w:rPr>
      </w:pPr>
    </w:p>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sz w:val="32"/>
        </w:rPr>
      </w:pPr>
    </w:p>
    <w:p>
      <w:pPr>
        <w:ind w:firstLine="2336" w:firstLineChars="730"/>
        <w:rPr>
          <w:rFonts w:hint="eastAsia" w:ascii="楷体" w:hAnsi="楷体" w:eastAsia="楷体"/>
          <w:color w:val="auto"/>
          <w:sz w:val="32"/>
          <w:szCs w:val="32"/>
          <w:lang w:eastAsia="zh-CN"/>
        </w:rPr>
      </w:pPr>
      <w:r>
        <w:rPr>
          <w:rFonts w:ascii="楷体" w:hAnsi="楷体" w:eastAsia="楷体"/>
          <w:color w:val="auto"/>
          <w:sz w:val="32"/>
          <w:szCs w:val="32"/>
        </w:rPr>
        <w:t>核</w:t>
      </w:r>
      <w:r>
        <w:rPr>
          <w:rFonts w:hint="eastAsia" w:ascii="楷体" w:hAnsi="楷体" w:eastAsia="楷体"/>
          <w:color w:val="auto"/>
          <w:sz w:val="32"/>
          <w:szCs w:val="32"/>
        </w:rPr>
        <w:t xml:space="preserve">  </w:t>
      </w:r>
      <w:r>
        <w:rPr>
          <w:rFonts w:ascii="楷体" w:hAnsi="楷体" w:eastAsia="楷体"/>
          <w:color w:val="auto"/>
          <w:sz w:val="32"/>
          <w:szCs w:val="32"/>
        </w:rPr>
        <w:t>定：</w:t>
      </w:r>
      <w:r>
        <w:rPr>
          <w:rFonts w:hint="eastAsia" w:ascii="楷体" w:hAnsi="楷体" w:eastAsia="楷体"/>
          <w:color w:val="auto"/>
          <w:sz w:val="32"/>
          <w:szCs w:val="32"/>
          <w:lang w:eastAsia="zh-CN"/>
        </w:rPr>
        <w:t>杨</w:t>
      </w:r>
      <w:r>
        <w:rPr>
          <w:rFonts w:hint="eastAsia" w:ascii="楷体" w:hAnsi="楷体" w:eastAsia="楷体"/>
          <w:color w:val="auto"/>
          <w:sz w:val="32"/>
          <w:szCs w:val="32"/>
          <w:lang w:val="en-US" w:eastAsia="zh-CN"/>
        </w:rPr>
        <w:t xml:space="preserve">  </w:t>
      </w:r>
      <w:r>
        <w:rPr>
          <w:rFonts w:hint="eastAsia" w:ascii="楷体" w:hAnsi="楷体" w:eastAsia="楷体"/>
          <w:color w:val="auto"/>
          <w:sz w:val="32"/>
          <w:szCs w:val="32"/>
          <w:lang w:eastAsia="zh-CN"/>
        </w:rPr>
        <w:t>曦</w:t>
      </w:r>
    </w:p>
    <w:p>
      <w:pPr>
        <w:ind w:firstLine="2336" w:firstLineChars="730"/>
        <w:rPr>
          <w:rFonts w:hint="eastAsia" w:ascii="楷体" w:hAnsi="楷体" w:eastAsia="楷体"/>
          <w:color w:val="auto"/>
          <w:sz w:val="32"/>
          <w:szCs w:val="32"/>
          <w:lang w:eastAsia="zh-CN"/>
        </w:rPr>
      </w:pPr>
      <w:r>
        <w:rPr>
          <w:rFonts w:ascii="楷体" w:hAnsi="楷体" w:eastAsia="楷体"/>
          <w:color w:val="auto"/>
          <w:sz w:val="32"/>
          <w:szCs w:val="32"/>
        </w:rPr>
        <w:t>审</w:t>
      </w:r>
      <w:r>
        <w:rPr>
          <w:rFonts w:hint="eastAsia" w:ascii="楷体" w:hAnsi="楷体" w:eastAsia="楷体"/>
          <w:color w:val="auto"/>
          <w:sz w:val="32"/>
          <w:szCs w:val="32"/>
        </w:rPr>
        <w:t xml:space="preserve">  </w:t>
      </w:r>
      <w:r>
        <w:rPr>
          <w:rFonts w:ascii="楷体" w:hAnsi="楷体" w:eastAsia="楷体"/>
          <w:color w:val="auto"/>
          <w:sz w:val="32"/>
          <w:szCs w:val="32"/>
        </w:rPr>
        <w:t>查：</w:t>
      </w:r>
      <w:r>
        <w:rPr>
          <w:rFonts w:hint="eastAsia" w:ascii="楷体" w:hAnsi="楷体" w:eastAsia="楷体"/>
          <w:color w:val="auto"/>
          <w:sz w:val="32"/>
          <w:szCs w:val="32"/>
          <w:lang w:eastAsia="zh-CN"/>
        </w:rPr>
        <w:t>方伟标</w:t>
      </w:r>
    </w:p>
    <w:p>
      <w:pPr>
        <w:ind w:firstLine="2336" w:firstLineChars="730"/>
        <w:rPr>
          <w:rFonts w:hint="eastAsia" w:ascii="楷体" w:hAnsi="楷体" w:eastAsia="楷体"/>
          <w:color w:val="auto"/>
          <w:sz w:val="32"/>
          <w:szCs w:val="32"/>
          <w:lang w:eastAsia="zh-CN"/>
        </w:rPr>
      </w:pPr>
      <w:r>
        <w:rPr>
          <w:rFonts w:ascii="楷体" w:hAnsi="楷体" w:eastAsia="楷体"/>
          <w:color w:val="auto"/>
          <w:sz w:val="32"/>
          <w:szCs w:val="32"/>
        </w:rPr>
        <w:t>校</w:t>
      </w:r>
      <w:r>
        <w:rPr>
          <w:rFonts w:hint="eastAsia" w:ascii="楷体" w:hAnsi="楷体" w:eastAsia="楷体"/>
          <w:color w:val="auto"/>
          <w:sz w:val="32"/>
          <w:szCs w:val="32"/>
        </w:rPr>
        <w:t xml:space="preserve">  </w:t>
      </w:r>
      <w:r>
        <w:rPr>
          <w:rFonts w:ascii="楷体" w:hAnsi="楷体" w:eastAsia="楷体"/>
          <w:color w:val="auto"/>
          <w:sz w:val="32"/>
          <w:szCs w:val="32"/>
        </w:rPr>
        <w:t>核：</w:t>
      </w:r>
      <w:r>
        <w:rPr>
          <w:rFonts w:hint="eastAsia" w:ascii="楷体" w:hAnsi="楷体" w:eastAsia="楷体"/>
          <w:color w:val="auto"/>
          <w:sz w:val="32"/>
          <w:szCs w:val="32"/>
          <w:lang w:eastAsia="zh-CN"/>
        </w:rPr>
        <w:t>王智华</w:t>
      </w:r>
    </w:p>
    <w:p>
      <w:pPr>
        <w:ind w:firstLine="2336" w:firstLineChars="730"/>
        <w:rPr>
          <w:rFonts w:hint="default" w:ascii="楷体" w:hAnsi="楷体" w:eastAsia="楷体"/>
          <w:color w:val="auto"/>
          <w:sz w:val="32"/>
          <w:szCs w:val="32"/>
          <w:lang w:val="en-US" w:eastAsia="zh-CN"/>
        </w:rPr>
      </w:pPr>
      <w:r>
        <w:rPr>
          <w:rFonts w:ascii="楷体" w:hAnsi="楷体" w:eastAsia="楷体"/>
          <w:color w:val="auto"/>
          <w:sz w:val="32"/>
          <w:szCs w:val="32"/>
        </w:rPr>
        <w:t>编</w:t>
      </w:r>
      <w:r>
        <w:rPr>
          <w:rFonts w:hint="eastAsia" w:ascii="楷体" w:hAnsi="楷体" w:eastAsia="楷体"/>
          <w:color w:val="auto"/>
          <w:sz w:val="32"/>
          <w:szCs w:val="32"/>
        </w:rPr>
        <w:t xml:space="preserve">  </w:t>
      </w:r>
      <w:r>
        <w:rPr>
          <w:rFonts w:ascii="楷体" w:hAnsi="楷体" w:eastAsia="楷体"/>
          <w:color w:val="auto"/>
          <w:sz w:val="32"/>
          <w:szCs w:val="32"/>
        </w:rPr>
        <w:t>写：</w:t>
      </w:r>
      <w:r>
        <w:rPr>
          <w:rFonts w:hint="eastAsia" w:ascii="楷体" w:hAnsi="楷体" w:eastAsia="楷体"/>
          <w:color w:val="auto"/>
          <w:sz w:val="32"/>
          <w:szCs w:val="32"/>
          <w:lang w:val="en-US" w:eastAsia="zh-CN"/>
        </w:rPr>
        <w:t xml:space="preserve">梁志明 廖永雄 </w:t>
      </w:r>
      <w:r>
        <w:rPr>
          <w:rFonts w:hint="eastAsia" w:ascii="楷体" w:hAnsi="楷体" w:eastAsia="楷体"/>
          <w:color w:val="auto"/>
          <w:sz w:val="32"/>
          <w:szCs w:val="32"/>
          <w:lang w:eastAsia="zh-CN"/>
        </w:rPr>
        <w:t>向俾铠</w:t>
      </w:r>
      <w:r>
        <w:rPr>
          <w:rFonts w:hint="eastAsia" w:ascii="楷体" w:hAnsi="楷体" w:eastAsia="楷体"/>
          <w:color w:val="auto"/>
          <w:sz w:val="32"/>
          <w:szCs w:val="32"/>
          <w:lang w:val="en-US" w:eastAsia="zh-CN"/>
        </w:rPr>
        <w:t xml:space="preserve"> 刘媛妮 何守信</w:t>
      </w:r>
    </w:p>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ascii="楷体" w:hAnsi="楷体" w:eastAsia="楷体"/>
          <w:color w:val="0000FF"/>
          <w:sz w:val="32"/>
          <w:szCs w:val="32"/>
        </w:rPr>
      </w:pPr>
    </w:p>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color w:val="0000FF"/>
          <w:sz w:val="36"/>
          <w:szCs w:val="36"/>
        </w:rPr>
      </w:pPr>
    </w:p>
    <w:p>
      <w:pPr>
        <w:spacing w:before="240" w:line="276" w:lineRule="auto"/>
        <w:ind w:firstLine="1233" w:firstLineChars="411"/>
        <w:jc w:val="center"/>
        <w:rPr>
          <w:rFonts w:hint="eastAsia" w:ascii="宋体" w:hAnsi="宋体" w:eastAsia="楷体"/>
          <w:b/>
          <w:bCs/>
          <w:color w:val="auto"/>
          <w:sz w:val="34"/>
          <w:szCs w:val="34"/>
          <w:lang w:eastAsia="zh-CN"/>
        </w:rPr>
      </w:pPr>
      <w:r>
        <w:rPr>
          <w:rFonts w:ascii="楷体" w:hAnsi="楷体" w:eastAsia="楷体"/>
          <w:color w:val="auto"/>
          <w:sz w:val="30"/>
        </w:rPr>
        <w:t>委 托 单 位：</w:t>
      </w:r>
      <w:r>
        <w:rPr>
          <w:rFonts w:hint="eastAsia" w:ascii="楷体" w:hAnsi="楷体" w:eastAsia="楷体"/>
          <w:color w:val="auto"/>
          <w:sz w:val="30"/>
          <w:lang w:eastAsia="zh-CN"/>
        </w:rPr>
        <w:t>广州市番禺区人民政府</w:t>
      </w:r>
      <w:r>
        <w:rPr>
          <w:rFonts w:hint="eastAsia" w:ascii="楷体" w:hAnsi="楷体" w:eastAsia="楷体"/>
          <w:color w:val="auto"/>
          <w:sz w:val="30"/>
          <w:lang w:val="en-US" w:eastAsia="zh-CN"/>
        </w:rPr>
        <w:t>桥南</w:t>
      </w:r>
      <w:r>
        <w:rPr>
          <w:rFonts w:hint="eastAsia" w:ascii="楷体" w:hAnsi="楷体" w:eastAsia="楷体"/>
          <w:color w:val="auto"/>
          <w:sz w:val="30"/>
          <w:lang w:eastAsia="zh-CN"/>
        </w:rPr>
        <w:t>街道办事处</w:t>
      </w:r>
    </w:p>
    <w:p>
      <w:pPr>
        <w:spacing w:line="276" w:lineRule="auto"/>
        <w:ind w:firstLine="1233" w:firstLineChars="411"/>
        <w:jc w:val="center"/>
        <w:rPr>
          <w:rFonts w:hint="eastAsia" w:ascii="楷体" w:hAnsi="楷体" w:eastAsia="楷体"/>
          <w:color w:val="auto"/>
          <w:sz w:val="30"/>
          <w:lang w:eastAsia="zh-CN"/>
        </w:rPr>
      </w:pPr>
      <w:r>
        <w:rPr>
          <w:rFonts w:ascii="楷体" w:hAnsi="楷体" w:eastAsia="楷体"/>
          <w:color w:val="auto"/>
          <w:sz w:val="30"/>
        </w:rPr>
        <w:t>编 制 单 位：</w:t>
      </w:r>
      <w:r>
        <w:rPr>
          <w:rFonts w:hint="eastAsia" w:ascii="楷体" w:hAnsi="楷体" w:eastAsia="楷体"/>
          <w:color w:val="auto"/>
          <w:sz w:val="30"/>
          <w:lang w:eastAsia="zh-CN"/>
        </w:rPr>
        <w:t>广东顺境工程设计有限公司</w:t>
      </w:r>
    </w:p>
    <w:p>
      <w:pPr>
        <w:bidi w:val="0"/>
        <w:rPr>
          <w:rFonts w:hint="default"/>
        </w:rPr>
      </w:pPr>
      <w:r>
        <w:drawing>
          <wp:inline distT="0" distB="0" distL="114300" distR="114300">
            <wp:extent cx="5324475" cy="7534275"/>
            <wp:effectExtent l="0" t="0" r="9525" b="9525"/>
            <wp:docPr id="2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5"/>
                    <pic:cNvPicPr>
                      <a:picLocks noChangeAspect="1"/>
                    </pic:cNvPicPr>
                  </pic:nvPicPr>
                  <pic:blipFill>
                    <a:blip r:embed="rId11"/>
                    <a:stretch>
                      <a:fillRect/>
                    </a:stretch>
                  </pic:blipFill>
                  <pic:spPr>
                    <a:xfrm>
                      <a:off x="0" y="0"/>
                      <a:ext cx="5324475" cy="7534275"/>
                    </a:xfrm>
                    <a:prstGeom prst="rect">
                      <a:avLst/>
                    </a:prstGeom>
                    <a:noFill/>
                    <a:ln>
                      <a:noFill/>
                    </a:ln>
                  </pic:spPr>
                </pic:pic>
              </a:graphicData>
            </a:graphic>
          </wp:inline>
        </w:drawing>
      </w:r>
    </w:p>
    <w:p>
      <w:pPr>
        <w:rPr>
          <w:rFonts w:hint="default" w:ascii="Times New Roman" w:hAnsi="Times New Roman" w:cs="Times New Roman" w:eastAsiaTheme="minorEastAsia"/>
          <w:sz w:val="28"/>
          <w:szCs w:val="28"/>
        </w:rPr>
      </w:pPr>
      <w:r>
        <w:rPr>
          <w:rFonts w:hint="default" w:ascii="Times New Roman" w:hAnsi="Times New Roman" w:cs="Times New Roman" w:eastAsiaTheme="minorEastAsia"/>
          <w:sz w:val="28"/>
          <w:szCs w:val="28"/>
        </w:rPr>
        <w:br w:type="page"/>
      </w:r>
    </w:p>
    <w:sdt>
      <w:sdtPr>
        <w:rPr>
          <w:rFonts w:ascii="宋体" w:hAnsi="宋体" w:eastAsia="宋体" w:cs="Times New Roman"/>
          <w:b/>
          <w:bCs/>
          <w:sz w:val="30"/>
          <w:szCs w:val="30"/>
          <w:lang w:val="en-US" w:eastAsia="zh-CN" w:bidi="ar-SA"/>
        </w:rPr>
        <w:id w:val="147453284"/>
        <w15:color w:val="DBDBDB"/>
        <w:docPartObj>
          <w:docPartGallery w:val="Table of Contents"/>
          <w:docPartUnique/>
        </w:docPartObj>
      </w:sdtPr>
      <w:sdtEndPr>
        <w:rPr>
          <w:rFonts w:hint="default" w:ascii="Times New Roman" w:hAnsi="Times New Roman" w:cs="Times New Roman" w:eastAsiaTheme="minorEastAsia"/>
          <w:b/>
          <w:bCs/>
          <w:kern w:val="2"/>
          <w:sz w:val="32"/>
          <w:szCs w:val="28"/>
          <w:lang w:val="en-US" w:eastAsia="zh-CN" w:bidi="ar-SA"/>
        </w:rPr>
      </w:sdtEndPr>
      <w:sdtContent>
        <w:p>
          <w:pPr>
            <w:keepNext w:val="0"/>
            <w:keepLines w:val="0"/>
            <w:pageBreakBefore w:val="0"/>
            <w:widowControl/>
            <w:kinsoku/>
            <w:wordWrap/>
            <w:overflowPunct/>
            <w:topLinePunct w:val="0"/>
            <w:autoSpaceDE/>
            <w:autoSpaceDN/>
            <w:bidi w:val="0"/>
            <w:adjustRightInd/>
            <w:snapToGrid/>
            <w:spacing w:before="0" w:beforeLines="0" w:after="0" w:afterLines="0" w:line="360" w:lineRule="auto"/>
            <w:ind w:left="0" w:leftChars="0" w:right="0" w:rightChars="0" w:firstLine="0" w:firstLineChars="0"/>
            <w:jc w:val="center"/>
            <w:textAlignment w:val="auto"/>
            <w:rPr>
              <w:rFonts w:hint="default" w:ascii="Times New Roman" w:hAnsi="Times New Roman" w:cs="Times New Roman"/>
              <w:b/>
              <w:bCs/>
              <w:sz w:val="30"/>
              <w:szCs w:val="30"/>
            </w:rPr>
          </w:pPr>
          <w:r>
            <w:rPr>
              <w:rFonts w:hint="default" w:ascii="Times New Roman" w:hAnsi="Times New Roman" w:eastAsia="宋体" w:cs="Times New Roman"/>
              <w:b/>
              <w:bCs/>
              <w:sz w:val="30"/>
              <w:szCs w:val="30"/>
            </w:rPr>
            <w:t>目录</w:t>
          </w:r>
        </w:p>
        <w:p>
          <w:pPr>
            <w:pStyle w:val="30"/>
            <w:tabs>
              <w:tab w:val="right" w:leader="dot" w:pos="9071"/>
              <w:tab w:val="clear" w:pos="9061"/>
            </w:tabs>
          </w:pPr>
          <w:r>
            <w:rPr>
              <w:rFonts w:hint="default" w:ascii="Times New Roman" w:hAnsi="Times New Roman" w:eastAsia="黑体" w:cs="Times New Roman"/>
              <w:b w:val="0"/>
              <w:bCs w:val="0"/>
              <w:i w:val="0"/>
              <w:iCs w:val="0"/>
              <w:caps w:val="0"/>
              <w:smallCaps w:val="0"/>
              <w:sz w:val="28"/>
              <w:szCs w:val="28"/>
            </w:rPr>
            <w:fldChar w:fldCharType="begin"/>
          </w:r>
          <w:r>
            <w:rPr>
              <w:rFonts w:hint="default" w:ascii="Times New Roman" w:hAnsi="Times New Roman" w:eastAsia="黑体" w:cs="Times New Roman"/>
              <w:b w:val="0"/>
              <w:bCs w:val="0"/>
              <w:i w:val="0"/>
              <w:iCs w:val="0"/>
              <w:caps w:val="0"/>
              <w:smallCaps w:val="0"/>
              <w:sz w:val="28"/>
              <w:szCs w:val="28"/>
            </w:rPr>
            <w:instrText xml:space="preserve">TOC \o "1-3" \h \u </w:instrText>
          </w:r>
          <w:r>
            <w:rPr>
              <w:rFonts w:hint="default" w:ascii="Times New Roman" w:hAnsi="Times New Roman" w:eastAsia="黑体" w:cs="Times New Roman"/>
              <w:b w:val="0"/>
              <w:bCs w:val="0"/>
              <w:i w:val="0"/>
              <w:iCs w:val="0"/>
              <w:caps w:val="0"/>
              <w:smallCaps w:val="0"/>
              <w:sz w:val="28"/>
              <w:szCs w:val="28"/>
            </w:rPr>
            <w:fldChar w:fldCharType="separate"/>
          </w: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_Toc3332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rPr>
            <w:t xml:space="preserve">1. </w:t>
          </w:r>
          <w:r>
            <w:rPr>
              <w:rFonts w:hint="eastAsia" w:cs="Times New Roman"/>
              <w:bCs w:val="0"/>
              <w:szCs w:val="36"/>
              <w:lang w:eastAsia="zh-CN"/>
            </w:rPr>
            <w:t>综合说明</w:t>
          </w:r>
          <w:r>
            <w:tab/>
          </w:r>
          <w:r>
            <w:fldChar w:fldCharType="begin"/>
          </w:r>
          <w:r>
            <w:instrText xml:space="preserve"> PAGEREF _Toc3332 \h </w:instrText>
          </w:r>
          <w:r>
            <w:fldChar w:fldCharType="separate"/>
          </w:r>
          <w:r>
            <w:t>1</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_Toc22046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1.1. </w:t>
          </w:r>
          <w:r>
            <w:rPr>
              <w:rFonts w:hint="eastAsia"/>
              <w:lang w:val="en-US" w:eastAsia="zh-CN"/>
            </w:rPr>
            <w:t>绪言</w:t>
          </w:r>
          <w:r>
            <w:tab/>
          </w:r>
          <w:r>
            <w:fldChar w:fldCharType="begin"/>
          </w:r>
          <w:r>
            <w:instrText xml:space="preserve"> PAGEREF _Toc22046 \h </w:instrText>
          </w:r>
          <w:r>
            <w:fldChar w:fldCharType="separate"/>
          </w:r>
          <w:r>
            <w:t>1</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_Toc20308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1.1.1. </w:t>
          </w:r>
          <w:r>
            <w:rPr>
              <w:rFonts w:hint="eastAsia" w:ascii="Times New Roman" w:hAnsi="Times New Roman" w:cs="Times New Roman"/>
              <w:lang w:val="en-US" w:eastAsia="zh-CN"/>
            </w:rPr>
            <w:t>区域概况</w:t>
          </w:r>
          <w:r>
            <w:tab/>
          </w:r>
          <w:r>
            <w:fldChar w:fldCharType="begin"/>
          </w:r>
          <w:r>
            <w:instrText xml:space="preserve"> PAGEREF _Toc20308 \h </w:instrText>
          </w:r>
          <w:r>
            <w:fldChar w:fldCharType="separate"/>
          </w:r>
          <w:r>
            <w:t>1</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_Toc10195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1.1.2. </w:t>
          </w:r>
          <w:r>
            <w:rPr>
              <w:rFonts w:hint="eastAsia" w:ascii="Times New Roman" w:hAnsi="Times New Roman" w:cs="Times New Roman"/>
              <w:lang w:val="en-US" w:eastAsia="zh-CN"/>
            </w:rPr>
            <w:t>项目背景</w:t>
          </w:r>
          <w:r>
            <w:tab/>
          </w:r>
          <w:r>
            <w:fldChar w:fldCharType="begin"/>
          </w:r>
          <w:r>
            <w:instrText xml:space="preserve"> PAGEREF _Toc10195 \h </w:instrText>
          </w:r>
          <w:r>
            <w:fldChar w:fldCharType="separate"/>
          </w:r>
          <w:r>
            <w:t>3</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_Toc19680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1.2. 水文</w:t>
          </w:r>
          <w:r>
            <w:tab/>
          </w:r>
          <w:r>
            <w:fldChar w:fldCharType="begin"/>
          </w:r>
          <w:r>
            <w:instrText xml:space="preserve"> PAGEREF _Toc19680 \h </w:instrText>
          </w:r>
          <w:r>
            <w:fldChar w:fldCharType="separate"/>
          </w:r>
          <w:r>
            <w:t>3</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_Toc8524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1.3. 工程地质</w:t>
          </w:r>
          <w:r>
            <w:tab/>
          </w:r>
          <w:r>
            <w:fldChar w:fldCharType="begin"/>
          </w:r>
          <w:r>
            <w:instrText xml:space="preserve"> PAGEREF _Toc8524 \h </w:instrText>
          </w:r>
          <w:r>
            <w:fldChar w:fldCharType="separate"/>
          </w:r>
          <w:r>
            <w:t>3</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_Toc11202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eastAsia="zh-CN"/>
            </w:rPr>
            <w:t>1.3.1. 地形地貌</w:t>
          </w:r>
          <w:r>
            <w:tab/>
          </w:r>
          <w:r>
            <w:fldChar w:fldCharType="begin"/>
          </w:r>
          <w:r>
            <w:instrText xml:space="preserve"> PAGEREF _Toc11202 \h </w:instrText>
          </w:r>
          <w:r>
            <w:fldChar w:fldCharType="separate"/>
          </w:r>
          <w:r>
            <w:t>3</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_Toc15839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1.3.2. 地层岩性及岩土分布</w:t>
          </w:r>
          <w:r>
            <w:tab/>
          </w:r>
          <w:r>
            <w:fldChar w:fldCharType="begin"/>
          </w:r>
          <w:r>
            <w:instrText xml:space="preserve"> PAGEREF _Toc15839 \h </w:instrText>
          </w:r>
          <w:r>
            <w:fldChar w:fldCharType="separate"/>
          </w:r>
          <w:r>
            <w:t>4</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_Toc22774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eastAsia="zh-CN"/>
            </w:rPr>
            <w:t>1.3.3. 地震烈度</w:t>
          </w:r>
          <w:r>
            <w:tab/>
          </w:r>
          <w:r>
            <w:fldChar w:fldCharType="begin"/>
          </w:r>
          <w:r>
            <w:instrText xml:space="preserve"> PAGEREF _Toc22774 \h </w:instrText>
          </w:r>
          <w:r>
            <w:fldChar w:fldCharType="separate"/>
          </w:r>
          <w:r>
            <w:t>4</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_Toc8601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1.4. 工程任务和规模</w:t>
          </w:r>
          <w:r>
            <w:tab/>
          </w:r>
          <w:r>
            <w:fldChar w:fldCharType="begin"/>
          </w:r>
          <w:r>
            <w:instrText xml:space="preserve"> PAGEREF _Toc8601 \h </w:instrText>
          </w:r>
          <w:r>
            <w:fldChar w:fldCharType="separate"/>
          </w:r>
          <w:r>
            <w:t>4</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_Toc3949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1.5. 工程布置及建筑物</w:t>
          </w:r>
          <w:r>
            <w:tab/>
          </w:r>
          <w:r>
            <w:fldChar w:fldCharType="begin"/>
          </w:r>
          <w:r>
            <w:instrText xml:space="preserve"> PAGEREF _Toc3949 \h </w:instrText>
          </w:r>
          <w:r>
            <w:fldChar w:fldCharType="separate"/>
          </w:r>
          <w:r>
            <w:t>4</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_Toc28267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1.5.1. 设计标准及工程等级</w:t>
          </w:r>
          <w:r>
            <w:tab/>
          </w:r>
          <w:r>
            <w:fldChar w:fldCharType="begin"/>
          </w:r>
          <w:r>
            <w:instrText xml:space="preserve"> PAGEREF _Toc28267 \h </w:instrText>
          </w:r>
          <w:r>
            <w:fldChar w:fldCharType="separate"/>
          </w:r>
          <w:r>
            <w:t>4</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_Toc6383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1.5.2. </w:t>
          </w:r>
          <w:r>
            <w:rPr>
              <w:rFonts w:hint="eastAsia" w:ascii="Times New Roman" w:hAnsi="Times New Roman" w:cs="Times New Roman"/>
              <w:lang w:val="en-US" w:eastAsia="zh-CN"/>
            </w:rPr>
            <w:t>主要建筑物设计</w:t>
          </w:r>
          <w:r>
            <w:tab/>
          </w:r>
          <w:r>
            <w:fldChar w:fldCharType="begin"/>
          </w:r>
          <w:r>
            <w:instrText xml:space="preserve"> PAGEREF _Toc6383 \h </w:instrText>
          </w:r>
          <w:r>
            <w:fldChar w:fldCharType="separate"/>
          </w:r>
          <w:r>
            <w:t>5</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_Toc16410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 xml:space="preserve">1.6. </w:t>
          </w:r>
          <w:r>
            <w:rPr>
              <w:rFonts w:hint="eastAsia" w:ascii="Times New Roman" w:hAnsi="Times New Roman"/>
              <w:lang w:val="en-US" w:eastAsia="zh-CN"/>
            </w:rPr>
            <w:t>机电及金属</w:t>
          </w:r>
          <w:r>
            <w:tab/>
          </w:r>
          <w:r>
            <w:fldChar w:fldCharType="begin"/>
          </w:r>
          <w:r>
            <w:instrText xml:space="preserve"> PAGEREF _Toc16410 \h </w:instrText>
          </w:r>
          <w:r>
            <w:fldChar w:fldCharType="separate"/>
          </w:r>
          <w:r>
            <w:t>5</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_Toc7907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1.7. 施工组织设计</w:t>
          </w:r>
          <w:r>
            <w:tab/>
          </w:r>
          <w:r>
            <w:fldChar w:fldCharType="begin"/>
          </w:r>
          <w:r>
            <w:instrText xml:space="preserve"> PAGEREF _Toc7907 \h </w:instrText>
          </w:r>
          <w:r>
            <w:fldChar w:fldCharType="separate"/>
          </w:r>
          <w:r>
            <w:t>5</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_Toc27737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1.8. 建设征地与移民</w:t>
          </w:r>
          <w:r>
            <w:tab/>
          </w:r>
          <w:r>
            <w:fldChar w:fldCharType="begin"/>
          </w:r>
          <w:r>
            <w:instrText xml:space="preserve"> PAGEREF _Toc27737 \h </w:instrText>
          </w:r>
          <w:r>
            <w:fldChar w:fldCharType="separate"/>
          </w:r>
          <w:r>
            <w:t>5</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_Toc21105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 xml:space="preserve">1.9. </w:t>
          </w:r>
          <w:r>
            <w:rPr>
              <w:rFonts w:hint="eastAsia" w:ascii="Times New Roman" w:hAnsi="Times New Roman"/>
              <w:lang w:val="en-US" w:eastAsia="zh-CN"/>
            </w:rPr>
            <w:t>环境影响评价</w:t>
          </w:r>
          <w:r>
            <w:tab/>
          </w:r>
          <w:r>
            <w:fldChar w:fldCharType="begin"/>
          </w:r>
          <w:r>
            <w:instrText xml:space="preserve"> PAGEREF _Toc21105 \h </w:instrText>
          </w:r>
          <w:r>
            <w:fldChar w:fldCharType="separate"/>
          </w:r>
          <w:r>
            <w:t>6</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_Toc20718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 xml:space="preserve">1.10. </w:t>
          </w:r>
          <w:r>
            <w:rPr>
              <w:rFonts w:hint="eastAsia" w:ascii="Times New Roman" w:hAnsi="Times New Roman"/>
              <w:lang w:val="en-US" w:eastAsia="zh-CN"/>
            </w:rPr>
            <w:t>水土保持</w:t>
          </w:r>
          <w:r>
            <w:tab/>
          </w:r>
          <w:r>
            <w:fldChar w:fldCharType="begin"/>
          </w:r>
          <w:r>
            <w:instrText xml:space="preserve"> PAGEREF _Toc20718 \h </w:instrText>
          </w:r>
          <w:r>
            <w:fldChar w:fldCharType="separate"/>
          </w:r>
          <w:r>
            <w:t>6</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_Toc11931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 xml:space="preserve">1.11. </w:t>
          </w:r>
          <w:r>
            <w:rPr>
              <w:rFonts w:hint="eastAsia" w:ascii="Times New Roman" w:hAnsi="Times New Roman"/>
              <w:lang w:val="en-US" w:eastAsia="zh-CN"/>
            </w:rPr>
            <w:t>劳动安全与工业卫生</w:t>
          </w:r>
          <w:r>
            <w:tab/>
          </w:r>
          <w:r>
            <w:fldChar w:fldCharType="begin"/>
          </w:r>
          <w:r>
            <w:instrText xml:space="preserve"> PAGEREF _Toc11931 \h </w:instrText>
          </w:r>
          <w:r>
            <w:fldChar w:fldCharType="separate"/>
          </w:r>
          <w:r>
            <w:t>6</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_Toc2008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 xml:space="preserve">1.12. </w:t>
          </w:r>
          <w:r>
            <w:rPr>
              <w:rFonts w:hint="eastAsia" w:ascii="Times New Roman" w:hAnsi="Times New Roman"/>
              <w:lang w:val="en-US" w:eastAsia="zh-CN"/>
            </w:rPr>
            <w:t>节能评价</w:t>
          </w:r>
          <w:r>
            <w:tab/>
          </w:r>
          <w:r>
            <w:fldChar w:fldCharType="begin"/>
          </w:r>
          <w:r>
            <w:instrText xml:space="preserve"> PAGEREF _Toc2008 \h </w:instrText>
          </w:r>
          <w:r>
            <w:fldChar w:fldCharType="separate"/>
          </w:r>
          <w:r>
            <w:t>6</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_Toc27715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 xml:space="preserve">1.13. </w:t>
          </w:r>
          <w:r>
            <w:rPr>
              <w:rFonts w:hint="eastAsia" w:ascii="Times New Roman" w:hAnsi="Times New Roman"/>
              <w:lang w:val="en-US" w:eastAsia="zh-CN"/>
            </w:rPr>
            <w:t>工程管理</w:t>
          </w:r>
          <w:r>
            <w:tab/>
          </w:r>
          <w:r>
            <w:fldChar w:fldCharType="begin"/>
          </w:r>
          <w:r>
            <w:instrText xml:space="preserve"> PAGEREF _Toc27715 \h </w:instrText>
          </w:r>
          <w:r>
            <w:fldChar w:fldCharType="separate"/>
          </w:r>
          <w:r>
            <w:t>6</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_Toc22990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1.14. </w:t>
          </w:r>
          <w:r>
            <w:rPr>
              <w:rFonts w:hint="eastAsia"/>
              <w:lang w:val="en-US" w:eastAsia="zh-CN"/>
            </w:rPr>
            <w:t>投资估算</w:t>
          </w:r>
          <w:r>
            <w:tab/>
          </w:r>
          <w:r>
            <w:fldChar w:fldCharType="begin"/>
          </w:r>
          <w:r>
            <w:instrText xml:space="preserve"> PAGEREF _Toc22990 \h </w:instrText>
          </w:r>
          <w:r>
            <w:fldChar w:fldCharType="separate"/>
          </w:r>
          <w:r>
            <w:t>7</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_Toc16182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1.15. </w:t>
          </w:r>
          <w:r>
            <w:rPr>
              <w:rFonts w:hint="eastAsia"/>
              <w:lang w:val="en-US" w:eastAsia="zh-CN"/>
            </w:rPr>
            <w:t>经济评价</w:t>
          </w:r>
          <w:r>
            <w:tab/>
          </w:r>
          <w:r>
            <w:fldChar w:fldCharType="begin"/>
          </w:r>
          <w:r>
            <w:instrText xml:space="preserve"> PAGEREF _Toc16182 \h </w:instrText>
          </w:r>
          <w:r>
            <w:fldChar w:fldCharType="separate"/>
          </w:r>
          <w:r>
            <w:t>7</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_Toc18835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1.16. </w:t>
          </w:r>
          <w:r>
            <w:rPr>
              <w:rFonts w:hint="eastAsia"/>
              <w:lang w:val="en-US" w:eastAsia="zh-CN"/>
            </w:rPr>
            <w:t>结论与建议</w:t>
          </w:r>
          <w:r>
            <w:tab/>
          </w:r>
          <w:r>
            <w:fldChar w:fldCharType="begin"/>
          </w:r>
          <w:r>
            <w:instrText xml:space="preserve"> PAGEREF _Toc18835 \h </w:instrText>
          </w:r>
          <w:r>
            <w:fldChar w:fldCharType="separate"/>
          </w:r>
          <w:r>
            <w:t>7</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_Toc27826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1.16.1. </w:t>
          </w:r>
          <w:r>
            <w:rPr>
              <w:rFonts w:hint="eastAsia" w:ascii="Times New Roman" w:hAnsi="Times New Roman" w:cs="Times New Roman"/>
              <w:lang w:val="en-US" w:eastAsia="zh-CN"/>
            </w:rPr>
            <w:t>结论</w:t>
          </w:r>
          <w:r>
            <w:tab/>
          </w:r>
          <w:r>
            <w:fldChar w:fldCharType="begin"/>
          </w:r>
          <w:r>
            <w:instrText xml:space="preserve"> PAGEREF _Toc27826 \h </w:instrText>
          </w:r>
          <w:r>
            <w:fldChar w:fldCharType="separate"/>
          </w:r>
          <w:r>
            <w:t>7</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_Toc9958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1.16.2. </w:t>
          </w:r>
          <w:r>
            <w:rPr>
              <w:rFonts w:hint="eastAsia" w:ascii="Times New Roman" w:hAnsi="Times New Roman" w:cs="Times New Roman"/>
              <w:lang w:val="en-US" w:eastAsia="zh-CN"/>
            </w:rPr>
            <w:t>建议</w:t>
          </w:r>
          <w:r>
            <w:tab/>
          </w:r>
          <w:r>
            <w:fldChar w:fldCharType="begin"/>
          </w:r>
          <w:r>
            <w:instrText xml:space="preserve"> PAGEREF _Toc9958 \h </w:instrText>
          </w:r>
          <w:r>
            <w:fldChar w:fldCharType="separate"/>
          </w:r>
          <w:r>
            <w:t>7</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_Toc3844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2. </w:t>
          </w:r>
          <w:r>
            <w:rPr>
              <w:rFonts w:hint="eastAsia" w:ascii="Times New Roman" w:hAnsi="Times New Roman" w:cs="Times New Roman"/>
              <w:bCs w:val="0"/>
              <w:szCs w:val="36"/>
              <w:lang w:val="en-US" w:eastAsia="zh-CN"/>
            </w:rPr>
            <w:t>水文</w:t>
          </w:r>
          <w:r>
            <w:tab/>
          </w:r>
          <w:r>
            <w:fldChar w:fldCharType="begin"/>
          </w:r>
          <w:r>
            <w:instrText xml:space="preserve"> PAGEREF _Toc3844 \h </w:instrText>
          </w:r>
          <w:r>
            <w:fldChar w:fldCharType="separate"/>
          </w:r>
          <w:r>
            <w:t>8</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_Toc20008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2.1. </w:t>
          </w:r>
          <w:r>
            <w:rPr>
              <w:rFonts w:hint="eastAsia"/>
              <w:lang w:val="en-US" w:eastAsia="zh-CN"/>
            </w:rPr>
            <w:t>流域概况</w:t>
          </w:r>
          <w:r>
            <w:tab/>
          </w:r>
          <w:r>
            <w:fldChar w:fldCharType="begin"/>
          </w:r>
          <w:r>
            <w:instrText xml:space="preserve"> PAGEREF _Toc20008 \h </w:instrText>
          </w:r>
          <w:r>
            <w:fldChar w:fldCharType="separate"/>
          </w:r>
          <w:r>
            <w:t>8</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_Toc14131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2.2. </w:t>
          </w:r>
          <w:r>
            <w:rPr>
              <w:rFonts w:hint="eastAsia"/>
              <w:lang w:val="en-US" w:eastAsia="zh-CN"/>
            </w:rPr>
            <w:t>气象</w:t>
          </w:r>
          <w:r>
            <w:tab/>
          </w:r>
          <w:r>
            <w:fldChar w:fldCharType="begin"/>
          </w:r>
          <w:r>
            <w:instrText xml:space="preserve"> PAGEREF _Toc14131 \h </w:instrText>
          </w:r>
          <w:r>
            <w:fldChar w:fldCharType="separate"/>
          </w:r>
          <w:r>
            <w:t>9</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_Toc8675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2.3. </w:t>
          </w:r>
          <w:r>
            <w:rPr>
              <w:rFonts w:hint="eastAsia"/>
              <w:lang w:val="en-US" w:eastAsia="zh-CN"/>
            </w:rPr>
            <w:t>水文基本资料</w:t>
          </w:r>
          <w:r>
            <w:tab/>
          </w:r>
          <w:r>
            <w:fldChar w:fldCharType="begin"/>
          </w:r>
          <w:r>
            <w:instrText xml:space="preserve"> PAGEREF _Toc8675 \h </w:instrText>
          </w:r>
          <w:r>
            <w:fldChar w:fldCharType="separate"/>
          </w:r>
          <w:r>
            <w:t>10</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_Toc25802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2.4. </w:t>
          </w:r>
          <w:r>
            <w:rPr>
              <w:rFonts w:hint="eastAsia"/>
              <w:lang w:val="en-US" w:eastAsia="zh-CN"/>
            </w:rPr>
            <w:t>径流</w:t>
          </w:r>
          <w:r>
            <w:tab/>
          </w:r>
          <w:r>
            <w:fldChar w:fldCharType="begin"/>
          </w:r>
          <w:r>
            <w:instrText xml:space="preserve"> PAGEREF _Toc25802 \h </w:instrText>
          </w:r>
          <w:r>
            <w:fldChar w:fldCharType="separate"/>
          </w:r>
          <w:r>
            <w:t>12</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_Toc30171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2.5. </w:t>
          </w:r>
          <w:r>
            <w:rPr>
              <w:rFonts w:hint="eastAsia"/>
              <w:lang w:val="en-US" w:eastAsia="zh-CN"/>
            </w:rPr>
            <w:t>暴雨及洪水</w:t>
          </w:r>
          <w:r>
            <w:tab/>
          </w:r>
          <w:r>
            <w:fldChar w:fldCharType="begin"/>
          </w:r>
          <w:r>
            <w:instrText xml:space="preserve"> PAGEREF _Toc30171 \h </w:instrText>
          </w:r>
          <w:r>
            <w:fldChar w:fldCharType="separate"/>
          </w:r>
          <w:r>
            <w:t>12</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_Toc19785 </w:instrText>
          </w:r>
          <w:r>
            <w:rPr>
              <w:rFonts w:hint="default" w:ascii="Times New Roman" w:hAnsi="Times New Roman" w:eastAsia="黑体" w:cs="Times New Roman"/>
              <w:bCs w:val="0"/>
              <w:i w:val="0"/>
              <w:iCs w:val="0"/>
              <w:caps w:val="0"/>
              <w:smallCaps w:val="0"/>
              <w:szCs w:val="28"/>
            </w:rPr>
            <w:fldChar w:fldCharType="separate"/>
          </w:r>
          <w:r>
            <w:rPr>
              <w:rFonts w:hint="default"/>
              <w:lang w:eastAsia="zh-CN"/>
            </w:rPr>
            <w:t xml:space="preserve">2.5.1. </w:t>
          </w:r>
          <w:r>
            <w:rPr>
              <w:rFonts w:hint="eastAsia"/>
              <w:lang w:eastAsia="zh-CN"/>
            </w:rPr>
            <w:t>暴雨特性</w:t>
          </w:r>
          <w:r>
            <w:tab/>
          </w:r>
          <w:r>
            <w:fldChar w:fldCharType="begin"/>
          </w:r>
          <w:r>
            <w:instrText xml:space="preserve"> PAGEREF _Toc19785 \h </w:instrText>
          </w:r>
          <w:r>
            <w:fldChar w:fldCharType="separate"/>
          </w:r>
          <w:r>
            <w:t>12</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_Toc8014 </w:instrText>
          </w:r>
          <w:r>
            <w:rPr>
              <w:rFonts w:hint="default" w:ascii="Times New Roman" w:hAnsi="Times New Roman" w:eastAsia="黑体" w:cs="Times New Roman"/>
              <w:bCs w:val="0"/>
              <w:i w:val="0"/>
              <w:iCs w:val="0"/>
              <w:caps w:val="0"/>
              <w:smallCaps w:val="0"/>
              <w:szCs w:val="28"/>
            </w:rPr>
            <w:fldChar w:fldCharType="separate"/>
          </w:r>
          <w:r>
            <w:rPr>
              <w:rFonts w:hint="default"/>
              <w:lang w:eastAsia="zh-CN"/>
            </w:rPr>
            <w:t xml:space="preserve">2.5.2. </w:t>
          </w:r>
          <w:r>
            <w:rPr>
              <w:rFonts w:hint="eastAsia"/>
              <w:highlight w:val="none"/>
              <w:lang w:eastAsia="zh-CN"/>
            </w:rPr>
            <w:t>设计暴雨</w:t>
          </w:r>
          <w:r>
            <w:tab/>
          </w:r>
          <w:r>
            <w:fldChar w:fldCharType="begin"/>
          </w:r>
          <w:r>
            <w:instrText xml:space="preserve"> PAGEREF _Toc8014 \h </w:instrText>
          </w:r>
          <w:r>
            <w:fldChar w:fldCharType="separate"/>
          </w:r>
          <w:r>
            <w:t>13</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_Toc30659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2.5.3. </w:t>
          </w:r>
          <w:r>
            <w:rPr>
              <w:rFonts w:hint="eastAsia"/>
              <w:lang w:val="en-US" w:eastAsia="zh-CN"/>
            </w:rPr>
            <w:t>洪水</w:t>
          </w:r>
          <w:r>
            <w:tab/>
          </w:r>
          <w:r>
            <w:fldChar w:fldCharType="begin"/>
          </w:r>
          <w:r>
            <w:instrText xml:space="preserve"> PAGEREF _Toc30659 \h </w:instrText>
          </w:r>
          <w:r>
            <w:fldChar w:fldCharType="separate"/>
          </w:r>
          <w:r>
            <w:t>14</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_Toc15500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2.5.4. </w:t>
          </w:r>
          <w:r>
            <w:rPr>
              <w:rFonts w:hint="eastAsia"/>
              <w:lang w:val="en-US" w:eastAsia="zh-CN"/>
            </w:rPr>
            <w:t>设计洪水</w:t>
          </w:r>
          <w:r>
            <w:tab/>
          </w:r>
          <w:r>
            <w:fldChar w:fldCharType="begin"/>
          </w:r>
          <w:r>
            <w:instrText xml:space="preserve"> PAGEREF _Toc15500 \h </w:instrText>
          </w:r>
          <w:r>
            <w:fldChar w:fldCharType="separate"/>
          </w:r>
          <w:r>
            <w:t>15</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_Toc5801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2.5.5. </w:t>
          </w:r>
          <w:r>
            <w:rPr>
              <w:rFonts w:hint="eastAsia"/>
              <w:lang w:val="en-US" w:eastAsia="zh-CN"/>
            </w:rPr>
            <w:t>施工期洪水</w:t>
          </w:r>
          <w:r>
            <w:tab/>
          </w:r>
          <w:r>
            <w:fldChar w:fldCharType="begin"/>
          </w:r>
          <w:r>
            <w:instrText xml:space="preserve"> PAGEREF _Toc5801 \h </w:instrText>
          </w:r>
          <w:r>
            <w:fldChar w:fldCharType="separate"/>
          </w:r>
          <w:r>
            <w:t>17</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_Toc5656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2.6. </w:t>
          </w:r>
          <w:r>
            <w:rPr>
              <w:rFonts w:hint="eastAsia"/>
              <w:highlight w:val="none"/>
              <w:lang w:val="en-US" w:eastAsia="zh-CN"/>
            </w:rPr>
            <w:t>潮汐</w:t>
          </w:r>
          <w:r>
            <w:tab/>
          </w:r>
          <w:r>
            <w:fldChar w:fldCharType="begin"/>
          </w:r>
          <w:r>
            <w:instrText xml:space="preserve"> PAGEREF _Toc5656 \h </w:instrText>
          </w:r>
          <w:r>
            <w:fldChar w:fldCharType="separate"/>
          </w:r>
          <w:r>
            <w:t>18</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_Toc6372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2.6.1. </w:t>
          </w:r>
          <w:r>
            <w:rPr>
              <w:rFonts w:hint="eastAsia" w:ascii="Times New Roman" w:cs="Times New Roman"/>
              <w:highlight w:val="none"/>
              <w:lang w:val="en-US" w:eastAsia="zh-CN"/>
            </w:rPr>
            <w:t>潮汐特性</w:t>
          </w:r>
          <w:r>
            <w:tab/>
          </w:r>
          <w:r>
            <w:fldChar w:fldCharType="begin"/>
          </w:r>
          <w:r>
            <w:instrText xml:space="preserve"> PAGEREF _Toc6372 \h </w:instrText>
          </w:r>
          <w:r>
            <w:fldChar w:fldCharType="separate"/>
          </w:r>
          <w:r>
            <w:t>18</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_Toc19942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2.6.2. </w:t>
          </w:r>
          <w:r>
            <w:rPr>
              <w:rFonts w:hint="eastAsia" w:ascii="Times New Roman" w:cs="Times New Roman"/>
              <w:highlight w:val="none"/>
              <w:lang w:val="en-US" w:eastAsia="zh-CN"/>
            </w:rPr>
            <w:t>潮差</w:t>
          </w:r>
          <w:r>
            <w:tab/>
          </w:r>
          <w:r>
            <w:fldChar w:fldCharType="begin"/>
          </w:r>
          <w:r>
            <w:instrText xml:space="preserve"> PAGEREF _Toc19942 \h </w:instrText>
          </w:r>
          <w:r>
            <w:fldChar w:fldCharType="separate"/>
          </w:r>
          <w:r>
            <w:t>19</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_Toc29853 </w:instrText>
          </w:r>
          <w:r>
            <w:rPr>
              <w:rFonts w:hint="default" w:ascii="Times New Roman" w:hAnsi="Times New Roman" w:eastAsia="黑体" w:cs="Times New Roman"/>
              <w:bCs w:val="0"/>
              <w:i w:val="0"/>
              <w:iCs w:val="0"/>
              <w:caps w:val="0"/>
              <w:smallCaps w:val="0"/>
              <w:szCs w:val="28"/>
            </w:rPr>
            <w:fldChar w:fldCharType="separate"/>
          </w:r>
          <w:r>
            <w:rPr>
              <w:rFonts w:hint="default"/>
              <w:lang w:eastAsia="zh-CN"/>
            </w:rPr>
            <w:t xml:space="preserve">2.6.3. </w:t>
          </w:r>
          <w:r>
            <w:rPr>
              <w:rFonts w:hint="eastAsia"/>
              <w:highlight w:val="none"/>
              <w:lang w:eastAsia="zh-CN"/>
            </w:rPr>
            <w:t>设计洪潮水位</w:t>
          </w:r>
          <w:r>
            <w:tab/>
          </w:r>
          <w:r>
            <w:fldChar w:fldCharType="begin"/>
          </w:r>
          <w:r>
            <w:instrText xml:space="preserve"> PAGEREF _Toc29853 \h </w:instrText>
          </w:r>
          <w:r>
            <w:fldChar w:fldCharType="separate"/>
          </w:r>
          <w:r>
            <w:t>19</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_Toc30070 </w:instrText>
          </w:r>
          <w:r>
            <w:rPr>
              <w:rFonts w:hint="default" w:ascii="Times New Roman" w:hAnsi="Times New Roman" w:eastAsia="黑体" w:cs="Times New Roman"/>
              <w:bCs w:val="0"/>
              <w:i w:val="0"/>
              <w:iCs w:val="0"/>
              <w:caps w:val="0"/>
              <w:smallCaps w:val="0"/>
              <w:szCs w:val="28"/>
            </w:rPr>
            <w:fldChar w:fldCharType="separate"/>
          </w:r>
          <w:r>
            <w:rPr>
              <w:rFonts w:hint="default"/>
              <w:lang w:eastAsia="zh-CN"/>
            </w:rPr>
            <w:t xml:space="preserve">2.6.4. </w:t>
          </w:r>
          <w:r>
            <w:rPr>
              <w:rFonts w:hint="eastAsia"/>
              <w:highlight w:val="none"/>
              <w:lang w:eastAsia="zh-CN"/>
            </w:rPr>
            <w:t>涨落潮历时</w:t>
          </w:r>
          <w:r>
            <w:tab/>
          </w:r>
          <w:r>
            <w:fldChar w:fldCharType="begin"/>
          </w:r>
          <w:r>
            <w:instrText xml:space="preserve"> PAGEREF _Toc30070 \h </w:instrText>
          </w:r>
          <w:r>
            <w:fldChar w:fldCharType="separate"/>
          </w:r>
          <w:r>
            <w:t>20</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_Toc356 </w:instrText>
          </w:r>
          <w:r>
            <w:rPr>
              <w:rFonts w:hint="default" w:ascii="Times New Roman" w:hAnsi="Times New Roman" w:eastAsia="黑体" w:cs="Times New Roman"/>
              <w:bCs w:val="0"/>
              <w:i w:val="0"/>
              <w:iCs w:val="0"/>
              <w:caps w:val="0"/>
              <w:smallCaps w:val="0"/>
              <w:szCs w:val="28"/>
            </w:rPr>
            <w:fldChar w:fldCharType="separate"/>
          </w:r>
          <w:r>
            <w:rPr>
              <w:rFonts w:hint="default"/>
              <w:lang w:eastAsia="zh-CN"/>
            </w:rPr>
            <w:t xml:space="preserve">2.6.5. </w:t>
          </w:r>
          <w:r>
            <w:rPr>
              <w:rFonts w:hint="eastAsia"/>
              <w:highlight w:val="none"/>
              <w:lang w:eastAsia="zh-CN"/>
            </w:rPr>
            <w:t>洪潮遭遇</w:t>
          </w:r>
          <w:r>
            <w:tab/>
          </w:r>
          <w:r>
            <w:fldChar w:fldCharType="begin"/>
          </w:r>
          <w:r>
            <w:instrText xml:space="preserve"> PAGEREF _Toc356 \h </w:instrText>
          </w:r>
          <w:r>
            <w:fldChar w:fldCharType="separate"/>
          </w:r>
          <w:r>
            <w:t>20</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_Toc10714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2.7. </w:t>
          </w:r>
          <w:r>
            <w:rPr>
              <w:rFonts w:hint="eastAsia"/>
              <w:highlight w:val="none"/>
              <w:lang w:val="en-US" w:eastAsia="zh-CN"/>
            </w:rPr>
            <w:t>泥沙</w:t>
          </w:r>
          <w:r>
            <w:tab/>
          </w:r>
          <w:r>
            <w:fldChar w:fldCharType="begin"/>
          </w:r>
          <w:r>
            <w:instrText xml:space="preserve"> PAGEREF _Toc10714 \h </w:instrText>
          </w:r>
          <w:r>
            <w:fldChar w:fldCharType="separate"/>
          </w:r>
          <w:r>
            <w:t>20</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_Toc9382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3. </w:t>
          </w:r>
          <w:r>
            <w:rPr>
              <w:rFonts w:hint="eastAsia" w:ascii="Times New Roman" w:hAnsi="Times New Roman" w:cs="Times New Roman"/>
              <w:bCs w:val="0"/>
              <w:szCs w:val="36"/>
              <w:lang w:val="en-US" w:eastAsia="zh-CN"/>
            </w:rPr>
            <w:t>工程地质</w:t>
          </w:r>
          <w:r>
            <w:tab/>
          </w:r>
          <w:r>
            <w:fldChar w:fldCharType="begin"/>
          </w:r>
          <w:r>
            <w:instrText xml:space="preserve"> PAGEREF _Toc9382 \h </w:instrText>
          </w:r>
          <w:r>
            <w:fldChar w:fldCharType="separate"/>
          </w:r>
          <w:r>
            <w:t>21</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_Toc3311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 xml:space="preserve">3.1. </w:t>
          </w:r>
          <w:r>
            <w:rPr>
              <w:rFonts w:hint="eastAsia" w:ascii="Times New Roman" w:hAnsi="Times New Roman"/>
              <w:lang w:val="en-US" w:eastAsia="zh-CN"/>
            </w:rPr>
            <w:t>地形地貌</w:t>
          </w:r>
          <w:r>
            <w:tab/>
          </w:r>
          <w:r>
            <w:fldChar w:fldCharType="begin"/>
          </w:r>
          <w:r>
            <w:instrText xml:space="preserve"> PAGEREF _Toc3311 \h </w:instrText>
          </w:r>
          <w:r>
            <w:fldChar w:fldCharType="separate"/>
          </w:r>
          <w:r>
            <w:t>21</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_Toc27260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 xml:space="preserve">3.2. </w:t>
          </w:r>
          <w:r>
            <w:rPr>
              <w:rFonts w:hint="eastAsia" w:ascii="Times New Roman" w:hAnsi="Times New Roman"/>
              <w:lang w:val="en-US" w:eastAsia="zh-CN"/>
            </w:rPr>
            <w:t>地层岩性</w:t>
          </w:r>
          <w:r>
            <w:tab/>
          </w:r>
          <w:r>
            <w:fldChar w:fldCharType="begin"/>
          </w:r>
          <w:r>
            <w:instrText xml:space="preserve"> PAGEREF _Toc27260 \h </w:instrText>
          </w:r>
          <w:r>
            <w:fldChar w:fldCharType="separate"/>
          </w:r>
          <w:r>
            <w:t>21</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_Toc27979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 xml:space="preserve">3.3. </w:t>
          </w:r>
          <w:r>
            <w:rPr>
              <w:rFonts w:hint="eastAsia" w:ascii="Times New Roman" w:hAnsi="Times New Roman"/>
              <w:lang w:val="en-US" w:eastAsia="zh-CN"/>
            </w:rPr>
            <w:t>地震烈度</w:t>
          </w:r>
          <w:r>
            <w:tab/>
          </w:r>
          <w:r>
            <w:fldChar w:fldCharType="begin"/>
          </w:r>
          <w:r>
            <w:instrText xml:space="preserve"> PAGEREF _Toc27979 \h </w:instrText>
          </w:r>
          <w:r>
            <w:fldChar w:fldCharType="separate"/>
          </w:r>
          <w:r>
            <w:t>22</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_Toc13925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 xml:space="preserve">3.4. </w:t>
          </w:r>
          <w:r>
            <w:rPr>
              <w:rFonts w:hint="eastAsia" w:ascii="Times New Roman" w:hAnsi="Times New Roman"/>
              <w:lang w:val="en-US" w:eastAsia="zh-CN"/>
            </w:rPr>
            <w:t>水文地质</w:t>
          </w:r>
          <w:r>
            <w:tab/>
          </w:r>
          <w:r>
            <w:fldChar w:fldCharType="begin"/>
          </w:r>
          <w:r>
            <w:instrText xml:space="preserve"> PAGEREF _Toc13925 \h </w:instrText>
          </w:r>
          <w:r>
            <w:fldChar w:fldCharType="separate"/>
          </w:r>
          <w:r>
            <w:t>23</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_Toc15026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3.5. </w:t>
          </w:r>
          <w:r>
            <w:rPr>
              <w:rFonts w:hint="eastAsia"/>
              <w:lang w:val="en-US" w:eastAsia="zh-CN"/>
            </w:rPr>
            <w:t>工程地质条件</w:t>
          </w:r>
          <w:r>
            <w:tab/>
          </w:r>
          <w:r>
            <w:fldChar w:fldCharType="begin"/>
          </w:r>
          <w:r>
            <w:instrText xml:space="preserve"> PAGEREF _Toc15026 \h </w:instrText>
          </w:r>
          <w:r>
            <w:fldChar w:fldCharType="separate"/>
          </w:r>
          <w:r>
            <w:t>23</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_Toc21100 </w:instrText>
          </w:r>
          <w:r>
            <w:rPr>
              <w:rFonts w:hint="default" w:ascii="Times New Roman" w:hAnsi="Times New Roman" w:eastAsia="黑体" w:cs="Times New Roman"/>
              <w:bCs w:val="0"/>
              <w:i w:val="0"/>
              <w:iCs w:val="0"/>
              <w:caps w:val="0"/>
              <w:smallCaps w:val="0"/>
              <w:szCs w:val="28"/>
            </w:rPr>
            <w:fldChar w:fldCharType="separate"/>
          </w:r>
          <w:r>
            <w:rPr>
              <w:rFonts w:hint="default"/>
              <w:lang w:eastAsia="zh-CN"/>
            </w:rPr>
            <w:t xml:space="preserve">3.5.1. </w:t>
          </w:r>
          <w:r>
            <w:rPr>
              <w:rFonts w:hint="eastAsia"/>
              <w:lang w:eastAsia="zh-CN"/>
            </w:rPr>
            <w:t>地层岩性及岩土分布</w:t>
          </w:r>
          <w:r>
            <w:tab/>
          </w:r>
          <w:r>
            <w:fldChar w:fldCharType="begin"/>
          </w:r>
          <w:r>
            <w:instrText xml:space="preserve"> PAGEREF _Toc21100 \h </w:instrText>
          </w:r>
          <w:r>
            <w:fldChar w:fldCharType="separate"/>
          </w:r>
          <w:r>
            <w:t>23</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_Toc4875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3.6. </w:t>
          </w:r>
          <w:r>
            <w:rPr>
              <w:rFonts w:hint="eastAsia"/>
              <w:lang w:val="en-US" w:eastAsia="zh-CN"/>
            </w:rPr>
            <w:t>工程地质评价</w:t>
          </w:r>
          <w:r>
            <w:tab/>
          </w:r>
          <w:r>
            <w:fldChar w:fldCharType="begin"/>
          </w:r>
          <w:r>
            <w:instrText xml:space="preserve"> PAGEREF _Toc4875 \h </w:instrText>
          </w:r>
          <w:r>
            <w:fldChar w:fldCharType="separate"/>
          </w:r>
          <w:r>
            <w:t>25</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_Toc6331 </w:instrText>
          </w:r>
          <w:r>
            <w:rPr>
              <w:rFonts w:hint="default" w:ascii="Times New Roman" w:hAnsi="Times New Roman" w:eastAsia="黑体" w:cs="Times New Roman"/>
              <w:bCs w:val="0"/>
              <w:i w:val="0"/>
              <w:iCs w:val="0"/>
              <w:caps w:val="0"/>
              <w:smallCaps w:val="0"/>
              <w:szCs w:val="28"/>
            </w:rPr>
            <w:fldChar w:fldCharType="separate"/>
          </w:r>
          <w:r>
            <w:rPr>
              <w:rFonts w:hint="default"/>
              <w:lang w:eastAsia="zh-CN"/>
            </w:rPr>
            <w:t xml:space="preserve">3.6.1. </w:t>
          </w:r>
          <w:r>
            <w:rPr>
              <w:rFonts w:hint="eastAsia"/>
              <w:lang w:val="en-US" w:eastAsia="zh-CN"/>
            </w:rPr>
            <w:t>堤身质量</w:t>
          </w:r>
          <w:r>
            <w:rPr>
              <w:rFonts w:hint="eastAsia"/>
              <w:lang w:eastAsia="zh-CN"/>
            </w:rPr>
            <w:t>评价</w:t>
          </w:r>
          <w:r>
            <w:tab/>
          </w:r>
          <w:r>
            <w:fldChar w:fldCharType="begin"/>
          </w:r>
          <w:r>
            <w:instrText xml:space="preserve"> PAGEREF _Toc6331 \h </w:instrText>
          </w:r>
          <w:r>
            <w:fldChar w:fldCharType="separate"/>
          </w:r>
          <w:r>
            <w:t>25</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_Toc21550 </w:instrText>
          </w:r>
          <w:r>
            <w:rPr>
              <w:rFonts w:hint="default" w:ascii="Times New Roman" w:hAnsi="Times New Roman" w:eastAsia="黑体" w:cs="Times New Roman"/>
              <w:bCs w:val="0"/>
              <w:i w:val="0"/>
              <w:iCs w:val="0"/>
              <w:caps w:val="0"/>
              <w:smallCaps w:val="0"/>
              <w:szCs w:val="28"/>
            </w:rPr>
            <w:fldChar w:fldCharType="separate"/>
          </w:r>
          <w:r>
            <w:rPr>
              <w:rFonts w:hint="default"/>
              <w:lang w:eastAsia="zh-CN"/>
            </w:rPr>
            <w:t xml:space="preserve">3.6.2. </w:t>
          </w:r>
          <w:r>
            <w:rPr>
              <w:rFonts w:hint="eastAsia"/>
              <w:lang w:eastAsia="zh-CN"/>
            </w:rPr>
            <w:t>地基</w:t>
          </w:r>
          <w:r>
            <w:rPr>
              <w:rFonts w:hint="eastAsia"/>
              <w:lang w:val="en-US" w:eastAsia="zh-CN"/>
            </w:rPr>
            <w:t>处理措施</w:t>
          </w:r>
          <w:r>
            <w:tab/>
          </w:r>
          <w:r>
            <w:fldChar w:fldCharType="begin"/>
          </w:r>
          <w:r>
            <w:instrText xml:space="preserve"> PAGEREF _Toc21550 \h </w:instrText>
          </w:r>
          <w:r>
            <w:fldChar w:fldCharType="separate"/>
          </w:r>
          <w:r>
            <w:t>25</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_Toc4798 </w:instrText>
          </w:r>
          <w:r>
            <w:rPr>
              <w:rFonts w:hint="default" w:ascii="Times New Roman" w:hAnsi="Times New Roman" w:eastAsia="黑体" w:cs="Times New Roman"/>
              <w:bCs w:val="0"/>
              <w:i w:val="0"/>
              <w:iCs w:val="0"/>
              <w:caps w:val="0"/>
              <w:smallCaps w:val="0"/>
              <w:szCs w:val="28"/>
            </w:rPr>
            <w:fldChar w:fldCharType="separate"/>
          </w:r>
          <w:r>
            <w:rPr>
              <w:rFonts w:hint="default" w:eastAsia="黑体"/>
              <w:bCs w:val="0"/>
            </w:rPr>
            <w:t xml:space="preserve">3.6.3. </w:t>
          </w:r>
          <w:r>
            <w:rPr>
              <w:rFonts w:eastAsia="黑体"/>
              <w:bCs w:val="0"/>
            </w:rPr>
            <w:t>桩基参数建议</w:t>
          </w:r>
          <w:r>
            <w:tab/>
          </w:r>
          <w:r>
            <w:fldChar w:fldCharType="begin"/>
          </w:r>
          <w:r>
            <w:instrText xml:space="preserve"> PAGEREF _Toc4798 \h </w:instrText>
          </w:r>
          <w:r>
            <w:fldChar w:fldCharType="separate"/>
          </w:r>
          <w:r>
            <w:t>26</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_Toc16647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3.7. </w:t>
          </w:r>
          <w:r>
            <w:rPr>
              <w:rFonts w:hint="eastAsia"/>
              <w:lang w:val="en-US" w:eastAsia="zh-CN"/>
            </w:rPr>
            <w:t>天然建筑材料</w:t>
          </w:r>
          <w:r>
            <w:tab/>
          </w:r>
          <w:r>
            <w:fldChar w:fldCharType="begin"/>
          </w:r>
          <w:r>
            <w:instrText xml:space="preserve"> PAGEREF _Toc16647 \h </w:instrText>
          </w:r>
          <w:r>
            <w:fldChar w:fldCharType="separate"/>
          </w:r>
          <w:r>
            <w:t>27</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_Toc560 </w:instrText>
          </w:r>
          <w:r>
            <w:rPr>
              <w:rFonts w:hint="default" w:ascii="Times New Roman" w:hAnsi="Times New Roman" w:eastAsia="黑体" w:cs="Times New Roman"/>
              <w:bCs w:val="0"/>
              <w:i w:val="0"/>
              <w:iCs w:val="0"/>
              <w:caps w:val="0"/>
              <w:smallCaps w:val="0"/>
              <w:szCs w:val="28"/>
            </w:rPr>
            <w:fldChar w:fldCharType="separate"/>
          </w:r>
          <w:r>
            <w:rPr>
              <w:rFonts w:hint="default"/>
              <w:lang w:eastAsia="zh-CN"/>
            </w:rPr>
            <w:t xml:space="preserve">3.7.1. </w:t>
          </w:r>
          <w:r>
            <w:rPr>
              <w:rFonts w:hint="eastAsia"/>
              <w:lang w:eastAsia="zh-CN"/>
            </w:rPr>
            <w:t>土料</w:t>
          </w:r>
          <w:r>
            <w:tab/>
          </w:r>
          <w:r>
            <w:fldChar w:fldCharType="begin"/>
          </w:r>
          <w:r>
            <w:instrText xml:space="preserve"> PAGEREF _Toc560 \h </w:instrText>
          </w:r>
          <w:r>
            <w:fldChar w:fldCharType="separate"/>
          </w:r>
          <w:r>
            <w:t>27</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_Toc31965 </w:instrText>
          </w:r>
          <w:r>
            <w:rPr>
              <w:rFonts w:hint="default" w:ascii="Times New Roman" w:hAnsi="Times New Roman" w:eastAsia="黑体" w:cs="Times New Roman"/>
              <w:bCs w:val="0"/>
              <w:i w:val="0"/>
              <w:iCs w:val="0"/>
              <w:caps w:val="0"/>
              <w:smallCaps w:val="0"/>
              <w:szCs w:val="28"/>
            </w:rPr>
            <w:fldChar w:fldCharType="separate"/>
          </w:r>
          <w:r>
            <w:rPr>
              <w:rFonts w:hint="default"/>
              <w:lang w:eastAsia="zh-CN"/>
            </w:rPr>
            <w:t xml:space="preserve">3.7.2. </w:t>
          </w:r>
          <w:r>
            <w:rPr>
              <w:rFonts w:hint="eastAsia"/>
              <w:lang w:eastAsia="zh-CN"/>
            </w:rPr>
            <w:t>砂料</w:t>
          </w:r>
          <w:r>
            <w:tab/>
          </w:r>
          <w:r>
            <w:fldChar w:fldCharType="begin"/>
          </w:r>
          <w:r>
            <w:instrText xml:space="preserve"> PAGEREF _Toc31965 \h </w:instrText>
          </w:r>
          <w:r>
            <w:fldChar w:fldCharType="separate"/>
          </w:r>
          <w:r>
            <w:t>27</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_Toc11214 </w:instrText>
          </w:r>
          <w:r>
            <w:rPr>
              <w:rFonts w:hint="default" w:ascii="Times New Roman" w:hAnsi="Times New Roman" w:eastAsia="黑体" w:cs="Times New Roman"/>
              <w:bCs w:val="0"/>
              <w:i w:val="0"/>
              <w:iCs w:val="0"/>
              <w:caps w:val="0"/>
              <w:smallCaps w:val="0"/>
              <w:szCs w:val="28"/>
            </w:rPr>
            <w:fldChar w:fldCharType="separate"/>
          </w:r>
          <w:r>
            <w:rPr>
              <w:rFonts w:hint="default"/>
              <w:lang w:eastAsia="zh-CN"/>
            </w:rPr>
            <w:t xml:space="preserve">3.7.3. </w:t>
          </w:r>
          <w:r>
            <w:rPr>
              <w:rFonts w:hint="eastAsia"/>
              <w:lang w:eastAsia="zh-CN"/>
            </w:rPr>
            <w:t>石料</w:t>
          </w:r>
          <w:r>
            <w:tab/>
          </w:r>
          <w:r>
            <w:fldChar w:fldCharType="begin"/>
          </w:r>
          <w:r>
            <w:instrText xml:space="preserve"> PAGEREF _Toc11214 \h </w:instrText>
          </w:r>
          <w:r>
            <w:fldChar w:fldCharType="separate"/>
          </w:r>
          <w:r>
            <w:t>28</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_Toc30142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eastAsia="黑体" w:cs="Times New Roman"/>
              <w:bCs/>
              <w:szCs w:val="30"/>
              <w:lang w:val="en-US" w:eastAsia="zh-CN"/>
            </w:rPr>
            <w:t xml:space="preserve">3.8. </w:t>
          </w:r>
          <w:r>
            <w:rPr>
              <w:rFonts w:hint="eastAsia" w:ascii="Times New Roman" w:hAnsi="Times New Roman" w:eastAsia="黑体" w:cs="Times New Roman"/>
              <w:bCs/>
              <w:szCs w:val="30"/>
              <w:lang w:val="en-US" w:eastAsia="zh-CN"/>
            </w:rPr>
            <w:t>结论及建议</w:t>
          </w:r>
          <w:r>
            <w:tab/>
          </w:r>
          <w:r>
            <w:fldChar w:fldCharType="begin"/>
          </w:r>
          <w:r>
            <w:instrText xml:space="preserve"> PAGEREF _Toc30142 \h </w:instrText>
          </w:r>
          <w:r>
            <w:fldChar w:fldCharType="separate"/>
          </w:r>
          <w:r>
            <w:t>28</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_Toc14481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4. </w:t>
          </w:r>
          <w:r>
            <w:rPr>
              <w:rFonts w:hint="eastAsia" w:ascii="Times New Roman" w:hAnsi="Times New Roman" w:cs="Times New Roman"/>
              <w:bCs w:val="0"/>
              <w:szCs w:val="36"/>
              <w:lang w:val="en-US" w:eastAsia="zh-CN"/>
            </w:rPr>
            <w:t>工程任务和规模</w:t>
          </w:r>
          <w:r>
            <w:tab/>
          </w:r>
          <w:r>
            <w:fldChar w:fldCharType="begin"/>
          </w:r>
          <w:r>
            <w:instrText xml:space="preserve"> PAGEREF _Toc14481 \h </w:instrText>
          </w:r>
          <w:r>
            <w:fldChar w:fldCharType="separate"/>
          </w:r>
          <w:r>
            <w:t>29</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_Toc24416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4.1. </w:t>
          </w:r>
          <w:r>
            <w:rPr>
              <w:rFonts w:hint="eastAsia"/>
              <w:lang w:val="en-US" w:eastAsia="zh-CN"/>
            </w:rPr>
            <w:t>现状存在问题</w:t>
          </w:r>
          <w:r>
            <w:tab/>
          </w:r>
          <w:r>
            <w:fldChar w:fldCharType="begin"/>
          </w:r>
          <w:r>
            <w:instrText xml:space="preserve"> PAGEREF _Toc24416 \h </w:instrText>
          </w:r>
          <w:r>
            <w:fldChar w:fldCharType="separate"/>
          </w:r>
          <w:r>
            <w:t>29</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_Toc27018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4.2. </w:t>
          </w:r>
          <w:r>
            <w:rPr>
              <w:rFonts w:hint="eastAsia"/>
              <w:lang w:val="en-US" w:eastAsia="zh-CN"/>
            </w:rPr>
            <w:t>工程建设必要性</w:t>
          </w:r>
          <w:r>
            <w:tab/>
          </w:r>
          <w:r>
            <w:fldChar w:fldCharType="begin"/>
          </w:r>
          <w:r>
            <w:instrText xml:space="preserve"> PAGEREF _Toc27018 \h </w:instrText>
          </w:r>
          <w:r>
            <w:fldChar w:fldCharType="separate"/>
          </w:r>
          <w:r>
            <w:t>30</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_Toc10744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4.3. 工程任务</w:t>
          </w:r>
          <w:r>
            <w:rPr>
              <w:rFonts w:hint="eastAsia"/>
              <w:lang w:val="en-US" w:eastAsia="zh-CN"/>
            </w:rPr>
            <w:t>和规模</w:t>
          </w:r>
          <w:r>
            <w:tab/>
          </w:r>
          <w:r>
            <w:fldChar w:fldCharType="begin"/>
          </w:r>
          <w:r>
            <w:instrText xml:space="preserve"> PAGEREF _Toc10744 \h </w:instrText>
          </w:r>
          <w:r>
            <w:fldChar w:fldCharType="separate"/>
          </w:r>
          <w:r>
            <w:t>30</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_Toc31709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4.3.1. </w:t>
          </w:r>
          <w:r>
            <w:rPr>
              <w:rFonts w:hint="eastAsia" w:ascii="Times New Roman" w:cs="Times New Roman"/>
              <w:lang w:val="en-US" w:eastAsia="zh-CN"/>
            </w:rPr>
            <w:t>工程任务</w:t>
          </w:r>
          <w:r>
            <w:tab/>
          </w:r>
          <w:r>
            <w:fldChar w:fldCharType="begin"/>
          </w:r>
          <w:r>
            <w:instrText xml:space="preserve"> PAGEREF _Toc31709 \h </w:instrText>
          </w:r>
          <w:r>
            <w:fldChar w:fldCharType="separate"/>
          </w:r>
          <w:r>
            <w:t>30</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_Toc31953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4.3.2. </w:t>
          </w:r>
          <w:r>
            <w:rPr>
              <w:rFonts w:hint="eastAsia" w:cs="Times New Roman"/>
              <w:lang w:val="en-US" w:eastAsia="zh-CN"/>
            </w:rPr>
            <w:t>工程规模</w:t>
          </w:r>
          <w:r>
            <w:tab/>
          </w:r>
          <w:r>
            <w:fldChar w:fldCharType="begin"/>
          </w:r>
          <w:r>
            <w:instrText xml:space="preserve"> PAGEREF _Toc31953 \h </w:instrText>
          </w:r>
          <w:r>
            <w:fldChar w:fldCharType="separate"/>
          </w:r>
          <w:r>
            <w:t>30</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_Toc17783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4.3.3. </w:t>
          </w:r>
          <w:r>
            <w:rPr>
              <w:rFonts w:hint="eastAsia" w:cs="Times New Roman"/>
              <w:lang w:val="en-US" w:eastAsia="zh-CN"/>
            </w:rPr>
            <w:t>设计标准</w:t>
          </w:r>
          <w:r>
            <w:tab/>
          </w:r>
          <w:r>
            <w:fldChar w:fldCharType="begin"/>
          </w:r>
          <w:r>
            <w:instrText xml:space="preserve"> PAGEREF _Toc17783 \h </w:instrText>
          </w:r>
          <w:r>
            <w:fldChar w:fldCharType="separate"/>
          </w:r>
          <w:r>
            <w:t>30</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_Toc15028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4.4. </w:t>
          </w:r>
          <w:r>
            <w:rPr>
              <w:rFonts w:hint="eastAsia" w:ascii="Times New Roman" w:hAnsi="Times New Roman" w:cs="Times New Roman"/>
              <w:lang w:val="en-US" w:eastAsia="zh-CN"/>
            </w:rPr>
            <w:t>河道水面线计算</w:t>
          </w:r>
          <w:r>
            <w:tab/>
          </w:r>
          <w:r>
            <w:fldChar w:fldCharType="begin"/>
          </w:r>
          <w:r>
            <w:instrText xml:space="preserve"> PAGEREF _Toc15028 \h </w:instrText>
          </w:r>
          <w:r>
            <w:fldChar w:fldCharType="separate"/>
          </w:r>
          <w:r>
            <w:t>31</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_Toc6243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5. </w:t>
          </w:r>
          <w:r>
            <w:rPr>
              <w:rFonts w:hint="eastAsia" w:ascii="Times New Roman" w:hAnsi="Times New Roman" w:cs="Times New Roman"/>
              <w:bCs w:val="0"/>
              <w:szCs w:val="36"/>
              <w:lang w:val="en-US" w:eastAsia="zh-CN"/>
            </w:rPr>
            <w:t>工程布置及建筑物</w:t>
          </w:r>
          <w:r>
            <w:tab/>
          </w:r>
          <w:r>
            <w:fldChar w:fldCharType="begin"/>
          </w:r>
          <w:r>
            <w:instrText xml:space="preserve"> PAGEREF _Toc6243 \h </w:instrText>
          </w:r>
          <w:r>
            <w:fldChar w:fldCharType="separate"/>
          </w:r>
          <w:r>
            <w:t>33</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_Toc1621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5.1. </w:t>
          </w:r>
          <w:r>
            <w:rPr>
              <w:rFonts w:hint="eastAsia"/>
              <w:lang w:val="en-US" w:eastAsia="zh-CN"/>
            </w:rPr>
            <w:t>设计依据</w:t>
          </w:r>
          <w:r>
            <w:tab/>
          </w:r>
          <w:r>
            <w:fldChar w:fldCharType="begin"/>
          </w:r>
          <w:r>
            <w:instrText xml:space="preserve"> PAGEREF _Toc1621 \h </w:instrText>
          </w:r>
          <w:r>
            <w:fldChar w:fldCharType="separate"/>
          </w:r>
          <w:r>
            <w:t>33</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_Toc10741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5.2. </w:t>
          </w:r>
          <w:r>
            <w:rPr>
              <w:rFonts w:hint="eastAsia" w:ascii="Times New Roman" w:hAnsi="Times New Roman" w:cs="Times New Roman"/>
              <w:lang w:val="en-US" w:eastAsia="zh-CN"/>
            </w:rPr>
            <w:t>工程等级和标准</w:t>
          </w:r>
          <w:r>
            <w:tab/>
          </w:r>
          <w:r>
            <w:fldChar w:fldCharType="begin"/>
          </w:r>
          <w:r>
            <w:instrText xml:space="preserve"> PAGEREF _Toc10741 \h </w:instrText>
          </w:r>
          <w:r>
            <w:fldChar w:fldCharType="separate"/>
          </w:r>
          <w:r>
            <w:t>33</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_Toc12130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5.3. 工程总体布置</w:t>
          </w:r>
          <w:r>
            <w:tab/>
          </w:r>
          <w:r>
            <w:fldChar w:fldCharType="begin"/>
          </w:r>
          <w:r>
            <w:instrText xml:space="preserve"> PAGEREF _Toc12130 \h </w:instrText>
          </w:r>
          <w:r>
            <w:fldChar w:fldCharType="separate"/>
          </w:r>
          <w:r>
            <w:t>34</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_Toc25636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5.3.1. </w:t>
          </w:r>
          <w:r>
            <w:rPr>
              <w:rFonts w:hint="eastAsia" w:ascii="Times New Roman" w:cs="Times New Roman"/>
              <w:highlight w:val="none"/>
              <w:lang w:val="en-US" w:eastAsia="zh-CN"/>
            </w:rPr>
            <w:t>布置原则</w:t>
          </w:r>
          <w:r>
            <w:tab/>
          </w:r>
          <w:r>
            <w:fldChar w:fldCharType="begin"/>
          </w:r>
          <w:r>
            <w:instrText xml:space="preserve"> PAGEREF _Toc25636 \h </w:instrText>
          </w:r>
          <w:r>
            <w:fldChar w:fldCharType="separate"/>
          </w:r>
          <w:r>
            <w:t>34</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_Toc29936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5.3.2. </w:t>
          </w:r>
          <w:r>
            <w:rPr>
              <w:rFonts w:hint="eastAsia" w:ascii="Times New Roman" w:cs="Times New Roman"/>
              <w:highlight w:val="none"/>
              <w:lang w:val="en-US" w:eastAsia="zh-CN"/>
            </w:rPr>
            <w:t>总体布置</w:t>
          </w:r>
          <w:r>
            <w:tab/>
          </w:r>
          <w:r>
            <w:fldChar w:fldCharType="begin"/>
          </w:r>
          <w:r>
            <w:instrText xml:space="preserve"> PAGEREF _Toc29936 \h </w:instrText>
          </w:r>
          <w:r>
            <w:fldChar w:fldCharType="separate"/>
          </w:r>
          <w:r>
            <w:t>34</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_Toc31427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5.4. 堤顶高程</w:t>
          </w:r>
          <w:r>
            <w:tab/>
          </w:r>
          <w:r>
            <w:fldChar w:fldCharType="begin"/>
          </w:r>
          <w:r>
            <w:instrText xml:space="preserve"> PAGEREF _Toc31427 \h </w:instrText>
          </w:r>
          <w:r>
            <w:fldChar w:fldCharType="separate"/>
          </w:r>
          <w:r>
            <w:t>35</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_Toc12370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5.5. </w:t>
          </w:r>
          <w:r>
            <w:rPr>
              <w:rFonts w:hint="eastAsia" w:cs="Times New Roman"/>
              <w:lang w:val="en-US" w:eastAsia="zh-CN"/>
            </w:rPr>
            <w:t>堤型及断面比选</w:t>
          </w:r>
          <w:r>
            <w:tab/>
          </w:r>
          <w:r>
            <w:fldChar w:fldCharType="begin"/>
          </w:r>
          <w:r>
            <w:instrText xml:space="preserve"> PAGEREF _Toc12370 \h </w:instrText>
          </w:r>
          <w:r>
            <w:fldChar w:fldCharType="separate"/>
          </w:r>
          <w:r>
            <w:t>36</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_Toc11134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5.5.1. </w:t>
          </w:r>
          <w:r>
            <w:rPr>
              <w:rFonts w:hint="eastAsia" w:ascii="Times New Roman" w:hAnsi="Times New Roman" w:cs="Times New Roman"/>
              <w:highlight w:val="none"/>
              <w:lang w:val="en-US" w:eastAsia="zh-CN"/>
            </w:rPr>
            <w:t>堤身断面设计</w:t>
          </w:r>
          <w:r>
            <w:tab/>
          </w:r>
          <w:r>
            <w:fldChar w:fldCharType="begin"/>
          </w:r>
          <w:r>
            <w:instrText xml:space="preserve"> PAGEREF _Toc11134 \h </w:instrText>
          </w:r>
          <w:r>
            <w:fldChar w:fldCharType="separate"/>
          </w:r>
          <w:r>
            <w:t>36</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_Toc21406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5.5.2. </w:t>
          </w:r>
          <w:r>
            <w:rPr>
              <w:rFonts w:hint="eastAsia" w:ascii="Times New Roman" w:hAnsi="Times New Roman" w:cs="Times New Roman"/>
              <w:highlight w:val="none"/>
              <w:lang w:val="en-US" w:eastAsia="zh-CN"/>
            </w:rPr>
            <w:t>护岸形式比选</w:t>
          </w:r>
          <w:r>
            <w:tab/>
          </w:r>
          <w:r>
            <w:fldChar w:fldCharType="begin"/>
          </w:r>
          <w:r>
            <w:instrText xml:space="preserve"> PAGEREF _Toc21406 \h </w:instrText>
          </w:r>
          <w:r>
            <w:fldChar w:fldCharType="separate"/>
          </w:r>
          <w:r>
            <w:t>37</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_Toc1733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5.5.3. </w:t>
          </w:r>
          <w:r>
            <w:rPr>
              <w:rFonts w:hint="eastAsia" w:ascii="Times New Roman" w:hAnsi="Times New Roman" w:cs="Times New Roman"/>
              <w:highlight w:val="none"/>
              <w:lang w:val="en-US" w:eastAsia="zh-CN"/>
            </w:rPr>
            <w:t>断面设计</w:t>
          </w:r>
          <w:r>
            <w:tab/>
          </w:r>
          <w:r>
            <w:fldChar w:fldCharType="begin"/>
          </w:r>
          <w:r>
            <w:instrText xml:space="preserve"> PAGEREF _Toc1733 \h </w:instrText>
          </w:r>
          <w:r>
            <w:fldChar w:fldCharType="separate"/>
          </w:r>
          <w:r>
            <w:t>40</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_Toc16749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5.6. </w:t>
          </w:r>
          <w:r>
            <w:rPr>
              <w:rFonts w:hint="eastAsia" w:ascii="Times New Roman" w:hAnsi="Times New Roman" w:cs="Times New Roman"/>
              <w:lang w:val="en-US" w:eastAsia="zh-CN"/>
            </w:rPr>
            <w:t>地基承载力计算</w:t>
          </w:r>
          <w:r>
            <w:tab/>
          </w:r>
          <w:r>
            <w:fldChar w:fldCharType="begin"/>
          </w:r>
          <w:r>
            <w:instrText xml:space="preserve"> PAGEREF _Toc16749 \h </w:instrText>
          </w:r>
          <w:r>
            <w:fldChar w:fldCharType="separate"/>
          </w:r>
          <w:r>
            <w:t>42</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_Toc20748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5.7. </w:t>
          </w:r>
          <w:r>
            <w:rPr>
              <w:rFonts w:hint="eastAsia" w:ascii="Times New Roman" w:hAnsi="Times New Roman" w:cs="Times New Roman"/>
              <w:lang w:val="en-US" w:eastAsia="zh-CN"/>
            </w:rPr>
            <w:t>挡墙稳定计算</w:t>
          </w:r>
          <w:r>
            <w:tab/>
          </w:r>
          <w:r>
            <w:fldChar w:fldCharType="begin"/>
          </w:r>
          <w:r>
            <w:instrText xml:space="preserve"> PAGEREF _Toc20748 \h </w:instrText>
          </w:r>
          <w:r>
            <w:fldChar w:fldCharType="separate"/>
          </w:r>
          <w:r>
            <w:t>43</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_Toc28575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6. </w:t>
          </w:r>
          <w:r>
            <w:rPr>
              <w:rFonts w:hint="eastAsia" w:ascii="Times New Roman" w:hAnsi="Times New Roman" w:cs="Times New Roman"/>
              <w:bCs w:val="0"/>
              <w:szCs w:val="36"/>
              <w:lang w:val="en-US" w:eastAsia="zh-CN"/>
            </w:rPr>
            <w:t>机电及金属</w:t>
          </w:r>
          <w:r>
            <w:tab/>
          </w:r>
          <w:r>
            <w:fldChar w:fldCharType="begin"/>
          </w:r>
          <w:r>
            <w:instrText xml:space="preserve"> PAGEREF _Toc28575 \h </w:instrText>
          </w:r>
          <w:r>
            <w:fldChar w:fldCharType="separate"/>
          </w:r>
          <w:r>
            <w:t>44</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_Toc18181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7. </w:t>
          </w:r>
          <w:r>
            <w:rPr>
              <w:rFonts w:hint="eastAsia" w:ascii="Times New Roman" w:hAnsi="Times New Roman" w:cs="Times New Roman"/>
              <w:bCs w:val="0"/>
              <w:szCs w:val="36"/>
              <w:lang w:val="en-US" w:eastAsia="zh-CN"/>
            </w:rPr>
            <w:t>施工组织设计</w:t>
          </w:r>
          <w:r>
            <w:tab/>
          </w:r>
          <w:r>
            <w:fldChar w:fldCharType="begin"/>
          </w:r>
          <w:r>
            <w:instrText xml:space="preserve"> PAGEREF _Toc18181 \h </w:instrText>
          </w:r>
          <w:r>
            <w:fldChar w:fldCharType="separate"/>
          </w:r>
          <w:r>
            <w:t>45</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_Toc5411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7.1. </w:t>
          </w:r>
          <w:r>
            <w:rPr>
              <w:rFonts w:hint="eastAsia" w:ascii="Times New Roman" w:hAnsi="Times New Roman" w:cs="Times New Roman"/>
              <w:highlight w:val="none"/>
              <w:lang w:val="en-US" w:eastAsia="zh-CN"/>
            </w:rPr>
            <w:t>施工条件</w:t>
          </w:r>
          <w:r>
            <w:tab/>
          </w:r>
          <w:r>
            <w:fldChar w:fldCharType="begin"/>
          </w:r>
          <w:r>
            <w:instrText xml:space="preserve"> PAGEREF _Toc5411 \h </w:instrText>
          </w:r>
          <w:r>
            <w:fldChar w:fldCharType="separate"/>
          </w:r>
          <w:r>
            <w:t>45</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_Toc9416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7.2. </w:t>
          </w:r>
          <w:r>
            <w:rPr>
              <w:rFonts w:hint="eastAsia" w:ascii="Times New Roman" w:hAnsi="Times New Roman" w:cs="Times New Roman"/>
              <w:lang w:val="en-US" w:eastAsia="zh-CN"/>
            </w:rPr>
            <w:t>施工导截流</w:t>
          </w:r>
          <w:r>
            <w:tab/>
          </w:r>
          <w:r>
            <w:fldChar w:fldCharType="begin"/>
          </w:r>
          <w:r>
            <w:instrText xml:space="preserve"> PAGEREF _Toc9416 \h </w:instrText>
          </w:r>
          <w:r>
            <w:fldChar w:fldCharType="separate"/>
          </w:r>
          <w:r>
            <w:t>45</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_Toc25362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7.3. </w:t>
          </w:r>
          <w:r>
            <w:rPr>
              <w:rFonts w:hint="eastAsia" w:ascii="Times New Roman" w:hAnsi="Times New Roman" w:cs="Times New Roman"/>
              <w:lang w:val="en-US" w:eastAsia="zh-CN"/>
            </w:rPr>
            <w:t>施工总体布置</w:t>
          </w:r>
          <w:r>
            <w:tab/>
          </w:r>
          <w:r>
            <w:fldChar w:fldCharType="begin"/>
          </w:r>
          <w:r>
            <w:instrText xml:space="preserve"> PAGEREF _Toc25362 \h </w:instrText>
          </w:r>
          <w:r>
            <w:fldChar w:fldCharType="separate"/>
          </w:r>
          <w:r>
            <w:t>47</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_Toc3833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7.4. </w:t>
          </w:r>
          <w:r>
            <w:rPr>
              <w:rFonts w:hint="eastAsia" w:ascii="Times New Roman" w:hAnsi="Times New Roman" w:cs="Times New Roman"/>
              <w:lang w:val="en-US" w:eastAsia="zh-CN"/>
            </w:rPr>
            <w:t>施工总进度</w:t>
          </w:r>
          <w:r>
            <w:tab/>
          </w:r>
          <w:r>
            <w:fldChar w:fldCharType="begin"/>
          </w:r>
          <w:r>
            <w:instrText xml:space="preserve"> PAGEREF _Toc3833 \h </w:instrText>
          </w:r>
          <w:r>
            <w:fldChar w:fldCharType="separate"/>
          </w:r>
          <w:r>
            <w:t>47</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_Toc2980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8. </w:t>
          </w:r>
          <w:r>
            <w:rPr>
              <w:rFonts w:hint="eastAsia" w:ascii="Times New Roman" w:hAnsi="Times New Roman" w:cs="Times New Roman"/>
              <w:bCs w:val="0"/>
              <w:szCs w:val="36"/>
              <w:highlight w:val="none"/>
              <w:lang w:val="en-US" w:eastAsia="zh-CN"/>
            </w:rPr>
            <w:t>建设征地与移民</w:t>
          </w:r>
          <w:r>
            <w:tab/>
          </w:r>
          <w:r>
            <w:fldChar w:fldCharType="begin"/>
          </w:r>
          <w:r>
            <w:instrText xml:space="preserve"> PAGEREF _Toc2980 \h </w:instrText>
          </w:r>
          <w:r>
            <w:fldChar w:fldCharType="separate"/>
          </w:r>
          <w:r>
            <w:t>48</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_Toc13938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9. </w:t>
          </w:r>
          <w:r>
            <w:rPr>
              <w:rFonts w:hint="eastAsia" w:ascii="Times New Roman" w:hAnsi="Times New Roman" w:cs="Times New Roman"/>
              <w:bCs w:val="0"/>
              <w:szCs w:val="36"/>
              <w:lang w:val="en-US" w:eastAsia="zh-CN"/>
            </w:rPr>
            <w:t>环境影响评价</w:t>
          </w:r>
          <w:r>
            <w:tab/>
          </w:r>
          <w:r>
            <w:fldChar w:fldCharType="begin"/>
          </w:r>
          <w:r>
            <w:instrText xml:space="preserve"> PAGEREF _Toc13938 \h </w:instrText>
          </w:r>
          <w:r>
            <w:fldChar w:fldCharType="separate"/>
          </w:r>
          <w:r>
            <w:t>49</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_Toc11717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9.1. </w:t>
          </w:r>
          <w:r>
            <w:rPr>
              <w:rFonts w:hint="eastAsia" w:ascii="Times New Roman" w:hAnsi="Times New Roman" w:cs="Times New Roman"/>
              <w:lang w:val="en-US" w:eastAsia="zh-CN"/>
            </w:rPr>
            <w:t>评价标准</w:t>
          </w:r>
          <w:r>
            <w:tab/>
          </w:r>
          <w:r>
            <w:fldChar w:fldCharType="begin"/>
          </w:r>
          <w:r>
            <w:instrText xml:space="preserve"> PAGEREF _Toc11717 \h </w:instrText>
          </w:r>
          <w:r>
            <w:fldChar w:fldCharType="separate"/>
          </w:r>
          <w:r>
            <w:t>49</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_Toc4612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9.2. </w:t>
          </w:r>
          <w:r>
            <w:rPr>
              <w:rFonts w:hint="eastAsia" w:ascii="Times New Roman" w:hAnsi="Times New Roman" w:cs="Times New Roman"/>
              <w:lang w:val="en-US" w:eastAsia="zh-CN"/>
            </w:rPr>
            <w:t>环境现状调查与评价</w:t>
          </w:r>
          <w:r>
            <w:tab/>
          </w:r>
          <w:r>
            <w:fldChar w:fldCharType="begin"/>
          </w:r>
          <w:r>
            <w:instrText xml:space="preserve"> PAGEREF _Toc4612 \h </w:instrText>
          </w:r>
          <w:r>
            <w:fldChar w:fldCharType="separate"/>
          </w:r>
          <w:r>
            <w:t>49</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_Toc12883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9.3. </w:t>
          </w:r>
          <w:r>
            <w:rPr>
              <w:rFonts w:hint="eastAsia" w:ascii="Times New Roman" w:hAnsi="Times New Roman" w:cs="Times New Roman"/>
              <w:lang w:val="en-US" w:eastAsia="zh-CN"/>
            </w:rPr>
            <w:t>环境保护目标</w:t>
          </w:r>
          <w:r>
            <w:tab/>
          </w:r>
          <w:r>
            <w:fldChar w:fldCharType="begin"/>
          </w:r>
          <w:r>
            <w:instrText xml:space="preserve"> PAGEREF _Toc12883 \h </w:instrText>
          </w:r>
          <w:r>
            <w:fldChar w:fldCharType="separate"/>
          </w:r>
          <w:r>
            <w:t>50</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_Toc10038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9.4. </w:t>
          </w:r>
          <w:r>
            <w:rPr>
              <w:rFonts w:hint="eastAsia" w:ascii="Times New Roman" w:hAnsi="Times New Roman" w:cs="Times New Roman"/>
              <w:lang w:val="en-US" w:eastAsia="zh-CN"/>
            </w:rPr>
            <w:t>环境影响分析</w:t>
          </w:r>
          <w:r>
            <w:tab/>
          </w:r>
          <w:r>
            <w:fldChar w:fldCharType="begin"/>
          </w:r>
          <w:r>
            <w:instrText xml:space="preserve"> PAGEREF _Toc10038 \h </w:instrText>
          </w:r>
          <w:r>
            <w:fldChar w:fldCharType="separate"/>
          </w:r>
          <w:r>
            <w:t>50</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_Toc20556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9.4.1. </w:t>
          </w:r>
          <w:r>
            <w:rPr>
              <w:rFonts w:hint="eastAsia" w:ascii="Times New Roman" w:cs="Times New Roman"/>
              <w:lang w:val="en-US" w:eastAsia="zh-CN"/>
            </w:rPr>
            <w:t>工程对环境的有利影响</w:t>
          </w:r>
          <w:r>
            <w:tab/>
          </w:r>
          <w:r>
            <w:fldChar w:fldCharType="begin"/>
          </w:r>
          <w:r>
            <w:instrText xml:space="preserve"> PAGEREF _Toc20556 \h </w:instrText>
          </w:r>
          <w:r>
            <w:fldChar w:fldCharType="separate"/>
          </w:r>
          <w:r>
            <w:t>50</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_Toc25150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9.4.2. </w:t>
          </w:r>
          <w:r>
            <w:rPr>
              <w:rFonts w:hint="eastAsia" w:ascii="Times New Roman" w:cs="Times New Roman"/>
              <w:lang w:val="en-US" w:eastAsia="zh-CN"/>
            </w:rPr>
            <w:t>工程对环境的不利影响</w:t>
          </w:r>
          <w:r>
            <w:tab/>
          </w:r>
          <w:r>
            <w:fldChar w:fldCharType="begin"/>
          </w:r>
          <w:r>
            <w:instrText xml:space="preserve"> PAGEREF _Toc25150 \h </w:instrText>
          </w:r>
          <w:r>
            <w:fldChar w:fldCharType="separate"/>
          </w:r>
          <w:r>
            <w:t>51</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_Toc22391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9.5. </w:t>
          </w:r>
          <w:r>
            <w:rPr>
              <w:rFonts w:hint="eastAsia" w:ascii="Times New Roman" w:hAnsi="Times New Roman" w:cs="Times New Roman"/>
              <w:lang w:val="en-US" w:eastAsia="zh-CN"/>
            </w:rPr>
            <w:t>环境保护对策措施</w:t>
          </w:r>
          <w:r>
            <w:tab/>
          </w:r>
          <w:r>
            <w:fldChar w:fldCharType="begin"/>
          </w:r>
          <w:r>
            <w:instrText xml:space="preserve"> PAGEREF _Toc22391 \h </w:instrText>
          </w:r>
          <w:r>
            <w:fldChar w:fldCharType="separate"/>
          </w:r>
          <w:r>
            <w:t>52</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_Toc16009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9.5.1. </w:t>
          </w:r>
          <w:r>
            <w:rPr>
              <w:rFonts w:hint="eastAsia" w:ascii="Times New Roman" w:cs="Times New Roman"/>
              <w:lang w:val="en-US" w:eastAsia="zh-CN"/>
            </w:rPr>
            <w:t>水环境保护措施</w:t>
          </w:r>
          <w:r>
            <w:tab/>
          </w:r>
          <w:r>
            <w:fldChar w:fldCharType="begin"/>
          </w:r>
          <w:r>
            <w:instrText xml:space="preserve"> PAGEREF _Toc16009 \h </w:instrText>
          </w:r>
          <w:r>
            <w:fldChar w:fldCharType="separate"/>
          </w:r>
          <w:r>
            <w:t>52</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_Toc7504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9.5.2. </w:t>
          </w:r>
          <w:r>
            <w:rPr>
              <w:rFonts w:hint="eastAsia" w:ascii="Times New Roman" w:cs="Times New Roman"/>
              <w:lang w:val="en-US" w:eastAsia="zh-CN"/>
            </w:rPr>
            <w:t>气环境保护措施</w:t>
          </w:r>
          <w:r>
            <w:tab/>
          </w:r>
          <w:r>
            <w:fldChar w:fldCharType="begin"/>
          </w:r>
          <w:r>
            <w:instrText xml:space="preserve"> PAGEREF _Toc7504 \h </w:instrText>
          </w:r>
          <w:r>
            <w:fldChar w:fldCharType="separate"/>
          </w:r>
          <w:r>
            <w:t>52</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_Toc19576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9.5.3. </w:t>
          </w:r>
          <w:r>
            <w:rPr>
              <w:rFonts w:hint="eastAsia" w:ascii="Times New Roman" w:cs="Times New Roman"/>
              <w:lang w:val="en-US" w:eastAsia="zh-CN"/>
            </w:rPr>
            <w:t>声环境保护措施</w:t>
          </w:r>
          <w:r>
            <w:tab/>
          </w:r>
          <w:r>
            <w:fldChar w:fldCharType="begin"/>
          </w:r>
          <w:r>
            <w:instrText xml:space="preserve"> PAGEREF _Toc19576 \h </w:instrText>
          </w:r>
          <w:r>
            <w:fldChar w:fldCharType="separate"/>
          </w:r>
          <w:r>
            <w:t>52</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_Toc1588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9.5.4. </w:t>
          </w:r>
          <w:r>
            <w:rPr>
              <w:rFonts w:hint="eastAsia" w:ascii="Times New Roman" w:cs="Times New Roman"/>
              <w:lang w:val="en-US" w:eastAsia="zh-CN"/>
            </w:rPr>
            <w:t>固体废物处理</w:t>
          </w:r>
          <w:r>
            <w:tab/>
          </w:r>
          <w:r>
            <w:fldChar w:fldCharType="begin"/>
          </w:r>
          <w:r>
            <w:instrText xml:space="preserve"> PAGEREF _Toc1588 \h </w:instrText>
          </w:r>
          <w:r>
            <w:fldChar w:fldCharType="separate"/>
          </w:r>
          <w:r>
            <w:t>53</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_Toc18004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9.5.5. </w:t>
          </w:r>
          <w:r>
            <w:rPr>
              <w:rFonts w:hint="eastAsia" w:ascii="Times New Roman" w:cs="Times New Roman"/>
              <w:lang w:val="en-US" w:eastAsia="zh-CN"/>
            </w:rPr>
            <w:t>人群健康保护</w:t>
          </w:r>
          <w:r>
            <w:tab/>
          </w:r>
          <w:r>
            <w:fldChar w:fldCharType="begin"/>
          </w:r>
          <w:r>
            <w:instrText xml:space="preserve"> PAGEREF _Toc18004 \h </w:instrText>
          </w:r>
          <w:r>
            <w:fldChar w:fldCharType="separate"/>
          </w:r>
          <w:r>
            <w:t>53</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_Toc13610 </w:instrText>
          </w:r>
          <w:r>
            <w:rPr>
              <w:rFonts w:hint="default" w:ascii="Times New Roman" w:hAnsi="Times New Roman" w:eastAsia="黑体" w:cs="Times New Roman"/>
              <w:bCs w:val="0"/>
              <w:i w:val="0"/>
              <w:iCs w:val="0"/>
              <w:caps w:val="0"/>
              <w:smallCaps w:val="0"/>
              <w:szCs w:val="28"/>
            </w:rPr>
            <w:fldChar w:fldCharType="separate"/>
          </w:r>
          <w:r>
            <w:rPr>
              <w:rFonts w:hint="default"/>
              <w:smallCaps w:val="0"/>
              <w:spacing w:val="6"/>
              <w:kern w:val="2"/>
              <w:lang w:eastAsia="zh-CN"/>
            </w:rPr>
            <w:t xml:space="preserve">9.5.6. </w:t>
          </w:r>
          <w:r>
            <w:rPr>
              <w:rFonts w:hint="eastAsia"/>
              <w:smallCaps w:val="0"/>
              <w:spacing w:val="6"/>
              <w:kern w:val="2"/>
              <w:lang w:eastAsia="zh-CN"/>
            </w:rPr>
            <w:t>水生生态环境保护</w:t>
          </w:r>
          <w:r>
            <w:tab/>
          </w:r>
          <w:r>
            <w:fldChar w:fldCharType="begin"/>
          </w:r>
          <w:r>
            <w:instrText xml:space="preserve"> PAGEREF _Toc13610 \h </w:instrText>
          </w:r>
          <w:r>
            <w:fldChar w:fldCharType="separate"/>
          </w:r>
          <w:r>
            <w:t>54</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_Toc13691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9.6. </w:t>
          </w:r>
          <w:r>
            <w:rPr>
              <w:rFonts w:hint="eastAsia" w:ascii="Times New Roman" w:hAnsi="Times New Roman" w:cs="Times New Roman"/>
              <w:lang w:val="en-US" w:eastAsia="zh-CN"/>
            </w:rPr>
            <w:t>环境管理及监测</w:t>
          </w:r>
          <w:r>
            <w:tab/>
          </w:r>
          <w:r>
            <w:fldChar w:fldCharType="begin"/>
          </w:r>
          <w:r>
            <w:instrText xml:space="preserve"> PAGEREF _Toc13691 \h </w:instrText>
          </w:r>
          <w:r>
            <w:fldChar w:fldCharType="separate"/>
          </w:r>
          <w:r>
            <w:t>54</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_Toc32443 </w:instrText>
          </w:r>
          <w:r>
            <w:rPr>
              <w:rFonts w:hint="default" w:ascii="Times New Roman" w:hAnsi="Times New Roman" w:eastAsia="黑体" w:cs="Times New Roman"/>
              <w:bCs w:val="0"/>
              <w:i w:val="0"/>
              <w:iCs w:val="0"/>
              <w:caps w:val="0"/>
              <w:smallCaps w:val="0"/>
              <w:szCs w:val="28"/>
            </w:rPr>
            <w:fldChar w:fldCharType="separate"/>
          </w:r>
          <w:r>
            <w:rPr>
              <w:rFonts w:hint="default"/>
              <w:smallCaps w:val="0"/>
              <w:spacing w:val="6"/>
              <w:kern w:val="2"/>
            </w:rPr>
            <w:t xml:space="preserve">9.6.1. </w:t>
          </w:r>
          <w:r>
            <w:rPr>
              <w:rFonts w:hint="eastAsia"/>
              <w:smallCaps w:val="0"/>
              <w:spacing w:val="6"/>
              <w:kern w:val="2"/>
            </w:rPr>
            <w:t>环境管理</w:t>
          </w:r>
          <w:r>
            <w:tab/>
          </w:r>
          <w:r>
            <w:fldChar w:fldCharType="begin"/>
          </w:r>
          <w:r>
            <w:instrText xml:space="preserve"> PAGEREF _Toc32443 \h </w:instrText>
          </w:r>
          <w:r>
            <w:fldChar w:fldCharType="separate"/>
          </w:r>
          <w:r>
            <w:t>54</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_Toc29268 </w:instrText>
          </w:r>
          <w:r>
            <w:rPr>
              <w:rFonts w:hint="default" w:ascii="Times New Roman" w:hAnsi="Times New Roman" w:eastAsia="黑体" w:cs="Times New Roman"/>
              <w:bCs w:val="0"/>
              <w:i w:val="0"/>
              <w:iCs w:val="0"/>
              <w:caps w:val="0"/>
              <w:smallCaps w:val="0"/>
              <w:szCs w:val="28"/>
            </w:rPr>
            <w:fldChar w:fldCharType="separate"/>
          </w:r>
          <w:r>
            <w:rPr>
              <w:rFonts w:hint="default"/>
              <w:smallCaps w:val="0"/>
              <w:spacing w:val="6"/>
              <w:kern w:val="2"/>
            </w:rPr>
            <w:t xml:space="preserve">9.6.2. </w:t>
          </w:r>
          <w:r>
            <w:rPr>
              <w:rFonts w:hint="eastAsia"/>
              <w:smallCaps w:val="0"/>
              <w:spacing w:val="6"/>
              <w:kern w:val="2"/>
            </w:rPr>
            <w:t>环境监测</w:t>
          </w:r>
          <w:r>
            <w:tab/>
          </w:r>
          <w:r>
            <w:fldChar w:fldCharType="begin"/>
          </w:r>
          <w:r>
            <w:instrText xml:space="preserve"> PAGEREF _Toc29268 \h </w:instrText>
          </w:r>
          <w:r>
            <w:fldChar w:fldCharType="separate"/>
          </w:r>
          <w:r>
            <w:t>54</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_Toc24496 </w:instrText>
          </w:r>
          <w:r>
            <w:rPr>
              <w:rFonts w:hint="default" w:ascii="Times New Roman" w:hAnsi="Times New Roman" w:eastAsia="黑体" w:cs="Times New Roman"/>
              <w:bCs w:val="0"/>
              <w:i w:val="0"/>
              <w:iCs w:val="0"/>
              <w:caps w:val="0"/>
              <w:smallCaps w:val="0"/>
              <w:szCs w:val="28"/>
            </w:rPr>
            <w:fldChar w:fldCharType="separate"/>
          </w:r>
          <w:r>
            <w:rPr>
              <w:rFonts w:hint="default"/>
              <w:smallCaps w:val="0"/>
              <w:spacing w:val="6"/>
              <w:kern w:val="2"/>
            </w:rPr>
            <w:t xml:space="preserve">9.6.3. </w:t>
          </w:r>
          <w:r>
            <w:rPr>
              <w:rFonts w:hint="eastAsia"/>
              <w:smallCaps w:val="0"/>
              <w:spacing w:val="6"/>
              <w:kern w:val="2"/>
            </w:rPr>
            <w:t>监测目的及内容</w:t>
          </w:r>
          <w:r>
            <w:tab/>
          </w:r>
          <w:r>
            <w:fldChar w:fldCharType="begin"/>
          </w:r>
          <w:r>
            <w:instrText xml:space="preserve"> PAGEREF _Toc24496 \h </w:instrText>
          </w:r>
          <w:r>
            <w:fldChar w:fldCharType="separate"/>
          </w:r>
          <w:r>
            <w:t>55</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_Toc23697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9.7. </w:t>
          </w:r>
          <w:r>
            <w:rPr>
              <w:rFonts w:hint="eastAsia" w:ascii="Times New Roman" w:hAnsi="Times New Roman" w:cs="Times New Roman"/>
              <w:lang w:val="en-US" w:eastAsia="zh-CN"/>
            </w:rPr>
            <w:t>评价结论与建议</w:t>
          </w:r>
          <w:r>
            <w:tab/>
          </w:r>
          <w:r>
            <w:fldChar w:fldCharType="begin"/>
          </w:r>
          <w:r>
            <w:instrText xml:space="preserve"> PAGEREF _Toc23697 \h </w:instrText>
          </w:r>
          <w:r>
            <w:fldChar w:fldCharType="separate"/>
          </w:r>
          <w:r>
            <w:t>55</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_Toc32445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10. </w:t>
          </w:r>
          <w:r>
            <w:rPr>
              <w:rFonts w:hint="eastAsia" w:ascii="Times New Roman" w:hAnsi="Times New Roman" w:cs="Times New Roman"/>
              <w:bCs w:val="0"/>
              <w:szCs w:val="36"/>
              <w:lang w:val="en-US" w:eastAsia="zh-CN"/>
            </w:rPr>
            <w:t>水土保持</w:t>
          </w:r>
          <w:r>
            <w:tab/>
          </w:r>
          <w:r>
            <w:fldChar w:fldCharType="begin"/>
          </w:r>
          <w:r>
            <w:instrText xml:space="preserve"> PAGEREF _Toc32445 \h </w:instrText>
          </w:r>
          <w:r>
            <w:fldChar w:fldCharType="separate"/>
          </w:r>
          <w:r>
            <w:t>57</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_Toc22208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10.1. </w:t>
          </w:r>
          <w:r>
            <w:rPr>
              <w:rFonts w:hint="eastAsia" w:ascii="Times New Roman" w:hAnsi="Times New Roman" w:cs="Times New Roman"/>
              <w:lang w:val="en-US" w:eastAsia="zh-CN"/>
            </w:rPr>
            <w:t>概述</w:t>
          </w:r>
          <w:r>
            <w:tab/>
          </w:r>
          <w:r>
            <w:fldChar w:fldCharType="begin"/>
          </w:r>
          <w:r>
            <w:instrText xml:space="preserve"> PAGEREF _Toc22208 \h </w:instrText>
          </w:r>
          <w:r>
            <w:fldChar w:fldCharType="separate"/>
          </w:r>
          <w:r>
            <w:t>57</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_Toc14415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10.1.1. </w:t>
          </w:r>
          <w:r>
            <w:rPr>
              <w:rFonts w:hint="eastAsia" w:ascii="Times New Roman" w:cs="Times New Roman"/>
              <w:lang w:val="en-US" w:eastAsia="zh-CN"/>
            </w:rPr>
            <w:t>编制依据</w:t>
          </w:r>
          <w:r>
            <w:tab/>
          </w:r>
          <w:r>
            <w:fldChar w:fldCharType="begin"/>
          </w:r>
          <w:r>
            <w:instrText xml:space="preserve"> PAGEREF _Toc14415 \h </w:instrText>
          </w:r>
          <w:r>
            <w:fldChar w:fldCharType="separate"/>
          </w:r>
          <w:r>
            <w:t>57</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_Toc10055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10.1.2. </w:t>
          </w:r>
          <w:r>
            <w:rPr>
              <w:rFonts w:hint="eastAsia" w:ascii="Times New Roman" w:cs="Times New Roman"/>
              <w:lang w:val="en-US" w:eastAsia="zh-CN"/>
            </w:rPr>
            <w:t>项目概况</w:t>
          </w:r>
          <w:r>
            <w:tab/>
          </w:r>
          <w:r>
            <w:fldChar w:fldCharType="begin"/>
          </w:r>
          <w:r>
            <w:instrText xml:space="preserve"> PAGEREF _Toc10055 \h </w:instrText>
          </w:r>
          <w:r>
            <w:fldChar w:fldCharType="separate"/>
          </w:r>
          <w:r>
            <w:t>57</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_Toc28197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10.2. </w:t>
          </w:r>
          <w:r>
            <w:rPr>
              <w:rFonts w:hint="eastAsia" w:ascii="Times New Roman" w:hAnsi="Times New Roman" w:cs="Times New Roman"/>
              <w:lang w:val="en-US" w:eastAsia="zh-CN"/>
            </w:rPr>
            <w:t>项目区水土流失影响分析</w:t>
          </w:r>
          <w:r>
            <w:tab/>
          </w:r>
          <w:r>
            <w:fldChar w:fldCharType="begin"/>
          </w:r>
          <w:r>
            <w:instrText xml:space="preserve"> PAGEREF _Toc28197 \h </w:instrText>
          </w:r>
          <w:r>
            <w:fldChar w:fldCharType="separate"/>
          </w:r>
          <w:r>
            <w:t>57</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_Toc12845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11. </w:t>
          </w:r>
          <w:r>
            <w:rPr>
              <w:rFonts w:hint="eastAsia" w:ascii="Times New Roman" w:hAnsi="Times New Roman" w:cs="Times New Roman"/>
              <w:bCs w:val="0"/>
              <w:szCs w:val="36"/>
              <w:lang w:val="en-US" w:eastAsia="zh-CN"/>
            </w:rPr>
            <w:t>劳动安全与工业卫生</w:t>
          </w:r>
          <w:r>
            <w:tab/>
          </w:r>
          <w:r>
            <w:fldChar w:fldCharType="begin"/>
          </w:r>
          <w:r>
            <w:instrText xml:space="preserve"> PAGEREF _Toc12845 \h </w:instrText>
          </w:r>
          <w:r>
            <w:fldChar w:fldCharType="separate"/>
          </w:r>
          <w:r>
            <w:t>59</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_Toc24667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11.1. </w:t>
          </w:r>
          <w:r>
            <w:rPr>
              <w:rFonts w:hint="eastAsia" w:ascii="Times New Roman" w:hAnsi="Times New Roman" w:cs="Times New Roman"/>
              <w:lang w:val="en-US" w:eastAsia="zh-CN"/>
            </w:rPr>
            <w:t>设计依据</w:t>
          </w:r>
          <w:r>
            <w:tab/>
          </w:r>
          <w:r>
            <w:fldChar w:fldCharType="begin"/>
          </w:r>
          <w:r>
            <w:instrText xml:space="preserve"> PAGEREF _Toc24667 \h </w:instrText>
          </w:r>
          <w:r>
            <w:fldChar w:fldCharType="separate"/>
          </w:r>
          <w:r>
            <w:t>59</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_Toc23152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11.2. </w:t>
          </w:r>
          <w:r>
            <w:rPr>
              <w:rFonts w:hint="eastAsia" w:ascii="Times New Roman" w:hAnsi="Times New Roman" w:cs="Times New Roman"/>
              <w:lang w:val="en-US" w:eastAsia="zh-CN"/>
            </w:rPr>
            <w:t>危险与有害因素分析</w:t>
          </w:r>
          <w:r>
            <w:tab/>
          </w:r>
          <w:r>
            <w:fldChar w:fldCharType="begin"/>
          </w:r>
          <w:r>
            <w:instrText xml:space="preserve"> PAGEREF _Toc23152 \h </w:instrText>
          </w:r>
          <w:r>
            <w:fldChar w:fldCharType="separate"/>
          </w:r>
          <w:r>
            <w:t>59</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_Toc17414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11.3. </w:t>
          </w:r>
          <w:r>
            <w:rPr>
              <w:rFonts w:hint="eastAsia" w:ascii="Times New Roman" w:hAnsi="Times New Roman" w:cs="Times New Roman"/>
              <w:lang w:val="en-US" w:eastAsia="zh-CN"/>
            </w:rPr>
            <w:t>劳动安全措施</w:t>
          </w:r>
          <w:r>
            <w:tab/>
          </w:r>
          <w:r>
            <w:fldChar w:fldCharType="begin"/>
          </w:r>
          <w:r>
            <w:instrText xml:space="preserve"> PAGEREF _Toc17414 \h </w:instrText>
          </w:r>
          <w:r>
            <w:fldChar w:fldCharType="separate"/>
          </w:r>
          <w:r>
            <w:t>60</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_Toc3760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11.3.1. </w:t>
          </w:r>
          <w:r>
            <w:rPr>
              <w:rFonts w:hint="eastAsia" w:ascii="Times New Roman" w:cs="Times New Roman"/>
              <w:lang w:val="en-US" w:eastAsia="zh-CN"/>
            </w:rPr>
            <w:t>防火、防爆安全</w:t>
          </w:r>
          <w:r>
            <w:tab/>
          </w:r>
          <w:r>
            <w:fldChar w:fldCharType="begin"/>
          </w:r>
          <w:r>
            <w:instrText xml:space="preserve"> PAGEREF _Toc3760 \h </w:instrText>
          </w:r>
          <w:r>
            <w:fldChar w:fldCharType="separate"/>
          </w:r>
          <w:r>
            <w:t>60</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_Toc11170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11.3.2. </w:t>
          </w:r>
          <w:r>
            <w:rPr>
              <w:rFonts w:hint="eastAsia" w:ascii="Times New Roman" w:cs="Times New Roman"/>
              <w:lang w:val="en-US" w:eastAsia="zh-CN"/>
            </w:rPr>
            <w:t>防机械伤害、防坠落措施</w:t>
          </w:r>
          <w:r>
            <w:tab/>
          </w:r>
          <w:r>
            <w:fldChar w:fldCharType="begin"/>
          </w:r>
          <w:r>
            <w:instrText xml:space="preserve"> PAGEREF _Toc11170 \h </w:instrText>
          </w:r>
          <w:r>
            <w:fldChar w:fldCharType="separate"/>
          </w:r>
          <w:r>
            <w:t>60</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_Toc25709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11.3.3. </w:t>
          </w:r>
          <w:r>
            <w:rPr>
              <w:rFonts w:hint="eastAsia" w:ascii="Times New Roman" w:cs="Times New Roman"/>
              <w:lang w:val="en-US" w:eastAsia="zh-CN"/>
            </w:rPr>
            <w:t>安全生产教育</w:t>
          </w:r>
          <w:r>
            <w:tab/>
          </w:r>
          <w:r>
            <w:fldChar w:fldCharType="begin"/>
          </w:r>
          <w:r>
            <w:instrText xml:space="preserve"> PAGEREF _Toc25709 \h </w:instrText>
          </w:r>
          <w:r>
            <w:fldChar w:fldCharType="separate"/>
          </w:r>
          <w:r>
            <w:t>60</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_Toc14290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11.3.4. </w:t>
          </w:r>
          <w:r>
            <w:rPr>
              <w:rFonts w:hint="eastAsia" w:ascii="Times New Roman" w:cs="Times New Roman"/>
              <w:lang w:val="en-US" w:eastAsia="zh-CN"/>
            </w:rPr>
            <w:t>安全生产的检查、监督</w:t>
          </w:r>
          <w:r>
            <w:tab/>
          </w:r>
          <w:r>
            <w:fldChar w:fldCharType="begin"/>
          </w:r>
          <w:r>
            <w:instrText xml:space="preserve"> PAGEREF _Toc14290 \h </w:instrText>
          </w:r>
          <w:r>
            <w:fldChar w:fldCharType="separate"/>
          </w:r>
          <w:r>
            <w:t>61</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_Toc32322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11.4. </w:t>
          </w:r>
          <w:r>
            <w:rPr>
              <w:rFonts w:hint="eastAsia" w:ascii="Times New Roman" w:hAnsi="Times New Roman" w:cs="Times New Roman"/>
              <w:lang w:val="en-US" w:eastAsia="zh-CN"/>
            </w:rPr>
            <w:t>工业卫生</w:t>
          </w:r>
          <w:r>
            <w:tab/>
          </w:r>
          <w:r>
            <w:fldChar w:fldCharType="begin"/>
          </w:r>
          <w:r>
            <w:instrText xml:space="preserve"> PAGEREF _Toc32322 \h </w:instrText>
          </w:r>
          <w:r>
            <w:fldChar w:fldCharType="separate"/>
          </w:r>
          <w:r>
            <w:t>61</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_Toc31559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11.4.1. </w:t>
          </w:r>
          <w:r>
            <w:rPr>
              <w:rFonts w:hint="eastAsia" w:ascii="Times New Roman" w:cs="Times New Roman"/>
              <w:lang w:val="en-US" w:eastAsia="zh-CN"/>
            </w:rPr>
            <w:t>防噪声及防振动</w:t>
          </w:r>
          <w:r>
            <w:tab/>
          </w:r>
          <w:r>
            <w:fldChar w:fldCharType="begin"/>
          </w:r>
          <w:r>
            <w:instrText xml:space="preserve"> PAGEREF _Toc31559 \h </w:instrText>
          </w:r>
          <w:r>
            <w:fldChar w:fldCharType="separate"/>
          </w:r>
          <w:r>
            <w:t>61</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_Toc7340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11.4.2. </w:t>
          </w:r>
          <w:r>
            <w:rPr>
              <w:rFonts w:hint="eastAsia" w:ascii="Times New Roman" w:cs="Times New Roman"/>
              <w:lang w:val="en-US" w:eastAsia="zh-CN"/>
            </w:rPr>
            <w:t>温度与湿度控制</w:t>
          </w:r>
          <w:r>
            <w:tab/>
          </w:r>
          <w:r>
            <w:fldChar w:fldCharType="begin"/>
          </w:r>
          <w:r>
            <w:instrText xml:space="preserve"> PAGEREF _Toc7340 \h </w:instrText>
          </w:r>
          <w:r>
            <w:fldChar w:fldCharType="separate"/>
          </w:r>
          <w:r>
            <w:t>62</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_Toc4814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11.4.3. </w:t>
          </w:r>
          <w:r>
            <w:rPr>
              <w:rFonts w:hint="eastAsia" w:ascii="Times New Roman" w:cs="Times New Roman"/>
              <w:lang w:val="en-US" w:eastAsia="zh-CN"/>
            </w:rPr>
            <w:t>防尘、防污、附腐蚀、防毒</w:t>
          </w:r>
          <w:r>
            <w:tab/>
          </w:r>
          <w:r>
            <w:fldChar w:fldCharType="begin"/>
          </w:r>
          <w:r>
            <w:instrText xml:space="preserve"> PAGEREF _Toc4814 \h </w:instrText>
          </w:r>
          <w:r>
            <w:fldChar w:fldCharType="separate"/>
          </w:r>
          <w:r>
            <w:t>62</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_Toc30312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11.4.4. </w:t>
          </w:r>
          <w:r>
            <w:rPr>
              <w:rFonts w:hint="eastAsia" w:ascii="Times New Roman" w:cs="Times New Roman"/>
              <w:lang w:val="en-US" w:eastAsia="zh-CN"/>
            </w:rPr>
            <w:t>防电磁辐射</w:t>
          </w:r>
          <w:r>
            <w:tab/>
          </w:r>
          <w:r>
            <w:fldChar w:fldCharType="begin"/>
          </w:r>
          <w:r>
            <w:instrText xml:space="preserve"> PAGEREF _Toc30312 \h </w:instrText>
          </w:r>
          <w:r>
            <w:fldChar w:fldCharType="separate"/>
          </w:r>
          <w:r>
            <w:t>62</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_Toc15054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11.4.5. </w:t>
          </w:r>
          <w:r>
            <w:rPr>
              <w:rFonts w:hint="eastAsia" w:ascii="Times New Roman" w:cs="Times New Roman"/>
              <w:lang w:val="en-US" w:eastAsia="zh-CN"/>
            </w:rPr>
            <w:t>安全卫生管理机构及配置</w:t>
          </w:r>
          <w:r>
            <w:tab/>
          </w:r>
          <w:r>
            <w:fldChar w:fldCharType="begin"/>
          </w:r>
          <w:r>
            <w:instrText xml:space="preserve"> PAGEREF _Toc15054 \h </w:instrText>
          </w:r>
          <w:r>
            <w:fldChar w:fldCharType="separate"/>
          </w:r>
          <w:r>
            <w:t>63</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_Toc7279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12. </w:t>
          </w:r>
          <w:r>
            <w:rPr>
              <w:rFonts w:hint="eastAsia" w:ascii="Times New Roman" w:hAnsi="Times New Roman" w:cs="Times New Roman"/>
              <w:bCs w:val="0"/>
              <w:szCs w:val="36"/>
              <w:lang w:val="en-US" w:eastAsia="zh-CN"/>
            </w:rPr>
            <w:t>节能评价</w:t>
          </w:r>
          <w:r>
            <w:tab/>
          </w:r>
          <w:r>
            <w:fldChar w:fldCharType="begin"/>
          </w:r>
          <w:r>
            <w:instrText xml:space="preserve"> PAGEREF _Toc7279 \h </w:instrText>
          </w:r>
          <w:r>
            <w:fldChar w:fldCharType="separate"/>
          </w:r>
          <w:r>
            <w:t>64</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_Toc13762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12.1. </w:t>
          </w:r>
          <w:r>
            <w:rPr>
              <w:rFonts w:hint="eastAsia" w:ascii="Times New Roman" w:hAnsi="Times New Roman" w:cs="Times New Roman"/>
              <w:lang w:val="en-US" w:eastAsia="zh-CN"/>
            </w:rPr>
            <w:t>设计依据</w:t>
          </w:r>
          <w:r>
            <w:tab/>
          </w:r>
          <w:r>
            <w:fldChar w:fldCharType="begin"/>
          </w:r>
          <w:r>
            <w:instrText xml:space="preserve"> PAGEREF _Toc13762 \h </w:instrText>
          </w:r>
          <w:r>
            <w:fldChar w:fldCharType="separate"/>
          </w:r>
          <w:r>
            <w:t>64</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_Toc3859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12.2. </w:t>
          </w:r>
          <w:r>
            <w:rPr>
              <w:rFonts w:hint="eastAsia" w:ascii="Times New Roman" w:hAnsi="Times New Roman" w:cs="Times New Roman"/>
              <w:lang w:val="en-US" w:eastAsia="zh-CN"/>
            </w:rPr>
            <w:t>能耗分析</w:t>
          </w:r>
          <w:r>
            <w:tab/>
          </w:r>
          <w:r>
            <w:fldChar w:fldCharType="begin"/>
          </w:r>
          <w:r>
            <w:instrText xml:space="preserve"> PAGEREF _Toc3859 \h </w:instrText>
          </w:r>
          <w:r>
            <w:fldChar w:fldCharType="separate"/>
          </w:r>
          <w:r>
            <w:t>64</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_Toc13171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12.3. </w:t>
          </w:r>
          <w:r>
            <w:rPr>
              <w:rFonts w:hint="eastAsia" w:ascii="Times New Roman" w:hAnsi="Times New Roman" w:cs="Times New Roman"/>
              <w:lang w:val="en-US" w:eastAsia="zh-CN"/>
            </w:rPr>
            <w:t>节能效果综合评价</w:t>
          </w:r>
          <w:r>
            <w:tab/>
          </w:r>
          <w:r>
            <w:fldChar w:fldCharType="begin"/>
          </w:r>
          <w:r>
            <w:instrText xml:space="preserve"> PAGEREF _Toc13171 \h </w:instrText>
          </w:r>
          <w:r>
            <w:fldChar w:fldCharType="separate"/>
          </w:r>
          <w:r>
            <w:t>64</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_Toc5327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13. </w:t>
          </w:r>
          <w:r>
            <w:rPr>
              <w:rFonts w:hint="eastAsia" w:cs="Times New Roman"/>
              <w:bCs w:val="0"/>
              <w:szCs w:val="36"/>
              <w:lang w:val="en-US" w:eastAsia="zh-CN"/>
            </w:rPr>
            <w:t>海绵城市建设</w:t>
          </w:r>
          <w:r>
            <w:tab/>
          </w:r>
          <w:r>
            <w:fldChar w:fldCharType="begin"/>
          </w:r>
          <w:r>
            <w:instrText xml:space="preserve"> PAGEREF _Toc5327 \h </w:instrText>
          </w:r>
          <w:r>
            <w:fldChar w:fldCharType="separate"/>
          </w:r>
          <w:r>
            <w:t>66</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_Toc9973 </w:instrText>
          </w:r>
          <w:r>
            <w:rPr>
              <w:rFonts w:hint="default" w:ascii="Times New Roman" w:hAnsi="Times New Roman" w:eastAsia="黑体" w:cs="Times New Roman"/>
              <w:bCs w:val="0"/>
              <w:i w:val="0"/>
              <w:iCs w:val="0"/>
              <w:caps w:val="0"/>
              <w:smallCaps w:val="0"/>
              <w:szCs w:val="28"/>
            </w:rPr>
            <w:fldChar w:fldCharType="separate"/>
          </w:r>
          <w:r>
            <w:rPr>
              <w:rFonts w:hint="default"/>
              <w:lang w:val="en-US" w:eastAsia="zh-CN"/>
            </w:rPr>
            <w:t xml:space="preserve">13.1. </w:t>
          </w:r>
          <w:r>
            <w:rPr>
              <w:rFonts w:hint="eastAsia"/>
              <w:lang w:val="en-US" w:eastAsia="zh-CN"/>
            </w:rPr>
            <w:t>设计依据</w:t>
          </w:r>
          <w:r>
            <w:tab/>
          </w:r>
          <w:r>
            <w:fldChar w:fldCharType="begin"/>
          </w:r>
          <w:r>
            <w:instrText xml:space="preserve"> PAGEREF _Toc9973 \h </w:instrText>
          </w:r>
          <w:r>
            <w:fldChar w:fldCharType="separate"/>
          </w:r>
          <w:r>
            <w:t>66</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_Toc10436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13.1.1. </w:t>
          </w:r>
          <w:r>
            <w:rPr>
              <w:rFonts w:hint="eastAsia" w:ascii="Times New Roman" w:cs="Times New Roman"/>
              <w:lang w:val="en-US" w:eastAsia="zh-CN"/>
            </w:rPr>
            <w:t>相关政策文件</w:t>
          </w:r>
          <w:r>
            <w:tab/>
          </w:r>
          <w:r>
            <w:fldChar w:fldCharType="begin"/>
          </w:r>
          <w:r>
            <w:instrText xml:space="preserve"> PAGEREF _Toc10436 \h </w:instrText>
          </w:r>
          <w:r>
            <w:fldChar w:fldCharType="separate"/>
          </w:r>
          <w:r>
            <w:t>66</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_Toc10688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13.1.2. </w:t>
          </w:r>
          <w:r>
            <w:rPr>
              <w:rFonts w:hint="eastAsia" w:ascii="Times New Roman" w:cs="Times New Roman"/>
              <w:lang w:val="en-US" w:eastAsia="zh-CN"/>
            </w:rPr>
            <w:t>采用的主要规范和标准</w:t>
          </w:r>
          <w:r>
            <w:tab/>
          </w:r>
          <w:r>
            <w:fldChar w:fldCharType="begin"/>
          </w:r>
          <w:r>
            <w:instrText xml:space="preserve"> PAGEREF _Toc10688 \h </w:instrText>
          </w:r>
          <w:r>
            <w:fldChar w:fldCharType="separate"/>
          </w:r>
          <w:r>
            <w:t>66</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_Toc17920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 xml:space="preserve">13.2. </w:t>
          </w:r>
          <w:r>
            <w:rPr>
              <w:rFonts w:hint="eastAsia" w:ascii="Times New Roman" w:hAnsi="Times New Roman"/>
              <w:lang w:val="en-US" w:eastAsia="zh-CN"/>
            </w:rPr>
            <w:t>项目概况</w:t>
          </w:r>
          <w:r>
            <w:tab/>
          </w:r>
          <w:r>
            <w:fldChar w:fldCharType="begin"/>
          </w:r>
          <w:r>
            <w:instrText xml:space="preserve"> PAGEREF _Toc17920 \h </w:instrText>
          </w:r>
          <w:r>
            <w:fldChar w:fldCharType="separate"/>
          </w:r>
          <w:r>
            <w:t>67</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_Toc15448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13.2.1. </w:t>
          </w:r>
          <w:r>
            <w:rPr>
              <w:rFonts w:hint="eastAsia" w:ascii="Times New Roman" w:cs="Times New Roman"/>
              <w:lang w:val="en-US" w:eastAsia="zh-CN"/>
            </w:rPr>
            <w:t>工程基本情况</w:t>
          </w:r>
          <w:r>
            <w:tab/>
          </w:r>
          <w:r>
            <w:fldChar w:fldCharType="begin"/>
          </w:r>
          <w:r>
            <w:instrText xml:space="preserve"> PAGEREF _Toc15448 \h </w:instrText>
          </w:r>
          <w:r>
            <w:fldChar w:fldCharType="separate"/>
          </w:r>
          <w:r>
            <w:t>67</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_Toc15861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13.2.2. </w:t>
          </w:r>
          <w:r>
            <w:rPr>
              <w:rFonts w:hint="eastAsia" w:ascii="Times New Roman" w:cs="Times New Roman"/>
              <w:lang w:val="en-US" w:eastAsia="zh-CN"/>
            </w:rPr>
            <w:t>区域自然条件</w:t>
          </w:r>
          <w:r>
            <w:tab/>
          </w:r>
          <w:r>
            <w:fldChar w:fldCharType="begin"/>
          </w:r>
          <w:r>
            <w:instrText xml:space="preserve"> PAGEREF _Toc15861 \h </w:instrText>
          </w:r>
          <w:r>
            <w:fldChar w:fldCharType="separate"/>
          </w:r>
          <w:r>
            <w:t>67</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_Toc31070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13.2.3. </w:t>
          </w:r>
          <w:r>
            <w:rPr>
              <w:rFonts w:hint="eastAsia" w:ascii="Times New Roman" w:cs="Times New Roman"/>
              <w:lang w:val="en-US" w:eastAsia="zh-CN"/>
            </w:rPr>
            <w:t>现状情况分析</w:t>
          </w:r>
          <w:r>
            <w:tab/>
          </w:r>
          <w:r>
            <w:fldChar w:fldCharType="begin"/>
          </w:r>
          <w:r>
            <w:instrText xml:space="preserve"> PAGEREF _Toc31070 \h </w:instrText>
          </w:r>
          <w:r>
            <w:fldChar w:fldCharType="separate"/>
          </w:r>
          <w:r>
            <w:t>67</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_Toc31702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lang w:val="en-US" w:eastAsia="zh-CN"/>
            </w:rPr>
            <w:t xml:space="preserve">13.3. </w:t>
          </w:r>
          <w:r>
            <w:rPr>
              <w:rFonts w:hint="eastAsia" w:ascii="Times New Roman" w:hAnsi="Times New Roman"/>
              <w:lang w:val="en-US" w:eastAsia="zh-CN"/>
            </w:rPr>
            <w:t>设计内容</w:t>
          </w:r>
          <w:r>
            <w:tab/>
          </w:r>
          <w:r>
            <w:fldChar w:fldCharType="begin"/>
          </w:r>
          <w:r>
            <w:instrText xml:space="preserve"> PAGEREF _Toc31702 \h </w:instrText>
          </w:r>
          <w:r>
            <w:fldChar w:fldCharType="separate"/>
          </w:r>
          <w:r>
            <w:t>68</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_Toc13826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13.3.1. </w:t>
          </w:r>
          <w:r>
            <w:rPr>
              <w:rFonts w:hint="eastAsia" w:ascii="Times New Roman" w:cs="Times New Roman"/>
              <w:lang w:val="en-US" w:eastAsia="zh-CN"/>
            </w:rPr>
            <w:t>相关上位规划、规划设计条件要求</w:t>
          </w:r>
          <w:r>
            <w:tab/>
          </w:r>
          <w:r>
            <w:fldChar w:fldCharType="begin"/>
          </w:r>
          <w:r>
            <w:instrText xml:space="preserve"> PAGEREF _Toc13826 \h </w:instrText>
          </w:r>
          <w:r>
            <w:fldChar w:fldCharType="separate"/>
          </w:r>
          <w:r>
            <w:t>68</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_Toc25525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13.3.2. </w:t>
          </w:r>
          <w:r>
            <w:rPr>
              <w:rFonts w:hint="eastAsia" w:ascii="Times New Roman" w:cs="Times New Roman"/>
              <w:lang w:val="en-US" w:eastAsia="zh-CN"/>
            </w:rPr>
            <w:t>设计原则</w:t>
          </w:r>
          <w:r>
            <w:tab/>
          </w:r>
          <w:r>
            <w:fldChar w:fldCharType="begin"/>
          </w:r>
          <w:r>
            <w:instrText xml:space="preserve"> PAGEREF _Toc25525 \h </w:instrText>
          </w:r>
          <w:r>
            <w:fldChar w:fldCharType="separate"/>
          </w:r>
          <w:r>
            <w:t>68</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_Toc9004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13.3.3. </w:t>
          </w:r>
          <w:r>
            <w:rPr>
              <w:rFonts w:hint="eastAsia" w:ascii="Times New Roman" w:cs="Times New Roman"/>
              <w:lang w:val="en-US" w:eastAsia="zh-CN"/>
            </w:rPr>
            <w:t>设计目标</w:t>
          </w:r>
          <w:r>
            <w:tab/>
          </w:r>
          <w:r>
            <w:fldChar w:fldCharType="begin"/>
          </w:r>
          <w:r>
            <w:instrText xml:space="preserve"> PAGEREF _Toc9004 \h </w:instrText>
          </w:r>
          <w:r>
            <w:fldChar w:fldCharType="separate"/>
          </w:r>
          <w:r>
            <w:t>68</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_Toc13192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13.3.4. </w:t>
          </w:r>
          <w:r>
            <w:rPr>
              <w:rFonts w:hint="eastAsia" w:ascii="Times New Roman" w:cs="Times New Roman"/>
              <w:lang w:val="en-US" w:eastAsia="zh-CN"/>
            </w:rPr>
            <w:t>设计参数</w:t>
          </w:r>
          <w:r>
            <w:tab/>
          </w:r>
          <w:r>
            <w:fldChar w:fldCharType="begin"/>
          </w:r>
          <w:r>
            <w:instrText xml:space="preserve"> PAGEREF _Toc13192 \h </w:instrText>
          </w:r>
          <w:r>
            <w:fldChar w:fldCharType="separate"/>
          </w:r>
          <w:r>
            <w:t>73</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_Toc23772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13.3.5. </w:t>
          </w:r>
          <w:r>
            <w:rPr>
              <w:rFonts w:hint="eastAsia" w:ascii="Times New Roman" w:cs="Times New Roman"/>
              <w:lang w:val="en-US" w:eastAsia="zh-CN"/>
            </w:rPr>
            <w:t>海绵城市设施方案</w:t>
          </w:r>
          <w:r>
            <w:tab/>
          </w:r>
          <w:r>
            <w:fldChar w:fldCharType="begin"/>
          </w:r>
          <w:r>
            <w:instrText xml:space="preserve"> PAGEREF _Toc23772 \h </w:instrText>
          </w:r>
          <w:r>
            <w:fldChar w:fldCharType="separate"/>
          </w:r>
          <w:r>
            <w:t>73</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_Toc15762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13.3.6. </w:t>
          </w:r>
          <w:r>
            <w:rPr>
              <w:rFonts w:hint="eastAsia" w:ascii="Times New Roman" w:cs="Times New Roman"/>
              <w:lang w:val="en-US" w:eastAsia="zh-CN"/>
            </w:rPr>
            <w:t>海绵城市设计</w:t>
          </w:r>
          <w:r>
            <w:tab/>
          </w:r>
          <w:r>
            <w:fldChar w:fldCharType="begin"/>
          </w:r>
          <w:r>
            <w:instrText xml:space="preserve"> PAGEREF _Toc15762 \h </w:instrText>
          </w:r>
          <w:r>
            <w:fldChar w:fldCharType="separate"/>
          </w:r>
          <w:r>
            <w:t>73</w:t>
          </w:r>
          <w:r>
            <w:fldChar w:fldCharType="end"/>
          </w:r>
          <w:r>
            <w:rPr>
              <w:rFonts w:hint="default" w:ascii="Times New Roman" w:hAnsi="Times New Roman" w:eastAsia="黑体" w:cs="Times New Roman"/>
              <w:bCs w:val="0"/>
              <w:i w:val="0"/>
              <w:iCs w:val="0"/>
              <w:caps w:val="0"/>
              <w:smallCaps w:val="0"/>
              <w:szCs w:val="28"/>
            </w:rPr>
            <w:fldChar w:fldCharType="end"/>
          </w:r>
        </w:p>
        <w:p>
          <w:pPr>
            <w:pStyle w:val="22"/>
            <w:tabs>
              <w:tab w:val="right" w:leader="dot" w:pos="907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_Toc398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cs="Times New Roman"/>
              <w:lang w:val="en-US" w:eastAsia="zh-CN"/>
            </w:rPr>
            <w:t xml:space="preserve">13.3.7. </w:t>
          </w:r>
          <w:r>
            <w:rPr>
              <w:rFonts w:hint="eastAsia" w:ascii="Times New Roman" w:cs="Times New Roman"/>
              <w:lang w:val="en-US" w:eastAsia="zh-CN"/>
            </w:rPr>
            <w:t>年径流总量控制率计算与校核</w:t>
          </w:r>
          <w:r>
            <w:tab/>
          </w:r>
          <w:r>
            <w:fldChar w:fldCharType="begin"/>
          </w:r>
          <w:r>
            <w:instrText xml:space="preserve"> PAGEREF _Toc398 \h </w:instrText>
          </w:r>
          <w:r>
            <w:fldChar w:fldCharType="separate"/>
          </w:r>
          <w:r>
            <w:t>76</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_Toc20149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14. </w:t>
          </w:r>
          <w:r>
            <w:rPr>
              <w:rFonts w:hint="eastAsia" w:ascii="Times New Roman" w:hAnsi="Times New Roman" w:cs="Times New Roman"/>
              <w:bCs w:val="0"/>
              <w:szCs w:val="36"/>
              <w:lang w:val="en-US" w:eastAsia="zh-CN"/>
            </w:rPr>
            <w:t>工程管理</w:t>
          </w:r>
          <w:r>
            <w:tab/>
          </w:r>
          <w:r>
            <w:fldChar w:fldCharType="begin"/>
          </w:r>
          <w:r>
            <w:instrText xml:space="preserve"> PAGEREF _Toc20149 \h </w:instrText>
          </w:r>
          <w:r>
            <w:fldChar w:fldCharType="separate"/>
          </w:r>
          <w:r>
            <w:t>80</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_Toc31134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14.1. </w:t>
          </w:r>
          <w:r>
            <w:rPr>
              <w:rFonts w:hint="eastAsia" w:ascii="Times New Roman" w:hAnsi="Times New Roman" w:cs="Times New Roman"/>
              <w:lang w:val="en-US" w:eastAsia="zh-CN"/>
            </w:rPr>
            <w:t>设计依据</w:t>
          </w:r>
          <w:r>
            <w:tab/>
          </w:r>
          <w:r>
            <w:fldChar w:fldCharType="begin"/>
          </w:r>
          <w:r>
            <w:instrText xml:space="preserve"> PAGEREF _Toc31134 \h </w:instrText>
          </w:r>
          <w:r>
            <w:fldChar w:fldCharType="separate"/>
          </w:r>
          <w:r>
            <w:t>80</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_Toc26811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14.2. </w:t>
          </w:r>
          <w:r>
            <w:rPr>
              <w:rFonts w:hint="eastAsia" w:ascii="Times New Roman" w:hAnsi="Times New Roman" w:cs="Times New Roman"/>
              <w:lang w:val="en-US" w:eastAsia="zh-CN"/>
            </w:rPr>
            <w:t>管理机构</w:t>
          </w:r>
          <w:r>
            <w:tab/>
          </w:r>
          <w:r>
            <w:fldChar w:fldCharType="begin"/>
          </w:r>
          <w:r>
            <w:instrText xml:space="preserve"> PAGEREF _Toc26811 \h </w:instrText>
          </w:r>
          <w:r>
            <w:fldChar w:fldCharType="separate"/>
          </w:r>
          <w:r>
            <w:t>80</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_Toc5896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14.3. </w:t>
          </w:r>
          <w:r>
            <w:rPr>
              <w:rFonts w:hint="eastAsia" w:ascii="Times New Roman" w:hAnsi="Times New Roman" w:cs="Times New Roman"/>
              <w:lang w:val="en-US" w:eastAsia="zh-CN"/>
            </w:rPr>
            <w:t>管理任务和范围</w:t>
          </w:r>
          <w:r>
            <w:tab/>
          </w:r>
          <w:r>
            <w:fldChar w:fldCharType="begin"/>
          </w:r>
          <w:r>
            <w:instrText xml:space="preserve"> PAGEREF _Toc5896 \h </w:instrText>
          </w:r>
          <w:r>
            <w:fldChar w:fldCharType="separate"/>
          </w:r>
          <w:r>
            <w:t>80</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_Toc30628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15. </w:t>
          </w:r>
          <w:r>
            <w:rPr>
              <w:rFonts w:hint="eastAsia" w:ascii="Times New Roman" w:hAnsi="Times New Roman" w:cs="Times New Roman"/>
              <w:bCs w:val="0"/>
              <w:szCs w:val="36"/>
              <w:lang w:val="en-US" w:eastAsia="zh-CN"/>
            </w:rPr>
            <w:t>投资估算</w:t>
          </w:r>
          <w:r>
            <w:tab/>
          </w:r>
          <w:r>
            <w:fldChar w:fldCharType="begin"/>
          </w:r>
          <w:r>
            <w:instrText xml:space="preserve"> PAGEREF _Toc30628 \h </w:instrText>
          </w:r>
          <w:r>
            <w:fldChar w:fldCharType="separate"/>
          </w:r>
          <w:r>
            <w:t>82</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_Toc14330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15.1. </w:t>
          </w:r>
          <w:r>
            <w:rPr>
              <w:rFonts w:hint="eastAsia" w:ascii="Times New Roman" w:hAnsi="Times New Roman" w:cs="Times New Roman"/>
              <w:lang w:val="en-US" w:eastAsia="zh-CN"/>
            </w:rPr>
            <w:t>编制原则</w:t>
          </w:r>
          <w:r>
            <w:tab/>
          </w:r>
          <w:r>
            <w:fldChar w:fldCharType="begin"/>
          </w:r>
          <w:r>
            <w:instrText xml:space="preserve"> PAGEREF _Toc14330 \h </w:instrText>
          </w:r>
          <w:r>
            <w:fldChar w:fldCharType="separate"/>
          </w:r>
          <w:r>
            <w:t>82</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_Toc8806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15.2. </w:t>
          </w:r>
          <w:r>
            <w:rPr>
              <w:rFonts w:hint="eastAsia" w:ascii="Times New Roman" w:hAnsi="Times New Roman" w:cs="Times New Roman"/>
              <w:lang w:val="en-US" w:eastAsia="zh-CN"/>
            </w:rPr>
            <w:t>独立费用取费说明</w:t>
          </w:r>
          <w:r>
            <w:tab/>
          </w:r>
          <w:r>
            <w:fldChar w:fldCharType="begin"/>
          </w:r>
          <w:r>
            <w:instrText xml:space="preserve"> PAGEREF _Toc8806 \h </w:instrText>
          </w:r>
          <w:r>
            <w:fldChar w:fldCharType="separate"/>
          </w:r>
          <w:r>
            <w:t>82</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_Toc11019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15.3. </w:t>
          </w:r>
          <w:r>
            <w:rPr>
              <w:rFonts w:hint="eastAsia" w:ascii="Times New Roman" w:hAnsi="Times New Roman" w:cs="Times New Roman"/>
              <w:highlight w:val="none"/>
              <w:lang w:val="en-US" w:eastAsia="zh-CN"/>
            </w:rPr>
            <w:t>投资主要指标</w:t>
          </w:r>
          <w:r>
            <w:tab/>
          </w:r>
          <w:r>
            <w:fldChar w:fldCharType="begin"/>
          </w:r>
          <w:r>
            <w:instrText xml:space="preserve"> PAGEREF _Toc11019 \h </w:instrText>
          </w:r>
          <w:r>
            <w:fldChar w:fldCharType="separate"/>
          </w:r>
          <w:r>
            <w:t>84</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_Toc6864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16. </w:t>
          </w:r>
          <w:r>
            <w:rPr>
              <w:rFonts w:hint="eastAsia" w:ascii="Times New Roman" w:hAnsi="Times New Roman" w:cs="Times New Roman"/>
              <w:bCs w:val="0"/>
              <w:szCs w:val="36"/>
              <w:lang w:val="en-US" w:eastAsia="zh-CN"/>
            </w:rPr>
            <w:t>经济评价</w:t>
          </w:r>
          <w:r>
            <w:tab/>
          </w:r>
          <w:r>
            <w:fldChar w:fldCharType="begin"/>
          </w:r>
          <w:r>
            <w:instrText xml:space="preserve"> PAGEREF _Toc6864 \h </w:instrText>
          </w:r>
          <w:r>
            <w:fldChar w:fldCharType="separate"/>
          </w:r>
          <w:r>
            <w:t>85</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_Toc18966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16.1. </w:t>
          </w:r>
          <w:r>
            <w:rPr>
              <w:rFonts w:hint="eastAsia" w:ascii="Times New Roman" w:hAnsi="Times New Roman" w:cs="Times New Roman"/>
              <w:lang w:val="en-US" w:eastAsia="zh-CN"/>
            </w:rPr>
            <w:t>经济评价依据</w:t>
          </w:r>
          <w:r>
            <w:tab/>
          </w:r>
          <w:r>
            <w:fldChar w:fldCharType="begin"/>
          </w:r>
          <w:r>
            <w:instrText xml:space="preserve"> PAGEREF _Toc18966 \h </w:instrText>
          </w:r>
          <w:r>
            <w:fldChar w:fldCharType="separate"/>
          </w:r>
          <w:r>
            <w:t>85</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_Toc11632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16.2. </w:t>
          </w:r>
          <w:r>
            <w:rPr>
              <w:rFonts w:hint="eastAsia" w:ascii="Times New Roman" w:hAnsi="Times New Roman" w:cs="Times New Roman"/>
              <w:lang w:val="en-US" w:eastAsia="zh-CN"/>
            </w:rPr>
            <w:t>国民经济评价</w:t>
          </w:r>
          <w:r>
            <w:tab/>
          </w:r>
          <w:r>
            <w:fldChar w:fldCharType="begin"/>
          </w:r>
          <w:r>
            <w:instrText xml:space="preserve"> PAGEREF _Toc11632 \h </w:instrText>
          </w:r>
          <w:r>
            <w:fldChar w:fldCharType="separate"/>
          </w:r>
          <w:r>
            <w:t>85</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_Toc10510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bCs w:val="0"/>
              <w:szCs w:val="36"/>
              <w:lang w:val="en-US" w:eastAsia="zh-CN"/>
            </w:rPr>
            <w:t xml:space="preserve">17. </w:t>
          </w:r>
          <w:r>
            <w:rPr>
              <w:rFonts w:hint="eastAsia" w:ascii="Times New Roman" w:hAnsi="Times New Roman" w:cs="Times New Roman"/>
              <w:bCs w:val="0"/>
              <w:szCs w:val="36"/>
              <w:lang w:val="en-US" w:eastAsia="zh-CN"/>
            </w:rPr>
            <w:t>结论与建议</w:t>
          </w:r>
          <w:r>
            <w:tab/>
          </w:r>
          <w:r>
            <w:fldChar w:fldCharType="begin"/>
          </w:r>
          <w:r>
            <w:instrText xml:space="preserve"> PAGEREF _Toc10510 \h </w:instrText>
          </w:r>
          <w:r>
            <w:fldChar w:fldCharType="separate"/>
          </w:r>
          <w:r>
            <w:t>87</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_Toc6564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17.1. </w:t>
          </w:r>
          <w:r>
            <w:rPr>
              <w:rFonts w:hint="eastAsia" w:ascii="Times New Roman" w:hAnsi="Times New Roman" w:cs="Times New Roman"/>
              <w:lang w:val="en-US" w:eastAsia="zh-CN"/>
            </w:rPr>
            <w:t>结论</w:t>
          </w:r>
          <w:r>
            <w:tab/>
          </w:r>
          <w:r>
            <w:fldChar w:fldCharType="begin"/>
          </w:r>
          <w:r>
            <w:instrText xml:space="preserve"> PAGEREF _Toc6564 \h </w:instrText>
          </w:r>
          <w:r>
            <w:fldChar w:fldCharType="separate"/>
          </w:r>
          <w:r>
            <w:t>87</w:t>
          </w:r>
          <w:r>
            <w:fldChar w:fldCharType="end"/>
          </w:r>
          <w:r>
            <w:rPr>
              <w:rFonts w:hint="default" w:ascii="Times New Roman" w:hAnsi="Times New Roman" w:eastAsia="黑体" w:cs="Times New Roman"/>
              <w:bCs w:val="0"/>
              <w:i w:val="0"/>
              <w:iCs w:val="0"/>
              <w:caps w:val="0"/>
              <w:smallCaps w:val="0"/>
              <w:szCs w:val="28"/>
            </w:rPr>
            <w:fldChar w:fldCharType="end"/>
          </w:r>
        </w:p>
        <w:p>
          <w:pPr>
            <w:pStyle w:val="2"/>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_Toc24640 </w:instrText>
          </w:r>
          <w:r>
            <w:rPr>
              <w:rFonts w:hint="default" w:ascii="Times New Roman" w:hAnsi="Times New Roman" w:eastAsia="黑体" w:cs="Times New Roman"/>
              <w:bCs w:val="0"/>
              <w:i w:val="0"/>
              <w:iCs w:val="0"/>
              <w:caps w:val="0"/>
              <w:smallCaps w:val="0"/>
              <w:szCs w:val="28"/>
            </w:rPr>
            <w:fldChar w:fldCharType="separate"/>
          </w:r>
          <w:r>
            <w:rPr>
              <w:rFonts w:hint="default" w:ascii="Times New Roman" w:hAnsi="Times New Roman" w:cs="Times New Roman"/>
              <w:lang w:val="en-US" w:eastAsia="zh-CN"/>
            </w:rPr>
            <w:t xml:space="preserve">17.2. </w:t>
          </w:r>
          <w:r>
            <w:rPr>
              <w:rFonts w:hint="eastAsia" w:ascii="Times New Roman" w:hAnsi="Times New Roman" w:cs="Times New Roman"/>
              <w:lang w:val="en-US" w:eastAsia="zh-CN"/>
            </w:rPr>
            <w:t>建议</w:t>
          </w:r>
          <w:r>
            <w:tab/>
          </w:r>
          <w:r>
            <w:fldChar w:fldCharType="begin"/>
          </w:r>
          <w:r>
            <w:instrText xml:space="preserve"> PAGEREF _Toc24640 \h </w:instrText>
          </w:r>
          <w:r>
            <w:fldChar w:fldCharType="separate"/>
          </w:r>
          <w:r>
            <w:t>87</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_Toc15171 </w:instrText>
          </w:r>
          <w:r>
            <w:rPr>
              <w:rFonts w:hint="default" w:ascii="Times New Roman" w:hAnsi="Times New Roman" w:eastAsia="黑体" w:cs="Times New Roman"/>
              <w:bCs w:val="0"/>
              <w:i w:val="0"/>
              <w:iCs w:val="0"/>
              <w:caps w:val="0"/>
              <w:smallCaps w:val="0"/>
              <w:szCs w:val="28"/>
            </w:rPr>
            <w:fldChar w:fldCharType="separate"/>
          </w:r>
          <w:r>
            <w:rPr>
              <w:rFonts w:hint="eastAsia"/>
              <w:lang w:val="en-US" w:eastAsia="zh-CN"/>
            </w:rPr>
            <w:t>附件一 海绵城市图表</w:t>
          </w:r>
          <w:r>
            <w:tab/>
          </w:r>
          <w:r>
            <w:fldChar w:fldCharType="begin"/>
          </w:r>
          <w:r>
            <w:instrText xml:space="preserve"> PAGEREF _Toc15171 \h </w:instrText>
          </w:r>
          <w:r>
            <w:fldChar w:fldCharType="separate"/>
          </w:r>
          <w:r>
            <w:t>88</w:t>
          </w:r>
          <w:r>
            <w:fldChar w:fldCharType="end"/>
          </w:r>
          <w:r>
            <w:rPr>
              <w:rFonts w:hint="default" w:ascii="Times New Roman" w:hAnsi="Times New Roman" w:eastAsia="黑体" w:cs="Times New Roman"/>
              <w:bCs w:val="0"/>
              <w:i w:val="0"/>
              <w:iCs w:val="0"/>
              <w:caps w:val="0"/>
              <w:smallCaps w:val="0"/>
              <w:szCs w:val="28"/>
            </w:rPr>
            <w:fldChar w:fldCharType="end"/>
          </w:r>
        </w:p>
        <w:p>
          <w:pPr>
            <w:pStyle w:val="30"/>
            <w:tabs>
              <w:tab w:val="right" w:leader="dot" w:pos="9071"/>
              <w:tab w:val="clear" w:pos="9061"/>
            </w:tabs>
          </w:pPr>
          <w:r>
            <w:rPr>
              <w:rFonts w:hint="default" w:ascii="Times New Roman" w:hAnsi="Times New Roman" w:eastAsia="黑体" w:cs="Times New Roman"/>
              <w:bCs w:val="0"/>
              <w:i w:val="0"/>
              <w:iCs w:val="0"/>
              <w:caps w:val="0"/>
              <w:smallCaps w:val="0"/>
              <w:szCs w:val="28"/>
            </w:rPr>
            <w:fldChar w:fldCharType="begin"/>
          </w:r>
          <w:r>
            <w:rPr>
              <w:rFonts w:hint="default" w:ascii="Times New Roman" w:hAnsi="Times New Roman" w:eastAsia="黑体" w:cs="Times New Roman"/>
              <w:bCs w:val="0"/>
              <w:i w:val="0"/>
              <w:iCs w:val="0"/>
              <w:caps w:val="0"/>
              <w:smallCaps w:val="0"/>
              <w:szCs w:val="28"/>
            </w:rPr>
            <w:instrText xml:space="preserve"> HYPERLINK \l _Toc30177 </w:instrText>
          </w:r>
          <w:r>
            <w:rPr>
              <w:rFonts w:hint="default" w:ascii="Times New Roman" w:hAnsi="Times New Roman" w:eastAsia="黑体" w:cs="Times New Roman"/>
              <w:bCs w:val="0"/>
              <w:i w:val="0"/>
              <w:iCs w:val="0"/>
              <w:caps w:val="0"/>
              <w:smallCaps w:val="0"/>
              <w:szCs w:val="28"/>
            </w:rPr>
            <w:fldChar w:fldCharType="separate"/>
          </w:r>
          <w:r>
            <w:rPr>
              <w:rFonts w:hint="eastAsia"/>
              <w:lang w:val="en-US" w:eastAsia="zh-CN"/>
            </w:rPr>
            <w:t>附件二 批复文件</w:t>
          </w:r>
          <w:r>
            <w:tab/>
          </w:r>
          <w:r>
            <w:fldChar w:fldCharType="begin"/>
          </w:r>
          <w:r>
            <w:instrText xml:space="preserve"> PAGEREF _Toc30177 \h </w:instrText>
          </w:r>
          <w:r>
            <w:fldChar w:fldCharType="separate"/>
          </w:r>
          <w:r>
            <w:t>96</w:t>
          </w:r>
          <w:r>
            <w:fldChar w:fldCharType="end"/>
          </w:r>
          <w:r>
            <w:rPr>
              <w:rFonts w:hint="default" w:ascii="Times New Roman" w:hAnsi="Times New Roman" w:eastAsia="黑体" w:cs="Times New Roman"/>
              <w:bCs w:val="0"/>
              <w:i w:val="0"/>
              <w:iCs w:val="0"/>
              <w:caps w:val="0"/>
              <w:smallCaps w:val="0"/>
              <w:szCs w:val="28"/>
            </w:rPr>
            <w:fldChar w:fldCharType="end"/>
          </w:r>
        </w:p>
        <w:p>
          <w:pPr>
            <w:pStyle w:val="40"/>
            <w:outlineLvl w:val="9"/>
            <w:rPr>
              <w:rFonts w:hint="default" w:ascii="Times New Roman" w:hAnsi="Times New Roman" w:cs="Times New Roman" w:eastAsiaTheme="minorEastAsia"/>
              <w:sz w:val="28"/>
              <w:szCs w:val="28"/>
            </w:rPr>
          </w:pPr>
          <w:r>
            <w:rPr>
              <w:rFonts w:hint="default" w:ascii="Times New Roman" w:hAnsi="Times New Roman" w:eastAsia="黑体" w:cs="Times New Roman"/>
              <w:bCs w:val="0"/>
              <w:i w:val="0"/>
              <w:iCs w:val="0"/>
              <w:caps w:val="0"/>
              <w:smallCaps w:val="0"/>
              <w:szCs w:val="28"/>
            </w:rPr>
            <w:fldChar w:fldCharType="end"/>
          </w:r>
        </w:p>
      </w:sdtContent>
    </w:sdt>
    <w:p>
      <w:pPr>
        <w:pStyle w:val="40"/>
        <w:outlineLvl w:val="9"/>
        <w:rPr>
          <w:rFonts w:hint="default" w:ascii="Times New Roman" w:hAnsi="Times New Roman" w:cs="Times New Roman" w:eastAsiaTheme="minorEastAsia"/>
          <w:sz w:val="28"/>
          <w:szCs w:val="28"/>
        </w:rPr>
        <w:sectPr>
          <w:footerReference r:id="rId5" w:type="default"/>
          <w:pgSz w:w="11906" w:h="16838"/>
          <w:pgMar w:top="1418" w:right="1304" w:bottom="1418" w:left="1418" w:header="567" w:footer="284" w:gutter="113"/>
          <w:pgNumType w:start="1"/>
          <w:cols w:space="720" w:num="1"/>
          <w:docGrid w:linePitch="466" w:charSpace="859"/>
        </w:sectPr>
      </w:pP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default" w:ascii="Times New Roman" w:hAnsi="Times New Roman" w:cs="Times New Roman"/>
          <w:b/>
          <w:bCs w:val="0"/>
          <w:sz w:val="36"/>
          <w:szCs w:val="36"/>
        </w:rPr>
      </w:pPr>
      <w:bookmarkStart w:id="12" w:name="_Toc3332"/>
      <w:r>
        <w:rPr>
          <w:rFonts w:hint="eastAsia" w:cs="Times New Roman"/>
          <w:b/>
          <w:bCs w:val="0"/>
          <w:sz w:val="36"/>
          <w:szCs w:val="36"/>
          <w:lang w:eastAsia="zh-CN"/>
        </w:rPr>
        <w:t>综合说明</w:t>
      </w:r>
      <w:bookmarkEnd w:id="12"/>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default"/>
          <w:lang w:val="en-US" w:eastAsia="zh-CN"/>
        </w:rPr>
      </w:pPr>
      <w:bookmarkStart w:id="13" w:name="_Toc22046"/>
      <w:r>
        <w:rPr>
          <w:rFonts w:hint="eastAsia"/>
          <w:lang w:val="en-US" w:eastAsia="zh-CN"/>
        </w:rPr>
        <w:t>绪言</w:t>
      </w:r>
      <w:bookmarkEnd w:id="13"/>
    </w:p>
    <w:p>
      <w:pPr>
        <w:pStyle w:val="5"/>
        <w:keepNext w:val="0"/>
        <w:keepLines w:val="0"/>
        <w:pageBreakBefore w:val="0"/>
        <w:widowControl/>
        <w:kinsoku/>
        <w:wordWrap/>
        <w:overflowPunct/>
        <w:topLinePunct w:val="0"/>
        <w:autoSpaceDE/>
        <w:autoSpaceDN/>
        <w:bidi w:val="0"/>
        <w:adjustRightInd/>
        <w:snapToGrid/>
        <w:spacing w:line="360" w:lineRule="auto"/>
        <w:ind w:left="0" w:firstLine="0"/>
        <w:textAlignment w:val="auto"/>
        <w:rPr>
          <w:rFonts w:hint="default" w:ascii="Times New Roman" w:hAnsi="Times New Roman" w:cs="Times New Roman"/>
          <w:lang w:val="en-US" w:eastAsia="zh-CN"/>
        </w:rPr>
      </w:pPr>
      <w:bookmarkStart w:id="14" w:name="_Toc20308"/>
      <w:r>
        <w:rPr>
          <w:rFonts w:hint="eastAsia" w:ascii="Times New Roman" w:hAnsi="Times New Roman" w:cs="Times New Roman"/>
          <w:lang w:val="en-US" w:eastAsia="zh-CN"/>
        </w:rPr>
        <w:t>区域概况</w:t>
      </w:r>
      <w:bookmarkEnd w:id="14"/>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番禺区位于广州市中南部，地处珠三角和粤港澳大湾区的地理中心位置，地理位置优越，水陆交通四通八达，东临狮子洋，与东莞市隔江相望；西及西南以陈村水道和洪奇沥为界，与佛山市南海区、顺德区及中山市相邻；北隔沥滘水道，与广州市海珠区相接；南及东南与广州南沙开发区相邻。</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sz w:val="24"/>
          <w:szCs w:val="24"/>
        </w:rPr>
      </w:pPr>
      <w:r>
        <w:rPr>
          <w:rFonts w:hint="default" w:ascii="Times New Roman" w:hAnsi="Times New Roman" w:cs="Times New Roman" w:eastAsiaTheme="minorEastAsia"/>
          <w:sz w:val="24"/>
          <w:szCs w:val="24"/>
        </w:rPr>
        <w:t>番禺区总面积约530km</w:t>
      </w:r>
      <w:r>
        <w:rPr>
          <w:rFonts w:hint="default" w:ascii="Times New Roman" w:hAnsi="Times New Roman" w:cs="Times New Roman" w:eastAsiaTheme="minorEastAsia"/>
          <w:sz w:val="24"/>
          <w:szCs w:val="24"/>
          <w:vertAlign w:val="superscript"/>
        </w:rPr>
        <w:t>2</w:t>
      </w:r>
      <w:r>
        <w:rPr>
          <w:rFonts w:hint="default" w:ascii="Times New Roman" w:hAnsi="Times New Roman" w:cs="Times New Roman" w:eastAsiaTheme="minorEastAsia"/>
          <w:sz w:val="24"/>
          <w:szCs w:val="24"/>
          <w:lang w:eastAsia="zh-CN"/>
        </w:rPr>
        <w:t>，</w:t>
      </w:r>
      <w:r>
        <w:rPr>
          <w:rFonts w:hint="default" w:ascii="Times New Roman" w:hAnsi="Times New Roman" w:cs="Times New Roman" w:eastAsiaTheme="minorEastAsia"/>
          <w:sz w:val="24"/>
          <w:szCs w:val="24"/>
        </w:rPr>
        <w:t>本项目为</w:t>
      </w:r>
      <w:r>
        <w:rPr>
          <w:rFonts w:hint="eastAsia" w:cs="Times New Roman" w:eastAsiaTheme="minorEastAsia"/>
          <w:sz w:val="24"/>
          <w:szCs w:val="24"/>
          <w:lang w:val="en-US" w:eastAsia="zh-CN"/>
        </w:rPr>
        <w:t>桥南街大蕴涌排涝通道改造工程</w:t>
      </w:r>
      <w:r>
        <w:rPr>
          <w:rFonts w:hint="default" w:ascii="Times New Roman" w:hAnsi="Times New Roman" w:cs="Times New Roman" w:eastAsiaTheme="minorEastAsia"/>
          <w:sz w:val="24"/>
          <w:szCs w:val="24"/>
        </w:rPr>
        <w:t>，</w:t>
      </w:r>
      <w:r>
        <w:rPr>
          <w:rFonts w:hint="default" w:ascii="Times New Roman" w:hAnsi="Times New Roman" w:cs="Times New Roman" w:eastAsiaTheme="minorEastAsia"/>
          <w:sz w:val="24"/>
          <w:szCs w:val="24"/>
          <w:lang w:eastAsia="zh-CN"/>
        </w:rPr>
        <w:t>位于</w:t>
      </w:r>
      <w:r>
        <w:rPr>
          <w:rFonts w:hint="eastAsia" w:cs="Times New Roman" w:eastAsiaTheme="minorEastAsia"/>
          <w:sz w:val="24"/>
          <w:szCs w:val="24"/>
          <w:lang w:eastAsia="zh-CN"/>
        </w:rPr>
        <w:t>福愉东路</w:t>
      </w:r>
      <w:r>
        <w:rPr>
          <w:rFonts w:hint="eastAsia" w:cs="Times New Roman" w:eastAsiaTheme="minorEastAsia"/>
          <w:sz w:val="24"/>
          <w:szCs w:val="24"/>
          <w:lang w:val="en-US" w:eastAsia="zh-CN"/>
        </w:rPr>
        <w:t>以南至二塱水闸段，分二塱西街侧及二塱东街侧</w:t>
      </w:r>
      <w:r>
        <w:rPr>
          <w:rFonts w:hint="eastAsia" w:cs="Times New Roman" w:eastAsiaTheme="minorEastAsia"/>
          <w:color w:val="auto"/>
          <w:sz w:val="24"/>
          <w:szCs w:val="24"/>
          <w:lang w:val="en-US" w:eastAsia="zh-CN"/>
        </w:rPr>
        <w:t>，二塱西街</w:t>
      </w:r>
      <w:r>
        <w:rPr>
          <w:rFonts w:hint="default" w:ascii="Times New Roman" w:hAnsi="Times New Roman" w:cs="Times New Roman" w:eastAsiaTheme="minorEastAsia"/>
          <w:color w:val="auto"/>
          <w:sz w:val="24"/>
          <w:szCs w:val="24"/>
        </w:rPr>
        <w:t>地处广州市番禺区</w:t>
      </w:r>
      <w:r>
        <w:rPr>
          <w:rFonts w:hint="eastAsia" w:cs="Times New Roman" w:eastAsiaTheme="minorEastAsia"/>
          <w:color w:val="auto"/>
          <w:sz w:val="24"/>
          <w:szCs w:val="24"/>
          <w:lang w:val="en-US" w:eastAsia="zh-CN"/>
        </w:rPr>
        <w:t>中心城区的沙湾水道北岸，</w:t>
      </w:r>
      <w:r>
        <w:rPr>
          <w:rFonts w:hint="default" w:ascii="Times New Roman" w:hAnsi="Times New Roman" w:cs="Times New Roman" w:eastAsiaTheme="minorEastAsia"/>
          <w:sz w:val="24"/>
          <w:szCs w:val="24"/>
        </w:rPr>
        <w:t>工程区位及项目工程地理位置见图1.1-1、图1.1-2。</w:t>
      </w:r>
    </w:p>
    <w:p>
      <w:pPr>
        <w:pStyle w:val="387"/>
        <w:keepNext w:val="0"/>
        <w:keepLines w:val="0"/>
        <w:pageBreakBefore w:val="0"/>
        <w:kinsoku/>
        <w:wordWrap/>
        <w:overflowPunct/>
        <w:topLinePunct w:val="0"/>
        <w:autoSpaceDE/>
        <w:autoSpaceDN/>
        <w:bidi w:val="0"/>
        <w:snapToGrid/>
        <w:spacing w:line="360" w:lineRule="auto"/>
        <w:ind w:left="0" w:leftChars="0" w:firstLine="480" w:firstLineChars="200"/>
        <w:jc w:val="both"/>
        <w:rPr>
          <w:rFonts w:hint="default" w:ascii="Times New Roman" w:hAnsi="Times New Roman" w:cs="Times New Roman" w:eastAsiaTheme="minorEastAsia"/>
          <w:sz w:val="24"/>
          <w:szCs w:val="24"/>
        </w:rPr>
      </w:pPr>
      <w:r>
        <w:rPr>
          <w:sz w:val="24"/>
        </w:rPr>
        <mc:AlternateContent>
          <mc:Choice Requires="wps">
            <w:drawing>
              <wp:anchor distT="0" distB="0" distL="114300" distR="114300" simplePos="0" relativeHeight="251661312" behindDoc="0" locked="0" layoutInCell="1" allowOverlap="1">
                <wp:simplePos x="0" y="0"/>
                <wp:positionH relativeFrom="column">
                  <wp:posOffset>2298700</wp:posOffset>
                </wp:positionH>
                <wp:positionV relativeFrom="paragraph">
                  <wp:posOffset>3104515</wp:posOffset>
                </wp:positionV>
                <wp:extent cx="95885" cy="104775"/>
                <wp:effectExtent l="12700" t="12700" r="24765" b="15875"/>
                <wp:wrapNone/>
                <wp:docPr id="19" name="椭圆 19"/>
                <wp:cNvGraphicFramePr/>
                <a:graphic xmlns:a="http://schemas.openxmlformats.org/drawingml/2006/main">
                  <a:graphicData uri="http://schemas.microsoft.com/office/word/2010/wordprocessingShape">
                    <wps:wsp>
                      <wps:cNvSpPr/>
                      <wps:spPr>
                        <a:xfrm>
                          <a:off x="3337560" y="6952615"/>
                          <a:ext cx="95885" cy="104775"/>
                        </a:xfrm>
                        <a:prstGeom prst="ellipse">
                          <a:avLst/>
                        </a:prstGeom>
                        <a:solidFill>
                          <a:schemeClr val="accent2"/>
                        </a:solid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81pt;margin-top:244.45pt;height:8.25pt;width:7.55pt;z-index:251661312;v-text-anchor:middle;mso-width-relative:page;mso-height-relative:page;" fillcolor="#C0504D [3205]" filled="t" stroked="t" coordsize="21600,21600" o:gfxdata="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yGJepN0AAAAL&#10;AQAADwAAAAAAAAABACAAAAAiAAAAZHJzL2Rvd25yZXYueG1sUEsBAhQAFAAAAAgAh07iQE7TKM+J&#10;AgAADgUAAA4AAAAAAAAAAQAgAAAALAEAAGRycy9lMm9Eb2MueG1sUEsFBgAAAAAGAAYAWQEAACcG&#10;AAAAAA==&#10;">
                <v:fill on="t" focussize="0,0"/>
                <v:stroke weight="2pt" color="#376092 [2404]" joinstyle="round"/>
                <v:imagedata o:title=""/>
                <o:lock v:ext="edit" aspectratio="f"/>
              </v:shape>
            </w:pict>
          </mc:Fallback>
        </mc:AlternateContent>
      </w:r>
      <w:r>
        <w:rPr>
          <w:rFonts w:ascii="宋体" w:hAnsi="宋体" w:eastAsia="宋体" w:cs="宋体"/>
          <w:sz w:val="24"/>
          <w:szCs w:val="24"/>
        </w:rPr>
        <w:drawing>
          <wp:inline distT="0" distB="0" distL="114300" distR="114300">
            <wp:extent cx="5334000" cy="3866515"/>
            <wp:effectExtent l="0" t="0" r="0" b="635"/>
            <wp:docPr id="11"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7" descr="IMG_256"/>
                    <pic:cNvPicPr>
                      <a:picLocks noChangeAspect="1"/>
                    </pic:cNvPicPr>
                  </pic:nvPicPr>
                  <pic:blipFill>
                    <a:blip r:embed="rId12"/>
                    <a:srcRect l="1235" t="2823" r="4468" b="8558"/>
                    <a:stretch>
                      <a:fillRect/>
                    </a:stretch>
                  </pic:blipFill>
                  <pic:spPr>
                    <a:xfrm>
                      <a:off x="0" y="0"/>
                      <a:ext cx="5334000" cy="3866515"/>
                    </a:xfrm>
                    <a:prstGeom prst="rect">
                      <a:avLst/>
                    </a:prstGeom>
                    <a:noFill/>
                    <a:ln w="9525">
                      <a:noFill/>
                    </a:ln>
                  </pic:spPr>
                </pic:pic>
              </a:graphicData>
            </a:graphic>
          </wp:inline>
        </w:drawing>
      </w:r>
      <w:r>
        <w:rPr>
          <w:sz w:val="24"/>
        </w:rPr>
        <mc:AlternateContent>
          <mc:Choice Requires="wps">
            <w:drawing>
              <wp:anchor distT="0" distB="0" distL="114300" distR="114300" simplePos="0" relativeHeight="251660288" behindDoc="0" locked="0" layoutInCell="1" allowOverlap="1">
                <wp:simplePos x="0" y="0"/>
                <wp:positionH relativeFrom="column">
                  <wp:posOffset>2470150</wp:posOffset>
                </wp:positionH>
                <wp:positionV relativeFrom="paragraph">
                  <wp:posOffset>3295015</wp:posOffset>
                </wp:positionV>
                <wp:extent cx="971550" cy="373380"/>
                <wp:effectExtent l="113665" t="139700" r="19685" b="20320"/>
                <wp:wrapNone/>
                <wp:docPr id="14" name="矩形标注 14"/>
                <wp:cNvGraphicFramePr/>
                <a:graphic xmlns:a="http://schemas.openxmlformats.org/drawingml/2006/main">
                  <a:graphicData uri="http://schemas.microsoft.com/office/word/2010/wordprocessingShape">
                    <wps:wsp>
                      <wps:cNvSpPr/>
                      <wps:spPr>
                        <a:xfrm>
                          <a:off x="3308985" y="6914515"/>
                          <a:ext cx="971550" cy="373380"/>
                        </a:xfrm>
                        <a:prstGeom prst="wedgeRectCallout">
                          <a:avLst>
                            <a:gd name="adj1" fmla="val -60416"/>
                            <a:gd name="adj2" fmla="val -83956"/>
                          </a:avLst>
                        </a:prstGeom>
                      </wps:spPr>
                      <wps:style>
                        <a:lnRef idx="2">
                          <a:schemeClr val="accent1">
                            <a:lumMod val="75000"/>
                          </a:schemeClr>
                        </a:lnRef>
                        <a:fillRef idx="1">
                          <a:schemeClr val="accent1"/>
                        </a:fillRef>
                        <a:effectRef idx="0">
                          <a:srgbClr val="FFFFFF"/>
                        </a:effectRef>
                        <a:fontRef idx="minor">
                          <a:schemeClr val="lt1"/>
                        </a:fontRef>
                      </wps:style>
                      <wps:txbx>
                        <w:txbxContent>
                          <w:p>
                            <w:pPr>
                              <w:ind w:left="0" w:leftChars="0" w:firstLine="0" w:firstLineChars="0"/>
                              <w:jc w:val="both"/>
                              <w:rPr>
                                <w:rFonts w:hint="default" w:eastAsia="宋体"/>
                                <w:lang w:val="en-US" w:eastAsia="zh-CN"/>
                              </w:rPr>
                            </w:pPr>
                            <w:r>
                              <w:rPr>
                                <w:rFonts w:hint="eastAsia"/>
                                <w:lang w:val="en-US" w:eastAsia="zh-CN"/>
                              </w:rPr>
                              <w:t>工程位置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194.5pt;margin-top:259.45pt;height:29.4pt;width:76.5pt;z-index:251660288;v-text-anchor:middle;mso-width-relative:page;mso-height-relative:page;" fillcolor="#4F81BD [3204]" filled="t" stroked="t" coordsize="21600,21600" o:gfxdata="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" adj="-2250,-7334">
                <v:fill on="t" focussize="0,0"/>
                <v:stroke weight="2pt" color="#376092 [2404]" joinstyle="round"/>
                <v:imagedata o:title=""/>
                <o:lock v:ext="edit" aspectratio="f"/>
                <v:textbox>
                  <w:txbxContent>
                    <w:p>
                      <w:pPr>
                        <w:ind w:left="0" w:leftChars="0" w:firstLine="0" w:firstLineChars="0"/>
                        <w:jc w:val="both"/>
                        <w:rPr>
                          <w:rFonts w:hint="default" w:eastAsia="宋体"/>
                          <w:lang w:val="en-US" w:eastAsia="zh-CN"/>
                        </w:rPr>
                      </w:pPr>
                      <w:r>
                        <w:rPr>
                          <w:rFonts w:hint="eastAsia"/>
                          <w:lang w:val="en-US" w:eastAsia="zh-CN"/>
                        </w:rPr>
                        <w:t>工程位置</w:t>
                      </w:r>
                    </w:p>
                  </w:txbxContent>
                </v:textbox>
              </v:shape>
            </w:pict>
          </mc:Fallback>
        </mc:AlternateContent>
      </w:r>
    </w:p>
    <w:p>
      <w:pPr>
        <w:pStyle w:val="250"/>
        <w:bidi w:val="0"/>
        <w:rPr>
          <w:rFonts w:hint="default"/>
        </w:rPr>
      </w:pPr>
      <w:bookmarkStart w:id="15" w:name="_Toc48820886"/>
      <w:r>
        <w:rPr>
          <w:rFonts w:hint="default"/>
        </w:rPr>
        <w:t>图1.1-1  工程区位图</w:t>
      </w:r>
    </w:p>
    <w:p>
      <w:pPr>
        <w:pStyle w:val="336"/>
        <w:keepNext w:val="0"/>
        <w:keepLines w:val="0"/>
        <w:pageBreakBefore w:val="0"/>
        <w:widowControl/>
        <w:kinsoku/>
        <w:wordWrap/>
        <w:overflowPunct/>
        <w:topLinePunct w:val="0"/>
        <w:autoSpaceDE/>
        <w:autoSpaceDN/>
        <w:bidi w:val="0"/>
        <w:adjustRightInd/>
        <w:snapToGrid/>
        <w:spacing w:afterLines="0" w:line="240" w:lineRule="auto"/>
        <w:ind w:firstLine="0" w:firstLineChars="0"/>
        <w:jc w:val="center"/>
        <w:textAlignment w:val="auto"/>
        <w:rPr>
          <w:color w:val="FF0000"/>
        </w:rPr>
      </w:pPr>
      <w:r>
        <w:rPr>
          <w:sz w:val="28"/>
        </w:rPr>
        <mc:AlternateContent>
          <mc:Choice Requires="wps">
            <w:drawing>
              <wp:anchor distT="0" distB="0" distL="114300" distR="114300" simplePos="0" relativeHeight="251663360" behindDoc="0" locked="0" layoutInCell="1" allowOverlap="1">
                <wp:simplePos x="0" y="0"/>
                <wp:positionH relativeFrom="column">
                  <wp:posOffset>2693670</wp:posOffset>
                </wp:positionH>
                <wp:positionV relativeFrom="paragraph">
                  <wp:posOffset>2069465</wp:posOffset>
                </wp:positionV>
                <wp:extent cx="943610" cy="601345"/>
                <wp:effectExtent l="277495" t="12700" r="17145" b="509905"/>
                <wp:wrapNone/>
                <wp:docPr id="5" name="矩形标注 5"/>
                <wp:cNvGraphicFramePr/>
                <a:graphic xmlns:a="http://schemas.openxmlformats.org/drawingml/2006/main">
                  <a:graphicData uri="http://schemas.microsoft.com/office/word/2010/wordprocessingShape">
                    <wps:wsp>
                      <wps:cNvSpPr/>
                      <wps:spPr>
                        <a:xfrm>
                          <a:off x="3399155" y="4026535"/>
                          <a:ext cx="943610" cy="601345"/>
                        </a:xfrm>
                        <a:prstGeom prst="wedgeRectCallout">
                          <a:avLst>
                            <a:gd name="adj1" fmla="val -78061"/>
                            <a:gd name="adj2" fmla="val 129831"/>
                          </a:avLst>
                        </a:prstGeom>
                        <a:solidFill>
                          <a:srgbClr val="FFFF00"/>
                        </a:solidFill>
                      </wps:spPr>
                      <wps:style>
                        <a:lnRef idx="2">
                          <a:schemeClr val="accent1">
                            <a:lumMod val="75000"/>
                          </a:schemeClr>
                        </a:lnRef>
                        <a:fillRef idx="1">
                          <a:schemeClr val="accent1"/>
                        </a:fillRef>
                        <a:effectRef idx="0">
                          <a:srgbClr val="FFFFFF"/>
                        </a:effectRef>
                        <a:fontRef idx="minor">
                          <a:schemeClr val="lt1"/>
                        </a:fontRef>
                      </wps:style>
                      <wps:txbx>
                        <w:txbxContent>
                          <w:p>
                            <w:pPr>
                              <w:ind w:left="0" w:leftChars="0" w:firstLine="0" w:firstLineChars="0"/>
                              <w:jc w:val="center"/>
                              <w:rPr>
                                <w:rFonts w:hint="default" w:eastAsia="宋体"/>
                                <w:color w:val="FF0000"/>
                                <w:lang w:val="en-US" w:eastAsia="zh-CN"/>
                              </w:rPr>
                            </w:pPr>
                            <w:r>
                              <w:rPr>
                                <w:rFonts w:hint="eastAsia"/>
                                <w:color w:val="FF0000"/>
                                <w:lang w:val="en-US" w:eastAsia="zh-CN"/>
                              </w:rPr>
                              <w:t>二塱西街工程位置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12.1pt;margin-top:162.95pt;height:47.35pt;width:74.3pt;z-index:251663360;v-text-anchor:middle;mso-width-relative:page;mso-height-relative:page;" fillcolor="#FFFF00" filled="t" stroked="t" coordsize="21600,21600" o:gfxdata="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D2Ic7z2QAAAAsB&#10;AAAPAAAAAAAAAAEAIAAAACIAAABkcnMvZG93bnJldi54bWxQSwECFAAUAAAACACHTuJAv6tyccUC&#10;AAB6BQAADgAAAAAAAAABACAAAAAoAQAAZHJzL2Uyb0RvYy54bWxQSwUGAAAAAAYABgBZAQAAXwYA&#10;AAAA&#10;" adj="-6061,38843">
                <v:fill on="t" focussize="0,0"/>
                <v:stroke weight="2pt" color="#376092 [2404]" joinstyle="round"/>
                <v:imagedata o:title=""/>
                <o:lock v:ext="edit" aspectratio="f"/>
                <v:textbox>
                  <w:txbxContent>
                    <w:p>
                      <w:pPr>
                        <w:ind w:left="0" w:leftChars="0" w:firstLine="0" w:firstLineChars="0"/>
                        <w:jc w:val="center"/>
                        <w:rPr>
                          <w:rFonts w:hint="default" w:eastAsia="宋体"/>
                          <w:color w:val="FF0000"/>
                          <w:lang w:val="en-US" w:eastAsia="zh-CN"/>
                        </w:rPr>
                      </w:pPr>
                      <w:r>
                        <w:rPr>
                          <w:rFonts w:hint="eastAsia"/>
                          <w:color w:val="FF0000"/>
                          <w:lang w:val="en-US" w:eastAsia="zh-CN"/>
                        </w:rPr>
                        <w:t>二塱西街工程位置</w:t>
                      </w:r>
                    </w:p>
                  </w:txbxContent>
                </v:textbox>
              </v:shape>
            </w:pict>
          </mc:Fallback>
        </mc:AlternateContent>
      </w:r>
      <w:r>
        <w:rPr>
          <w:color w:val="FF0000"/>
          <w:sz w:val="28"/>
        </w:rPr>
        <mc:AlternateContent>
          <mc:Choice Requires="wps">
            <w:drawing>
              <wp:anchor distT="0" distB="0" distL="114300" distR="114300" simplePos="0" relativeHeight="251662336" behindDoc="0" locked="0" layoutInCell="1" allowOverlap="1">
                <wp:simplePos x="0" y="0"/>
                <wp:positionH relativeFrom="column">
                  <wp:posOffset>2296160</wp:posOffset>
                </wp:positionH>
                <wp:positionV relativeFrom="paragraph">
                  <wp:posOffset>2851150</wp:posOffset>
                </wp:positionV>
                <wp:extent cx="254000" cy="650875"/>
                <wp:effectExtent l="12065" t="4445" r="19685" b="11430"/>
                <wp:wrapNone/>
                <wp:docPr id="16" name="直接连接符 16"/>
                <wp:cNvGraphicFramePr/>
                <a:graphic xmlns:a="http://schemas.openxmlformats.org/drawingml/2006/main">
                  <a:graphicData uri="http://schemas.microsoft.com/office/word/2010/wordprocessingShape">
                    <wps:wsp>
                      <wps:cNvCnPr/>
                      <wps:spPr>
                        <a:xfrm flipH="1">
                          <a:off x="3419475" y="5467350"/>
                          <a:ext cx="254000" cy="650875"/>
                        </a:xfrm>
                        <a:prstGeom prst="line">
                          <a:avLst/>
                        </a:prstGeom>
                        <a:ln>
                          <a:solidFill>
                            <a:srgbClr val="FF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flip:x;margin-left:180.8pt;margin-top:224.5pt;height:51.25pt;width:20pt;z-index:251662336;mso-width-relative:page;mso-height-relative:page;" filled="f" stroked="t" coordsize="21600,21600" o:gfxdata="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aDn/e1gAAAAsBAAAPAAAAAAAAAAEAIAAAACIAAABkcnMvZG93bnJldi54bWxQSwECFAAU&#10;AAAACACHTuJAOyUPMvMBAAC3AwAADgAAAAAAAAABACAAAAAlAQAAZHJzL2Uyb0RvYy54bWxQSwUG&#10;AAAAAAYABgBZAQAAigUAAAAA&#10;">
                <v:fill on="f" focussize="0,0"/>
                <v:stroke weight="2pt" color="#FF0000 [3204]" joinstyle="round"/>
                <v:imagedata o:title=""/>
                <o:lock v:ext="edit" aspectratio="f"/>
              </v:line>
            </w:pict>
          </mc:Fallback>
        </mc:AlternateContent>
      </w:r>
      <w:r>
        <w:rPr>
          <w:color w:val="FF0000"/>
        </w:rPr>
        <w:drawing>
          <wp:inline distT="0" distB="0" distL="114300" distR="114300">
            <wp:extent cx="3592830" cy="4300855"/>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3"/>
                    <a:srcRect t="27747"/>
                    <a:stretch>
                      <a:fillRect/>
                    </a:stretch>
                  </pic:blipFill>
                  <pic:spPr>
                    <a:xfrm>
                      <a:off x="0" y="0"/>
                      <a:ext cx="3592830" cy="4300855"/>
                    </a:xfrm>
                    <a:prstGeom prst="rect">
                      <a:avLst/>
                    </a:prstGeom>
                  </pic:spPr>
                </pic:pic>
              </a:graphicData>
            </a:graphic>
          </wp:inline>
        </w:drawing>
      </w:r>
    </w:p>
    <w:p>
      <w:pPr>
        <w:pStyle w:val="250"/>
        <w:bidi w:val="0"/>
        <w:rPr>
          <w:rFonts w:hint="default"/>
          <w:color w:val="auto"/>
        </w:rPr>
      </w:pPr>
      <w:r>
        <w:rPr>
          <w:rFonts w:hint="default"/>
          <w:color w:val="auto"/>
        </w:rPr>
        <w:t>图1.1-</w:t>
      </w:r>
      <w:r>
        <w:rPr>
          <w:rFonts w:hint="eastAsia"/>
          <w:color w:val="auto"/>
          <w:lang w:val="en-US" w:eastAsia="zh-CN"/>
        </w:rPr>
        <w:t>2</w:t>
      </w:r>
      <w:r>
        <w:rPr>
          <w:rFonts w:hint="default"/>
          <w:color w:val="auto"/>
        </w:rPr>
        <w:t xml:space="preserve"> </w:t>
      </w:r>
      <w:r>
        <w:rPr>
          <w:rFonts w:hint="eastAsia"/>
          <w:color w:val="auto"/>
          <w:lang w:val="en-US" w:eastAsia="zh-CN"/>
        </w:rPr>
        <w:t xml:space="preserve"> 二塱西街</w:t>
      </w:r>
      <w:r>
        <w:rPr>
          <w:rFonts w:hint="default"/>
          <w:color w:val="auto"/>
        </w:rPr>
        <w:t>位置示意图</w:t>
      </w:r>
    </w:p>
    <w:p>
      <w:pPr>
        <w:pStyle w:val="336"/>
        <w:keepNext w:val="0"/>
        <w:keepLines w:val="0"/>
        <w:pageBreakBefore w:val="0"/>
        <w:widowControl/>
        <w:kinsoku/>
        <w:wordWrap/>
        <w:overflowPunct/>
        <w:topLinePunct w:val="0"/>
        <w:autoSpaceDE/>
        <w:autoSpaceDN/>
        <w:bidi w:val="0"/>
        <w:adjustRightInd/>
        <w:snapToGrid/>
        <w:spacing w:afterLines="0" w:line="240" w:lineRule="auto"/>
        <w:ind w:firstLine="0" w:firstLineChars="0"/>
        <w:jc w:val="center"/>
        <w:textAlignment w:val="auto"/>
        <w:rPr>
          <w:rFonts w:hint="default"/>
          <w:color w:val="FF0000"/>
        </w:rPr>
      </w:pPr>
      <w:r>
        <w:rPr>
          <w:sz w:val="28"/>
        </w:rPr>
        <mc:AlternateContent>
          <mc:Choice Requires="wps">
            <w:drawing>
              <wp:anchor distT="0" distB="0" distL="114300" distR="114300" simplePos="0" relativeHeight="251665408" behindDoc="0" locked="0" layoutInCell="1" allowOverlap="1">
                <wp:simplePos x="0" y="0"/>
                <wp:positionH relativeFrom="column">
                  <wp:posOffset>3065145</wp:posOffset>
                </wp:positionH>
                <wp:positionV relativeFrom="paragraph">
                  <wp:posOffset>483235</wp:posOffset>
                </wp:positionV>
                <wp:extent cx="943610" cy="601345"/>
                <wp:effectExtent l="277495" t="12700" r="17145" b="509905"/>
                <wp:wrapNone/>
                <wp:docPr id="15" name="矩形标注 15"/>
                <wp:cNvGraphicFramePr/>
                <a:graphic xmlns:a="http://schemas.openxmlformats.org/drawingml/2006/main">
                  <a:graphicData uri="http://schemas.microsoft.com/office/word/2010/wordprocessingShape">
                    <wps:wsp>
                      <wps:cNvSpPr/>
                      <wps:spPr>
                        <a:xfrm>
                          <a:off x="0" y="0"/>
                          <a:ext cx="943610" cy="601345"/>
                        </a:xfrm>
                        <a:prstGeom prst="wedgeRectCallout">
                          <a:avLst>
                            <a:gd name="adj1" fmla="val -78061"/>
                            <a:gd name="adj2" fmla="val 129831"/>
                          </a:avLst>
                        </a:prstGeom>
                        <a:solidFill>
                          <a:srgbClr val="FFFF00"/>
                        </a:solidFill>
                      </wps:spPr>
                      <wps:style>
                        <a:lnRef idx="2">
                          <a:schemeClr val="accent1">
                            <a:lumMod val="75000"/>
                          </a:schemeClr>
                        </a:lnRef>
                        <a:fillRef idx="1">
                          <a:schemeClr val="accent1"/>
                        </a:fillRef>
                        <a:effectRef idx="0">
                          <a:srgbClr val="FFFFFF"/>
                        </a:effectRef>
                        <a:fontRef idx="minor">
                          <a:schemeClr val="lt1"/>
                        </a:fontRef>
                      </wps:style>
                      <wps:txbx>
                        <w:txbxContent>
                          <w:p>
                            <w:pPr>
                              <w:ind w:left="0" w:leftChars="0" w:firstLine="0" w:firstLineChars="0"/>
                              <w:jc w:val="center"/>
                              <w:rPr>
                                <w:rFonts w:hint="default" w:eastAsia="宋体"/>
                                <w:color w:val="FF0000"/>
                                <w:lang w:val="en-US" w:eastAsia="zh-CN"/>
                              </w:rPr>
                            </w:pPr>
                            <w:r>
                              <w:rPr>
                                <w:rFonts w:hint="eastAsia"/>
                                <w:color w:val="FF0000"/>
                                <w:lang w:val="en-US" w:eastAsia="zh-CN"/>
                              </w:rPr>
                              <w:t>二塱东街工程位置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41.35pt;margin-top:38.05pt;height:47.35pt;width:74.3pt;z-index:251665408;v-text-anchor:middle;mso-width-relative:page;mso-height-relative:page;" fillcolor="#FFFF00" filled="t" stroked="t" coordsize="21600,21600" o:gfxdata="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" adj="-6061,38843">
                <v:fill on="t" focussize="0,0"/>
                <v:stroke weight="2pt" color="#376092 [2404]" joinstyle="round"/>
                <v:imagedata o:title=""/>
                <o:lock v:ext="edit" aspectratio="f"/>
                <v:textbox>
                  <w:txbxContent>
                    <w:p>
                      <w:pPr>
                        <w:ind w:left="0" w:leftChars="0" w:firstLine="0" w:firstLineChars="0"/>
                        <w:jc w:val="center"/>
                        <w:rPr>
                          <w:rFonts w:hint="default" w:eastAsia="宋体"/>
                          <w:color w:val="FF0000"/>
                          <w:lang w:val="en-US" w:eastAsia="zh-CN"/>
                        </w:rPr>
                      </w:pPr>
                      <w:r>
                        <w:rPr>
                          <w:rFonts w:hint="eastAsia"/>
                          <w:color w:val="FF0000"/>
                          <w:lang w:val="en-US" w:eastAsia="zh-CN"/>
                        </w:rPr>
                        <w:t>二塱东街工程位置</w:t>
                      </w:r>
                    </w:p>
                  </w:txbxContent>
                </v:textbox>
              </v:shape>
            </w:pict>
          </mc:Fallback>
        </mc:AlternateContent>
      </w:r>
      <w:r>
        <w:rPr>
          <w:sz w:val="24"/>
        </w:rPr>
        <mc:AlternateContent>
          <mc:Choice Requires="wps">
            <w:drawing>
              <wp:anchor distT="0" distB="0" distL="114300" distR="114300" simplePos="0" relativeHeight="251664384" behindDoc="0" locked="0" layoutInCell="1" allowOverlap="1">
                <wp:simplePos x="0" y="0"/>
                <wp:positionH relativeFrom="column">
                  <wp:posOffset>2703195</wp:posOffset>
                </wp:positionH>
                <wp:positionV relativeFrom="paragraph">
                  <wp:posOffset>1114425</wp:posOffset>
                </wp:positionV>
                <wp:extent cx="142875" cy="838200"/>
                <wp:effectExtent l="12700" t="1905" r="15875" b="17145"/>
                <wp:wrapNone/>
                <wp:docPr id="8" name="直接连接符 8"/>
                <wp:cNvGraphicFramePr/>
                <a:graphic xmlns:a="http://schemas.openxmlformats.org/drawingml/2006/main">
                  <a:graphicData uri="http://schemas.microsoft.com/office/word/2010/wordprocessingShape">
                    <wps:wsp>
                      <wps:cNvCnPr/>
                      <wps:spPr>
                        <a:xfrm flipH="1">
                          <a:off x="3675380" y="6315710"/>
                          <a:ext cx="142875" cy="838200"/>
                        </a:xfrm>
                        <a:prstGeom prst="line">
                          <a:avLst/>
                        </a:prstGeom>
                        <a:ln>
                          <a:solidFill>
                            <a:srgbClr val="FF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flip:x;margin-left:212.85pt;margin-top:87.75pt;height:66pt;width:11.25pt;z-index:251664384;mso-width-relative:page;mso-height-relative:page;" filled="f" stroked="t" coordsize="21600,21600" o:gfxdata="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K2Pc3NcAAAALAQAADwAAAAAAAAABACAAAAAiAAAAZHJzL2Rvd25yZXYueG1sUEsBAhQA&#10;FAAAAAgAh07iQBkVnITzAQAAtQMAAA4AAAAAAAAAAQAgAAAAJgEAAGRycy9lMm9Eb2MueG1sUEsF&#10;BgAAAAAGAAYAWQEAAIsFAAAAAA==&#10;">
                <v:fill on="f" focussize="0,0"/>
                <v:stroke weight="2pt" color="#FF0000 [3204]" joinstyle="round"/>
                <v:imagedata o:title=""/>
                <o:lock v:ext="edit" aspectratio="f"/>
              </v:line>
            </w:pict>
          </mc:Fallback>
        </mc:AlternateContent>
      </w:r>
      <w:r>
        <w:drawing>
          <wp:inline distT="0" distB="0" distL="114300" distR="114300">
            <wp:extent cx="4321175" cy="3915410"/>
            <wp:effectExtent l="0" t="0" r="3175" b="8890"/>
            <wp:docPr id="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1"/>
                    <pic:cNvPicPr>
                      <a:picLocks noChangeAspect="1"/>
                    </pic:cNvPicPr>
                  </pic:nvPicPr>
                  <pic:blipFill>
                    <a:blip r:embed="rId14"/>
                    <a:stretch>
                      <a:fillRect/>
                    </a:stretch>
                  </pic:blipFill>
                  <pic:spPr>
                    <a:xfrm>
                      <a:off x="0" y="0"/>
                      <a:ext cx="4321175" cy="3915410"/>
                    </a:xfrm>
                    <a:prstGeom prst="rect">
                      <a:avLst/>
                    </a:prstGeom>
                    <a:noFill/>
                    <a:ln>
                      <a:noFill/>
                    </a:ln>
                  </pic:spPr>
                </pic:pic>
              </a:graphicData>
            </a:graphic>
          </wp:inline>
        </w:drawing>
      </w:r>
    </w:p>
    <w:p>
      <w:pPr>
        <w:pStyle w:val="250"/>
        <w:bidi w:val="0"/>
        <w:rPr>
          <w:rFonts w:hint="default"/>
          <w:color w:val="auto"/>
        </w:rPr>
      </w:pPr>
      <w:r>
        <w:rPr>
          <w:rFonts w:hint="default"/>
          <w:color w:val="auto"/>
        </w:rPr>
        <w:t>图1.1-</w:t>
      </w:r>
      <w:r>
        <w:rPr>
          <w:rFonts w:hint="eastAsia"/>
          <w:color w:val="auto"/>
          <w:lang w:val="en-US" w:eastAsia="zh-CN"/>
        </w:rPr>
        <w:t>3</w:t>
      </w:r>
      <w:r>
        <w:rPr>
          <w:rFonts w:hint="default"/>
          <w:color w:val="auto"/>
        </w:rPr>
        <w:t xml:space="preserve"> </w:t>
      </w:r>
      <w:r>
        <w:rPr>
          <w:rFonts w:hint="eastAsia"/>
          <w:color w:val="auto"/>
          <w:lang w:val="en-US" w:eastAsia="zh-CN"/>
        </w:rPr>
        <w:t>二塱东街</w:t>
      </w:r>
      <w:r>
        <w:rPr>
          <w:rFonts w:hint="default"/>
          <w:color w:val="auto"/>
        </w:rPr>
        <w:t>位置示意图</w:t>
      </w:r>
    </w:p>
    <w:bookmarkEnd w:id="15"/>
    <w:p>
      <w:pPr>
        <w:pStyle w:val="5"/>
        <w:keepNext w:val="0"/>
        <w:keepLines w:val="0"/>
        <w:pageBreakBefore w:val="0"/>
        <w:widowControl/>
        <w:kinsoku/>
        <w:wordWrap/>
        <w:overflowPunct/>
        <w:topLinePunct w:val="0"/>
        <w:autoSpaceDE/>
        <w:autoSpaceDN/>
        <w:bidi w:val="0"/>
        <w:adjustRightInd/>
        <w:snapToGrid/>
        <w:spacing w:line="360" w:lineRule="auto"/>
        <w:ind w:left="0" w:firstLine="0"/>
        <w:textAlignment w:val="auto"/>
        <w:rPr>
          <w:rFonts w:hint="default" w:ascii="Times New Roman" w:hAnsi="Times New Roman" w:cs="Times New Roman"/>
          <w:lang w:val="en-US" w:eastAsia="zh-CN"/>
        </w:rPr>
      </w:pPr>
      <w:bookmarkStart w:id="16" w:name="_Toc10195"/>
      <w:bookmarkStart w:id="17" w:name="_Toc48820887"/>
      <w:r>
        <w:rPr>
          <w:rFonts w:hint="eastAsia" w:ascii="Times New Roman" w:hAnsi="Times New Roman" w:cs="Times New Roman"/>
          <w:lang w:val="en-US" w:eastAsia="zh-CN"/>
        </w:rPr>
        <w:t>项目背景</w:t>
      </w:r>
      <w:bookmarkEnd w:id="16"/>
    </w:p>
    <w:p>
      <w:pPr>
        <w:pStyle w:val="2"/>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default" w:ascii="Times New Roman" w:hAnsi="Times New Roman" w:cs="Times New Roman" w:eastAsiaTheme="minorEastAsia"/>
          <w:smallCaps w:val="0"/>
          <w:sz w:val="24"/>
          <w:szCs w:val="24"/>
          <w:lang w:val="en-US" w:eastAsia="zh-CN" w:bidi="ar-SA"/>
        </w:rPr>
      </w:pPr>
      <w:r>
        <w:rPr>
          <w:rFonts w:hint="eastAsia" w:cs="Times New Roman" w:eastAsiaTheme="minorEastAsia"/>
          <w:smallCaps w:val="0"/>
          <w:sz w:val="24"/>
          <w:szCs w:val="24"/>
          <w:lang w:val="en-US" w:eastAsia="zh-CN" w:bidi="ar-SA"/>
        </w:rPr>
        <w:t>我司对</w:t>
      </w:r>
      <w:r>
        <w:rPr>
          <w:rFonts w:hint="eastAsia" w:ascii="Times New Roman" w:hAnsi="Times New Roman" w:cs="Times New Roman" w:eastAsiaTheme="minorEastAsia"/>
          <w:smallCaps w:val="0"/>
          <w:sz w:val="24"/>
          <w:szCs w:val="24"/>
          <w:lang w:val="en-US" w:eastAsia="zh-CN" w:bidi="ar-SA"/>
        </w:rPr>
        <w:t>广州市番禺区二塱西街及二塱东街进行勘察，发现大蕴涌</w:t>
      </w:r>
      <w:r>
        <w:rPr>
          <w:rFonts w:hint="eastAsia" w:cs="Times New Roman" w:eastAsiaTheme="minorEastAsia"/>
          <w:smallCaps w:val="0"/>
          <w:sz w:val="24"/>
          <w:szCs w:val="24"/>
          <w:lang w:val="en-US" w:eastAsia="zh-CN" w:bidi="ar-SA"/>
        </w:rPr>
        <w:t>二塱西街侧</w:t>
      </w:r>
      <w:r>
        <w:rPr>
          <w:rFonts w:hint="eastAsia" w:ascii="Times New Roman" w:hAnsi="Times New Roman" w:cs="Times New Roman" w:eastAsiaTheme="minorEastAsia"/>
          <w:b w:val="0"/>
          <w:bCs w:val="0"/>
          <w:smallCaps w:val="0"/>
          <w:sz w:val="24"/>
          <w:szCs w:val="24"/>
          <w:lang w:val="en-US" w:eastAsia="zh-CN" w:bidi="ar-SA"/>
        </w:rPr>
        <w:t>堤顶道路开裂</w:t>
      </w:r>
      <w:r>
        <w:rPr>
          <w:rFonts w:hint="eastAsia" w:cs="Times New Roman" w:eastAsiaTheme="minorEastAsia"/>
          <w:b w:val="0"/>
          <w:bCs w:val="0"/>
          <w:smallCaps w:val="0"/>
          <w:sz w:val="24"/>
          <w:szCs w:val="24"/>
          <w:lang w:val="en-US" w:eastAsia="zh-CN" w:bidi="ar-SA"/>
        </w:rPr>
        <w:t>、墙后回填土掏空，墙顶绿化带下沉、挡墙基础掏空，墙顶产生位移，</w:t>
      </w:r>
      <w:r>
        <w:rPr>
          <w:rFonts w:hint="eastAsia" w:cs="Times New Roman" w:eastAsiaTheme="minorEastAsia"/>
          <w:b w:val="0"/>
          <w:bCs w:val="0"/>
          <w:smallCaps w:val="0"/>
          <w:color w:val="auto"/>
          <w:sz w:val="24"/>
          <w:szCs w:val="24"/>
          <w:lang w:val="en-US" w:eastAsia="zh-CN" w:bidi="ar-SA"/>
        </w:rPr>
        <w:t>河堤沿线污水管破损</w:t>
      </w:r>
      <w:r>
        <w:rPr>
          <w:rFonts w:hint="eastAsia" w:cs="Times New Roman" w:eastAsiaTheme="minorEastAsia"/>
          <w:b w:val="0"/>
          <w:bCs w:val="0"/>
          <w:smallCaps w:val="0"/>
          <w:sz w:val="24"/>
          <w:szCs w:val="24"/>
          <w:lang w:val="en-US" w:eastAsia="zh-CN" w:bidi="ar-SA"/>
        </w:rPr>
        <w:t>；二塱东街侧堤顶道路开裂，为确保大蕴涌防洪排涝安全，需要</w:t>
      </w:r>
      <w:r>
        <w:rPr>
          <w:rFonts w:hint="eastAsia" w:ascii="Times New Roman" w:hAnsi="Times New Roman" w:cs="Times New Roman" w:eastAsiaTheme="minorEastAsia"/>
          <w:smallCaps w:val="0"/>
          <w:sz w:val="24"/>
          <w:szCs w:val="24"/>
          <w:lang w:val="en-US" w:eastAsia="zh-CN" w:bidi="ar-SA"/>
        </w:rPr>
        <w:t>对</w:t>
      </w:r>
      <w:r>
        <w:rPr>
          <w:rFonts w:hint="eastAsia" w:cs="Times New Roman" w:eastAsiaTheme="minorEastAsia"/>
          <w:smallCaps w:val="0"/>
          <w:sz w:val="24"/>
          <w:szCs w:val="24"/>
          <w:lang w:val="en-US" w:eastAsia="zh-CN" w:bidi="ar-SA"/>
        </w:rPr>
        <w:t>桥南街</w:t>
      </w:r>
      <w:r>
        <w:rPr>
          <w:rFonts w:hint="eastAsia" w:ascii="Times New Roman" w:hAnsi="Times New Roman" w:cs="Times New Roman" w:eastAsiaTheme="minorEastAsia"/>
          <w:smallCaps w:val="0"/>
          <w:sz w:val="24"/>
          <w:szCs w:val="24"/>
          <w:lang w:val="en-US" w:eastAsia="zh-CN" w:bidi="ar-SA"/>
        </w:rPr>
        <w:t>大蕴涌</w:t>
      </w:r>
      <w:r>
        <w:rPr>
          <w:rFonts w:hint="eastAsia" w:cs="Times New Roman" w:eastAsiaTheme="minorEastAsia"/>
          <w:sz w:val="24"/>
          <w:szCs w:val="24"/>
          <w:lang w:val="en-US" w:eastAsia="zh-CN"/>
        </w:rPr>
        <w:t>排涝通道进行改造</w:t>
      </w:r>
      <w:r>
        <w:rPr>
          <w:rFonts w:hint="eastAsia" w:ascii="Times New Roman" w:hAnsi="Times New Roman" w:cs="Times New Roman" w:eastAsiaTheme="minorEastAsia"/>
          <w:smallCaps w:val="0"/>
          <w:sz w:val="24"/>
          <w:szCs w:val="24"/>
          <w:lang w:val="en-US" w:eastAsia="zh-CN" w:bidi="ar-SA"/>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highlight w:val="none"/>
          <w:lang w:val="en-US" w:eastAsia="zh-CN"/>
        </w:rPr>
      </w:pPr>
      <w:r>
        <w:rPr>
          <w:rFonts w:hint="eastAsia" w:ascii="Times New Roman" w:hAnsi="Times New Roman" w:cs="Times New Roman" w:eastAsiaTheme="minorEastAsia"/>
          <w:sz w:val="24"/>
          <w:szCs w:val="24"/>
          <w:highlight w:val="none"/>
          <w:lang w:val="en-US" w:eastAsia="zh-CN"/>
        </w:rPr>
        <w:t>2023年12月29日</w:t>
      </w:r>
      <w:r>
        <w:rPr>
          <w:rFonts w:hint="eastAsia" w:cs="Times New Roman" w:eastAsiaTheme="minorEastAsia"/>
          <w:sz w:val="24"/>
          <w:szCs w:val="24"/>
          <w:highlight w:val="none"/>
          <w:lang w:val="en-US" w:eastAsia="zh-CN"/>
        </w:rPr>
        <w:t>，</w:t>
      </w:r>
      <w:r>
        <w:rPr>
          <w:rFonts w:hint="eastAsia" w:ascii="Times New Roman" w:hAnsi="Times New Roman" w:cs="Times New Roman" w:eastAsiaTheme="minorEastAsia"/>
          <w:sz w:val="24"/>
          <w:szCs w:val="24"/>
          <w:highlight w:val="none"/>
          <w:lang w:val="en-US" w:eastAsia="zh-CN"/>
        </w:rPr>
        <w:t>为提升自然灾害应急能力及城市排水防涝能力</w:t>
      </w:r>
      <w:r>
        <w:rPr>
          <w:rFonts w:hint="eastAsia" w:cs="Times New Roman" w:eastAsiaTheme="minorEastAsia"/>
          <w:sz w:val="24"/>
          <w:szCs w:val="24"/>
          <w:highlight w:val="none"/>
          <w:lang w:val="en-US" w:eastAsia="zh-CN"/>
        </w:rPr>
        <w:t>，</w:t>
      </w:r>
      <w:r>
        <w:rPr>
          <w:rFonts w:hint="eastAsia" w:ascii="Times New Roman" w:hAnsi="Times New Roman" w:cs="Times New Roman" w:eastAsiaTheme="minorEastAsia"/>
          <w:sz w:val="24"/>
          <w:szCs w:val="24"/>
          <w:highlight w:val="none"/>
          <w:lang w:val="en-US" w:eastAsia="zh-CN"/>
        </w:rPr>
        <w:t>广州市番禺区发展和改革局发布了《番禺区水务局关于申请番禺区排水防涝能力提升工程可行性研究报告审批的函》，本工程已列入番禺区排水防涝能力提升工程项目。</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highlight w:val="none"/>
          <w:lang w:val="en-US" w:eastAsia="zh-CN"/>
        </w:rPr>
      </w:pPr>
      <w:r>
        <w:rPr>
          <w:rFonts w:hint="eastAsia" w:cs="Times New Roman" w:eastAsiaTheme="minorEastAsia"/>
          <w:sz w:val="24"/>
          <w:szCs w:val="24"/>
          <w:highlight w:val="none"/>
          <w:lang w:val="en-US" w:eastAsia="zh-CN"/>
        </w:rPr>
        <w:t>本报告高程系采用珠基高程系。</w:t>
      </w:r>
    </w:p>
    <w:bookmarkEnd w:id="17"/>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Times New Roman" w:hAnsi="Times New Roman"/>
          <w:lang w:val="en-US" w:eastAsia="zh-CN"/>
        </w:rPr>
      </w:pPr>
      <w:bookmarkStart w:id="18" w:name="_Toc24751"/>
      <w:bookmarkStart w:id="19" w:name="_Toc14059"/>
      <w:bookmarkStart w:id="20" w:name="_Toc48820888"/>
      <w:bookmarkStart w:id="21" w:name="_Toc14213"/>
      <w:bookmarkStart w:id="22" w:name="_Toc4673"/>
      <w:bookmarkStart w:id="23" w:name="_Toc20705"/>
      <w:bookmarkStart w:id="24" w:name="_Toc6943"/>
      <w:bookmarkStart w:id="25" w:name="_Toc19680"/>
      <w:r>
        <w:rPr>
          <w:rFonts w:hint="default" w:ascii="Times New Roman" w:hAnsi="Times New Roman"/>
          <w:lang w:val="en-US" w:eastAsia="zh-CN"/>
        </w:rPr>
        <w:t>水文</w:t>
      </w:r>
      <w:bookmarkEnd w:id="18"/>
      <w:bookmarkEnd w:id="19"/>
      <w:bookmarkEnd w:id="20"/>
      <w:bookmarkEnd w:id="21"/>
      <w:bookmarkEnd w:id="22"/>
      <w:bookmarkEnd w:id="23"/>
      <w:bookmarkEnd w:id="24"/>
      <w:bookmarkEnd w:id="25"/>
      <w:bookmarkStart w:id="26" w:name="_Toc48820889"/>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项目所在区域属亚热带海洋性季风气候，气温受偏南季候风影响，暖湿多雨，光照充足，无霜期长。多年平均气温22.1℃，最高气温38.4℃（2016年7月），最低气温-0.4℃（1967年1月），多年平均相对湿度79%。</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项目所在区域属多雨地区，降雨丰沛，4～9月为雨季，前期4～6月多西南季风，水气充沛，与南下冷空气相遇，常出现强降雨，后期7～9月盛行东南季风，太平洋及南海的热气旋带来大量水气，形成强风暴雨，10月至次年3月盛行东北风，多为旱季。市桥站多年平均雨量为1633mm，最大年降雨量2653mm（1965年），最小年降雨量1030mm（1963年）。实测最大24小时雨量为385mm（1958年9月28日）。降雨量年际变化较大，年雨量极值比较大，达2.6倍。降雨量年内分配不均匀，汛期4～9月占全年总量的80.7%，每年10月至次年3月降雨量少，占全年总量19.3%，造成春旱夏涝；从典型年来看，汛期极值比与多年均值相近为2.5倍，非汛期极值比高达3.2倍，春旱更为显著。</w:t>
      </w:r>
    </w:p>
    <w:p>
      <w:pPr>
        <w:pStyle w:val="43"/>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default"/>
          <w:highlight w:val="none"/>
          <w:lang w:val="en-US" w:eastAsia="zh-CN"/>
        </w:rPr>
      </w:pPr>
      <w:r>
        <w:rPr>
          <w:rFonts w:hint="eastAsia" w:cs="Times New Roman" w:eastAsiaTheme="minorEastAsia"/>
          <w:sz w:val="24"/>
          <w:szCs w:val="24"/>
          <w:highlight w:val="none"/>
          <w:lang w:val="en-US" w:eastAsia="zh-CN"/>
        </w:rPr>
        <w:t>本工程</w:t>
      </w:r>
      <w:r>
        <w:rPr>
          <w:rFonts w:hint="default" w:ascii="Times New Roman" w:hAnsi="Times New Roman" w:cs="Times New Roman" w:eastAsiaTheme="minorEastAsia"/>
          <w:sz w:val="24"/>
          <w:szCs w:val="24"/>
          <w:highlight w:val="none"/>
          <w:lang w:val="en-US" w:eastAsia="zh-CN"/>
        </w:rPr>
        <w:t>设计频率（P=5%）洪水洪峰流量为</w:t>
      </w:r>
      <w:r>
        <w:rPr>
          <w:rFonts w:hint="eastAsia" w:cs="Times New Roman" w:eastAsiaTheme="minorEastAsia"/>
          <w:sz w:val="24"/>
          <w:szCs w:val="24"/>
          <w:highlight w:val="none"/>
          <w:lang w:val="en-US" w:eastAsia="zh-CN"/>
        </w:rPr>
        <w:t>12.25</w:t>
      </w:r>
      <w:r>
        <w:rPr>
          <w:rFonts w:hint="default" w:ascii="Times New Roman" w:hAnsi="Times New Roman" w:cs="Times New Roman" w:eastAsiaTheme="minorEastAsia"/>
          <w:sz w:val="24"/>
          <w:szCs w:val="24"/>
          <w:highlight w:val="none"/>
          <w:lang w:val="en-US" w:eastAsia="zh-CN"/>
        </w:rPr>
        <w:t>m</w:t>
      </w:r>
      <w:r>
        <w:rPr>
          <w:rFonts w:hint="default" w:ascii="Times New Roman" w:hAnsi="Times New Roman" w:cs="Times New Roman" w:eastAsiaTheme="minorEastAsia"/>
          <w:sz w:val="24"/>
          <w:szCs w:val="24"/>
          <w:highlight w:val="none"/>
          <w:vertAlign w:val="superscript"/>
          <w:lang w:val="en-US" w:eastAsia="zh-CN"/>
        </w:rPr>
        <w:t>3</w:t>
      </w:r>
      <w:r>
        <w:rPr>
          <w:rFonts w:hint="default" w:ascii="Times New Roman" w:hAnsi="Times New Roman" w:cs="Times New Roman" w:eastAsiaTheme="minorEastAsia"/>
          <w:sz w:val="24"/>
          <w:szCs w:val="24"/>
          <w:highlight w:val="none"/>
          <w:lang w:val="en-US" w:eastAsia="zh-CN"/>
        </w:rPr>
        <w:t>/s</w:t>
      </w:r>
      <w:r>
        <w:rPr>
          <w:rFonts w:hint="eastAsia" w:ascii="Times New Roman" w:hAnsi="Times New Roman" w:cs="Times New Roman" w:eastAsiaTheme="minorEastAsia"/>
          <w:sz w:val="24"/>
          <w:szCs w:val="24"/>
          <w:highlight w:val="none"/>
          <w:lang w:val="en-US" w:eastAsia="zh-CN"/>
        </w:rPr>
        <w:t>，施工期（P=20%）洪水洪峰流量为9.06</w:t>
      </w:r>
      <w:r>
        <w:rPr>
          <w:rFonts w:hint="default" w:ascii="Times New Roman" w:hAnsi="Times New Roman" w:cs="Times New Roman" w:eastAsiaTheme="minorEastAsia"/>
          <w:sz w:val="24"/>
          <w:szCs w:val="24"/>
          <w:highlight w:val="none"/>
          <w:lang w:val="en-US" w:eastAsia="zh-CN"/>
        </w:rPr>
        <w:t>m</w:t>
      </w:r>
      <w:r>
        <w:rPr>
          <w:rFonts w:hint="default" w:ascii="Times New Roman" w:hAnsi="Times New Roman" w:cs="Times New Roman" w:eastAsiaTheme="minorEastAsia"/>
          <w:sz w:val="24"/>
          <w:szCs w:val="24"/>
          <w:highlight w:val="none"/>
          <w:vertAlign w:val="superscript"/>
          <w:lang w:val="en-US" w:eastAsia="zh-CN"/>
        </w:rPr>
        <w:t>3</w:t>
      </w:r>
      <w:r>
        <w:rPr>
          <w:rFonts w:hint="default" w:ascii="Times New Roman" w:hAnsi="Times New Roman" w:cs="Times New Roman" w:eastAsiaTheme="minorEastAsia"/>
          <w:sz w:val="24"/>
          <w:szCs w:val="24"/>
          <w:highlight w:val="none"/>
          <w:lang w:val="en-US" w:eastAsia="zh-CN"/>
        </w:rPr>
        <w:t>/s</w:t>
      </w:r>
      <w:r>
        <w:rPr>
          <w:rFonts w:hint="eastAsia" w:ascii="Times New Roman" w:hAnsi="Times New Roman" w:cs="Times New Roman" w:eastAsiaTheme="minorEastAsia"/>
          <w:sz w:val="24"/>
          <w:szCs w:val="24"/>
          <w:highlight w:val="none"/>
          <w:lang w:val="en-US" w:eastAsia="zh-CN"/>
        </w:rPr>
        <w:t>。</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Times New Roman" w:hAnsi="Times New Roman"/>
          <w:lang w:val="en-US" w:eastAsia="zh-CN"/>
        </w:rPr>
      </w:pPr>
      <w:bookmarkStart w:id="27" w:name="_Toc21244"/>
      <w:bookmarkStart w:id="28" w:name="_Toc8524"/>
      <w:bookmarkStart w:id="29" w:name="_Toc31487"/>
      <w:bookmarkStart w:id="30" w:name="_Toc21718"/>
      <w:bookmarkStart w:id="31" w:name="_Toc10337"/>
      <w:bookmarkStart w:id="32" w:name="_Toc6412"/>
      <w:bookmarkStart w:id="33" w:name="_Toc21951"/>
      <w:r>
        <w:rPr>
          <w:rFonts w:hint="default" w:ascii="Times New Roman" w:hAnsi="Times New Roman"/>
          <w:lang w:val="en-US" w:eastAsia="zh-CN"/>
        </w:rPr>
        <w:t>工程地质</w:t>
      </w:r>
      <w:bookmarkEnd w:id="26"/>
      <w:bookmarkEnd w:id="27"/>
      <w:bookmarkEnd w:id="28"/>
      <w:bookmarkEnd w:id="29"/>
      <w:bookmarkEnd w:id="30"/>
      <w:bookmarkEnd w:id="31"/>
      <w:bookmarkEnd w:id="32"/>
      <w:bookmarkEnd w:id="33"/>
    </w:p>
    <w:p>
      <w:pPr>
        <w:pStyle w:val="5"/>
        <w:keepNext w:val="0"/>
        <w:keepLines w:val="0"/>
        <w:pageBreakBefore w:val="0"/>
        <w:widowControl/>
        <w:kinsoku/>
        <w:wordWrap/>
        <w:overflowPunct/>
        <w:topLinePunct w:val="0"/>
        <w:autoSpaceDE/>
        <w:autoSpaceDN/>
        <w:bidi w:val="0"/>
        <w:adjustRightInd/>
        <w:snapToGrid/>
        <w:spacing w:line="360" w:lineRule="auto"/>
        <w:ind w:left="0" w:firstLine="0"/>
        <w:textAlignment w:val="auto"/>
        <w:rPr>
          <w:rFonts w:hint="default" w:ascii="Times New Roman" w:hAnsi="Times New Roman" w:cs="Times New Roman"/>
          <w:lang w:eastAsia="zh-CN"/>
        </w:rPr>
      </w:pPr>
      <w:bookmarkStart w:id="34" w:name="_Toc11202"/>
      <w:r>
        <w:rPr>
          <w:rFonts w:hint="default" w:ascii="Times New Roman" w:hAnsi="Times New Roman" w:cs="Times New Roman"/>
          <w:lang w:eastAsia="zh-CN"/>
        </w:rPr>
        <w:t>地形地貌</w:t>
      </w:r>
      <w:bookmarkEnd w:id="34"/>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本次大蕴涌整治工程始于</w:t>
      </w:r>
      <w:r>
        <w:rPr>
          <w:rFonts w:hint="eastAsia" w:cs="Times New Roman" w:eastAsiaTheme="minorEastAsia"/>
          <w:sz w:val="24"/>
          <w:szCs w:val="24"/>
          <w:lang w:val="en-US" w:eastAsia="zh-CN"/>
        </w:rPr>
        <w:t>沙陇运河以南</w:t>
      </w:r>
      <w:r>
        <w:rPr>
          <w:rFonts w:hint="eastAsia" w:ascii="Times New Roman" w:hAnsi="Times New Roman" w:cs="Times New Roman" w:eastAsiaTheme="minorEastAsia"/>
          <w:sz w:val="24"/>
          <w:szCs w:val="24"/>
          <w:lang w:val="en-US" w:eastAsia="zh-CN"/>
        </w:rPr>
        <w:t>，</w:t>
      </w:r>
      <w:r>
        <w:rPr>
          <w:rFonts w:hint="eastAsia" w:cs="Times New Roman" w:eastAsiaTheme="minorEastAsia"/>
          <w:sz w:val="24"/>
          <w:szCs w:val="24"/>
          <w:lang w:val="en-US" w:eastAsia="zh-CN"/>
        </w:rPr>
        <w:t>向南</w:t>
      </w:r>
      <w:r>
        <w:rPr>
          <w:rFonts w:hint="eastAsia" w:ascii="Times New Roman" w:hAnsi="Times New Roman" w:cs="Times New Roman" w:eastAsiaTheme="minorEastAsia"/>
          <w:sz w:val="24"/>
          <w:szCs w:val="24"/>
          <w:lang w:val="en-US" w:eastAsia="zh-CN"/>
        </w:rPr>
        <w:t>止于沙湾水道上的二塱涌水闸处全长约</w:t>
      </w:r>
      <w:r>
        <w:rPr>
          <w:rFonts w:hint="eastAsia" w:cs="Times New Roman" w:eastAsiaTheme="minorEastAsia"/>
          <w:sz w:val="24"/>
          <w:szCs w:val="24"/>
          <w:lang w:val="en-US" w:eastAsia="zh-CN"/>
        </w:rPr>
        <w:t>1.72</w:t>
      </w:r>
      <w:r>
        <w:rPr>
          <w:rFonts w:hint="eastAsia" w:ascii="Times New Roman" w:hAnsi="Times New Roman" w:cs="Times New Roman" w:eastAsiaTheme="minorEastAsia"/>
          <w:sz w:val="24"/>
          <w:szCs w:val="24"/>
          <w:lang w:val="en-US" w:eastAsia="zh-CN"/>
        </w:rPr>
        <w:t>km，地貌单元为三角洲冲积平原，整条河涌拟沿原河涌进行整治。</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color w:val="auto"/>
          <w:sz w:val="24"/>
          <w:szCs w:val="24"/>
          <w:lang w:val="en-US" w:eastAsia="zh-CN"/>
        </w:rPr>
      </w:pPr>
      <w:r>
        <w:rPr>
          <w:rFonts w:hint="eastAsia" w:ascii="Times New Roman" w:hAnsi="Times New Roman" w:cs="Times New Roman" w:eastAsiaTheme="minorEastAsia"/>
          <w:color w:val="auto"/>
          <w:sz w:val="24"/>
          <w:szCs w:val="24"/>
          <w:lang w:val="en-US" w:eastAsia="zh-CN"/>
        </w:rPr>
        <w:t>河涌两侧多种植有翠竹及树木，多处搭建有棚屋及堆放杂物。两侧居民的生活污水经由排污管直接排放至河涌，河床底面高程一般为</w:t>
      </w:r>
      <w:r>
        <w:rPr>
          <w:rFonts w:hint="eastAsia" w:cs="Times New Roman" w:eastAsiaTheme="minorEastAsia"/>
          <w:color w:val="auto"/>
          <w:sz w:val="24"/>
          <w:szCs w:val="24"/>
          <w:lang w:val="en-US" w:eastAsia="zh-CN"/>
        </w:rPr>
        <w:t>-1.80</w:t>
      </w:r>
      <w:r>
        <w:rPr>
          <w:rFonts w:hint="eastAsia" w:ascii="Times New Roman" w:hAnsi="Times New Roman" w:cs="Times New Roman" w:eastAsiaTheme="minorEastAsia"/>
          <w:color w:val="auto"/>
          <w:sz w:val="24"/>
          <w:szCs w:val="24"/>
          <w:lang w:val="en-US" w:eastAsia="zh-CN"/>
        </w:rPr>
        <w:t>～-</w:t>
      </w:r>
      <w:r>
        <w:rPr>
          <w:rFonts w:hint="eastAsia" w:cs="Times New Roman" w:eastAsiaTheme="minorEastAsia"/>
          <w:color w:val="auto"/>
          <w:sz w:val="24"/>
          <w:szCs w:val="24"/>
          <w:lang w:val="en-US" w:eastAsia="zh-CN"/>
        </w:rPr>
        <w:t>1.20</w:t>
      </w:r>
      <w:r>
        <w:rPr>
          <w:rFonts w:hint="eastAsia" w:ascii="Times New Roman" w:hAnsi="Times New Roman" w:cs="Times New Roman" w:eastAsiaTheme="minorEastAsia"/>
          <w:color w:val="auto"/>
          <w:sz w:val="24"/>
          <w:szCs w:val="24"/>
          <w:lang w:val="en-US" w:eastAsia="zh-CN"/>
        </w:rPr>
        <w:t>m，河涌水主要由受市桥水道与沙湾水道补给。</w:t>
      </w:r>
    </w:p>
    <w:p>
      <w:pPr>
        <w:pStyle w:val="5"/>
        <w:keepNext w:val="0"/>
        <w:keepLines w:val="0"/>
        <w:pageBreakBefore w:val="0"/>
        <w:widowControl/>
        <w:kinsoku/>
        <w:wordWrap/>
        <w:overflowPunct/>
        <w:topLinePunct w:val="0"/>
        <w:autoSpaceDE/>
        <w:autoSpaceDN/>
        <w:bidi w:val="0"/>
        <w:adjustRightInd/>
        <w:snapToGrid/>
        <w:spacing w:line="360" w:lineRule="auto"/>
        <w:ind w:left="0" w:firstLine="0"/>
        <w:textAlignment w:val="auto"/>
        <w:rPr>
          <w:rFonts w:hint="default" w:ascii="Times New Roman" w:hAnsi="Times New Roman" w:cs="Times New Roman"/>
          <w:lang w:val="en-US" w:eastAsia="zh-CN"/>
        </w:rPr>
      </w:pPr>
      <w:bookmarkStart w:id="35" w:name="_Toc15839"/>
      <w:r>
        <w:rPr>
          <w:rFonts w:hint="default" w:ascii="Times New Roman" w:hAnsi="Times New Roman" w:cs="Times New Roman"/>
          <w:lang w:val="en-US" w:eastAsia="zh-CN"/>
        </w:rPr>
        <w:t>地层岩性及岩土分布</w:t>
      </w:r>
      <w:bookmarkEnd w:id="35"/>
    </w:p>
    <w:p>
      <w:pPr>
        <w:pStyle w:val="178"/>
        <w:rPr>
          <w:rFonts w:hint="eastAsia" w:ascii="Times New Roman" w:hAnsi="Times New Roman" w:cs="Times New Roman" w:eastAsiaTheme="minorEastAsia"/>
          <w:sz w:val="24"/>
          <w:szCs w:val="24"/>
          <w:lang w:val="en-US" w:eastAsia="zh-CN" w:bidi="ar-SA"/>
        </w:rPr>
      </w:pPr>
      <w:bookmarkStart w:id="36" w:name="_Toc24881"/>
      <w:r>
        <w:rPr>
          <w:rFonts w:hint="eastAsia" w:ascii="Times New Roman" w:hAnsi="Times New Roman" w:cs="Times New Roman" w:eastAsiaTheme="minorEastAsia"/>
          <w:sz w:val="24"/>
          <w:szCs w:val="24"/>
          <w:lang w:val="en-US" w:eastAsia="zh-CN" w:bidi="ar-SA"/>
        </w:rPr>
        <w:t>根据场地钻探结果，在钻孔揭露的深度范围内，场地内岩土层按其成因自上而下可分为：填土层（</w:t>
      </w:r>
      <w:r>
        <w:rPr>
          <w:rFonts w:hint="default" w:ascii="Times New Roman" w:hAnsi="Times New Roman" w:cs="Times New Roman" w:eastAsiaTheme="minorEastAsia"/>
          <w:sz w:val="24"/>
          <w:szCs w:val="24"/>
          <w:lang w:val="en-US" w:eastAsia="zh-CN" w:bidi="ar-SA"/>
        </w:rPr>
        <w:t>Q</w:t>
      </w:r>
      <w:r>
        <w:rPr>
          <w:rFonts w:hint="eastAsia" w:ascii="Times New Roman" w:hAnsi="Times New Roman" w:cs="Times New Roman" w:eastAsiaTheme="minorEastAsia"/>
          <w:sz w:val="24"/>
          <w:szCs w:val="24"/>
          <w:lang w:val="en-US" w:eastAsia="zh-CN" w:bidi="ar-SA"/>
        </w:rPr>
        <w:t>4</w:t>
      </w:r>
      <w:r>
        <w:rPr>
          <w:rFonts w:hint="default" w:ascii="Times New Roman" w:hAnsi="Times New Roman" w:cs="Times New Roman" w:eastAsiaTheme="minorEastAsia"/>
          <w:sz w:val="24"/>
          <w:szCs w:val="24"/>
          <w:lang w:val="en-US" w:eastAsia="zh-CN" w:bidi="ar-SA"/>
        </w:rPr>
        <w:t>ml</w:t>
      </w:r>
      <w:r>
        <w:rPr>
          <w:rFonts w:hint="eastAsia" w:ascii="Times New Roman" w:hAnsi="Times New Roman" w:cs="Times New Roman" w:eastAsiaTheme="minorEastAsia"/>
          <w:sz w:val="24"/>
          <w:szCs w:val="24"/>
          <w:lang w:val="en-US" w:eastAsia="zh-CN" w:bidi="ar-SA"/>
        </w:rPr>
        <w:t>）、海陆交互相软土层（</w:t>
      </w:r>
      <w:r>
        <w:rPr>
          <w:rFonts w:hint="default" w:ascii="Times New Roman" w:hAnsi="Times New Roman" w:cs="Times New Roman" w:eastAsiaTheme="minorEastAsia"/>
          <w:sz w:val="24"/>
          <w:szCs w:val="24"/>
          <w:lang w:val="en-US" w:eastAsia="zh-CN" w:bidi="ar-SA"/>
        </w:rPr>
        <w:t>Q</w:t>
      </w:r>
      <w:r>
        <w:rPr>
          <w:rFonts w:hint="eastAsia" w:ascii="Times New Roman" w:hAnsi="Times New Roman" w:cs="Times New Roman" w:eastAsiaTheme="minorEastAsia"/>
          <w:sz w:val="24"/>
          <w:szCs w:val="24"/>
          <w:lang w:val="en-US" w:eastAsia="zh-CN" w:bidi="ar-SA"/>
        </w:rPr>
        <w:t>4</w:t>
      </w:r>
      <w:r>
        <w:rPr>
          <w:rFonts w:hint="default" w:ascii="Times New Roman" w:hAnsi="Times New Roman" w:cs="Times New Roman" w:eastAsiaTheme="minorEastAsia"/>
          <w:sz w:val="24"/>
          <w:szCs w:val="24"/>
          <w:lang w:val="en-US" w:eastAsia="zh-CN" w:bidi="ar-SA"/>
        </w:rPr>
        <w:t>m</w:t>
      </w:r>
      <w:r>
        <w:rPr>
          <w:rFonts w:hint="eastAsia" w:ascii="Times New Roman" w:hAnsi="Times New Roman" w:cs="Times New Roman" w:eastAsiaTheme="minorEastAsia"/>
          <w:sz w:val="24"/>
          <w:szCs w:val="24"/>
          <w:lang w:val="en-US" w:eastAsia="zh-CN" w:bidi="ar-SA"/>
        </w:rPr>
        <w:t>c）、冲积层（</w:t>
      </w:r>
      <w:r>
        <w:rPr>
          <w:rFonts w:hint="default" w:ascii="Times New Roman" w:hAnsi="Times New Roman" w:cs="Times New Roman" w:eastAsiaTheme="minorEastAsia"/>
          <w:sz w:val="24"/>
          <w:szCs w:val="24"/>
          <w:lang w:val="en-US" w:eastAsia="zh-CN" w:bidi="ar-SA"/>
        </w:rPr>
        <w:t>Q3al</w:t>
      </w:r>
      <w:r>
        <w:rPr>
          <w:rFonts w:hint="eastAsia" w:ascii="Times New Roman" w:hAnsi="Times New Roman" w:cs="Times New Roman" w:eastAsiaTheme="minorEastAsia"/>
          <w:sz w:val="24"/>
          <w:szCs w:val="24"/>
          <w:lang w:val="en-US" w:eastAsia="zh-CN" w:bidi="ar-SA"/>
        </w:rPr>
        <w:t>）、残积层（</w:t>
      </w:r>
      <w:r>
        <w:rPr>
          <w:rFonts w:hint="default" w:ascii="Times New Roman" w:hAnsi="Times New Roman" w:cs="Times New Roman" w:eastAsiaTheme="minorEastAsia"/>
          <w:sz w:val="24"/>
          <w:szCs w:val="24"/>
          <w:lang w:val="en-US" w:eastAsia="zh-CN" w:bidi="ar-SA"/>
        </w:rPr>
        <w:t>Q</w:t>
      </w:r>
      <w:r>
        <w:rPr>
          <w:rFonts w:hint="eastAsia" w:ascii="Times New Roman" w:hAnsi="Times New Roman" w:cs="Times New Roman" w:eastAsiaTheme="minorEastAsia"/>
          <w:sz w:val="24"/>
          <w:szCs w:val="24"/>
          <w:lang w:val="en-US" w:eastAsia="zh-CN" w:bidi="ar-SA"/>
        </w:rPr>
        <w:t>e</w:t>
      </w:r>
      <w:r>
        <w:rPr>
          <w:rFonts w:hint="default" w:ascii="Times New Roman" w:hAnsi="Times New Roman" w:cs="Times New Roman" w:eastAsiaTheme="minorEastAsia"/>
          <w:sz w:val="24"/>
          <w:szCs w:val="24"/>
          <w:lang w:val="en-US" w:eastAsia="zh-CN" w:bidi="ar-SA"/>
        </w:rPr>
        <w:t>l</w:t>
      </w:r>
      <w:r>
        <w:rPr>
          <w:rFonts w:hint="eastAsia" w:ascii="Times New Roman" w:hAnsi="Times New Roman" w:cs="Times New Roman" w:eastAsiaTheme="minorEastAsia"/>
          <w:sz w:val="24"/>
          <w:szCs w:val="24"/>
          <w:lang w:val="en-US" w:eastAsia="zh-CN" w:bidi="ar-SA"/>
        </w:rPr>
        <w:t>）和基岩（K）5个大层，再按岩土性质又可进一步细分10个亚层。</w:t>
      </w:r>
    </w:p>
    <w:p>
      <w:pPr>
        <w:pStyle w:val="5"/>
        <w:keepNext w:val="0"/>
        <w:keepLines w:val="0"/>
        <w:pageBreakBefore w:val="0"/>
        <w:widowControl/>
        <w:kinsoku/>
        <w:wordWrap/>
        <w:overflowPunct/>
        <w:topLinePunct w:val="0"/>
        <w:autoSpaceDE/>
        <w:autoSpaceDN/>
        <w:bidi w:val="0"/>
        <w:adjustRightInd/>
        <w:snapToGrid/>
        <w:spacing w:line="360" w:lineRule="auto"/>
        <w:ind w:left="0" w:firstLine="0"/>
        <w:textAlignment w:val="auto"/>
        <w:rPr>
          <w:rFonts w:hint="default" w:ascii="Times New Roman" w:hAnsi="Times New Roman" w:cs="Times New Roman"/>
          <w:lang w:eastAsia="zh-CN"/>
        </w:rPr>
      </w:pPr>
      <w:bookmarkStart w:id="37" w:name="_Toc22774"/>
      <w:r>
        <w:rPr>
          <w:rFonts w:hint="default" w:ascii="Times New Roman" w:hAnsi="Times New Roman" w:cs="Times New Roman"/>
          <w:lang w:eastAsia="zh-CN"/>
        </w:rPr>
        <w:t>地</w:t>
      </w:r>
      <w:bookmarkEnd w:id="36"/>
      <w:r>
        <w:rPr>
          <w:rFonts w:hint="default" w:ascii="Times New Roman" w:hAnsi="Times New Roman" w:cs="Times New Roman"/>
          <w:lang w:eastAsia="zh-CN"/>
        </w:rPr>
        <w:t>震烈度</w:t>
      </w:r>
      <w:bookmarkEnd w:id="37"/>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工程区在区域上位于东南沿海地震活动带的内带，地震强度明显弱于滨海地区的外带。附近地区历史上对工程区影响最大的地震是1962年河源6.1级地震，影响烈度是Ⅴ～Ⅵ度，由此可见，近场区地震活动相对较弱，频度相对较低。</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根据《中国地震烈度区划图（2016）》《中国地震动参数区划图》（GB18306—2015），本区地震设防烈度7</w:t>
      </w:r>
      <w:r>
        <w:rPr>
          <w:rFonts w:hint="default" w:ascii="Times New Roman" w:hAnsi="Times New Roman" w:cs="Times New Roman" w:eastAsiaTheme="minorEastAsia"/>
          <w:sz w:val="24"/>
          <w:szCs w:val="24"/>
          <w:lang w:val="en-US" w:eastAsia="zh-CN"/>
        </w:rPr>
        <w:sym w:font="Symbol" w:char="F0B0"/>
      </w:r>
      <w:r>
        <w:rPr>
          <w:rFonts w:hint="default" w:ascii="Times New Roman" w:hAnsi="Times New Roman" w:cs="Times New Roman" w:eastAsiaTheme="minorEastAsia"/>
          <w:sz w:val="24"/>
          <w:szCs w:val="24"/>
          <w:lang w:val="en-US" w:eastAsia="zh-CN"/>
        </w:rPr>
        <w:t>，设计基本地震加速度值为0.10g。</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Times New Roman" w:hAnsi="Times New Roman"/>
          <w:lang w:val="en-US" w:eastAsia="zh-CN"/>
        </w:rPr>
      </w:pPr>
      <w:bookmarkStart w:id="38" w:name="_Toc8601"/>
      <w:r>
        <w:rPr>
          <w:rFonts w:hint="default" w:ascii="Times New Roman" w:hAnsi="Times New Roman"/>
          <w:lang w:val="en-US" w:eastAsia="zh-CN"/>
        </w:rPr>
        <w:t>工程任务和规模</w:t>
      </w:r>
      <w:bookmarkEnd w:id="38"/>
    </w:p>
    <w:p>
      <w:pPr>
        <w:rPr>
          <w:rFonts w:hint="default" w:ascii="Times New Roman" w:hAnsi="Times New Roman" w:cs="Times New Roman" w:eastAsiaTheme="minorEastAsia"/>
          <w:sz w:val="24"/>
          <w:szCs w:val="24"/>
          <w:lang w:val="en-US" w:eastAsia="zh-CN"/>
        </w:rPr>
      </w:pPr>
      <w:r>
        <w:rPr>
          <w:rFonts w:hint="eastAsia"/>
          <w:lang w:val="en-US" w:eastAsia="zh-CN"/>
        </w:rPr>
        <w:t>本工程任务为消除大蕴涌沿线防洪排涝隐患，保障大蕴涌行洪排涝通畅及居民生命财产安全。</w:t>
      </w:r>
    </w:p>
    <w:p>
      <w:pPr>
        <w:rPr>
          <w:rFonts w:hint="default"/>
          <w:lang w:val="en-US" w:eastAsia="zh-CN"/>
        </w:rPr>
      </w:pPr>
      <w:r>
        <w:rPr>
          <w:rFonts w:hint="eastAsia"/>
          <w:highlight w:val="none"/>
          <w:lang w:val="en-US" w:eastAsia="zh-CN"/>
        </w:rPr>
        <w:t>本工程</w:t>
      </w:r>
      <w:r>
        <w:rPr>
          <w:rFonts w:hint="eastAsia" w:ascii="Times New Roman" w:hAnsi="Times New Roman" w:cs="Times New Roman" w:eastAsiaTheme="minorEastAsia"/>
          <w:bCs/>
          <w:sz w:val="24"/>
          <w:szCs w:val="24"/>
          <w:lang w:val="en-US" w:eastAsia="zh-CN" w:bidi="ar-SA"/>
        </w:rPr>
        <w:t>分二塱西街侧及二塱东街侧，其中二塱西街侧改造范围位于二塱水闸上游约1</w:t>
      </w:r>
      <w:r>
        <w:rPr>
          <w:rFonts w:hint="eastAsia" w:cs="Times New Roman" w:eastAsiaTheme="minorEastAsia"/>
          <w:bCs/>
          <w:sz w:val="24"/>
          <w:szCs w:val="24"/>
          <w:lang w:val="en-US" w:eastAsia="zh-CN" w:bidi="ar-SA"/>
        </w:rPr>
        <w:t>6</w:t>
      </w:r>
      <w:r>
        <w:rPr>
          <w:rFonts w:hint="eastAsia" w:ascii="Times New Roman" w:hAnsi="Times New Roman" w:cs="Times New Roman" w:eastAsiaTheme="minorEastAsia"/>
          <w:bCs/>
          <w:sz w:val="24"/>
          <w:szCs w:val="24"/>
          <w:lang w:val="en-US" w:eastAsia="zh-CN" w:bidi="ar-SA"/>
        </w:rPr>
        <w:t>0~320m处，改造总长度为1</w:t>
      </w:r>
      <w:r>
        <w:rPr>
          <w:rFonts w:hint="eastAsia" w:cs="Times New Roman" w:eastAsiaTheme="minorEastAsia"/>
          <w:bCs/>
          <w:sz w:val="24"/>
          <w:szCs w:val="24"/>
          <w:lang w:val="en-US" w:eastAsia="zh-CN" w:bidi="ar-SA"/>
        </w:rPr>
        <w:t>6</w:t>
      </w:r>
      <w:r>
        <w:rPr>
          <w:rFonts w:hint="eastAsia" w:ascii="Times New Roman" w:hAnsi="Times New Roman" w:cs="Times New Roman" w:eastAsiaTheme="minorEastAsia"/>
          <w:bCs/>
          <w:sz w:val="24"/>
          <w:szCs w:val="24"/>
          <w:lang w:val="en-US" w:eastAsia="zh-CN" w:bidi="ar-SA"/>
        </w:rPr>
        <w:t>0m；二塱东街侧改造范围位于福愉东路以南约50~8</w:t>
      </w:r>
      <w:r>
        <w:rPr>
          <w:rFonts w:hint="eastAsia" w:cs="Times New Roman" w:eastAsiaTheme="minorEastAsia"/>
          <w:bCs/>
          <w:sz w:val="24"/>
          <w:szCs w:val="24"/>
          <w:lang w:val="en-US" w:eastAsia="zh-CN" w:bidi="ar-SA"/>
        </w:rPr>
        <w:t>6</w:t>
      </w:r>
      <w:r>
        <w:rPr>
          <w:rFonts w:hint="eastAsia" w:ascii="Times New Roman" w:hAnsi="Times New Roman" w:cs="Times New Roman" w:eastAsiaTheme="minorEastAsia"/>
          <w:bCs/>
          <w:sz w:val="24"/>
          <w:szCs w:val="24"/>
          <w:lang w:val="en-US" w:eastAsia="zh-CN" w:bidi="ar-SA"/>
        </w:rPr>
        <w:t>m处，改造总长度为3</w:t>
      </w:r>
      <w:r>
        <w:rPr>
          <w:rFonts w:hint="eastAsia" w:cs="Times New Roman" w:eastAsiaTheme="minorEastAsia"/>
          <w:bCs/>
          <w:sz w:val="24"/>
          <w:szCs w:val="24"/>
          <w:lang w:val="en-US" w:eastAsia="zh-CN" w:bidi="ar-SA"/>
        </w:rPr>
        <w:t>6</w:t>
      </w:r>
      <w:r>
        <w:rPr>
          <w:rFonts w:hint="eastAsia" w:ascii="Times New Roman" w:hAnsi="Times New Roman" w:cs="Times New Roman" w:eastAsiaTheme="minorEastAsia"/>
          <w:bCs/>
          <w:sz w:val="24"/>
          <w:szCs w:val="24"/>
          <w:lang w:val="en-US" w:eastAsia="zh-CN" w:bidi="ar-SA"/>
        </w:rPr>
        <w:t>m。</w:t>
      </w:r>
      <w:r>
        <w:rPr>
          <w:rFonts w:hint="eastAsia" w:cs="Times New Roman" w:eastAsiaTheme="minorEastAsia"/>
          <w:bCs/>
          <w:sz w:val="24"/>
          <w:szCs w:val="24"/>
          <w:lang w:val="en-US" w:eastAsia="zh-CN" w:bidi="ar-SA"/>
        </w:rPr>
        <w:t>其中：</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default" w:ascii="Times New Roman" w:hAnsi="Times New Roman" w:eastAsia="宋体"/>
          <w:lang w:val="en-US" w:eastAsia="zh-CN"/>
        </w:rPr>
      </w:pPr>
      <w:r>
        <w:rPr>
          <w:rFonts w:hint="default" w:ascii="Times New Roman" w:hAnsi="Times New Roman" w:eastAsia="宋体"/>
          <w:lang w:val="en-US" w:eastAsia="zh-CN"/>
        </w:rPr>
        <w:t>二塱东街：</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default" w:ascii="Times New Roman" w:hAnsi="Times New Roman" w:eastAsia="宋体"/>
          <w:lang w:val="en-US" w:eastAsia="zh-CN"/>
        </w:rPr>
      </w:pPr>
      <w:r>
        <w:rPr>
          <w:rFonts w:hint="default" w:ascii="Times New Roman" w:hAnsi="Times New Roman" w:eastAsia="宋体"/>
          <w:lang w:val="en-US" w:eastAsia="zh-CN"/>
        </w:rPr>
        <w:t>（1）堤身灌浆</w:t>
      </w:r>
      <w:r>
        <w:rPr>
          <w:rFonts w:hint="eastAsia" w:ascii="Times New Roman" w:hAnsi="Times New Roman" w:eastAsia="宋体"/>
          <w:lang w:val="en-US" w:eastAsia="zh-CN"/>
        </w:rPr>
        <w:t>、</w:t>
      </w:r>
      <w:r>
        <w:rPr>
          <w:rFonts w:hint="default" w:ascii="Times New Roman" w:hAnsi="Times New Roman" w:eastAsia="宋体"/>
          <w:lang w:val="en-US" w:eastAsia="zh-CN"/>
        </w:rPr>
        <w:t>重建堤顶路基及路面长度为3</w:t>
      </w:r>
      <w:r>
        <w:rPr>
          <w:rFonts w:hint="eastAsia"/>
          <w:lang w:val="en-US" w:eastAsia="zh-CN"/>
        </w:rPr>
        <w:t>6</w:t>
      </w:r>
      <w:r>
        <w:rPr>
          <w:rFonts w:hint="default" w:ascii="Times New Roman" w:hAnsi="Times New Roman" w:eastAsia="宋体"/>
          <w:lang w:val="en-US" w:eastAsia="zh-CN"/>
        </w:rPr>
        <w:t>m；</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default" w:ascii="Times New Roman" w:hAnsi="Times New Roman" w:eastAsia="宋体"/>
          <w:lang w:val="en-US" w:eastAsia="zh-CN"/>
        </w:rPr>
      </w:pPr>
      <w:r>
        <w:rPr>
          <w:rFonts w:hint="default" w:ascii="Times New Roman" w:hAnsi="Times New Roman" w:eastAsia="宋体"/>
          <w:lang w:val="en-US" w:eastAsia="zh-CN"/>
        </w:rPr>
        <w:t>二塱西街：</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default" w:ascii="Times New Roman" w:hAnsi="Times New Roman" w:eastAsia="宋体"/>
          <w:lang w:val="en-US" w:eastAsia="zh-CN"/>
        </w:rPr>
      </w:pPr>
      <w:r>
        <w:rPr>
          <w:rFonts w:hint="default" w:ascii="Times New Roman" w:hAnsi="Times New Roman" w:eastAsia="宋体"/>
          <w:lang w:val="en-US" w:eastAsia="zh-CN"/>
        </w:rPr>
        <w:t>（1）重建外侧钢筋砼挡墙，修复墙顶石材栏杆长度约29m；</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default" w:ascii="Times New Roman" w:hAnsi="Times New Roman" w:eastAsia="宋体"/>
          <w:lang w:val="en-US" w:eastAsia="zh-CN"/>
        </w:rPr>
      </w:pPr>
      <w:r>
        <w:rPr>
          <w:rFonts w:hint="default" w:ascii="Times New Roman" w:hAnsi="Times New Roman" w:eastAsia="宋体"/>
          <w:lang w:val="en-US" w:eastAsia="zh-CN"/>
        </w:rPr>
        <w:t>（2）堤身灌浆</w:t>
      </w:r>
      <w:r>
        <w:rPr>
          <w:rFonts w:hint="eastAsia" w:ascii="Times New Roman" w:hAnsi="Times New Roman" w:eastAsia="宋体"/>
          <w:lang w:val="en-US" w:eastAsia="zh-CN"/>
        </w:rPr>
        <w:t>、</w:t>
      </w:r>
      <w:r>
        <w:rPr>
          <w:rFonts w:hint="default" w:ascii="Times New Roman" w:hAnsi="Times New Roman" w:eastAsia="宋体"/>
          <w:lang w:val="en-US" w:eastAsia="zh-CN"/>
        </w:rPr>
        <w:t>重建堤顶路基及路面，长度为1</w:t>
      </w:r>
      <w:r>
        <w:rPr>
          <w:rFonts w:hint="eastAsia"/>
          <w:lang w:val="en-US" w:eastAsia="zh-CN"/>
        </w:rPr>
        <w:t>6</w:t>
      </w:r>
      <w:r>
        <w:rPr>
          <w:rFonts w:hint="default" w:ascii="Times New Roman" w:hAnsi="Times New Roman" w:eastAsia="宋体"/>
          <w:lang w:val="en-US" w:eastAsia="zh-CN"/>
        </w:rPr>
        <w:t>0m；</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default" w:ascii="Times New Roman" w:hAnsi="Times New Roman" w:eastAsia="宋体"/>
          <w:lang w:val="en-US" w:eastAsia="zh-CN"/>
        </w:rPr>
      </w:pPr>
      <w:r>
        <w:rPr>
          <w:rFonts w:hint="default" w:ascii="Times New Roman" w:hAnsi="Times New Roman" w:eastAsia="宋体"/>
          <w:lang w:val="en-US" w:eastAsia="zh-CN"/>
        </w:rPr>
        <w:t>（3）修复路侧绿化灌木带，长度为48m；</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eastAsia" w:asciiTheme="minorEastAsia" w:hAnsiTheme="minorEastAsia" w:eastAsiaTheme="minorEastAsia" w:cstheme="minorEastAsia"/>
          <w:sz w:val="24"/>
          <w:szCs w:val="24"/>
          <w:highlight w:val="none"/>
          <w:lang w:val="en-US" w:eastAsia="zh-CN"/>
        </w:rPr>
      </w:pPr>
      <w:r>
        <w:rPr>
          <w:rFonts w:hint="default" w:ascii="Times New Roman" w:hAnsi="Times New Roman" w:eastAsia="宋体"/>
          <w:highlight w:val="none"/>
          <w:lang w:val="en-US" w:eastAsia="zh-CN"/>
        </w:rPr>
        <w:t>（4）重建堤顶沿线污水管，长度为4</w:t>
      </w:r>
      <w:r>
        <w:rPr>
          <w:rFonts w:hint="eastAsia"/>
          <w:highlight w:val="none"/>
          <w:lang w:val="en-US" w:eastAsia="zh-CN"/>
        </w:rPr>
        <w:t>3</w:t>
      </w:r>
      <w:r>
        <w:rPr>
          <w:rFonts w:hint="default" w:ascii="Times New Roman" w:hAnsi="Times New Roman" w:eastAsia="宋体"/>
          <w:highlight w:val="none"/>
          <w:lang w:val="en-US" w:eastAsia="zh-CN"/>
        </w:rPr>
        <w:t>m。</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Times New Roman" w:hAnsi="Times New Roman"/>
          <w:lang w:val="en-US" w:eastAsia="zh-CN"/>
        </w:rPr>
      </w:pPr>
      <w:bookmarkStart w:id="39" w:name="_Toc3949"/>
      <w:r>
        <w:rPr>
          <w:rFonts w:hint="default" w:ascii="Times New Roman" w:hAnsi="Times New Roman"/>
          <w:lang w:val="en-US" w:eastAsia="zh-CN"/>
        </w:rPr>
        <w:t>工程布置及建筑物</w:t>
      </w:r>
      <w:bookmarkEnd w:id="39"/>
    </w:p>
    <w:p>
      <w:pPr>
        <w:pStyle w:val="5"/>
        <w:keepNext w:val="0"/>
        <w:keepLines w:val="0"/>
        <w:pageBreakBefore w:val="0"/>
        <w:widowControl/>
        <w:kinsoku/>
        <w:wordWrap/>
        <w:overflowPunct/>
        <w:topLinePunct w:val="0"/>
        <w:autoSpaceDE/>
        <w:autoSpaceDN/>
        <w:bidi w:val="0"/>
        <w:adjustRightInd/>
        <w:snapToGrid/>
        <w:spacing w:line="360" w:lineRule="auto"/>
        <w:ind w:left="0" w:firstLine="0"/>
        <w:textAlignment w:val="auto"/>
        <w:rPr>
          <w:rFonts w:hint="default" w:ascii="Times New Roman" w:hAnsi="Times New Roman" w:cs="Times New Roman"/>
          <w:lang w:val="en-US" w:eastAsia="zh-CN"/>
        </w:rPr>
      </w:pPr>
      <w:bookmarkStart w:id="40" w:name="_Toc28267"/>
      <w:r>
        <w:rPr>
          <w:rFonts w:hint="default" w:ascii="Times New Roman" w:hAnsi="Times New Roman" w:cs="Times New Roman"/>
          <w:lang w:val="en-US" w:eastAsia="zh-CN"/>
        </w:rPr>
        <w:t>设计标准及工程等级</w:t>
      </w:r>
      <w:bookmarkEnd w:id="40"/>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cs="Times New Roman" w:eastAsiaTheme="minorEastAsia"/>
          <w:sz w:val="24"/>
          <w:szCs w:val="24"/>
          <w:highlight w:val="none"/>
          <w:lang w:val="en-US" w:eastAsia="zh-CN"/>
        </w:rPr>
      </w:pPr>
      <w:r>
        <w:rPr>
          <w:color w:val="000000" w:themeColor="text1"/>
          <w:sz w:val="24"/>
          <w:szCs w:val="24"/>
          <w:highlight w:val="none"/>
          <w14:textFill>
            <w14:solidFill>
              <w14:schemeClr w14:val="tx1"/>
            </w14:solidFill>
          </w14:textFill>
        </w:rPr>
        <w:t>根据《防洪标准》（GB50201-2014）、《广东省防洪（潮）标准和治涝》（粤水电总字[1995]4号文）并参照《广州市番禺区防洪（潮）排涝规划》的要求，</w:t>
      </w:r>
      <w:r>
        <w:rPr>
          <w:rFonts w:hint="eastAsia"/>
          <w:color w:val="000000" w:themeColor="text1"/>
          <w:sz w:val="24"/>
          <w:szCs w:val="24"/>
          <w:highlight w:val="none"/>
          <w:lang w:eastAsia="zh-CN"/>
          <w14:textFill>
            <w14:solidFill>
              <w14:schemeClr w14:val="tx1"/>
            </w14:solidFill>
          </w14:textFill>
        </w:rPr>
        <w:t>确定本工程</w:t>
      </w:r>
      <w:r>
        <w:rPr>
          <w:color w:val="000000" w:themeColor="text1"/>
          <w:sz w:val="24"/>
          <w:szCs w:val="24"/>
          <w:highlight w:val="none"/>
          <w14:textFill>
            <w14:solidFill>
              <w14:schemeClr w14:val="tx1"/>
            </w14:solidFill>
          </w14:textFill>
        </w:rPr>
        <w:t>排涝标准</w:t>
      </w:r>
      <w:r>
        <w:rPr>
          <w:rFonts w:hint="eastAsia"/>
          <w:color w:val="000000" w:themeColor="text1"/>
          <w:sz w:val="24"/>
          <w:szCs w:val="24"/>
          <w:highlight w:val="none"/>
          <w:lang w:eastAsia="zh-CN"/>
          <w14:textFill>
            <w14:solidFill>
              <w14:schemeClr w14:val="tx1"/>
            </w14:solidFill>
          </w14:textFill>
        </w:rPr>
        <w:t>为</w:t>
      </w:r>
      <w:r>
        <w:rPr>
          <w:color w:val="000000" w:themeColor="text1"/>
          <w:sz w:val="24"/>
          <w:szCs w:val="24"/>
          <w:highlight w:val="none"/>
          <w14:textFill>
            <w14:solidFill>
              <w14:schemeClr w14:val="tx1"/>
            </w14:solidFill>
          </w14:textFill>
        </w:rPr>
        <w:t>20年一遇24小时暴雨不成灾</w:t>
      </w:r>
      <w:r>
        <w:rPr>
          <w:rFonts w:hint="eastAsia"/>
          <w:color w:val="000000" w:themeColor="text1"/>
          <w:sz w:val="24"/>
          <w:szCs w:val="24"/>
          <w:highlight w:val="none"/>
          <w:lang w:eastAsia="zh-CN"/>
          <w14:textFill>
            <w14:solidFill>
              <w14:schemeClr w14:val="tx1"/>
            </w14:solidFill>
          </w14:textFill>
        </w:rPr>
        <w:t>。</w:t>
      </w:r>
      <w:r>
        <w:rPr>
          <w:rFonts w:hint="eastAsia" w:cs="Times New Roman" w:eastAsiaTheme="minorEastAsia"/>
          <w:color w:val="auto"/>
          <w:sz w:val="24"/>
          <w:szCs w:val="24"/>
          <w:highlight w:val="none"/>
          <w:lang w:val="en-US" w:eastAsia="zh-CN"/>
        </w:rPr>
        <w:t>根据《水利水电工程等级划分洪水标准（SL252-2017）》及</w:t>
      </w:r>
      <w:r>
        <w:rPr>
          <w:rFonts w:hint="default" w:ascii="Times New Roman" w:hAnsi="Times New Roman" w:cs="Times New Roman" w:eastAsiaTheme="minorEastAsia"/>
          <w:sz w:val="24"/>
          <w:szCs w:val="24"/>
          <w:highlight w:val="none"/>
          <w:lang w:val="en-US" w:eastAsia="zh-CN"/>
        </w:rPr>
        <w:t>《堤防工程设计规范》（GB50286-2013）</w:t>
      </w:r>
      <w:r>
        <w:rPr>
          <w:rFonts w:hint="eastAsia" w:cs="Times New Roman" w:eastAsiaTheme="minorEastAsia"/>
          <w:sz w:val="24"/>
          <w:szCs w:val="24"/>
          <w:highlight w:val="none"/>
          <w:lang w:val="en-US" w:eastAsia="zh-CN"/>
        </w:rPr>
        <w:t>，本</w:t>
      </w:r>
      <w:r>
        <w:rPr>
          <w:rFonts w:hint="default" w:ascii="Times New Roman" w:hAnsi="Times New Roman" w:cs="Times New Roman" w:eastAsiaTheme="minorEastAsia"/>
          <w:sz w:val="24"/>
          <w:szCs w:val="24"/>
          <w:highlight w:val="none"/>
          <w:lang w:val="en-US" w:eastAsia="zh-CN"/>
        </w:rPr>
        <w:t>工程等级为Ⅳ等，主要建筑物级别为4级，次要建筑物级别为5级，临时建筑物级别为5级</w:t>
      </w:r>
      <w:r>
        <w:rPr>
          <w:rFonts w:hint="eastAsia" w:cs="Times New Roman" w:eastAsiaTheme="minorEastAsia"/>
          <w:sz w:val="24"/>
          <w:szCs w:val="24"/>
          <w:highlight w:val="none"/>
          <w:lang w:val="en-US" w:eastAsia="zh-CN"/>
        </w:rPr>
        <w:t>。</w:t>
      </w:r>
    </w:p>
    <w:p>
      <w:pPr>
        <w:pStyle w:val="5"/>
        <w:keepNext w:val="0"/>
        <w:keepLines w:val="0"/>
        <w:pageBreakBefore w:val="0"/>
        <w:widowControl/>
        <w:kinsoku/>
        <w:wordWrap/>
        <w:overflowPunct/>
        <w:topLinePunct w:val="0"/>
        <w:autoSpaceDE/>
        <w:autoSpaceDN/>
        <w:bidi w:val="0"/>
        <w:adjustRightInd/>
        <w:snapToGrid/>
        <w:spacing w:line="360" w:lineRule="auto"/>
        <w:ind w:left="0" w:firstLine="0"/>
        <w:textAlignment w:val="auto"/>
        <w:rPr>
          <w:rFonts w:hint="default" w:ascii="Times New Roman" w:hAnsi="Times New Roman" w:cs="Times New Roman"/>
          <w:lang w:val="en-US" w:eastAsia="zh-CN"/>
        </w:rPr>
      </w:pPr>
      <w:bookmarkStart w:id="41" w:name="_Toc6383"/>
      <w:r>
        <w:rPr>
          <w:rFonts w:hint="eastAsia" w:ascii="Times New Roman" w:hAnsi="Times New Roman" w:cs="Times New Roman"/>
          <w:lang w:val="en-US" w:eastAsia="zh-CN"/>
        </w:rPr>
        <w:t>主要建筑物设计</w:t>
      </w:r>
      <w:bookmarkEnd w:id="41"/>
    </w:p>
    <w:p>
      <w:pPr>
        <w:rPr>
          <w:rFonts w:hint="default"/>
          <w:lang w:val="en-US" w:eastAsia="zh-CN"/>
        </w:rPr>
      </w:pPr>
      <w:r>
        <w:rPr>
          <w:rFonts w:hint="default"/>
          <w:lang w:val="en-US" w:eastAsia="zh-CN"/>
        </w:rPr>
        <w:t>本工程为重建工程，为顺接上下游堤岸，本工程设计堤线与原堤岸线一致。</w:t>
      </w:r>
    </w:p>
    <w:p>
      <w:pPr>
        <w:rPr>
          <w:rFonts w:hint="default"/>
          <w:lang w:val="en-US" w:eastAsia="zh-CN"/>
        </w:rPr>
      </w:pPr>
      <w:r>
        <w:rPr>
          <w:rFonts w:hint="default"/>
          <w:lang w:val="en-US" w:eastAsia="zh-CN"/>
        </w:rPr>
        <w:t>桥南街大蕴涌排涝通道改造工程分二塱西街侧及二塱东街侧，二塱西街侧改造范围位于二塱水闸上游约160~320m处，改造总长度为160m；二塱东街侧改造范围位于福愉东路以南约50~86m处，改造总长度为36m。</w:t>
      </w:r>
    </w:p>
    <w:p>
      <w:pPr>
        <w:rPr>
          <w:rFonts w:hint="default"/>
          <w:lang w:val="en-US" w:eastAsia="zh-CN"/>
        </w:rPr>
      </w:pPr>
      <w:r>
        <w:rPr>
          <w:rFonts w:hint="default"/>
          <w:lang w:val="en-US" w:eastAsia="zh-CN"/>
        </w:rPr>
        <w:t>本工程为重建工程，为顺接上下游堤岸，故本工程重建段断面形式与现状上下游断面形式一致，为矩形断面。</w:t>
      </w:r>
    </w:p>
    <w:p>
      <w:pPr>
        <w:rPr>
          <w:rFonts w:hint="default"/>
          <w:lang w:val="en-US" w:eastAsia="zh-CN"/>
        </w:rPr>
      </w:pPr>
      <w:r>
        <w:rPr>
          <w:rFonts w:hint="default"/>
          <w:lang w:val="en-US" w:eastAsia="zh-CN"/>
        </w:rPr>
        <w:t>为确保河涌上下游岸墙的连续性及整体美观性，结合上下游现状护岸形式，本工程岸墙选用钢筋混凝土挡墙。</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Times New Roman" w:hAnsi="Times New Roman"/>
          <w:lang w:val="en-US" w:eastAsia="zh-CN"/>
        </w:rPr>
      </w:pPr>
      <w:bookmarkStart w:id="42" w:name="_Toc16410"/>
      <w:r>
        <w:rPr>
          <w:rFonts w:hint="eastAsia" w:ascii="Times New Roman" w:hAnsi="Times New Roman"/>
          <w:lang w:val="en-US" w:eastAsia="zh-CN"/>
        </w:rPr>
        <w:t>机电及金属</w:t>
      </w:r>
      <w:bookmarkEnd w:id="42"/>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本工程不涉及机电及金属。</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Times New Roman" w:hAnsi="Times New Roman"/>
          <w:lang w:val="en-US" w:eastAsia="zh-CN"/>
        </w:rPr>
      </w:pPr>
      <w:bookmarkStart w:id="43" w:name="_Toc7907"/>
      <w:r>
        <w:rPr>
          <w:rFonts w:hint="default" w:ascii="Times New Roman" w:hAnsi="Times New Roman"/>
          <w:lang w:val="en-US" w:eastAsia="zh-CN"/>
        </w:rPr>
        <w:t>施工组织设计</w:t>
      </w:r>
      <w:bookmarkEnd w:id="43"/>
    </w:p>
    <w:p>
      <w:pPr>
        <w:adjustRightInd w:val="0"/>
        <w:spacing w:line="360" w:lineRule="auto"/>
        <w:ind w:firstLine="480" w:firstLineChars="200"/>
        <w:rPr>
          <w:rFonts w:hint="eastAsia"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本工程位于广州市番禺区</w:t>
      </w:r>
      <w:r>
        <w:rPr>
          <w:rFonts w:hint="eastAsia" w:cs="Times New Roman" w:eastAsiaTheme="minorEastAsia"/>
          <w:sz w:val="24"/>
          <w:szCs w:val="24"/>
          <w:lang w:val="en-US" w:eastAsia="zh-CN"/>
        </w:rPr>
        <w:t>大蕴涌</w:t>
      </w:r>
      <w:r>
        <w:rPr>
          <w:rFonts w:hint="default" w:ascii="Times New Roman" w:hAnsi="Times New Roman" w:cs="Times New Roman" w:eastAsiaTheme="minorEastAsia"/>
          <w:sz w:val="24"/>
          <w:szCs w:val="24"/>
          <w:lang w:val="en-US" w:eastAsia="zh-CN"/>
        </w:rPr>
        <w:t>，南临沙湾水道。项目区周边</w:t>
      </w:r>
      <w:r>
        <w:rPr>
          <w:rFonts w:hint="eastAsia" w:ascii="Times New Roman" w:hAnsi="Times New Roman" w:cs="Times New Roman" w:eastAsiaTheme="minorEastAsia"/>
          <w:sz w:val="24"/>
          <w:szCs w:val="24"/>
          <w:lang w:val="en-US" w:eastAsia="zh-CN"/>
        </w:rPr>
        <w:t>水、陆路交通方便，工程附近缺乏天然均质粘土及砂石骨料，工程所需的机械、设备和各种建筑材料等可用自卸船舶、自卸汽车等运输工具运送到工程。场区附近民居密集，水电供应充足。</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highlight w:val="none"/>
          <w:lang w:val="en-US" w:eastAsia="zh-CN"/>
        </w:rPr>
      </w:pPr>
      <w:r>
        <w:rPr>
          <w:rFonts w:hint="eastAsia" w:ascii="Times New Roman" w:hAnsi="Times New Roman" w:cs="Times New Roman" w:eastAsiaTheme="minorEastAsia"/>
          <w:sz w:val="24"/>
          <w:szCs w:val="24"/>
          <w:highlight w:val="none"/>
          <w:lang w:val="en-US" w:eastAsia="zh-CN"/>
        </w:rPr>
        <w:t>根据《水利水电工程施工组织设计规范》，导流设计洪水标准为5年～10年洪水重现期，由于本工程规模小，参考番禺区类似工程经验，本工程导流洪水标准选用5年一遇</w:t>
      </w:r>
      <w:r>
        <w:rPr>
          <w:rFonts w:hint="eastAsia" w:cs="Times New Roman" w:eastAsiaTheme="minorEastAsia"/>
          <w:sz w:val="24"/>
          <w:szCs w:val="24"/>
          <w:highlight w:val="none"/>
          <w:lang w:val="en-US" w:eastAsia="zh-CN"/>
        </w:rPr>
        <w:t>。</w:t>
      </w:r>
    </w:p>
    <w:p>
      <w:pPr>
        <w:bidi w:val="0"/>
        <w:rPr>
          <w:rFonts w:hint="default"/>
          <w:lang w:val="en-US" w:eastAsia="zh-CN"/>
        </w:rPr>
      </w:pPr>
      <w:r>
        <w:rPr>
          <w:rFonts w:hint="default"/>
          <w:lang w:val="en-US" w:eastAsia="zh-CN"/>
        </w:rPr>
        <w:t>本工程重建挡墙段（K0+1</w:t>
      </w:r>
      <w:r>
        <w:rPr>
          <w:rFonts w:hint="eastAsia"/>
          <w:lang w:val="en-US" w:eastAsia="zh-CN"/>
        </w:rPr>
        <w:t>0</w:t>
      </w:r>
      <w:r>
        <w:rPr>
          <w:rFonts w:hint="default"/>
          <w:lang w:val="en-US" w:eastAsia="zh-CN"/>
        </w:rPr>
        <w:t>1~K0+1</w:t>
      </w:r>
      <w:r>
        <w:rPr>
          <w:rFonts w:hint="eastAsia"/>
          <w:lang w:val="en-US" w:eastAsia="zh-CN"/>
        </w:rPr>
        <w:t>3</w:t>
      </w:r>
      <w:r>
        <w:rPr>
          <w:rFonts w:hint="default"/>
          <w:lang w:val="en-US" w:eastAsia="zh-CN"/>
        </w:rPr>
        <w:t>0)需进行施工围堰。围堰采用</w:t>
      </w:r>
      <w:r>
        <w:rPr>
          <w:rFonts w:hint="eastAsia"/>
          <w:highlight w:val="none"/>
          <w:lang w:val="en-US" w:eastAsia="zh-CN"/>
        </w:rPr>
        <w:t>砂</w:t>
      </w:r>
      <w:r>
        <w:rPr>
          <w:rFonts w:hint="default"/>
          <w:lang w:val="en-US" w:eastAsia="zh-CN"/>
        </w:rPr>
        <w:t>包围堰，按施工期最高水深1.0m考虑，堰顶宽</w:t>
      </w:r>
      <w:r>
        <w:rPr>
          <w:rFonts w:hint="eastAsia"/>
          <w:lang w:val="en-US" w:eastAsia="zh-CN"/>
        </w:rPr>
        <w:t>1.5</w:t>
      </w:r>
      <w:r>
        <w:rPr>
          <w:rFonts w:hint="default"/>
          <w:lang w:val="en-US" w:eastAsia="zh-CN"/>
        </w:rPr>
        <w:t>m，堰高2.3m，砌筑坡比为1:1，围堰迎水面设复合防渗土工膜（为二布一膜，规格为700g/m²）。总长度为4</w:t>
      </w:r>
      <w:r>
        <w:rPr>
          <w:rFonts w:hint="eastAsia"/>
          <w:lang w:val="en-US" w:eastAsia="zh-CN"/>
        </w:rPr>
        <w:t>8.7</w:t>
      </w:r>
      <w:r>
        <w:rPr>
          <w:rFonts w:hint="default"/>
          <w:lang w:val="en-US" w:eastAsia="zh-CN"/>
        </w:rPr>
        <w:t>m，完工后人工拆除。</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Times New Roman" w:hAnsi="Times New Roman"/>
          <w:lang w:val="en-US" w:eastAsia="zh-CN"/>
        </w:rPr>
      </w:pPr>
      <w:bookmarkStart w:id="44" w:name="_Toc27737"/>
      <w:r>
        <w:rPr>
          <w:rFonts w:hint="default" w:ascii="Times New Roman" w:hAnsi="Times New Roman"/>
          <w:lang w:val="en-US" w:eastAsia="zh-CN"/>
        </w:rPr>
        <w:t>建设征地与移民</w:t>
      </w:r>
      <w:bookmarkEnd w:id="44"/>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本工程不涉及征地及移民安置。</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eastAsia" w:ascii="Times New Roman" w:hAnsi="Times New Roman"/>
          <w:lang w:val="en-US" w:eastAsia="zh-CN"/>
        </w:rPr>
      </w:pPr>
      <w:bookmarkStart w:id="45" w:name="_Toc21105"/>
      <w:r>
        <w:rPr>
          <w:rFonts w:hint="eastAsia" w:ascii="Times New Roman" w:hAnsi="Times New Roman"/>
          <w:lang w:val="en-US" w:eastAsia="zh-CN"/>
        </w:rPr>
        <w:t>环境影响评价</w:t>
      </w:r>
      <w:bookmarkEnd w:id="45"/>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工程周边不涉及基本农田保护区，无较大居民点分布，主要为空地和鱼塘。</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本工程对环境的不利影响主要发生在施工期，但通过采取相应措施均可避免或减轻到最低限度，随着施工期的结束，不利影响将消失。</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eastAsia" w:ascii="Times New Roman" w:hAnsi="Times New Roman"/>
          <w:lang w:val="en-US" w:eastAsia="zh-CN"/>
        </w:rPr>
      </w:pPr>
      <w:bookmarkStart w:id="46" w:name="_Toc20718"/>
      <w:r>
        <w:rPr>
          <w:rFonts w:hint="eastAsia" w:ascii="Times New Roman" w:hAnsi="Times New Roman"/>
          <w:lang w:val="en-US" w:eastAsia="zh-CN"/>
        </w:rPr>
        <w:t>水土保持</w:t>
      </w:r>
      <w:bookmarkEnd w:id="46"/>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本工程规模相对不大，主要材料土、砂、石全部向当地料场购买，属商品，工程没有开采料场取土取砂石的相关需要。故在主体工程总体布置、渣料场规划、施工组织设计等方面，本项目不存在制约性的水土保持问题。</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因此，从水土保持角度出发，本工程布局、施工组织设计合理，工程建设不存在水土保持制约性因素，本工程的建设是可行的。</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eastAsia" w:ascii="Times New Roman" w:hAnsi="Times New Roman"/>
          <w:lang w:val="en-US" w:eastAsia="zh-CN"/>
        </w:rPr>
      </w:pPr>
      <w:bookmarkStart w:id="47" w:name="_Toc11931"/>
      <w:r>
        <w:rPr>
          <w:rFonts w:hint="eastAsia" w:ascii="Times New Roman" w:hAnsi="Times New Roman"/>
          <w:lang w:val="en-US" w:eastAsia="zh-CN"/>
        </w:rPr>
        <w:t>劳动安全与工业卫生</w:t>
      </w:r>
      <w:bookmarkEnd w:id="47"/>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对工程建设过程中及建成投入运行后，可能存在的直接危及劳动者人身安全和身体健康的各种因素，采取符合规范要求的工程防护措施进行了阐述。做到工程建设过程中投产后，保障劳动者在劳动中的安全和健康的要求。主要内容包括防火、防爆安全；防机械伤害、防坠落措施；安全生产教育；防电气伤害设计。</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本工程的工业卫生方面主要包括防噪声及防振动、温度与湿度控制、采光与照明、防尘、防污、附腐蚀、防电磁辐射防毒等方面，施工过程中采取相应措施保证职工的卫生管理和生产安全。</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Times New Roman" w:hAnsi="Times New Roman"/>
          <w:lang w:val="en-US" w:eastAsia="zh-CN"/>
        </w:rPr>
      </w:pPr>
      <w:bookmarkStart w:id="48" w:name="_Toc2008"/>
      <w:r>
        <w:rPr>
          <w:rFonts w:hint="eastAsia" w:ascii="Times New Roman" w:hAnsi="Times New Roman"/>
          <w:lang w:val="en-US" w:eastAsia="zh-CN"/>
        </w:rPr>
        <w:t>节能评价</w:t>
      </w:r>
      <w:bookmarkEnd w:id="48"/>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zh-CN" w:eastAsia="zh-CN"/>
        </w:rPr>
        <w:t>本工程实施后，提高了区域防洪排涝能力，是保证社会和谐，促进经济可持续发展的准公益性工程，在政治上和经济上均具有重大意义。</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Times New Roman" w:hAnsi="Times New Roman"/>
          <w:lang w:val="en-US" w:eastAsia="zh-CN"/>
        </w:rPr>
      </w:pPr>
      <w:bookmarkStart w:id="49" w:name="_Toc27715"/>
      <w:r>
        <w:rPr>
          <w:rFonts w:hint="eastAsia" w:ascii="Times New Roman" w:hAnsi="Times New Roman"/>
          <w:lang w:val="en-US" w:eastAsia="zh-CN"/>
        </w:rPr>
        <w:t>工程管理</w:t>
      </w:r>
      <w:bookmarkEnd w:id="49"/>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highlight w:val="none"/>
          <w:lang w:val="en-US" w:eastAsia="zh-CN"/>
        </w:rPr>
      </w:pPr>
      <w:r>
        <w:rPr>
          <w:rFonts w:hint="eastAsia" w:ascii="Times New Roman" w:hAnsi="Times New Roman" w:cs="Times New Roman" w:eastAsiaTheme="minorEastAsia"/>
          <w:sz w:val="24"/>
          <w:szCs w:val="24"/>
          <w:highlight w:val="none"/>
          <w:lang w:val="zh-CN" w:eastAsia="zh-CN"/>
        </w:rPr>
        <w:t>本工程日常管理工作拟由广州市番禺区水务设施运行中心所承担。广州市番禺区水务设施运行中心负责制定相关的工程管理制度，日常运行维护和工程保养，保障工程运行安全，使其充分发挥工程效益</w:t>
      </w:r>
      <w:r>
        <w:rPr>
          <w:rFonts w:hint="eastAsia" w:ascii="Times New Roman" w:hAnsi="Times New Roman" w:cs="Times New Roman" w:eastAsiaTheme="minorEastAsia"/>
          <w:sz w:val="24"/>
          <w:szCs w:val="24"/>
          <w:highlight w:val="none"/>
          <w:lang w:val="en-US" w:eastAsia="zh-CN"/>
        </w:rPr>
        <w:t>。</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default"/>
          <w:lang w:val="en-US" w:eastAsia="zh-CN"/>
        </w:rPr>
      </w:pPr>
      <w:bookmarkStart w:id="50" w:name="_Toc22990"/>
      <w:r>
        <w:rPr>
          <w:rFonts w:hint="eastAsia"/>
          <w:lang w:val="en-US" w:eastAsia="zh-CN"/>
        </w:rPr>
        <w:t>投资估算</w:t>
      </w:r>
      <w:bookmarkEnd w:id="50"/>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color w:val="auto"/>
          <w:sz w:val="24"/>
          <w:szCs w:val="24"/>
          <w:lang w:val="en-US" w:eastAsia="zh-CN"/>
        </w:rPr>
      </w:pPr>
      <w:r>
        <w:rPr>
          <w:rFonts w:hint="eastAsia" w:ascii="Times New Roman" w:hAnsi="Times New Roman" w:cs="Times New Roman" w:eastAsiaTheme="minorEastAsia"/>
          <w:color w:val="auto"/>
          <w:sz w:val="24"/>
          <w:szCs w:val="24"/>
          <w:lang w:val="en-US" w:eastAsia="zh-CN"/>
        </w:rPr>
        <w:t>本工程投资概算套用广东省水利厅发布2017年07月《广东省水利水电建筑工程预算定额》，各项费用计算参照2017年07月《广东省水利水电工程设计概（估）算编制规定》。</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color w:val="auto"/>
          <w:sz w:val="24"/>
          <w:szCs w:val="24"/>
          <w:lang w:val="en-US" w:eastAsia="zh-CN"/>
        </w:rPr>
      </w:pPr>
      <w:r>
        <w:rPr>
          <w:rFonts w:hint="eastAsia" w:ascii="Times New Roman" w:hAnsi="Times New Roman" w:cs="Times New Roman" w:eastAsiaTheme="minorEastAsia"/>
          <w:color w:val="auto"/>
          <w:sz w:val="24"/>
          <w:szCs w:val="24"/>
          <w:lang w:val="en-US" w:eastAsia="zh-CN"/>
        </w:rPr>
        <w:t>投资概算中所用的材料价格参照广州市建设工程造价管理站文件2021年2月份广州市建设工程价格（穗建造价〔2021〕33号）及广东省水利厅公布的广东省地方水利水电工程次要材料价格（2020年）预算价格（粤水建管函[2020]415号）。</w:t>
      </w:r>
    </w:p>
    <w:p>
      <w:pPr>
        <w:bidi w:val="0"/>
        <w:rPr>
          <w:rFonts w:hint="default" w:ascii="Times New Roman" w:hAnsi="Times New Roman" w:cs="Times New Roman" w:eastAsiaTheme="minorEastAsia"/>
          <w:color w:val="auto"/>
          <w:sz w:val="24"/>
          <w:szCs w:val="24"/>
          <w:highlight w:val="none"/>
          <w:lang w:val="en-US" w:eastAsia="zh-CN"/>
        </w:rPr>
      </w:pPr>
      <w:r>
        <w:rPr>
          <w:rFonts w:hint="default" w:ascii="Times New Roman" w:hAnsi="Times New Roman" w:cs="Times New Roman" w:eastAsiaTheme="minorEastAsia"/>
          <w:color w:val="auto"/>
          <w:sz w:val="24"/>
          <w:szCs w:val="24"/>
          <w:highlight w:val="none"/>
          <w:lang w:val="zh-CN" w:eastAsia="zh-CN"/>
        </w:rPr>
        <w:t>经测算，本工程投资主要指标：</w:t>
      </w:r>
      <w:r>
        <w:rPr>
          <w:rFonts w:hint="default" w:ascii="Times New Roman" w:hAnsi="Times New Roman" w:cs="Times New Roman" w:eastAsiaTheme="minorEastAsia"/>
          <w:sz w:val="24"/>
          <w:szCs w:val="24"/>
          <w:highlight w:val="none"/>
          <w:lang w:val="en-US" w:eastAsia="zh-CN"/>
        </w:rPr>
        <w:t>本工程投资主要指标：工程总投资</w:t>
      </w:r>
      <w:r>
        <w:rPr>
          <w:rFonts w:hint="eastAsia" w:cs="Times New Roman" w:eastAsiaTheme="minorEastAsia"/>
          <w:sz w:val="24"/>
          <w:szCs w:val="24"/>
          <w:highlight w:val="none"/>
          <w:lang w:val="en-US" w:eastAsia="zh-CN"/>
        </w:rPr>
        <w:t>279.25</w:t>
      </w:r>
      <w:r>
        <w:rPr>
          <w:rFonts w:hint="default" w:ascii="Times New Roman" w:hAnsi="Times New Roman" w:cs="Times New Roman" w:eastAsiaTheme="minorEastAsia"/>
          <w:sz w:val="24"/>
          <w:szCs w:val="24"/>
          <w:highlight w:val="none"/>
          <w:lang w:val="en-US" w:eastAsia="zh-CN"/>
        </w:rPr>
        <w:t>万元、建安费</w:t>
      </w:r>
      <w:r>
        <w:rPr>
          <w:rFonts w:hint="eastAsia" w:cs="Times New Roman" w:eastAsiaTheme="minorEastAsia"/>
          <w:sz w:val="24"/>
          <w:szCs w:val="24"/>
          <w:highlight w:val="none"/>
          <w:lang w:val="en-US" w:eastAsia="zh-CN"/>
        </w:rPr>
        <w:t>193.14</w:t>
      </w:r>
      <w:r>
        <w:rPr>
          <w:rFonts w:hint="default" w:ascii="Times New Roman" w:hAnsi="Times New Roman" w:cs="Times New Roman" w:eastAsiaTheme="minorEastAsia"/>
          <w:sz w:val="24"/>
          <w:szCs w:val="24"/>
          <w:highlight w:val="none"/>
          <w:lang w:val="en-US" w:eastAsia="zh-CN"/>
        </w:rPr>
        <w:t>万元、监理费6.</w:t>
      </w:r>
      <w:r>
        <w:rPr>
          <w:rFonts w:hint="eastAsia" w:cs="Times New Roman" w:eastAsiaTheme="minorEastAsia"/>
          <w:sz w:val="24"/>
          <w:szCs w:val="24"/>
          <w:highlight w:val="none"/>
          <w:lang w:val="en-US" w:eastAsia="zh-CN"/>
        </w:rPr>
        <w:t>88</w:t>
      </w:r>
      <w:r>
        <w:rPr>
          <w:rFonts w:hint="default" w:ascii="Times New Roman" w:hAnsi="Times New Roman" w:cs="Times New Roman" w:eastAsiaTheme="minorEastAsia"/>
          <w:sz w:val="24"/>
          <w:szCs w:val="24"/>
          <w:highlight w:val="none"/>
          <w:lang w:val="en-US" w:eastAsia="zh-CN"/>
        </w:rPr>
        <w:t>万元、设计费（含预算编制费）</w:t>
      </w:r>
      <w:r>
        <w:rPr>
          <w:rFonts w:hint="eastAsia" w:cs="Times New Roman" w:eastAsiaTheme="minorEastAsia"/>
          <w:sz w:val="24"/>
          <w:szCs w:val="24"/>
          <w:highlight w:val="none"/>
          <w:lang w:val="en-US" w:eastAsia="zh-CN"/>
        </w:rPr>
        <w:t>5</w:t>
      </w:r>
      <w:r>
        <w:rPr>
          <w:rFonts w:hint="default" w:ascii="Times New Roman" w:hAnsi="Times New Roman" w:cs="Times New Roman" w:eastAsiaTheme="minorEastAsia"/>
          <w:sz w:val="24"/>
          <w:szCs w:val="24"/>
          <w:highlight w:val="none"/>
          <w:lang w:val="en-US" w:eastAsia="zh-CN"/>
        </w:rPr>
        <w:t>万元、勘测费5万元、招标代理费1.</w:t>
      </w:r>
      <w:r>
        <w:rPr>
          <w:rFonts w:hint="eastAsia" w:cs="Times New Roman" w:eastAsiaTheme="minorEastAsia"/>
          <w:sz w:val="24"/>
          <w:szCs w:val="24"/>
          <w:highlight w:val="none"/>
          <w:lang w:val="en-US" w:eastAsia="zh-CN"/>
        </w:rPr>
        <w:t>92</w:t>
      </w:r>
      <w:r>
        <w:rPr>
          <w:rFonts w:hint="default" w:ascii="Times New Roman" w:hAnsi="Times New Roman" w:cs="Times New Roman" w:eastAsiaTheme="minorEastAsia"/>
          <w:sz w:val="24"/>
          <w:szCs w:val="24"/>
          <w:highlight w:val="none"/>
          <w:lang w:val="en-US" w:eastAsia="zh-CN"/>
        </w:rPr>
        <w:t>万元、其他费</w:t>
      </w:r>
      <w:r>
        <w:rPr>
          <w:rFonts w:hint="eastAsia" w:cs="Times New Roman" w:eastAsiaTheme="minorEastAsia"/>
          <w:sz w:val="24"/>
          <w:szCs w:val="24"/>
          <w:highlight w:val="none"/>
          <w:lang w:val="en-US" w:eastAsia="zh-CN"/>
        </w:rPr>
        <w:t>67.31</w:t>
      </w:r>
      <w:r>
        <w:rPr>
          <w:rFonts w:hint="default" w:ascii="Times New Roman" w:hAnsi="Times New Roman" w:cs="Times New Roman" w:eastAsiaTheme="minorEastAsia"/>
          <w:sz w:val="24"/>
          <w:szCs w:val="24"/>
          <w:highlight w:val="none"/>
          <w:lang w:val="en-US" w:eastAsia="zh-CN"/>
        </w:rPr>
        <w:t>万元。</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default"/>
          <w:lang w:val="en-US" w:eastAsia="zh-CN"/>
        </w:rPr>
      </w:pPr>
      <w:bookmarkStart w:id="51" w:name="_Toc16182"/>
      <w:r>
        <w:rPr>
          <w:rFonts w:hint="eastAsia"/>
          <w:lang w:val="en-US" w:eastAsia="zh-CN"/>
        </w:rPr>
        <w:t>经济评价</w:t>
      </w:r>
      <w:bookmarkEnd w:id="51"/>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color w:val="auto"/>
          <w:sz w:val="24"/>
          <w:szCs w:val="24"/>
          <w:lang w:val="en-US" w:eastAsia="zh-CN"/>
        </w:rPr>
      </w:pPr>
      <w:r>
        <w:rPr>
          <w:rFonts w:hint="eastAsia" w:ascii="Times New Roman" w:hAnsi="Times New Roman" w:cs="Times New Roman" w:eastAsiaTheme="minorEastAsia"/>
          <w:color w:val="auto"/>
          <w:sz w:val="24"/>
          <w:szCs w:val="24"/>
          <w:lang w:val="en-US" w:eastAsia="zh-CN"/>
        </w:rPr>
        <w:t>本建设项目主要属社会公益型的水利建设项目，社会经济效益较大。经估算，工程建设完成后，明显提高了工程所在地区的防洪、排涝能力，改善了片区内群众、企业的生产生活条件，避免了洪涝灾害产生的经济损失。</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color w:val="auto"/>
          <w:sz w:val="24"/>
          <w:szCs w:val="24"/>
          <w:highlight w:val="none"/>
          <w:lang w:val="en-US" w:eastAsia="zh-CN"/>
        </w:rPr>
      </w:pPr>
      <w:r>
        <w:rPr>
          <w:rFonts w:hint="eastAsia" w:ascii="Times New Roman" w:hAnsi="Times New Roman" w:cs="Times New Roman" w:eastAsiaTheme="minorEastAsia"/>
          <w:color w:val="auto"/>
          <w:sz w:val="24"/>
          <w:szCs w:val="24"/>
          <w:highlight w:val="none"/>
          <w:lang w:val="en-US" w:eastAsia="zh-CN"/>
        </w:rPr>
        <w:t>经测算，项目经济内部收益率EIRR=</w:t>
      </w:r>
      <w:r>
        <w:rPr>
          <w:rFonts w:hint="eastAsia" w:cs="Times New Roman" w:eastAsiaTheme="minorEastAsia"/>
          <w:color w:val="auto"/>
          <w:sz w:val="24"/>
          <w:szCs w:val="24"/>
          <w:highlight w:val="none"/>
          <w:lang w:val="en-US" w:eastAsia="zh-CN"/>
        </w:rPr>
        <w:t>2.86</w:t>
      </w:r>
      <w:r>
        <w:rPr>
          <w:rFonts w:hint="eastAsia" w:ascii="Times New Roman" w:hAnsi="Times New Roman" w:cs="Times New Roman" w:eastAsiaTheme="minorEastAsia"/>
          <w:color w:val="auto"/>
          <w:sz w:val="24"/>
          <w:szCs w:val="24"/>
          <w:highlight w:val="none"/>
          <w:lang w:val="en-US" w:eastAsia="zh-CN"/>
        </w:rPr>
        <w:t>%，按is=8%测算的经济效益费用比EBCR为1.</w:t>
      </w:r>
      <w:r>
        <w:rPr>
          <w:rFonts w:hint="eastAsia" w:cs="Times New Roman" w:eastAsiaTheme="minorEastAsia"/>
          <w:color w:val="auto"/>
          <w:sz w:val="24"/>
          <w:szCs w:val="24"/>
          <w:highlight w:val="none"/>
          <w:lang w:val="en-US" w:eastAsia="zh-CN"/>
        </w:rPr>
        <w:t>0</w:t>
      </w:r>
      <w:r>
        <w:rPr>
          <w:rFonts w:hint="eastAsia" w:ascii="Times New Roman" w:hAnsi="Times New Roman" w:cs="Times New Roman" w:eastAsiaTheme="minorEastAsia"/>
          <w:color w:val="auto"/>
          <w:sz w:val="24"/>
          <w:szCs w:val="24"/>
          <w:highlight w:val="none"/>
          <w:lang w:val="en-US" w:eastAsia="zh-CN"/>
        </w:rPr>
        <w:t>7，大于1；经济净现值ENPV为</w:t>
      </w:r>
      <w:r>
        <w:rPr>
          <w:rFonts w:hint="eastAsia" w:cs="Times New Roman" w:eastAsiaTheme="minorEastAsia"/>
          <w:color w:val="auto"/>
          <w:sz w:val="24"/>
          <w:szCs w:val="24"/>
          <w:highlight w:val="none"/>
          <w:lang w:val="en-US" w:eastAsia="zh-CN"/>
        </w:rPr>
        <w:t>33.23</w:t>
      </w:r>
      <w:r>
        <w:rPr>
          <w:rFonts w:hint="eastAsia" w:ascii="Times New Roman" w:hAnsi="Times New Roman" w:cs="Times New Roman" w:eastAsiaTheme="minorEastAsia"/>
          <w:color w:val="auto"/>
          <w:sz w:val="24"/>
          <w:szCs w:val="24"/>
          <w:highlight w:val="none"/>
          <w:lang w:val="en-US" w:eastAsia="zh-CN"/>
        </w:rPr>
        <w:t>万元，大于0。各项经济评价指标说明本项目有较好的经济效果，因此，本项目在经济上是可行的。</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default"/>
          <w:lang w:val="en-US" w:eastAsia="zh-CN"/>
        </w:rPr>
      </w:pPr>
      <w:bookmarkStart w:id="52" w:name="_Toc18835"/>
      <w:r>
        <w:rPr>
          <w:rFonts w:hint="eastAsia"/>
          <w:lang w:val="en-US" w:eastAsia="zh-CN"/>
        </w:rPr>
        <w:t>结论与建议</w:t>
      </w:r>
      <w:bookmarkEnd w:id="52"/>
    </w:p>
    <w:p>
      <w:pPr>
        <w:pStyle w:val="5"/>
        <w:keepNext w:val="0"/>
        <w:keepLines w:val="0"/>
        <w:pageBreakBefore w:val="0"/>
        <w:widowControl/>
        <w:kinsoku/>
        <w:wordWrap/>
        <w:overflowPunct/>
        <w:topLinePunct w:val="0"/>
        <w:autoSpaceDE/>
        <w:autoSpaceDN/>
        <w:bidi w:val="0"/>
        <w:adjustRightInd/>
        <w:snapToGrid/>
        <w:spacing w:line="360" w:lineRule="auto"/>
        <w:ind w:left="0" w:firstLine="0"/>
        <w:textAlignment w:val="auto"/>
        <w:rPr>
          <w:rFonts w:hint="default" w:ascii="Times New Roman" w:hAnsi="Times New Roman" w:cs="Times New Roman"/>
          <w:lang w:val="en-US" w:eastAsia="zh-CN"/>
        </w:rPr>
      </w:pPr>
      <w:bookmarkStart w:id="53" w:name="_Toc27826"/>
      <w:r>
        <w:rPr>
          <w:rFonts w:hint="eastAsia" w:ascii="Times New Roman" w:hAnsi="Times New Roman" w:cs="Times New Roman"/>
          <w:lang w:val="en-US" w:eastAsia="zh-CN"/>
        </w:rPr>
        <w:t>结论</w:t>
      </w:r>
      <w:bookmarkEnd w:id="53"/>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cs="Times New Roman" w:eastAsiaTheme="minorEastAsia"/>
          <w:sz w:val="24"/>
          <w:szCs w:val="24"/>
          <w:lang w:val="en-US" w:eastAsia="zh-CN"/>
        </w:rPr>
        <w:t>大蕴涌河堤路面发生沉降开裂，局部挡墙发生位移变形，堤岸沿线的污水管破损，存在较大的安全隐患，对河堤岸顶的房屋可能存在影响，影响村民安全出入。</w:t>
      </w:r>
      <w:r>
        <w:rPr>
          <w:rFonts w:hint="eastAsia" w:ascii="Times New Roman" w:hAnsi="Times New Roman" w:cs="Times New Roman" w:eastAsiaTheme="minorEastAsia"/>
          <w:sz w:val="24"/>
          <w:szCs w:val="24"/>
          <w:lang w:val="en-US" w:eastAsia="zh-CN"/>
        </w:rPr>
        <w:t>对当地居民群众生产生活产生较大不利影响。</w:t>
      </w:r>
      <w:r>
        <w:rPr>
          <w:rFonts w:hint="eastAsia" w:cs="Times New Roman" w:eastAsiaTheme="minorEastAsia"/>
          <w:sz w:val="24"/>
          <w:szCs w:val="24"/>
          <w:lang w:val="en-US" w:eastAsia="zh-CN"/>
        </w:rPr>
        <w:t>因此，通过桥南街大蕴涌排涝通道改造工程的建设，</w:t>
      </w:r>
      <w:r>
        <w:rPr>
          <w:rFonts w:hint="eastAsia" w:ascii="Times New Roman" w:hAnsi="Times New Roman" w:cs="Times New Roman" w:eastAsiaTheme="minorEastAsia"/>
          <w:sz w:val="24"/>
          <w:szCs w:val="24"/>
          <w:lang w:val="en-US" w:eastAsia="zh-CN"/>
        </w:rPr>
        <w:t>能有效提高区域防洪排涝能力，有效缓解区域洪涝灾害威胁。</w:t>
      </w:r>
    </w:p>
    <w:p>
      <w:pPr>
        <w:pStyle w:val="5"/>
        <w:keepNext w:val="0"/>
        <w:keepLines w:val="0"/>
        <w:pageBreakBefore w:val="0"/>
        <w:widowControl/>
        <w:kinsoku/>
        <w:wordWrap/>
        <w:overflowPunct/>
        <w:topLinePunct w:val="0"/>
        <w:autoSpaceDE/>
        <w:autoSpaceDN/>
        <w:bidi w:val="0"/>
        <w:adjustRightInd/>
        <w:snapToGrid/>
        <w:spacing w:line="360" w:lineRule="auto"/>
        <w:ind w:left="0" w:firstLine="0"/>
        <w:textAlignment w:val="auto"/>
        <w:rPr>
          <w:rFonts w:hint="default" w:ascii="Times New Roman" w:hAnsi="Times New Roman" w:cs="Times New Roman"/>
          <w:lang w:val="en-US" w:eastAsia="zh-CN"/>
        </w:rPr>
      </w:pPr>
      <w:bookmarkStart w:id="54" w:name="_Toc9958"/>
      <w:r>
        <w:rPr>
          <w:rFonts w:hint="eastAsia" w:ascii="Times New Roman" w:hAnsi="Times New Roman" w:cs="Times New Roman"/>
          <w:lang w:val="en-US" w:eastAsia="zh-CN"/>
        </w:rPr>
        <w:t>建议</w:t>
      </w:r>
      <w:bookmarkEnd w:id="54"/>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建议提前开展工程清违、清障、占地补偿等前期准备工作，以便在初步设计批复后马上进行施工招投标，争取在枯水期开工建设，尽早发挥工程效益。</w:t>
      </w:r>
    </w:p>
    <w:p>
      <w:pPr>
        <w:keepNext w:val="0"/>
        <w:keepLines w:val="0"/>
        <w:pageBreakBefore w:val="0"/>
        <w:widowControl/>
        <w:kinsoku/>
        <w:wordWrap/>
        <w:overflowPunct/>
        <w:topLinePunct w:val="0"/>
        <w:autoSpaceDE/>
        <w:autoSpaceDN/>
        <w:bidi w:val="0"/>
        <w:adjustRightInd/>
        <w:snapToGrid/>
        <w:spacing w:line="360" w:lineRule="auto"/>
        <w:jc w:val="both"/>
        <w:textAlignment w:val="auto"/>
        <w:rPr>
          <w:rFonts w:hint="eastAsia" w:hAnsi="Times New Roman" w:cs="Times New Roman" w:eastAsiaTheme="minorEastAsia"/>
          <w:sz w:val="24"/>
          <w:szCs w:val="24"/>
          <w:lang w:eastAsia="zh-CN"/>
        </w:rPr>
      </w:pP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eastAsia" w:hAnsi="Times New Roman" w:cs="Times New Roman" w:eastAsiaTheme="minorEastAsia"/>
          <w:sz w:val="24"/>
          <w:szCs w:val="24"/>
          <w:lang w:eastAsia="zh-CN"/>
        </w:rPr>
        <w:sectPr>
          <w:footerReference r:id="rId6" w:type="default"/>
          <w:pgSz w:w="11906" w:h="16838"/>
          <w:pgMar w:top="1418" w:right="1304" w:bottom="1418" w:left="1418" w:header="567" w:footer="284" w:gutter="113"/>
          <w:pgNumType w:fmt="decimal" w:start="1"/>
          <w:cols w:space="720" w:num="1"/>
          <w:docGrid w:linePitch="466" w:charSpace="859"/>
        </w:sectPr>
      </w:pP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default" w:ascii="Times New Roman" w:hAnsi="Times New Roman" w:cs="Times New Roman"/>
          <w:b/>
          <w:bCs w:val="0"/>
          <w:sz w:val="36"/>
          <w:szCs w:val="36"/>
          <w:lang w:val="en-US" w:eastAsia="zh-CN"/>
        </w:rPr>
      </w:pPr>
      <w:bookmarkStart w:id="55" w:name="_Toc3844"/>
      <w:r>
        <w:rPr>
          <w:rFonts w:hint="eastAsia" w:ascii="Times New Roman" w:hAnsi="Times New Roman" w:cs="Times New Roman"/>
          <w:b/>
          <w:bCs w:val="0"/>
          <w:sz w:val="36"/>
          <w:szCs w:val="36"/>
          <w:lang w:val="en-US" w:eastAsia="zh-CN"/>
        </w:rPr>
        <w:t>水文</w:t>
      </w:r>
      <w:bookmarkEnd w:id="55"/>
    </w:p>
    <w:p>
      <w:pPr>
        <w:pStyle w:val="4"/>
        <w:bidi w:val="0"/>
        <w:ind w:left="575" w:leftChars="0" w:hanging="575" w:firstLineChars="0"/>
        <w:rPr>
          <w:rFonts w:hint="default"/>
          <w:lang w:val="en-US" w:eastAsia="zh-CN"/>
        </w:rPr>
      </w:pPr>
      <w:bookmarkStart w:id="56" w:name="_Toc20008"/>
      <w:r>
        <w:rPr>
          <w:rFonts w:hint="eastAsia"/>
          <w:lang w:val="en-US" w:eastAsia="zh-CN"/>
        </w:rPr>
        <w:t>流域概况</w:t>
      </w:r>
      <w:bookmarkEnd w:id="56"/>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番禺区地势平坦，处于珠江三角洲中心地带，河涌众多，纵横交错，忽分忽合，总体流向为西北至东南，由于地势低平且靠近珠江河口，区内水流水系平缓，潮汐明显。</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珠江三角洲是西江、北江、东江及其支流带来的泥沙在珠江口河口湾内堆积而成的复合型三角洲，区内河道纵横交错，相互贯通，包括西江、北江、东江和三角洲诸河4大水系，其中西、北江水道互相贯通，由西北部及西部注入，东江基本上自成一体，由东、北部注入，其他诸河主要有潭江、流溪河、增江、沙河、高明河等，最终在珠江三大口门即虎门、蕉门、洪奇门出海。珠江三角洲集雨面积26820km</w:t>
      </w:r>
      <w:r>
        <w:rPr>
          <w:rFonts w:hint="eastAsia" w:ascii="Times New Roman" w:hAnsi="Times New Roman" w:cs="Times New Roman" w:eastAsiaTheme="minorEastAsia"/>
          <w:sz w:val="24"/>
          <w:szCs w:val="24"/>
          <w:vertAlign w:val="superscript"/>
          <w:lang w:val="en-US" w:eastAsia="zh-CN"/>
        </w:rPr>
        <w:t>2</w:t>
      </w:r>
      <w:r>
        <w:rPr>
          <w:rFonts w:hint="default" w:ascii="Times New Roman" w:hAnsi="Times New Roman" w:cs="Times New Roman" w:eastAsiaTheme="minorEastAsia"/>
          <w:sz w:val="24"/>
          <w:szCs w:val="24"/>
          <w:lang w:val="zh-CN" w:eastAsia="zh-CN"/>
        </w:rPr>
        <w:t>，年均降雨量1600～2600mm，年均产流量280.7亿m</w:t>
      </w:r>
      <w:r>
        <w:rPr>
          <w:rFonts w:hint="eastAsia" w:ascii="Times New Roman" w:hAnsi="Times New Roman" w:cs="Times New Roman" w:eastAsiaTheme="minorEastAsia"/>
          <w:sz w:val="24"/>
          <w:szCs w:val="24"/>
          <w:vertAlign w:val="superscript"/>
          <w:lang w:val="en-US" w:eastAsia="zh-CN"/>
        </w:rPr>
        <w:t>3</w:t>
      </w:r>
      <w:r>
        <w:rPr>
          <w:rFonts w:hint="default" w:ascii="Times New Roman" w:hAnsi="Times New Roman" w:cs="Times New Roman" w:eastAsiaTheme="minorEastAsia"/>
          <w:sz w:val="24"/>
          <w:szCs w:val="24"/>
          <w:lang w:val="zh-CN" w:eastAsia="zh-CN"/>
        </w:rPr>
        <w:t>，多年平均入境流量3010亿m</w:t>
      </w:r>
      <w:r>
        <w:rPr>
          <w:rFonts w:hint="eastAsia" w:ascii="Times New Roman" w:hAnsi="Times New Roman" w:cs="Times New Roman" w:eastAsiaTheme="minorEastAsia"/>
          <w:sz w:val="24"/>
          <w:szCs w:val="24"/>
          <w:vertAlign w:val="superscript"/>
          <w:lang w:val="en-US" w:eastAsia="zh-CN"/>
        </w:rPr>
        <w:t>3</w:t>
      </w:r>
      <w:r>
        <w:rPr>
          <w:rFonts w:hint="default" w:ascii="Times New Roman" w:hAnsi="Times New Roman" w:cs="Times New Roman" w:eastAsiaTheme="minorEastAsia"/>
          <w:sz w:val="24"/>
          <w:szCs w:val="24"/>
          <w:lang w:val="zh-CN" w:eastAsia="zh-CN"/>
        </w:rPr>
        <w:t>，从珠江三角洲入海的水量为3260亿m</w:t>
      </w:r>
      <w:r>
        <w:rPr>
          <w:rFonts w:hint="eastAsia" w:ascii="Times New Roman" w:hAnsi="Times New Roman" w:cs="Times New Roman" w:eastAsiaTheme="minorEastAsia"/>
          <w:sz w:val="24"/>
          <w:szCs w:val="24"/>
          <w:vertAlign w:val="superscript"/>
          <w:lang w:val="en-US" w:eastAsia="zh-CN"/>
        </w:rPr>
        <w:t>3</w:t>
      </w:r>
      <w:r>
        <w:rPr>
          <w:rFonts w:hint="default" w:ascii="Times New Roman" w:hAnsi="Times New Roman" w:cs="Times New Roman" w:eastAsiaTheme="minorEastAsia"/>
          <w:sz w:val="24"/>
          <w:szCs w:val="24"/>
          <w:lang w:val="zh-CN" w:eastAsia="zh-CN"/>
        </w:rPr>
        <w:t>。</w:t>
      </w:r>
    </w:p>
    <w:p>
      <w:pPr>
        <w:bidi w:val="0"/>
        <w:rPr>
          <w:rFonts w:hint="eastAsia"/>
          <w:lang w:val="en-US" w:eastAsia="zh-CN"/>
        </w:rPr>
      </w:pPr>
      <w:r>
        <w:rPr>
          <w:rFonts w:hint="eastAsia"/>
          <w:lang w:val="en-US" w:eastAsia="zh-CN"/>
        </w:rPr>
        <w:t>大蕴涌属于陇枕围排涝区。北接市桥水道，南接沙湾水道。陇枕围排涝区集水面积为32.16km</w:t>
      </w:r>
      <w:r>
        <w:rPr>
          <w:rFonts w:hint="eastAsia"/>
          <w:vertAlign w:val="superscript"/>
          <w:lang w:val="en-US" w:eastAsia="zh-CN"/>
        </w:rPr>
        <w:t>2</w:t>
      </w:r>
      <w:r>
        <w:rPr>
          <w:rFonts w:hint="eastAsia"/>
          <w:lang w:val="en-US" w:eastAsia="zh-CN"/>
        </w:rPr>
        <w:t>。区内现状河网密布，水系纵横沟通，有沙陇运河、草河涌、大口涌、深涌、大塱涌、歧头涌等18条河涌，河涌总长为39.04km。</w:t>
      </w:r>
    </w:p>
    <w:p>
      <w:pPr>
        <w:bidi w:val="0"/>
        <w:rPr>
          <w:rFonts w:hint="eastAsia"/>
          <w:lang w:val="en-US" w:eastAsia="zh-CN"/>
        </w:rPr>
      </w:pPr>
      <w:r>
        <w:rPr>
          <w:rFonts w:hint="eastAsia"/>
          <w:lang w:val="en-US" w:eastAsia="zh-CN"/>
        </w:rPr>
        <w:t>大蕴涌（沙陇运河以南至二塱水闸段）流域面积为0.77km</w:t>
      </w:r>
      <w:r>
        <w:rPr>
          <w:rFonts w:hint="eastAsia"/>
          <w:vertAlign w:val="superscript"/>
          <w:lang w:val="en-US" w:eastAsia="zh-CN"/>
        </w:rPr>
        <w:t>2</w:t>
      </w:r>
      <w:r>
        <w:rPr>
          <w:rFonts w:hint="eastAsia"/>
          <w:lang w:val="en-US" w:eastAsia="zh-CN"/>
        </w:rPr>
        <w:t>，河长为1.72km，坡降为0.29‰。</w:t>
      </w:r>
    </w:p>
    <w:p>
      <w:pPr>
        <w:pStyle w:val="56"/>
        <w:ind w:firstLine="0" w:firstLineChars="0"/>
        <w:jc w:val="center"/>
        <w:rPr>
          <w:rFonts w:eastAsia="黑体"/>
          <w:smallCaps w:val="0"/>
          <w:color w:val="FF0000"/>
          <w:spacing w:val="6"/>
          <w:kern w:val="2"/>
        </w:rPr>
      </w:pPr>
      <w:r>
        <w:drawing>
          <wp:inline distT="0" distB="0" distL="114300" distR="114300">
            <wp:extent cx="4270375" cy="2460625"/>
            <wp:effectExtent l="0" t="0" r="15875" b="15875"/>
            <wp:docPr id="2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3"/>
                    <pic:cNvPicPr>
                      <a:picLocks noChangeAspect="1"/>
                    </pic:cNvPicPr>
                  </pic:nvPicPr>
                  <pic:blipFill>
                    <a:blip r:embed="rId15"/>
                    <a:stretch>
                      <a:fillRect/>
                    </a:stretch>
                  </pic:blipFill>
                  <pic:spPr>
                    <a:xfrm>
                      <a:off x="0" y="0"/>
                      <a:ext cx="4270375" cy="2460625"/>
                    </a:xfrm>
                    <a:prstGeom prst="rect">
                      <a:avLst/>
                    </a:prstGeom>
                    <a:noFill/>
                    <a:ln>
                      <a:noFill/>
                    </a:ln>
                  </pic:spPr>
                </pic:pic>
              </a:graphicData>
            </a:graphic>
          </wp:inline>
        </w:drawing>
      </w:r>
    </w:p>
    <w:p>
      <w:pPr>
        <w:pStyle w:val="250"/>
        <w:bidi w:val="0"/>
        <w:rPr>
          <w:rFonts w:hint="default"/>
          <w:color w:val="auto"/>
        </w:rPr>
      </w:pPr>
      <w:r>
        <w:rPr>
          <w:rFonts w:hint="default"/>
          <w:color w:val="auto"/>
        </w:rPr>
        <w:t>图2.1-1</w:t>
      </w:r>
      <w:r>
        <w:rPr>
          <w:rFonts w:hint="default"/>
          <w:color w:val="auto"/>
          <w:lang w:val="en-US" w:eastAsia="zh-CN"/>
        </w:rPr>
        <w:t xml:space="preserve">   </w:t>
      </w:r>
      <w:r>
        <w:rPr>
          <w:rFonts w:hint="default"/>
          <w:color w:val="auto"/>
        </w:rPr>
        <w:t>项目周边水系图</w:t>
      </w:r>
    </w:p>
    <w:p>
      <w:pPr>
        <w:pStyle w:val="4"/>
        <w:bidi w:val="0"/>
        <w:ind w:left="575" w:leftChars="0" w:hanging="575" w:firstLineChars="0"/>
        <w:rPr>
          <w:rFonts w:hint="eastAsia"/>
          <w:lang w:val="en-US" w:eastAsia="zh-CN"/>
        </w:rPr>
      </w:pPr>
      <w:bookmarkStart w:id="57" w:name="_Toc14131"/>
      <w:r>
        <w:rPr>
          <w:rFonts w:hint="eastAsia"/>
          <w:lang w:val="en-US" w:eastAsia="zh-CN"/>
        </w:rPr>
        <w:t>气象</w:t>
      </w:r>
      <w:bookmarkEnd w:id="57"/>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（1）气温和湿度</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项目所在区域属亚热带海洋性季风气候，气温受偏南季候风影响，暖湿多雨，光照充足，无霜期长。多年平均气温22.1℃，最高气温38.4℃（2016年7月），最低气温-0.4℃（1967年1月），多年平均相对湿度79%。</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bookmarkStart w:id="58" w:name="_Toc15031072"/>
      <w:bookmarkStart w:id="59" w:name="_Toc23928373"/>
      <w:bookmarkStart w:id="60" w:name="_Toc39760252"/>
      <w:bookmarkStart w:id="61" w:name="_Toc29460579"/>
      <w:r>
        <w:rPr>
          <w:rFonts w:hint="default" w:ascii="Times New Roman" w:hAnsi="Times New Roman" w:cs="Times New Roman" w:eastAsiaTheme="minorEastAsia"/>
          <w:sz w:val="24"/>
          <w:szCs w:val="24"/>
          <w:lang w:val="zh-CN" w:eastAsia="zh-CN"/>
        </w:rPr>
        <w:t>（2）日照</w:t>
      </w:r>
      <w:bookmarkEnd w:id="58"/>
      <w:bookmarkEnd w:id="59"/>
      <w:bookmarkEnd w:id="60"/>
      <w:bookmarkEnd w:id="61"/>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项目所在区域多年日照时数在1472小时左右，无霜期357天。根据月份变化，7月份日照时间最长，最高达236.3小时。其次是8月份，为222小时。2～3月份最短，每月日照仅100小时左右。整个5～12月，平均月日照时间在150小时以上。</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bookmarkStart w:id="62" w:name="_Toc23928374"/>
      <w:bookmarkStart w:id="63" w:name="_Toc39760253"/>
      <w:bookmarkStart w:id="64" w:name="_Toc29460580"/>
      <w:bookmarkStart w:id="65" w:name="_Toc15031073"/>
      <w:r>
        <w:rPr>
          <w:rFonts w:hint="default" w:ascii="Times New Roman" w:hAnsi="Times New Roman" w:cs="Times New Roman" w:eastAsiaTheme="minorEastAsia"/>
          <w:sz w:val="24"/>
          <w:szCs w:val="24"/>
          <w:lang w:val="zh-CN" w:eastAsia="zh-CN"/>
        </w:rPr>
        <w:t>（3）降雨</w:t>
      </w:r>
      <w:bookmarkEnd w:id="62"/>
      <w:bookmarkEnd w:id="63"/>
      <w:bookmarkEnd w:id="64"/>
      <w:bookmarkEnd w:id="65"/>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项目所在区域属多雨地区，降雨丰沛，4～9月为雨季，前期4～6月多西南季风，水气充沛，与南下冷空气相遇，常出现强降雨，后期7～9月盛行东南季风，太平洋及南海的热气旋带来大量水气，形成强风暴雨，10月至次年3月盛行东北风，多为旱季。市桥站多年平均雨量为1633mm，最大年降雨量2653mm（1965年），最小年降雨量1030mm（1963年）。实测最大24小时雨量为385mm（1958年9月28日）。降雨量年际变化较大，年雨量极值比较大，达2.6倍。降雨量年内分配不均匀，汛期4～9月占全年总量的80.7%，每年10月至次年3月降雨量少，占全年总量19.3%，造成春旱夏涝；从典型年来看，汛期极值比与多年均值相近为2.5倍，非汛期极值比高达3.2倍，春旱更为显著。</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2016年，番禺区降水量2613.8mm，为有气象记录以来第二多值。1月5日、28日和29日均出现暴雨天气，雨强之大、频次之多为历史同期罕见；冬季暴雨致使1月雨量高达374.6mm，打破历史同期最多纪录。1月5日初雷并出现冬季暴雨，是番禺区有气象记录以来出现的最早初雷和最早暴雨。</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番禺区境内有省属气象站市桥站一个，观测项目有雨量、气温、风速风向等。市桥站历年降雨量年内分配统计成果见表2.2-1。</w:t>
      </w:r>
    </w:p>
    <w:p>
      <w:pPr>
        <w:rPr>
          <w:rFonts w:hint="default"/>
        </w:rPr>
      </w:pPr>
      <w:r>
        <w:rPr>
          <w:rFonts w:hint="default"/>
        </w:rPr>
        <w:br w:type="page"/>
      </w:r>
    </w:p>
    <w:p>
      <w:pPr>
        <w:pStyle w:val="250"/>
        <w:bidi w:val="0"/>
        <w:rPr>
          <w:rFonts w:hint="default"/>
        </w:rPr>
      </w:pPr>
      <w:r>
        <w:rPr>
          <w:rFonts w:hint="default"/>
        </w:rPr>
        <w:t>表2.2-1</w:t>
      </w:r>
      <w:r>
        <w:rPr>
          <w:rFonts w:hint="default"/>
          <w:lang w:val="en-US" w:eastAsia="zh-CN"/>
        </w:rPr>
        <w:t xml:space="preserve">   </w:t>
      </w:r>
      <w:r>
        <w:rPr>
          <w:rFonts w:hint="default"/>
        </w:rPr>
        <w:t>市桥站降雨量年内分配统计表</w:t>
      </w:r>
    </w:p>
    <w:tbl>
      <w:tblPr>
        <w:tblStyle w:val="44"/>
        <w:tblW w:w="499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390"/>
        <w:gridCol w:w="663"/>
        <w:gridCol w:w="709"/>
        <w:gridCol w:w="1275"/>
        <w:gridCol w:w="1275"/>
        <w:gridCol w:w="690"/>
        <w:gridCol w:w="1275"/>
        <w:gridCol w:w="978"/>
        <w:gridCol w:w="392"/>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86" w:hRule="atLeast"/>
          <w:jc w:val="center"/>
        </w:trPr>
        <w:tc>
          <w:tcPr>
            <w:tcW w:w="803"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项目</w:t>
            </w:r>
          </w:p>
        </w:tc>
        <w:tc>
          <w:tcPr>
            <w:tcW w:w="793" w:type="pct"/>
            <w:gridSpan w:val="2"/>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多年平均</w:t>
            </w:r>
          </w:p>
        </w:tc>
        <w:tc>
          <w:tcPr>
            <w:tcW w:w="1873" w:type="pct"/>
            <w:gridSpan w:val="3"/>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非汛期旱（典型年）</w:t>
            </w:r>
          </w:p>
        </w:tc>
        <w:tc>
          <w:tcPr>
            <w:tcW w:w="1528" w:type="pct"/>
            <w:gridSpan w:val="3"/>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汛期涝（典型年）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56" w:hRule="atLeast"/>
          <w:jc w:val="center"/>
        </w:trPr>
        <w:tc>
          <w:tcPr>
            <w:tcW w:w="803" w:type="pct"/>
            <w:vMerge w:val="restar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时段</w:t>
            </w:r>
          </w:p>
        </w:tc>
        <w:tc>
          <w:tcPr>
            <w:tcW w:w="383" w:type="pct"/>
            <w:vMerge w:val="restar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4～9月</w:t>
            </w:r>
          </w:p>
        </w:tc>
        <w:tc>
          <w:tcPr>
            <w:tcW w:w="410" w:type="pct"/>
            <w:vMerge w:val="restar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10～3月</w:t>
            </w:r>
          </w:p>
        </w:tc>
        <w:tc>
          <w:tcPr>
            <w:tcW w:w="1873" w:type="pct"/>
            <w:gridSpan w:val="3"/>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10～3月</w:t>
            </w:r>
          </w:p>
        </w:tc>
        <w:tc>
          <w:tcPr>
            <w:tcW w:w="1528" w:type="pct"/>
            <w:gridSpan w:val="3"/>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4～9月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87" w:hRule="atLeast"/>
          <w:jc w:val="center"/>
        </w:trPr>
        <w:tc>
          <w:tcPr>
            <w:tcW w:w="803" w:type="pct"/>
            <w:vMerge w:val="continue"/>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p>
        </w:tc>
        <w:tc>
          <w:tcPr>
            <w:tcW w:w="383" w:type="pct"/>
            <w:vMerge w:val="continue"/>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p>
        </w:tc>
        <w:tc>
          <w:tcPr>
            <w:tcW w:w="410" w:type="pct"/>
            <w:vMerge w:val="continue"/>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p>
        </w:tc>
        <w:tc>
          <w:tcPr>
            <w:tcW w:w="737"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最小（1963年）</w:t>
            </w:r>
          </w:p>
        </w:tc>
        <w:tc>
          <w:tcPr>
            <w:tcW w:w="737"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最大（1965年）</w:t>
            </w:r>
          </w:p>
        </w:tc>
        <w:tc>
          <w:tcPr>
            <w:tcW w:w="399"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典型倍比</w:t>
            </w:r>
          </w:p>
        </w:tc>
        <w:tc>
          <w:tcPr>
            <w:tcW w:w="737"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最小（1963年）</w:t>
            </w:r>
          </w:p>
        </w:tc>
        <w:tc>
          <w:tcPr>
            <w:tcW w:w="565"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最大</w:t>
            </w:r>
          </w:p>
          <w:p>
            <w:pPr>
              <w:pStyle w:val="54"/>
              <w:bidi w:val="0"/>
              <w:rPr>
                <w:rFonts w:hint="default"/>
              </w:rPr>
            </w:pPr>
            <w:r>
              <w:rPr>
                <w:rFonts w:hint="default"/>
              </w:rPr>
              <w:t>（1965年）</w:t>
            </w:r>
          </w:p>
        </w:tc>
        <w:tc>
          <w:tcPr>
            <w:tcW w:w="226"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典型</w:t>
            </w:r>
          </w:p>
          <w:p>
            <w:pPr>
              <w:pStyle w:val="54"/>
              <w:bidi w:val="0"/>
              <w:rPr>
                <w:rFonts w:hint="default"/>
              </w:rPr>
            </w:pPr>
            <w:r>
              <w:rPr>
                <w:rFonts w:hint="default"/>
              </w:rPr>
              <w:t>倍比</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611" w:hRule="atLeast"/>
          <w:jc w:val="center"/>
        </w:trPr>
        <w:tc>
          <w:tcPr>
            <w:tcW w:w="803"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降水（mm）</w:t>
            </w:r>
          </w:p>
        </w:tc>
        <w:tc>
          <w:tcPr>
            <w:tcW w:w="383"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1318.2</w:t>
            </w:r>
          </w:p>
        </w:tc>
        <w:tc>
          <w:tcPr>
            <w:tcW w:w="410"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315.1</w:t>
            </w:r>
          </w:p>
        </w:tc>
        <w:tc>
          <w:tcPr>
            <w:tcW w:w="737"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158.6</w:t>
            </w:r>
          </w:p>
        </w:tc>
        <w:tc>
          <w:tcPr>
            <w:tcW w:w="737" w:type="pct"/>
            <w:tcBorders>
              <w:top w:val="single" w:color="auto" w:sz="4" w:space="0"/>
              <w:left w:val="single" w:color="auto" w:sz="4" w:space="0"/>
              <w:bottom w:val="single" w:color="auto" w:sz="4" w:space="0"/>
              <w:right w:val="single" w:color="auto" w:sz="4" w:space="0"/>
            </w:tcBorders>
            <w:noWrap/>
            <w:vAlign w:val="center"/>
          </w:tcPr>
          <w:p>
            <w:pPr>
              <w:pStyle w:val="54"/>
              <w:bidi w:val="0"/>
              <w:rPr>
                <w:rFonts w:hint="default"/>
              </w:rPr>
            </w:pPr>
            <w:r>
              <w:rPr>
                <w:rFonts w:hint="default"/>
              </w:rPr>
              <w:t>514.0</w:t>
            </w:r>
          </w:p>
        </w:tc>
        <w:tc>
          <w:tcPr>
            <w:tcW w:w="399" w:type="pct"/>
            <w:tcBorders>
              <w:top w:val="single" w:color="auto" w:sz="4" w:space="0"/>
              <w:left w:val="single" w:color="auto" w:sz="4" w:space="0"/>
              <w:bottom w:val="single" w:color="auto" w:sz="4" w:space="0"/>
              <w:right w:val="single" w:color="auto" w:sz="4" w:space="0"/>
            </w:tcBorders>
            <w:noWrap/>
            <w:vAlign w:val="center"/>
          </w:tcPr>
          <w:p>
            <w:pPr>
              <w:pStyle w:val="54"/>
              <w:bidi w:val="0"/>
              <w:rPr>
                <w:rFonts w:hint="default"/>
              </w:rPr>
            </w:pPr>
            <w:r>
              <w:rPr>
                <w:rFonts w:hint="default"/>
              </w:rPr>
              <w:t>3.2</w:t>
            </w:r>
          </w:p>
        </w:tc>
        <w:tc>
          <w:tcPr>
            <w:tcW w:w="737"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871.5</w:t>
            </w:r>
          </w:p>
        </w:tc>
        <w:tc>
          <w:tcPr>
            <w:tcW w:w="565"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2138.5</w:t>
            </w:r>
          </w:p>
        </w:tc>
        <w:tc>
          <w:tcPr>
            <w:tcW w:w="226" w:type="pct"/>
            <w:tcBorders>
              <w:top w:val="single" w:color="auto" w:sz="4" w:space="0"/>
              <w:left w:val="single" w:color="auto" w:sz="4" w:space="0"/>
              <w:bottom w:val="single" w:color="auto" w:sz="4" w:space="0"/>
              <w:right w:val="single" w:color="auto" w:sz="4" w:space="0"/>
            </w:tcBorders>
            <w:noWrap/>
            <w:vAlign w:val="center"/>
          </w:tcPr>
          <w:p>
            <w:pPr>
              <w:pStyle w:val="54"/>
              <w:bidi w:val="0"/>
              <w:rPr>
                <w:rFonts w:hint="default"/>
              </w:rPr>
            </w:pPr>
            <w:r>
              <w:rPr>
                <w:rFonts w:hint="default"/>
              </w:rPr>
              <w:t>2.5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598" w:hRule="atLeast"/>
          <w:jc w:val="center"/>
        </w:trPr>
        <w:tc>
          <w:tcPr>
            <w:tcW w:w="803"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占年百分比（%）</w:t>
            </w:r>
          </w:p>
        </w:tc>
        <w:tc>
          <w:tcPr>
            <w:tcW w:w="383"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80.7</w:t>
            </w:r>
          </w:p>
        </w:tc>
        <w:tc>
          <w:tcPr>
            <w:tcW w:w="410"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19.3</w:t>
            </w:r>
          </w:p>
        </w:tc>
        <w:tc>
          <w:tcPr>
            <w:tcW w:w="737"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15.4</w:t>
            </w:r>
          </w:p>
        </w:tc>
        <w:tc>
          <w:tcPr>
            <w:tcW w:w="737" w:type="pct"/>
            <w:tcBorders>
              <w:top w:val="single" w:color="auto" w:sz="4" w:space="0"/>
              <w:left w:val="single" w:color="auto" w:sz="4" w:space="0"/>
              <w:bottom w:val="single" w:color="auto" w:sz="4" w:space="0"/>
              <w:right w:val="single" w:color="auto" w:sz="4" w:space="0"/>
            </w:tcBorders>
            <w:noWrap/>
            <w:vAlign w:val="center"/>
          </w:tcPr>
          <w:p>
            <w:pPr>
              <w:pStyle w:val="54"/>
              <w:bidi w:val="0"/>
              <w:rPr>
                <w:rFonts w:hint="default"/>
              </w:rPr>
            </w:pPr>
            <w:r>
              <w:rPr>
                <w:rFonts w:hint="default"/>
              </w:rPr>
              <w:t>19.4</w:t>
            </w:r>
          </w:p>
        </w:tc>
        <w:tc>
          <w:tcPr>
            <w:tcW w:w="399" w:type="pct"/>
            <w:tcBorders>
              <w:top w:val="single" w:color="auto" w:sz="4" w:space="0"/>
              <w:left w:val="single" w:color="auto" w:sz="4" w:space="0"/>
              <w:bottom w:val="single" w:color="auto" w:sz="4" w:space="0"/>
              <w:right w:val="single" w:color="auto" w:sz="4" w:space="0"/>
            </w:tcBorders>
            <w:noWrap/>
            <w:vAlign w:val="center"/>
          </w:tcPr>
          <w:p>
            <w:pPr>
              <w:pStyle w:val="54"/>
              <w:bidi w:val="0"/>
              <w:rPr>
                <w:rFonts w:hint="default"/>
              </w:rPr>
            </w:pPr>
          </w:p>
        </w:tc>
        <w:tc>
          <w:tcPr>
            <w:tcW w:w="737"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84.6</w:t>
            </w:r>
          </w:p>
        </w:tc>
        <w:tc>
          <w:tcPr>
            <w:tcW w:w="565"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rPr>
            </w:pPr>
            <w:r>
              <w:rPr>
                <w:rFonts w:hint="default"/>
              </w:rPr>
              <w:t>80.6</w:t>
            </w:r>
          </w:p>
        </w:tc>
        <w:tc>
          <w:tcPr>
            <w:tcW w:w="226" w:type="pct"/>
            <w:tcBorders>
              <w:top w:val="single" w:color="auto" w:sz="4" w:space="0"/>
              <w:left w:val="single" w:color="auto" w:sz="4" w:space="0"/>
              <w:bottom w:val="single" w:color="auto" w:sz="4" w:space="0"/>
              <w:right w:val="single" w:color="auto" w:sz="4" w:space="0"/>
            </w:tcBorders>
            <w:noWrap/>
            <w:vAlign w:val="center"/>
          </w:tcPr>
          <w:p>
            <w:pPr>
              <w:pStyle w:val="54"/>
              <w:bidi w:val="0"/>
              <w:rPr>
                <w:rFonts w:hint="default"/>
              </w:rPr>
            </w:pPr>
          </w:p>
        </w:tc>
      </w:tr>
    </w:tbl>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bookmarkStart w:id="66" w:name="_Toc447869020"/>
      <w:bookmarkStart w:id="67" w:name="_Toc447868948"/>
      <w:r>
        <w:rPr>
          <w:rFonts w:hint="default" w:ascii="Times New Roman" w:hAnsi="Times New Roman" w:cs="Times New Roman" w:eastAsiaTheme="minorEastAsia"/>
          <w:sz w:val="24"/>
          <w:szCs w:val="24"/>
          <w:lang w:val="zh-CN" w:eastAsia="zh-CN"/>
        </w:rPr>
        <w:t>（4）风</w:t>
      </w:r>
      <w:bookmarkEnd w:id="66"/>
      <w:bookmarkEnd w:id="67"/>
      <w:r>
        <w:rPr>
          <w:rFonts w:hint="default" w:ascii="Times New Roman" w:hAnsi="Times New Roman" w:cs="Times New Roman" w:eastAsiaTheme="minorEastAsia"/>
          <w:sz w:val="24"/>
          <w:szCs w:val="24"/>
          <w:lang w:val="zh-CN" w:eastAsia="zh-CN"/>
        </w:rPr>
        <w:t>向、风速</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项目所在区域季风期分明，秋冬季以吹北风和西北风为主，春、夏季以吹南风和东南风为主，多年平均风速1.9~2.0m/s。热带气旋盛行于7月～9月，风力一般6级～9级，最大风力12级以上，最大风速为22m/s，瞬时极大风速35.4m/s以上。</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bookmarkStart w:id="68" w:name="_Toc15031074"/>
      <w:bookmarkStart w:id="69" w:name="_Toc23928375"/>
      <w:bookmarkStart w:id="70" w:name="_Toc39760254"/>
      <w:bookmarkStart w:id="71" w:name="_Toc29460581"/>
      <w:r>
        <w:rPr>
          <w:rFonts w:hint="default" w:ascii="Times New Roman" w:hAnsi="Times New Roman" w:cs="Times New Roman" w:eastAsiaTheme="minorEastAsia"/>
          <w:sz w:val="24"/>
          <w:szCs w:val="24"/>
          <w:lang w:val="zh-CN" w:eastAsia="zh-CN"/>
        </w:rPr>
        <w:t>（5）蒸发</w:t>
      </w:r>
      <w:bookmarkEnd w:id="68"/>
      <w:bookmarkEnd w:id="69"/>
      <w:bookmarkEnd w:id="70"/>
      <w:bookmarkEnd w:id="71"/>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项目所在区域平均年蒸发量1276mm。年蒸发量最大是1963年，为1485mm；最小为1953年，为1048mm。一年之中，7月～9月蒸发量最大。月蒸发量最大7月份，为143mm；最小为2月份，为63mm。月最大蒸发量为283mm，出现在1966年9月。</w:t>
      </w:r>
    </w:p>
    <w:p>
      <w:pPr>
        <w:pStyle w:val="4"/>
        <w:bidi w:val="0"/>
        <w:ind w:left="575" w:leftChars="0" w:hanging="575" w:firstLineChars="0"/>
        <w:rPr>
          <w:rFonts w:hint="eastAsia"/>
          <w:lang w:val="en-US" w:eastAsia="zh-CN"/>
        </w:rPr>
      </w:pPr>
      <w:bookmarkStart w:id="72" w:name="_Toc8675"/>
      <w:r>
        <w:rPr>
          <w:rFonts w:hint="eastAsia"/>
          <w:lang w:val="en-US" w:eastAsia="zh-CN"/>
        </w:rPr>
        <w:t>水文基本资料</w:t>
      </w:r>
      <w:bookmarkEnd w:id="72"/>
    </w:p>
    <w:p>
      <w:pPr>
        <w:ind w:firstLine="480"/>
        <w:rPr>
          <w:highlight w:val="none"/>
        </w:rPr>
      </w:pPr>
      <w:r>
        <w:rPr>
          <w:rFonts w:hint="eastAsia"/>
          <w:highlight w:val="none"/>
        </w:rPr>
        <w:t>主要水文站有：西江的高要站，北江的石角站、三水站，东江的博罗站的牛心岭站，潮位站有：三沙口站、三善</w:t>
      </w:r>
      <w:r>
        <w:rPr>
          <w:rFonts w:hint="eastAsia" w:ascii="宋体" w:hAnsi="宋体" w:cs="宋体"/>
          <w:highlight w:val="none"/>
        </w:rPr>
        <w:t>滘</w:t>
      </w:r>
      <w:r>
        <w:rPr>
          <w:rFonts w:hint="eastAsia" w:hAnsi="仿宋_GB2312" w:cs="仿宋_GB2312"/>
          <w:highlight w:val="none"/>
        </w:rPr>
        <w:t>站、黄埔站、大石站</w:t>
      </w:r>
      <w:r>
        <w:rPr>
          <w:rFonts w:hint="eastAsia"/>
          <w:highlight w:val="none"/>
        </w:rPr>
        <w:t>等。各站点的水位、流量资料系列见表</w:t>
      </w:r>
      <w:r>
        <w:rPr>
          <w:rFonts w:hint="eastAsia"/>
          <w:highlight w:val="none"/>
          <w:lang w:val="en-US" w:eastAsia="zh-CN"/>
        </w:rPr>
        <w:t>2</w:t>
      </w:r>
      <w:r>
        <w:rPr>
          <w:rFonts w:hint="eastAsia"/>
          <w:highlight w:val="none"/>
        </w:rPr>
        <w:t>.</w:t>
      </w:r>
      <w:r>
        <w:rPr>
          <w:rFonts w:hint="eastAsia"/>
          <w:highlight w:val="none"/>
          <w:lang w:val="en-US" w:eastAsia="zh-CN"/>
        </w:rPr>
        <w:t>3</w:t>
      </w:r>
      <w:r>
        <w:rPr>
          <w:highlight w:val="none"/>
        </w:rPr>
        <w:t>-</w:t>
      </w:r>
      <w:r>
        <w:rPr>
          <w:rFonts w:hint="eastAsia"/>
          <w:highlight w:val="none"/>
        </w:rPr>
        <w:t>1，水文、水位站分布见图</w:t>
      </w:r>
      <w:r>
        <w:rPr>
          <w:rFonts w:hint="eastAsia"/>
          <w:highlight w:val="none"/>
          <w:lang w:val="en-US" w:eastAsia="zh-CN"/>
        </w:rPr>
        <w:t>2</w:t>
      </w:r>
      <w:r>
        <w:rPr>
          <w:rFonts w:hint="eastAsia"/>
          <w:highlight w:val="none"/>
        </w:rPr>
        <w:t>.</w:t>
      </w:r>
      <w:r>
        <w:rPr>
          <w:rFonts w:hint="eastAsia"/>
          <w:highlight w:val="none"/>
          <w:lang w:val="en-US" w:eastAsia="zh-CN"/>
        </w:rPr>
        <w:t>3</w:t>
      </w:r>
      <w:r>
        <w:rPr>
          <w:highlight w:val="none"/>
        </w:rPr>
        <w:t>-</w:t>
      </w:r>
      <w:r>
        <w:rPr>
          <w:rFonts w:hint="eastAsia"/>
          <w:highlight w:val="none"/>
        </w:rPr>
        <w:t>1。</w:t>
      </w:r>
    </w:p>
    <w:p>
      <w:pPr>
        <w:pStyle w:val="85"/>
        <w:rPr>
          <w:highlight w:val="none"/>
        </w:rPr>
      </w:pPr>
      <w:r>
        <w:rPr>
          <w:highlight w:val="none"/>
        </w:rPr>
        <mc:AlternateContent>
          <mc:Choice Requires="wps">
            <w:drawing>
              <wp:anchor distT="0" distB="0" distL="114300" distR="114300" simplePos="0" relativeHeight="251665408" behindDoc="0" locked="0" layoutInCell="1" allowOverlap="1">
                <wp:simplePos x="0" y="0"/>
                <wp:positionH relativeFrom="column">
                  <wp:posOffset>3543300</wp:posOffset>
                </wp:positionH>
                <wp:positionV relativeFrom="paragraph">
                  <wp:posOffset>377825</wp:posOffset>
                </wp:positionV>
                <wp:extent cx="125730" cy="256540"/>
                <wp:effectExtent l="1905" t="19685" r="43815" b="66675"/>
                <wp:wrapNone/>
                <wp:docPr id="36" name="等腰三角形 36"/>
                <wp:cNvGraphicFramePr/>
                <a:graphic xmlns:a="http://schemas.openxmlformats.org/drawingml/2006/main">
                  <a:graphicData uri="http://schemas.microsoft.com/office/word/2010/wordprocessingShape">
                    <wps:wsp>
                      <wps:cNvSpPr>
                        <a:spLocks noChangeArrowheads="1"/>
                      </wps:cNvSpPr>
                      <wps:spPr bwMode="auto">
                        <a:xfrm rot="-10466533">
                          <a:off x="0" y="0"/>
                          <a:ext cx="220345" cy="256540"/>
                        </a:xfrm>
                        <a:prstGeom prst="triangle">
                          <a:avLst>
                            <a:gd name="adj" fmla="val 50000"/>
                          </a:avLst>
                        </a:prstGeom>
                        <a:solidFill>
                          <a:srgbClr val="FF0000"/>
                        </a:solidFill>
                        <a:ln w="25400">
                          <a:solidFill>
                            <a:srgbClr val="FF0000"/>
                          </a:solidFill>
                          <a:miter lim="800000"/>
                        </a:ln>
                        <a:effectLst/>
                      </wps:spPr>
                      <wps:bodyPr rot="0" vert="horz" wrap="square" lIns="91440" tIns="45720" rIns="91440" bIns="45720" anchor="ctr" anchorCtr="0" upright="1">
                        <a:noAutofit/>
                      </wps:bodyPr>
                    </wps:wsp>
                  </a:graphicData>
                </a:graphic>
              </wp:anchor>
            </w:drawing>
          </mc:Choice>
          <mc:Fallback>
            <w:pict>
              <v:shape id="_x0000_s1026" o:spid="_x0000_s1026" o:spt="5" type="#_x0000_t5" style="position:absolute;left:0pt;margin-left:279pt;margin-top:29.75pt;height:20.2pt;width:9.9pt;rotation:-11432245f;z-index:251665408;v-text-anchor:middle;mso-width-relative:page;mso-height-relative:page;" fillcolor="#FF0000" filled="t" stroked="t" coordsize="21600,21600" o:gfxdata="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WJrDt1gAAAAkBAAAPAAAAAAAAAAEAIAAAACIAAABkcnMvZG93bnJldi54bWxQSwECFAAU&#10;AAAACACHTuJAnNFKoGUCAADKBAAADgAAAAAAAAABACAAAAAlAQAAZHJzL2Uyb0RvYy54bWxQSwUG&#10;AAAAAAYABgBZAQAA/AUAAAAA&#10;" adj="10800">
                <v:fill on="t" focussize="0,0"/>
                <v:stroke weight="2pt" color="#FF0000" miterlimit="8" joinstyle="miter"/>
                <v:imagedata o:title=""/>
                <o:lock v:ext="edit" aspectratio="f"/>
              </v:shape>
            </w:pict>
          </mc:Fallback>
        </mc:AlternateContent>
      </w:r>
      <w:r>
        <w:rPr>
          <w:highlight w:val="none"/>
        </w:rPr>
        <mc:AlternateContent>
          <mc:Choice Requires="wps">
            <w:drawing>
              <wp:anchor distT="0" distB="0" distL="114300" distR="114300" simplePos="0" relativeHeight="251667456" behindDoc="0" locked="0" layoutInCell="1" allowOverlap="1">
                <wp:simplePos x="0" y="0"/>
                <wp:positionH relativeFrom="column">
                  <wp:posOffset>3867785</wp:posOffset>
                </wp:positionH>
                <wp:positionV relativeFrom="paragraph">
                  <wp:posOffset>2595245</wp:posOffset>
                </wp:positionV>
                <wp:extent cx="177800" cy="142240"/>
                <wp:effectExtent l="50800" t="60325" r="0" b="26035"/>
                <wp:wrapNone/>
                <wp:docPr id="40" name="等腰三角形 40"/>
                <wp:cNvGraphicFramePr/>
                <a:graphic xmlns:a="http://schemas.openxmlformats.org/drawingml/2006/main">
                  <a:graphicData uri="http://schemas.microsoft.com/office/word/2010/wordprocessingShape">
                    <wps:wsp>
                      <wps:cNvSpPr>
                        <a:spLocks noChangeArrowheads="1"/>
                      </wps:cNvSpPr>
                      <wps:spPr bwMode="auto">
                        <a:xfrm rot="8809328" flipH="1">
                          <a:off x="0" y="0"/>
                          <a:ext cx="177800" cy="197485"/>
                        </a:xfrm>
                        <a:prstGeom prst="triangle">
                          <a:avLst>
                            <a:gd name="adj" fmla="val 50028"/>
                          </a:avLst>
                        </a:prstGeom>
                        <a:solidFill>
                          <a:srgbClr val="FF0000"/>
                        </a:solidFill>
                        <a:ln w="25400">
                          <a:solidFill>
                            <a:srgbClr val="FF0000"/>
                          </a:solidFill>
                          <a:miter lim="800000"/>
                        </a:ln>
                        <a:effectLst/>
                      </wps:spPr>
                      <wps:bodyPr rot="0" vert="horz" wrap="square" lIns="91440" tIns="45720" rIns="91440" bIns="45720" anchor="ctr" anchorCtr="0" upright="1">
                        <a:noAutofit/>
                      </wps:bodyPr>
                    </wps:wsp>
                  </a:graphicData>
                </a:graphic>
              </wp:anchor>
            </w:drawing>
          </mc:Choice>
          <mc:Fallback>
            <w:pict>
              <v:shape id="_x0000_s1026" o:spid="_x0000_s1026" o:spt="5" type="#_x0000_t5" style="position:absolute;left:0pt;flip:x;margin-left:304.55pt;margin-top:204.35pt;height:11.2pt;width:14pt;rotation:-9622135f;z-index:251667456;v-text-anchor:middle;mso-width-relative:page;mso-height-relative:page;" fillcolor="#FF0000" filled="t" stroked="t" coordsize="21600,21600" o:gfxdata="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MWJl+1wAAAAsBAAAPAAAAAAAAAAEAIAAAACIAAABkcnMvZG93bnJl&#10;di54bWxQSwECFAAUAAAACACHTuJAYZMUeHACAADSBAAADgAAAAAAAAABACAAAAAmAQAAZHJzL2Uy&#10;b0RvYy54bWxQSwUGAAAAAAYABgBZAQAACAYAAAAA&#10;" adj="10806">
                <v:fill on="t" focussize="0,0"/>
                <v:stroke weight="2pt" color="#FF0000" miterlimit="8" joinstyle="miter"/>
                <v:imagedata o:title=""/>
                <o:lock v:ext="edit" aspectratio="f"/>
              </v:shape>
            </w:pict>
          </mc:Fallback>
        </mc:AlternateContent>
      </w:r>
      <w:r>
        <w:rPr>
          <w:highlight w:val="none"/>
        </w:rPr>
        <mc:AlternateContent>
          <mc:Choice Requires="wps">
            <w:drawing>
              <wp:anchor distT="0" distB="0" distL="114300" distR="114300" simplePos="0" relativeHeight="251666432" behindDoc="0" locked="0" layoutInCell="1" allowOverlap="1">
                <wp:simplePos x="0" y="0"/>
                <wp:positionH relativeFrom="column">
                  <wp:posOffset>1404620</wp:posOffset>
                </wp:positionH>
                <wp:positionV relativeFrom="paragraph">
                  <wp:posOffset>3131185</wp:posOffset>
                </wp:positionV>
                <wp:extent cx="182245" cy="205105"/>
                <wp:effectExtent l="57150" t="0" r="4445" b="86995"/>
                <wp:wrapNone/>
                <wp:docPr id="38" name="等腰三角形 38"/>
                <wp:cNvGraphicFramePr/>
                <a:graphic xmlns:a="http://schemas.openxmlformats.org/drawingml/2006/main">
                  <a:graphicData uri="http://schemas.microsoft.com/office/word/2010/wordprocessingShape">
                    <wps:wsp>
                      <wps:cNvSpPr>
                        <a:spLocks noChangeArrowheads="1"/>
                      </wps:cNvSpPr>
                      <wps:spPr bwMode="auto">
                        <a:xfrm rot="2905438" flipH="1">
                          <a:off x="0" y="0"/>
                          <a:ext cx="238760" cy="268605"/>
                        </a:xfrm>
                        <a:prstGeom prst="triangle">
                          <a:avLst>
                            <a:gd name="adj" fmla="val 50000"/>
                          </a:avLst>
                        </a:prstGeom>
                        <a:solidFill>
                          <a:srgbClr val="FF0000"/>
                        </a:solidFill>
                        <a:ln w="25400">
                          <a:solidFill>
                            <a:srgbClr val="FF0000"/>
                          </a:solidFill>
                          <a:miter lim="800000"/>
                        </a:ln>
                        <a:effectLst/>
                      </wps:spPr>
                      <wps:bodyPr rot="0" vert="horz" wrap="square" lIns="91440" tIns="45720" rIns="91440" bIns="45720" anchor="ctr" anchorCtr="0" upright="1">
                        <a:noAutofit/>
                      </wps:bodyPr>
                    </wps:wsp>
                  </a:graphicData>
                </a:graphic>
              </wp:anchor>
            </w:drawing>
          </mc:Choice>
          <mc:Fallback>
            <w:pict>
              <v:shape id="_x0000_s1026" o:spid="_x0000_s1026" o:spt="5" type="#_x0000_t5" style="position:absolute;left:0pt;flip:x;margin-left:110.6pt;margin-top:246.55pt;height:16.15pt;width:14.35pt;rotation:-3173513f;z-index:251666432;v-text-anchor:middle;mso-width-relative:page;mso-height-relative:page;" fillcolor="#FF0000" filled="t" stroked="t" coordsize="21600,21600" o:gfxdata="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PHNvIHXAAAACwEAAA8AAAAAAAAAAQAgAAAAIgAAAGRycy9kb3ducmV2LnhtbFBL&#10;AQIUABQAAAAIAIdO4kBjHS5XaQIAANIEAAAOAAAAAAAAAAEAIAAAACYBAABkcnMvZTJvRG9jLnht&#10;bFBLBQYAAAAABgAGAFkBAAABBgAAAAA=&#10;" adj="10800">
                <v:fill on="t" focussize="0,0"/>
                <v:stroke weight="2pt" color="#FF0000" miterlimit="8" joinstyle="miter"/>
                <v:imagedata o:title=""/>
                <o:lock v:ext="edit" aspectratio="f"/>
              </v:shape>
            </w:pict>
          </mc:Fallback>
        </mc:AlternateContent>
      </w:r>
      <w:r>
        <w:rPr>
          <w:highlight w:val="none"/>
        </w:rPr>
        <mc:AlternateContent>
          <mc:Choice Requires="wps">
            <w:drawing>
              <wp:anchor distT="0" distB="0" distL="114300" distR="114300" simplePos="0" relativeHeight="251666432" behindDoc="0" locked="0" layoutInCell="1" allowOverlap="1">
                <wp:simplePos x="0" y="0"/>
                <wp:positionH relativeFrom="column">
                  <wp:posOffset>1550670</wp:posOffset>
                </wp:positionH>
                <wp:positionV relativeFrom="paragraph">
                  <wp:posOffset>1384300</wp:posOffset>
                </wp:positionV>
                <wp:extent cx="195580" cy="187960"/>
                <wp:effectExtent l="0" t="15875" r="69850" b="62865"/>
                <wp:wrapNone/>
                <wp:docPr id="37" name="等腰三角形 37"/>
                <wp:cNvGraphicFramePr/>
                <a:graphic xmlns:a="http://schemas.openxmlformats.org/drawingml/2006/main">
                  <a:graphicData uri="http://schemas.microsoft.com/office/word/2010/wordprocessingShape">
                    <wps:wsp>
                      <wps:cNvSpPr>
                        <a:spLocks noChangeArrowheads="1"/>
                      </wps:cNvSpPr>
                      <wps:spPr bwMode="auto">
                        <a:xfrm rot="-1537024">
                          <a:off x="0" y="0"/>
                          <a:ext cx="195580" cy="243840"/>
                        </a:xfrm>
                        <a:prstGeom prst="triangle">
                          <a:avLst>
                            <a:gd name="adj" fmla="val 50000"/>
                          </a:avLst>
                        </a:prstGeom>
                        <a:solidFill>
                          <a:srgbClr val="FF0000"/>
                        </a:solidFill>
                        <a:ln w="25400">
                          <a:solidFill>
                            <a:srgbClr val="FF0000"/>
                          </a:solidFill>
                          <a:miter lim="800000"/>
                        </a:ln>
                        <a:effectLst/>
                      </wps:spPr>
                      <wps:bodyPr rot="0" vert="horz" wrap="square" lIns="91440" tIns="45720" rIns="91440" bIns="45720" anchor="ctr" anchorCtr="0" upright="1">
                        <a:noAutofit/>
                      </wps:bodyPr>
                    </wps:wsp>
                  </a:graphicData>
                </a:graphic>
              </wp:anchor>
            </w:drawing>
          </mc:Choice>
          <mc:Fallback>
            <w:pict>
              <v:shape id="_x0000_s1026" o:spid="_x0000_s1026" o:spt="5" type="#_x0000_t5" style="position:absolute;left:0pt;margin-left:122.1pt;margin-top:109pt;height:14.8pt;width:15.4pt;rotation:-1678840f;z-index:251666432;v-text-anchor:middle;mso-width-relative:page;mso-height-relative:page;" fillcolor="#FF0000" filled="t" stroked="t" coordsize="21600,21600" o:gfxdata="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w/Ey+toAAAALAQAADwAAAAAAAAABACAAAAAiAAAAZHJzL2Rvd25yZXYueG1sUEsB&#10;AhQAFAAAAAgAh07iQIJ8xwtlAgAAyQQAAA4AAAAAAAAAAQAgAAAAKQEAAGRycy9lMm9Eb2MueG1s&#10;UEsFBgAAAAAGAAYAWQEAAAAGAAAAAA==&#10;" adj="10800">
                <v:fill on="t" focussize="0,0"/>
                <v:stroke weight="2pt" color="#FF0000" miterlimit="8" joinstyle="miter"/>
                <v:imagedata o:title=""/>
                <o:lock v:ext="edit" aspectratio="f"/>
              </v:shape>
            </w:pict>
          </mc:Fallback>
        </mc:AlternateContent>
      </w:r>
      <w:r>
        <w:rPr>
          <w:highlight w:val="none"/>
        </w:rPr>
        <w:drawing>
          <wp:inline distT="0" distB="0" distL="0" distR="0">
            <wp:extent cx="5088890" cy="4286250"/>
            <wp:effectExtent l="9525" t="9525" r="26035" b="9525"/>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noChangeArrowheads="1"/>
                    </pic:cNvPicPr>
                  </pic:nvPicPr>
                  <pic:blipFill>
                    <a:blip r:embed="rId16">
                      <a:extLst>
                        <a:ext uri="{28A0092B-C50C-407E-A947-70E740481C1C}">
                          <a14:useLocalDpi xmlns:a14="http://schemas.microsoft.com/office/drawing/2010/main" val="0"/>
                        </a:ext>
                      </a:extLst>
                    </a:blip>
                    <a:srcRect t="4955"/>
                    <a:stretch>
                      <a:fillRect/>
                    </a:stretch>
                  </pic:blipFill>
                  <pic:spPr>
                    <a:xfrm>
                      <a:off x="0" y="0"/>
                      <a:ext cx="5088918" cy="4286250"/>
                    </a:xfrm>
                    <a:prstGeom prst="rect">
                      <a:avLst/>
                    </a:prstGeom>
                    <a:noFill/>
                    <a:ln w="6350" cmpd="sng">
                      <a:solidFill>
                        <a:srgbClr val="000000"/>
                      </a:solidFill>
                      <a:miter lim="800000"/>
                      <a:headEnd/>
                      <a:tailEnd/>
                    </a:ln>
                    <a:effectLst/>
                  </pic:spPr>
                </pic:pic>
              </a:graphicData>
            </a:graphic>
          </wp:inline>
        </w:drawing>
      </w:r>
    </w:p>
    <w:p>
      <w:pPr>
        <w:pStyle w:val="250"/>
        <w:bidi w:val="0"/>
        <w:rPr>
          <w:rFonts w:hint="default"/>
          <w:color w:val="auto"/>
          <w:highlight w:val="none"/>
        </w:rPr>
      </w:pPr>
      <w:r>
        <w:rPr>
          <w:rFonts w:hint="eastAsia"/>
          <w:color w:val="auto"/>
          <w:highlight w:val="none"/>
        </w:rPr>
        <w:t>图</w:t>
      </w:r>
      <w:r>
        <w:rPr>
          <w:rFonts w:hint="eastAsia"/>
          <w:color w:val="auto"/>
          <w:highlight w:val="none"/>
          <w:lang w:val="en-US" w:eastAsia="zh-CN"/>
        </w:rPr>
        <w:t>2</w:t>
      </w:r>
      <w:r>
        <w:rPr>
          <w:rFonts w:hint="default"/>
          <w:color w:val="auto"/>
          <w:highlight w:val="none"/>
        </w:rPr>
        <w:t>.</w:t>
      </w:r>
      <w:r>
        <w:rPr>
          <w:rFonts w:hint="eastAsia"/>
          <w:color w:val="auto"/>
          <w:highlight w:val="none"/>
          <w:lang w:val="en-US" w:eastAsia="zh-CN"/>
        </w:rPr>
        <w:t>3</w:t>
      </w:r>
      <w:r>
        <w:rPr>
          <w:rFonts w:hint="default"/>
          <w:color w:val="auto"/>
          <w:highlight w:val="none"/>
        </w:rPr>
        <w:t xml:space="preserve">-1 </w:t>
      </w:r>
      <w:r>
        <w:rPr>
          <w:rFonts w:hint="eastAsia"/>
          <w:color w:val="auto"/>
          <w:highlight w:val="none"/>
          <w:lang w:val="en-US" w:eastAsia="zh-CN"/>
        </w:rPr>
        <w:t xml:space="preserve">   </w:t>
      </w:r>
      <w:r>
        <w:rPr>
          <w:rFonts w:hint="eastAsia"/>
          <w:color w:val="auto"/>
          <w:highlight w:val="none"/>
        </w:rPr>
        <w:t>番禺区周边主要潮位观测站点位置示意图</w:t>
      </w:r>
    </w:p>
    <w:p>
      <w:pPr>
        <w:pStyle w:val="250"/>
        <w:bidi w:val="0"/>
        <w:rPr>
          <w:rFonts w:hint="default"/>
          <w:color w:val="auto"/>
          <w:highlight w:val="none"/>
        </w:rPr>
      </w:pPr>
      <w:r>
        <w:rPr>
          <w:rFonts w:hint="eastAsia"/>
          <w:color w:val="auto"/>
          <w:highlight w:val="none"/>
        </w:rPr>
        <w:t>表</w:t>
      </w:r>
      <w:r>
        <w:rPr>
          <w:rFonts w:hint="eastAsia"/>
          <w:color w:val="auto"/>
          <w:highlight w:val="none"/>
          <w:lang w:val="en-US" w:eastAsia="zh-CN"/>
        </w:rPr>
        <w:t>2</w:t>
      </w:r>
      <w:r>
        <w:rPr>
          <w:rFonts w:hint="eastAsia"/>
          <w:color w:val="auto"/>
          <w:highlight w:val="none"/>
        </w:rPr>
        <w:t>.</w:t>
      </w:r>
      <w:r>
        <w:rPr>
          <w:rFonts w:hint="eastAsia"/>
          <w:color w:val="auto"/>
          <w:highlight w:val="none"/>
          <w:lang w:val="en-US" w:eastAsia="zh-CN"/>
        </w:rPr>
        <w:t>3</w:t>
      </w:r>
      <w:r>
        <w:rPr>
          <w:rFonts w:hint="default"/>
          <w:color w:val="auto"/>
          <w:highlight w:val="none"/>
        </w:rPr>
        <w:t>-</w:t>
      </w:r>
      <w:r>
        <w:rPr>
          <w:rFonts w:hint="eastAsia"/>
          <w:color w:val="auto"/>
          <w:highlight w:val="none"/>
        </w:rPr>
        <w:t>1</w:t>
      </w:r>
      <w:r>
        <w:rPr>
          <w:rFonts w:hint="eastAsia"/>
          <w:color w:val="auto"/>
          <w:highlight w:val="none"/>
          <w:lang w:val="en-US" w:eastAsia="zh-CN"/>
        </w:rPr>
        <w:t xml:space="preserve">   </w:t>
      </w:r>
      <w:r>
        <w:rPr>
          <w:rFonts w:hint="eastAsia"/>
          <w:color w:val="auto"/>
          <w:highlight w:val="none"/>
        </w:rPr>
        <w:t>水文、水位观测站观测项目表</w:t>
      </w:r>
    </w:p>
    <w:tbl>
      <w:tblPr>
        <w:tblStyle w:val="44"/>
        <w:tblW w:w="5016" w:type="pct"/>
        <w:tblInd w:w="0" w:type="dxa"/>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Layout w:type="autofit"/>
        <w:tblCellMar>
          <w:top w:w="0" w:type="dxa"/>
          <w:left w:w="108" w:type="dxa"/>
          <w:bottom w:w="0" w:type="dxa"/>
          <w:right w:w="108" w:type="dxa"/>
        </w:tblCellMar>
      </w:tblPr>
      <w:tblGrid>
        <w:gridCol w:w="1590"/>
        <w:gridCol w:w="1329"/>
        <w:gridCol w:w="1857"/>
        <w:gridCol w:w="1194"/>
        <w:gridCol w:w="1722"/>
        <w:gridCol w:w="1192"/>
      </w:tblGrid>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611" w:hRule="atLeast"/>
        </w:trPr>
        <w:tc>
          <w:tcPr>
            <w:tcW w:w="895" w:type="pct"/>
            <w:vMerge w:val="restar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河名</w:t>
            </w:r>
          </w:p>
        </w:tc>
        <w:tc>
          <w:tcPr>
            <w:tcW w:w="748" w:type="pct"/>
            <w:vMerge w:val="restar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站名</w:t>
            </w:r>
          </w:p>
        </w:tc>
        <w:tc>
          <w:tcPr>
            <w:tcW w:w="1717" w:type="pct"/>
            <w:gridSpan w:val="2"/>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水位</w:t>
            </w:r>
          </w:p>
        </w:tc>
        <w:tc>
          <w:tcPr>
            <w:tcW w:w="1640" w:type="pct"/>
            <w:gridSpan w:val="2"/>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流量</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611" w:hRule="atLeast"/>
        </w:trPr>
        <w:tc>
          <w:tcPr>
            <w:tcW w:w="895" w:type="pct"/>
            <w:vMerge w:val="continue"/>
            <w:vAlign w:val="center"/>
          </w:tcPr>
          <w:p>
            <w:pPr>
              <w:pStyle w:val="85"/>
              <w:rPr>
                <w:rFonts w:hint="default" w:ascii="Times New Roman" w:hAnsi="Times New Roman" w:cs="Times New Roman"/>
                <w:b w:val="0"/>
                <w:bCs/>
                <w:color w:val="auto"/>
                <w:sz w:val="21"/>
                <w:szCs w:val="21"/>
                <w:highlight w:val="none"/>
              </w:rPr>
            </w:pPr>
          </w:p>
        </w:tc>
        <w:tc>
          <w:tcPr>
            <w:tcW w:w="748" w:type="pct"/>
            <w:vMerge w:val="continue"/>
            <w:vAlign w:val="center"/>
          </w:tcPr>
          <w:p>
            <w:pPr>
              <w:pStyle w:val="85"/>
              <w:rPr>
                <w:rFonts w:hint="default" w:ascii="Times New Roman" w:hAnsi="Times New Roman" w:cs="Times New Roman"/>
                <w:b w:val="0"/>
                <w:bCs/>
                <w:color w:val="auto"/>
                <w:sz w:val="21"/>
                <w:szCs w:val="21"/>
                <w:highlight w:val="none"/>
              </w:rPr>
            </w:pPr>
          </w:p>
        </w:tc>
        <w:tc>
          <w:tcPr>
            <w:tcW w:w="104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资料系列（年）</w:t>
            </w:r>
          </w:p>
        </w:tc>
        <w:tc>
          <w:tcPr>
            <w:tcW w:w="672"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n（年数）</w:t>
            </w:r>
          </w:p>
        </w:tc>
        <w:tc>
          <w:tcPr>
            <w:tcW w:w="969"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资料系列（年）</w:t>
            </w:r>
          </w:p>
        </w:tc>
        <w:tc>
          <w:tcPr>
            <w:tcW w:w="671"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n（年数）</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54" w:hRule="atLeast"/>
        </w:trPr>
        <w:tc>
          <w:tcPr>
            <w:tcW w:w="89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西江</w:t>
            </w:r>
          </w:p>
        </w:tc>
        <w:tc>
          <w:tcPr>
            <w:tcW w:w="748"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高要</w:t>
            </w:r>
          </w:p>
        </w:tc>
        <w:tc>
          <w:tcPr>
            <w:tcW w:w="104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1931~1936</w:t>
            </w:r>
          </w:p>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1938~2000</w:t>
            </w:r>
          </w:p>
        </w:tc>
        <w:tc>
          <w:tcPr>
            <w:tcW w:w="672"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69</w:t>
            </w:r>
          </w:p>
        </w:tc>
        <w:tc>
          <w:tcPr>
            <w:tcW w:w="969"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1951~2000</w:t>
            </w:r>
          </w:p>
        </w:tc>
        <w:tc>
          <w:tcPr>
            <w:tcW w:w="671"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50</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54" w:hRule="atLeast"/>
        </w:trPr>
        <w:tc>
          <w:tcPr>
            <w:tcW w:w="895" w:type="pct"/>
            <w:vMerge w:val="restar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北江</w:t>
            </w:r>
          </w:p>
        </w:tc>
        <w:tc>
          <w:tcPr>
            <w:tcW w:w="748"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石角</w:t>
            </w:r>
          </w:p>
        </w:tc>
        <w:tc>
          <w:tcPr>
            <w:tcW w:w="104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1951~2000</w:t>
            </w:r>
          </w:p>
        </w:tc>
        <w:tc>
          <w:tcPr>
            <w:tcW w:w="672"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50</w:t>
            </w:r>
          </w:p>
        </w:tc>
        <w:tc>
          <w:tcPr>
            <w:tcW w:w="969"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1953~2000</w:t>
            </w:r>
          </w:p>
        </w:tc>
        <w:tc>
          <w:tcPr>
            <w:tcW w:w="671"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48</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54" w:hRule="atLeast"/>
        </w:trPr>
        <w:tc>
          <w:tcPr>
            <w:tcW w:w="895" w:type="pct"/>
            <w:vMerge w:val="continue"/>
            <w:vAlign w:val="center"/>
          </w:tcPr>
          <w:p>
            <w:pPr>
              <w:pStyle w:val="85"/>
              <w:rPr>
                <w:rFonts w:hint="default" w:ascii="Times New Roman" w:hAnsi="Times New Roman" w:cs="Times New Roman"/>
                <w:b w:val="0"/>
                <w:bCs/>
                <w:color w:val="auto"/>
                <w:sz w:val="21"/>
                <w:szCs w:val="21"/>
                <w:highlight w:val="none"/>
              </w:rPr>
            </w:pPr>
          </w:p>
        </w:tc>
        <w:tc>
          <w:tcPr>
            <w:tcW w:w="748"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三水</w:t>
            </w:r>
          </w:p>
        </w:tc>
        <w:tc>
          <w:tcPr>
            <w:tcW w:w="104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1900~1938</w:t>
            </w:r>
          </w:p>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1946~2000</w:t>
            </w:r>
          </w:p>
        </w:tc>
        <w:tc>
          <w:tcPr>
            <w:tcW w:w="672"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94</w:t>
            </w:r>
          </w:p>
        </w:tc>
        <w:tc>
          <w:tcPr>
            <w:tcW w:w="969"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1951~2000</w:t>
            </w:r>
          </w:p>
        </w:tc>
        <w:tc>
          <w:tcPr>
            <w:tcW w:w="671"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50</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54" w:hRule="atLeast"/>
        </w:trPr>
        <w:tc>
          <w:tcPr>
            <w:tcW w:w="89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东江</w:t>
            </w:r>
          </w:p>
        </w:tc>
        <w:tc>
          <w:tcPr>
            <w:tcW w:w="748"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博罗</w:t>
            </w:r>
          </w:p>
        </w:tc>
        <w:tc>
          <w:tcPr>
            <w:tcW w:w="104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1954~2000</w:t>
            </w:r>
          </w:p>
        </w:tc>
        <w:tc>
          <w:tcPr>
            <w:tcW w:w="672"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47</w:t>
            </w:r>
          </w:p>
        </w:tc>
        <w:tc>
          <w:tcPr>
            <w:tcW w:w="969"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1954~2000</w:t>
            </w:r>
          </w:p>
        </w:tc>
        <w:tc>
          <w:tcPr>
            <w:tcW w:w="671"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47</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54" w:hRule="atLeast"/>
        </w:trPr>
        <w:tc>
          <w:tcPr>
            <w:tcW w:w="89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流溪河</w:t>
            </w:r>
          </w:p>
        </w:tc>
        <w:tc>
          <w:tcPr>
            <w:tcW w:w="748"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牛心岭</w:t>
            </w:r>
          </w:p>
        </w:tc>
        <w:tc>
          <w:tcPr>
            <w:tcW w:w="104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1952~1985</w:t>
            </w:r>
          </w:p>
        </w:tc>
        <w:tc>
          <w:tcPr>
            <w:tcW w:w="672"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34</w:t>
            </w:r>
          </w:p>
        </w:tc>
        <w:tc>
          <w:tcPr>
            <w:tcW w:w="969"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1952~1979</w:t>
            </w:r>
          </w:p>
        </w:tc>
        <w:tc>
          <w:tcPr>
            <w:tcW w:w="671"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28</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54" w:hRule="atLeast"/>
        </w:trPr>
        <w:tc>
          <w:tcPr>
            <w:tcW w:w="89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沙湾水道</w:t>
            </w:r>
          </w:p>
        </w:tc>
        <w:tc>
          <w:tcPr>
            <w:tcW w:w="748"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三沙口</w:t>
            </w:r>
          </w:p>
        </w:tc>
        <w:tc>
          <w:tcPr>
            <w:tcW w:w="104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1952~2010</w:t>
            </w:r>
          </w:p>
        </w:tc>
        <w:tc>
          <w:tcPr>
            <w:tcW w:w="672"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49</w:t>
            </w:r>
          </w:p>
        </w:tc>
        <w:tc>
          <w:tcPr>
            <w:tcW w:w="969" w:type="pct"/>
            <w:vAlign w:val="center"/>
          </w:tcPr>
          <w:p>
            <w:pPr>
              <w:pStyle w:val="85"/>
              <w:rPr>
                <w:rFonts w:hint="default" w:ascii="Times New Roman" w:hAnsi="Times New Roman" w:cs="Times New Roman"/>
                <w:b w:val="0"/>
                <w:bCs/>
                <w:color w:val="auto"/>
                <w:sz w:val="21"/>
                <w:szCs w:val="21"/>
                <w:highlight w:val="none"/>
              </w:rPr>
            </w:pPr>
          </w:p>
        </w:tc>
        <w:tc>
          <w:tcPr>
            <w:tcW w:w="671" w:type="pct"/>
            <w:vAlign w:val="center"/>
          </w:tcPr>
          <w:p>
            <w:pPr>
              <w:pStyle w:val="85"/>
              <w:rPr>
                <w:rFonts w:hint="default" w:ascii="Times New Roman" w:hAnsi="Times New Roman" w:cs="Times New Roman"/>
                <w:b w:val="0"/>
                <w:bCs/>
                <w:color w:val="auto"/>
                <w:sz w:val="21"/>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54" w:hRule="atLeast"/>
        </w:trPr>
        <w:tc>
          <w:tcPr>
            <w:tcW w:w="89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潭洲水道</w:t>
            </w:r>
          </w:p>
        </w:tc>
        <w:tc>
          <w:tcPr>
            <w:tcW w:w="748"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三善滘</w:t>
            </w:r>
          </w:p>
        </w:tc>
        <w:tc>
          <w:tcPr>
            <w:tcW w:w="104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1952-2010</w:t>
            </w:r>
          </w:p>
        </w:tc>
        <w:tc>
          <w:tcPr>
            <w:tcW w:w="672"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52</w:t>
            </w:r>
          </w:p>
        </w:tc>
        <w:tc>
          <w:tcPr>
            <w:tcW w:w="969" w:type="pct"/>
            <w:vAlign w:val="center"/>
          </w:tcPr>
          <w:p>
            <w:pPr>
              <w:pStyle w:val="85"/>
              <w:rPr>
                <w:rFonts w:hint="default" w:ascii="Times New Roman" w:hAnsi="Times New Roman" w:cs="Times New Roman"/>
                <w:b w:val="0"/>
                <w:bCs/>
                <w:color w:val="auto"/>
                <w:sz w:val="21"/>
                <w:szCs w:val="21"/>
                <w:highlight w:val="none"/>
              </w:rPr>
            </w:pPr>
          </w:p>
        </w:tc>
        <w:tc>
          <w:tcPr>
            <w:tcW w:w="671" w:type="pct"/>
            <w:vAlign w:val="center"/>
          </w:tcPr>
          <w:p>
            <w:pPr>
              <w:pStyle w:val="85"/>
              <w:rPr>
                <w:rFonts w:hint="default" w:ascii="Times New Roman" w:hAnsi="Times New Roman" w:cs="Times New Roman"/>
                <w:b w:val="0"/>
                <w:bCs/>
                <w:color w:val="auto"/>
                <w:sz w:val="21"/>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54" w:hRule="atLeast"/>
        </w:trPr>
        <w:tc>
          <w:tcPr>
            <w:tcW w:w="89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珠江</w:t>
            </w:r>
          </w:p>
        </w:tc>
        <w:tc>
          <w:tcPr>
            <w:tcW w:w="748"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黄埔</w:t>
            </w:r>
          </w:p>
        </w:tc>
        <w:tc>
          <w:tcPr>
            <w:tcW w:w="104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1957~2000</w:t>
            </w:r>
          </w:p>
        </w:tc>
        <w:tc>
          <w:tcPr>
            <w:tcW w:w="672"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44</w:t>
            </w:r>
          </w:p>
        </w:tc>
        <w:tc>
          <w:tcPr>
            <w:tcW w:w="969" w:type="pct"/>
            <w:vAlign w:val="center"/>
          </w:tcPr>
          <w:p>
            <w:pPr>
              <w:pStyle w:val="85"/>
              <w:rPr>
                <w:rFonts w:hint="default" w:ascii="Times New Roman" w:hAnsi="Times New Roman" w:cs="Times New Roman"/>
                <w:b w:val="0"/>
                <w:bCs/>
                <w:color w:val="auto"/>
                <w:sz w:val="21"/>
                <w:szCs w:val="21"/>
                <w:highlight w:val="none"/>
              </w:rPr>
            </w:pPr>
          </w:p>
        </w:tc>
        <w:tc>
          <w:tcPr>
            <w:tcW w:w="671" w:type="pct"/>
            <w:vAlign w:val="center"/>
          </w:tcPr>
          <w:p>
            <w:pPr>
              <w:pStyle w:val="85"/>
              <w:rPr>
                <w:rFonts w:hint="default" w:ascii="Times New Roman" w:hAnsi="Times New Roman" w:cs="Times New Roman"/>
                <w:b w:val="0"/>
                <w:bCs/>
                <w:color w:val="auto"/>
                <w:sz w:val="21"/>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54" w:hRule="atLeast"/>
        </w:trPr>
        <w:tc>
          <w:tcPr>
            <w:tcW w:w="89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蕉门水道</w:t>
            </w:r>
          </w:p>
        </w:tc>
        <w:tc>
          <w:tcPr>
            <w:tcW w:w="748"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灵山</w:t>
            </w:r>
          </w:p>
        </w:tc>
        <w:tc>
          <w:tcPr>
            <w:tcW w:w="104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1952~1975</w:t>
            </w:r>
          </w:p>
        </w:tc>
        <w:tc>
          <w:tcPr>
            <w:tcW w:w="672"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24</w:t>
            </w:r>
          </w:p>
        </w:tc>
        <w:tc>
          <w:tcPr>
            <w:tcW w:w="969" w:type="pct"/>
            <w:vAlign w:val="center"/>
          </w:tcPr>
          <w:p>
            <w:pPr>
              <w:pStyle w:val="85"/>
              <w:rPr>
                <w:rFonts w:hint="default" w:ascii="Times New Roman" w:hAnsi="Times New Roman" w:cs="Times New Roman"/>
                <w:b w:val="0"/>
                <w:bCs/>
                <w:color w:val="auto"/>
                <w:sz w:val="21"/>
                <w:szCs w:val="21"/>
                <w:highlight w:val="none"/>
              </w:rPr>
            </w:pPr>
          </w:p>
        </w:tc>
        <w:tc>
          <w:tcPr>
            <w:tcW w:w="671" w:type="pct"/>
            <w:vAlign w:val="center"/>
          </w:tcPr>
          <w:p>
            <w:pPr>
              <w:pStyle w:val="85"/>
              <w:rPr>
                <w:rFonts w:hint="default" w:ascii="Times New Roman" w:hAnsi="Times New Roman" w:cs="Times New Roman"/>
                <w:b w:val="0"/>
                <w:bCs/>
                <w:color w:val="auto"/>
                <w:sz w:val="21"/>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54" w:hRule="atLeast"/>
        </w:trPr>
        <w:tc>
          <w:tcPr>
            <w:tcW w:w="89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大石水道</w:t>
            </w:r>
          </w:p>
        </w:tc>
        <w:tc>
          <w:tcPr>
            <w:tcW w:w="748"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大石</w:t>
            </w:r>
          </w:p>
        </w:tc>
        <w:tc>
          <w:tcPr>
            <w:tcW w:w="1045"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1965~2010</w:t>
            </w:r>
          </w:p>
        </w:tc>
        <w:tc>
          <w:tcPr>
            <w:tcW w:w="672" w:type="pct"/>
            <w:vAlign w:val="center"/>
          </w:tcPr>
          <w:p>
            <w:pPr>
              <w:pStyle w:val="85"/>
              <w:rPr>
                <w:rFonts w:hint="default" w:ascii="Times New Roman" w:hAnsi="Times New Roman" w:cs="Times New Roman"/>
                <w:b w:val="0"/>
                <w:bCs/>
                <w:color w:val="auto"/>
                <w:sz w:val="21"/>
                <w:szCs w:val="21"/>
                <w:highlight w:val="none"/>
              </w:rPr>
            </w:pPr>
            <w:r>
              <w:rPr>
                <w:rFonts w:hint="default" w:ascii="Times New Roman" w:hAnsi="Times New Roman" w:cs="Times New Roman"/>
                <w:b w:val="0"/>
                <w:bCs/>
                <w:color w:val="auto"/>
                <w:sz w:val="21"/>
                <w:szCs w:val="21"/>
                <w:highlight w:val="none"/>
              </w:rPr>
              <w:t>39</w:t>
            </w:r>
          </w:p>
        </w:tc>
        <w:tc>
          <w:tcPr>
            <w:tcW w:w="969" w:type="pct"/>
            <w:vAlign w:val="center"/>
          </w:tcPr>
          <w:p>
            <w:pPr>
              <w:pStyle w:val="85"/>
              <w:rPr>
                <w:rFonts w:hint="default" w:ascii="Times New Roman" w:hAnsi="Times New Roman" w:cs="Times New Roman"/>
                <w:b w:val="0"/>
                <w:bCs/>
                <w:color w:val="auto"/>
                <w:sz w:val="21"/>
                <w:szCs w:val="21"/>
                <w:highlight w:val="none"/>
              </w:rPr>
            </w:pPr>
          </w:p>
        </w:tc>
        <w:tc>
          <w:tcPr>
            <w:tcW w:w="671" w:type="pct"/>
            <w:vAlign w:val="center"/>
          </w:tcPr>
          <w:p>
            <w:pPr>
              <w:pStyle w:val="85"/>
              <w:rPr>
                <w:rFonts w:hint="default" w:ascii="Times New Roman" w:hAnsi="Times New Roman" w:cs="Times New Roman"/>
                <w:b w:val="0"/>
                <w:bCs/>
                <w:color w:val="auto"/>
                <w:sz w:val="21"/>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54" w:hRule="atLeast"/>
        </w:trPr>
        <w:tc>
          <w:tcPr>
            <w:tcW w:w="895"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蕉门水道</w:t>
            </w:r>
          </w:p>
        </w:tc>
        <w:tc>
          <w:tcPr>
            <w:tcW w:w="748"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南沙</w:t>
            </w:r>
          </w:p>
        </w:tc>
        <w:tc>
          <w:tcPr>
            <w:tcW w:w="1045"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1962~2000</w:t>
            </w:r>
          </w:p>
        </w:tc>
        <w:tc>
          <w:tcPr>
            <w:tcW w:w="672"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39</w:t>
            </w:r>
          </w:p>
        </w:tc>
        <w:tc>
          <w:tcPr>
            <w:tcW w:w="969" w:type="pct"/>
            <w:vAlign w:val="center"/>
          </w:tcPr>
          <w:p>
            <w:pPr>
              <w:pStyle w:val="85"/>
              <w:rPr>
                <w:rFonts w:hint="default" w:ascii="Times New Roman" w:hAnsi="Times New Roman" w:cs="Times New Roman"/>
                <w:color w:val="auto"/>
                <w:sz w:val="21"/>
                <w:szCs w:val="21"/>
                <w:highlight w:val="none"/>
              </w:rPr>
            </w:pPr>
          </w:p>
        </w:tc>
        <w:tc>
          <w:tcPr>
            <w:tcW w:w="671" w:type="pct"/>
            <w:vAlign w:val="center"/>
          </w:tcPr>
          <w:p>
            <w:pPr>
              <w:pStyle w:val="85"/>
              <w:rPr>
                <w:rFonts w:hint="default" w:ascii="Times New Roman" w:hAnsi="Times New Roman" w:cs="Times New Roman"/>
                <w:color w:val="auto"/>
                <w:sz w:val="21"/>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54" w:hRule="atLeast"/>
        </w:trPr>
        <w:tc>
          <w:tcPr>
            <w:tcW w:w="895"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伶仃洋</w:t>
            </w:r>
          </w:p>
        </w:tc>
        <w:tc>
          <w:tcPr>
            <w:tcW w:w="748"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舢板洲</w:t>
            </w:r>
          </w:p>
        </w:tc>
        <w:tc>
          <w:tcPr>
            <w:tcW w:w="1045"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1955~1984</w:t>
            </w:r>
          </w:p>
        </w:tc>
        <w:tc>
          <w:tcPr>
            <w:tcW w:w="672"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31</w:t>
            </w:r>
          </w:p>
        </w:tc>
        <w:tc>
          <w:tcPr>
            <w:tcW w:w="969" w:type="pct"/>
            <w:vAlign w:val="center"/>
          </w:tcPr>
          <w:p>
            <w:pPr>
              <w:pStyle w:val="85"/>
              <w:rPr>
                <w:rFonts w:hint="default" w:ascii="Times New Roman" w:hAnsi="Times New Roman" w:cs="Times New Roman"/>
                <w:color w:val="auto"/>
                <w:sz w:val="21"/>
                <w:szCs w:val="21"/>
                <w:highlight w:val="none"/>
              </w:rPr>
            </w:pPr>
          </w:p>
        </w:tc>
        <w:tc>
          <w:tcPr>
            <w:tcW w:w="671" w:type="pct"/>
            <w:vAlign w:val="center"/>
          </w:tcPr>
          <w:p>
            <w:pPr>
              <w:pStyle w:val="85"/>
              <w:rPr>
                <w:rFonts w:hint="default" w:ascii="Times New Roman" w:hAnsi="Times New Roman" w:cs="Times New Roman"/>
                <w:color w:val="auto"/>
                <w:sz w:val="21"/>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54" w:hRule="atLeast"/>
        </w:trPr>
        <w:tc>
          <w:tcPr>
            <w:tcW w:w="895"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洪奇门水道</w:t>
            </w:r>
          </w:p>
        </w:tc>
        <w:tc>
          <w:tcPr>
            <w:tcW w:w="748"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万顷沙西</w:t>
            </w:r>
          </w:p>
        </w:tc>
        <w:tc>
          <w:tcPr>
            <w:tcW w:w="1045"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1952~2000</w:t>
            </w:r>
          </w:p>
        </w:tc>
        <w:tc>
          <w:tcPr>
            <w:tcW w:w="672"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49</w:t>
            </w:r>
          </w:p>
        </w:tc>
        <w:tc>
          <w:tcPr>
            <w:tcW w:w="969" w:type="pct"/>
            <w:vAlign w:val="center"/>
          </w:tcPr>
          <w:p>
            <w:pPr>
              <w:pStyle w:val="85"/>
              <w:rPr>
                <w:rFonts w:hint="default" w:ascii="Times New Roman" w:hAnsi="Times New Roman" w:cs="Times New Roman"/>
                <w:color w:val="auto"/>
                <w:sz w:val="21"/>
                <w:szCs w:val="21"/>
                <w:highlight w:val="none"/>
              </w:rPr>
            </w:pPr>
          </w:p>
        </w:tc>
        <w:tc>
          <w:tcPr>
            <w:tcW w:w="671" w:type="pct"/>
            <w:vAlign w:val="center"/>
          </w:tcPr>
          <w:p>
            <w:pPr>
              <w:pStyle w:val="85"/>
              <w:rPr>
                <w:rFonts w:hint="default" w:ascii="Times New Roman" w:hAnsi="Times New Roman" w:cs="Times New Roman"/>
                <w:color w:val="auto"/>
                <w:sz w:val="21"/>
                <w:szCs w:val="21"/>
                <w:highlight w:val="none"/>
              </w:rPr>
            </w:pPr>
          </w:p>
        </w:tc>
      </w:tr>
    </w:tbl>
    <w:p>
      <w:pPr>
        <w:pStyle w:val="4"/>
        <w:bidi w:val="0"/>
        <w:ind w:left="575" w:leftChars="0" w:hanging="575" w:firstLineChars="0"/>
        <w:rPr>
          <w:rFonts w:hint="eastAsia"/>
          <w:lang w:val="en-US" w:eastAsia="zh-CN"/>
        </w:rPr>
      </w:pPr>
      <w:bookmarkStart w:id="73" w:name="_Toc25802"/>
      <w:r>
        <w:rPr>
          <w:rFonts w:hint="eastAsia"/>
          <w:lang w:val="en-US" w:eastAsia="zh-CN"/>
        </w:rPr>
        <w:t>径流</w:t>
      </w:r>
      <w:bookmarkEnd w:id="73"/>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eastAsia" w:cs="Times New Roman" w:eastAsiaTheme="minorEastAsia"/>
          <w:sz w:val="24"/>
          <w:szCs w:val="24"/>
          <w:lang w:val="en-US" w:eastAsia="zh-CN"/>
        </w:rPr>
        <w:t>大蕴涌</w:t>
      </w:r>
      <w:r>
        <w:rPr>
          <w:rFonts w:hint="default" w:ascii="Times New Roman" w:hAnsi="Times New Roman" w:cs="Times New Roman" w:eastAsiaTheme="minorEastAsia"/>
          <w:sz w:val="24"/>
          <w:szCs w:val="24"/>
          <w:lang w:val="zh-CN" w:eastAsia="zh-CN"/>
        </w:rPr>
        <w:t>流域径流的年内变化与降雨相应，汛期4月～9月水量约占年总水量的70～80%。汛期的洪水主要由受峰面雨和台风影响的暴雨所造成。由于汛期的雨量多，强度大，洪水汇流速度较快，容易形成峰高、量大、历时长的洪水。</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eastAsia" w:cs="Times New Roman" w:eastAsiaTheme="minorEastAsia"/>
          <w:sz w:val="24"/>
          <w:szCs w:val="24"/>
          <w:lang w:val="en-US" w:eastAsia="zh-CN"/>
        </w:rPr>
        <w:t>大蕴涌</w:t>
      </w:r>
      <w:r>
        <w:rPr>
          <w:rFonts w:hint="default" w:ascii="Times New Roman" w:hAnsi="Times New Roman" w:cs="Times New Roman" w:eastAsiaTheme="minorEastAsia"/>
          <w:sz w:val="24"/>
          <w:szCs w:val="24"/>
          <w:lang w:val="zh-CN" w:eastAsia="zh-CN"/>
        </w:rPr>
        <w:t>汇入的</w:t>
      </w:r>
      <w:r>
        <w:rPr>
          <w:rFonts w:hint="eastAsia" w:cs="Times New Roman" w:eastAsiaTheme="minorEastAsia"/>
          <w:sz w:val="24"/>
          <w:szCs w:val="24"/>
          <w:lang w:val="en-US" w:eastAsia="zh-CN"/>
        </w:rPr>
        <w:t>沙湾</w:t>
      </w:r>
      <w:r>
        <w:rPr>
          <w:rFonts w:hint="default" w:ascii="Times New Roman" w:hAnsi="Times New Roman" w:cs="Times New Roman" w:eastAsiaTheme="minorEastAsia"/>
          <w:sz w:val="24"/>
          <w:szCs w:val="24"/>
          <w:lang w:val="zh-CN" w:eastAsia="zh-CN"/>
        </w:rPr>
        <w:t>水道位于珠江三角洲网河区南部，干流径流较大，水资源量丰沛。</w:t>
      </w:r>
      <w:r>
        <w:rPr>
          <w:rFonts w:hint="eastAsia" w:cs="Times New Roman" w:eastAsiaTheme="minorEastAsia"/>
          <w:sz w:val="24"/>
          <w:szCs w:val="24"/>
          <w:lang w:val="en-US" w:eastAsia="zh-CN"/>
        </w:rPr>
        <w:t>沙湾</w:t>
      </w:r>
      <w:r>
        <w:rPr>
          <w:rFonts w:hint="default" w:ascii="Times New Roman" w:hAnsi="Times New Roman" w:cs="Times New Roman" w:eastAsiaTheme="minorEastAsia"/>
          <w:sz w:val="24"/>
          <w:szCs w:val="24"/>
          <w:lang w:val="zh-CN" w:eastAsia="zh-CN"/>
        </w:rPr>
        <w:t>水道无实测径流资料，考虑到其径流主要来源于上游</w:t>
      </w:r>
      <w:r>
        <w:rPr>
          <w:rFonts w:hint="eastAsia" w:cs="Times New Roman" w:eastAsiaTheme="minorEastAsia"/>
          <w:sz w:val="24"/>
          <w:szCs w:val="24"/>
          <w:lang w:val="zh-CN" w:eastAsia="zh-CN"/>
        </w:rPr>
        <w:t>的</w:t>
      </w:r>
      <w:r>
        <w:rPr>
          <w:rFonts w:hint="eastAsia" w:cs="Times New Roman" w:eastAsiaTheme="minorEastAsia"/>
          <w:sz w:val="24"/>
          <w:szCs w:val="24"/>
          <w:lang w:val="en-US" w:eastAsia="zh-CN"/>
        </w:rPr>
        <w:t>北江</w:t>
      </w:r>
      <w:r>
        <w:rPr>
          <w:rFonts w:hint="default" w:ascii="Times New Roman" w:hAnsi="Times New Roman" w:cs="Times New Roman" w:eastAsiaTheme="minorEastAsia"/>
          <w:sz w:val="24"/>
          <w:szCs w:val="24"/>
          <w:lang w:val="zh-CN" w:eastAsia="zh-CN"/>
        </w:rPr>
        <w:t>，故列出</w:t>
      </w:r>
      <w:r>
        <w:rPr>
          <w:rFonts w:hint="eastAsia" w:cs="Times New Roman" w:eastAsiaTheme="minorEastAsia"/>
          <w:sz w:val="24"/>
          <w:szCs w:val="24"/>
          <w:lang w:val="en-US" w:eastAsia="zh-CN"/>
        </w:rPr>
        <w:t>珠江水道</w:t>
      </w:r>
      <w:r>
        <w:rPr>
          <w:rFonts w:hint="default" w:ascii="Times New Roman" w:hAnsi="Times New Roman" w:cs="Times New Roman" w:eastAsiaTheme="minorEastAsia"/>
          <w:sz w:val="24"/>
          <w:szCs w:val="24"/>
          <w:lang w:val="zh-CN" w:eastAsia="zh-CN"/>
        </w:rPr>
        <w:t>河流控制站的径流特征值供参考，见表2.4-1。</w:t>
      </w:r>
    </w:p>
    <w:p>
      <w:pPr>
        <w:pStyle w:val="250"/>
        <w:bidi w:val="0"/>
        <w:rPr>
          <w:rFonts w:hint="default"/>
        </w:rPr>
      </w:pPr>
      <w:r>
        <w:rPr>
          <w:rFonts w:hint="default"/>
        </w:rPr>
        <w:t>表2.4-1</w:t>
      </w:r>
      <w:r>
        <w:rPr>
          <w:rFonts w:hint="eastAsia"/>
          <w:lang w:val="en-US" w:eastAsia="zh-CN"/>
        </w:rPr>
        <w:t xml:space="preserve">   </w:t>
      </w:r>
      <w:r>
        <w:rPr>
          <w:rFonts w:hint="default"/>
        </w:rPr>
        <w:t>各控制站河流特征值表</w:t>
      </w:r>
    </w:p>
    <w:tbl>
      <w:tblPr>
        <w:tblStyle w:val="44"/>
        <w:tblW w:w="499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5675"/>
        <w:gridCol w:w="317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19" w:hRule="atLeast"/>
          <w:jc w:val="center"/>
        </w:trPr>
        <w:tc>
          <w:tcPr>
            <w:tcW w:w="3204" w:type="pct"/>
            <w:tcBorders>
              <w:top w:val="single" w:color="auto" w:sz="4" w:space="0"/>
              <w:left w:val="single" w:color="auto" w:sz="4" w:space="0"/>
              <w:bottom w:val="single" w:color="auto" w:sz="4" w:space="0"/>
              <w:right w:val="single" w:color="auto" w:sz="4" w:space="0"/>
            </w:tcBorders>
            <w:vAlign w:val="center"/>
          </w:tcPr>
          <w:p>
            <w:pPr>
              <w:pStyle w:val="54"/>
              <w:bidi w:val="0"/>
            </w:pPr>
            <w:r>
              <w:t>河流</w:t>
            </w:r>
          </w:p>
        </w:tc>
        <w:tc>
          <w:tcPr>
            <w:tcW w:w="1795" w:type="pct"/>
            <w:tcBorders>
              <w:top w:val="single" w:color="auto" w:sz="4" w:space="0"/>
              <w:left w:val="single" w:color="auto" w:sz="4" w:space="0"/>
              <w:bottom w:val="single" w:color="auto" w:sz="4" w:space="0"/>
              <w:right w:val="single" w:color="auto" w:sz="4" w:space="0"/>
            </w:tcBorders>
            <w:vAlign w:val="center"/>
          </w:tcPr>
          <w:p>
            <w:pPr>
              <w:pStyle w:val="54"/>
              <w:bidi w:val="0"/>
            </w:pPr>
            <w:r>
              <w:t>北江</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36" w:hRule="atLeast"/>
          <w:jc w:val="center"/>
        </w:trPr>
        <w:tc>
          <w:tcPr>
            <w:tcW w:w="3204" w:type="pct"/>
            <w:tcBorders>
              <w:top w:val="single" w:color="auto" w:sz="4" w:space="0"/>
              <w:left w:val="single" w:color="auto" w:sz="4" w:space="0"/>
              <w:bottom w:val="single" w:color="auto" w:sz="4" w:space="0"/>
              <w:right w:val="single" w:color="auto" w:sz="4" w:space="0"/>
            </w:tcBorders>
            <w:vAlign w:val="center"/>
          </w:tcPr>
          <w:p>
            <w:pPr>
              <w:pStyle w:val="54"/>
              <w:bidi w:val="0"/>
            </w:pPr>
            <w:r>
              <w:t>控制站</w:t>
            </w:r>
          </w:p>
        </w:tc>
        <w:tc>
          <w:tcPr>
            <w:tcW w:w="1795" w:type="pct"/>
            <w:tcBorders>
              <w:top w:val="single" w:color="auto" w:sz="4" w:space="0"/>
              <w:left w:val="single" w:color="auto" w:sz="4" w:space="0"/>
              <w:bottom w:val="single" w:color="auto" w:sz="4" w:space="0"/>
              <w:right w:val="single" w:color="auto" w:sz="4" w:space="0"/>
            </w:tcBorders>
            <w:vAlign w:val="center"/>
          </w:tcPr>
          <w:p>
            <w:pPr>
              <w:pStyle w:val="54"/>
              <w:bidi w:val="0"/>
            </w:pPr>
            <w:r>
              <w:t>三水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36" w:hRule="atLeast"/>
          <w:jc w:val="center"/>
        </w:trPr>
        <w:tc>
          <w:tcPr>
            <w:tcW w:w="3204" w:type="pct"/>
            <w:tcBorders>
              <w:top w:val="single" w:color="auto" w:sz="4" w:space="0"/>
              <w:left w:val="single" w:color="auto" w:sz="4" w:space="0"/>
              <w:bottom w:val="single" w:color="auto" w:sz="4" w:space="0"/>
              <w:right w:val="single" w:color="auto" w:sz="4" w:space="0"/>
            </w:tcBorders>
            <w:vAlign w:val="center"/>
          </w:tcPr>
          <w:p>
            <w:pPr>
              <w:pStyle w:val="54"/>
              <w:bidi w:val="0"/>
            </w:pPr>
            <w:r>
              <w:t>多年平均流量（m</w:t>
            </w:r>
            <w:r>
              <w:rPr>
                <w:vertAlign w:val="superscript"/>
              </w:rPr>
              <w:t>3</w:t>
            </w:r>
            <w:r>
              <w:t>/s）</w:t>
            </w:r>
          </w:p>
        </w:tc>
        <w:tc>
          <w:tcPr>
            <w:tcW w:w="1795" w:type="pct"/>
            <w:tcBorders>
              <w:top w:val="single" w:color="auto" w:sz="4" w:space="0"/>
              <w:left w:val="single" w:color="auto" w:sz="4" w:space="0"/>
              <w:bottom w:val="single" w:color="auto" w:sz="4" w:space="0"/>
              <w:right w:val="single" w:color="auto" w:sz="4" w:space="0"/>
            </w:tcBorders>
            <w:vAlign w:val="center"/>
          </w:tcPr>
          <w:p>
            <w:pPr>
              <w:pStyle w:val="54"/>
              <w:bidi w:val="0"/>
            </w:pPr>
            <w:r>
              <w:t>1430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19" w:hRule="atLeast"/>
          <w:jc w:val="center"/>
        </w:trPr>
        <w:tc>
          <w:tcPr>
            <w:tcW w:w="3204" w:type="pct"/>
            <w:tcBorders>
              <w:top w:val="single" w:color="auto" w:sz="4" w:space="0"/>
              <w:left w:val="single" w:color="auto" w:sz="4" w:space="0"/>
              <w:bottom w:val="single" w:color="auto" w:sz="4" w:space="0"/>
              <w:right w:val="single" w:color="auto" w:sz="4" w:space="0"/>
            </w:tcBorders>
            <w:vAlign w:val="center"/>
          </w:tcPr>
          <w:p>
            <w:pPr>
              <w:pStyle w:val="54"/>
              <w:bidi w:val="0"/>
            </w:pPr>
            <w:r>
              <w:t>多年平均径流量（亿m</w:t>
            </w:r>
            <w:r>
              <w:rPr>
                <w:rFonts w:hint="eastAsia"/>
                <w:vertAlign w:val="superscript"/>
                <w:lang w:eastAsia="zh-CN"/>
              </w:rPr>
              <w:t>3</w:t>
            </w:r>
            <w:r>
              <w:t>）</w:t>
            </w:r>
          </w:p>
        </w:tc>
        <w:tc>
          <w:tcPr>
            <w:tcW w:w="1795" w:type="pct"/>
            <w:tcBorders>
              <w:top w:val="single" w:color="auto" w:sz="4" w:space="0"/>
              <w:left w:val="single" w:color="auto" w:sz="4" w:space="0"/>
              <w:bottom w:val="single" w:color="auto" w:sz="4" w:space="0"/>
              <w:right w:val="single" w:color="auto" w:sz="4" w:space="0"/>
            </w:tcBorders>
            <w:vAlign w:val="center"/>
          </w:tcPr>
          <w:p>
            <w:pPr>
              <w:pStyle w:val="54"/>
              <w:bidi w:val="0"/>
            </w:pPr>
            <w:r>
              <w:t>450.8</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3" w:hRule="atLeast"/>
          <w:jc w:val="center"/>
        </w:trPr>
        <w:tc>
          <w:tcPr>
            <w:tcW w:w="3204" w:type="pct"/>
            <w:tcBorders>
              <w:top w:val="single" w:color="auto" w:sz="4" w:space="0"/>
              <w:left w:val="single" w:color="auto" w:sz="4" w:space="0"/>
              <w:bottom w:val="single" w:color="auto" w:sz="4" w:space="0"/>
              <w:right w:val="single" w:color="auto" w:sz="4" w:space="0"/>
            </w:tcBorders>
            <w:vAlign w:val="center"/>
          </w:tcPr>
          <w:p>
            <w:pPr>
              <w:pStyle w:val="54"/>
              <w:bidi w:val="0"/>
            </w:pPr>
            <w:r>
              <w:t>实测最大洪峰流量（m</w:t>
            </w:r>
            <w:r>
              <w:rPr>
                <w:vertAlign w:val="superscript"/>
              </w:rPr>
              <w:t>3</w:t>
            </w:r>
            <w:r>
              <w:t>/s）</w:t>
            </w:r>
          </w:p>
        </w:tc>
        <w:tc>
          <w:tcPr>
            <w:tcW w:w="1795" w:type="pct"/>
            <w:tcBorders>
              <w:top w:val="single" w:color="auto" w:sz="4" w:space="0"/>
              <w:left w:val="single" w:color="auto" w:sz="4" w:space="0"/>
              <w:bottom w:val="single" w:color="auto" w:sz="4" w:space="0"/>
              <w:right w:val="single" w:color="auto" w:sz="4" w:space="0"/>
            </w:tcBorders>
            <w:vAlign w:val="center"/>
          </w:tcPr>
          <w:p>
            <w:pPr>
              <w:pStyle w:val="54"/>
              <w:bidi w:val="0"/>
            </w:pPr>
            <w:r>
              <w:t>16200</w:t>
            </w:r>
          </w:p>
        </w:tc>
      </w:tr>
    </w:tbl>
    <w:p>
      <w:pPr>
        <w:pStyle w:val="4"/>
        <w:bidi w:val="0"/>
        <w:ind w:left="575" w:leftChars="0" w:hanging="575" w:firstLineChars="0"/>
        <w:rPr>
          <w:rFonts w:hint="eastAsia"/>
          <w:lang w:val="en-US" w:eastAsia="zh-CN"/>
        </w:rPr>
      </w:pPr>
      <w:bookmarkStart w:id="74" w:name="_Toc30171"/>
      <w:r>
        <w:rPr>
          <w:rFonts w:hint="eastAsia"/>
          <w:lang w:val="en-US" w:eastAsia="zh-CN"/>
        </w:rPr>
        <w:t>暴雨及洪水</w:t>
      </w:r>
      <w:bookmarkEnd w:id="74"/>
    </w:p>
    <w:p>
      <w:pPr>
        <w:pStyle w:val="5"/>
        <w:bidi w:val="0"/>
        <w:ind w:left="720" w:leftChars="0" w:hanging="720" w:firstLineChars="0"/>
        <w:rPr>
          <w:rFonts w:hint="eastAsia"/>
          <w:lang w:eastAsia="zh-CN"/>
        </w:rPr>
      </w:pPr>
      <w:bookmarkStart w:id="75" w:name="_Toc19785"/>
      <w:r>
        <w:rPr>
          <w:rFonts w:hint="eastAsia"/>
          <w:lang w:eastAsia="zh-CN"/>
        </w:rPr>
        <w:t>暴雨特性</w:t>
      </w:r>
      <w:bookmarkEnd w:id="75"/>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（1）暴雨特性</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珠江三角洲暴雨成因有锋面、低压槽、低压、切变线、低空急流及热带风暴（台风）等，该区暴雨具有次数多、强度大、持续时间长、笼罩范围广的特点。</w:t>
      </w:r>
    </w:p>
    <w:p>
      <w:pPr>
        <w:bidi w:val="0"/>
        <w:rPr>
          <w:rFonts w:hint="default"/>
          <w:lang w:val="zh-CN" w:eastAsia="zh-CN"/>
        </w:rPr>
      </w:pPr>
      <w:r>
        <w:rPr>
          <w:rFonts w:hint="default"/>
          <w:lang w:val="zh-CN" w:eastAsia="zh-CN"/>
        </w:rPr>
        <w:t>受气象因素的影响，项目所在区域暴雨有明显的前后汛期之分。每年4月～6月为前汛期，降雨以锋面雨为主，到6月上旬端午节前后达到最高峰，即“龙舟水”，暴雨量级不大，但时程分配集中，年最大暴雨强度多发生在该时期。7～9月为后汛期，热带气旋和强台风是该时期产生大暴雨的主要因素，降雨范围广，总量大，时程分配较为均匀，但短历时暴雨强度一般不高。</w:t>
      </w:r>
    </w:p>
    <w:p>
      <w:pPr>
        <w:pStyle w:val="5"/>
        <w:bidi w:val="0"/>
        <w:ind w:left="720" w:leftChars="0" w:hanging="720" w:firstLineChars="0"/>
        <w:rPr>
          <w:rFonts w:hint="eastAsia"/>
          <w:highlight w:val="none"/>
          <w:lang w:eastAsia="zh-CN"/>
        </w:rPr>
      </w:pPr>
      <w:bookmarkStart w:id="76" w:name="_Toc8014"/>
      <w:r>
        <w:rPr>
          <w:rFonts w:hint="eastAsia"/>
          <w:highlight w:val="none"/>
          <w:lang w:eastAsia="zh-CN"/>
        </w:rPr>
        <w:t>设计暴雨</w:t>
      </w:r>
      <w:bookmarkEnd w:id="76"/>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（1）设计暴雨</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eastAsia" w:cs="Times New Roman" w:eastAsiaTheme="minorEastAsia"/>
          <w:sz w:val="24"/>
          <w:szCs w:val="24"/>
          <w:lang w:val="en-US" w:eastAsia="zh-CN"/>
        </w:rPr>
        <w:t>陇枕围排涝区</w:t>
      </w:r>
      <w:r>
        <w:rPr>
          <w:rFonts w:hint="default" w:ascii="Times New Roman" w:hAnsi="Times New Roman" w:cs="Times New Roman" w:eastAsiaTheme="minorEastAsia"/>
          <w:sz w:val="24"/>
          <w:szCs w:val="24"/>
          <w:highlight w:val="none"/>
          <w:lang w:val="en-US" w:eastAsia="zh-CN"/>
        </w:rPr>
        <w:t>集水面积</w:t>
      </w:r>
      <w:r>
        <w:rPr>
          <w:rFonts w:hint="eastAsia" w:cs="Times New Roman" w:eastAsiaTheme="minorEastAsia"/>
          <w:sz w:val="24"/>
          <w:szCs w:val="24"/>
          <w:highlight w:val="none"/>
          <w:lang w:val="en-US" w:eastAsia="zh-CN"/>
        </w:rPr>
        <w:t>32.16</w:t>
      </w:r>
      <w:r>
        <w:rPr>
          <w:rFonts w:hint="default" w:ascii="Times New Roman" w:hAnsi="Times New Roman" w:cs="Times New Roman" w:eastAsiaTheme="minorEastAsia"/>
          <w:sz w:val="24"/>
          <w:szCs w:val="24"/>
          <w:highlight w:val="none"/>
          <w:lang w:val="en-US" w:eastAsia="zh-CN"/>
        </w:rPr>
        <w:t>km</w:t>
      </w:r>
      <w:r>
        <w:rPr>
          <w:rFonts w:hint="default" w:ascii="Times New Roman" w:hAnsi="Times New Roman" w:cs="Times New Roman" w:eastAsiaTheme="minorEastAsia"/>
          <w:sz w:val="24"/>
          <w:szCs w:val="24"/>
          <w:highlight w:val="none"/>
          <w:vertAlign w:val="superscript"/>
          <w:lang w:val="en-US" w:eastAsia="zh-CN"/>
        </w:rPr>
        <w:t>2</w:t>
      </w:r>
      <w:r>
        <w:rPr>
          <w:rFonts w:hint="default" w:ascii="Times New Roman" w:hAnsi="Times New Roman" w:cs="Times New Roman" w:eastAsiaTheme="minorEastAsia"/>
          <w:sz w:val="24"/>
          <w:szCs w:val="24"/>
          <w:lang w:val="en-US" w:eastAsia="zh-CN"/>
        </w:rPr>
        <w:t>，干流总坡降J</w:t>
      </w:r>
      <w:r>
        <w:rPr>
          <w:rFonts w:hint="default" w:ascii="Times New Roman" w:hAnsi="Times New Roman" w:cs="Times New Roman" w:eastAsiaTheme="minorEastAsia"/>
          <w:sz w:val="24"/>
          <w:szCs w:val="24"/>
          <w:highlight w:val="none"/>
          <w:lang w:val="en-US" w:eastAsia="zh-CN"/>
        </w:rPr>
        <w:t>=0.00</w:t>
      </w:r>
      <w:r>
        <w:rPr>
          <w:rFonts w:hint="eastAsia" w:cs="Times New Roman" w:eastAsiaTheme="minorEastAsia"/>
          <w:sz w:val="24"/>
          <w:szCs w:val="24"/>
          <w:highlight w:val="none"/>
          <w:lang w:val="en-US" w:eastAsia="zh-CN"/>
        </w:rPr>
        <w:t>029</w:t>
      </w:r>
      <w:r>
        <w:rPr>
          <w:rFonts w:hint="default" w:ascii="Times New Roman" w:hAnsi="Times New Roman" w:cs="Times New Roman" w:eastAsiaTheme="minorEastAsia"/>
          <w:sz w:val="24"/>
          <w:szCs w:val="24"/>
          <w:lang w:val="en-US" w:eastAsia="zh-CN"/>
        </w:rPr>
        <w:t>，集雨区范围内下垫面良好。</w:t>
      </w:r>
      <w:r>
        <w:rPr>
          <w:rFonts w:hint="eastAsia" w:cs="Times New Roman" w:eastAsiaTheme="minorEastAsia"/>
          <w:color w:val="auto"/>
          <w:sz w:val="24"/>
          <w:szCs w:val="24"/>
          <w:lang w:val="en-US" w:eastAsia="zh-CN"/>
        </w:rPr>
        <w:t>大蕴涌（沙陇运河以南至二塱水闸段）流域面积为0.77km</w:t>
      </w:r>
      <w:r>
        <w:rPr>
          <w:rFonts w:hint="eastAsia" w:cs="Times New Roman" w:eastAsiaTheme="minorEastAsia"/>
          <w:color w:val="auto"/>
          <w:sz w:val="24"/>
          <w:szCs w:val="24"/>
          <w:vertAlign w:val="superscript"/>
          <w:lang w:val="en-US" w:eastAsia="zh-CN"/>
        </w:rPr>
        <w:t>2</w:t>
      </w:r>
      <w:r>
        <w:rPr>
          <w:rFonts w:hint="eastAsia" w:cs="Times New Roman" w:eastAsiaTheme="minorEastAsia"/>
          <w:color w:val="auto"/>
          <w:sz w:val="24"/>
          <w:szCs w:val="24"/>
          <w:lang w:val="en-US" w:eastAsia="zh-CN"/>
        </w:rPr>
        <w:t>，河长为1.72km，坡降为0.29‰。</w:t>
      </w:r>
      <w:r>
        <w:rPr>
          <w:rFonts w:hint="default" w:ascii="Times New Roman" w:hAnsi="Times New Roman" w:cs="Times New Roman" w:eastAsiaTheme="minorEastAsia"/>
          <w:sz w:val="24"/>
          <w:szCs w:val="24"/>
          <w:lang w:val="en-US" w:eastAsia="zh-CN"/>
        </w:rPr>
        <w:t>由于本工程所在地无实测暴雨资料，故暴雨参数采用《广东省暴雨径流查算图表》成果及相关方法计算。点暴雨特征值按《广东省暴雨参数等值线图》成果提供的历时为1、6、24、72小时的暴雨参数等值线图，查出流域重心处的均值Ht和Cv值，按公式Htp=Ht×Ktp（其中，Ktp值用Cs=3.5Cv的皮尔逊Ⅲ型曲线）算得不同频率的各历时点暴雨Htp，再作点面折算，得出各历时设计面暴雨量Ht。</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由于河涌集雨面积较小，因此暴雨点面换算系数取1.0。经查算</w:t>
      </w:r>
      <w:r>
        <w:rPr>
          <w:rFonts w:hint="eastAsia" w:cs="Times New Roman" w:eastAsiaTheme="minorEastAsia"/>
          <w:sz w:val="24"/>
          <w:szCs w:val="24"/>
          <w:lang w:val="en-US" w:eastAsia="zh-CN"/>
        </w:rPr>
        <w:t>陇枕围</w:t>
      </w:r>
      <w:r>
        <w:rPr>
          <w:rFonts w:hint="default" w:ascii="Times New Roman" w:hAnsi="Times New Roman" w:cs="Times New Roman" w:eastAsiaTheme="minorEastAsia"/>
          <w:sz w:val="24"/>
          <w:szCs w:val="24"/>
          <w:lang w:val="en-US" w:eastAsia="zh-CN"/>
        </w:rPr>
        <w:t>流域设计暴雨成果见表2.5-1。</w:t>
      </w:r>
    </w:p>
    <w:p>
      <w:pPr>
        <w:pStyle w:val="250"/>
        <w:bidi w:val="0"/>
        <w:rPr>
          <w:rFonts w:hint="default"/>
          <w:lang w:val="en-US" w:eastAsia="zh-CN"/>
        </w:rPr>
      </w:pPr>
      <w:r>
        <w:rPr>
          <w:rFonts w:hint="default"/>
          <w:lang w:val="en-US" w:eastAsia="zh-CN"/>
        </w:rPr>
        <w:t>表2.5-1   设计暴雨成果表</w:t>
      </w:r>
    </w:p>
    <w:tbl>
      <w:tblPr>
        <w:tblStyle w:val="44"/>
        <w:tblW w:w="4999"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3533"/>
        <w:gridCol w:w="1278"/>
        <w:gridCol w:w="1278"/>
        <w:gridCol w:w="1278"/>
        <w:gridCol w:w="128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jc w:val="center"/>
        </w:trPr>
        <w:tc>
          <w:tcPr>
            <w:tcW w:w="2042" w:type="pct"/>
            <w:vMerge w:val="restart"/>
            <w:vAlign w:val="center"/>
          </w:tcPr>
          <w:p>
            <w:pPr>
              <w:pStyle w:val="54"/>
              <w:bidi w:val="0"/>
              <w:jc w:val="center"/>
              <w:rPr>
                <w:rFonts w:hint="default"/>
              </w:rPr>
            </w:pPr>
            <w:r>
              <w:rPr>
                <w:rFonts w:hint="default"/>
              </w:rPr>
              <w:t>项目</w:t>
            </w:r>
          </w:p>
        </w:tc>
        <w:tc>
          <w:tcPr>
            <w:tcW w:w="2957" w:type="pct"/>
            <w:gridSpan w:val="4"/>
            <w:vAlign w:val="center"/>
          </w:tcPr>
          <w:p>
            <w:pPr>
              <w:pStyle w:val="54"/>
              <w:bidi w:val="0"/>
              <w:jc w:val="center"/>
              <w:rPr>
                <w:rFonts w:hint="default"/>
              </w:rPr>
            </w:pPr>
            <w:r>
              <w:rPr>
                <w:rFonts w:hint="default"/>
              </w:rPr>
              <w:t>T（h）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jc w:val="center"/>
        </w:trPr>
        <w:tc>
          <w:tcPr>
            <w:tcW w:w="2042" w:type="pct"/>
            <w:vMerge w:val="continue"/>
            <w:tcBorders>
              <w:top w:val="nil"/>
            </w:tcBorders>
            <w:vAlign w:val="center"/>
          </w:tcPr>
          <w:p>
            <w:pPr>
              <w:pStyle w:val="54"/>
              <w:bidi w:val="0"/>
              <w:jc w:val="center"/>
              <w:rPr>
                <w:rFonts w:hint="default"/>
              </w:rPr>
            </w:pPr>
          </w:p>
        </w:tc>
        <w:tc>
          <w:tcPr>
            <w:tcW w:w="739" w:type="pct"/>
            <w:vAlign w:val="center"/>
          </w:tcPr>
          <w:p>
            <w:pPr>
              <w:pStyle w:val="54"/>
              <w:bidi w:val="0"/>
              <w:jc w:val="center"/>
              <w:rPr>
                <w:rFonts w:hint="default"/>
              </w:rPr>
            </w:pPr>
            <w:r>
              <w:rPr>
                <w:rFonts w:hint="default"/>
              </w:rPr>
              <w:t>1</w:t>
            </w:r>
          </w:p>
        </w:tc>
        <w:tc>
          <w:tcPr>
            <w:tcW w:w="739" w:type="pct"/>
            <w:vAlign w:val="center"/>
          </w:tcPr>
          <w:p>
            <w:pPr>
              <w:pStyle w:val="54"/>
              <w:bidi w:val="0"/>
              <w:jc w:val="center"/>
              <w:rPr>
                <w:rFonts w:hint="default"/>
              </w:rPr>
            </w:pPr>
            <w:r>
              <w:rPr>
                <w:rFonts w:hint="default"/>
              </w:rPr>
              <w:t>6</w:t>
            </w:r>
          </w:p>
        </w:tc>
        <w:tc>
          <w:tcPr>
            <w:tcW w:w="739" w:type="pct"/>
            <w:vAlign w:val="center"/>
          </w:tcPr>
          <w:p>
            <w:pPr>
              <w:pStyle w:val="54"/>
              <w:bidi w:val="0"/>
              <w:jc w:val="center"/>
              <w:rPr>
                <w:rFonts w:hint="default"/>
              </w:rPr>
            </w:pPr>
            <w:r>
              <w:rPr>
                <w:rFonts w:hint="default"/>
              </w:rPr>
              <w:t>24</w:t>
            </w:r>
          </w:p>
        </w:tc>
        <w:tc>
          <w:tcPr>
            <w:tcW w:w="739" w:type="pct"/>
            <w:vAlign w:val="center"/>
          </w:tcPr>
          <w:p>
            <w:pPr>
              <w:pStyle w:val="54"/>
              <w:bidi w:val="0"/>
              <w:jc w:val="center"/>
              <w:rPr>
                <w:rFonts w:hint="default"/>
              </w:rPr>
            </w:pPr>
            <w:r>
              <w:rPr>
                <w:rFonts w:hint="default"/>
              </w:rPr>
              <w:t>72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042" w:type="pct"/>
            <w:vAlign w:val="center"/>
          </w:tcPr>
          <w:p>
            <w:pPr>
              <w:pStyle w:val="54"/>
              <w:bidi w:val="0"/>
              <w:jc w:val="center"/>
              <w:rPr>
                <w:rFonts w:hint="default"/>
              </w:rPr>
            </w:pPr>
            <w:r>
              <w:rPr>
                <w:rFonts w:hint="default"/>
              </w:rPr>
              <w:t>Ht（mm）</w:t>
            </w:r>
          </w:p>
        </w:tc>
        <w:tc>
          <w:tcPr>
            <w:tcW w:w="739" w:type="pct"/>
            <w:vAlign w:val="center"/>
          </w:tcPr>
          <w:p>
            <w:pPr>
              <w:pStyle w:val="54"/>
              <w:bidi w:val="0"/>
              <w:jc w:val="center"/>
              <w:rPr>
                <w:rFonts w:hint="default"/>
                <w:lang w:val="en-US" w:eastAsia="zh-CN"/>
              </w:rPr>
            </w:pPr>
            <w:r>
              <w:rPr>
                <w:rFonts w:hint="default"/>
              </w:rPr>
              <w:t>58</w:t>
            </w:r>
            <w:r>
              <w:rPr>
                <w:rFonts w:hint="eastAsia"/>
                <w:lang w:val="en-US" w:eastAsia="zh-CN"/>
              </w:rPr>
              <w:t>.8</w:t>
            </w:r>
          </w:p>
        </w:tc>
        <w:tc>
          <w:tcPr>
            <w:tcW w:w="739" w:type="pct"/>
            <w:vAlign w:val="center"/>
          </w:tcPr>
          <w:p>
            <w:pPr>
              <w:pStyle w:val="54"/>
              <w:bidi w:val="0"/>
              <w:jc w:val="center"/>
              <w:rPr>
                <w:rFonts w:hint="default"/>
                <w:lang w:val="en-US" w:eastAsia="zh-CN"/>
              </w:rPr>
            </w:pPr>
            <w:r>
              <w:rPr>
                <w:rFonts w:hint="eastAsia"/>
                <w:lang w:val="en-US" w:eastAsia="zh-CN"/>
              </w:rPr>
              <w:t>124.2</w:t>
            </w:r>
          </w:p>
        </w:tc>
        <w:tc>
          <w:tcPr>
            <w:tcW w:w="739" w:type="pct"/>
            <w:vAlign w:val="center"/>
          </w:tcPr>
          <w:p>
            <w:pPr>
              <w:pStyle w:val="54"/>
              <w:bidi w:val="0"/>
              <w:jc w:val="center"/>
              <w:rPr>
                <w:rFonts w:hint="default"/>
                <w:lang w:val="en-US" w:eastAsia="zh-CN"/>
              </w:rPr>
            </w:pPr>
            <w:r>
              <w:rPr>
                <w:rFonts w:hint="eastAsia"/>
                <w:lang w:val="en-US" w:eastAsia="zh-CN"/>
              </w:rPr>
              <w:t>141.2</w:t>
            </w:r>
          </w:p>
        </w:tc>
        <w:tc>
          <w:tcPr>
            <w:tcW w:w="739" w:type="pct"/>
            <w:vAlign w:val="center"/>
          </w:tcPr>
          <w:p>
            <w:pPr>
              <w:pStyle w:val="54"/>
              <w:bidi w:val="0"/>
              <w:jc w:val="center"/>
              <w:rPr>
                <w:rFonts w:hint="default"/>
                <w:lang w:val="en-US" w:eastAsia="zh-CN"/>
              </w:rPr>
            </w:pPr>
            <w:r>
              <w:rPr>
                <w:rFonts w:hint="default"/>
              </w:rPr>
              <w:t>1</w:t>
            </w:r>
            <w:r>
              <w:rPr>
                <w:rFonts w:hint="eastAsia"/>
                <w:lang w:val="en-US" w:eastAsia="zh-CN"/>
              </w:rPr>
              <w:t>87.1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jc w:val="center"/>
        </w:trPr>
        <w:tc>
          <w:tcPr>
            <w:tcW w:w="2042" w:type="pct"/>
            <w:vAlign w:val="center"/>
          </w:tcPr>
          <w:p>
            <w:pPr>
              <w:pStyle w:val="54"/>
              <w:bidi w:val="0"/>
              <w:jc w:val="center"/>
              <w:rPr>
                <w:rFonts w:hint="default"/>
              </w:rPr>
            </w:pPr>
            <w:r>
              <w:rPr>
                <w:rFonts w:hint="default"/>
              </w:rPr>
              <w:t>Cv</w:t>
            </w:r>
          </w:p>
        </w:tc>
        <w:tc>
          <w:tcPr>
            <w:tcW w:w="739" w:type="pct"/>
            <w:vAlign w:val="center"/>
          </w:tcPr>
          <w:p>
            <w:pPr>
              <w:pStyle w:val="54"/>
              <w:bidi w:val="0"/>
              <w:jc w:val="center"/>
              <w:rPr>
                <w:rFonts w:hint="default"/>
              </w:rPr>
            </w:pPr>
            <w:r>
              <w:rPr>
                <w:rFonts w:hint="default"/>
              </w:rPr>
              <w:t>0.33</w:t>
            </w:r>
          </w:p>
        </w:tc>
        <w:tc>
          <w:tcPr>
            <w:tcW w:w="739" w:type="pct"/>
            <w:vAlign w:val="center"/>
          </w:tcPr>
          <w:p>
            <w:pPr>
              <w:pStyle w:val="54"/>
              <w:bidi w:val="0"/>
              <w:jc w:val="center"/>
              <w:rPr>
                <w:rFonts w:hint="eastAsia"/>
                <w:lang w:val="en-US" w:eastAsia="zh-CN"/>
              </w:rPr>
            </w:pPr>
            <w:r>
              <w:rPr>
                <w:rFonts w:hint="default"/>
              </w:rPr>
              <w:t>0.4</w:t>
            </w:r>
            <w:r>
              <w:rPr>
                <w:rFonts w:hint="eastAsia"/>
                <w:lang w:val="en-US" w:eastAsia="zh-CN"/>
              </w:rPr>
              <w:t>0</w:t>
            </w:r>
          </w:p>
        </w:tc>
        <w:tc>
          <w:tcPr>
            <w:tcW w:w="739" w:type="pct"/>
            <w:vAlign w:val="center"/>
          </w:tcPr>
          <w:p>
            <w:pPr>
              <w:pStyle w:val="54"/>
              <w:bidi w:val="0"/>
              <w:jc w:val="center"/>
              <w:rPr>
                <w:rFonts w:hint="default"/>
                <w:lang w:val="en-US" w:eastAsia="zh-CN"/>
              </w:rPr>
            </w:pPr>
            <w:r>
              <w:rPr>
                <w:rFonts w:hint="default"/>
              </w:rPr>
              <w:t>0.</w:t>
            </w:r>
            <w:r>
              <w:rPr>
                <w:rFonts w:hint="eastAsia"/>
                <w:lang w:val="en-US" w:eastAsia="zh-CN"/>
              </w:rPr>
              <w:t>50</w:t>
            </w:r>
          </w:p>
        </w:tc>
        <w:tc>
          <w:tcPr>
            <w:tcW w:w="739" w:type="pct"/>
            <w:vAlign w:val="center"/>
          </w:tcPr>
          <w:p>
            <w:pPr>
              <w:pStyle w:val="54"/>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eastAsia="宋体"/>
                <w:lang w:val="en-US" w:eastAsia="zh-CN"/>
              </w:rPr>
            </w:pPr>
            <w:r>
              <w:rPr>
                <w:rFonts w:hint="eastAsia"/>
                <w:lang w:val="en-US" w:eastAsia="zh-CN"/>
              </w:rPr>
              <w:t>0.54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jc w:val="center"/>
        </w:trPr>
        <w:tc>
          <w:tcPr>
            <w:tcW w:w="2042" w:type="pct"/>
            <w:vAlign w:val="center"/>
          </w:tcPr>
          <w:p>
            <w:pPr>
              <w:pStyle w:val="54"/>
              <w:bidi w:val="0"/>
              <w:jc w:val="center"/>
              <w:rPr>
                <w:rFonts w:hint="default"/>
              </w:rPr>
            </w:pPr>
            <w:r>
              <w:rPr>
                <w:rFonts w:hint="default"/>
              </w:rPr>
              <w:t>Cs/Cv</w:t>
            </w:r>
          </w:p>
        </w:tc>
        <w:tc>
          <w:tcPr>
            <w:tcW w:w="739" w:type="pct"/>
            <w:vAlign w:val="center"/>
          </w:tcPr>
          <w:p>
            <w:pPr>
              <w:pStyle w:val="54"/>
              <w:bidi w:val="0"/>
              <w:jc w:val="center"/>
              <w:rPr>
                <w:rFonts w:hint="default"/>
              </w:rPr>
            </w:pPr>
            <w:r>
              <w:rPr>
                <w:rFonts w:hint="default"/>
              </w:rPr>
              <w:t>3.5</w:t>
            </w:r>
          </w:p>
        </w:tc>
        <w:tc>
          <w:tcPr>
            <w:tcW w:w="739" w:type="pct"/>
            <w:vAlign w:val="center"/>
          </w:tcPr>
          <w:p>
            <w:pPr>
              <w:pStyle w:val="54"/>
              <w:bidi w:val="0"/>
              <w:jc w:val="center"/>
              <w:rPr>
                <w:rFonts w:hint="default"/>
              </w:rPr>
            </w:pPr>
            <w:r>
              <w:rPr>
                <w:rFonts w:hint="default"/>
              </w:rPr>
              <w:t>3.5</w:t>
            </w:r>
          </w:p>
        </w:tc>
        <w:tc>
          <w:tcPr>
            <w:tcW w:w="739" w:type="pct"/>
            <w:vAlign w:val="center"/>
          </w:tcPr>
          <w:p>
            <w:pPr>
              <w:pStyle w:val="54"/>
              <w:bidi w:val="0"/>
              <w:jc w:val="center"/>
              <w:rPr>
                <w:rFonts w:hint="default"/>
              </w:rPr>
            </w:pPr>
            <w:r>
              <w:rPr>
                <w:rFonts w:hint="default"/>
              </w:rPr>
              <w:t>3.5</w:t>
            </w:r>
          </w:p>
        </w:tc>
        <w:tc>
          <w:tcPr>
            <w:tcW w:w="739" w:type="pct"/>
            <w:vAlign w:val="center"/>
          </w:tcPr>
          <w:p>
            <w:pPr>
              <w:pStyle w:val="54"/>
              <w:bidi w:val="0"/>
              <w:jc w:val="center"/>
              <w:rPr>
                <w:rFonts w:hint="default"/>
              </w:rPr>
            </w:pPr>
            <w:r>
              <w:rPr>
                <w:rFonts w:hint="default"/>
              </w:rPr>
              <w:t>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6" w:hRule="atLeast"/>
          <w:jc w:val="center"/>
        </w:trPr>
        <w:tc>
          <w:tcPr>
            <w:tcW w:w="2042" w:type="pct"/>
            <w:vAlign w:val="center"/>
          </w:tcPr>
          <w:p>
            <w:pPr>
              <w:pStyle w:val="54"/>
              <w:bidi w:val="0"/>
              <w:jc w:val="center"/>
              <w:rPr>
                <w:rFonts w:hint="default"/>
              </w:rPr>
            </w:pPr>
            <w:r>
              <w:rPr>
                <w:rFonts w:hint="default"/>
              </w:rPr>
              <w:t>α</w:t>
            </w:r>
          </w:p>
        </w:tc>
        <w:tc>
          <w:tcPr>
            <w:tcW w:w="739" w:type="pct"/>
            <w:vAlign w:val="center"/>
          </w:tcPr>
          <w:p>
            <w:pPr>
              <w:pStyle w:val="54"/>
              <w:bidi w:val="0"/>
              <w:jc w:val="center"/>
              <w:rPr>
                <w:rFonts w:hint="default" w:eastAsia="宋体"/>
                <w:lang w:val="en-US" w:eastAsia="zh-CN"/>
              </w:rPr>
            </w:pPr>
            <w:r>
              <w:rPr>
                <w:rFonts w:hint="eastAsia"/>
                <w:lang w:val="en-US" w:eastAsia="zh-CN"/>
              </w:rPr>
              <w:t>0.963</w:t>
            </w:r>
          </w:p>
        </w:tc>
        <w:tc>
          <w:tcPr>
            <w:tcW w:w="739" w:type="pct"/>
            <w:vAlign w:val="center"/>
          </w:tcPr>
          <w:p>
            <w:pPr>
              <w:pStyle w:val="54"/>
              <w:bidi w:val="0"/>
              <w:jc w:val="center"/>
              <w:rPr>
                <w:rFonts w:hint="default" w:eastAsia="宋体"/>
                <w:lang w:val="en-US" w:eastAsia="zh-CN"/>
              </w:rPr>
            </w:pPr>
            <w:r>
              <w:rPr>
                <w:rFonts w:hint="eastAsia"/>
                <w:lang w:val="en-US" w:eastAsia="zh-CN"/>
              </w:rPr>
              <w:t>0.981</w:t>
            </w:r>
          </w:p>
        </w:tc>
        <w:tc>
          <w:tcPr>
            <w:tcW w:w="739" w:type="pct"/>
            <w:vAlign w:val="center"/>
          </w:tcPr>
          <w:p>
            <w:pPr>
              <w:pStyle w:val="54"/>
              <w:bidi w:val="0"/>
              <w:jc w:val="center"/>
              <w:rPr>
                <w:rFonts w:hint="default" w:eastAsia="宋体"/>
                <w:lang w:val="en-US" w:eastAsia="zh-CN"/>
              </w:rPr>
            </w:pPr>
            <w:r>
              <w:rPr>
                <w:rFonts w:hint="eastAsia"/>
                <w:lang w:val="en-US" w:eastAsia="zh-CN"/>
              </w:rPr>
              <w:t>0.991</w:t>
            </w:r>
          </w:p>
        </w:tc>
        <w:tc>
          <w:tcPr>
            <w:tcW w:w="739" w:type="pct"/>
            <w:vAlign w:val="center"/>
          </w:tcPr>
          <w:p>
            <w:pPr>
              <w:pStyle w:val="54"/>
              <w:bidi w:val="0"/>
              <w:jc w:val="center"/>
              <w:rPr>
                <w:rFonts w:hint="default" w:eastAsia="宋体"/>
                <w:lang w:val="en-US" w:eastAsia="zh-CN"/>
              </w:rPr>
            </w:pPr>
            <w:r>
              <w:rPr>
                <w:rFonts w:hint="eastAsia"/>
                <w:lang w:val="en-US" w:eastAsia="zh-CN"/>
              </w:rPr>
              <w:t>0.994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jc w:val="center"/>
        </w:trPr>
        <w:tc>
          <w:tcPr>
            <w:tcW w:w="2042" w:type="pct"/>
            <w:vAlign w:val="center"/>
          </w:tcPr>
          <w:p>
            <w:pPr>
              <w:pStyle w:val="54"/>
              <w:bidi w:val="0"/>
              <w:jc w:val="center"/>
              <w:rPr>
                <w:rFonts w:hint="default"/>
              </w:rPr>
            </w:pPr>
            <w:r>
              <w:rPr>
                <w:rFonts w:hint="default"/>
              </w:rPr>
              <w:t>Htp面（mm）</w:t>
            </w:r>
          </w:p>
        </w:tc>
        <w:tc>
          <w:tcPr>
            <w:tcW w:w="739" w:type="pct"/>
            <w:vAlign w:val="center"/>
          </w:tcPr>
          <w:p>
            <w:pPr>
              <w:pStyle w:val="54"/>
              <w:bidi w:val="0"/>
              <w:jc w:val="center"/>
              <w:rPr>
                <w:rFonts w:hint="default" w:eastAsia="宋体"/>
                <w:lang w:val="en-US" w:eastAsia="zh-CN"/>
              </w:rPr>
            </w:pPr>
            <w:r>
              <w:rPr>
                <w:rFonts w:hint="eastAsia"/>
                <w:lang w:val="en-US" w:eastAsia="zh-CN"/>
              </w:rPr>
              <w:t>92.2</w:t>
            </w:r>
          </w:p>
        </w:tc>
        <w:tc>
          <w:tcPr>
            <w:tcW w:w="739" w:type="pct"/>
            <w:vAlign w:val="center"/>
          </w:tcPr>
          <w:p>
            <w:pPr>
              <w:pStyle w:val="54"/>
              <w:bidi w:val="0"/>
              <w:jc w:val="center"/>
              <w:rPr>
                <w:rFonts w:hint="default" w:eastAsia="宋体"/>
                <w:lang w:val="en-US" w:eastAsia="zh-CN"/>
              </w:rPr>
            </w:pPr>
            <w:r>
              <w:rPr>
                <w:rFonts w:hint="eastAsia"/>
                <w:lang w:val="en-US" w:eastAsia="zh-CN"/>
              </w:rPr>
              <w:t>216.3</w:t>
            </w:r>
          </w:p>
        </w:tc>
        <w:tc>
          <w:tcPr>
            <w:tcW w:w="739" w:type="pct"/>
            <w:vAlign w:val="center"/>
          </w:tcPr>
          <w:p>
            <w:pPr>
              <w:pStyle w:val="54"/>
              <w:bidi w:val="0"/>
              <w:jc w:val="center"/>
              <w:rPr>
                <w:rFonts w:hint="default" w:eastAsia="宋体"/>
                <w:lang w:val="en-US" w:eastAsia="zh-CN"/>
              </w:rPr>
            </w:pPr>
            <w:r>
              <w:rPr>
                <w:rFonts w:hint="eastAsia"/>
                <w:lang w:val="en-US" w:eastAsia="zh-CN"/>
              </w:rPr>
              <w:t>278.2</w:t>
            </w:r>
          </w:p>
        </w:tc>
        <w:tc>
          <w:tcPr>
            <w:tcW w:w="739" w:type="pct"/>
            <w:vAlign w:val="center"/>
          </w:tcPr>
          <w:p>
            <w:pPr>
              <w:pStyle w:val="54"/>
              <w:bidi w:val="0"/>
              <w:jc w:val="center"/>
              <w:rPr>
                <w:rFonts w:hint="default" w:eastAsia="宋体"/>
                <w:lang w:val="en-US" w:eastAsia="zh-CN"/>
              </w:rPr>
            </w:pPr>
            <w:r>
              <w:rPr>
                <w:rFonts w:hint="eastAsia"/>
                <w:lang w:val="en-US" w:eastAsia="zh-CN"/>
              </w:rPr>
              <w:t>385</w:t>
            </w:r>
          </w:p>
        </w:tc>
      </w:tr>
    </w:tbl>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w:t>
      </w:r>
      <w:r>
        <w:rPr>
          <w:rFonts w:hint="default" w:ascii="Times New Roman" w:hAnsi="Times New Roman" w:cs="Times New Roman" w:eastAsiaTheme="minorEastAsia"/>
          <w:sz w:val="24"/>
          <w:szCs w:val="24"/>
          <w:lang w:val="en-US" w:eastAsia="zh-CN"/>
        </w:rPr>
        <w:t>设计雨型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设计暴雨时程分配按《广东省暴雨径流查算图表》中，珠江三角洲24小时设计雨型，成果见表2.5-2。</w:t>
      </w:r>
    </w:p>
    <w:p>
      <w:pPr>
        <w:pStyle w:val="250"/>
        <w:bidi w:val="0"/>
        <w:rPr>
          <w:rFonts w:hint="eastAsia"/>
        </w:rPr>
      </w:pPr>
      <w:r>
        <w:rPr>
          <w:rFonts w:hint="eastAsia"/>
          <w:lang w:val="en-US" w:eastAsia="zh-CN"/>
        </w:rPr>
        <w:t>表</w:t>
      </w:r>
      <w:r>
        <w:rPr>
          <w:rFonts w:hint="default"/>
          <w:lang w:val="en-US" w:eastAsia="zh-CN"/>
        </w:rPr>
        <w:t>2.5-2</w:t>
      </w:r>
      <w:r>
        <w:rPr>
          <w:rFonts w:hint="eastAsia"/>
          <w:lang w:val="en-US" w:eastAsia="zh-CN"/>
        </w:rPr>
        <w:t xml:space="preserve">   工程区最大</w:t>
      </w:r>
      <w:r>
        <w:rPr>
          <w:rFonts w:hint="default"/>
          <w:lang w:val="en-US" w:eastAsia="zh-CN"/>
        </w:rPr>
        <w:t>24</w:t>
      </w:r>
      <w:r>
        <w:rPr>
          <w:rFonts w:hint="eastAsia"/>
          <w:lang w:val="en-US" w:eastAsia="zh-CN"/>
        </w:rPr>
        <w:t>小时设计雨型表（</w:t>
      </w:r>
      <w:r>
        <w:rPr>
          <w:rFonts w:hint="default"/>
          <w:lang w:val="en-US" w:eastAsia="zh-CN"/>
        </w:rPr>
        <w:t>mm</w:t>
      </w:r>
      <w:r>
        <w:rPr>
          <w:rFonts w:hint="eastAsia"/>
          <w:lang w:val="en-US" w:eastAsia="zh-CN"/>
        </w:rPr>
        <w:t>）</w:t>
      </w:r>
    </w:p>
    <w:tbl>
      <w:tblPr>
        <w:tblStyle w:val="44"/>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2420"/>
        <w:gridCol w:w="413"/>
        <w:gridCol w:w="413"/>
        <w:gridCol w:w="413"/>
        <w:gridCol w:w="413"/>
        <w:gridCol w:w="571"/>
        <w:gridCol w:w="561"/>
        <w:gridCol w:w="571"/>
        <w:gridCol w:w="571"/>
        <w:gridCol w:w="571"/>
        <w:gridCol w:w="571"/>
        <w:gridCol w:w="571"/>
        <w:gridCol w:w="58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5" w:hRule="atLeast"/>
        </w:trPr>
        <w:tc>
          <w:tcPr>
            <w:tcW w:w="1399" w:type="pct"/>
            <w:vMerge w:val="restar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eastAsia" w:ascii="Times New Roman" w:hAnsi="Times New Roman" w:cs="Times New Roman" w:eastAsiaTheme="minorEastAsia"/>
                <w:smallCaps w:val="0"/>
                <w:spacing w:val="6"/>
                <w:kern w:val="2"/>
              </w:rPr>
            </w:pPr>
            <w:r>
              <w:rPr>
                <w:rFonts w:hint="eastAsia" w:ascii="Times New Roman" w:hAnsi="Times New Roman" w:cs="Times New Roman" w:eastAsiaTheme="minorEastAsia"/>
                <w:smallCaps w:val="0"/>
                <w:spacing w:val="6"/>
                <w:kern w:val="2"/>
              </w:rPr>
              <w:t>时程</w:t>
            </w:r>
          </w:p>
        </w:tc>
        <w:tc>
          <w:tcPr>
            <w:tcW w:w="3600" w:type="pct"/>
            <w:gridSpan w:val="12"/>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eastAsia"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24</w:t>
            </w:r>
            <w:r>
              <w:rPr>
                <w:rFonts w:hint="eastAsia" w:ascii="Times New Roman" w:hAnsi="Times New Roman" w:cs="Times New Roman" w:eastAsiaTheme="minorEastAsia"/>
                <w:smallCaps w:val="0"/>
                <w:spacing w:val="6"/>
                <w:kern w:val="2"/>
              </w:rPr>
              <w:t>小时雨型时程分配（</w:t>
            </w:r>
            <w:r>
              <w:rPr>
                <w:rFonts w:hint="default" w:ascii="Times New Roman" w:hAnsi="Times New Roman" w:cs="Times New Roman" w:eastAsiaTheme="minorEastAsia"/>
                <w:smallCaps w:val="0"/>
                <w:spacing w:val="6"/>
                <w:kern w:val="2"/>
              </w:rPr>
              <w:t>h</w:t>
            </w:r>
            <w:r>
              <w:rPr>
                <w:rFonts w:hint="eastAsia" w:ascii="Times New Roman" w:hAnsi="Times New Roman" w:cs="Times New Roman" w:eastAsiaTheme="minorEastAsia"/>
                <w:smallCaps w:val="0"/>
                <w:spacing w:val="6"/>
                <w:kern w:val="2"/>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1399" w:type="pct"/>
            <w:vMerge w:val="continue"/>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2</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3</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4</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5</w:t>
            </w:r>
          </w:p>
        </w:tc>
        <w:tc>
          <w:tcPr>
            <w:tcW w:w="324"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6</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7</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8</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9</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10</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11</w:t>
            </w:r>
          </w:p>
        </w:tc>
        <w:tc>
          <w:tcPr>
            <w:tcW w:w="335"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12</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139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eastAsia" w:ascii="Times New Roman" w:hAnsi="Times New Roman" w:cs="Times New Roman" w:eastAsiaTheme="minorEastAsia"/>
                <w:smallCaps w:val="0"/>
                <w:spacing w:val="6"/>
                <w:kern w:val="2"/>
              </w:rPr>
              <w:t>占</w:t>
            </w:r>
            <w:r>
              <w:rPr>
                <w:rFonts w:hint="default" w:ascii="Times New Roman" w:hAnsi="Times New Roman" w:cs="Times New Roman" w:eastAsiaTheme="minorEastAsia"/>
                <w:smallCaps w:val="0"/>
                <w:spacing w:val="6"/>
                <w:kern w:val="2"/>
              </w:rPr>
              <w:t>H6%</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24"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10.9</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16.6</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19.7</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20.5</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17.4</w:t>
            </w:r>
          </w:p>
        </w:tc>
        <w:tc>
          <w:tcPr>
            <w:tcW w:w="335"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14.9</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139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eastAsia" w:ascii="Times New Roman" w:hAnsi="Times New Roman" w:cs="Times New Roman" w:eastAsiaTheme="minorEastAsia"/>
                <w:smallCaps w:val="0"/>
                <w:spacing w:val="6"/>
                <w:kern w:val="2"/>
              </w:rPr>
              <w:t>占（</w:t>
            </w:r>
            <w:r>
              <w:rPr>
                <w:rFonts w:hint="default" w:ascii="Times New Roman" w:hAnsi="Times New Roman" w:cs="Times New Roman" w:eastAsiaTheme="minorEastAsia"/>
                <w:smallCaps w:val="0"/>
                <w:spacing w:val="6"/>
                <w:kern w:val="2"/>
              </w:rPr>
              <w:t>H24-H6</w:t>
            </w:r>
            <w:r>
              <w:rPr>
                <w:rFonts w:hint="eastAsia" w:ascii="Times New Roman" w:hAnsi="Times New Roman" w:cs="Times New Roman" w:eastAsiaTheme="minorEastAsia"/>
                <w:smallCaps w:val="0"/>
                <w:spacing w:val="6"/>
                <w:kern w:val="2"/>
              </w:rPr>
              <w:t>）</w:t>
            </w:r>
            <w:r>
              <w:rPr>
                <w:rFonts w:hint="default" w:ascii="Times New Roman" w:hAnsi="Times New Roman" w:cs="Times New Roman" w:eastAsiaTheme="minorEastAsia"/>
                <w:smallCaps w:val="0"/>
                <w:spacing w:val="6"/>
                <w:kern w:val="2"/>
              </w:rPr>
              <w:t>%</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1.5</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2.9</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3.6</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8.8</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10.7</w:t>
            </w:r>
          </w:p>
        </w:tc>
        <w:tc>
          <w:tcPr>
            <w:tcW w:w="324"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11.3</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5"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1399" w:type="pct"/>
            <w:vMerge w:val="restar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eastAsia" w:ascii="Times New Roman" w:hAnsi="Times New Roman" w:cs="Times New Roman" w:eastAsiaTheme="minorEastAsia"/>
                <w:smallCaps w:val="0"/>
                <w:spacing w:val="6"/>
                <w:kern w:val="2"/>
              </w:rPr>
            </w:pPr>
            <w:r>
              <w:rPr>
                <w:rFonts w:hint="eastAsia" w:ascii="Times New Roman" w:hAnsi="Times New Roman" w:cs="Times New Roman" w:eastAsiaTheme="minorEastAsia"/>
                <w:smallCaps w:val="0"/>
                <w:spacing w:val="6"/>
                <w:kern w:val="2"/>
              </w:rPr>
              <w:t>时程</w:t>
            </w:r>
          </w:p>
        </w:tc>
        <w:tc>
          <w:tcPr>
            <w:tcW w:w="3600" w:type="pct"/>
            <w:gridSpan w:val="12"/>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eastAsia"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24</w:t>
            </w:r>
            <w:r>
              <w:rPr>
                <w:rFonts w:hint="eastAsia" w:ascii="Times New Roman" w:hAnsi="Times New Roman" w:cs="Times New Roman" w:eastAsiaTheme="minorEastAsia"/>
                <w:smallCaps w:val="0"/>
                <w:spacing w:val="6"/>
                <w:kern w:val="2"/>
              </w:rPr>
              <w:t>小时雨型时程分配（</w:t>
            </w:r>
            <w:r>
              <w:rPr>
                <w:rFonts w:hint="default" w:ascii="Times New Roman" w:hAnsi="Times New Roman" w:cs="Times New Roman" w:eastAsiaTheme="minorEastAsia"/>
                <w:smallCaps w:val="0"/>
                <w:spacing w:val="6"/>
                <w:kern w:val="2"/>
              </w:rPr>
              <w:t>h</w:t>
            </w:r>
            <w:r>
              <w:rPr>
                <w:rFonts w:hint="eastAsia" w:ascii="Times New Roman" w:hAnsi="Times New Roman" w:cs="Times New Roman" w:eastAsiaTheme="minorEastAsia"/>
                <w:smallCaps w:val="0"/>
                <w:spacing w:val="6"/>
                <w:kern w:val="2"/>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1399" w:type="pct"/>
            <w:vMerge w:val="continue"/>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13</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14</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15</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16</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17</w:t>
            </w:r>
          </w:p>
        </w:tc>
        <w:tc>
          <w:tcPr>
            <w:tcW w:w="324"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18</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19</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20</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21</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22</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23</w:t>
            </w:r>
          </w:p>
        </w:tc>
        <w:tc>
          <w:tcPr>
            <w:tcW w:w="335"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24</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139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eastAsia" w:ascii="Times New Roman" w:hAnsi="Times New Roman" w:cs="Times New Roman" w:eastAsiaTheme="minorEastAsia"/>
                <w:smallCaps w:val="0"/>
                <w:spacing w:val="6"/>
                <w:kern w:val="2"/>
              </w:rPr>
              <w:t>占</w:t>
            </w:r>
            <w:r>
              <w:rPr>
                <w:rFonts w:hint="default" w:ascii="Times New Roman" w:hAnsi="Times New Roman" w:cs="Times New Roman" w:eastAsiaTheme="minorEastAsia"/>
                <w:smallCaps w:val="0"/>
                <w:spacing w:val="6"/>
                <w:kern w:val="2"/>
              </w:rPr>
              <w:t>H6%</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24"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c>
          <w:tcPr>
            <w:tcW w:w="335"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139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eastAsia" w:ascii="Times New Roman" w:hAnsi="Times New Roman" w:cs="Times New Roman" w:eastAsiaTheme="minorEastAsia"/>
                <w:smallCaps w:val="0"/>
                <w:spacing w:val="6"/>
                <w:kern w:val="2"/>
              </w:rPr>
              <w:t>占（</w:t>
            </w:r>
            <w:r>
              <w:rPr>
                <w:rFonts w:hint="default" w:ascii="Times New Roman" w:hAnsi="Times New Roman" w:cs="Times New Roman" w:eastAsiaTheme="minorEastAsia"/>
                <w:smallCaps w:val="0"/>
                <w:spacing w:val="6"/>
                <w:kern w:val="2"/>
              </w:rPr>
              <w:t>H24-H6</w:t>
            </w:r>
            <w:r>
              <w:rPr>
                <w:rFonts w:hint="eastAsia" w:ascii="Times New Roman" w:hAnsi="Times New Roman" w:cs="Times New Roman" w:eastAsiaTheme="minorEastAsia"/>
                <w:smallCaps w:val="0"/>
                <w:spacing w:val="6"/>
                <w:kern w:val="2"/>
              </w:rPr>
              <w:t>）</w:t>
            </w:r>
            <w:r>
              <w:rPr>
                <w:rFonts w:hint="default" w:ascii="Times New Roman" w:hAnsi="Times New Roman" w:cs="Times New Roman" w:eastAsiaTheme="minorEastAsia"/>
                <w:smallCaps w:val="0"/>
                <w:spacing w:val="6"/>
                <w:kern w:val="2"/>
              </w:rPr>
              <w:t>%</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9.7</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7.8</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8.8</w:t>
            </w:r>
          </w:p>
        </w:tc>
        <w:tc>
          <w:tcPr>
            <w:tcW w:w="23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5.5</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5.4</w:t>
            </w:r>
          </w:p>
        </w:tc>
        <w:tc>
          <w:tcPr>
            <w:tcW w:w="324"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4.8</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3.2</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3.2</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2.5</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4.0</w:t>
            </w:r>
          </w:p>
        </w:tc>
        <w:tc>
          <w:tcPr>
            <w:tcW w:w="330"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3.6</w:t>
            </w:r>
          </w:p>
        </w:tc>
        <w:tc>
          <w:tcPr>
            <w:tcW w:w="335"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rPr>
            </w:pPr>
            <w:r>
              <w:rPr>
                <w:rFonts w:hint="default" w:ascii="Times New Roman" w:hAnsi="Times New Roman" w:cs="Times New Roman" w:eastAsiaTheme="minorEastAsia"/>
                <w:smallCaps w:val="0"/>
                <w:spacing w:val="6"/>
                <w:kern w:val="2"/>
              </w:rPr>
              <w:t>2.7</w:t>
            </w:r>
          </w:p>
        </w:tc>
      </w:tr>
    </w:tbl>
    <w:p>
      <w:pPr>
        <w:pStyle w:val="5"/>
        <w:bidi w:val="0"/>
        <w:ind w:left="720" w:leftChars="0" w:hanging="720" w:firstLineChars="0"/>
        <w:rPr>
          <w:rFonts w:hint="default"/>
          <w:lang w:val="en-US" w:eastAsia="zh-CN"/>
        </w:rPr>
      </w:pPr>
      <w:bookmarkStart w:id="77" w:name="_Toc30659"/>
      <w:r>
        <w:rPr>
          <w:rFonts w:hint="eastAsia"/>
          <w:lang w:val="en-US" w:eastAsia="zh-CN"/>
        </w:rPr>
        <w:t>洪水</w:t>
      </w:r>
      <w:bookmarkEnd w:id="77"/>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番禺区外江河段均属感潮河道，洪潮（水）位既受北江及西江的洪水影响，又受来自伶仃洋风暴潮影响，洪潮混杂，水流流态十分复杂。在枯季，则以潮流作用为主。</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（1）洪水特性</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珠江流域番禺区河段洪水主要来自西、北二江。水系水文代表站，西江为高要站；北江为石角、三水站。西江江水的主要特征是峰高量大，涨落较缓慢，历时较长，洪水过程呈现多峰或平缓肥胖的单峰型。北江洪峰尖瘦，量相对较小，涨落较快，历时短，过程多为尖瘦的单峰或双峰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各水系洪水时空分布不尽一致，西江相对北江较迟，北江洪水出现最多的月份是5~7月，占总数的85.0%，西江洪水多出现在6~8月，占总数的86.9%，各水系均以6月份出现大洪水的机率最大。</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番禺区属珠江三角洲网河区，河汊互相沟通，水网密集，西、北、东江和流溪河等江河的洪峰进入网河区后，视当时潮位的变化而有不同的分流比，本节设计洪水是指各水系在外围周边入流代表站的设计洪水，分述如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西江发源于云南曲靖市马雄山，流域面积353120km²，其中在广东省境内25770km²，河流全长2075km，进入珠江网河区的代表控制站为高要站。</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北江上游为浈水，发源于江西信丰县大茅坑，流域面积46710km²（思贤滘以上），其中广东省境内42930km²，于三水市河口镇的思贤滘与西江相通，北江在思贤滘以上，河长468km，代表控制站有石角、三水。</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东江发源于江西寻乌县，上游称寻乌水，河道长度从河源至狮子洋为562km，流域面积35340km²，石龙以上流域面积27040km²，代表站为博罗(25325km²)。</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流溪河发源于从化吕田桂峰山，流域面积2300km²，河长156km，代表站牛心岭(1551km²)。</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各水系代表站设计洪水见表2.5-3。</w:t>
      </w:r>
    </w:p>
    <w:p>
      <w:pPr>
        <w:pStyle w:val="250"/>
        <w:bidi w:val="0"/>
        <w:rPr>
          <w:rFonts w:hint="eastAsia"/>
          <w:lang w:val="en-US" w:eastAsia="zh-CN"/>
        </w:rPr>
      </w:pPr>
      <w:r>
        <w:rPr>
          <w:rFonts w:hint="eastAsia"/>
          <w:lang w:val="en-US" w:eastAsia="zh-CN"/>
        </w:rPr>
        <w:t>表2.5-3   各主要水系设计洪水</w:t>
      </w:r>
    </w:p>
    <w:tbl>
      <w:tblPr>
        <w:tblStyle w:val="44"/>
        <w:tblW w:w="4998" w:type="pct"/>
        <w:tblInd w:w="0" w:type="dxa"/>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Layout w:type="autofit"/>
        <w:tblCellMar>
          <w:top w:w="0" w:type="dxa"/>
          <w:left w:w="108" w:type="dxa"/>
          <w:bottom w:w="0" w:type="dxa"/>
          <w:right w:w="108" w:type="dxa"/>
        </w:tblCellMar>
      </w:tblPr>
      <w:tblGrid>
        <w:gridCol w:w="962"/>
        <w:gridCol w:w="962"/>
        <w:gridCol w:w="1206"/>
        <w:gridCol w:w="841"/>
        <w:gridCol w:w="663"/>
        <w:gridCol w:w="847"/>
        <w:gridCol w:w="841"/>
        <w:gridCol w:w="841"/>
        <w:gridCol w:w="841"/>
        <w:gridCol w:w="848"/>
      </w:tblGrid>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PrEx>
        <w:trPr>
          <w:cantSplit/>
          <w:trHeight w:val="497" w:hRule="atLeast"/>
          <w:tblHeader/>
        </w:trPr>
        <w:tc>
          <w:tcPr>
            <w:tcW w:w="543" w:type="pct"/>
            <w:vMerge w:val="restar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水系</w:t>
            </w:r>
          </w:p>
        </w:tc>
        <w:tc>
          <w:tcPr>
            <w:tcW w:w="543" w:type="pct"/>
            <w:vMerge w:val="restar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代表站</w:t>
            </w:r>
          </w:p>
        </w:tc>
        <w:tc>
          <w:tcPr>
            <w:tcW w:w="681" w:type="pct"/>
            <w:vMerge w:val="restar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流域面积</w:t>
            </w:r>
          </w:p>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(km</w:t>
            </w:r>
            <w:r>
              <w:rPr>
                <w:rFonts w:hint="default" w:ascii="Times New Roman" w:hAnsi="Times New Roman" w:cs="Times New Roman" w:eastAsiaTheme="minorEastAsia"/>
                <w:smallCaps w:val="0"/>
                <w:spacing w:val="6"/>
                <w:kern w:val="2"/>
                <w:vertAlign w:val="superscript"/>
                <w:lang w:val="en-US" w:eastAsia="zh-CN"/>
              </w:rPr>
              <w:t>2</w:t>
            </w:r>
            <w:r>
              <w:rPr>
                <w:rFonts w:hint="default" w:ascii="Times New Roman" w:hAnsi="Times New Roman" w:cs="Times New Roman" w:eastAsiaTheme="minorEastAsia"/>
                <w:smallCaps w:val="0"/>
                <w:spacing w:val="6"/>
                <w:kern w:val="2"/>
                <w:lang w:val="en-US" w:eastAsia="zh-CN"/>
              </w:rPr>
              <w:t>)</w:t>
            </w:r>
          </w:p>
        </w:tc>
        <w:tc>
          <w:tcPr>
            <w:tcW w:w="1327" w:type="pct"/>
            <w:gridSpan w:val="3"/>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统计参数</w:t>
            </w:r>
          </w:p>
        </w:tc>
        <w:tc>
          <w:tcPr>
            <w:tcW w:w="1903" w:type="pct"/>
            <w:gridSpan w:val="4"/>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设计值(m</w:t>
            </w:r>
            <w:r>
              <w:rPr>
                <w:rFonts w:hint="default" w:ascii="Times New Roman" w:hAnsi="Times New Roman" w:cs="Times New Roman" w:eastAsiaTheme="minorEastAsia"/>
                <w:smallCaps w:val="0"/>
                <w:spacing w:val="6"/>
                <w:kern w:val="2"/>
                <w:vertAlign w:val="superscript"/>
                <w:lang w:val="en-US" w:eastAsia="zh-CN"/>
              </w:rPr>
              <w:t>3</w:t>
            </w:r>
            <w:r>
              <w:rPr>
                <w:rFonts w:hint="default" w:ascii="Times New Roman" w:hAnsi="Times New Roman" w:cs="Times New Roman" w:eastAsiaTheme="minorEastAsia"/>
                <w:smallCaps w:val="0"/>
                <w:spacing w:val="6"/>
                <w:kern w:val="2"/>
                <w:lang w:val="en-US" w:eastAsia="zh-CN"/>
              </w:rPr>
              <w:t>/s)</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97" w:hRule="atLeast"/>
          <w:tblHeader/>
        </w:trPr>
        <w:tc>
          <w:tcPr>
            <w:tcW w:w="543" w:type="pct"/>
            <w:vMerge w:val="continue"/>
            <w:vAlign w:val="center"/>
          </w:tcPr>
          <w:p>
            <w:pPr>
              <w:pStyle w:val="54"/>
              <w:bidi w:val="0"/>
              <w:jc w:val="center"/>
              <w:rPr>
                <w:rFonts w:hint="default" w:ascii="Times New Roman" w:hAnsi="Times New Roman" w:cs="Times New Roman" w:eastAsiaTheme="minorEastAsia"/>
                <w:smallCaps w:val="0"/>
                <w:spacing w:val="6"/>
                <w:kern w:val="2"/>
                <w:lang w:val="en-US" w:eastAsia="zh-CN"/>
              </w:rPr>
            </w:pPr>
          </w:p>
        </w:tc>
        <w:tc>
          <w:tcPr>
            <w:tcW w:w="543" w:type="pct"/>
            <w:vMerge w:val="continue"/>
            <w:vAlign w:val="center"/>
          </w:tcPr>
          <w:p>
            <w:pPr>
              <w:pStyle w:val="54"/>
              <w:bidi w:val="0"/>
              <w:jc w:val="center"/>
              <w:rPr>
                <w:rFonts w:hint="default" w:ascii="Times New Roman" w:hAnsi="Times New Roman" w:cs="Times New Roman" w:eastAsiaTheme="minorEastAsia"/>
                <w:smallCaps w:val="0"/>
                <w:spacing w:val="6"/>
                <w:kern w:val="2"/>
                <w:lang w:val="en-US" w:eastAsia="zh-CN"/>
              </w:rPr>
            </w:pPr>
          </w:p>
        </w:tc>
        <w:tc>
          <w:tcPr>
            <w:tcW w:w="681" w:type="pct"/>
            <w:vMerge w:val="continue"/>
            <w:vAlign w:val="center"/>
          </w:tcPr>
          <w:p>
            <w:pPr>
              <w:pStyle w:val="54"/>
              <w:bidi w:val="0"/>
              <w:jc w:val="center"/>
              <w:rPr>
                <w:rFonts w:hint="default" w:ascii="Times New Roman" w:hAnsi="Times New Roman" w:cs="Times New Roman" w:eastAsiaTheme="minorEastAsia"/>
                <w:smallCaps w:val="0"/>
                <w:spacing w:val="6"/>
                <w:kern w:val="2"/>
                <w:lang w:val="en-US" w:eastAsia="zh-CN"/>
              </w:rPr>
            </w:pP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Qm</w:t>
            </w:r>
          </w:p>
        </w:tc>
        <w:tc>
          <w:tcPr>
            <w:tcW w:w="374"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Cv</w:t>
            </w:r>
          </w:p>
        </w:tc>
        <w:tc>
          <w:tcPr>
            <w:tcW w:w="477"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Cs/Cv</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0.5</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2</w:t>
            </w:r>
          </w:p>
        </w:tc>
        <w:tc>
          <w:tcPr>
            <w:tcW w:w="476"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5</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97" w:hRule="atLeast"/>
        </w:trPr>
        <w:tc>
          <w:tcPr>
            <w:tcW w:w="543" w:type="pct"/>
            <w:vMerge w:val="restar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北江</w:t>
            </w:r>
          </w:p>
        </w:tc>
        <w:tc>
          <w:tcPr>
            <w:tcW w:w="543"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石角</w:t>
            </w:r>
          </w:p>
        </w:tc>
        <w:tc>
          <w:tcPr>
            <w:tcW w:w="681"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38363</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9880</w:t>
            </w:r>
          </w:p>
        </w:tc>
        <w:tc>
          <w:tcPr>
            <w:tcW w:w="374"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0.34</w:t>
            </w:r>
          </w:p>
        </w:tc>
        <w:tc>
          <w:tcPr>
            <w:tcW w:w="477"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3.0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21500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19900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18300</w:t>
            </w:r>
          </w:p>
        </w:tc>
        <w:tc>
          <w:tcPr>
            <w:tcW w:w="476"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16100</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97" w:hRule="atLeast"/>
        </w:trPr>
        <w:tc>
          <w:tcPr>
            <w:tcW w:w="543" w:type="pct"/>
            <w:vMerge w:val="continue"/>
            <w:vAlign w:val="center"/>
          </w:tcPr>
          <w:p>
            <w:pPr>
              <w:pStyle w:val="54"/>
              <w:bidi w:val="0"/>
              <w:jc w:val="center"/>
              <w:rPr>
                <w:rFonts w:hint="default" w:ascii="Times New Roman" w:hAnsi="Times New Roman" w:cs="Times New Roman" w:eastAsiaTheme="minorEastAsia"/>
                <w:smallCaps w:val="0"/>
                <w:spacing w:val="6"/>
                <w:kern w:val="2"/>
                <w:lang w:val="en-US" w:eastAsia="zh-CN"/>
              </w:rPr>
            </w:pPr>
          </w:p>
        </w:tc>
        <w:tc>
          <w:tcPr>
            <w:tcW w:w="543"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三水</w:t>
            </w:r>
          </w:p>
        </w:tc>
        <w:tc>
          <w:tcPr>
            <w:tcW w:w="681"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8110</w:t>
            </w:r>
          </w:p>
        </w:tc>
        <w:tc>
          <w:tcPr>
            <w:tcW w:w="374"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0.32</w:t>
            </w:r>
          </w:p>
        </w:tc>
        <w:tc>
          <w:tcPr>
            <w:tcW w:w="477"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3.0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17200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16000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14800</w:t>
            </w:r>
          </w:p>
        </w:tc>
        <w:tc>
          <w:tcPr>
            <w:tcW w:w="476"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13100</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97" w:hRule="atLeast"/>
        </w:trPr>
        <w:tc>
          <w:tcPr>
            <w:tcW w:w="543"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西江</w:t>
            </w:r>
          </w:p>
        </w:tc>
        <w:tc>
          <w:tcPr>
            <w:tcW w:w="543"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高要</w:t>
            </w:r>
          </w:p>
        </w:tc>
        <w:tc>
          <w:tcPr>
            <w:tcW w:w="681"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351535</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32100</w:t>
            </w:r>
          </w:p>
        </w:tc>
        <w:tc>
          <w:tcPr>
            <w:tcW w:w="374"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0.23</w:t>
            </w:r>
          </w:p>
        </w:tc>
        <w:tc>
          <w:tcPr>
            <w:tcW w:w="477"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3.0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55900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54000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52200</w:t>
            </w:r>
          </w:p>
        </w:tc>
        <w:tc>
          <w:tcPr>
            <w:tcW w:w="476"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49700</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97" w:hRule="atLeast"/>
        </w:trPr>
        <w:tc>
          <w:tcPr>
            <w:tcW w:w="543"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东江</w:t>
            </w:r>
          </w:p>
        </w:tc>
        <w:tc>
          <w:tcPr>
            <w:tcW w:w="543"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博罗</w:t>
            </w:r>
          </w:p>
        </w:tc>
        <w:tc>
          <w:tcPr>
            <w:tcW w:w="681"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25325</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6180</w:t>
            </w:r>
          </w:p>
        </w:tc>
        <w:tc>
          <w:tcPr>
            <w:tcW w:w="374"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0.42</w:t>
            </w:r>
          </w:p>
        </w:tc>
        <w:tc>
          <w:tcPr>
            <w:tcW w:w="477"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3.0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15800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14400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13000</w:t>
            </w:r>
          </w:p>
        </w:tc>
        <w:tc>
          <w:tcPr>
            <w:tcW w:w="476"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11200</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497" w:hRule="atLeast"/>
        </w:trPr>
        <w:tc>
          <w:tcPr>
            <w:tcW w:w="543"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流溪河</w:t>
            </w:r>
          </w:p>
        </w:tc>
        <w:tc>
          <w:tcPr>
            <w:tcW w:w="543"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牛心岭</w:t>
            </w:r>
          </w:p>
        </w:tc>
        <w:tc>
          <w:tcPr>
            <w:tcW w:w="681"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1551</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880</w:t>
            </w:r>
          </w:p>
        </w:tc>
        <w:tc>
          <w:tcPr>
            <w:tcW w:w="374"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0.58</w:t>
            </w:r>
          </w:p>
        </w:tc>
        <w:tc>
          <w:tcPr>
            <w:tcW w:w="477"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3.0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2970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2650</w:t>
            </w:r>
          </w:p>
        </w:tc>
        <w:tc>
          <w:tcPr>
            <w:tcW w:w="475"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2320</w:t>
            </w:r>
          </w:p>
        </w:tc>
        <w:tc>
          <w:tcPr>
            <w:tcW w:w="476" w:type="pct"/>
            <w:vAlign w:val="center"/>
          </w:tcPr>
          <w:p>
            <w:pPr>
              <w:pStyle w:val="54"/>
              <w:bidi w:val="0"/>
              <w:jc w:val="center"/>
              <w:rPr>
                <w:rFonts w:hint="default" w:ascii="Times New Roman" w:hAnsi="Times New Roman" w:cs="Times New Roman" w:eastAsiaTheme="minorEastAsia"/>
                <w:smallCaps w:val="0"/>
                <w:spacing w:val="6"/>
                <w:kern w:val="2"/>
                <w:lang w:val="en-US" w:eastAsia="zh-CN"/>
              </w:rPr>
            </w:pPr>
            <w:r>
              <w:rPr>
                <w:rFonts w:hint="default" w:ascii="Times New Roman" w:hAnsi="Times New Roman" w:cs="Times New Roman" w:eastAsiaTheme="minorEastAsia"/>
                <w:smallCaps w:val="0"/>
                <w:spacing w:val="6"/>
                <w:kern w:val="2"/>
                <w:lang w:val="en-US" w:eastAsia="zh-CN"/>
              </w:rPr>
              <w:t>1880</w:t>
            </w:r>
          </w:p>
        </w:tc>
      </w:tr>
    </w:tbl>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注：本表采用广东省水利厅2002年《西、北江下游及其三角洲网河河道设计洪潮水面线（试行）》成果。</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（2）北江、流溪河洪水遭遇</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据1954~1985年资料统计，北江、流溪河洪水遭遇机会甚少，两江同时出现最大洪峰的仅有1次（1974年6月27日洪水），约占统计年数的3%。若以三水站出现年最大洪峰与牛心岭站出现年最大洪峰进行遭遇统计，则在32年资料中，没有发生遭遇的情况。</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（3）西、北江和东江洪水遭遇</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东江洪水自成系统，与西、北江洪水遭遇的机会极小。据统计，仅1966年6月24日博罗洪峰与思贤滘峰现时间相同。</w:t>
      </w:r>
    </w:p>
    <w:p>
      <w:pPr>
        <w:pStyle w:val="5"/>
        <w:bidi w:val="0"/>
        <w:ind w:left="720" w:leftChars="0" w:hanging="720" w:firstLineChars="0"/>
        <w:rPr>
          <w:rFonts w:hint="default"/>
          <w:lang w:val="en-US" w:eastAsia="zh-CN"/>
        </w:rPr>
      </w:pPr>
      <w:bookmarkStart w:id="78" w:name="_Toc15500"/>
      <w:r>
        <w:rPr>
          <w:rFonts w:hint="eastAsia"/>
          <w:lang w:val="en-US" w:eastAsia="zh-CN"/>
        </w:rPr>
        <w:t>设计洪水</w:t>
      </w:r>
      <w:bookmarkEnd w:id="78"/>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bookmarkStart w:id="79" w:name="_TOC_250124"/>
      <w:bookmarkEnd w:id="79"/>
      <w:r>
        <w:rPr>
          <w:rFonts w:hint="default" w:ascii="Times New Roman" w:hAnsi="Times New Roman" w:cs="Times New Roman" w:eastAsiaTheme="minorEastAsia"/>
          <w:sz w:val="24"/>
          <w:szCs w:val="24"/>
          <w:lang w:val="en-US" w:eastAsia="zh-CN"/>
        </w:rPr>
        <w:t>（1）计算方法</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工程区无实测洪水资料，因此由设计暴雨推求设计洪峰，计算采用《广东省暴雨径流查算图表使用手册》（1991）中推荐的的综合单位线及推理公式法两种方法，根据计算结果比较分析后选用确定设计洪水。</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a）推理公式法</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center"/>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object>
          <v:shape id="_x0000_i1025" o:spt="75" type="#_x0000_t75" style="height:36pt;width:113.25pt;" o:ole="t" filled="f" o:preferrelative="t" stroked="f" coordsize="21600,21600">
            <v:path/>
            <v:fill on="f" focussize="0,0"/>
            <v:stroke on="f" joinstyle="miter"/>
            <v:imagedata r:id="rId18" o:title=""/>
            <o:lock v:ext="edit" aspectratio="t"/>
            <w10:wrap type="none"/>
            <w10:anchorlock/>
          </v:shape>
          <o:OLEObject Type="Embed" ProgID="Equation.3" ShapeID="_x0000_i1025" DrawAspect="Content" ObjectID="_1468075725" r:id="rId17">
            <o:LockedField>false</o:LockedField>
          </o:OLEObject>
        </w:objec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center"/>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object>
          <v:shape id="_x0000_i1026" o:spt="75" type="#_x0000_t75" style="height:30.75pt;width:66.75pt;" o:ole="t" filled="f" o:preferrelative="t" stroked="f" coordsize="21600,21600">
            <v:path/>
            <v:fill on="f" focussize="0,0"/>
            <v:stroke on="f" joinstyle="miter"/>
            <v:imagedata r:id="rId20" o:title=""/>
            <o:lock v:ext="edit" aspectratio="t"/>
            <w10:wrap type="none"/>
            <w10:anchorlock/>
          </v:shape>
          <o:OLEObject Type="Embed" ProgID="Equation.3" ShapeID="_x0000_i1026" DrawAspect="Content" ObjectID="_1468075726" r:id="rId19">
            <o:LockedField>false</o:LockedField>
          </o:OLEObject>
        </w:objec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式中，Qm——设计洪峰流量（</w:t>
      </w:r>
      <w:bookmarkStart w:id="80" w:name="OLE_LINK25"/>
      <w:r>
        <w:rPr>
          <w:rFonts w:hint="default" w:ascii="Times New Roman" w:hAnsi="Times New Roman" w:cs="Times New Roman" w:eastAsiaTheme="minorEastAsia"/>
          <w:sz w:val="24"/>
          <w:szCs w:val="24"/>
          <w:lang w:val="en-US" w:eastAsia="zh-CN"/>
        </w:rPr>
        <w:t>m</w:t>
      </w:r>
      <w:r>
        <w:rPr>
          <w:rFonts w:hint="default" w:ascii="Times New Roman" w:hAnsi="Times New Roman" w:cs="Times New Roman" w:eastAsiaTheme="minorEastAsia"/>
          <w:sz w:val="24"/>
          <w:szCs w:val="24"/>
          <w:vertAlign w:val="superscript"/>
          <w:lang w:val="en-US" w:eastAsia="zh-CN"/>
        </w:rPr>
        <w:t>3</w:t>
      </w:r>
      <w:r>
        <w:rPr>
          <w:rFonts w:hint="default" w:ascii="Times New Roman" w:hAnsi="Times New Roman" w:cs="Times New Roman" w:eastAsiaTheme="minorEastAsia"/>
          <w:sz w:val="24"/>
          <w:szCs w:val="24"/>
          <w:lang w:val="en-US" w:eastAsia="zh-CN"/>
        </w:rPr>
        <w:t>/s</w:t>
      </w:r>
      <w:bookmarkEnd w:id="80"/>
      <w:r>
        <w:rPr>
          <w:rFonts w:hint="default" w:ascii="Times New Roman" w:hAnsi="Times New Roman"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Sp——相应频率P的设计暴雨雨力；</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np——相应频率P的暴雨递减指数；</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object>
          <v:shape id="_x0000_i1027" o:spt="75" type="#_x0000_t75" style="height:11.25pt;width:11.25pt;" o:ole="t" filled="f" o:preferrelative="t" stroked="f" coordsize="21600,21600">
            <v:path/>
            <v:fill on="f" focussize="0,0"/>
            <v:stroke on="f" joinstyle="miter"/>
            <v:imagedata r:id="rId22" o:title=""/>
            <o:lock v:ext="edit" aspectratio="t"/>
            <w10:wrap type="none"/>
            <w10:anchorlock/>
          </v:shape>
          <o:OLEObject Type="Embed" ProgID="Equation.3" ShapeID="_x0000_i1027" DrawAspect="Content" ObjectID="_1468075727" r:id="rId21">
            <o:LockedField>false</o:LockedField>
          </o:OLEObject>
        </w:object>
      </w:r>
      <w:r>
        <w:rPr>
          <w:rFonts w:hint="default" w:ascii="Times New Roman" w:hAnsi="Times New Roman" w:cs="Times New Roman" w:eastAsiaTheme="minorEastAsia"/>
          <w:sz w:val="24"/>
          <w:szCs w:val="24"/>
          <w:lang w:val="en-US" w:eastAsia="zh-CN"/>
        </w:rPr>
        <w:t>——汇流历时（小时）；</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F——集雨面积（km</w:t>
      </w:r>
      <w:r>
        <w:rPr>
          <w:rFonts w:hint="default" w:ascii="Times New Roman" w:hAnsi="Times New Roman" w:cs="Times New Roman" w:eastAsiaTheme="minorEastAsia"/>
          <w:sz w:val="24"/>
          <w:szCs w:val="24"/>
          <w:vertAlign w:val="superscript"/>
          <w:lang w:val="en-US" w:eastAsia="zh-CN"/>
        </w:rPr>
        <w:t>2</w:t>
      </w:r>
      <w:r>
        <w:rPr>
          <w:rFonts w:hint="default" w:ascii="Times New Roman" w:hAnsi="Times New Roman"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L——河涌长度（km）；</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object>
          <v:shape id="_x0000_i1028" o:spt="75" type="#_x0000_t75" style="height:15.75pt;width:11.25pt;" o:ole="t" filled="f" o:preferrelative="t" stroked="f" coordsize="21600,21600">
            <v:path/>
            <v:fill on="f" focussize="0,0"/>
            <v:stroke on="f" joinstyle="miter"/>
            <v:imagedata r:id="rId24" o:title=""/>
            <o:lock v:ext="edit" aspectratio="t"/>
            <w10:wrap type="none"/>
            <w10:anchorlock/>
          </v:shape>
          <o:OLEObject Type="Embed" ProgID="Equation.3" ShapeID="_x0000_i1028" DrawAspect="Content" ObjectID="_1468075728" r:id="rId23">
            <o:LockedField>false</o:LockedField>
          </o:OLEObject>
        </w:object>
      </w:r>
      <w:r>
        <w:rPr>
          <w:rFonts w:hint="default" w:ascii="Times New Roman" w:hAnsi="Times New Roman" w:cs="Times New Roman" w:eastAsiaTheme="minorEastAsia"/>
          <w:sz w:val="24"/>
          <w:szCs w:val="24"/>
          <w:lang w:val="en-US" w:eastAsia="zh-CN"/>
        </w:rPr>
        <w:t>——平均后损率（mm/h）；</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m——汇流参数；</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J——河涌比降。</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b）综合单位线法</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综合单位线法是通过对瞬时单位线方法的深入研究分析，汲取国内外经验，结合广东省实际，提出的适合广东省特点的综合单位线方法。工程位于《广东省暴雨径流查算图表》分区的Ⅶ珠江三角洲分区，Ⅶ1珠江三角洲亚区，采用以下参数：</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①珠江三角洲设计雨型；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②暴雨低区的αt～t～F关系图；</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③粤东沿海、珠江三角洲的产流参数；</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④广东省综合单位线法滞时m1～θ关系图中的大陆低区线（B线）；</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⑤采用广东省综合单位线Ⅱ号无因次单位线。</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综合单位线m1～θ采用大陆低区成果（B区）的无因次单位线Ⅱ型线。</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（2）计算结果</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经计算，</w:t>
      </w:r>
      <w:r>
        <w:rPr>
          <w:rFonts w:hint="eastAsia" w:cs="Times New Roman" w:eastAsiaTheme="minorEastAsia"/>
          <w:color w:val="auto"/>
          <w:sz w:val="24"/>
          <w:szCs w:val="24"/>
          <w:lang w:val="en-US" w:eastAsia="zh-CN"/>
        </w:rPr>
        <w:t>大蕴涌流域</w:t>
      </w:r>
      <w:r>
        <w:rPr>
          <w:rFonts w:hint="default" w:ascii="Times New Roman" w:hAnsi="Times New Roman" w:cs="Times New Roman" w:eastAsiaTheme="minorEastAsia"/>
          <w:sz w:val="24"/>
          <w:szCs w:val="24"/>
          <w:lang w:val="en-US" w:eastAsia="zh-CN"/>
        </w:rPr>
        <w:t>各频率设计洪水见表2.5-4。</w:t>
      </w:r>
    </w:p>
    <w:p>
      <w:pPr>
        <w:rPr>
          <w:rFonts w:hint="eastAsia"/>
          <w:lang w:val="en-US" w:eastAsia="zh-CN"/>
        </w:rPr>
      </w:pPr>
      <w:r>
        <w:rPr>
          <w:rFonts w:hint="eastAsia"/>
          <w:lang w:val="en-US" w:eastAsia="zh-CN"/>
        </w:rPr>
        <w:br w:type="page"/>
      </w:r>
    </w:p>
    <w:p>
      <w:pPr>
        <w:pStyle w:val="250"/>
        <w:bidi w:val="0"/>
        <w:rPr>
          <w:rFonts w:hint="eastAsia"/>
          <w:lang w:val="en-US" w:eastAsia="zh-CN"/>
        </w:rPr>
      </w:pPr>
      <w:r>
        <w:rPr>
          <w:rFonts w:hint="eastAsia"/>
          <w:lang w:val="en-US" w:eastAsia="zh-CN"/>
        </w:rPr>
        <w:t>表2.5-4   大蕴涌洪水计算成果表</w:t>
      </w:r>
    </w:p>
    <w:tbl>
      <w:tblPr>
        <w:tblStyle w:val="44"/>
        <w:tblW w:w="499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205"/>
        <w:gridCol w:w="1752"/>
        <w:gridCol w:w="1369"/>
        <w:gridCol w:w="2280"/>
        <w:gridCol w:w="224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49" w:hRule="atLeast"/>
          <w:jc w:val="center"/>
        </w:trPr>
        <w:tc>
          <w:tcPr>
            <w:tcW w:w="681"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r>
              <w:rPr>
                <w:rFonts w:hint="default" w:ascii="Times New Roman" w:hAnsi="Times New Roman" w:cs="Times New Roman" w:eastAsiaTheme="minorEastAsia"/>
                <w:smallCaps w:val="0"/>
                <w:spacing w:val="6"/>
                <w:kern w:val="2"/>
                <w:highlight w:val="none"/>
                <w:lang w:val="zh-CN" w:eastAsia="zh-CN"/>
              </w:rPr>
              <w:t>名称</w:t>
            </w:r>
          </w:p>
        </w:tc>
        <w:tc>
          <w:tcPr>
            <w:tcW w:w="989"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r>
              <w:rPr>
                <w:rFonts w:hint="default" w:ascii="Times New Roman" w:hAnsi="Times New Roman" w:cs="Times New Roman" w:eastAsiaTheme="minorEastAsia"/>
                <w:smallCaps w:val="0"/>
                <w:spacing w:val="6"/>
                <w:kern w:val="2"/>
                <w:highlight w:val="none"/>
                <w:lang w:val="zh-CN" w:eastAsia="zh-CN"/>
              </w:rPr>
              <w:t>集雨面积</w:t>
            </w:r>
          </w:p>
          <w:p>
            <w:pPr>
              <w:pStyle w:val="54"/>
              <w:bidi w:val="0"/>
              <w:jc w:val="center"/>
              <w:rPr>
                <w:rFonts w:hint="default" w:ascii="Times New Roman" w:hAnsi="Times New Roman" w:cs="Times New Roman" w:eastAsiaTheme="minorEastAsia"/>
                <w:smallCaps w:val="0"/>
                <w:spacing w:val="6"/>
                <w:kern w:val="2"/>
                <w:highlight w:val="none"/>
                <w:lang w:val="zh-CN" w:eastAsia="zh-CN"/>
              </w:rPr>
            </w:pPr>
            <w:r>
              <w:rPr>
                <w:rFonts w:hint="default" w:ascii="Times New Roman" w:hAnsi="Times New Roman" w:cs="Times New Roman" w:eastAsiaTheme="minorEastAsia"/>
                <w:smallCaps w:val="0"/>
                <w:spacing w:val="6"/>
                <w:kern w:val="2"/>
                <w:highlight w:val="none"/>
                <w:lang w:val="zh-CN" w:eastAsia="zh-CN"/>
              </w:rPr>
              <w:t>（km</w:t>
            </w:r>
            <w:r>
              <w:rPr>
                <w:rFonts w:hint="default" w:ascii="Times New Roman" w:hAnsi="Times New Roman" w:cs="Times New Roman" w:eastAsiaTheme="minorEastAsia"/>
                <w:smallCaps w:val="0"/>
                <w:spacing w:val="6"/>
                <w:kern w:val="2"/>
                <w:highlight w:val="none"/>
                <w:vertAlign w:val="superscript"/>
                <w:lang w:val="zh-CN" w:eastAsia="zh-CN"/>
              </w:rPr>
              <w:t>2</w:t>
            </w:r>
            <w:r>
              <w:rPr>
                <w:rFonts w:hint="default" w:ascii="Times New Roman" w:hAnsi="Times New Roman" w:cs="Times New Roman" w:eastAsiaTheme="minorEastAsia"/>
                <w:smallCaps w:val="0"/>
                <w:spacing w:val="6"/>
                <w:kern w:val="2"/>
                <w:highlight w:val="none"/>
                <w:lang w:val="zh-CN" w:eastAsia="zh-CN"/>
              </w:rPr>
              <w:t>）</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r>
              <w:rPr>
                <w:rFonts w:hint="default" w:ascii="Times New Roman" w:hAnsi="Times New Roman" w:cs="Times New Roman" w:eastAsiaTheme="minorEastAsia"/>
                <w:smallCaps w:val="0"/>
                <w:spacing w:val="6"/>
                <w:kern w:val="2"/>
                <w:highlight w:val="none"/>
                <w:lang w:val="zh-CN" w:eastAsia="zh-CN"/>
              </w:rPr>
              <w:t>河长</w:t>
            </w:r>
          </w:p>
          <w:p>
            <w:pPr>
              <w:pStyle w:val="54"/>
              <w:bidi w:val="0"/>
              <w:jc w:val="center"/>
              <w:rPr>
                <w:rFonts w:hint="default" w:ascii="Times New Roman" w:hAnsi="Times New Roman" w:cs="Times New Roman" w:eastAsiaTheme="minorEastAsia"/>
                <w:smallCaps w:val="0"/>
                <w:spacing w:val="6"/>
                <w:kern w:val="2"/>
                <w:highlight w:val="none"/>
                <w:lang w:val="zh-CN" w:eastAsia="zh-CN"/>
              </w:rPr>
            </w:pPr>
            <w:r>
              <w:rPr>
                <w:rFonts w:hint="default" w:ascii="Times New Roman" w:hAnsi="Times New Roman" w:cs="Times New Roman" w:eastAsiaTheme="minorEastAsia"/>
                <w:smallCaps w:val="0"/>
                <w:spacing w:val="6"/>
                <w:kern w:val="2"/>
                <w:highlight w:val="none"/>
                <w:lang w:val="zh-CN" w:eastAsia="zh-CN"/>
              </w:rPr>
              <w:t>（km）</w:t>
            </w:r>
          </w:p>
        </w:tc>
        <w:tc>
          <w:tcPr>
            <w:tcW w:w="1287"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r>
              <w:rPr>
                <w:rFonts w:hint="default" w:ascii="Times New Roman" w:hAnsi="Times New Roman" w:cs="Times New Roman" w:eastAsiaTheme="minorEastAsia"/>
                <w:smallCaps w:val="0"/>
                <w:spacing w:val="6"/>
                <w:kern w:val="2"/>
                <w:highlight w:val="none"/>
                <w:lang w:val="zh-CN" w:eastAsia="zh-CN"/>
              </w:rPr>
              <w:t>计算方法</w:t>
            </w:r>
          </w:p>
        </w:tc>
        <w:tc>
          <w:tcPr>
            <w:tcW w:w="1268"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r>
              <w:rPr>
                <w:rFonts w:hint="default" w:ascii="Times New Roman" w:hAnsi="Times New Roman" w:cs="Times New Roman" w:eastAsiaTheme="minorEastAsia"/>
                <w:smallCaps w:val="0"/>
                <w:spacing w:val="6"/>
                <w:kern w:val="2"/>
                <w:highlight w:val="none"/>
                <w:lang w:val="zh-CN" w:eastAsia="zh-CN"/>
              </w:rPr>
              <w:t>Q（m³/s）</w:t>
            </w:r>
          </w:p>
          <w:p>
            <w:pPr>
              <w:pStyle w:val="54"/>
              <w:bidi w:val="0"/>
              <w:jc w:val="center"/>
              <w:rPr>
                <w:rFonts w:hint="default" w:ascii="Times New Roman" w:hAnsi="Times New Roman" w:cs="Times New Roman" w:eastAsiaTheme="minorEastAsia"/>
                <w:smallCaps w:val="0"/>
                <w:spacing w:val="6"/>
                <w:kern w:val="2"/>
                <w:highlight w:val="none"/>
                <w:lang w:val="zh-CN" w:eastAsia="zh-CN"/>
              </w:rPr>
            </w:pPr>
            <w:r>
              <w:rPr>
                <w:rFonts w:hint="default" w:ascii="Times New Roman" w:hAnsi="Times New Roman" w:cs="Times New Roman" w:eastAsiaTheme="minorEastAsia"/>
                <w:smallCaps w:val="0"/>
                <w:spacing w:val="6"/>
                <w:kern w:val="2"/>
                <w:highlight w:val="none"/>
                <w:lang w:val="zh-CN" w:eastAsia="zh-CN"/>
              </w:rPr>
              <w:t>P=5%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681" w:type="pct"/>
            <w:vMerge w:val="restar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en-US" w:eastAsia="zh-CN"/>
              </w:rPr>
            </w:pPr>
            <w:r>
              <w:rPr>
                <w:rFonts w:hint="eastAsia" w:cs="Times New Roman" w:eastAsiaTheme="minorEastAsia"/>
                <w:smallCaps w:val="0"/>
                <w:spacing w:val="6"/>
                <w:kern w:val="2"/>
                <w:highlight w:val="none"/>
                <w:lang w:val="en-US" w:eastAsia="zh-CN"/>
              </w:rPr>
              <w:t>大蕴涌</w:t>
            </w:r>
          </w:p>
        </w:tc>
        <w:tc>
          <w:tcPr>
            <w:tcW w:w="989" w:type="pct"/>
            <w:vMerge w:val="restar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en-US" w:eastAsia="zh-CN"/>
              </w:rPr>
            </w:pPr>
            <w:r>
              <w:rPr>
                <w:rFonts w:hint="eastAsia" w:cs="Times New Roman" w:eastAsiaTheme="minorEastAsia"/>
                <w:smallCaps w:val="0"/>
                <w:spacing w:val="6"/>
                <w:kern w:val="2"/>
                <w:highlight w:val="none"/>
                <w:lang w:val="en-US" w:eastAsia="zh-CN"/>
              </w:rPr>
              <w:t>0.77</w:t>
            </w:r>
          </w:p>
        </w:tc>
        <w:tc>
          <w:tcPr>
            <w:tcW w:w="773" w:type="pct"/>
            <w:vMerge w:val="restar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en-US" w:eastAsia="zh-CN"/>
              </w:rPr>
            </w:pPr>
            <w:r>
              <w:rPr>
                <w:rFonts w:hint="eastAsia" w:cs="Times New Roman" w:eastAsiaTheme="minorEastAsia"/>
                <w:smallCaps w:val="0"/>
                <w:spacing w:val="6"/>
                <w:kern w:val="2"/>
                <w:highlight w:val="none"/>
                <w:lang w:val="en-US" w:eastAsia="zh-CN"/>
              </w:rPr>
              <w:t>1.72</w:t>
            </w:r>
          </w:p>
        </w:tc>
        <w:tc>
          <w:tcPr>
            <w:tcW w:w="1287"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r>
              <w:rPr>
                <w:rFonts w:hint="default" w:ascii="Times New Roman" w:hAnsi="Times New Roman" w:cs="Times New Roman" w:eastAsiaTheme="minorEastAsia"/>
                <w:smallCaps w:val="0"/>
                <w:spacing w:val="6"/>
                <w:kern w:val="2"/>
                <w:highlight w:val="none"/>
                <w:lang w:val="zh-CN" w:eastAsia="zh-CN"/>
              </w:rPr>
              <w:t>推理公式法</w:t>
            </w:r>
          </w:p>
        </w:tc>
        <w:tc>
          <w:tcPr>
            <w:tcW w:w="1268"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en-US" w:eastAsia="zh-CN"/>
              </w:rPr>
            </w:pPr>
            <w:r>
              <w:rPr>
                <w:rFonts w:hint="eastAsia" w:cs="Times New Roman" w:eastAsiaTheme="minorEastAsia"/>
                <w:smallCaps w:val="0"/>
                <w:spacing w:val="6"/>
                <w:kern w:val="2"/>
                <w:highlight w:val="none"/>
                <w:lang w:val="en-US" w:eastAsia="zh-CN"/>
              </w:rPr>
              <w:t>12.86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49" w:hRule="atLeast"/>
          <w:jc w:val="center"/>
        </w:trPr>
        <w:tc>
          <w:tcPr>
            <w:tcW w:w="681" w:type="pct"/>
            <w:vMerge w:val="continue"/>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p>
        </w:tc>
        <w:tc>
          <w:tcPr>
            <w:tcW w:w="989" w:type="pct"/>
            <w:vMerge w:val="continue"/>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p>
        </w:tc>
        <w:tc>
          <w:tcPr>
            <w:tcW w:w="773" w:type="pct"/>
            <w:vMerge w:val="continue"/>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p>
        </w:tc>
        <w:tc>
          <w:tcPr>
            <w:tcW w:w="1287"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r>
              <w:rPr>
                <w:rFonts w:hint="default" w:ascii="Times New Roman" w:hAnsi="Times New Roman" w:cs="Times New Roman" w:eastAsiaTheme="minorEastAsia"/>
                <w:smallCaps w:val="0"/>
                <w:spacing w:val="6"/>
                <w:kern w:val="2"/>
                <w:highlight w:val="none"/>
                <w:lang w:val="zh-CN" w:eastAsia="zh-CN"/>
              </w:rPr>
              <w:t>综合单位线法</w:t>
            </w:r>
          </w:p>
        </w:tc>
        <w:tc>
          <w:tcPr>
            <w:tcW w:w="1268"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en-US" w:eastAsia="zh-CN"/>
              </w:rPr>
            </w:pPr>
            <w:r>
              <w:rPr>
                <w:rFonts w:hint="eastAsia" w:cs="Times New Roman" w:eastAsiaTheme="minorEastAsia"/>
                <w:smallCaps w:val="0"/>
                <w:spacing w:val="6"/>
                <w:kern w:val="2"/>
                <w:highlight w:val="none"/>
                <w:lang w:val="en-US" w:eastAsia="zh-CN"/>
              </w:rPr>
              <w:t>12.25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49" w:hRule="atLeast"/>
          <w:jc w:val="center"/>
        </w:trPr>
        <w:tc>
          <w:tcPr>
            <w:tcW w:w="681" w:type="pct"/>
            <w:vMerge w:val="continue"/>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p>
        </w:tc>
        <w:tc>
          <w:tcPr>
            <w:tcW w:w="989" w:type="pct"/>
            <w:vMerge w:val="continue"/>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p>
        </w:tc>
        <w:tc>
          <w:tcPr>
            <w:tcW w:w="773" w:type="pct"/>
            <w:vMerge w:val="continue"/>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p>
        </w:tc>
        <w:tc>
          <w:tcPr>
            <w:tcW w:w="1287"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r>
              <w:rPr>
                <w:rFonts w:hint="default" w:ascii="Times New Roman" w:hAnsi="Times New Roman" w:cs="Times New Roman" w:eastAsiaTheme="minorEastAsia"/>
                <w:smallCaps w:val="0"/>
                <w:spacing w:val="6"/>
                <w:kern w:val="2"/>
                <w:highlight w:val="none"/>
                <w:lang w:val="zh-CN" w:eastAsia="zh-CN"/>
              </w:rPr>
              <w:t>差值</w:t>
            </w:r>
          </w:p>
        </w:tc>
        <w:tc>
          <w:tcPr>
            <w:tcW w:w="1268" w:type="pct"/>
            <w:tcBorders>
              <w:top w:val="single" w:color="auto" w:sz="4" w:space="0"/>
              <w:left w:val="single" w:color="auto" w:sz="4" w:space="0"/>
              <w:bottom w:val="single" w:color="auto" w:sz="4" w:space="0"/>
              <w:right w:val="single" w:color="auto" w:sz="4" w:space="0"/>
            </w:tcBorders>
            <w:vAlign w:val="center"/>
          </w:tcPr>
          <w:p>
            <w:pPr>
              <w:pStyle w:val="54"/>
              <w:bidi w:val="0"/>
              <w:jc w:val="center"/>
              <w:rPr>
                <w:rFonts w:hint="default" w:ascii="Times New Roman" w:hAnsi="Times New Roman" w:cs="Times New Roman" w:eastAsiaTheme="minorEastAsia"/>
                <w:smallCaps w:val="0"/>
                <w:spacing w:val="6"/>
                <w:kern w:val="2"/>
                <w:highlight w:val="none"/>
                <w:lang w:val="zh-CN" w:eastAsia="zh-CN"/>
              </w:rPr>
            </w:pPr>
            <w:r>
              <w:rPr>
                <w:rFonts w:hint="eastAsia" w:cs="Times New Roman" w:eastAsiaTheme="minorEastAsia"/>
                <w:smallCaps w:val="0"/>
                <w:spacing w:val="6"/>
                <w:kern w:val="2"/>
                <w:highlight w:val="none"/>
                <w:lang w:val="en-US" w:eastAsia="zh-CN"/>
              </w:rPr>
              <w:t>4.72</w:t>
            </w:r>
            <w:r>
              <w:rPr>
                <w:rFonts w:hint="default" w:ascii="Times New Roman" w:hAnsi="Times New Roman" w:cs="Times New Roman" w:eastAsiaTheme="minorEastAsia"/>
                <w:smallCaps w:val="0"/>
                <w:spacing w:val="6"/>
                <w:kern w:val="2"/>
                <w:highlight w:val="none"/>
                <w:lang w:val="zh-CN" w:eastAsia="zh-CN"/>
              </w:rPr>
              <w:t>%</w:t>
            </w:r>
          </w:p>
        </w:tc>
      </w:tr>
    </w:tbl>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根据广东省相关规定和类似工程经验，当采用推理公式法和综合单位线法两种方法的设计洪峰流量相差不超过20%时，原则上应采用广东省综合单位线法的设计洪水成果。</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因此，</w:t>
      </w:r>
      <w:r>
        <w:rPr>
          <w:rFonts w:hint="eastAsia" w:cs="Times New Roman" w:eastAsiaTheme="minorEastAsia"/>
          <w:sz w:val="24"/>
          <w:szCs w:val="24"/>
          <w:lang w:val="en-US" w:eastAsia="zh-CN"/>
        </w:rPr>
        <w:t>大蕴涌</w:t>
      </w:r>
      <w:r>
        <w:rPr>
          <w:rFonts w:hint="default" w:ascii="Times New Roman" w:hAnsi="Times New Roman" w:cs="Times New Roman" w:eastAsiaTheme="minorEastAsia"/>
          <w:sz w:val="24"/>
          <w:szCs w:val="24"/>
          <w:lang w:val="en-US" w:eastAsia="zh-CN"/>
        </w:rPr>
        <w:t>设计频率（P=5%）洪水洪峰流量为</w:t>
      </w:r>
      <w:r>
        <w:rPr>
          <w:rFonts w:hint="eastAsia" w:cs="Times New Roman" w:eastAsiaTheme="minorEastAsia"/>
          <w:sz w:val="24"/>
          <w:szCs w:val="24"/>
          <w:highlight w:val="none"/>
          <w:lang w:val="en-US" w:eastAsia="zh-CN"/>
        </w:rPr>
        <w:t>12.25</w:t>
      </w:r>
      <w:r>
        <w:rPr>
          <w:rFonts w:hint="default" w:ascii="Times New Roman" w:hAnsi="Times New Roman" w:cs="Times New Roman" w:eastAsiaTheme="minorEastAsia"/>
          <w:sz w:val="24"/>
          <w:szCs w:val="24"/>
          <w:highlight w:val="none"/>
          <w:lang w:val="en-US" w:eastAsia="zh-CN"/>
        </w:rPr>
        <w:t>m</w:t>
      </w:r>
      <w:r>
        <w:rPr>
          <w:rFonts w:hint="default" w:ascii="Times New Roman" w:hAnsi="Times New Roman" w:cs="Times New Roman" w:eastAsiaTheme="minorEastAsia"/>
          <w:sz w:val="24"/>
          <w:szCs w:val="24"/>
          <w:highlight w:val="none"/>
          <w:vertAlign w:val="superscript"/>
          <w:lang w:val="en-US" w:eastAsia="zh-CN"/>
        </w:rPr>
        <w:t>3</w:t>
      </w:r>
      <w:r>
        <w:rPr>
          <w:rFonts w:hint="default" w:ascii="Times New Roman" w:hAnsi="Times New Roman" w:cs="Times New Roman" w:eastAsiaTheme="minorEastAsia"/>
          <w:sz w:val="24"/>
          <w:szCs w:val="24"/>
          <w:highlight w:val="none"/>
          <w:lang w:val="en-US" w:eastAsia="zh-CN"/>
        </w:rPr>
        <w:t>/s</w:t>
      </w:r>
      <w:r>
        <w:rPr>
          <w:rFonts w:hint="default" w:ascii="Times New Roman" w:hAnsi="Times New Roman" w:cs="Times New Roman" w:eastAsiaTheme="minorEastAsia"/>
          <w:sz w:val="24"/>
          <w:szCs w:val="24"/>
          <w:lang w:val="en-US" w:eastAsia="zh-CN"/>
        </w:rPr>
        <w:t>，设计洪水过程线见图</w:t>
      </w:r>
      <w:r>
        <w:rPr>
          <w:rFonts w:hint="eastAsia" w:ascii="Times New Roman" w:hAnsi="Times New Roman" w:cs="Times New Roman" w:eastAsiaTheme="minorEastAsia"/>
          <w:sz w:val="24"/>
          <w:szCs w:val="24"/>
          <w:lang w:val="en-US" w:eastAsia="zh-CN"/>
        </w:rPr>
        <w:t>2.5-1</w:t>
      </w:r>
      <w:r>
        <w:rPr>
          <w:rFonts w:hint="eastAsia" w:cs="Times New Roman" w:eastAsiaTheme="minorEastAsia"/>
          <w:sz w:val="24"/>
          <w:szCs w:val="24"/>
          <w:lang w:val="en-US" w:eastAsia="zh-CN"/>
        </w:rPr>
        <w:t>。</w:t>
      </w:r>
    </w:p>
    <w:p>
      <w:pPr>
        <w:pStyle w:val="2"/>
        <w:rPr>
          <w:rFonts w:hint="eastAsia"/>
          <w:lang w:val="en-US" w:eastAsia="zh-CN"/>
        </w:rPr>
      </w:pPr>
      <w:r>
        <w:drawing>
          <wp:inline distT="0" distB="0" distL="114300" distR="114300">
            <wp:extent cx="5758180" cy="4425950"/>
            <wp:effectExtent l="4445" t="4445" r="9525" b="8255"/>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pPr>
        <w:pStyle w:val="250"/>
        <w:bidi w:val="0"/>
        <w:rPr>
          <w:rFonts w:hint="eastAsia"/>
          <w:color w:val="auto"/>
          <w:lang w:val="en-US" w:eastAsia="zh-CN"/>
        </w:rPr>
      </w:pPr>
      <w:r>
        <w:rPr>
          <w:rFonts w:hint="eastAsia"/>
          <w:color w:val="auto"/>
          <w:lang w:val="en-US" w:eastAsia="zh-CN"/>
        </w:rPr>
        <w:t>图2.5-1   大蕴涌设计洪水过程线（P=5%）</w:t>
      </w:r>
    </w:p>
    <w:p>
      <w:pPr>
        <w:pStyle w:val="5"/>
        <w:bidi w:val="0"/>
        <w:ind w:left="720" w:leftChars="0" w:hanging="720" w:firstLineChars="0"/>
        <w:rPr>
          <w:rFonts w:hint="eastAsia"/>
          <w:lang w:val="en-US" w:eastAsia="zh-CN"/>
        </w:rPr>
      </w:pPr>
      <w:bookmarkStart w:id="81" w:name="_Toc5801"/>
      <w:r>
        <w:rPr>
          <w:rFonts w:hint="eastAsia"/>
          <w:lang w:val="en-US" w:eastAsia="zh-CN"/>
        </w:rPr>
        <w:t>施工期洪水</w:t>
      </w:r>
      <w:bookmarkEnd w:id="81"/>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施工期按</w:t>
      </w:r>
      <w:r>
        <w:rPr>
          <w:rFonts w:hint="eastAsia" w:ascii="Times New Roman" w:hAnsi="Times New Roman" w:cs="Times New Roman" w:eastAsiaTheme="minorEastAsia"/>
          <w:sz w:val="24"/>
          <w:szCs w:val="24"/>
          <w:lang w:val="en-US" w:eastAsia="zh-CN"/>
        </w:rPr>
        <w:t>全年度考虑</w:t>
      </w:r>
      <w:r>
        <w:rPr>
          <w:rFonts w:hint="default" w:ascii="Times New Roman" w:hAnsi="Times New Roman" w:cs="Times New Roman" w:eastAsiaTheme="minorEastAsia"/>
          <w:sz w:val="24"/>
          <w:szCs w:val="24"/>
          <w:lang w:val="en-US" w:eastAsia="zh-CN"/>
        </w:rPr>
        <w:t>。由于本项目所在地无实测暴雨资料，故暴雨参数采用《广东省暴雨径流查算图表》成果</w:t>
      </w:r>
      <w:r>
        <w:rPr>
          <w:rFonts w:hint="eastAsia" w:ascii="Times New Roman" w:hAnsi="Times New Roman" w:cs="Times New Roman" w:eastAsiaTheme="minorEastAsia"/>
          <w:sz w:val="24"/>
          <w:szCs w:val="24"/>
          <w:lang w:val="en-US" w:eastAsia="zh-CN"/>
        </w:rPr>
        <w:t>，详表2.5-</w:t>
      </w:r>
      <w:r>
        <w:rPr>
          <w:rFonts w:hint="eastAsia" w:cs="Times New Roman" w:eastAsiaTheme="minorEastAsia"/>
          <w:sz w:val="24"/>
          <w:szCs w:val="24"/>
          <w:lang w:val="en-US" w:eastAsia="zh-CN"/>
        </w:rPr>
        <w:t>4</w:t>
      </w:r>
      <w:r>
        <w:rPr>
          <w:rFonts w:hint="default" w:ascii="Times New Roman" w:hAnsi="Times New Roman"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施工期洪水采用5年一遇，成果见表2.5-</w:t>
      </w:r>
      <w:r>
        <w:rPr>
          <w:rFonts w:hint="eastAsia" w:cs="Times New Roman" w:eastAsiaTheme="minorEastAsia"/>
          <w:sz w:val="24"/>
          <w:szCs w:val="24"/>
          <w:lang w:val="en-US" w:eastAsia="zh-CN"/>
        </w:rPr>
        <w:t>5</w:t>
      </w:r>
      <w:r>
        <w:rPr>
          <w:rFonts w:hint="eastAsia" w:ascii="Times New Roman" w:hAnsi="Times New Roman" w:cs="Times New Roman" w:eastAsiaTheme="minorEastAsia"/>
          <w:sz w:val="24"/>
          <w:szCs w:val="24"/>
          <w:lang w:val="en-US" w:eastAsia="zh-CN"/>
        </w:rPr>
        <w:t>。</w:t>
      </w:r>
    </w:p>
    <w:p>
      <w:pPr>
        <w:pStyle w:val="250"/>
        <w:bidi w:val="0"/>
        <w:rPr>
          <w:rFonts w:hint="default"/>
          <w:lang w:val="en-US" w:eastAsia="zh-CN"/>
        </w:rPr>
      </w:pPr>
      <w:r>
        <w:rPr>
          <w:rFonts w:hint="default"/>
          <w:lang w:val="en-US" w:eastAsia="zh-CN"/>
        </w:rPr>
        <w:t>表</w:t>
      </w:r>
      <w:r>
        <w:rPr>
          <w:rFonts w:hint="eastAsia"/>
          <w:lang w:val="en-US" w:eastAsia="zh-CN"/>
        </w:rPr>
        <w:t>2.5-5   大蕴涌</w:t>
      </w:r>
      <w:r>
        <w:rPr>
          <w:rFonts w:hint="default"/>
          <w:lang w:val="en-US" w:eastAsia="zh-CN"/>
        </w:rPr>
        <w:t>施工期洪水计算成果表</w:t>
      </w:r>
    </w:p>
    <w:tbl>
      <w:tblPr>
        <w:tblStyle w:val="44"/>
        <w:tblW w:w="499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2617"/>
        <w:gridCol w:w="3039"/>
        <w:gridCol w:w="319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49" w:hRule="atLeast"/>
          <w:jc w:val="center"/>
        </w:trPr>
        <w:tc>
          <w:tcPr>
            <w:tcW w:w="1478"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smallCaps w:val="0"/>
                <w:color w:val="auto"/>
                <w:spacing w:val="6"/>
                <w:kern w:val="2"/>
                <w:lang w:val="en-US" w:eastAsia="zh-CN"/>
              </w:rPr>
            </w:pPr>
            <w:r>
              <w:rPr>
                <w:rFonts w:hint="default"/>
                <w:smallCaps w:val="0"/>
                <w:color w:val="auto"/>
                <w:spacing w:val="6"/>
                <w:kern w:val="2"/>
                <w:lang w:val="en-US" w:eastAsia="zh-CN"/>
              </w:rPr>
              <w:t>名称</w:t>
            </w:r>
          </w:p>
        </w:tc>
        <w:tc>
          <w:tcPr>
            <w:tcW w:w="1716"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smallCaps w:val="0"/>
                <w:color w:val="auto"/>
                <w:spacing w:val="6"/>
                <w:kern w:val="2"/>
                <w:lang w:val="en-US" w:eastAsia="zh-CN"/>
              </w:rPr>
            </w:pPr>
            <w:r>
              <w:rPr>
                <w:rFonts w:hint="default"/>
                <w:smallCaps w:val="0"/>
                <w:color w:val="auto"/>
                <w:spacing w:val="6"/>
                <w:kern w:val="2"/>
                <w:lang w:val="en-US" w:eastAsia="zh-CN"/>
              </w:rPr>
              <w:t>集雨面积</w:t>
            </w:r>
          </w:p>
          <w:p>
            <w:pPr>
              <w:pStyle w:val="54"/>
              <w:bidi w:val="0"/>
              <w:rPr>
                <w:rFonts w:hint="default"/>
                <w:smallCaps w:val="0"/>
                <w:color w:val="auto"/>
                <w:spacing w:val="6"/>
                <w:kern w:val="2"/>
                <w:lang w:val="en-US" w:eastAsia="zh-CN"/>
              </w:rPr>
            </w:pPr>
            <w:r>
              <w:rPr>
                <w:rFonts w:hint="default"/>
                <w:smallCaps w:val="0"/>
                <w:color w:val="auto"/>
                <w:spacing w:val="6"/>
                <w:kern w:val="2"/>
                <w:lang w:val="en-US" w:eastAsia="zh-CN"/>
              </w:rPr>
              <w:t>（km</w:t>
            </w:r>
            <w:r>
              <w:rPr>
                <w:rFonts w:hint="default"/>
                <w:smallCaps w:val="0"/>
                <w:color w:val="auto"/>
                <w:spacing w:val="6"/>
                <w:kern w:val="2"/>
                <w:vertAlign w:val="superscript"/>
                <w:lang w:val="en-US" w:eastAsia="zh-CN"/>
              </w:rPr>
              <w:t>2</w:t>
            </w:r>
            <w:r>
              <w:rPr>
                <w:rFonts w:hint="default"/>
                <w:smallCaps w:val="0"/>
                <w:color w:val="auto"/>
                <w:spacing w:val="6"/>
                <w:kern w:val="2"/>
                <w:lang w:val="en-US" w:eastAsia="zh-CN"/>
              </w:rPr>
              <w:t>）</w:t>
            </w:r>
          </w:p>
        </w:tc>
        <w:tc>
          <w:tcPr>
            <w:tcW w:w="1805"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smallCaps w:val="0"/>
                <w:color w:val="auto"/>
                <w:spacing w:val="6"/>
                <w:kern w:val="2"/>
                <w:lang w:val="en-US" w:eastAsia="zh-CN"/>
              </w:rPr>
            </w:pPr>
            <w:r>
              <w:rPr>
                <w:rFonts w:hint="default"/>
                <w:smallCaps w:val="0"/>
                <w:color w:val="auto"/>
                <w:spacing w:val="6"/>
                <w:kern w:val="2"/>
                <w:lang w:val="en-US" w:eastAsia="zh-CN"/>
              </w:rPr>
              <w:t>Q（m</w:t>
            </w:r>
            <w:r>
              <w:rPr>
                <w:rFonts w:hint="eastAsia"/>
                <w:smallCaps w:val="0"/>
                <w:color w:val="auto"/>
                <w:spacing w:val="6"/>
                <w:kern w:val="2"/>
                <w:vertAlign w:val="superscript"/>
                <w:lang w:val="en-US" w:eastAsia="zh-CN"/>
              </w:rPr>
              <w:t>3</w:t>
            </w:r>
            <w:r>
              <w:rPr>
                <w:rFonts w:hint="default"/>
                <w:smallCaps w:val="0"/>
                <w:color w:val="auto"/>
                <w:spacing w:val="6"/>
                <w:kern w:val="2"/>
                <w:lang w:val="en-US" w:eastAsia="zh-CN"/>
              </w:rPr>
              <w:t>/s）</w:t>
            </w:r>
          </w:p>
          <w:p>
            <w:pPr>
              <w:pStyle w:val="54"/>
              <w:bidi w:val="0"/>
              <w:rPr>
                <w:rFonts w:hint="default"/>
                <w:smallCaps w:val="0"/>
                <w:color w:val="auto"/>
                <w:spacing w:val="6"/>
                <w:kern w:val="2"/>
                <w:lang w:val="en-US" w:eastAsia="zh-CN"/>
              </w:rPr>
            </w:pPr>
            <w:r>
              <w:rPr>
                <w:rFonts w:hint="default"/>
                <w:smallCaps w:val="0"/>
                <w:color w:val="auto"/>
                <w:spacing w:val="6"/>
                <w:kern w:val="2"/>
                <w:lang w:val="en-US" w:eastAsia="zh-CN"/>
              </w:rPr>
              <w:t>P=</w:t>
            </w:r>
            <w:r>
              <w:rPr>
                <w:rFonts w:hint="eastAsia"/>
                <w:smallCaps w:val="0"/>
                <w:color w:val="auto"/>
                <w:spacing w:val="6"/>
                <w:kern w:val="2"/>
                <w:lang w:val="en-US" w:eastAsia="zh-CN"/>
              </w:rPr>
              <w:t>20</w:t>
            </w:r>
            <w:r>
              <w:rPr>
                <w:rFonts w:hint="default"/>
                <w:smallCaps w:val="0"/>
                <w:color w:val="auto"/>
                <w:spacing w:val="6"/>
                <w:kern w:val="2"/>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49" w:hRule="atLeast"/>
          <w:jc w:val="center"/>
        </w:trPr>
        <w:tc>
          <w:tcPr>
            <w:tcW w:w="1478"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smallCaps w:val="0"/>
                <w:color w:val="auto"/>
                <w:spacing w:val="6"/>
                <w:kern w:val="2"/>
                <w:lang w:val="en-US" w:eastAsia="zh-CN"/>
              </w:rPr>
            </w:pPr>
            <w:r>
              <w:rPr>
                <w:rFonts w:hint="eastAsia"/>
                <w:smallCaps w:val="0"/>
                <w:color w:val="auto"/>
                <w:spacing w:val="6"/>
                <w:kern w:val="2"/>
                <w:lang w:val="en-US" w:eastAsia="zh-CN"/>
              </w:rPr>
              <w:t>大蕴涌</w:t>
            </w:r>
          </w:p>
        </w:tc>
        <w:tc>
          <w:tcPr>
            <w:tcW w:w="1716"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smallCaps w:val="0"/>
                <w:color w:val="auto"/>
                <w:spacing w:val="6"/>
                <w:kern w:val="2"/>
                <w:lang w:val="en-US" w:eastAsia="zh-CN"/>
              </w:rPr>
            </w:pPr>
            <w:r>
              <w:rPr>
                <w:rFonts w:hint="eastAsia"/>
                <w:smallCaps w:val="0"/>
                <w:color w:val="auto"/>
                <w:spacing w:val="6"/>
                <w:kern w:val="2"/>
                <w:lang w:val="en-US" w:eastAsia="zh-CN"/>
              </w:rPr>
              <w:t>0.77</w:t>
            </w:r>
          </w:p>
        </w:tc>
        <w:tc>
          <w:tcPr>
            <w:tcW w:w="1805"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smallCaps w:val="0"/>
                <w:color w:val="auto"/>
                <w:spacing w:val="6"/>
                <w:kern w:val="2"/>
                <w:lang w:val="en-US" w:eastAsia="zh-CN"/>
              </w:rPr>
            </w:pPr>
            <w:r>
              <w:rPr>
                <w:rFonts w:hint="eastAsia"/>
                <w:smallCaps w:val="0"/>
                <w:color w:val="auto"/>
                <w:spacing w:val="6"/>
                <w:kern w:val="2"/>
                <w:lang w:val="en-US" w:eastAsia="zh-CN"/>
              </w:rPr>
              <w:t>9.06</w:t>
            </w:r>
          </w:p>
        </w:tc>
      </w:tr>
    </w:tbl>
    <w:p>
      <w:pPr>
        <w:pStyle w:val="4"/>
        <w:bidi w:val="0"/>
        <w:ind w:left="575" w:leftChars="0" w:hanging="575" w:firstLineChars="0"/>
        <w:rPr>
          <w:rFonts w:hint="eastAsia"/>
          <w:highlight w:val="none"/>
          <w:lang w:val="en-US" w:eastAsia="zh-CN"/>
        </w:rPr>
      </w:pPr>
      <w:bookmarkStart w:id="82" w:name="_Toc5656"/>
      <w:r>
        <w:rPr>
          <w:rFonts w:hint="eastAsia"/>
          <w:highlight w:val="none"/>
          <w:lang w:val="en-US" w:eastAsia="zh-CN"/>
        </w:rPr>
        <w:t>潮汐</w:t>
      </w:r>
      <w:bookmarkEnd w:id="82"/>
    </w:p>
    <w:p>
      <w:pPr>
        <w:pStyle w:val="5"/>
        <w:bidi w:val="0"/>
        <w:ind w:left="720" w:leftChars="0" w:hanging="720" w:firstLineChars="0"/>
        <w:rPr>
          <w:rFonts w:hint="eastAsia" w:ascii="Times New Roman" w:cs="Times New Roman"/>
          <w:highlight w:val="none"/>
          <w:lang w:val="en-US" w:eastAsia="zh-CN"/>
        </w:rPr>
      </w:pPr>
      <w:bookmarkStart w:id="83" w:name="_Toc6372"/>
      <w:r>
        <w:rPr>
          <w:rFonts w:hint="eastAsia" w:ascii="Times New Roman" w:cs="Times New Roman"/>
          <w:highlight w:val="none"/>
          <w:lang w:val="en-US" w:eastAsia="zh-CN"/>
        </w:rPr>
        <w:t>潮汐特性</w:t>
      </w:r>
      <w:bookmarkEnd w:id="83"/>
    </w:p>
    <w:p>
      <w:pPr>
        <w:ind w:firstLine="480"/>
        <w:rPr>
          <w:highlight w:val="none"/>
        </w:rPr>
      </w:pPr>
      <w:r>
        <w:rPr>
          <w:rFonts w:hint="eastAsia"/>
          <w:highlight w:val="none"/>
        </w:rPr>
        <w:t>珠江河道番禺段受潮汐影响显著，属于不规则半日潮，日潮不等现象显著，一个太阳日一般出现两次高潮和低潮，呈周期性变化，一个高低潮周期约</w:t>
      </w:r>
      <w:r>
        <w:rPr>
          <w:highlight w:val="none"/>
        </w:rPr>
        <w:t>12h25min</w:t>
      </w:r>
      <w:r>
        <w:rPr>
          <w:rFonts w:hint="eastAsia"/>
          <w:highlight w:val="none"/>
        </w:rPr>
        <w:t>，一般早潮大于晚潮，涨潮历时小于落潮历时。通常月大潮和月小潮滞后，即朔、望后二至三天出现大潮，上、下弦后二至三天出现小潮，每十五天为一周期。潮水涨落历时随时空不同，一般涨潮历时冬长夏短，而落潮历时则相反。</w:t>
      </w:r>
    </w:p>
    <w:p>
      <w:pPr>
        <w:ind w:firstLine="480"/>
        <w:rPr>
          <w:highlight w:val="none"/>
        </w:rPr>
      </w:pPr>
      <w:r>
        <w:rPr>
          <w:rFonts w:hint="eastAsia"/>
          <w:highlight w:val="none"/>
        </w:rPr>
        <w:t>本河段受径流和潮汐影响，年最高潮位多出现在汛期，而年最低潮位则多出现在非汛期，平均高、低潮位的年际变化不大，年内变化主要受径流的来量和台风暴潮的影响，通常是汛期潮位高于枯水期潮位。台风暴潮对本区的影响较大，</w:t>
      </w:r>
      <w:r>
        <w:rPr>
          <w:highlight w:val="none"/>
        </w:rPr>
        <w:t>1993</w:t>
      </w:r>
      <w:r>
        <w:rPr>
          <w:rFonts w:hint="eastAsia"/>
          <w:highlight w:val="none"/>
        </w:rPr>
        <w:t>年</w:t>
      </w:r>
      <w:r>
        <w:rPr>
          <w:highlight w:val="none"/>
        </w:rPr>
        <w:t>9</w:t>
      </w:r>
      <w:r>
        <w:rPr>
          <w:rFonts w:hint="eastAsia"/>
          <w:highlight w:val="none"/>
        </w:rPr>
        <w:t>月</w:t>
      </w:r>
      <w:r>
        <w:rPr>
          <w:highlight w:val="none"/>
        </w:rPr>
        <w:t>17</w:t>
      </w:r>
      <w:r>
        <w:rPr>
          <w:rFonts w:hint="eastAsia"/>
          <w:highlight w:val="none"/>
        </w:rPr>
        <w:t>日台风，市桥暴潮水位达2</w:t>
      </w:r>
      <w:r>
        <w:rPr>
          <w:highlight w:val="none"/>
        </w:rPr>
        <w:t>.68m</w:t>
      </w:r>
      <w:r>
        <w:rPr>
          <w:rFonts w:hint="eastAsia"/>
          <w:highlight w:val="none"/>
        </w:rPr>
        <w:t>，三沙口为2</w:t>
      </w:r>
      <w:r>
        <w:rPr>
          <w:highlight w:val="none"/>
        </w:rPr>
        <w:t>.43m</w:t>
      </w:r>
      <w:r>
        <w:rPr>
          <w:rFonts w:hint="eastAsia"/>
          <w:highlight w:val="none"/>
        </w:rPr>
        <w:t>，是1949~1993年以来实测最高潮水位。2018 年9 月16 日，“山竹”台风登陆珠三角，广东沿海水域风暴潮增水2.0-4.0m，珠江广州河道风暴潮平均增水2.8m，导致鸦岗站、黄埔站、中大站、南沙站、大石站、三沙站6 个潮位站的水位创历史最高水位，达3.07-3.27m。广州地区风力达10 级以上，由风暴潮引起的高潮水位增水是主要原因。洪水对上游段潮（洪）水位的影响也较大，</w:t>
      </w:r>
      <w:r>
        <w:rPr>
          <w:highlight w:val="none"/>
        </w:rPr>
        <w:t>1998</w:t>
      </w:r>
      <w:r>
        <w:rPr>
          <w:rFonts w:hint="eastAsia"/>
          <w:highlight w:val="none"/>
        </w:rPr>
        <w:t>年</w:t>
      </w:r>
      <w:r>
        <w:rPr>
          <w:highlight w:val="none"/>
        </w:rPr>
        <w:t>6</w:t>
      </w:r>
      <w:r>
        <w:rPr>
          <w:rFonts w:hint="eastAsia"/>
          <w:highlight w:val="none"/>
        </w:rPr>
        <w:t>月</w:t>
      </w:r>
      <w:r>
        <w:rPr>
          <w:highlight w:val="none"/>
        </w:rPr>
        <w:t>27</w:t>
      </w:r>
      <w:r>
        <w:rPr>
          <w:rFonts w:hint="eastAsia"/>
          <w:highlight w:val="none"/>
        </w:rPr>
        <w:t>日和</w:t>
      </w:r>
      <w:r>
        <w:rPr>
          <w:highlight w:val="none"/>
        </w:rPr>
        <w:t>1994</w:t>
      </w:r>
      <w:r>
        <w:rPr>
          <w:rFonts w:hint="eastAsia"/>
          <w:highlight w:val="none"/>
        </w:rPr>
        <w:t>年</w:t>
      </w:r>
      <w:r>
        <w:rPr>
          <w:highlight w:val="none"/>
        </w:rPr>
        <w:t>6</w:t>
      </w:r>
      <w:r>
        <w:rPr>
          <w:rFonts w:hint="eastAsia"/>
          <w:highlight w:val="none"/>
        </w:rPr>
        <w:t>月</w:t>
      </w:r>
      <w:r>
        <w:rPr>
          <w:highlight w:val="none"/>
        </w:rPr>
        <w:t>20</w:t>
      </w:r>
      <w:r>
        <w:rPr>
          <w:rFonts w:hint="eastAsia"/>
          <w:highlight w:val="none"/>
        </w:rPr>
        <w:t>日，三善</w:t>
      </w:r>
      <w:r>
        <w:rPr>
          <w:rFonts w:hint="eastAsia" w:ascii="宋体" w:hAnsi="宋体" w:cs="宋体"/>
          <w:highlight w:val="none"/>
        </w:rPr>
        <w:t>滘</w:t>
      </w:r>
      <w:r>
        <w:rPr>
          <w:rFonts w:hint="eastAsia" w:hAnsi="仿宋_GB2312" w:cs="仿宋_GB2312"/>
          <w:highlight w:val="none"/>
        </w:rPr>
        <w:t>实测最高潮（洪）水位分别高达</w:t>
      </w:r>
      <w:r>
        <w:rPr>
          <w:rFonts w:hint="eastAsia"/>
          <w:highlight w:val="none"/>
        </w:rPr>
        <w:t>3</w:t>
      </w:r>
      <w:r>
        <w:rPr>
          <w:highlight w:val="none"/>
        </w:rPr>
        <w:t>.99m</w:t>
      </w:r>
      <w:r>
        <w:rPr>
          <w:rFonts w:hint="eastAsia"/>
          <w:highlight w:val="none"/>
        </w:rPr>
        <w:t>和3</w:t>
      </w:r>
      <w:r>
        <w:rPr>
          <w:highlight w:val="none"/>
        </w:rPr>
        <w:t>.78m</w:t>
      </w:r>
      <w:r>
        <w:rPr>
          <w:rFonts w:hint="eastAsia"/>
          <w:highlight w:val="none"/>
        </w:rPr>
        <w:t>，是1949~1998年以来所罕见。</w:t>
      </w:r>
    </w:p>
    <w:p>
      <w:pPr>
        <w:ind w:firstLine="480"/>
        <w:rPr>
          <w:highlight w:val="none"/>
        </w:rPr>
      </w:pPr>
      <w:r>
        <w:rPr>
          <w:rFonts w:hint="eastAsia"/>
          <w:highlight w:val="none"/>
        </w:rPr>
        <w:t>据三善</w:t>
      </w:r>
      <w:r>
        <w:rPr>
          <w:rFonts w:hint="eastAsia" w:ascii="宋体" w:hAnsi="宋体" w:cs="宋体"/>
          <w:highlight w:val="none"/>
        </w:rPr>
        <w:t>滘</w:t>
      </w:r>
      <w:r>
        <w:rPr>
          <w:rFonts w:hint="eastAsia" w:hAnsi="仿宋_GB2312" w:cs="仿宋_GB2312"/>
          <w:highlight w:val="none"/>
        </w:rPr>
        <w:t>（</w:t>
      </w:r>
      <w:r>
        <w:rPr>
          <w:highlight w:val="none"/>
        </w:rPr>
        <w:t>1953</w:t>
      </w:r>
      <w:r>
        <w:rPr>
          <w:rFonts w:hint="eastAsia"/>
          <w:highlight w:val="none"/>
        </w:rPr>
        <w:t>~</w:t>
      </w:r>
      <w:r>
        <w:rPr>
          <w:highlight w:val="none"/>
        </w:rPr>
        <w:t>20</w:t>
      </w:r>
      <w:r>
        <w:rPr>
          <w:rFonts w:hint="eastAsia"/>
          <w:highlight w:val="none"/>
        </w:rPr>
        <w:t>1</w:t>
      </w:r>
      <w:r>
        <w:rPr>
          <w:highlight w:val="none"/>
        </w:rPr>
        <w:t>9</w:t>
      </w:r>
      <w:r>
        <w:rPr>
          <w:rFonts w:hint="eastAsia"/>
          <w:highlight w:val="none"/>
        </w:rPr>
        <w:t>年）、三沙口（</w:t>
      </w:r>
      <w:r>
        <w:rPr>
          <w:highlight w:val="none"/>
        </w:rPr>
        <w:t>1953</w:t>
      </w:r>
      <w:r>
        <w:rPr>
          <w:rFonts w:hint="eastAsia"/>
          <w:highlight w:val="none"/>
        </w:rPr>
        <w:t>~</w:t>
      </w:r>
      <w:r>
        <w:rPr>
          <w:highlight w:val="none"/>
        </w:rPr>
        <w:t>20</w:t>
      </w:r>
      <w:r>
        <w:rPr>
          <w:rFonts w:hint="eastAsia"/>
          <w:highlight w:val="none"/>
        </w:rPr>
        <w:t>1</w:t>
      </w:r>
      <w:r>
        <w:rPr>
          <w:highlight w:val="none"/>
        </w:rPr>
        <w:t>9</w:t>
      </w:r>
      <w:r>
        <w:rPr>
          <w:rFonts w:hint="eastAsia"/>
          <w:highlight w:val="none"/>
        </w:rPr>
        <w:t>年）、黄埔（</w:t>
      </w:r>
      <w:r>
        <w:rPr>
          <w:highlight w:val="none"/>
        </w:rPr>
        <w:t>195</w:t>
      </w:r>
      <w:r>
        <w:rPr>
          <w:rFonts w:hint="eastAsia"/>
          <w:highlight w:val="none"/>
        </w:rPr>
        <w:t>7~</w:t>
      </w:r>
      <w:r>
        <w:rPr>
          <w:highlight w:val="none"/>
        </w:rPr>
        <w:t>2019</w:t>
      </w:r>
      <w:r>
        <w:rPr>
          <w:rFonts w:hint="eastAsia"/>
          <w:highlight w:val="none"/>
        </w:rPr>
        <w:t>年）、大石（1965~201</w:t>
      </w:r>
      <w:r>
        <w:rPr>
          <w:highlight w:val="none"/>
        </w:rPr>
        <w:t>9</w:t>
      </w:r>
      <w:r>
        <w:rPr>
          <w:rFonts w:hint="eastAsia"/>
          <w:highlight w:val="none"/>
        </w:rPr>
        <w:t>年）四站实测资料统计，多年平均最高潮（洪）水位分别为2</w:t>
      </w:r>
      <w:r>
        <w:rPr>
          <w:highlight w:val="none"/>
        </w:rPr>
        <w:t>.49m</w:t>
      </w:r>
      <w:r>
        <w:rPr>
          <w:rFonts w:hint="eastAsia"/>
          <w:highlight w:val="none"/>
        </w:rPr>
        <w:t>、</w:t>
      </w:r>
      <w:r>
        <w:rPr>
          <w:highlight w:val="none"/>
        </w:rPr>
        <w:t>1.94m</w:t>
      </w:r>
      <w:r>
        <w:rPr>
          <w:rFonts w:hint="eastAsia"/>
          <w:highlight w:val="none"/>
        </w:rPr>
        <w:t>、</w:t>
      </w:r>
      <w:r>
        <w:rPr>
          <w:highlight w:val="none"/>
        </w:rPr>
        <w:t>2.02</w:t>
      </w:r>
      <w:r>
        <w:rPr>
          <w:rFonts w:hint="eastAsia"/>
          <w:highlight w:val="none"/>
        </w:rPr>
        <w:t>m和2.</w:t>
      </w:r>
      <w:r>
        <w:rPr>
          <w:highlight w:val="none"/>
        </w:rPr>
        <w:t>23</w:t>
      </w:r>
      <w:r>
        <w:rPr>
          <w:rFonts w:hint="eastAsia"/>
          <w:highlight w:val="none"/>
        </w:rPr>
        <w:t>m，实测最高潮（洪）水位分别为3</w:t>
      </w:r>
      <w:r>
        <w:rPr>
          <w:highlight w:val="none"/>
        </w:rPr>
        <w:t>.99m</w:t>
      </w:r>
      <w:r>
        <w:rPr>
          <w:rFonts w:hint="eastAsia"/>
          <w:highlight w:val="none"/>
        </w:rPr>
        <w:t>、</w:t>
      </w:r>
      <w:r>
        <w:rPr>
          <w:highlight w:val="none"/>
        </w:rPr>
        <w:t>3.14m</w:t>
      </w:r>
      <w:r>
        <w:rPr>
          <w:rFonts w:hint="eastAsia"/>
          <w:highlight w:val="none"/>
        </w:rPr>
        <w:t>、</w:t>
      </w:r>
      <w:r>
        <w:rPr>
          <w:highlight w:val="none"/>
        </w:rPr>
        <w:t>3.07</w:t>
      </w:r>
      <w:r>
        <w:rPr>
          <w:rFonts w:hint="eastAsia"/>
          <w:highlight w:val="none"/>
        </w:rPr>
        <w:t>m和</w:t>
      </w:r>
      <w:r>
        <w:rPr>
          <w:highlight w:val="none"/>
        </w:rPr>
        <w:t>3.19</w:t>
      </w:r>
      <w:r>
        <w:rPr>
          <w:rFonts w:hint="eastAsia"/>
          <w:highlight w:val="none"/>
        </w:rPr>
        <w:t>m；多年平均最低潮（洪）水位分别为-0.88</w:t>
      </w:r>
      <w:r>
        <w:rPr>
          <w:highlight w:val="none"/>
        </w:rPr>
        <w:t>m</w:t>
      </w:r>
      <w:r>
        <w:rPr>
          <w:rFonts w:hint="eastAsia"/>
          <w:highlight w:val="none"/>
        </w:rPr>
        <w:t>、-1.61</w:t>
      </w:r>
      <w:r>
        <w:rPr>
          <w:highlight w:val="none"/>
        </w:rPr>
        <w:t>m</w:t>
      </w:r>
      <w:r>
        <w:rPr>
          <w:rFonts w:hint="eastAsia"/>
          <w:highlight w:val="none"/>
        </w:rPr>
        <w:t>、-1.73m和-1.40m，各站统计特征值见表</w:t>
      </w:r>
      <w:r>
        <w:rPr>
          <w:rFonts w:hint="eastAsia"/>
          <w:highlight w:val="none"/>
          <w:lang w:val="en-US" w:eastAsia="zh-CN"/>
        </w:rPr>
        <w:t>2.6</w:t>
      </w:r>
      <w:r>
        <w:rPr>
          <w:rFonts w:hint="eastAsia"/>
          <w:highlight w:val="none"/>
        </w:rPr>
        <w:t>-1。</w:t>
      </w:r>
    </w:p>
    <w:p>
      <w:pPr>
        <w:pStyle w:val="250"/>
        <w:bidi w:val="0"/>
        <w:rPr>
          <w:rFonts w:hint="default"/>
          <w:highlight w:val="none"/>
          <w:lang w:val="en-US" w:eastAsia="zh-CN"/>
        </w:rPr>
      </w:pPr>
      <w:r>
        <w:rPr>
          <w:rFonts w:hint="eastAsia"/>
          <w:highlight w:val="none"/>
          <w:lang w:val="en-US" w:eastAsia="zh-CN"/>
        </w:rPr>
        <w:t>表2.6-1   番禺区附近潮位站潮汐特征表</w:t>
      </w:r>
    </w:p>
    <w:tbl>
      <w:tblPr>
        <w:tblStyle w:val="44"/>
        <w:tblW w:w="4984" w:type="pct"/>
        <w:tblInd w:w="0" w:type="dxa"/>
        <w:tblLayout w:type="autofit"/>
        <w:tblCellMar>
          <w:top w:w="0" w:type="dxa"/>
          <w:left w:w="108" w:type="dxa"/>
          <w:bottom w:w="0" w:type="dxa"/>
          <w:right w:w="108" w:type="dxa"/>
        </w:tblCellMar>
      </w:tblPr>
      <w:tblGrid>
        <w:gridCol w:w="1075"/>
        <w:gridCol w:w="1337"/>
        <w:gridCol w:w="1605"/>
        <w:gridCol w:w="1605"/>
        <w:gridCol w:w="1605"/>
        <w:gridCol w:w="1601"/>
      </w:tblGrid>
      <w:tr>
        <w:tblPrEx>
          <w:tblCellMar>
            <w:top w:w="0" w:type="dxa"/>
            <w:left w:w="108" w:type="dxa"/>
            <w:bottom w:w="0" w:type="dxa"/>
            <w:right w:w="108" w:type="dxa"/>
          </w:tblCellMar>
        </w:tblPrEx>
        <w:trPr>
          <w:trHeight w:val="20" w:hRule="atLeast"/>
        </w:trPr>
        <w:tc>
          <w:tcPr>
            <w:tcW w:w="1366" w:type="pct"/>
            <w:gridSpan w:val="2"/>
            <w:tcBorders>
              <w:top w:val="single" w:color="auto" w:sz="8" w:space="0"/>
              <w:left w:val="single" w:color="auto" w:sz="8" w:space="0"/>
              <w:bottom w:val="single" w:color="auto" w:sz="8" w:space="0"/>
              <w:right w:val="single" w:color="000000"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站名</w:t>
            </w:r>
          </w:p>
        </w:tc>
        <w:tc>
          <w:tcPr>
            <w:tcW w:w="909" w:type="pct"/>
            <w:tcBorders>
              <w:top w:val="single" w:color="auto" w:sz="8" w:space="0"/>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三善滘</w:t>
            </w:r>
          </w:p>
        </w:tc>
        <w:tc>
          <w:tcPr>
            <w:tcW w:w="909" w:type="pct"/>
            <w:tcBorders>
              <w:top w:val="single" w:color="auto" w:sz="8" w:space="0"/>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三沙口</w:t>
            </w:r>
          </w:p>
        </w:tc>
        <w:tc>
          <w:tcPr>
            <w:tcW w:w="909" w:type="pct"/>
            <w:tcBorders>
              <w:top w:val="single" w:color="auto" w:sz="8" w:space="0"/>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黄埔站</w:t>
            </w:r>
          </w:p>
        </w:tc>
        <w:tc>
          <w:tcPr>
            <w:tcW w:w="907" w:type="pct"/>
            <w:tcBorders>
              <w:top w:val="single" w:color="auto" w:sz="8" w:space="0"/>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大石</w:t>
            </w:r>
          </w:p>
        </w:tc>
      </w:tr>
      <w:tr>
        <w:tblPrEx>
          <w:tblCellMar>
            <w:top w:w="0" w:type="dxa"/>
            <w:left w:w="108" w:type="dxa"/>
            <w:bottom w:w="0" w:type="dxa"/>
            <w:right w:w="108" w:type="dxa"/>
          </w:tblCellMar>
        </w:tblPrEx>
        <w:trPr>
          <w:trHeight w:val="20" w:hRule="atLeast"/>
        </w:trPr>
        <w:tc>
          <w:tcPr>
            <w:tcW w:w="1366" w:type="pct"/>
            <w:gridSpan w:val="2"/>
            <w:tcBorders>
              <w:top w:val="single" w:color="auto" w:sz="8" w:space="0"/>
              <w:left w:val="single" w:color="auto" w:sz="8" w:space="0"/>
              <w:bottom w:val="single" w:color="auto" w:sz="8" w:space="0"/>
              <w:right w:val="single" w:color="000000"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多年统计年限</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1953~2011</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1952~2011</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1957~2000</w:t>
            </w:r>
          </w:p>
        </w:tc>
        <w:tc>
          <w:tcPr>
            <w:tcW w:w="907"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1965~2011</w:t>
            </w:r>
          </w:p>
        </w:tc>
      </w:tr>
      <w:tr>
        <w:tblPrEx>
          <w:tblCellMar>
            <w:top w:w="0" w:type="dxa"/>
            <w:left w:w="108" w:type="dxa"/>
            <w:bottom w:w="0" w:type="dxa"/>
            <w:right w:w="108" w:type="dxa"/>
          </w:tblCellMar>
        </w:tblPrEx>
        <w:trPr>
          <w:trHeight w:val="20" w:hRule="atLeast"/>
        </w:trPr>
        <w:tc>
          <w:tcPr>
            <w:tcW w:w="609" w:type="pct"/>
            <w:vMerge w:val="restart"/>
            <w:tcBorders>
              <w:top w:val="nil"/>
              <w:left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年最</w:t>
            </w:r>
          </w:p>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高潮位</w:t>
            </w:r>
          </w:p>
        </w:tc>
        <w:tc>
          <w:tcPr>
            <w:tcW w:w="757"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多年平均</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2.49</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1.94</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2.02</w:t>
            </w:r>
          </w:p>
        </w:tc>
        <w:tc>
          <w:tcPr>
            <w:tcW w:w="907"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2.23</w:t>
            </w:r>
          </w:p>
        </w:tc>
      </w:tr>
      <w:tr>
        <w:tblPrEx>
          <w:tblCellMar>
            <w:top w:w="0" w:type="dxa"/>
            <w:left w:w="108" w:type="dxa"/>
            <w:bottom w:w="0" w:type="dxa"/>
            <w:right w:w="108" w:type="dxa"/>
          </w:tblCellMar>
        </w:tblPrEx>
        <w:trPr>
          <w:trHeight w:val="20" w:hRule="atLeast"/>
        </w:trPr>
        <w:tc>
          <w:tcPr>
            <w:tcW w:w="609" w:type="pct"/>
            <w:vMerge w:val="continue"/>
            <w:tcBorders>
              <w:left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p>
        </w:tc>
        <w:tc>
          <w:tcPr>
            <w:tcW w:w="757"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最高潮位</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3.99</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3.14</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3.07</w:t>
            </w:r>
          </w:p>
        </w:tc>
        <w:tc>
          <w:tcPr>
            <w:tcW w:w="907"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3.19</w:t>
            </w:r>
          </w:p>
        </w:tc>
      </w:tr>
      <w:tr>
        <w:tblPrEx>
          <w:tblCellMar>
            <w:top w:w="0" w:type="dxa"/>
            <w:left w:w="108" w:type="dxa"/>
            <w:bottom w:w="0" w:type="dxa"/>
            <w:right w:w="108" w:type="dxa"/>
          </w:tblCellMar>
        </w:tblPrEx>
        <w:trPr>
          <w:trHeight w:val="20" w:hRule="atLeast"/>
        </w:trPr>
        <w:tc>
          <w:tcPr>
            <w:tcW w:w="609" w:type="pct"/>
            <w:vMerge w:val="continue"/>
            <w:tcBorders>
              <w:left w:val="single" w:color="auto" w:sz="8" w:space="0"/>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p>
        </w:tc>
        <w:tc>
          <w:tcPr>
            <w:tcW w:w="757"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出现日期</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1998.6.27</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2018.9.16</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2018.9.16</w:t>
            </w:r>
          </w:p>
        </w:tc>
        <w:tc>
          <w:tcPr>
            <w:tcW w:w="907"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2018.9.16</w:t>
            </w:r>
          </w:p>
        </w:tc>
      </w:tr>
      <w:tr>
        <w:tblPrEx>
          <w:tblCellMar>
            <w:top w:w="0" w:type="dxa"/>
            <w:left w:w="108" w:type="dxa"/>
            <w:bottom w:w="0" w:type="dxa"/>
            <w:right w:w="108" w:type="dxa"/>
          </w:tblCellMar>
        </w:tblPrEx>
        <w:trPr>
          <w:trHeight w:val="20" w:hRule="atLeast"/>
        </w:trPr>
        <w:tc>
          <w:tcPr>
            <w:tcW w:w="609" w:type="pct"/>
            <w:vMerge w:val="restart"/>
            <w:tcBorders>
              <w:top w:val="nil"/>
              <w:left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年最</w:t>
            </w:r>
          </w:p>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低潮位</w:t>
            </w:r>
          </w:p>
        </w:tc>
        <w:tc>
          <w:tcPr>
            <w:tcW w:w="757"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多年平均</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-0.88</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-1.61</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-1.73</w:t>
            </w:r>
          </w:p>
        </w:tc>
        <w:tc>
          <w:tcPr>
            <w:tcW w:w="907"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-1.40</w:t>
            </w:r>
          </w:p>
        </w:tc>
      </w:tr>
      <w:tr>
        <w:tblPrEx>
          <w:tblCellMar>
            <w:top w:w="0" w:type="dxa"/>
            <w:left w:w="108" w:type="dxa"/>
            <w:bottom w:w="0" w:type="dxa"/>
            <w:right w:w="108" w:type="dxa"/>
          </w:tblCellMar>
        </w:tblPrEx>
        <w:trPr>
          <w:trHeight w:val="20" w:hRule="atLeast"/>
        </w:trPr>
        <w:tc>
          <w:tcPr>
            <w:tcW w:w="609" w:type="pct"/>
            <w:vMerge w:val="continue"/>
            <w:tcBorders>
              <w:left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p>
        </w:tc>
        <w:tc>
          <w:tcPr>
            <w:tcW w:w="757"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最低潮位</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-1.22</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-1.78</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-1.93</w:t>
            </w:r>
          </w:p>
        </w:tc>
        <w:tc>
          <w:tcPr>
            <w:tcW w:w="907"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-1.66</w:t>
            </w:r>
          </w:p>
        </w:tc>
      </w:tr>
      <w:tr>
        <w:tblPrEx>
          <w:tblCellMar>
            <w:top w:w="0" w:type="dxa"/>
            <w:left w:w="108" w:type="dxa"/>
            <w:bottom w:w="0" w:type="dxa"/>
            <w:right w:w="108" w:type="dxa"/>
          </w:tblCellMar>
        </w:tblPrEx>
        <w:trPr>
          <w:trHeight w:val="20" w:hRule="atLeast"/>
        </w:trPr>
        <w:tc>
          <w:tcPr>
            <w:tcW w:w="609" w:type="pct"/>
            <w:vMerge w:val="continue"/>
            <w:tcBorders>
              <w:left w:val="single" w:color="auto" w:sz="8" w:space="0"/>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p>
        </w:tc>
        <w:tc>
          <w:tcPr>
            <w:tcW w:w="757"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出现日期</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1969.1.12</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1968.12.22</w:t>
            </w:r>
          </w:p>
        </w:tc>
        <w:tc>
          <w:tcPr>
            <w:tcW w:w="909"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1968.8.21</w:t>
            </w:r>
          </w:p>
        </w:tc>
        <w:tc>
          <w:tcPr>
            <w:tcW w:w="907" w:type="pct"/>
            <w:tcBorders>
              <w:top w:val="nil"/>
              <w:left w:val="nil"/>
              <w:bottom w:val="single" w:color="auto" w:sz="8" w:space="0"/>
              <w:right w:val="single" w:color="auto" w:sz="8" w:space="0"/>
            </w:tcBorders>
            <w:shd w:val="clear" w:color="auto" w:fill="auto"/>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1971.3.23</w:t>
            </w:r>
          </w:p>
        </w:tc>
      </w:tr>
    </w:tbl>
    <w:p>
      <w:pPr>
        <w:pStyle w:val="5"/>
        <w:bidi w:val="0"/>
        <w:ind w:left="720" w:leftChars="0" w:hanging="720" w:firstLineChars="0"/>
        <w:rPr>
          <w:rFonts w:hint="eastAsia" w:ascii="Times New Roman" w:cs="Times New Roman"/>
          <w:highlight w:val="none"/>
          <w:lang w:val="en-US" w:eastAsia="zh-CN"/>
        </w:rPr>
      </w:pPr>
      <w:bookmarkStart w:id="84" w:name="_Toc74814488"/>
      <w:bookmarkStart w:id="85" w:name="_Toc19942"/>
      <w:bookmarkStart w:id="86" w:name="_Toc49530515"/>
      <w:r>
        <w:rPr>
          <w:rFonts w:hint="eastAsia" w:ascii="Times New Roman" w:cs="Times New Roman"/>
          <w:highlight w:val="none"/>
          <w:lang w:val="en-US" w:eastAsia="zh-CN"/>
        </w:rPr>
        <w:t>潮差</w:t>
      </w:r>
      <w:bookmarkEnd w:id="84"/>
      <w:bookmarkEnd w:id="85"/>
      <w:bookmarkEnd w:id="86"/>
    </w:p>
    <w:p>
      <w:pPr>
        <w:ind w:firstLine="480"/>
        <w:rPr>
          <w:highlight w:val="none"/>
        </w:rPr>
      </w:pPr>
      <w:r>
        <w:rPr>
          <w:rFonts w:hint="eastAsia"/>
          <w:highlight w:val="none"/>
        </w:rPr>
        <w:t>据三善</w:t>
      </w:r>
      <w:r>
        <w:rPr>
          <w:rFonts w:hint="eastAsia" w:ascii="宋体" w:hAnsi="宋体" w:cs="宋体"/>
          <w:highlight w:val="none"/>
        </w:rPr>
        <w:t>滘</w:t>
      </w:r>
      <w:r>
        <w:rPr>
          <w:rFonts w:hint="eastAsia" w:hAnsi="仿宋_GB2312" w:cs="仿宋_GB2312"/>
          <w:highlight w:val="none"/>
        </w:rPr>
        <w:t>、三沙口、黄埔和大石四站实测资料统计，在珠江市桥河河段最大潮差自下而上沿程递减，多年平均最大潮差在</w:t>
      </w:r>
      <w:r>
        <w:rPr>
          <w:highlight w:val="none"/>
        </w:rPr>
        <w:t>1.</w:t>
      </w:r>
      <w:r>
        <w:rPr>
          <w:rFonts w:hint="eastAsia"/>
          <w:highlight w:val="none"/>
        </w:rPr>
        <w:t>82~3.11</w:t>
      </w:r>
      <w:r>
        <w:rPr>
          <w:highlight w:val="none"/>
        </w:rPr>
        <w:t>m</w:t>
      </w:r>
      <w:r>
        <w:rPr>
          <w:rFonts w:hint="eastAsia"/>
          <w:highlight w:val="none"/>
        </w:rPr>
        <w:t>之间，年最大潮差的年际变化相对较小，年内变化相对较大，汛期潮差略大于枯水期潮差。各站最大潮差统计特征见表</w:t>
      </w:r>
      <w:r>
        <w:rPr>
          <w:rFonts w:hint="eastAsia"/>
          <w:highlight w:val="none"/>
          <w:lang w:val="en-US" w:eastAsia="zh-CN"/>
        </w:rPr>
        <w:t>2.6</w:t>
      </w:r>
      <w:r>
        <w:rPr>
          <w:rFonts w:hint="eastAsia"/>
          <w:highlight w:val="none"/>
        </w:rPr>
        <w:t>-2。</w:t>
      </w:r>
    </w:p>
    <w:p>
      <w:pPr>
        <w:pStyle w:val="250"/>
        <w:bidi w:val="0"/>
        <w:rPr>
          <w:rFonts w:hint="eastAsia"/>
          <w:highlight w:val="none"/>
          <w:lang w:val="en-US" w:eastAsia="zh-CN"/>
        </w:rPr>
      </w:pPr>
      <w:r>
        <w:rPr>
          <w:rFonts w:hint="eastAsia"/>
          <w:highlight w:val="none"/>
          <w:lang w:val="en-US" w:eastAsia="zh-CN"/>
        </w:rPr>
        <w:t>表2.6-2   各站最大潮差特征统计表</w:t>
      </w:r>
    </w:p>
    <w:tbl>
      <w:tblPr>
        <w:tblStyle w:val="44"/>
        <w:tblW w:w="5000" w:type="pct"/>
        <w:jc w:val="center"/>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Layout w:type="autofit"/>
        <w:tblCellMar>
          <w:top w:w="0" w:type="dxa"/>
          <w:left w:w="108" w:type="dxa"/>
          <w:bottom w:w="0" w:type="dxa"/>
          <w:right w:w="108" w:type="dxa"/>
        </w:tblCellMar>
      </w:tblPr>
      <w:tblGrid>
        <w:gridCol w:w="972"/>
        <w:gridCol w:w="1452"/>
        <w:gridCol w:w="1606"/>
        <w:gridCol w:w="1622"/>
        <w:gridCol w:w="1607"/>
        <w:gridCol w:w="1597"/>
      </w:tblGrid>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384" w:hRule="exact"/>
          <w:tblHeader/>
          <w:jc w:val="center"/>
        </w:trPr>
        <w:tc>
          <w:tcPr>
            <w:tcW w:w="1369" w:type="pct"/>
            <w:gridSpan w:val="2"/>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测站名称</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三善滘</w:t>
            </w:r>
          </w:p>
        </w:tc>
        <w:tc>
          <w:tcPr>
            <w:tcW w:w="916"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三沙口</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黄埔</w:t>
            </w:r>
          </w:p>
        </w:tc>
        <w:tc>
          <w:tcPr>
            <w:tcW w:w="902"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大石</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384" w:hRule="exact"/>
          <w:jc w:val="center"/>
        </w:trPr>
        <w:tc>
          <w:tcPr>
            <w:tcW w:w="1369" w:type="pct"/>
            <w:gridSpan w:val="2"/>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资料年限</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1953~2011</w:t>
            </w:r>
          </w:p>
        </w:tc>
        <w:tc>
          <w:tcPr>
            <w:tcW w:w="916"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1953~2011</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1957~2000</w:t>
            </w:r>
          </w:p>
        </w:tc>
        <w:tc>
          <w:tcPr>
            <w:tcW w:w="902"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1965~2011</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384" w:hRule="exact"/>
          <w:jc w:val="center"/>
        </w:trPr>
        <w:tc>
          <w:tcPr>
            <w:tcW w:w="549" w:type="pct"/>
            <w:vMerge w:val="restar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年最大涨潮差</w:t>
            </w:r>
          </w:p>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w:t>
            </w:r>
          </w:p>
        </w:tc>
        <w:tc>
          <w:tcPr>
            <w:tcW w:w="819"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多年平均</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1.82</w:t>
            </w:r>
          </w:p>
        </w:tc>
        <w:tc>
          <w:tcPr>
            <w:tcW w:w="916"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2.73</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2.55</w:t>
            </w:r>
          </w:p>
        </w:tc>
        <w:tc>
          <w:tcPr>
            <w:tcW w:w="902"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2.55</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384" w:hRule="exact"/>
          <w:jc w:val="center"/>
        </w:trPr>
        <w:tc>
          <w:tcPr>
            <w:tcW w:w="549" w:type="pct"/>
            <w:vMerge w:val="continue"/>
            <w:vAlign w:val="center"/>
          </w:tcPr>
          <w:p>
            <w:pPr>
              <w:pStyle w:val="85"/>
              <w:rPr>
                <w:rFonts w:hint="default" w:ascii="Times New Roman" w:hAnsi="Times New Roman" w:cs="Times New Roman"/>
                <w:color w:val="auto"/>
                <w:sz w:val="21"/>
                <w:szCs w:val="21"/>
                <w:highlight w:val="none"/>
              </w:rPr>
            </w:pPr>
          </w:p>
        </w:tc>
        <w:tc>
          <w:tcPr>
            <w:tcW w:w="819"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历年最高</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2.94</w:t>
            </w:r>
          </w:p>
        </w:tc>
        <w:tc>
          <w:tcPr>
            <w:tcW w:w="916"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3.77</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3.38</w:t>
            </w:r>
          </w:p>
        </w:tc>
        <w:tc>
          <w:tcPr>
            <w:tcW w:w="902"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3.66</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384" w:hRule="exact"/>
          <w:jc w:val="center"/>
        </w:trPr>
        <w:tc>
          <w:tcPr>
            <w:tcW w:w="549" w:type="pct"/>
            <w:vMerge w:val="continue"/>
            <w:vAlign w:val="center"/>
          </w:tcPr>
          <w:p>
            <w:pPr>
              <w:pStyle w:val="85"/>
              <w:rPr>
                <w:rFonts w:hint="default" w:ascii="Times New Roman" w:hAnsi="Times New Roman" w:cs="Times New Roman"/>
                <w:color w:val="auto"/>
                <w:sz w:val="21"/>
                <w:szCs w:val="21"/>
                <w:highlight w:val="none"/>
              </w:rPr>
            </w:pPr>
          </w:p>
        </w:tc>
        <w:tc>
          <w:tcPr>
            <w:tcW w:w="819"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出现时间</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2008.9.24</w:t>
            </w:r>
          </w:p>
        </w:tc>
        <w:tc>
          <w:tcPr>
            <w:tcW w:w="916"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2008.9.24</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1968.8.22</w:t>
            </w:r>
          </w:p>
        </w:tc>
        <w:tc>
          <w:tcPr>
            <w:tcW w:w="902"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2008.9.24</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384" w:hRule="exact"/>
          <w:jc w:val="center"/>
        </w:trPr>
        <w:tc>
          <w:tcPr>
            <w:tcW w:w="549" w:type="pct"/>
            <w:vMerge w:val="restar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年最大落潮差</w:t>
            </w:r>
          </w:p>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w:t>
            </w:r>
          </w:p>
        </w:tc>
        <w:tc>
          <w:tcPr>
            <w:tcW w:w="819"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多年平均</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2.05</w:t>
            </w:r>
          </w:p>
        </w:tc>
        <w:tc>
          <w:tcPr>
            <w:tcW w:w="916"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3.11</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2.95</w:t>
            </w:r>
          </w:p>
        </w:tc>
        <w:tc>
          <w:tcPr>
            <w:tcW w:w="902"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2.91</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384" w:hRule="exact"/>
          <w:jc w:val="center"/>
        </w:trPr>
        <w:tc>
          <w:tcPr>
            <w:tcW w:w="549" w:type="pct"/>
            <w:vMerge w:val="continue"/>
            <w:vAlign w:val="center"/>
          </w:tcPr>
          <w:p>
            <w:pPr>
              <w:pStyle w:val="85"/>
              <w:rPr>
                <w:rFonts w:hint="default" w:ascii="Times New Roman" w:hAnsi="Times New Roman" w:cs="Times New Roman"/>
                <w:color w:val="auto"/>
                <w:sz w:val="21"/>
                <w:szCs w:val="21"/>
                <w:highlight w:val="none"/>
              </w:rPr>
            </w:pPr>
          </w:p>
        </w:tc>
        <w:tc>
          <w:tcPr>
            <w:tcW w:w="819"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历年最高</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2.49</w:t>
            </w:r>
          </w:p>
        </w:tc>
        <w:tc>
          <w:tcPr>
            <w:tcW w:w="916"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3.33</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3.19</w:t>
            </w:r>
          </w:p>
        </w:tc>
        <w:tc>
          <w:tcPr>
            <w:tcW w:w="902"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3.08</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384" w:hRule="exact"/>
          <w:jc w:val="center"/>
        </w:trPr>
        <w:tc>
          <w:tcPr>
            <w:tcW w:w="549" w:type="pct"/>
            <w:vMerge w:val="continue"/>
            <w:vAlign w:val="center"/>
          </w:tcPr>
          <w:p>
            <w:pPr>
              <w:pStyle w:val="85"/>
              <w:rPr>
                <w:rFonts w:hint="default" w:ascii="Times New Roman" w:hAnsi="Times New Roman" w:cs="Times New Roman"/>
                <w:color w:val="auto"/>
                <w:sz w:val="21"/>
                <w:szCs w:val="21"/>
                <w:highlight w:val="none"/>
              </w:rPr>
            </w:pPr>
          </w:p>
        </w:tc>
        <w:tc>
          <w:tcPr>
            <w:tcW w:w="819"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出现时间</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2008.9.24</w:t>
            </w:r>
          </w:p>
        </w:tc>
        <w:tc>
          <w:tcPr>
            <w:tcW w:w="916"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2008.9.24</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1968.8.21</w:t>
            </w:r>
          </w:p>
        </w:tc>
        <w:tc>
          <w:tcPr>
            <w:tcW w:w="902"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2009.9.15</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384" w:hRule="exact"/>
          <w:jc w:val="center"/>
        </w:trPr>
        <w:tc>
          <w:tcPr>
            <w:tcW w:w="1369" w:type="pct"/>
            <w:gridSpan w:val="2"/>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多年平均高潮位</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0.72</w:t>
            </w:r>
          </w:p>
        </w:tc>
        <w:tc>
          <w:tcPr>
            <w:tcW w:w="916"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0.73</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0.73</w:t>
            </w:r>
          </w:p>
        </w:tc>
        <w:tc>
          <w:tcPr>
            <w:tcW w:w="902"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0.85</w:t>
            </w:r>
          </w:p>
        </w:tc>
      </w:tr>
      <w:tr>
        <w:tblPrEx>
          <w:tblBorders>
            <w:top w:val="single" w:color="auto" w:sz="6" w:space="0"/>
            <w:left w:val="single" w:color="auto" w:sz="6" w:space="0"/>
            <w:bottom w:val="single" w:color="auto" w:sz="6" w:space="0"/>
            <w:right w:val="single" w:color="auto" w:sz="6" w:space="0"/>
            <w:insideH w:val="single" w:color="auto" w:sz="2" w:space="0"/>
            <w:insideV w:val="single" w:color="auto" w:sz="2" w:space="0"/>
          </w:tblBorders>
          <w:tblCellMar>
            <w:top w:w="0" w:type="dxa"/>
            <w:left w:w="108" w:type="dxa"/>
            <w:bottom w:w="0" w:type="dxa"/>
            <w:right w:w="108" w:type="dxa"/>
          </w:tblCellMar>
        </w:tblPrEx>
        <w:trPr>
          <w:trHeight w:val="384" w:hRule="exact"/>
          <w:jc w:val="center"/>
        </w:trPr>
        <w:tc>
          <w:tcPr>
            <w:tcW w:w="1369" w:type="pct"/>
            <w:gridSpan w:val="2"/>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多年平均低潮位</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-0.20</w:t>
            </w:r>
          </w:p>
        </w:tc>
        <w:tc>
          <w:tcPr>
            <w:tcW w:w="916"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-0.78</w:t>
            </w:r>
          </w:p>
        </w:tc>
        <w:tc>
          <w:tcPr>
            <w:tcW w:w="907"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-0.89</w:t>
            </w:r>
          </w:p>
        </w:tc>
        <w:tc>
          <w:tcPr>
            <w:tcW w:w="902" w:type="pct"/>
            <w:vAlign w:val="center"/>
          </w:tcPr>
          <w:p>
            <w:pPr>
              <w:pStyle w:val="85"/>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-0.67</w:t>
            </w:r>
          </w:p>
        </w:tc>
      </w:tr>
    </w:tbl>
    <w:p>
      <w:pPr>
        <w:spacing w:line="300" w:lineRule="exact"/>
        <w:ind w:firstLine="420"/>
        <w:rPr>
          <w:rFonts w:ascii="楷体_GB2312" w:eastAsia="楷体_GB2312"/>
          <w:sz w:val="21"/>
          <w:highlight w:val="none"/>
        </w:rPr>
      </w:pPr>
      <w:r>
        <w:rPr>
          <w:rFonts w:hint="eastAsia" w:ascii="楷体_GB2312" w:eastAsia="楷体_GB2312"/>
          <w:sz w:val="21"/>
          <w:highlight w:val="none"/>
        </w:rPr>
        <w:t>注:多年平均高潮（水）位为年内所有高潮位（包括高高潮、低高潮）的平均值；</w:t>
      </w:r>
    </w:p>
    <w:p>
      <w:pPr>
        <w:spacing w:line="300" w:lineRule="exact"/>
        <w:ind w:firstLine="735" w:firstLineChars="350"/>
        <w:rPr>
          <w:rFonts w:ascii="楷体_GB2312" w:eastAsia="楷体_GB2312"/>
          <w:sz w:val="21"/>
          <w:highlight w:val="none"/>
        </w:rPr>
      </w:pPr>
      <w:r>
        <w:rPr>
          <w:rFonts w:hint="eastAsia" w:ascii="楷体_GB2312" w:eastAsia="楷体_GB2312"/>
          <w:sz w:val="21"/>
          <w:highlight w:val="none"/>
        </w:rPr>
        <w:t>多年平均低潮（水）位为年内所有低潮位（包括高低潮、低低潮）的平均值。</w:t>
      </w:r>
    </w:p>
    <w:p>
      <w:pPr>
        <w:pStyle w:val="5"/>
        <w:bidi w:val="0"/>
        <w:ind w:left="720" w:leftChars="0" w:hanging="720" w:firstLineChars="0"/>
        <w:rPr>
          <w:rFonts w:hint="eastAsia"/>
          <w:color w:val="auto"/>
          <w:highlight w:val="none"/>
          <w:lang w:eastAsia="zh-CN"/>
        </w:rPr>
      </w:pPr>
      <w:bookmarkStart w:id="87" w:name="_Toc16428"/>
      <w:bookmarkStart w:id="88" w:name="_Toc29853"/>
      <w:bookmarkStart w:id="89" w:name="_Toc295898469"/>
      <w:bookmarkStart w:id="90" w:name="OLE_LINK1"/>
      <w:r>
        <w:rPr>
          <w:rFonts w:hint="eastAsia"/>
          <w:color w:val="auto"/>
          <w:highlight w:val="none"/>
          <w:lang w:eastAsia="zh-CN"/>
        </w:rPr>
        <w:t>设计洪潮水位</w:t>
      </w:r>
      <w:bookmarkEnd w:id="87"/>
      <w:bookmarkEnd w:id="88"/>
      <w:bookmarkEnd w:id="89"/>
    </w:p>
    <w:bookmarkEnd w:id="90"/>
    <w:p>
      <w:pPr>
        <w:ind w:firstLine="480"/>
        <w:rPr>
          <w:rFonts w:hint="eastAsia"/>
          <w:highlight w:val="none"/>
        </w:rPr>
      </w:pPr>
      <w:r>
        <w:rPr>
          <w:rFonts w:hint="eastAsia"/>
          <w:highlight w:val="none"/>
        </w:rPr>
        <w:t>广东省水利厅于2002年6月颁布了《西、北江下游及其三角洲网河河道设计洪潮水面线（试行）》（粤水资[2002]40号文“关于颁布西、北江下游及其三角洲网河河道设计洪潮水面线成果（试行）的通知”）。水利部珠江水利委员会和广东省水利厅有关部门进行多年的研究，提出的该水面线成果对三角洲网河区考虑了洪水为主、潮水相应以及潮水为主、洪水相应两种洪潮组合，计算了各水道设计洪潮水面线，本次直接采用该水面线成果</w:t>
      </w:r>
      <w:r>
        <w:rPr>
          <w:rFonts w:hint="eastAsia"/>
          <w:highlight w:val="none"/>
          <w:lang w:eastAsia="zh-CN"/>
        </w:rPr>
        <w:t>，</w:t>
      </w:r>
      <w:r>
        <w:rPr>
          <w:rFonts w:hint="eastAsia"/>
          <w:highlight w:val="none"/>
        </w:rPr>
        <w:t>工程区涉及的外江水道为</w:t>
      </w:r>
      <w:r>
        <w:rPr>
          <w:rFonts w:hint="eastAsia"/>
          <w:highlight w:val="none"/>
          <w:lang w:eastAsia="zh-CN"/>
        </w:rPr>
        <w:t>沙湾</w:t>
      </w:r>
      <w:r>
        <w:rPr>
          <w:rFonts w:hint="eastAsia"/>
          <w:highlight w:val="none"/>
        </w:rPr>
        <w:t>水道</w:t>
      </w:r>
      <w:r>
        <w:rPr>
          <w:rFonts w:hint="eastAsia"/>
          <w:highlight w:val="none"/>
          <w:lang w:eastAsia="zh-CN"/>
        </w:rPr>
        <w:t>，临近“沙湾</w:t>
      </w:r>
      <w:r>
        <w:rPr>
          <w:rFonts w:hint="eastAsia"/>
          <w:highlight w:val="none"/>
          <w:lang w:val="en-US" w:eastAsia="zh-CN"/>
        </w:rPr>
        <w:t>3”断面，本工程外江</w:t>
      </w:r>
      <w:r>
        <w:rPr>
          <w:rFonts w:hint="eastAsia"/>
          <w:highlight w:val="none"/>
          <w:lang w:eastAsia="zh-CN"/>
        </w:rPr>
        <w:t>设计洪潮水位直接该断面水位</w:t>
      </w:r>
      <w:r>
        <w:rPr>
          <w:rFonts w:hint="eastAsia"/>
          <w:highlight w:val="none"/>
        </w:rPr>
        <w:t>成果</w:t>
      </w:r>
      <w:r>
        <w:rPr>
          <w:rFonts w:hint="eastAsia"/>
          <w:highlight w:val="none"/>
          <w:lang w:eastAsia="zh-CN"/>
        </w:rPr>
        <w:t>，</w:t>
      </w:r>
      <w:r>
        <w:rPr>
          <w:rFonts w:hint="eastAsia"/>
          <w:highlight w:val="none"/>
        </w:rPr>
        <w:t>见表2.</w:t>
      </w:r>
      <w:r>
        <w:rPr>
          <w:rFonts w:hint="eastAsia"/>
          <w:highlight w:val="none"/>
          <w:lang w:val="en-US" w:eastAsia="zh-CN"/>
        </w:rPr>
        <w:t>6</w:t>
      </w:r>
      <w:r>
        <w:rPr>
          <w:rFonts w:hint="eastAsia"/>
          <w:highlight w:val="none"/>
        </w:rPr>
        <w:t>-3。</w:t>
      </w:r>
    </w:p>
    <w:p>
      <w:pPr>
        <w:pStyle w:val="250"/>
        <w:bidi w:val="0"/>
      </w:pPr>
      <w:r>
        <w:t>表2.</w:t>
      </w:r>
      <w:r>
        <w:rPr>
          <w:rFonts w:hint="eastAsia"/>
          <w:lang w:val="en-US" w:eastAsia="zh-CN"/>
        </w:rPr>
        <w:t>6</w:t>
      </w:r>
      <w:r>
        <w:t xml:space="preserve">-3  </w:t>
      </w:r>
      <w:r>
        <w:rPr>
          <w:rFonts w:hint="eastAsia"/>
          <w:lang w:eastAsia="zh-CN"/>
        </w:rPr>
        <w:t>沙湾水道</w:t>
      </w:r>
      <w:r>
        <w:t>设计洪潮水位  （广州高程，m）</w:t>
      </w:r>
    </w:p>
    <w:tbl>
      <w:tblPr>
        <w:tblStyle w:val="44"/>
        <w:tblW w:w="4999" w:type="pct"/>
        <w:jc w:val="center"/>
        <w:tblLayout w:type="autofit"/>
        <w:tblCellMar>
          <w:top w:w="0" w:type="dxa"/>
          <w:left w:w="0" w:type="dxa"/>
          <w:bottom w:w="0" w:type="dxa"/>
          <w:right w:w="0" w:type="dxa"/>
        </w:tblCellMar>
      </w:tblPr>
      <w:tblGrid>
        <w:gridCol w:w="1619"/>
        <w:gridCol w:w="2348"/>
        <w:gridCol w:w="2348"/>
        <w:gridCol w:w="2353"/>
      </w:tblGrid>
      <w:tr>
        <w:tblPrEx>
          <w:tblCellMar>
            <w:top w:w="0" w:type="dxa"/>
            <w:left w:w="0" w:type="dxa"/>
            <w:bottom w:w="0" w:type="dxa"/>
            <w:right w:w="0" w:type="dxa"/>
          </w:tblCellMar>
        </w:tblPrEx>
        <w:trPr>
          <w:trHeight w:val="482" w:hRule="exact"/>
          <w:jc w:val="center"/>
        </w:trPr>
        <w:tc>
          <w:tcPr>
            <w:tcW w:w="934" w:type="pct"/>
            <w:vMerge w:val="restart"/>
            <w:tcBorders>
              <w:top w:val="single" w:color="auto" w:sz="4" w:space="0"/>
              <w:left w:val="single" w:color="auto" w:sz="4" w:space="0"/>
              <w:bottom w:val="single" w:color="auto" w:sz="4" w:space="0"/>
              <w:right w:val="single" w:color="auto" w:sz="4" w:space="0"/>
            </w:tcBorders>
            <w:noWrap/>
            <w:tcMar>
              <w:top w:w="15" w:type="dxa"/>
              <w:left w:w="15" w:type="dxa"/>
              <w:bottom w:w="0" w:type="dxa"/>
              <w:right w:w="15" w:type="dxa"/>
            </w:tcMar>
            <w:vAlign w:val="center"/>
          </w:tcPr>
          <w:p>
            <w:pPr>
              <w:ind w:left="0" w:leftChars="0" w:firstLine="0" w:firstLineChars="0"/>
              <w:jc w:val="center"/>
              <w:rPr>
                <w:color w:val="000000" w:themeColor="text1"/>
                <w:kern w:val="0"/>
                <w:sz w:val="21"/>
                <w:szCs w:val="21"/>
                <w:highlight w:val="none"/>
                <w14:textFill>
                  <w14:solidFill>
                    <w14:schemeClr w14:val="tx1"/>
                  </w14:solidFill>
                </w14:textFill>
              </w:rPr>
            </w:pPr>
            <w:r>
              <w:rPr>
                <w:color w:val="000000" w:themeColor="text1"/>
                <w:kern w:val="0"/>
                <w:sz w:val="21"/>
                <w:szCs w:val="21"/>
                <w:highlight w:val="none"/>
                <w14:textFill>
                  <w14:solidFill>
                    <w14:schemeClr w14:val="tx1"/>
                  </w14:solidFill>
                </w14:textFill>
              </w:rPr>
              <w:t>断面</w:t>
            </w:r>
          </w:p>
        </w:tc>
        <w:tc>
          <w:tcPr>
            <w:tcW w:w="4065" w:type="pct"/>
            <w:gridSpan w:val="3"/>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ind w:left="0" w:leftChars="0" w:firstLine="0" w:firstLineChars="0"/>
              <w:jc w:val="center"/>
              <w:rPr>
                <w:color w:val="000000" w:themeColor="text1"/>
                <w:kern w:val="0"/>
                <w:sz w:val="21"/>
                <w:szCs w:val="21"/>
                <w:highlight w:val="none"/>
                <w14:textFill>
                  <w14:solidFill>
                    <w14:schemeClr w14:val="tx1"/>
                  </w14:solidFill>
                </w14:textFill>
              </w:rPr>
            </w:pPr>
            <w:r>
              <w:rPr>
                <w:color w:val="000000" w:themeColor="text1"/>
                <w:kern w:val="0"/>
                <w:sz w:val="21"/>
                <w:szCs w:val="21"/>
                <w:highlight w:val="none"/>
                <w14:textFill>
                  <w14:solidFill>
                    <w14:schemeClr w14:val="tx1"/>
                  </w14:solidFill>
                </w14:textFill>
              </w:rPr>
              <w:t>不同频率（%）的洪潮水位（m）</w:t>
            </w:r>
          </w:p>
        </w:tc>
      </w:tr>
      <w:tr>
        <w:tblPrEx>
          <w:tblCellMar>
            <w:top w:w="0" w:type="dxa"/>
            <w:left w:w="0" w:type="dxa"/>
            <w:bottom w:w="0" w:type="dxa"/>
            <w:right w:w="0" w:type="dxa"/>
          </w:tblCellMar>
        </w:tblPrEx>
        <w:trPr>
          <w:trHeight w:val="482" w:hRule="exact"/>
          <w:jc w:val="center"/>
        </w:trPr>
        <w:tc>
          <w:tcPr>
            <w:tcW w:w="934" w:type="pct"/>
            <w:vMerge w:val="continue"/>
            <w:tcBorders>
              <w:top w:val="single" w:color="auto" w:sz="4" w:space="0"/>
              <w:left w:val="single" w:color="auto" w:sz="4" w:space="0"/>
              <w:bottom w:val="single" w:color="auto" w:sz="4" w:space="0"/>
              <w:right w:val="single" w:color="auto" w:sz="4" w:space="0"/>
            </w:tcBorders>
            <w:vAlign w:val="center"/>
          </w:tcPr>
          <w:p>
            <w:pPr>
              <w:jc w:val="center"/>
              <w:rPr>
                <w:color w:val="000000" w:themeColor="text1"/>
                <w:kern w:val="0"/>
                <w:sz w:val="21"/>
                <w:szCs w:val="21"/>
                <w:highlight w:val="none"/>
                <w14:textFill>
                  <w14:solidFill>
                    <w14:schemeClr w14:val="tx1"/>
                  </w14:solidFill>
                </w14:textFill>
              </w:rPr>
            </w:pPr>
          </w:p>
        </w:tc>
        <w:tc>
          <w:tcPr>
            <w:tcW w:w="1354" w:type="pct"/>
            <w:tcBorders>
              <w:top w:val="nil"/>
              <w:left w:val="nil"/>
              <w:bottom w:val="single" w:color="auto" w:sz="4" w:space="0"/>
              <w:right w:val="single" w:color="auto" w:sz="4" w:space="0"/>
            </w:tcBorders>
            <w:tcMar>
              <w:top w:w="15" w:type="dxa"/>
              <w:left w:w="15" w:type="dxa"/>
              <w:bottom w:w="0" w:type="dxa"/>
              <w:right w:w="15" w:type="dxa"/>
            </w:tcMar>
            <w:vAlign w:val="center"/>
          </w:tcPr>
          <w:p>
            <w:pPr>
              <w:ind w:left="0" w:leftChars="0" w:firstLine="0" w:firstLineChars="0"/>
              <w:jc w:val="center"/>
              <w:rPr>
                <w:color w:val="000000" w:themeColor="text1"/>
                <w:kern w:val="0"/>
                <w:sz w:val="21"/>
                <w:szCs w:val="21"/>
                <w:highlight w:val="none"/>
                <w14:textFill>
                  <w14:solidFill>
                    <w14:schemeClr w14:val="tx1"/>
                  </w14:solidFill>
                </w14:textFill>
              </w:rPr>
            </w:pPr>
            <w:r>
              <w:rPr>
                <w:color w:val="000000" w:themeColor="text1"/>
                <w:kern w:val="0"/>
                <w:sz w:val="21"/>
                <w:szCs w:val="21"/>
                <w:highlight w:val="none"/>
                <w14:textFill>
                  <w14:solidFill>
                    <w14:schemeClr w14:val="tx1"/>
                  </w14:solidFill>
                </w14:textFill>
              </w:rPr>
              <w:t>0.50</w:t>
            </w:r>
          </w:p>
        </w:tc>
        <w:tc>
          <w:tcPr>
            <w:tcW w:w="1354" w:type="pct"/>
            <w:tcBorders>
              <w:top w:val="nil"/>
              <w:left w:val="nil"/>
              <w:bottom w:val="single" w:color="auto" w:sz="4" w:space="0"/>
              <w:right w:val="single" w:color="auto" w:sz="4" w:space="0"/>
            </w:tcBorders>
            <w:tcMar>
              <w:top w:w="15" w:type="dxa"/>
              <w:left w:w="15" w:type="dxa"/>
              <w:bottom w:w="0" w:type="dxa"/>
              <w:right w:w="15" w:type="dxa"/>
            </w:tcMar>
            <w:vAlign w:val="center"/>
          </w:tcPr>
          <w:p>
            <w:pPr>
              <w:ind w:left="0" w:leftChars="0" w:firstLine="0" w:firstLineChars="0"/>
              <w:jc w:val="center"/>
              <w:rPr>
                <w:color w:val="000000" w:themeColor="text1"/>
                <w:kern w:val="0"/>
                <w:sz w:val="21"/>
                <w:szCs w:val="21"/>
                <w:highlight w:val="none"/>
                <w14:textFill>
                  <w14:solidFill>
                    <w14:schemeClr w14:val="tx1"/>
                  </w14:solidFill>
                </w14:textFill>
              </w:rPr>
            </w:pPr>
            <w:r>
              <w:rPr>
                <w:color w:val="000000" w:themeColor="text1"/>
                <w:kern w:val="0"/>
                <w:sz w:val="21"/>
                <w:szCs w:val="21"/>
                <w:highlight w:val="none"/>
                <w14:textFill>
                  <w14:solidFill>
                    <w14:schemeClr w14:val="tx1"/>
                  </w14:solidFill>
                </w14:textFill>
              </w:rPr>
              <w:t>1</w:t>
            </w:r>
          </w:p>
        </w:tc>
        <w:tc>
          <w:tcPr>
            <w:tcW w:w="1355" w:type="pct"/>
            <w:tcBorders>
              <w:top w:val="nil"/>
              <w:left w:val="nil"/>
              <w:bottom w:val="single" w:color="auto" w:sz="4" w:space="0"/>
              <w:right w:val="single" w:color="auto" w:sz="4" w:space="0"/>
            </w:tcBorders>
            <w:tcMar>
              <w:top w:w="15" w:type="dxa"/>
              <w:left w:w="15" w:type="dxa"/>
              <w:bottom w:w="0" w:type="dxa"/>
              <w:right w:w="15" w:type="dxa"/>
            </w:tcMar>
            <w:vAlign w:val="center"/>
          </w:tcPr>
          <w:p>
            <w:pPr>
              <w:ind w:left="0" w:leftChars="0" w:firstLine="0" w:firstLineChars="0"/>
              <w:jc w:val="center"/>
              <w:rPr>
                <w:color w:val="000000" w:themeColor="text1"/>
                <w:kern w:val="0"/>
                <w:sz w:val="21"/>
                <w:szCs w:val="21"/>
                <w:highlight w:val="none"/>
                <w14:textFill>
                  <w14:solidFill>
                    <w14:schemeClr w14:val="tx1"/>
                  </w14:solidFill>
                </w14:textFill>
              </w:rPr>
            </w:pPr>
            <w:r>
              <w:rPr>
                <w:color w:val="000000" w:themeColor="text1"/>
                <w:kern w:val="0"/>
                <w:sz w:val="21"/>
                <w:szCs w:val="21"/>
                <w:highlight w:val="none"/>
                <w14:textFill>
                  <w14:solidFill>
                    <w14:schemeClr w14:val="tx1"/>
                  </w14:solidFill>
                </w14:textFill>
              </w:rPr>
              <w:t>2</w:t>
            </w:r>
          </w:p>
        </w:tc>
      </w:tr>
      <w:tr>
        <w:tblPrEx>
          <w:tblCellMar>
            <w:top w:w="0" w:type="dxa"/>
            <w:left w:w="0" w:type="dxa"/>
            <w:bottom w:w="0" w:type="dxa"/>
            <w:right w:w="0" w:type="dxa"/>
          </w:tblCellMar>
        </w:tblPrEx>
        <w:trPr>
          <w:trHeight w:val="482" w:hRule="exact"/>
          <w:jc w:val="center"/>
        </w:trPr>
        <w:tc>
          <w:tcPr>
            <w:tcW w:w="934" w:type="pct"/>
            <w:tcBorders>
              <w:top w:val="nil"/>
              <w:left w:val="single" w:color="auto" w:sz="4" w:space="0"/>
              <w:bottom w:val="single" w:color="auto" w:sz="4" w:space="0"/>
              <w:right w:val="single" w:color="auto" w:sz="4" w:space="0"/>
            </w:tcBorders>
            <w:noWrap/>
            <w:tcMar>
              <w:top w:w="15" w:type="dxa"/>
              <w:left w:w="15" w:type="dxa"/>
              <w:bottom w:w="0" w:type="dxa"/>
              <w:right w:w="15" w:type="dxa"/>
            </w:tcMar>
            <w:vAlign w:val="center"/>
          </w:tcPr>
          <w:p>
            <w:pPr>
              <w:ind w:left="0" w:leftChars="0"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eastAsia="zh-CN"/>
                <w14:textFill>
                  <w14:solidFill>
                    <w14:schemeClr w14:val="tx1"/>
                  </w14:solidFill>
                </w14:textFill>
              </w:rPr>
              <w:t>沙湾</w:t>
            </w:r>
            <w:r>
              <w:rPr>
                <w:rFonts w:hint="eastAsia"/>
                <w:color w:val="000000" w:themeColor="text1"/>
                <w:kern w:val="0"/>
                <w:sz w:val="21"/>
                <w:szCs w:val="21"/>
                <w:highlight w:val="none"/>
                <w:lang w:val="en-US" w:eastAsia="zh-CN"/>
                <w14:textFill>
                  <w14:solidFill>
                    <w14:schemeClr w14:val="tx1"/>
                  </w14:solidFill>
                </w14:textFill>
              </w:rPr>
              <w:t>3</w:t>
            </w:r>
          </w:p>
        </w:tc>
        <w:tc>
          <w:tcPr>
            <w:tcW w:w="1354" w:type="pct"/>
            <w:tcBorders>
              <w:top w:val="nil"/>
              <w:left w:val="nil"/>
              <w:bottom w:val="single" w:color="auto" w:sz="4" w:space="0"/>
              <w:right w:val="single" w:color="auto" w:sz="4" w:space="0"/>
            </w:tcBorders>
            <w:tcMar>
              <w:top w:w="15" w:type="dxa"/>
              <w:left w:w="15" w:type="dxa"/>
              <w:bottom w:w="0" w:type="dxa"/>
              <w:right w:w="15" w:type="dxa"/>
            </w:tcMar>
            <w:vAlign w:val="center"/>
          </w:tcPr>
          <w:p>
            <w:pPr>
              <w:ind w:left="0" w:leftChars="0"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8.45</w:t>
            </w:r>
          </w:p>
        </w:tc>
        <w:tc>
          <w:tcPr>
            <w:tcW w:w="1354" w:type="pct"/>
            <w:tcBorders>
              <w:top w:val="nil"/>
              <w:left w:val="nil"/>
              <w:bottom w:val="single" w:color="auto" w:sz="4" w:space="0"/>
              <w:right w:val="single" w:color="auto" w:sz="4" w:space="0"/>
            </w:tcBorders>
            <w:tcMar>
              <w:top w:w="15" w:type="dxa"/>
              <w:left w:w="15" w:type="dxa"/>
              <w:bottom w:w="0" w:type="dxa"/>
              <w:right w:w="15" w:type="dxa"/>
            </w:tcMar>
            <w:vAlign w:val="center"/>
          </w:tcPr>
          <w:p>
            <w:pPr>
              <w:ind w:left="0" w:leftChars="0"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8.31</w:t>
            </w:r>
          </w:p>
        </w:tc>
        <w:tc>
          <w:tcPr>
            <w:tcW w:w="1355" w:type="pct"/>
            <w:tcBorders>
              <w:top w:val="nil"/>
              <w:left w:val="nil"/>
              <w:bottom w:val="single" w:color="auto" w:sz="4" w:space="0"/>
              <w:right w:val="single" w:color="auto" w:sz="4" w:space="0"/>
            </w:tcBorders>
            <w:tcMar>
              <w:top w:w="15" w:type="dxa"/>
              <w:left w:w="15" w:type="dxa"/>
              <w:bottom w:w="0" w:type="dxa"/>
              <w:right w:w="15" w:type="dxa"/>
            </w:tcMar>
            <w:vAlign w:val="center"/>
          </w:tcPr>
          <w:p>
            <w:pPr>
              <w:ind w:left="0" w:leftChars="0"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8.11</w:t>
            </w:r>
          </w:p>
        </w:tc>
      </w:tr>
    </w:tbl>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highlight w:val="none"/>
          <w:lang w:val="en-US" w:eastAsia="zh-CN"/>
        </w:rPr>
      </w:pPr>
    </w:p>
    <w:p>
      <w:pPr>
        <w:pStyle w:val="5"/>
        <w:bidi w:val="0"/>
        <w:ind w:left="720" w:leftChars="0" w:hanging="720" w:firstLineChars="0"/>
        <w:rPr>
          <w:rFonts w:hint="eastAsia"/>
          <w:color w:val="auto"/>
          <w:highlight w:val="none"/>
          <w:lang w:eastAsia="zh-CN"/>
        </w:rPr>
      </w:pPr>
      <w:bookmarkStart w:id="91" w:name="_Toc30070"/>
      <w:bookmarkStart w:id="92" w:name="_Toc74814489"/>
      <w:bookmarkStart w:id="93" w:name="_Toc49530516"/>
      <w:r>
        <w:rPr>
          <w:rFonts w:hint="eastAsia"/>
          <w:color w:val="auto"/>
          <w:highlight w:val="none"/>
          <w:lang w:eastAsia="zh-CN"/>
        </w:rPr>
        <w:t>涨落潮历时</w:t>
      </w:r>
      <w:bookmarkEnd w:id="91"/>
      <w:bookmarkEnd w:id="92"/>
      <w:bookmarkEnd w:id="93"/>
    </w:p>
    <w:p>
      <w:pPr>
        <w:ind w:firstLine="480"/>
        <w:rPr>
          <w:highlight w:val="none"/>
        </w:rPr>
      </w:pPr>
      <w:r>
        <w:rPr>
          <w:rFonts w:hint="eastAsia"/>
          <w:highlight w:val="none"/>
        </w:rPr>
        <w:t>潮位过程线的形状表现为涨潮历时短，落潮历时长，呈不对称正弦曲线，反映珠江河口地区落潮历时大于涨潮历时，而且落潮历时汛期长于枯水期，涨潮历时则相反，沿河上溯，落潮历时呈递增变化，涨潮历时呈递减变化。</w:t>
      </w:r>
    </w:p>
    <w:p>
      <w:pPr>
        <w:pStyle w:val="5"/>
        <w:bidi w:val="0"/>
        <w:ind w:left="720" w:leftChars="0" w:hanging="720" w:firstLineChars="0"/>
        <w:rPr>
          <w:rFonts w:hint="eastAsia"/>
          <w:color w:val="auto"/>
          <w:highlight w:val="none"/>
          <w:lang w:eastAsia="zh-CN"/>
        </w:rPr>
      </w:pPr>
      <w:bookmarkStart w:id="94" w:name="_Toc356"/>
      <w:bookmarkStart w:id="95" w:name="_Toc74814490"/>
      <w:r>
        <w:rPr>
          <w:rFonts w:hint="eastAsia"/>
          <w:color w:val="auto"/>
          <w:highlight w:val="none"/>
          <w:lang w:eastAsia="zh-CN"/>
        </w:rPr>
        <w:t>洪潮遭遇</w:t>
      </w:r>
      <w:bookmarkEnd w:id="94"/>
      <w:bookmarkEnd w:id="95"/>
    </w:p>
    <w:p>
      <w:pPr>
        <w:ind w:firstLine="480"/>
        <w:rPr>
          <w:highlight w:val="none"/>
        </w:rPr>
      </w:pPr>
      <w:r>
        <w:rPr>
          <w:highlight w:val="none"/>
        </w:rPr>
        <w:t>以三水站代表西、北江洪水进入番顺的控制站，舢舨洲代表潮汐站，若三水出现年最大洪峰流量的当天舢舨洲也出现最高潮位，即为洪潮遭遇，反之为不遭遇。根据1956~1985年30年同步资料分析，三水站洪峰流量与舢舨洲年最高潮位均没有发生遭遇；但是，西、北江发生较大洪水时，也常是大潮期。</w:t>
      </w:r>
    </w:p>
    <w:p>
      <w:pPr>
        <w:ind w:firstLine="480"/>
        <w:rPr>
          <w:highlight w:val="none"/>
        </w:rPr>
      </w:pPr>
      <w:r>
        <w:rPr>
          <w:highlight w:val="none"/>
        </w:rPr>
        <w:t>西、北两江水在思贤滘互相贯通，若以两江合成思贤滘最大洪峰流量时的西滘口相应流量及峰现时间代表西江的洪峰流量及洪现时间，同样的北滘口代表北江，按1915</w:t>
      </w:r>
      <w:r>
        <w:rPr>
          <w:rFonts w:hint="eastAsia"/>
          <w:highlight w:val="none"/>
        </w:rPr>
        <w:t>~</w:t>
      </w:r>
      <w:r>
        <w:rPr>
          <w:highlight w:val="none"/>
        </w:rPr>
        <w:t>1985年资料统计，西北两江同时发生年最大洪峰流量并在思贤滘遭遇的有11年，占总数15.7</w:t>
      </w:r>
      <w:r>
        <w:rPr>
          <w:rFonts w:hint="eastAsia"/>
          <w:highlight w:val="none"/>
        </w:rPr>
        <w:t>%</w:t>
      </w:r>
      <w:r>
        <w:rPr>
          <w:highlight w:val="none"/>
        </w:rPr>
        <w:t>，说明西、北两江洪水有一定遭遇。</w:t>
      </w:r>
    </w:p>
    <w:p>
      <w:pPr>
        <w:pStyle w:val="4"/>
        <w:bidi w:val="0"/>
        <w:ind w:left="575" w:leftChars="0" w:hanging="575" w:firstLineChars="0"/>
        <w:rPr>
          <w:rFonts w:hint="eastAsia"/>
          <w:highlight w:val="none"/>
          <w:lang w:val="en-US" w:eastAsia="zh-CN"/>
        </w:rPr>
      </w:pPr>
      <w:bookmarkStart w:id="96" w:name="_Toc74814491"/>
      <w:bookmarkStart w:id="97" w:name="_Toc10714"/>
      <w:r>
        <w:rPr>
          <w:rFonts w:hint="eastAsia"/>
          <w:highlight w:val="none"/>
          <w:lang w:val="en-US" w:eastAsia="zh-CN"/>
        </w:rPr>
        <w:t>泥沙</w:t>
      </w:r>
      <w:bookmarkEnd w:id="96"/>
      <w:bookmarkEnd w:id="97"/>
    </w:p>
    <w:p>
      <w:pPr>
        <w:ind w:firstLine="480"/>
        <w:rPr>
          <w:highlight w:val="none"/>
        </w:rPr>
        <w:sectPr>
          <w:headerReference r:id="rId7" w:type="default"/>
          <w:headerReference r:id="rId8" w:type="even"/>
          <w:pgSz w:w="12240" w:h="15840"/>
          <w:pgMar w:top="1440" w:right="1800" w:bottom="1440" w:left="1800" w:header="720" w:footer="720" w:gutter="0"/>
          <w:cols w:space="720" w:num="1"/>
          <w:docGrid w:linePitch="326" w:charSpace="0"/>
        </w:sectPr>
      </w:pPr>
      <w:r>
        <w:rPr>
          <w:highlight w:val="none"/>
        </w:rPr>
        <w:t>珠江是我国七大江河中含沙量最小的河流，多年平均含沙量0.27kg/m</w:t>
      </w:r>
      <w:r>
        <w:rPr>
          <w:highlight w:val="none"/>
          <w:vertAlign w:val="superscript"/>
        </w:rPr>
        <w:t>3</w:t>
      </w:r>
      <w:r>
        <w:rPr>
          <w:highlight w:val="none"/>
        </w:rPr>
        <w:t>，但由于年径流量大，全流域多年平均输沙量8872万t。含沙量的年内变化显著，汛期4</w:t>
      </w:r>
      <w:r>
        <w:rPr>
          <w:rFonts w:hint="eastAsia"/>
          <w:highlight w:val="none"/>
        </w:rPr>
        <w:t>~</w:t>
      </w:r>
      <w:r>
        <w:rPr>
          <w:highlight w:val="none"/>
        </w:rPr>
        <w:t>9月含沙量在0.14kg/m</w:t>
      </w:r>
      <w:r>
        <w:rPr>
          <w:highlight w:val="none"/>
          <w:vertAlign w:val="superscript"/>
        </w:rPr>
        <w:t>3</w:t>
      </w:r>
      <w:r>
        <w:rPr>
          <w:rFonts w:hint="eastAsia"/>
          <w:highlight w:val="none"/>
        </w:rPr>
        <w:t>~</w:t>
      </w:r>
      <w:r>
        <w:rPr>
          <w:highlight w:val="none"/>
        </w:rPr>
        <w:t>0.53kg/m</w:t>
      </w:r>
      <w:r>
        <w:rPr>
          <w:highlight w:val="none"/>
          <w:vertAlign w:val="superscript"/>
        </w:rPr>
        <w:t>3</w:t>
      </w:r>
      <w:r>
        <w:rPr>
          <w:highlight w:val="none"/>
        </w:rPr>
        <w:t>之间，非汛期的含沙量在0.02kg/m</w:t>
      </w:r>
      <w:r>
        <w:rPr>
          <w:highlight w:val="none"/>
          <w:vertAlign w:val="superscript"/>
        </w:rPr>
        <w:t>3</w:t>
      </w:r>
      <w:r>
        <w:rPr>
          <w:rFonts w:hint="eastAsia"/>
          <w:highlight w:val="none"/>
        </w:rPr>
        <w:t>~</w:t>
      </w:r>
      <w:r>
        <w:rPr>
          <w:highlight w:val="none"/>
        </w:rPr>
        <w:t>0.07kg/m</w:t>
      </w:r>
      <w:r>
        <w:rPr>
          <w:highlight w:val="none"/>
          <w:vertAlign w:val="superscript"/>
        </w:rPr>
        <w:t>3</w:t>
      </w:r>
      <w:r>
        <w:rPr>
          <w:highlight w:val="none"/>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default" w:ascii="Times New Roman" w:hAnsi="Times New Roman" w:cs="Times New Roman"/>
          <w:b/>
          <w:bCs w:val="0"/>
          <w:sz w:val="36"/>
          <w:szCs w:val="36"/>
          <w:lang w:val="en-US" w:eastAsia="zh-CN"/>
        </w:rPr>
      </w:pPr>
      <w:bookmarkStart w:id="98" w:name="_Toc9382"/>
      <w:r>
        <w:rPr>
          <w:rFonts w:hint="eastAsia" w:ascii="Times New Roman" w:hAnsi="Times New Roman" w:cs="Times New Roman"/>
          <w:b/>
          <w:bCs w:val="0"/>
          <w:sz w:val="36"/>
          <w:szCs w:val="36"/>
          <w:lang w:val="en-US" w:eastAsia="zh-CN"/>
        </w:rPr>
        <w:t>工程地质</w:t>
      </w:r>
      <w:bookmarkEnd w:id="98"/>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highlight w:val="none"/>
          <w:lang w:val="en-US" w:eastAsia="zh-CN"/>
        </w:rPr>
      </w:pPr>
      <w:r>
        <w:rPr>
          <w:rFonts w:hint="eastAsia" w:ascii="Times New Roman" w:hAnsi="Times New Roman" w:cs="Times New Roman" w:eastAsiaTheme="minorEastAsia"/>
          <w:sz w:val="24"/>
          <w:szCs w:val="24"/>
          <w:highlight w:val="none"/>
          <w:lang w:val="en-US" w:eastAsia="zh-CN"/>
        </w:rPr>
        <w:t>本工程</w:t>
      </w:r>
      <w:r>
        <w:rPr>
          <w:rFonts w:hint="eastAsia" w:cs="Times New Roman" w:eastAsiaTheme="minorEastAsia"/>
          <w:sz w:val="24"/>
          <w:szCs w:val="24"/>
          <w:highlight w:val="none"/>
          <w:lang w:val="en-US" w:eastAsia="zh-CN"/>
        </w:rPr>
        <w:t>地质资料引用</w:t>
      </w:r>
      <w:r>
        <w:rPr>
          <w:rFonts w:hint="eastAsia" w:ascii="Times New Roman" w:hAnsi="Times New Roman" w:cs="Times New Roman" w:eastAsiaTheme="minorEastAsia"/>
          <w:sz w:val="24"/>
          <w:szCs w:val="24"/>
          <w:highlight w:val="none"/>
          <w:lang w:val="en-US" w:eastAsia="zh-CN"/>
        </w:rPr>
        <w:t>《大蕴涌（含二塱涌）整治工程工程地质勘察报告》成果。</w:t>
      </w:r>
    </w:p>
    <w:p>
      <w:pPr>
        <w:pStyle w:val="4"/>
        <w:bidi w:val="0"/>
        <w:ind w:left="575" w:leftChars="0" w:hanging="575" w:firstLineChars="0"/>
        <w:rPr>
          <w:rFonts w:hint="default" w:ascii="Times New Roman" w:hAnsi="Times New Roman"/>
          <w:lang w:val="en-US" w:eastAsia="zh-CN"/>
        </w:rPr>
      </w:pPr>
      <w:bookmarkStart w:id="99" w:name="_Toc3311"/>
      <w:r>
        <w:rPr>
          <w:rFonts w:hint="eastAsia" w:ascii="Times New Roman" w:hAnsi="Times New Roman"/>
          <w:lang w:val="en-US" w:eastAsia="zh-CN"/>
        </w:rPr>
        <w:t>地形地貌</w:t>
      </w:r>
      <w:bookmarkEnd w:id="99"/>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highlight w:val="none"/>
          <w:lang w:val="en-US" w:eastAsia="zh-CN"/>
        </w:rPr>
      </w:pPr>
      <w:r>
        <w:rPr>
          <w:rFonts w:hint="eastAsia" w:ascii="Times New Roman" w:hAnsi="Times New Roman" w:cs="Times New Roman" w:eastAsiaTheme="minorEastAsia"/>
          <w:sz w:val="24"/>
          <w:szCs w:val="24"/>
          <w:highlight w:val="none"/>
          <w:lang w:val="en-US" w:eastAsia="zh-CN"/>
        </w:rPr>
        <w:t>大蕴涌地貌单元为三角洲冲积平原，整条河涌拟沿原河涌进行整治。</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highlight w:val="none"/>
          <w:lang w:val="en-US" w:eastAsia="zh-CN"/>
        </w:rPr>
        <w:t>河涌两侧多种植有翠竹及树木，多处搭建有棚屋及堆放杂物。两侧居民的生活污水经由排污管直接排放至河涌，河床底面高程一般为</w:t>
      </w:r>
      <w:r>
        <w:rPr>
          <w:rFonts w:hint="eastAsia" w:cs="Times New Roman" w:eastAsiaTheme="minorEastAsia"/>
          <w:sz w:val="24"/>
          <w:szCs w:val="24"/>
          <w:highlight w:val="none"/>
          <w:lang w:val="en-US" w:eastAsia="zh-CN"/>
        </w:rPr>
        <w:t>-1.80</w:t>
      </w:r>
      <w:r>
        <w:rPr>
          <w:rFonts w:hint="eastAsia" w:ascii="Times New Roman" w:hAnsi="Times New Roman" w:cs="Times New Roman" w:eastAsiaTheme="minorEastAsia"/>
          <w:sz w:val="24"/>
          <w:szCs w:val="24"/>
          <w:highlight w:val="none"/>
          <w:lang w:val="en-US" w:eastAsia="zh-CN"/>
        </w:rPr>
        <w:t>～-</w:t>
      </w:r>
      <w:r>
        <w:rPr>
          <w:rFonts w:hint="eastAsia" w:cs="Times New Roman" w:eastAsiaTheme="minorEastAsia"/>
          <w:sz w:val="24"/>
          <w:szCs w:val="24"/>
          <w:highlight w:val="none"/>
          <w:lang w:val="en-US" w:eastAsia="zh-CN"/>
        </w:rPr>
        <w:t>1.20</w:t>
      </w:r>
      <w:r>
        <w:rPr>
          <w:rFonts w:hint="eastAsia" w:ascii="Times New Roman" w:hAnsi="Times New Roman" w:cs="Times New Roman" w:eastAsiaTheme="minorEastAsia"/>
          <w:sz w:val="24"/>
          <w:szCs w:val="24"/>
          <w:highlight w:val="none"/>
          <w:lang w:val="en-US" w:eastAsia="zh-CN"/>
        </w:rPr>
        <w:t>m，</w:t>
      </w:r>
      <w:r>
        <w:rPr>
          <w:rFonts w:hint="eastAsia" w:ascii="Times New Roman" w:hAnsi="Times New Roman" w:cs="Times New Roman" w:eastAsiaTheme="minorEastAsia"/>
          <w:sz w:val="24"/>
          <w:szCs w:val="24"/>
          <w:lang w:val="en-US" w:eastAsia="zh-CN"/>
        </w:rPr>
        <w:t>河涌水主要由受市桥水道与沙湾水道补给。</w:t>
      </w:r>
    </w:p>
    <w:p>
      <w:pPr>
        <w:pStyle w:val="4"/>
        <w:bidi w:val="0"/>
        <w:ind w:left="575" w:leftChars="0" w:hanging="575" w:firstLineChars="0"/>
        <w:rPr>
          <w:rFonts w:hint="default" w:ascii="Times New Roman" w:hAnsi="Times New Roman"/>
          <w:lang w:val="en-US" w:eastAsia="zh-CN"/>
        </w:rPr>
      </w:pPr>
      <w:bookmarkStart w:id="100" w:name="_Toc27260"/>
      <w:r>
        <w:rPr>
          <w:rFonts w:hint="eastAsia" w:ascii="Times New Roman" w:hAnsi="Times New Roman"/>
          <w:lang w:val="en-US" w:eastAsia="zh-CN"/>
        </w:rPr>
        <w:t>地层岩性</w:t>
      </w:r>
      <w:bookmarkEnd w:id="100"/>
    </w:p>
    <w:p>
      <w:pPr>
        <w:pStyle w:val="178"/>
        <w:rPr>
          <w:rFonts w:hint="eastAsia" w:ascii="Times New Roman" w:hAnsi="Times New Roman" w:cs="Times New Roman" w:eastAsiaTheme="minorEastAsia"/>
          <w:sz w:val="24"/>
          <w:szCs w:val="24"/>
          <w:lang w:val="en-US" w:eastAsia="zh-CN" w:bidi="ar-SA"/>
        </w:rPr>
      </w:pPr>
      <w:bookmarkStart w:id="101" w:name="_Toc14335"/>
      <w:bookmarkStart w:id="102" w:name="_Toc51319162"/>
      <w:r>
        <w:rPr>
          <w:rFonts w:hint="eastAsia" w:ascii="Times New Roman" w:hAnsi="Times New Roman" w:cs="Times New Roman" w:eastAsiaTheme="minorEastAsia"/>
          <w:sz w:val="24"/>
          <w:szCs w:val="24"/>
          <w:lang w:val="en-US" w:eastAsia="zh-CN" w:bidi="ar-SA"/>
        </w:rPr>
        <w:t>根据场地钻探结果，在钻孔揭露的深度范围内，场地内岩土层按其成因自上而下可分为：填土层（Q4ml）、海陆交互相软土层（Q4mc）、冲积层（Q3al）、残积层（Qel）和基岩（K）5个大层，再按岩土性质又可进一步细分10个亚层。各层的分布及特征分述如下：</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fldChar w:fldCharType="begin"/>
      </w:r>
      <w:r>
        <w:rPr>
          <w:rFonts w:hint="eastAsia" w:ascii="Times New Roman" w:hAnsi="Times New Roman" w:cs="Times New Roman" w:eastAsiaTheme="minorEastAsia"/>
          <w:sz w:val="24"/>
          <w:szCs w:val="24"/>
          <w:lang w:val="en-US" w:eastAsia="zh-CN" w:bidi="ar-SA"/>
        </w:rPr>
        <w:instrText xml:space="preserve"> eq \o\ac(○,1)</w:instrText>
      </w:r>
      <w:r>
        <w:rPr>
          <w:rFonts w:hint="eastAsia" w:ascii="Times New Roman" w:hAnsi="Times New Roman" w:cs="Times New Roman" w:eastAsiaTheme="minorEastAsia"/>
          <w:sz w:val="24"/>
          <w:szCs w:val="24"/>
          <w:lang w:val="en-US" w:eastAsia="zh-CN" w:bidi="ar-SA"/>
        </w:rPr>
        <w:fldChar w:fldCharType="end"/>
      </w:r>
      <w:r>
        <w:rPr>
          <w:rFonts w:hint="eastAsia" w:ascii="Times New Roman" w:hAnsi="Times New Roman" w:cs="Times New Roman" w:eastAsiaTheme="minorEastAsia"/>
          <w:sz w:val="24"/>
          <w:szCs w:val="24"/>
          <w:lang w:val="en-US" w:eastAsia="zh-CN" w:bidi="ar-SA"/>
        </w:rPr>
        <w:t>第四系全新统人工填土（Q4ml）</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fldChar w:fldCharType="begin"/>
      </w:r>
      <w:r>
        <w:rPr>
          <w:rFonts w:hint="eastAsia" w:ascii="Times New Roman" w:hAnsi="Times New Roman" w:cs="Times New Roman" w:eastAsiaTheme="minorEastAsia"/>
          <w:sz w:val="24"/>
          <w:szCs w:val="24"/>
          <w:lang w:val="en-US" w:eastAsia="zh-CN" w:bidi="ar-SA"/>
        </w:rPr>
        <w:instrText xml:space="preserve"> eq \o\ac(○,1)</w:instrText>
      </w:r>
      <w:r>
        <w:rPr>
          <w:rFonts w:hint="eastAsia" w:ascii="Times New Roman" w:hAnsi="Times New Roman" w:cs="Times New Roman" w:eastAsiaTheme="minorEastAsia"/>
          <w:sz w:val="24"/>
          <w:szCs w:val="24"/>
          <w:lang w:val="en-US" w:eastAsia="zh-CN" w:bidi="ar-SA"/>
        </w:rPr>
        <w:fldChar w:fldCharType="end"/>
      </w:r>
      <w:r>
        <w:rPr>
          <w:rFonts w:hint="eastAsia" w:ascii="Times New Roman" w:hAnsi="Times New Roman" w:cs="Times New Roman" w:eastAsiaTheme="minorEastAsia"/>
          <w:sz w:val="24"/>
          <w:szCs w:val="24"/>
          <w:lang w:val="en-US" w:eastAsia="zh-CN" w:bidi="ar-SA"/>
        </w:rPr>
        <w:t>杂填土：棕褐、灰等色，主要由细粒土、碎砖块、碎石等建筑物及生活垃圾组成，部分地段底部为厚约0.40～0.50m的耕植土。湿，疏松状为主。该层主要分布于河涌两岸，除水上钻孔外均有揭露，层厚为1.20～2.20m，平均厚度为1.42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②第四系全新统海陆交互相沉积层（Q4mc）</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②-1淤泥：灰黑、深灰色，土质松软，饱和，流塑,含粉细砂，局部含软塑状的粉质粘土薄层。该层分布广泛，所有钻孔均有揭露。层顶标高为-1.15～1.22m；层厚为2.10～12.60m，平均厚度为7.21m。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②-2粉砂：灰～深灰、浅黄等色，饱和，松散状为主，局部下部呈稍密状，级配一般～较好，含粘粒稍多，局部相变为粉土。该层分布较广，ZK01、ZK02、JSK02等13个钻孔有揭露。层顶标高为-11.05～-1.77m；层厚为0.80～6.20m，平均厚度为3.22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②-3淤泥质土：灰黑、深灰色，饱和，流塑。ZK01、JSK02、ZK12等8个钻孔有揭露。层顶标高为-12.17～-4.47m；层厚为0.90～5.70m，平均厚度为2.73m。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③第四系上更新统冲积层（Q3al）</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③-1粉质粘土：灰黄、砖红等色，很湿～湿，可塑为主，部分地段呈硬可塑。该层分布较广泛，除JSK02、JSK03、ZK09等6个孔缺失外，其他钻孔均有揭露。层顶标高为-14.38～-5.97m；层厚为0.70～8.50m，平均厚度为2.59m。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③-2细砂：灰白、灰色，饱和，以稍密为主，部分地段呈中密-密实状，局部呈松散状，级配一般，部分地段为中砂。该层分布较广泛，ZK01、ZK02、JSK01等13个钻孔有揭露。层顶标高为-15.58～-10.25m；层厚为1.50～4.70m，平均厚度为2.65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④第四系残积层（Qel）</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④粉土：灰黄、褐红等色，由粉砂岩、泥质粉砂岩风化而成，呈粉土、粉质粘土状，其中多以粉土为主，稍湿～湿，密实或硬塑。该层分布较广泛，除ZK03、ZK08、ZK19孔缺失外，其他钻孔均有揭露。层顶标高为-17.58～-9.57m；层厚为1.60～9.50m，平均厚度为3.24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⑤白垩系粉砂质泥岩（K）,勘察场地揭露的基岩为白垩系泥质粉砂岩，在揭露深度范围内，揭露到全风化、强风化和中风化三个亚层。</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⑤-1全风化泥质粉砂岩：灰、褐红等色，呈土状，稍湿，手可捏碎。JSK01、ZK02、ZK03、ZK04、ZK05、ZK06、ZK08等７个钻孔有揭露。层顶标高为-20.35～-14.87m；揭露层厚为1.70～6.60m，平均厚度为3.29m。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⑤-2强风化泥质粉砂岩：褐红、深灰等色，呈半岩半土状和呈碎块状、扁柱状或短柱状，岩块用手可捏碎或易击碎和折断。该层分布广泛，除ZK01受孔深限制未揭露外，其他钻孔均有揭露。层顶标高为-23.15～-12.17m；揭露层厚为1.20～12.80m，平均厚度为3.21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⑤-3中风化泥质粉砂岩：褐红、紫红色，岩质较致密、坚硬，岩芯主要呈短柱状。受孔深限制仅JSK02、JSK03孔揭露到该层。层顶标高为-25.93～-22.07m。揭露厚度2.10～3.40m。</w:t>
      </w:r>
    </w:p>
    <w:p>
      <w:pPr>
        <w:pStyle w:val="4"/>
        <w:bidi w:val="0"/>
        <w:ind w:left="575" w:leftChars="0" w:hanging="575" w:firstLineChars="0"/>
        <w:rPr>
          <w:rFonts w:hint="eastAsia" w:ascii="Times New Roman" w:hAnsi="Times New Roman"/>
          <w:lang w:val="en-US" w:eastAsia="zh-CN"/>
        </w:rPr>
      </w:pPr>
      <w:bookmarkStart w:id="103" w:name="_Toc27979"/>
      <w:r>
        <w:rPr>
          <w:rFonts w:hint="eastAsia" w:ascii="Times New Roman" w:hAnsi="Times New Roman"/>
          <w:lang w:val="en-US" w:eastAsia="zh-CN"/>
        </w:rPr>
        <w:t>地震烈度</w:t>
      </w:r>
      <w:bookmarkEnd w:id="101"/>
      <w:bookmarkEnd w:id="102"/>
      <w:bookmarkEnd w:id="103"/>
    </w:p>
    <w:p>
      <w:pPr>
        <w:pStyle w:val="178"/>
        <w:rPr>
          <w:rFonts w:hint="eastAsia" w:ascii="Times New Roman" w:hAnsi="Times New Roman" w:cs="Times New Roman" w:eastAsiaTheme="minorEastAsia"/>
          <w:sz w:val="24"/>
          <w:szCs w:val="24"/>
          <w:lang w:val="en-US" w:eastAsia="zh-CN" w:bidi="ar-SA"/>
        </w:rPr>
      </w:pPr>
      <w:bookmarkStart w:id="104" w:name="_Toc26531"/>
      <w:bookmarkStart w:id="105" w:name="_Toc51319163"/>
      <w:bookmarkStart w:id="106" w:name="_Toc458506140"/>
      <w:r>
        <w:rPr>
          <w:rFonts w:hint="eastAsia" w:ascii="Times New Roman" w:hAnsi="Times New Roman" w:cs="Times New Roman" w:eastAsiaTheme="minorEastAsia"/>
          <w:sz w:val="24"/>
          <w:szCs w:val="24"/>
          <w:lang w:val="en-US" w:eastAsia="zh-CN" w:bidi="ar-SA"/>
        </w:rPr>
        <w:t>工程区在区域上位于东南沿海地震活动带的内带，地震强度明显弱于滨海地区的外带。附近地区历史上对工程区影响最大的地震是1962年河源6.1级地震，影响烈度是Ⅴ～Ⅵ度，由此可见，近场区地震活动相对较弱，频度相对较低。</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根据2001年中国地震局编制的1:400万《中国地震动参数区划图》（GB18306-2001），工程区的地震动峰值加速度为0.10g（相应的地震基本烈度为Ⅶ度），动反应谱特征周期为0.35s。</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根据广东省有关区域地质资料，并参考1：20万《中华人民共和国地质图说明书》（广州幅），番禺区位于粤中拗褶断束的南部，西北江三角洲次稳定区。区内第四系广泛分布，区内及周围断裂较少，且以弱活动断裂为主，断裂的地震活动水平较低，新构造运动总趋势是相对平稳的。总体来说，工程区区域构造环境相对稳定。</w:t>
      </w:r>
    </w:p>
    <w:p>
      <w:pPr>
        <w:pStyle w:val="4"/>
        <w:bidi w:val="0"/>
        <w:ind w:left="575" w:leftChars="0" w:hanging="575" w:firstLineChars="0"/>
        <w:rPr>
          <w:rFonts w:hint="eastAsia" w:ascii="Times New Roman" w:hAnsi="Times New Roman"/>
          <w:lang w:val="en-US" w:eastAsia="zh-CN"/>
        </w:rPr>
      </w:pPr>
      <w:bookmarkStart w:id="107" w:name="_Toc13925"/>
      <w:r>
        <w:rPr>
          <w:rFonts w:hint="eastAsia" w:ascii="Times New Roman" w:hAnsi="Times New Roman"/>
          <w:lang w:val="en-US" w:eastAsia="zh-CN"/>
        </w:rPr>
        <w:t>水文地质</w:t>
      </w:r>
      <w:bookmarkEnd w:id="104"/>
      <w:bookmarkEnd w:id="105"/>
      <w:bookmarkEnd w:id="106"/>
      <w:bookmarkEnd w:id="107"/>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番禺区属南亚热带季风气候，具有温暖多雨、光热充足、温差较小、夏季长、霜期短等气候特征。该区雨量充沛，植被繁茂，土质肥沃，基岩风化厚度较大，为地下水的赋存和补给提供了良好的自然环境。</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工程区被珠江水系河道所环绕，位处珠江下游。河道多为老年期河谷，河谷呈槽形，以堆积作用为主，水流缓慢，底蚀作用停止，侧蚀作用微弱。地势低洼地段地下水埋藏浅，水量丰富，地下水补给来源主要为地表水体和大气降水。地下水基本类型有第四系孔隙水和基岩裂隙水，在断层中还分布有裂隙承压水。孔隙水含水层主要为粉砂﹑细砂﹑中砂和粗砂层，其余土层为相对隔水层。裂隙水含水层主要赋存于混合岩的强﹑弱风化基岩中。地下水水量受季节影响大。</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地下水埋深一般为</w:t>
      </w:r>
      <w:r>
        <w:rPr>
          <w:rFonts w:hint="eastAsia" w:cs="Times New Roman" w:eastAsiaTheme="minorEastAsia"/>
          <w:sz w:val="24"/>
          <w:szCs w:val="24"/>
          <w:lang w:val="en-US" w:eastAsia="zh-CN"/>
        </w:rPr>
        <w:t>0.50</w:t>
      </w:r>
      <w:r>
        <w:rPr>
          <w:rFonts w:hint="eastAsia" w:ascii="Times New Roman" w:hAnsi="Times New Roman" w:cs="Times New Roman" w:eastAsiaTheme="minorEastAsia"/>
          <w:sz w:val="24"/>
          <w:szCs w:val="24"/>
          <w:lang w:val="en-US" w:eastAsia="zh-CN"/>
        </w:rPr>
        <w:t>～</w:t>
      </w:r>
      <w:r>
        <w:rPr>
          <w:rFonts w:hint="eastAsia" w:cs="Times New Roman" w:eastAsiaTheme="minorEastAsia"/>
          <w:sz w:val="24"/>
          <w:szCs w:val="24"/>
          <w:lang w:val="en-US" w:eastAsia="zh-CN"/>
        </w:rPr>
        <w:t>2.50</w:t>
      </w:r>
      <w:r>
        <w:rPr>
          <w:rFonts w:hint="eastAsia" w:ascii="Times New Roman" w:hAnsi="Times New Roman" w:cs="Times New Roman" w:eastAsiaTheme="minorEastAsia"/>
          <w:sz w:val="24"/>
          <w:szCs w:val="24"/>
          <w:lang w:val="en-US" w:eastAsia="zh-CN"/>
        </w:rPr>
        <w:t>m不等，其主要补给来源为大气降水及河涌水。地下水的排泄以蒸发为主，其次为人工开采和侧向径流排入河涌。区内地下水动态变化复杂，除受大气降水、蒸发、地形地貌条件影响外，还受外江潮水涨落和河涌水位影响较大。</w:t>
      </w:r>
    </w:p>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eastAsia"/>
          <w:lang w:val="en-US" w:eastAsia="zh-CN"/>
        </w:rPr>
      </w:pPr>
      <w:bookmarkStart w:id="108" w:name="_Toc15026"/>
      <w:bookmarkStart w:id="109" w:name="_Toc4527"/>
      <w:bookmarkStart w:id="110" w:name="_Toc51319164"/>
      <w:r>
        <w:rPr>
          <w:rFonts w:hint="eastAsia"/>
          <w:lang w:val="en-US" w:eastAsia="zh-CN"/>
        </w:rPr>
        <w:t>工程地质条件</w:t>
      </w:r>
      <w:bookmarkEnd w:id="108"/>
      <w:bookmarkEnd w:id="109"/>
      <w:bookmarkEnd w:id="110"/>
    </w:p>
    <w:p>
      <w:pPr>
        <w:pStyle w:val="5"/>
        <w:bidi w:val="0"/>
        <w:ind w:left="720" w:leftChars="0" w:hanging="720" w:firstLineChars="0"/>
        <w:rPr>
          <w:rFonts w:hint="eastAsia"/>
          <w:lang w:eastAsia="zh-CN"/>
        </w:rPr>
      </w:pPr>
      <w:bookmarkStart w:id="111" w:name="_Toc458506144"/>
      <w:bookmarkStart w:id="112" w:name="_Toc51319166"/>
      <w:bookmarkStart w:id="113" w:name="_Toc21100"/>
      <w:bookmarkStart w:id="114" w:name="_Toc24822"/>
      <w:r>
        <w:rPr>
          <w:rFonts w:hint="eastAsia"/>
          <w:lang w:eastAsia="zh-CN"/>
        </w:rPr>
        <w:t>地层岩性及岩土分布</w:t>
      </w:r>
      <w:bookmarkEnd w:id="111"/>
      <w:bookmarkEnd w:id="112"/>
      <w:bookmarkEnd w:id="113"/>
      <w:bookmarkEnd w:id="114"/>
    </w:p>
    <w:p>
      <w:pPr>
        <w:pStyle w:val="178"/>
        <w:rPr>
          <w:rFonts w:hint="eastAsia" w:ascii="Times New Roman" w:hAnsi="Times New Roman" w:cs="Times New Roman" w:eastAsiaTheme="minorEastAsia"/>
          <w:sz w:val="24"/>
          <w:szCs w:val="24"/>
          <w:lang w:val="en-US" w:eastAsia="zh-CN" w:bidi="ar-SA"/>
        </w:rPr>
      </w:pPr>
      <w:bookmarkStart w:id="115" w:name="_Toc452319139"/>
      <w:bookmarkStart w:id="116" w:name="_Toc51319167"/>
      <w:bookmarkStart w:id="117" w:name="_Toc13066"/>
      <w:r>
        <w:rPr>
          <w:rFonts w:hint="eastAsia" w:ascii="Times New Roman" w:hAnsi="Times New Roman" w:cs="Times New Roman" w:eastAsiaTheme="minorEastAsia"/>
          <w:sz w:val="24"/>
          <w:szCs w:val="24"/>
          <w:lang w:val="en-US" w:eastAsia="zh-CN" w:bidi="ar-SA"/>
        </w:rPr>
        <w:t>根据场地钻探结果，在钻孔揭露的深度范围内，场地内岩土层按其成因自上而下可分为：填土层（Q4ml）、海陆交互相软土层（Q4mc）、冲积层（Q3al）、残积层（Qel）和基岩（K）5个大层，再按岩土性质又可进一步细分10个亚层。各层的分布及特征分述如下：</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fldChar w:fldCharType="begin"/>
      </w:r>
      <w:r>
        <w:rPr>
          <w:rFonts w:hint="eastAsia" w:ascii="Times New Roman" w:hAnsi="Times New Roman" w:cs="Times New Roman" w:eastAsiaTheme="minorEastAsia"/>
          <w:sz w:val="24"/>
          <w:szCs w:val="24"/>
          <w:lang w:val="en-US" w:eastAsia="zh-CN" w:bidi="ar-SA"/>
        </w:rPr>
        <w:instrText xml:space="preserve"> eq \o\ac(○,1)</w:instrText>
      </w:r>
      <w:r>
        <w:rPr>
          <w:rFonts w:hint="eastAsia" w:ascii="Times New Roman" w:hAnsi="Times New Roman" w:cs="Times New Roman" w:eastAsiaTheme="minorEastAsia"/>
          <w:sz w:val="24"/>
          <w:szCs w:val="24"/>
          <w:lang w:val="en-US" w:eastAsia="zh-CN" w:bidi="ar-SA"/>
        </w:rPr>
        <w:fldChar w:fldCharType="end"/>
      </w:r>
      <w:r>
        <w:rPr>
          <w:rFonts w:hint="eastAsia" w:ascii="Times New Roman" w:hAnsi="Times New Roman" w:cs="Times New Roman" w:eastAsiaTheme="minorEastAsia"/>
          <w:sz w:val="24"/>
          <w:szCs w:val="24"/>
          <w:lang w:val="en-US" w:eastAsia="zh-CN" w:bidi="ar-SA"/>
        </w:rPr>
        <w:t>第四系全新统人工填土（Q4ml）</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fldChar w:fldCharType="begin"/>
      </w:r>
      <w:r>
        <w:rPr>
          <w:rFonts w:hint="eastAsia" w:ascii="Times New Roman" w:hAnsi="Times New Roman" w:cs="Times New Roman" w:eastAsiaTheme="minorEastAsia"/>
          <w:sz w:val="24"/>
          <w:szCs w:val="24"/>
          <w:lang w:val="en-US" w:eastAsia="zh-CN" w:bidi="ar-SA"/>
        </w:rPr>
        <w:instrText xml:space="preserve"> eq \o\ac(○,1)</w:instrText>
      </w:r>
      <w:r>
        <w:rPr>
          <w:rFonts w:hint="eastAsia" w:ascii="Times New Roman" w:hAnsi="Times New Roman" w:cs="Times New Roman" w:eastAsiaTheme="minorEastAsia"/>
          <w:sz w:val="24"/>
          <w:szCs w:val="24"/>
          <w:lang w:val="en-US" w:eastAsia="zh-CN" w:bidi="ar-SA"/>
        </w:rPr>
        <w:fldChar w:fldCharType="end"/>
      </w:r>
      <w:r>
        <w:rPr>
          <w:rFonts w:hint="eastAsia" w:ascii="Times New Roman" w:hAnsi="Times New Roman" w:cs="Times New Roman" w:eastAsiaTheme="minorEastAsia"/>
          <w:sz w:val="24"/>
          <w:szCs w:val="24"/>
          <w:lang w:val="en-US" w:eastAsia="zh-CN" w:bidi="ar-SA"/>
        </w:rPr>
        <w:t>杂填土：棕褐、灰等色，主要由细粒土、碎砖块、碎石等建筑物及生活垃圾组成，部分地段底部为厚约0.40～0.50m的耕植土。湿，疏松状为主。该层主要分布于河涌两岸，除水上钻孔外均有揭露，层厚为1.20～2.20m，平均厚度为1.42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②第四系全新统海陆交互相沉积层（Q4mc）</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②-1淤泥：灰黑、深灰色，土质松软，饱和，流塑,含粉细砂，局部含软塑状的粉质粘土薄层。该层分布广泛，所有钻孔均有揭露。层顶标高为-1.15～1.22m；层厚为2.10～12.60m，平均厚度为7.21m。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②-2粉砂：灰～深灰、浅黄等色，饱和，松散状为主，局部下部呈稍密状，级配一般～较好，含粘粒稍多，局部相变为粉土。该层分布较广，ZK01、ZK02、JSK02等13个钻孔有揭露。层顶标高为-11.05～-1.77m；层厚为0.80～6.20m，平均厚度为3.22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②-3淤泥质土：灰黑、深灰色，饱和，流塑。ZK01、JSK02、ZK12等8个钻孔有揭露。层顶标高为-12.17～-4.47m；层厚为0.90～5.70m，平均厚度为2.73m。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③第四系上更新统冲积层（Q3al）</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③-1粉质粘土：灰黄、砖红等色，很湿～湿，可塑为主，部分地段呈硬可塑。该层分布较广泛，除JSK02、JSK03、ZK09等6个孔缺失外，其他钻孔均有揭露。层顶标高为-14.38～-5.97m；层厚为0.70～8.50m，平均厚度为2.59m。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③-2细砂：灰白、灰色，饱和，以稍密为主，部分地段呈中密-密实状，局部呈松散状，级配一般，部分地段为中砂。该层分布较广泛，ZK01、ZK02、JSK01等13个钻孔有揭露。层顶标高为-15.58～-10.25m；层厚为1.50～4.70m，平均厚度为2.65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④第四系残积层（Qel）</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④粉土：灰黄、褐红等色，由粉砂岩、泥质粉砂岩风化而成，呈粉土、粉质粘土状，其中多以粉土为主，稍湿～湿，密实或硬塑。该层分布较广泛，除ZK03、ZK08、ZK19孔缺失外，其他钻孔均有揭露。层顶标高为-17.58～-9.57m；层厚为1.60～9.50m，平均厚度为3.24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⑤白垩系粉砂质泥岩（K）,勘察场地揭露的基岩为白垩系泥质粉砂岩，在揭露深度范围内，揭露到全风化、强风化和中风化三个亚层。</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⑤-1全风化泥质粉砂岩：灰、褐红等色，呈土状，稍湿，手可捏碎。JSK01、ZK02、ZK03、ZK04、ZK05、ZK06、ZK08等７个钻孔有揭露。层顶标高为-20.35～-14.87m；揭露层厚为1.70～6.60m，平均厚度为3.29m。</w:t>
      </w:r>
    </w:p>
    <w:p>
      <w:pPr>
        <w:pStyle w:val="178"/>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⑤-2强风化泥质粉砂岩：褐红、深灰等色，呈半岩半土状和呈碎块状、扁柱状或短柱状，岩块用手可捏碎或易击碎和折断。该层分布广泛，除ZK01受孔深限制未揭露外，其他钻孔均有揭露。层顶标高为-23.15～-12.17m；揭露层厚为1.20～12.80m，平均厚度为3.21m。</w:t>
      </w:r>
    </w:p>
    <w:p>
      <w:pPr>
        <w:bidi w:val="0"/>
        <w:rPr>
          <w:rFonts w:hint="eastAsia"/>
          <w:lang w:val="en-US" w:eastAsia="zh-CN"/>
        </w:rPr>
      </w:pPr>
      <w:r>
        <w:rPr>
          <w:rFonts w:hint="eastAsia"/>
          <w:lang w:val="en-US" w:eastAsia="zh-CN"/>
        </w:rPr>
        <w:t>⑤-3中风化泥质粉砂岩：褐红、紫红色，岩质较致密、坚硬，岩芯主要呈短柱状。受孔深限制仅JSK02、JSK03孔揭露到该层。层顶标高为-25.93～-22.07m。揭露厚度2.10～3.40m。各岩土层的物理力学指标</w:t>
      </w:r>
      <w:bookmarkEnd w:id="115"/>
      <w:r>
        <w:rPr>
          <w:rFonts w:hint="eastAsia"/>
          <w:lang w:val="en-US" w:eastAsia="zh-CN"/>
        </w:rPr>
        <w:t>统计</w:t>
      </w:r>
      <w:bookmarkEnd w:id="116"/>
      <w:bookmarkEnd w:id="117"/>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各岩土层工程性质指标建议值如下表：表3.5-1</w:t>
      </w:r>
    </w:p>
    <w:p>
      <w:pPr>
        <w:pStyle w:val="250"/>
        <w:bidi w:val="0"/>
        <w:rPr>
          <w:rFonts w:hint="eastAsia"/>
          <w:lang w:val="en-US" w:eastAsia="zh-CN"/>
        </w:rPr>
      </w:pPr>
      <w:r>
        <w:rPr>
          <w:rFonts w:hint="eastAsia"/>
          <w:lang w:val="en-US" w:eastAsia="zh-CN"/>
        </w:rPr>
        <w:t>表3.5-1土的主要物理性质指标统计表</w:t>
      </w:r>
    </w:p>
    <w:tbl>
      <w:tblPr>
        <w:tblStyle w:val="44"/>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85"/>
        <w:gridCol w:w="1324"/>
        <w:gridCol w:w="1118"/>
        <w:gridCol w:w="1009"/>
        <w:gridCol w:w="859"/>
        <w:gridCol w:w="886"/>
        <w:gridCol w:w="922"/>
        <w:gridCol w:w="806"/>
        <w:gridCol w:w="888"/>
        <w:gridCol w:w="88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315" w:type="pct"/>
            <w:vMerge w:val="restart"/>
            <w:noWrap w:val="0"/>
            <w:vAlign w:val="center"/>
          </w:tcPr>
          <w:p>
            <w:pPr>
              <w:pStyle w:val="54"/>
              <w:bidi w:val="0"/>
              <w:jc w:val="center"/>
            </w:pPr>
            <w:r>
              <w:rPr>
                <w:rFonts w:hint="eastAsia"/>
              </w:rPr>
              <w:t>层号</w:t>
            </w:r>
          </w:p>
        </w:tc>
        <w:tc>
          <w:tcPr>
            <w:tcW w:w="713" w:type="pct"/>
            <w:vMerge w:val="restart"/>
            <w:noWrap w:val="0"/>
            <w:vAlign w:val="center"/>
          </w:tcPr>
          <w:p>
            <w:pPr>
              <w:pStyle w:val="54"/>
              <w:bidi w:val="0"/>
              <w:jc w:val="center"/>
            </w:pPr>
            <w:r>
              <w:rPr>
                <w:rFonts w:hint="eastAsia"/>
              </w:rPr>
              <w:t>岩土名称</w:t>
            </w:r>
          </w:p>
        </w:tc>
        <w:tc>
          <w:tcPr>
            <w:tcW w:w="602" w:type="pct"/>
            <w:vMerge w:val="restart"/>
            <w:noWrap w:val="0"/>
            <w:vAlign w:val="center"/>
          </w:tcPr>
          <w:p>
            <w:pPr>
              <w:pStyle w:val="54"/>
              <w:bidi w:val="0"/>
              <w:jc w:val="center"/>
              <w:rPr>
                <w:rFonts w:hint="eastAsia"/>
              </w:rPr>
            </w:pPr>
            <w:r>
              <w:rPr>
                <w:rFonts w:hint="eastAsia"/>
              </w:rPr>
              <w:t>状态</w:t>
            </w:r>
          </w:p>
        </w:tc>
        <w:tc>
          <w:tcPr>
            <w:tcW w:w="543" w:type="pct"/>
            <w:vMerge w:val="restart"/>
            <w:noWrap w:val="0"/>
            <w:vAlign w:val="center"/>
          </w:tcPr>
          <w:p>
            <w:pPr>
              <w:pStyle w:val="54"/>
              <w:bidi w:val="0"/>
              <w:jc w:val="center"/>
              <w:rPr>
                <w:rFonts w:hint="eastAsia"/>
              </w:rPr>
            </w:pPr>
            <w:r>
              <w:rPr>
                <w:rFonts w:hint="eastAsia"/>
              </w:rPr>
              <w:t>地基承载力特征值</w:t>
            </w:r>
            <w:r>
              <w:t>f</w:t>
            </w:r>
            <w:r>
              <w:rPr>
                <w:rFonts w:hint="eastAsia"/>
              </w:rPr>
              <w:softHyphen/>
            </w:r>
            <w:r>
              <w:rPr>
                <w:rFonts w:hint="eastAsia"/>
              </w:rPr>
              <w:softHyphen/>
            </w:r>
            <w:r>
              <w:rPr>
                <w:rFonts w:hint="eastAsia"/>
              </w:rPr>
              <w:t>ak(kPa)</w:t>
            </w:r>
          </w:p>
        </w:tc>
        <w:tc>
          <w:tcPr>
            <w:tcW w:w="462" w:type="pct"/>
            <w:vMerge w:val="restart"/>
            <w:noWrap w:val="0"/>
            <w:vAlign w:val="center"/>
          </w:tcPr>
          <w:p>
            <w:pPr>
              <w:pStyle w:val="54"/>
              <w:bidi w:val="0"/>
              <w:jc w:val="center"/>
              <w:rPr>
                <w:rFonts w:hint="eastAsia"/>
              </w:rPr>
            </w:pPr>
            <w:r>
              <w:rPr>
                <w:rFonts w:hint="eastAsia"/>
              </w:rPr>
              <w:t>天然重度</w:t>
            </w:r>
          </w:p>
          <w:p>
            <w:pPr>
              <w:pStyle w:val="54"/>
              <w:bidi w:val="0"/>
              <w:jc w:val="center"/>
              <w:rPr>
                <w:rFonts w:hint="eastAsia"/>
              </w:rPr>
            </w:pPr>
            <w:r>
              <w:rPr>
                <w:rFonts w:hint="eastAsia"/>
              </w:rPr>
              <w:t>(kN/m</w:t>
            </w:r>
            <w:r>
              <w:rPr>
                <w:rFonts w:hint="eastAsia"/>
                <w:vertAlign w:val="superscript"/>
              </w:rPr>
              <w:t>3</w:t>
            </w:r>
            <w:r>
              <w:rPr>
                <w:rFonts w:hint="eastAsia"/>
              </w:rPr>
              <w:t>)</w:t>
            </w:r>
          </w:p>
        </w:tc>
        <w:tc>
          <w:tcPr>
            <w:tcW w:w="974" w:type="pct"/>
            <w:gridSpan w:val="2"/>
            <w:noWrap w:val="0"/>
            <w:vAlign w:val="center"/>
          </w:tcPr>
          <w:p>
            <w:pPr>
              <w:pStyle w:val="54"/>
              <w:bidi w:val="0"/>
              <w:jc w:val="center"/>
              <w:rPr>
                <w:rFonts w:hint="eastAsia"/>
              </w:rPr>
            </w:pPr>
            <w:r>
              <w:rPr>
                <w:rFonts w:hint="eastAsia"/>
              </w:rPr>
              <w:t>快剪</w:t>
            </w:r>
          </w:p>
        </w:tc>
        <w:tc>
          <w:tcPr>
            <w:tcW w:w="434" w:type="pct"/>
            <w:vMerge w:val="restart"/>
            <w:noWrap w:val="0"/>
            <w:vAlign w:val="center"/>
          </w:tcPr>
          <w:p>
            <w:pPr>
              <w:pStyle w:val="54"/>
              <w:bidi w:val="0"/>
              <w:jc w:val="center"/>
            </w:pPr>
            <w:r>
              <w:rPr>
                <w:rFonts w:hint="eastAsia"/>
              </w:rPr>
              <w:t>压缩模量Es</w:t>
            </w:r>
          </w:p>
          <w:p>
            <w:pPr>
              <w:pStyle w:val="54"/>
              <w:bidi w:val="0"/>
              <w:jc w:val="center"/>
            </w:pPr>
            <w:r>
              <w:rPr>
                <w:rFonts w:hint="eastAsia"/>
              </w:rPr>
              <w:t>(MPa)</w:t>
            </w:r>
          </w:p>
        </w:tc>
        <w:tc>
          <w:tcPr>
            <w:tcW w:w="478" w:type="pct"/>
            <w:vMerge w:val="restart"/>
            <w:noWrap w:val="0"/>
            <w:vAlign w:val="center"/>
          </w:tcPr>
          <w:p>
            <w:pPr>
              <w:pStyle w:val="54"/>
              <w:bidi w:val="0"/>
              <w:jc w:val="center"/>
              <w:rPr>
                <w:rFonts w:hint="eastAsia"/>
              </w:rPr>
            </w:pPr>
            <w:r>
              <w:rPr>
                <w:rFonts w:hint="eastAsia"/>
              </w:rPr>
              <w:t>渗透系数</w:t>
            </w:r>
            <w:r>
              <w:t>Kv</w:t>
            </w:r>
          </w:p>
          <w:p>
            <w:pPr>
              <w:pStyle w:val="54"/>
              <w:bidi w:val="0"/>
              <w:jc w:val="center"/>
              <w:rPr>
                <w:rFonts w:hint="eastAsia"/>
              </w:rPr>
            </w:pPr>
            <w:r>
              <w:rPr>
                <w:rFonts w:hint="eastAsia"/>
              </w:rPr>
              <w:t>(cm/s)</w:t>
            </w:r>
          </w:p>
        </w:tc>
        <w:tc>
          <w:tcPr>
            <w:tcW w:w="475" w:type="pct"/>
            <w:vMerge w:val="restart"/>
            <w:noWrap w:val="0"/>
            <w:vAlign w:val="center"/>
          </w:tcPr>
          <w:p>
            <w:pPr>
              <w:pStyle w:val="54"/>
              <w:bidi w:val="0"/>
              <w:jc w:val="center"/>
              <w:rPr>
                <w:rFonts w:hint="eastAsia"/>
              </w:rPr>
            </w:pPr>
            <w:r>
              <w:rPr>
                <w:rFonts w:hint="eastAsia"/>
              </w:rPr>
              <w:t>基底摩擦系数</w:t>
            </w:r>
          </w:p>
          <w:p>
            <w:pPr>
              <w:pStyle w:val="54"/>
              <w:bidi w:val="0"/>
              <w:jc w:val="center"/>
            </w:pPr>
            <w:r>
              <w:t>f</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90" w:hRule="atLeast"/>
          <w:jc w:val="center"/>
        </w:trPr>
        <w:tc>
          <w:tcPr>
            <w:tcW w:w="315" w:type="pct"/>
            <w:vMerge w:val="continue"/>
            <w:tcBorders>
              <w:bottom w:val="single" w:color="auto" w:sz="12" w:space="0"/>
            </w:tcBorders>
            <w:noWrap w:val="0"/>
            <w:vAlign w:val="center"/>
          </w:tcPr>
          <w:p>
            <w:pPr>
              <w:pStyle w:val="54"/>
              <w:bidi w:val="0"/>
              <w:jc w:val="center"/>
              <w:rPr>
                <w:rFonts w:hint="eastAsia"/>
              </w:rPr>
            </w:pPr>
          </w:p>
        </w:tc>
        <w:tc>
          <w:tcPr>
            <w:tcW w:w="713" w:type="pct"/>
            <w:vMerge w:val="continue"/>
            <w:tcBorders>
              <w:bottom w:val="single" w:color="auto" w:sz="12" w:space="0"/>
            </w:tcBorders>
            <w:noWrap w:val="0"/>
            <w:vAlign w:val="center"/>
          </w:tcPr>
          <w:p>
            <w:pPr>
              <w:pStyle w:val="54"/>
              <w:bidi w:val="0"/>
              <w:jc w:val="center"/>
              <w:rPr>
                <w:rFonts w:hint="eastAsia"/>
              </w:rPr>
            </w:pPr>
          </w:p>
        </w:tc>
        <w:tc>
          <w:tcPr>
            <w:tcW w:w="602" w:type="pct"/>
            <w:vMerge w:val="continue"/>
            <w:tcBorders>
              <w:bottom w:val="single" w:color="auto" w:sz="12" w:space="0"/>
            </w:tcBorders>
            <w:noWrap w:val="0"/>
            <w:vAlign w:val="center"/>
          </w:tcPr>
          <w:p>
            <w:pPr>
              <w:pStyle w:val="54"/>
              <w:bidi w:val="0"/>
              <w:jc w:val="center"/>
              <w:rPr>
                <w:rFonts w:hint="eastAsia"/>
              </w:rPr>
            </w:pPr>
          </w:p>
        </w:tc>
        <w:tc>
          <w:tcPr>
            <w:tcW w:w="543" w:type="pct"/>
            <w:vMerge w:val="continue"/>
            <w:tcBorders>
              <w:bottom w:val="single" w:color="auto" w:sz="12" w:space="0"/>
            </w:tcBorders>
            <w:noWrap w:val="0"/>
            <w:vAlign w:val="center"/>
          </w:tcPr>
          <w:p>
            <w:pPr>
              <w:pStyle w:val="54"/>
              <w:bidi w:val="0"/>
              <w:jc w:val="center"/>
              <w:rPr>
                <w:rFonts w:hint="eastAsia"/>
              </w:rPr>
            </w:pPr>
          </w:p>
        </w:tc>
        <w:tc>
          <w:tcPr>
            <w:tcW w:w="462" w:type="pct"/>
            <w:vMerge w:val="continue"/>
            <w:tcBorders>
              <w:bottom w:val="single" w:color="auto" w:sz="12" w:space="0"/>
            </w:tcBorders>
            <w:noWrap w:val="0"/>
            <w:vAlign w:val="center"/>
          </w:tcPr>
          <w:p>
            <w:pPr>
              <w:pStyle w:val="54"/>
              <w:bidi w:val="0"/>
              <w:jc w:val="center"/>
              <w:rPr>
                <w:rFonts w:hint="eastAsia"/>
              </w:rPr>
            </w:pPr>
          </w:p>
        </w:tc>
        <w:tc>
          <w:tcPr>
            <w:tcW w:w="477" w:type="pct"/>
            <w:tcBorders>
              <w:bottom w:val="single" w:color="auto" w:sz="12" w:space="0"/>
            </w:tcBorders>
            <w:noWrap w:val="0"/>
            <w:vAlign w:val="center"/>
          </w:tcPr>
          <w:p>
            <w:pPr>
              <w:pStyle w:val="54"/>
              <w:bidi w:val="0"/>
              <w:jc w:val="center"/>
              <w:rPr>
                <w:rFonts w:hint="eastAsia"/>
              </w:rPr>
            </w:pPr>
            <w:r>
              <w:rPr>
                <w:rFonts w:hint="eastAsia"/>
              </w:rPr>
              <w:t>凝聚力</w:t>
            </w:r>
          </w:p>
          <w:p>
            <w:pPr>
              <w:pStyle w:val="54"/>
              <w:bidi w:val="0"/>
              <w:jc w:val="center"/>
              <w:rPr>
                <w:rFonts w:hint="eastAsia"/>
              </w:rPr>
            </w:pPr>
            <w:r>
              <w:rPr>
                <w:rFonts w:hint="eastAsia"/>
              </w:rPr>
              <w:t>C(kPa)</w:t>
            </w:r>
          </w:p>
        </w:tc>
        <w:tc>
          <w:tcPr>
            <w:tcW w:w="496" w:type="pct"/>
            <w:tcBorders>
              <w:bottom w:val="single" w:color="auto" w:sz="12" w:space="0"/>
            </w:tcBorders>
            <w:noWrap w:val="0"/>
            <w:vAlign w:val="center"/>
          </w:tcPr>
          <w:p>
            <w:pPr>
              <w:pStyle w:val="54"/>
              <w:bidi w:val="0"/>
              <w:jc w:val="center"/>
              <w:rPr>
                <w:rFonts w:hint="eastAsia"/>
              </w:rPr>
            </w:pPr>
            <w:r>
              <w:rPr>
                <w:rFonts w:hint="eastAsia"/>
              </w:rPr>
              <w:t>内摩擦角φ(0)</w:t>
            </w:r>
          </w:p>
        </w:tc>
        <w:tc>
          <w:tcPr>
            <w:tcW w:w="434" w:type="pct"/>
            <w:vMerge w:val="continue"/>
            <w:tcBorders>
              <w:bottom w:val="single" w:color="auto" w:sz="12" w:space="0"/>
            </w:tcBorders>
            <w:noWrap w:val="0"/>
            <w:vAlign w:val="center"/>
          </w:tcPr>
          <w:p>
            <w:pPr>
              <w:pStyle w:val="54"/>
              <w:bidi w:val="0"/>
              <w:jc w:val="center"/>
              <w:rPr>
                <w:rFonts w:hint="eastAsia"/>
              </w:rPr>
            </w:pPr>
          </w:p>
        </w:tc>
        <w:tc>
          <w:tcPr>
            <w:tcW w:w="478" w:type="pct"/>
            <w:vMerge w:val="continue"/>
            <w:tcBorders>
              <w:bottom w:val="single" w:color="auto" w:sz="12" w:space="0"/>
            </w:tcBorders>
            <w:noWrap w:val="0"/>
            <w:vAlign w:val="center"/>
          </w:tcPr>
          <w:p>
            <w:pPr>
              <w:pStyle w:val="54"/>
              <w:bidi w:val="0"/>
              <w:jc w:val="center"/>
              <w:rPr>
                <w:rFonts w:hint="eastAsia"/>
              </w:rPr>
            </w:pPr>
          </w:p>
        </w:tc>
        <w:tc>
          <w:tcPr>
            <w:tcW w:w="475" w:type="pct"/>
            <w:vMerge w:val="continue"/>
            <w:tcBorders>
              <w:bottom w:val="single" w:color="auto" w:sz="12" w:space="0"/>
            </w:tcBorders>
            <w:noWrap w:val="0"/>
            <w:vAlign w:val="center"/>
          </w:tcPr>
          <w:p>
            <w:pPr>
              <w:pStyle w:val="54"/>
              <w:bidi w:val="0"/>
              <w:jc w:val="center"/>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15" w:type="pct"/>
            <w:noWrap w:val="0"/>
            <w:vAlign w:val="center"/>
          </w:tcPr>
          <w:p>
            <w:pPr>
              <w:pStyle w:val="54"/>
              <w:bidi w:val="0"/>
              <w:jc w:val="center"/>
              <w:rPr>
                <w:rFonts w:hint="eastAsia"/>
              </w:rPr>
            </w:pPr>
            <w:r>
              <w:rPr>
                <w:rFonts w:hint="eastAsia"/>
              </w:rPr>
              <w:t>1</w:t>
            </w:r>
          </w:p>
        </w:tc>
        <w:tc>
          <w:tcPr>
            <w:tcW w:w="713" w:type="pct"/>
            <w:noWrap w:val="0"/>
            <w:vAlign w:val="center"/>
          </w:tcPr>
          <w:p>
            <w:pPr>
              <w:pStyle w:val="54"/>
              <w:bidi w:val="0"/>
              <w:jc w:val="center"/>
              <w:rPr>
                <w:rFonts w:hint="eastAsia"/>
              </w:rPr>
            </w:pPr>
            <w:r>
              <w:rPr>
                <w:rFonts w:hint="eastAsia"/>
              </w:rPr>
              <w:t>杂填土</w:t>
            </w:r>
          </w:p>
        </w:tc>
        <w:tc>
          <w:tcPr>
            <w:tcW w:w="602" w:type="pct"/>
            <w:noWrap w:val="0"/>
            <w:vAlign w:val="center"/>
          </w:tcPr>
          <w:p>
            <w:pPr>
              <w:pStyle w:val="54"/>
              <w:bidi w:val="0"/>
              <w:jc w:val="center"/>
              <w:rPr>
                <w:rFonts w:hint="eastAsia"/>
              </w:rPr>
            </w:pPr>
            <w:r>
              <w:rPr>
                <w:rFonts w:hint="eastAsia"/>
              </w:rPr>
              <w:t>疏松为主</w:t>
            </w:r>
          </w:p>
        </w:tc>
        <w:tc>
          <w:tcPr>
            <w:tcW w:w="543" w:type="pct"/>
            <w:noWrap w:val="0"/>
            <w:vAlign w:val="center"/>
          </w:tcPr>
          <w:p>
            <w:pPr>
              <w:pStyle w:val="54"/>
              <w:bidi w:val="0"/>
              <w:jc w:val="center"/>
              <w:rPr>
                <w:rFonts w:hint="eastAsia"/>
              </w:rPr>
            </w:pPr>
            <w:r>
              <w:rPr>
                <w:rFonts w:hint="eastAsia"/>
              </w:rPr>
              <w:t>--</w:t>
            </w:r>
          </w:p>
        </w:tc>
        <w:tc>
          <w:tcPr>
            <w:tcW w:w="462" w:type="pct"/>
            <w:noWrap w:val="0"/>
            <w:vAlign w:val="center"/>
          </w:tcPr>
          <w:p>
            <w:pPr>
              <w:pStyle w:val="54"/>
              <w:bidi w:val="0"/>
              <w:jc w:val="center"/>
              <w:rPr>
                <w:rFonts w:hint="eastAsia"/>
              </w:rPr>
            </w:pPr>
            <w:r>
              <w:rPr>
                <w:rFonts w:hint="eastAsia"/>
              </w:rPr>
              <w:t>19.0</w:t>
            </w:r>
          </w:p>
        </w:tc>
        <w:tc>
          <w:tcPr>
            <w:tcW w:w="477" w:type="pct"/>
            <w:noWrap w:val="0"/>
            <w:vAlign w:val="center"/>
          </w:tcPr>
          <w:p>
            <w:pPr>
              <w:pStyle w:val="54"/>
              <w:bidi w:val="0"/>
              <w:jc w:val="center"/>
              <w:rPr>
                <w:rFonts w:hint="eastAsia"/>
              </w:rPr>
            </w:pPr>
            <w:r>
              <w:rPr>
                <w:rFonts w:hint="eastAsia"/>
              </w:rPr>
              <w:t>2.0</w:t>
            </w:r>
          </w:p>
        </w:tc>
        <w:tc>
          <w:tcPr>
            <w:tcW w:w="496" w:type="pct"/>
            <w:noWrap w:val="0"/>
            <w:vAlign w:val="center"/>
          </w:tcPr>
          <w:p>
            <w:pPr>
              <w:pStyle w:val="54"/>
              <w:bidi w:val="0"/>
              <w:jc w:val="center"/>
              <w:rPr>
                <w:rFonts w:hint="eastAsia"/>
              </w:rPr>
            </w:pPr>
            <w:r>
              <w:rPr>
                <w:rFonts w:hint="eastAsia"/>
              </w:rPr>
              <w:t>10.0</w:t>
            </w:r>
          </w:p>
        </w:tc>
        <w:tc>
          <w:tcPr>
            <w:tcW w:w="434" w:type="pct"/>
            <w:noWrap w:val="0"/>
            <w:vAlign w:val="center"/>
          </w:tcPr>
          <w:p>
            <w:pPr>
              <w:pStyle w:val="54"/>
              <w:bidi w:val="0"/>
              <w:jc w:val="center"/>
              <w:rPr>
                <w:rFonts w:hint="eastAsia"/>
              </w:rPr>
            </w:pPr>
            <w:r>
              <w:rPr>
                <w:rFonts w:hint="eastAsia"/>
              </w:rPr>
              <w:t>--</w:t>
            </w:r>
          </w:p>
        </w:tc>
        <w:tc>
          <w:tcPr>
            <w:tcW w:w="478" w:type="pct"/>
            <w:noWrap w:val="0"/>
            <w:vAlign w:val="center"/>
          </w:tcPr>
          <w:p>
            <w:pPr>
              <w:pStyle w:val="54"/>
              <w:bidi w:val="0"/>
              <w:jc w:val="center"/>
              <w:rPr>
                <w:rFonts w:hint="eastAsia"/>
              </w:rPr>
            </w:pPr>
          </w:p>
        </w:tc>
        <w:tc>
          <w:tcPr>
            <w:tcW w:w="475" w:type="pct"/>
            <w:noWrap w:val="0"/>
            <w:vAlign w:val="center"/>
          </w:tcPr>
          <w:p>
            <w:pPr>
              <w:pStyle w:val="54"/>
              <w:bidi w:val="0"/>
              <w:jc w:val="center"/>
              <w:rPr>
                <w:rFonts w:hint="eastAsia"/>
              </w:rPr>
            </w:pPr>
            <w:r>
              <w:rPr>
                <w:rFonts w:hint="eastAsia"/>
              </w:rPr>
              <w:t>0.15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15" w:type="pct"/>
            <w:noWrap w:val="0"/>
            <w:vAlign w:val="center"/>
          </w:tcPr>
          <w:p>
            <w:pPr>
              <w:pStyle w:val="54"/>
              <w:bidi w:val="0"/>
              <w:jc w:val="center"/>
              <w:rPr>
                <w:rFonts w:hint="eastAsia"/>
              </w:rPr>
            </w:pPr>
            <w:r>
              <w:rPr>
                <w:rFonts w:hint="eastAsia"/>
              </w:rPr>
              <w:t>2-1</w:t>
            </w:r>
          </w:p>
        </w:tc>
        <w:tc>
          <w:tcPr>
            <w:tcW w:w="713" w:type="pct"/>
            <w:noWrap w:val="0"/>
            <w:vAlign w:val="center"/>
          </w:tcPr>
          <w:p>
            <w:pPr>
              <w:pStyle w:val="54"/>
              <w:bidi w:val="0"/>
              <w:jc w:val="center"/>
              <w:rPr>
                <w:rFonts w:hint="eastAsia"/>
              </w:rPr>
            </w:pPr>
            <w:r>
              <w:rPr>
                <w:rFonts w:hint="eastAsia"/>
              </w:rPr>
              <w:t>淤泥</w:t>
            </w:r>
          </w:p>
        </w:tc>
        <w:tc>
          <w:tcPr>
            <w:tcW w:w="602" w:type="pct"/>
            <w:noWrap w:val="0"/>
            <w:vAlign w:val="center"/>
          </w:tcPr>
          <w:p>
            <w:pPr>
              <w:pStyle w:val="54"/>
              <w:bidi w:val="0"/>
              <w:jc w:val="center"/>
              <w:rPr>
                <w:rFonts w:hint="eastAsia"/>
              </w:rPr>
            </w:pPr>
            <w:r>
              <w:rPr>
                <w:rFonts w:hint="eastAsia"/>
              </w:rPr>
              <w:t>流塑</w:t>
            </w:r>
          </w:p>
        </w:tc>
        <w:tc>
          <w:tcPr>
            <w:tcW w:w="543" w:type="pct"/>
            <w:noWrap w:val="0"/>
            <w:vAlign w:val="center"/>
          </w:tcPr>
          <w:p>
            <w:pPr>
              <w:pStyle w:val="54"/>
              <w:bidi w:val="0"/>
              <w:jc w:val="center"/>
              <w:rPr>
                <w:rFonts w:hint="eastAsia"/>
              </w:rPr>
            </w:pPr>
            <w:r>
              <w:rPr>
                <w:rFonts w:hint="eastAsia"/>
              </w:rPr>
              <w:t>50</w:t>
            </w:r>
          </w:p>
        </w:tc>
        <w:tc>
          <w:tcPr>
            <w:tcW w:w="462" w:type="pct"/>
            <w:noWrap w:val="0"/>
            <w:vAlign w:val="center"/>
          </w:tcPr>
          <w:p>
            <w:pPr>
              <w:pStyle w:val="54"/>
              <w:bidi w:val="0"/>
              <w:jc w:val="center"/>
              <w:rPr>
                <w:rFonts w:hint="eastAsia"/>
              </w:rPr>
            </w:pPr>
            <w:r>
              <w:rPr>
                <w:rFonts w:hint="eastAsia"/>
              </w:rPr>
              <w:t>16.0</w:t>
            </w:r>
          </w:p>
        </w:tc>
        <w:tc>
          <w:tcPr>
            <w:tcW w:w="477" w:type="pct"/>
            <w:noWrap w:val="0"/>
            <w:vAlign w:val="center"/>
          </w:tcPr>
          <w:p>
            <w:pPr>
              <w:pStyle w:val="54"/>
              <w:bidi w:val="0"/>
              <w:jc w:val="center"/>
              <w:rPr>
                <w:rFonts w:hint="eastAsia"/>
              </w:rPr>
            </w:pPr>
            <w:r>
              <w:rPr>
                <w:rFonts w:hint="eastAsia"/>
              </w:rPr>
              <w:t>4.5</w:t>
            </w:r>
          </w:p>
        </w:tc>
        <w:tc>
          <w:tcPr>
            <w:tcW w:w="496" w:type="pct"/>
            <w:noWrap w:val="0"/>
            <w:vAlign w:val="center"/>
          </w:tcPr>
          <w:p>
            <w:pPr>
              <w:pStyle w:val="54"/>
              <w:bidi w:val="0"/>
              <w:jc w:val="center"/>
              <w:rPr>
                <w:rFonts w:hint="eastAsia"/>
              </w:rPr>
            </w:pPr>
            <w:r>
              <w:rPr>
                <w:rFonts w:hint="eastAsia"/>
              </w:rPr>
              <w:t>2.0</w:t>
            </w:r>
          </w:p>
        </w:tc>
        <w:tc>
          <w:tcPr>
            <w:tcW w:w="434" w:type="pct"/>
            <w:noWrap w:val="0"/>
            <w:vAlign w:val="center"/>
          </w:tcPr>
          <w:p>
            <w:pPr>
              <w:pStyle w:val="54"/>
              <w:bidi w:val="0"/>
              <w:jc w:val="center"/>
              <w:rPr>
                <w:rFonts w:hint="eastAsia"/>
              </w:rPr>
            </w:pPr>
            <w:r>
              <w:rPr>
                <w:rFonts w:hint="eastAsia"/>
              </w:rPr>
              <w:t>2.1</w:t>
            </w:r>
          </w:p>
        </w:tc>
        <w:tc>
          <w:tcPr>
            <w:tcW w:w="478" w:type="pct"/>
            <w:noWrap w:val="0"/>
            <w:vAlign w:val="center"/>
          </w:tcPr>
          <w:p>
            <w:pPr>
              <w:pStyle w:val="54"/>
              <w:bidi w:val="0"/>
              <w:jc w:val="center"/>
              <w:rPr>
                <w:rFonts w:hint="eastAsia"/>
              </w:rPr>
            </w:pPr>
            <w:r>
              <w:rPr>
                <w:rFonts w:hint="eastAsia"/>
              </w:rPr>
              <w:t>1.02E-7</w:t>
            </w:r>
          </w:p>
        </w:tc>
        <w:tc>
          <w:tcPr>
            <w:tcW w:w="475" w:type="pct"/>
            <w:noWrap w:val="0"/>
            <w:vAlign w:val="center"/>
          </w:tcPr>
          <w:p>
            <w:pPr>
              <w:pStyle w:val="54"/>
              <w:bidi w:val="0"/>
              <w:jc w:val="center"/>
              <w:rPr>
                <w:rFonts w:hint="eastAsia"/>
              </w:rPr>
            </w:pPr>
            <w:r>
              <w:rPr>
                <w:rFonts w:hint="eastAsia"/>
              </w:rPr>
              <w:t>0.10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15" w:type="pct"/>
            <w:noWrap w:val="0"/>
            <w:vAlign w:val="center"/>
          </w:tcPr>
          <w:p>
            <w:pPr>
              <w:pStyle w:val="54"/>
              <w:bidi w:val="0"/>
              <w:jc w:val="center"/>
              <w:rPr>
                <w:rFonts w:hint="eastAsia"/>
              </w:rPr>
            </w:pPr>
            <w:r>
              <w:rPr>
                <w:rFonts w:hint="eastAsia"/>
              </w:rPr>
              <w:t>2-2</w:t>
            </w:r>
          </w:p>
        </w:tc>
        <w:tc>
          <w:tcPr>
            <w:tcW w:w="713" w:type="pct"/>
            <w:noWrap w:val="0"/>
            <w:vAlign w:val="center"/>
          </w:tcPr>
          <w:p>
            <w:pPr>
              <w:pStyle w:val="54"/>
              <w:bidi w:val="0"/>
              <w:jc w:val="center"/>
              <w:rPr>
                <w:rFonts w:hint="eastAsia"/>
              </w:rPr>
            </w:pPr>
            <w:r>
              <w:rPr>
                <w:rFonts w:hint="eastAsia"/>
              </w:rPr>
              <w:t>粉砂</w:t>
            </w:r>
          </w:p>
        </w:tc>
        <w:tc>
          <w:tcPr>
            <w:tcW w:w="602" w:type="pct"/>
            <w:noWrap w:val="0"/>
            <w:vAlign w:val="center"/>
          </w:tcPr>
          <w:p>
            <w:pPr>
              <w:pStyle w:val="54"/>
              <w:bidi w:val="0"/>
              <w:jc w:val="center"/>
              <w:rPr>
                <w:rFonts w:hint="eastAsia"/>
              </w:rPr>
            </w:pPr>
            <w:r>
              <w:rPr>
                <w:rFonts w:hint="eastAsia"/>
              </w:rPr>
              <w:t>松散为主</w:t>
            </w:r>
          </w:p>
        </w:tc>
        <w:tc>
          <w:tcPr>
            <w:tcW w:w="543" w:type="pct"/>
            <w:noWrap w:val="0"/>
            <w:vAlign w:val="center"/>
          </w:tcPr>
          <w:p>
            <w:pPr>
              <w:pStyle w:val="54"/>
              <w:bidi w:val="0"/>
              <w:jc w:val="center"/>
              <w:rPr>
                <w:rFonts w:hint="eastAsia"/>
              </w:rPr>
            </w:pPr>
            <w:r>
              <w:rPr>
                <w:rFonts w:hint="eastAsia"/>
              </w:rPr>
              <w:t>70</w:t>
            </w:r>
          </w:p>
        </w:tc>
        <w:tc>
          <w:tcPr>
            <w:tcW w:w="462" w:type="pct"/>
            <w:noWrap w:val="0"/>
            <w:vAlign w:val="center"/>
          </w:tcPr>
          <w:p>
            <w:pPr>
              <w:pStyle w:val="54"/>
              <w:bidi w:val="0"/>
              <w:jc w:val="center"/>
              <w:rPr>
                <w:rFonts w:hint="eastAsia"/>
              </w:rPr>
            </w:pPr>
            <w:r>
              <w:rPr>
                <w:rFonts w:hint="eastAsia"/>
              </w:rPr>
              <w:t>19.1</w:t>
            </w:r>
          </w:p>
        </w:tc>
        <w:tc>
          <w:tcPr>
            <w:tcW w:w="477" w:type="pct"/>
            <w:noWrap w:val="0"/>
            <w:vAlign w:val="center"/>
          </w:tcPr>
          <w:p>
            <w:pPr>
              <w:pStyle w:val="54"/>
              <w:bidi w:val="0"/>
              <w:jc w:val="center"/>
              <w:rPr>
                <w:rFonts w:hint="eastAsia"/>
              </w:rPr>
            </w:pPr>
          </w:p>
        </w:tc>
        <w:tc>
          <w:tcPr>
            <w:tcW w:w="496" w:type="pct"/>
            <w:noWrap w:val="0"/>
            <w:vAlign w:val="center"/>
          </w:tcPr>
          <w:p>
            <w:pPr>
              <w:pStyle w:val="54"/>
              <w:bidi w:val="0"/>
              <w:jc w:val="center"/>
              <w:rPr>
                <w:rFonts w:hint="eastAsia"/>
              </w:rPr>
            </w:pPr>
            <w:r>
              <w:rPr>
                <w:rFonts w:hint="eastAsia"/>
              </w:rPr>
              <w:t>20.0</w:t>
            </w:r>
          </w:p>
        </w:tc>
        <w:tc>
          <w:tcPr>
            <w:tcW w:w="434" w:type="pct"/>
            <w:noWrap w:val="0"/>
            <w:vAlign w:val="center"/>
          </w:tcPr>
          <w:p>
            <w:pPr>
              <w:pStyle w:val="54"/>
              <w:bidi w:val="0"/>
              <w:jc w:val="center"/>
              <w:rPr>
                <w:rFonts w:hint="eastAsia"/>
              </w:rPr>
            </w:pPr>
          </w:p>
        </w:tc>
        <w:tc>
          <w:tcPr>
            <w:tcW w:w="478" w:type="pct"/>
            <w:noWrap w:val="0"/>
            <w:vAlign w:val="center"/>
          </w:tcPr>
          <w:p>
            <w:pPr>
              <w:pStyle w:val="54"/>
              <w:bidi w:val="0"/>
              <w:jc w:val="center"/>
              <w:rPr>
                <w:rFonts w:hint="eastAsia"/>
              </w:rPr>
            </w:pPr>
          </w:p>
        </w:tc>
        <w:tc>
          <w:tcPr>
            <w:tcW w:w="475" w:type="pct"/>
            <w:noWrap w:val="0"/>
            <w:vAlign w:val="center"/>
          </w:tcPr>
          <w:p>
            <w:pPr>
              <w:pStyle w:val="54"/>
              <w:bidi w:val="0"/>
              <w:jc w:val="center"/>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15" w:type="pct"/>
            <w:noWrap w:val="0"/>
            <w:vAlign w:val="center"/>
          </w:tcPr>
          <w:p>
            <w:pPr>
              <w:pStyle w:val="54"/>
              <w:bidi w:val="0"/>
              <w:jc w:val="center"/>
              <w:rPr>
                <w:rFonts w:hint="eastAsia"/>
              </w:rPr>
            </w:pPr>
            <w:r>
              <w:rPr>
                <w:rFonts w:hint="eastAsia"/>
              </w:rPr>
              <w:t>2-3</w:t>
            </w:r>
          </w:p>
        </w:tc>
        <w:tc>
          <w:tcPr>
            <w:tcW w:w="713" w:type="pct"/>
            <w:noWrap w:val="0"/>
            <w:vAlign w:val="center"/>
          </w:tcPr>
          <w:p>
            <w:pPr>
              <w:pStyle w:val="54"/>
              <w:bidi w:val="0"/>
              <w:jc w:val="center"/>
              <w:rPr>
                <w:rFonts w:hint="eastAsia"/>
              </w:rPr>
            </w:pPr>
            <w:r>
              <w:rPr>
                <w:rFonts w:hint="eastAsia"/>
              </w:rPr>
              <w:t>淤泥质土</w:t>
            </w:r>
          </w:p>
        </w:tc>
        <w:tc>
          <w:tcPr>
            <w:tcW w:w="602" w:type="pct"/>
            <w:noWrap w:val="0"/>
            <w:vAlign w:val="center"/>
          </w:tcPr>
          <w:p>
            <w:pPr>
              <w:pStyle w:val="54"/>
              <w:bidi w:val="0"/>
              <w:jc w:val="center"/>
              <w:rPr>
                <w:rFonts w:hint="eastAsia"/>
              </w:rPr>
            </w:pPr>
            <w:r>
              <w:rPr>
                <w:rFonts w:hint="eastAsia"/>
              </w:rPr>
              <w:t>流塑</w:t>
            </w:r>
          </w:p>
        </w:tc>
        <w:tc>
          <w:tcPr>
            <w:tcW w:w="543" w:type="pct"/>
            <w:noWrap w:val="0"/>
            <w:vAlign w:val="center"/>
          </w:tcPr>
          <w:p>
            <w:pPr>
              <w:pStyle w:val="54"/>
              <w:bidi w:val="0"/>
              <w:jc w:val="center"/>
              <w:rPr>
                <w:rFonts w:hint="eastAsia"/>
              </w:rPr>
            </w:pPr>
            <w:r>
              <w:rPr>
                <w:rFonts w:hint="eastAsia"/>
              </w:rPr>
              <w:t>60</w:t>
            </w:r>
          </w:p>
        </w:tc>
        <w:tc>
          <w:tcPr>
            <w:tcW w:w="462" w:type="pct"/>
            <w:noWrap w:val="0"/>
            <w:vAlign w:val="center"/>
          </w:tcPr>
          <w:p>
            <w:pPr>
              <w:pStyle w:val="54"/>
              <w:bidi w:val="0"/>
              <w:jc w:val="center"/>
              <w:rPr>
                <w:rFonts w:hint="eastAsia"/>
              </w:rPr>
            </w:pPr>
            <w:r>
              <w:rPr>
                <w:rFonts w:hint="eastAsia"/>
              </w:rPr>
              <w:t>16.2</w:t>
            </w:r>
          </w:p>
        </w:tc>
        <w:tc>
          <w:tcPr>
            <w:tcW w:w="477" w:type="pct"/>
            <w:noWrap w:val="0"/>
            <w:vAlign w:val="center"/>
          </w:tcPr>
          <w:p>
            <w:pPr>
              <w:pStyle w:val="54"/>
              <w:bidi w:val="0"/>
              <w:jc w:val="center"/>
              <w:rPr>
                <w:rFonts w:hint="eastAsia"/>
              </w:rPr>
            </w:pPr>
            <w:r>
              <w:rPr>
                <w:rFonts w:hint="eastAsia"/>
              </w:rPr>
              <w:t>5.0</w:t>
            </w:r>
          </w:p>
        </w:tc>
        <w:tc>
          <w:tcPr>
            <w:tcW w:w="496" w:type="pct"/>
            <w:noWrap w:val="0"/>
            <w:vAlign w:val="center"/>
          </w:tcPr>
          <w:p>
            <w:pPr>
              <w:pStyle w:val="54"/>
              <w:bidi w:val="0"/>
              <w:jc w:val="center"/>
              <w:rPr>
                <w:rFonts w:hint="eastAsia"/>
              </w:rPr>
            </w:pPr>
            <w:r>
              <w:rPr>
                <w:rFonts w:hint="eastAsia"/>
              </w:rPr>
              <w:t>6.0</w:t>
            </w:r>
          </w:p>
        </w:tc>
        <w:tc>
          <w:tcPr>
            <w:tcW w:w="434" w:type="pct"/>
            <w:noWrap w:val="0"/>
            <w:vAlign w:val="center"/>
          </w:tcPr>
          <w:p>
            <w:pPr>
              <w:pStyle w:val="54"/>
              <w:bidi w:val="0"/>
              <w:jc w:val="center"/>
              <w:rPr>
                <w:rFonts w:hint="eastAsia"/>
              </w:rPr>
            </w:pPr>
            <w:r>
              <w:rPr>
                <w:rFonts w:hint="eastAsia"/>
              </w:rPr>
              <w:t>2.5</w:t>
            </w:r>
          </w:p>
        </w:tc>
        <w:tc>
          <w:tcPr>
            <w:tcW w:w="478" w:type="pct"/>
            <w:noWrap w:val="0"/>
            <w:vAlign w:val="center"/>
          </w:tcPr>
          <w:p>
            <w:pPr>
              <w:pStyle w:val="54"/>
              <w:bidi w:val="0"/>
              <w:jc w:val="center"/>
              <w:rPr>
                <w:rFonts w:hint="eastAsia"/>
              </w:rPr>
            </w:pPr>
            <w:r>
              <w:rPr>
                <w:rFonts w:hint="eastAsia"/>
              </w:rPr>
              <w:t>0.80E-7</w:t>
            </w:r>
          </w:p>
        </w:tc>
        <w:tc>
          <w:tcPr>
            <w:tcW w:w="475" w:type="pct"/>
            <w:noWrap w:val="0"/>
            <w:vAlign w:val="center"/>
          </w:tcPr>
          <w:p>
            <w:pPr>
              <w:pStyle w:val="54"/>
              <w:bidi w:val="0"/>
              <w:jc w:val="center"/>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15" w:type="pct"/>
            <w:noWrap w:val="0"/>
            <w:vAlign w:val="center"/>
          </w:tcPr>
          <w:p>
            <w:pPr>
              <w:pStyle w:val="54"/>
              <w:bidi w:val="0"/>
              <w:jc w:val="center"/>
              <w:rPr>
                <w:rFonts w:hint="eastAsia"/>
              </w:rPr>
            </w:pPr>
            <w:r>
              <w:rPr>
                <w:rFonts w:hint="eastAsia"/>
              </w:rPr>
              <w:t>3-1</w:t>
            </w:r>
          </w:p>
        </w:tc>
        <w:tc>
          <w:tcPr>
            <w:tcW w:w="713" w:type="pct"/>
            <w:noWrap w:val="0"/>
            <w:vAlign w:val="center"/>
          </w:tcPr>
          <w:p>
            <w:pPr>
              <w:pStyle w:val="54"/>
              <w:bidi w:val="0"/>
              <w:jc w:val="center"/>
              <w:rPr>
                <w:rFonts w:hint="eastAsia"/>
              </w:rPr>
            </w:pPr>
            <w:r>
              <w:rPr>
                <w:rFonts w:hint="eastAsia"/>
              </w:rPr>
              <w:t>粉质粘土</w:t>
            </w:r>
          </w:p>
        </w:tc>
        <w:tc>
          <w:tcPr>
            <w:tcW w:w="602" w:type="pct"/>
            <w:noWrap w:val="0"/>
            <w:vAlign w:val="center"/>
          </w:tcPr>
          <w:p>
            <w:pPr>
              <w:pStyle w:val="54"/>
              <w:bidi w:val="0"/>
              <w:jc w:val="center"/>
              <w:rPr>
                <w:rFonts w:hint="eastAsia"/>
              </w:rPr>
            </w:pPr>
            <w:r>
              <w:rPr>
                <w:rFonts w:hint="eastAsia"/>
              </w:rPr>
              <w:t>可塑为主</w:t>
            </w:r>
          </w:p>
        </w:tc>
        <w:tc>
          <w:tcPr>
            <w:tcW w:w="543" w:type="pct"/>
            <w:noWrap w:val="0"/>
            <w:vAlign w:val="center"/>
          </w:tcPr>
          <w:p>
            <w:pPr>
              <w:pStyle w:val="54"/>
              <w:bidi w:val="0"/>
              <w:jc w:val="center"/>
              <w:rPr>
                <w:rFonts w:hint="eastAsia"/>
              </w:rPr>
            </w:pPr>
            <w:r>
              <w:rPr>
                <w:rFonts w:hint="eastAsia"/>
              </w:rPr>
              <w:t>150</w:t>
            </w:r>
          </w:p>
        </w:tc>
        <w:tc>
          <w:tcPr>
            <w:tcW w:w="462" w:type="pct"/>
            <w:noWrap w:val="0"/>
            <w:vAlign w:val="center"/>
          </w:tcPr>
          <w:p>
            <w:pPr>
              <w:pStyle w:val="54"/>
              <w:bidi w:val="0"/>
              <w:jc w:val="center"/>
              <w:rPr>
                <w:rFonts w:hint="eastAsia"/>
              </w:rPr>
            </w:pPr>
            <w:r>
              <w:rPr>
                <w:rFonts w:hint="eastAsia"/>
              </w:rPr>
              <w:t>19.4</w:t>
            </w:r>
          </w:p>
        </w:tc>
        <w:tc>
          <w:tcPr>
            <w:tcW w:w="477" w:type="pct"/>
            <w:noWrap w:val="0"/>
            <w:vAlign w:val="center"/>
          </w:tcPr>
          <w:p>
            <w:pPr>
              <w:pStyle w:val="54"/>
              <w:bidi w:val="0"/>
              <w:jc w:val="center"/>
              <w:rPr>
                <w:rFonts w:hint="eastAsia"/>
              </w:rPr>
            </w:pPr>
            <w:r>
              <w:rPr>
                <w:rFonts w:hint="eastAsia"/>
              </w:rPr>
              <w:t>10.0</w:t>
            </w:r>
          </w:p>
        </w:tc>
        <w:tc>
          <w:tcPr>
            <w:tcW w:w="496" w:type="pct"/>
            <w:noWrap w:val="0"/>
            <w:vAlign w:val="center"/>
          </w:tcPr>
          <w:p>
            <w:pPr>
              <w:pStyle w:val="54"/>
              <w:bidi w:val="0"/>
              <w:jc w:val="center"/>
              <w:rPr>
                <w:rFonts w:hint="eastAsia"/>
              </w:rPr>
            </w:pPr>
            <w:r>
              <w:rPr>
                <w:rFonts w:hint="eastAsia"/>
              </w:rPr>
              <w:t>20.0</w:t>
            </w:r>
          </w:p>
        </w:tc>
        <w:tc>
          <w:tcPr>
            <w:tcW w:w="434" w:type="pct"/>
            <w:noWrap w:val="0"/>
            <w:vAlign w:val="center"/>
          </w:tcPr>
          <w:p>
            <w:pPr>
              <w:pStyle w:val="54"/>
              <w:bidi w:val="0"/>
              <w:jc w:val="center"/>
              <w:rPr>
                <w:rFonts w:hint="eastAsia"/>
              </w:rPr>
            </w:pPr>
            <w:r>
              <w:rPr>
                <w:rFonts w:hint="eastAsia"/>
              </w:rPr>
              <w:t>7.0</w:t>
            </w:r>
          </w:p>
        </w:tc>
        <w:tc>
          <w:tcPr>
            <w:tcW w:w="478" w:type="pct"/>
            <w:noWrap w:val="0"/>
            <w:vAlign w:val="center"/>
          </w:tcPr>
          <w:p>
            <w:pPr>
              <w:pStyle w:val="54"/>
              <w:bidi w:val="0"/>
              <w:jc w:val="center"/>
              <w:rPr>
                <w:rFonts w:hint="eastAsia"/>
              </w:rPr>
            </w:pPr>
            <w:r>
              <w:rPr>
                <w:rFonts w:hint="eastAsia"/>
              </w:rPr>
              <w:t>5.00E-8</w:t>
            </w:r>
          </w:p>
        </w:tc>
        <w:tc>
          <w:tcPr>
            <w:tcW w:w="475" w:type="pct"/>
            <w:noWrap w:val="0"/>
            <w:vAlign w:val="center"/>
          </w:tcPr>
          <w:p>
            <w:pPr>
              <w:pStyle w:val="54"/>
              <w:bidi w:val="0"/>
              <w:jc w:val="center"/>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15" w:type="pct"/>
            <w:noWrap w:val="0"/>
            <w:vAlign w:val="center"/>
          </w:tcPr>
          <w:p>
            <w:pPr>
              <w:pStyle w:val="54"/>
              <w:bidi w:val="0"/>
              <w:jc w:val="center"/>
              <w:rPr>
                <w:rFonts w:hint="eastAsia"/>
              </w:rPr>
            </w:pPr>
            <w:r>
              <w:rPr>
                <w:rFonts w:hint="eastAsia"/>
              </w:rPr>
              <w:t>3-2</w:t>
            </w:r>
          </w:p>
        </w:tc>
        <w:tc>
          <w:tcPr>
            <w:tcW w:w="713" w:type="pct"/>
            <w:noWrap w:val="0"/>
            <w:vAlign w:val="center"/>
          </w:tcPr>
          <w:p>
            <w:pPr>
              <w:pStyle w:val="54"/>
              <w:bidi w:val="0"/>
              <w:jc w:val="center"/>
              <w:rPr>
                <w:rFonts w:hint="eastAsia"/>
              </w:rPr>
            </w:pPr>
            <w:r>
              <w:rPr>
                <w:rFonts w:hint="eastAsia"/>
              </w:rPr>
              <w:t>细砂</w:t>
            </w:r>
          </w:p>
        </w:tc>
        <w:tc>
          <w:tcPr>
            <w:tcW w:w="602" w:type="pct"/>
            <w:noWrap w:val="0"/>
            <w:vAlign w:val="center"/>
          </w:tcPr>
          <w:p>
            <w:pPr>
              <w:pStyle w:val="54"/>
              <w:bidi w:val="0"/>
              <w:jc w:val="center"/>
              <w:rPr>
                <w:rFonts w:hint="eastAsia"/>
              </w:rPr>
            </w:pPr>
            <w:r>
              <w:rPr>
                <w:rFonts w:hint="eastAsia"/>
              </w:rPr>
              <w:t>稍密为主</w:t>
            </w:r>
          </w:p>
        </w:tc>
        <w:tc>
          <w:tcPr>
            <w:tcW w:w="543" w:type="pct"/>
            <w:noWrap w:val="0"/>
            <w:vAlign w:val="center"/>
          </w:tcPr>
          <w:p>
            <w:pPr>
              <w:pStyle w:val="54"/>
              <w:bidi w:val="0"/>
              <w:jc w:val="center"/>
              <w:rPr>
                <w:rFonts w:hint="eastAsia"/>
              </w:rPr>
            </w:pPr>
            <w:r>
              <w:rPr>
                <w:rFonts w:hint="eastAsia"/>
              </w:rPr>
              <w:t>120</w:t>
            </w:r>
          </w:p>
        </w:tc>
        <w:tc>
          <w:tcPr>
            <w:tcW w:w="462" w:type="pct"/>
            <w:noWrap w:val="0"/>
            <w:vAlign w:val="center"/>
          </w:tcPr>
          <w:p>
            <w:pPr>
              <w:pStyle w:val="54"/>
              <w:bidi w:val="0"/>
              <w:jc w:val="center"/>
              <w:rPr>
                <w:rFonts w:hint="eastAsia"/>
              </w:rPr>
            </w:pPr>
            <w:r>
              <w:rPr>
                <w:rFonts w:hint="eastAsia"/>
              </w:rPr>
              <w:t>19.6</w:t>
            </w:r>
          </w:p>
        </w:tc>
        <w:tc>
          <w:tcPr>
            <w:tcW w:w="477" w:type="pct"/>
            <w:noWrap w:val="0"/>
            <w:vAlign w:val="center"/>
          </w:tcPr>
          <w:p>
            <w:pPr>
              <w:pStyle w:val="54"/>
              <w:bidi w:val="0"/>
              <w:jc w:val="center"/>
              <w:rPr>
                <w:rFonts w:hint="eastAsia"/>
              </w:rPr>
            </w:pPr>
          </w:p>
        </w:tc>
        <w:tc>
          <w:tcPr>
            <w:tcW w:w="496" w:type="pct"/>
            <w:noWrap w:val="0"/>
            <w:vAlign w:val="center"/>
          </w:tcPr>
          <w:p>
            <w:pPr>
              <w:pStyle w:val="54"/>
              <w:bidi w:val="0"/>
              <w:jc w:val="center"/>
              <w:rPr>
                <w:rFonts w:hint="eastAsia"/>
              </w:rPr>
            </w:pPr>
            <w:r>
              <w:rPr>
                <w:rFonts w:hint="eastAsia"/>
              </w:rPr>
              <w:t>25.0</w:t>
            </w:r>
          </w:p>
        </w:tc>
        <w:tc>
          <w:tcPr>
            <w:tcW w:w="434" w:type="pct"/>
            <w:noWrap w:val="0"/>
            <w:vAlign w:val="center"/>
          </w:tcPr>
          <w:p>
            <w:pPr>
              <w:pStyle w:val="54"/>
              <w:bidi w:val="0"/>
              <w:jc w:val="center"/>
              <w:rPr>
                <w:rFonts w:hint="eastAsia"/>
              </w:rPr>
            </w:pPr>
          </w:p>
        </w:tc>
        <w:tc>
          <w:tcPr>
            <w:tcW w:w="478" w:type="pct"/>
            <w:noWrap w:val="0"/>
            <w:vAlign w:val="center"/>
          </w:tcPr>
          <w:p>
            <w:pPr>
              <w:pStyle w:val="54"/>
              <w:bidi w:val="0"/>
              <w:jc w:val="center"/>
              <w:rPr>
                <w:rFonts w:hint="eastAsia"/>
              </w:rPr>
            </w:pPr>
          </w:p>
        </w:tc>
        <w:tc>
          <w:tcPr>
            <w:tcW w:w="475" w:type="pct"/>
            <w:noWrap w:val="0"/>
            <w:vAlign w:val="center"/>
          </w:tcPr>
          <w:p>
            <w:pPr>
              <w:pStyle w:val="54"/>
              <w:bidi w:val="0"/>
              <w:jc w:val="center"/>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jc w:val="center"/>
        </w:trPr>
        <w:tc>
          <w:tcPr>
            <w:tcW w:w="315" w:type="pct"/>
            <w:noWrap w:val="0"/>
            <w:vAlign w:val="center"/>
          </w:tcPr>
          <w:p>
            <w:pPr>
              <w:pStyle w:val="54"/>
              <w:bidi w:val="0"/>
              <w:jc w:val="center"/>
              <w:rPr>
                <w:rFonts w:hint="eastAsia"/>
              </w:rPr>
            </w:pPr>
            <w:r>
              <w:rPr>
                <w:rFonts w:hint="eastAsia"/>
              </w:rPr>
              <w:t>4</w:t>
            </w:r>
          </w:p>
        </w:tc>
        <w:tc>
          <w:tcPr>
            <w:tcW w:w="713" w:type="pct"/>
            <w:noWrap w:val="0"/>
            <w:vAlign w:val="center"/>
          </w:tcPr>
          <w:p>
            <w:pPr>
              <w:pStyle w:val="54"/>
              <w:bidi w:val="0"/>
              <w:jc w:val="center"/>
              <w:rPr>
                <w:rFonts w:hint="eastAsia"/>
              </w:rPr>
            </w:pPr>
            <w:r>
              <w:rPr>
                <w:rFonts w:hint="eastAsia"/>
              </w:rPr>
              <w:t>粉土</w:t>
            </w:r>
          </w:p>
        </w:tc>
        <w:tc>
          <w:tcPr>
            <w:tcW w:w="602" w:type="pct"/>
            <w:noWrap w:val="0"/>
            <w:vAlign w:val="center"/>
          </w:tcPr>
          <w:p>
            <w:pPr>
              <w:pStyle w:val="54"/>
              <w:bidi w:val="0"/>
              <w:jc w:val="center"/>
              <w:rPr>
                <w:rFonts w:hint="eastAsia"/>
              </w:rPr>
            </w:pPr>
            <w:r>
              <w:rPr>
                <w:rFonts w:hint="eastAsia"/>
              </w:rPr>
              <w:t>密实</w:t>
            </w:r>
          </w:p>
        </w:tc>
        <w:tc>
          <w:tcPr>
            <w:tcW w:w="543" w:type="pct"/>
            <w:noWrap w:val="0"/>
            <w:vAlign w:val="center"/>
          </w:tcPr>
          <w:p>
            <w:pPr>
              <w:pStyle w:val="54"/>
              <w:bidi w:val="0"/>
              <w:jc w:val="center"/>
              <w:rPr>
                <w:rFonts w:hint="eastAsia"/>
              </w:rPr>
            </w:pPr>
            <w:r>
              <w:rPr>
                <w:rFonts w:hint="eastAsia"/>
              </w:rPr>
              <w:t>220</w:t>
            </w:r>
          </w:p>
        </w:tc>
        <w:tc>
          <w:tcPr>
            <w:tcW w:w="462" w:type="pct"/>
            <w:noWrap w:val="0"/>
            <w:vAlign w:val="center"/>
          </w:tcPr>
          <w:p>
            <w:pPr>
              <w:pStyle w:val="54"/>
              <w:bidi w:val="0"/>
              <w:jc w:val="center"/>
              <w:rPr>
                <w:rFonts w:hint="eastAsia"/>
              </w:rPr>
            </w:pPr>
            <w:r>
              <w:rPr>
                <w:rFonts w:hint="eastAsia"/>
              </w:rPr>
              <w:t>18.3</w:t>
            </w:r>
          </w:p>
        </w:tc>
        <w:tc>
          <w:tcPr>
            <w:tcW w:w="477" w:type="pct"/>
            <w:noWrap w:val="0"/>
            <w:vAlign w:val="center"/>
          </w:tcPr>
          <w:p>
            <w:pPr>
              <w:pStyle w:val="54"/>
              <w:bidi w:val="0"/>
              <w:jc w:val="center"/>
              <w:rPr>
                <w:rFonts w:hint="eastAsia"/>
              </w:rPr>
            </w:pPr>
            <w:r>
              <w:rPr>
                <w:rFonts w:hint="eastAsia"/>
              </w:rPr>
              <w:t>12.0</w:t>
            </w:r>
          </w:p>
        </w:tc>
        <w:tc>
          <w:tcPr>
            <w:tcW w:w="496" w:type="pct"/>
            <w:noWrap w:val="0"/>
            <w:vAlign w:val="center"/>
          </w:tcPr>
          <w:p>
            <w:pPr>
              <w:pStyle w:val="54"/>
              <w:bidi w:val="0"/>
              <w:jc w:val="center"/>
              <w:rPr>
                <w:rFonts w:hint="eastAsia"/>
              </w:rPr>
            </w:pPr>
            <w:r>
              <w:rPr>
                <w:rFonts w:hint="eastAsia"/>
              </w:rPr>
              <w:t>25.0</w:t>
            </w:r>
          </w:p>
        </w:tc>
        <w:tc>
          <w:tcPr>
            <w:tcW w:w="434" w:type="pct"/>
            <w:noWrap w:val="0"/>
            <w:vAlign w:val="center"/>
          </w:tcPr>
          <w:p>
            <w:pPr>
              <w:pStyle w:val="54"/>
              <w:bidi w:val="0"/>
              <w:jc w:val="center"/>
              <w:rPr>
                <w:rFonts w:hint="eastAsia"/>
              </w:rPr>
            </w:pPr>
            <w:r>
              <w:rPr>
                <w:rFonts w:hint="eastAsia"/>
              </w:rPr>
              <w:t>8.0</w:t>
            </w:r>
          </w:p>
        </w:tc>
        <w:tc>
          <w:tcPr>
            <w:tcW w:w="478" w:type="pct"/>
            <w:noWrap w:val="0"/>
            <w:vAlign w:val="center"/>
          </w:tcPr>
          <w:p>
            <w:pPr>
              <w:pStyle w:val="54"/>
              <w:bidi w:val="0"/>
              <w:jc w:val="center"/>
              <w:rPr>
                <w:rFonts w:hint="eastAsia"/>
              </w:rPr>
            </w:pPr>
          </w:p>
        </w:tc>
        <w:tc>
          <w:tcPr>
            <w:tcW w:w="475" w:type="pct"/>
            <w:noWrap w:val="0"/>
            <w:vAlign w:val="center"/>
          </w:tcPr>
          <w:p>
            <w:pPr>
              <w:pStyle w:val="54"/>
              <w:bidi w:val="0"/>
              <w:jc w:val="center"/>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315" w:type="pct"/>
            <w:noWrap w:val="0"/>
            <w:vAlign w:val="center"/>
          </w:tcPr>
          <w:p>
            <w:pPr>
              <w:pStyle w:val="54"/>
              <w:bidi w:val="0"/>
              <w:jc w:val="center"/>
              <w:rPr>
                <w:rFonts w:hint="eastAsia"/>
              </w:rPr>
            </w:pPr>
            <w:r>
              <w:rPr>
                <w:rFonts w:hint="eastAsia"/>
              </w:rPr>
              <w:t>5-1</w:t>
            </w:r>
          </w:p>
        </w:tc>
        <w:tc>
          <w:tcPr>
            <w:tcW w:w="713" w:type="pct"/>
            <w:noWrap w:val="0"/>
            <w:vAlign w:val="center"/>
          </w:tcPr>
          <w:p>
            <w:pPr>
              <w:pStyle w:val="54"/>
              <w:bidi w:val="0"/>
              <w:jc w:val="center"/>
              <w:rPr>
                <w:rFonts w:hint="eastAsia"/>
              </w:rPr>
            </w:pPr>
            <w:r>
              <w:rPr>
                <w:rFonts w:hint="eastAsia"/>
              </w:rPr>
              <w:t>泥质粉砂岩</w:t>
            </w:r>
          </w:p>
        </w:tc>
        <w:tc>
          <w:tcPr>
            <w:tcW w:w="602" w:type="pct"/>
            <w:noWrap w:val="0"/>
            <w:vAlign w:val="center"/>
          </w:tcPr>
          <w:p>
            <w:pPr>
              <w:pStyle w:val="54"/>
              <w:bidi w:val="0"/>
              <w:jc w:val="center"/>
              <w:rPr>
                <w:rFonts w:hint="eastAsia"/>
              </w:rPr>
            </w:pPr>
            <w:r>
              <w:rPr>
                <w:rFonts w:hint="eastAsia"/>
              </w:rPr>
              <w:t>全风化</w:t>
            </w:r>
          </w:p>
        </w:tc>
        <w:tc>
          <w:tcPr>
            <w:tcW w:w="543" w:type="pct"/>
            <w:noWrap w:val="0"/>
            <w:vAlign w:val="center"/>
          </w:tcPr>
          <w:p>
            <w:pPr>
              <w:pStyle w:val="54"/>
              <w:bidi w:val="0"/>
              <w:jc w:val="center"/>
              <w:rPr>
                <w:rFonts w:hint="eastAsia"/>
              </w:rPr>
            </w:pPr>
            <w:r>
              <w:rPr>
                <w:rFonts w:hint="eastAsia"/>
              </w:rPr>
              <w:t>350</w:t>
            </w:r>
          </w:p>
        </w:tc>
        <w:tc>
          <w:tcPr>
            <w:tcW w:w="462" w:type="pct"/>
            <w:noWrap w:val="0"/>
            <w:vAlign w:val="center"/>
          </w:tcPr>
          <w:p>
            <w:pPr>
              <w:pStyle w:val="54"/>
              <w:bidi w:val="0"/>
              <w:jc w:val="center"/>
              <w:rPr>
                <w:rFonts w:hint="eastAsia"/>
              </w:rPr>
            </w:pPr>
            <w:r>
              <w:rPr>
                <w:rFonts w:hint="eastAsia"/>
              </w:rPr>
              <w:t>19.4</w:t>
            </w:r>
          </w:p>
        </w:tc>
        <w:tc>
          <w:tcPr>
            <w:tcW w:w="477" w:type="pct"/>
            <w:noWrap w:val="0"/>
            <w:vAlign w:val="center"/>
          </w:tcPr>
          <w:p>
            <w:pPr>
              <w:pStyle w:val="54"/>
              <w:bidi w:val="0"/>
              <w:jc w:val="center"/>
              <w:rPr>
                <w:rFonts w:hint="eastAsia"/>
              </w:rPr>
            </w:pPr>
            <w:r>
              <w:rPr>
                <w:rFonts w:hint="eastAsia"/>
              </w:rPr>
              <w:t>20.0</w:t>
            </w:r>
          </w:p>
        </w:tc>
        <w:tc>
          <w:tcPr>
            <w:tcW w:w="496" w:type="pct"/>
            <w:noWrap w:val="0"/>
            <w:vAlign w:val="center"/>
          </w:tcPr>
          <w:p>
            <w:pPr>
              <w:pStyle w:val="54"/>
              <w:bidi w:val="0"/>
              <w:jc w:val="center"/>
              <w:rPr>
                <w:rFonts w:hint="eastAsia"/>
              </w:rPr>
            </w:pPr>
            <w:r>
              <w:rPr>
                <w:rFonts w:hint="eastAsia"/>
              </w:rPr>
              <w:t>30.0</w:t>
            </w:r>
          </w:p>
        </w:tc>
        <w:tc>
          <w:tcPr>
            <w:tcW w:w="434" w:type="pct"/>
            <w:noWrap w:val="0"/>
            <w:vAlign w:val="center"/>
          </w:tcPr>
          <w:p>
            <w:pPr>
              <w:pStyle w:val="54"/>
              <w:bidi w:val="0"/>
              <w:jc w:val="center"/>
              <w:rPr>
                <w:rFonts w:hint="eastAsia"/>
              </w:rPr>
            </w:pPr>
            <w:r>
              <w:rPr>
                <w:rFonts w:hint="eastAsia"/>
              </w:rPr>
              <w:t>9.5</w:t>
            </w:r>
          </w:p>
        </w:tc>
        <w:tc>
          <w:tcPr>
            <w:tcW w:w="478" w:type="pct"/>
            <w:noWrap w:val="0"/>
            <w:vAlign w:val="center"/>
          </w:tcPr>
          <w:p>
            <w:pPr>
              <w:pStyle w:val="54"/>
              <w:bidi w:val="0"/>
              <w:jc w:val="center"/>
              <w:rPr>
                <w:rFonts w:hint="eastAsia"/>
              </w:rPr>
            </w:pPr>
          </w:p>
        </w:tc>
        <w:tc>
          <w:tcPr>
            <w:tcW w:w="475" w:type="pct"/>
            <w:noWrap w:val="0"/>
            <w:vAlign w:val="center"/>
          </w:tcPr>
          <w:p>
            <w:pPr>
              <w:pStyle w:val="54"/>
              <w:bidi w:val="0"/>
              <w:jc w:val="center"/>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315" w:type="pct"/>
            <w:noWrap w:val="0"/>
            <w:vAlign w:val="center"/>
          </w:tcPr>
          <w:p>
            <w:pPr>
              <w:pStyle w:val="54"/>
              <w:bidi w:val="0"/>
              <w:jc w:val="center"/>
              <w:rPr>
                <w:rFonts w:hint="eastAsia"/>
              </w:rPr>
            </w:pPr>
            <w:r>
              <w:rPr>
                <w:rFonts w:hint="eastAsia"/>
              </w:rPr>
              <w:t>5-2</w:t>
            </w:r>
          </w:p>
        </w:tc>
        <w:tc>
          <w:tcPr>
            <w:tcW w:w="713" w:type="pct"/>
            <w:noWrap w:val="0"/>
            <w:vAlign w:val="center"/>
          </w:tcPr>
          <w:p>
            <w:pPr>
              <w:pStyle w:val="54"/>
              <w:bidi w:val="0"/>
              <w:jc w:val="center"/>
              <w:rPr>
                <w:rFonts w:hint="eastAsia"/>
              </w:rPr>
            </w:pPr>
            <w:r>
              <w:rPr>
                <w:rFonts w:hint="eastAsia"/>
              </w:rPr>
              <w:t>泥质粉砂岩</w:t>
            </w:r>
          </w:p>
        </w:tc>
        <w:tc>
          <w:tcPr>
            <w:tcW w:w="602" w:type="pct"/>
            <w:noWrap w:val="0"/>
            <w:vAlign w:val="center"/>
          </w:tcPr>
          <w:p>
            <w:pPr>
              <w:pStyle w:val="54"/>
              <w:bidi w:val="0"/>
              <w:jc w:val="center"/>
              <w:rPr>
                <w:rFonts w:hint="eastAsia"/>
              </w:rPr>
            </w:pPr>
            <w:r>
              <w:rPr>
                <w:rFonts w:hint="eastAsia"/>
              </w:rPr>
              <w:t>强风化</w:t>
            </w:r>
          </w:p>
        </w:tc>
        <w:tc>
          <w:tcPr>
            <w:tcW w:w="543" w:type="pct"/>
            <w:noWrap w:val="0"/>
            <w:vAlign w:val="center"/>
          </w:tcPr>
          <w:p>
            <w:pPr>
              <w:pStyle w:val="54"/>
              <w:bidi w:val="0"/>
              <w:jc w:val="center"/>
              <w:rPr>
                <w:rFonts w:hint="eastAsia"/>
              </w:rPr>
            </w:pPr>
            <w:r>
              <w:rPr>
                <w:rFonts w:hint="eastAsia"/>
              </w:rPr>
              <w:t>500</w:t>
            </w:r>
          </w:p>
        </w:tc>
        <w:tc>
          <w:tcPr>
            <w:tcW w:w="462" w:type="pct"/>
            <w:noWrap w:val="0"/>
            <w:vAlign w:val="center"/>
          </w:tcPr>
          <w:p>
            <w:pPr>
              <w:pStyle w:val="54"/>
              <w:bidi w:val="0"/>
              <w:jc w:val="center"/>
              <w:rPr>
                <w:rFonts w:hint="eastAsia"/>
              </w:rPr>
            </w:pPr>
          </w:p>
        </w:tc>
        <w:tc>
          <w:tcPr>
            <w:tcW w:w="477" w:type="pct"/>
            <w:noWrap w:val="0"/>
            <w:vAlign w:val="center"/>
          </w:tcPr>
          <w:p>
            <w:pPr>
              <w:pStyle w:val="54"/>
              <w:bidi w:val="0"/>
              <w:jc w:val="center"/>
              <w:rPr>
                <w:rFonts w:hint="eastAsia"/>
              </w:rPr>
            </w:pPr>
          </w:p>
        </w:tc>
        <w:tc>
          <w:tcPr>
            <w:tcW w:w="496" w:type="pct"/>
            <w:noWrap w:val="0"/>
            <w:vAlign w:val="center"/>
          </w:tcPr>
          <w:p>
            <w:pPr>
              <w:pStyle w:val="54"/>
              <w:bidi w:val="0"/>
              <w:jc w:val="center"/>
              <w:rPr>
                <w:rFonts w:hint="eastAsia"/>
              </w:rPr>
            </w:pPr>
          </w:p>
        </w:tc>
        <w:tc>
          <w:tcPr>
            <w:tcW w:w="434" w:type="pct"/>
            <w:noWrap w:val="0"/>
            <w:vAlign w:val="center"/>
          </w:tcPr>
          <w:p>
            <w:pPr>
              <w:pStyle w:val="54"/>
              <w:bidi w:val="0"/>
              <w:jc w:val="center"/>
              <w:rPr>
                <w:rFonts w:hint="eastAsia"/>
              </w:rPr>
            </w:pPr>
          </w:p>
        </w:tc>
        <w:tc>
          <w:tcPr>
            <w:tcW w:w="478" w:type="pct"/>
            <w:noWrap w:val="0"/>
            <w:vAlign w:val="center"/>
          </w:tcPr>
          <w:p>
            <w:pPr>
              <w:pStyle w:val="54"/>
              <w:bidi w:val="0"/>
              <w:jc w:val="center"/>
              <w:rPr>
                <w:rFonts w:hint="eastAsia"/>
              </w:rPr>
            </w:pPr>
          </w:p>
        </w:tc>
        <w:tc>
          <w:tcPr>
            <w:tcW w:w="475" w:type="pct"/>
            <w:noWrap w:val="0"/>
            <w:vAlign w:val="center"/>
          </w:tcPr>
          <w:p>
            <w:pPr>
              <w:pStyle w:val="54"/>
              <w:bidi w:val="0"/>
              <w:jc w:val="center"/>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315" w:type="pct"/>
            <w:noWrap w:val="0"/>
            <w:vAlign w:val="center"/>
          </w:tcPr>
          <w:p>
            <w:pPr>
              <w:pStyle w:val="54"/>
              <w:bidi w:val="0"/>
              <w:jc w:val="center"/>
              <w:rPr>
                <w:rFonts w:hint="eastAsia"/>
              </w:rPr>
            </w:pPr>
            <w:r>
              <w:rPr>
                <w:rFonts w:hint="eastAsia"/>
              </w:rPr>
              <w:t>5-3</w:t>
            </w:r>
          </w:p>
        </w:tc>
        <w:tc>
          <w:tcPr>
            <w:tcW w:w="713" w:type="pct"/>
            <w:noWrap w:val="0"/>
            <w:vAlign w:val="center"/>
          </w:tcPr>
          <w:p>
            <w:pPr>
              <w:pStyle w:val="54"/>
              <w:bidi w:val="0"/>
              <w:jc w:val="center"/>
              <w:rPr>
                <w:rFonts w:hint="eastAsia"/>
              </w:rPr>
            </w:pPr>
            <w:r>
              <w:rPr>
                <w:rFonts w:hint="eastAsia"/>
              </w:rPr>
              <w:t>泥质粉砂岩</w:t>
            </w:r>
          </w:p>
        </w:tc>
        <w:tc>
          <w:tcPr>
            <w:tcW w:w="602" w:type="pct"/>
            <w:noWrap w:val="0"/>
            <w:vAlign w:val="center"/>
          </w:tcPr>
          <w:p>
            <w:pPr>
              <w:pStyle w:val="54"/>
              <w:bidi w:val="0"/>
              <w:jc w:val="center"/>
              <w:rPr>
                <w:rFonts w:hint="eastAsia"/>
              </w:rPr>
            </w:pPr>
            <w:r>
              <w:rPr>
                <w:rFonts w:hint="eastAsia"/>
              </w:rPr>
              <w:t>中风化</w:t>
            </w:r>
          </w:p>
        </w:tc>
        <w:tc>
          <w:tcPr>
            <w:tcW w:w="543" w:type="pct"/>
            <w:noWrap w:val="0"/>
            <w:vAlign w:val="center"/>
          </w:tcPr>
          <w:p>
            <w:pPr>
              <w:pStyle w:val="54"/>
              <w:bidi w:val="0"/>
              <w:jc w:val="center"/>
              <w:rPr>
                <w:rFonts w:hint="eastAsia"/>
              </w:rPr>
            </w:pPr>
            <w:r>
              <w:rPr>
                <w:rFonts w:hint="eastAsia"/>
              </w:rPr>
              <w:t>1200</w:t>
            </w:r>
          </w:p>
        </w:tc>
        <w:tc>
          <w:tcPr>
            <w:tcW w:w="462" w:type="pct"/>
            <w:noWrap w:val="0"/>
            <w:vAlign w:val="center"/>
          </w:tcPr>
          <w:p>
            <w:pPr>
              <w:pStyle w:val="54"/>
              <w:bidi w:val="0"/>
              <w:jc w:val="center"/>
              <w:rPr>
                <w:rFonts w:hint="eastAsia"/>
              </w:rPr>
            </w:pPr>
          </w:p>
        </w:tc>
        <w:tc>
          <w:tcPr>
            <w:tcW w:w="477" w:type="pct"/>
            <w:noWrap w:val="0"/>
            <w:vAlign w:val="center"/>
          </w:tcPr>
          <w:p>
            <w:pPr>
              <w:pStyle w:val="54"/>
              <w:bidi w:val="0"/>
              <w:jc w:val="center"/>
              <w:rPr>
                <w:rFonts w:hint="eastAsia"/>
              </w:rPr>
            </w:pPr>
          </w:p>
        </w:tc>
        <w:tc>
          <w:tcPr>
            <w:tcW w:w="496" w:type="pct"/>
            <w:noWrap w:val="0"/>
            <w:vAlign w:val="center"/>
          </w:tcPr>
          <w:p>
            <w:pPr>
              <w:pStyle w:val="54"/>
              <w:bidi w:val="0"/>
              <w:jc w:val="center"/>
              <w:rPr>
                <w:rFonts w:hint="eastAsia"/>
              </w:rPr>
            </w:pPr>
          </w:p>
        </w:tc>
        <w:tc>
          <w:tcPr>
            <w:tcW w:w="434" w:type="pct"/>
            <w:noWrap w:val="0"/>
            <w:vAlign w:val="center"/>
          </w:tcPr>
          <w:p>
            <w:pPr>
              <w:pStyle w:val="54"/>
              <w:bidi w:val="0"/>
              <w:jc w:val="center"/>
              <w:rPr>
                <w:rFonts w:hint="eastAsia"/>
              </w:rPr>
            </w:pPr>
          </w:p>
        </w:tc>
        <w:tc>
          <w:tcPr>
            <w:tcW w:w="478" w:type="pct"/>
            <w:noWrap w:val="0"/>
            <w:vAlign w:val="center"/>
          </w:tcPr>
          <w:p>
            <w:pPr>
              <w:pStyle w:val="54"/>
              <w:bidi w:val="0"/>
              <w:jc w:val="center"/>
              <w:rPr>
                <w:rFonts w:hint="eastAsia"/>
              </w:rPr>
            </w:pPr>
          </w:p>
        </w:tc>
        <w:tc>
          <w:tcPr>
            <w:tcW w:w="475" w:type="pct"/>
            <w:noWrap w:val="0"/>
            <w:vAlign w:val="center"/>
          </w:tcPr>
          <w:p>
            <w:pPr>
              <w:pStyle w:val="54"/>
              <w:bidi w:val="0"/>
              <w:jc w:val="center"/>
              <w:rPr>
                <w:rFonts w:hint="eastAsia"/>
              </w:rPr>
            </w:pPr>
          </w:p>
        </w:tc>
      </w:tr>
    </w:tbl>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eastAsia"/>
          <w:lang w:val="en-US" w:eastAsia="zh-CN"/>
        </w:rPr>
      </w:pPr>
      <w:bookmarkStart w:id="118" w:name="_Toc434743177"/>
      <w:bookmarkStart w:id="119" w:name="_Toc654"/>
      <w:bookmarkStart w:id="120" w:name="_Toc458506147"/>
      <w:bookmarkStart w:id="121" w:name="_Toc4875"/>
      <w:bookmarkStart w:id="122" w:name="_Toc434743127"/>
      <w:bookmarkStart w:id="123" w:name="_Toc51319170"/>
      <w:r>
        <w:rPr>
          <w:rFonts w:hint="eastAsia"/>
          <w:lang w:val="en-US" w:eastAsia="zh-CN"/>
        </w:rPr>
        <w:t>工程地质评价</w:t>
      </w:r>
      <w:bookmarkEnd w:id="118"/>
      <w:bookmarkEnd w:id="119"/>
      <w:bookmarkEnd w:id="120"/>
      <w:bookmarkEnd w:id="121"/>
      <w:bookmarkEnd w:id="122"/>
      <w:bookmarkEnd w:id="123"/>
    </w:p>
    <w:p>
      <w:pPr>
        <w:pStyle w:val="5"/>
        <w:bidi w:val="0"/>
        <w:ind w:left="720" w:leftChars="0" w:hanging="720" w:firstLineChars="0"/>
        <w:rPr>
          <w:rFonts w:hint="eastAsia"/>
          <w:lang w:eastAsia="zh-CN"/>
        </w:rPr>
      </w:pPr>
      <w:bookmarkStart w:id="124" w:name="_Toc300508619"/>
      <w:bookmarkStart w:id="125" w:name="_Toc300506010"/>
      <w:bookmarkStart w:id="126" w:name="_Toc6331"/>
      <w:bookmarkStart w:id="127" w:name="_Toc434743128"/>
      <w:bookmarkStart w:id="128" w:name="_Toc434743178"/>
      <w:bookmarkStart w:id="129" w:name="_Toc300509052"/>
      <w:bookmarkStart w:id="130" w:name="_Toc4765"/>
      <w:bookmarkStart w:id="131" w:name="_Toc300505937"/>
      <w:bookmarkStart w:id="132" w:name="_Toc51319171"/>
      <w:bookmarkStart w:id="133" w:name="_Toc300508424"/>
      <w:bookmarkStart w:id="134" w:name="_Toc458506148"/>
      <w:r>
        <w:rPr>
          <w:rFonts w:hint="eastAsia"/>
          <w:lang w:val="en-US" w:eastAsia="zh-CN"/>
        </w:rPr>
        <w:t>堤身质量</w:t>
      </w:r>
      <w:r>
        <w:rPr>
          <w:rFonts w:hint="eastAsia"/>
          <w:lang w:eastAsia="zh-CN"/>
        </w:rPr>
        <w:t>评价</w:t>
      </w:r>
      <w:bookmarkEnd w:id="124"/>
      <w:bookmarkEnd w:id="125"/>
      <w:bookmarkEnd w:id="126"/>
      <w:bookmarkEnd w:id="127"/>
      <w:bookmarkEnd w:id="128"/>
      <w:bookmarkEnd w:id="129"/>
      <w:bookmarkEnd w:id="130"/>
      <w:bookmarkEnd w:id="131"/>
      <w:bookmarkEnd w:id="132"/>
      <w:bookmarkEnd w:id="133"/>
      <w:bookmarkEnd w:id="134"/>
    </w:p>
    <w:p>
      <w:pPr>
        <w:pStyle w:val="178"/>
        <w:rPr>
          <w:rFonts w:hint="eastAsia" w:ascii="Times New Roman" w:hAnsi="Times New Roman" w:cs="Times New Roman" w:eastAsiaTheme="minorEastAsia"/>
          <w:sz w:val="24"/>
          <w:szCs w:val="24"/>
          <w:lang w:val="en-US" w:eastAsia="zh-CN" w:bidi="ar-SA"/>
        </w:rPr>
      </w:pPr>
      <w:bookmarkStart w:id="135" w:name="_Toc330069460"/>
      <w:bookmarkStart w:id="136" w:name="_Toc458506149"/>
      <w:bookmarkStart w:id="137" w:name="_Toc315962321"/>
      <w:bookmarkStart w:id="138" w:name="_Toc51319172"/>
      <w:bookmarkStart w:id="139" w:name="_Toc434743129"/>
      <w:bookmarkStart w:id="140" w:name="_Toc25019"/>
      <w:bookmarkStart w:id="141" w:name="_Toc434743179"/>
      <w:r>
        <w:rPr>
          <w:rFonts w:hint="eastAsia" w:ascii="Times New Roman" w:hAnsi="Times New Roman" w:cs="Times New Roman" w:eastAsiaTheme="minorEastAsia"/>
          <w:sz w:val="24"/>
          <w:szCs w:val="24"/>
          <w:lang w:val="en-US" w:eastAsia="zh-CN" w:bidi="ar-SA"/>
        </w:rPr>
        <w:t>大蕴涌两岸堤防是在不同时期经多次人工自然堆积而成，堤身的断面形状、堤顶高程及堤身土质组成等不尽相同，总体较直。堤身</w:t>
      </w:r>
      <w:bookmarkStart w:id="401" w:name="_GoBack"/>
      <w:bookmarkEnd w:id="401"/>
      <w:r>
        <w:rPr>
          <w:rFonts w:hint="eastAsia" w:ascii="Times New Roman" w:hAnsi="Times New Roman" w:cs="Times New Roman" w:eastAsiaTheme="minorEastAsia"/>
          <w:sz w:val="24"/>
          <w:szCs w:val="24"/>
          <w:lang w:val="en-US" w:eastAsia="zh-CN" w:bidi="ar-SA"/>
        </w:rPr>
        <w:t>填筑土多为成分复杂的杂填土，呈疏松状，局部地段见有生活垃圾堆填，且见有鼠洞，呈中～强透水性，为不良的堤身土；堤基主要由淤泥组成，为软土，其压缩性高，抗剪强度低，承载力低，为不良地基土。</w:t>
      </w:r>
    </w:p>
    <w:bookmarkEnd w:id="135"/>
    <w:bookmarkEnd w:id="136"/>
    <w:bookmarkEnd w:id="137"/>
    <w:bookmarkEnd w:id="138"/>
    <w:bookmarkEnd w:id="139"/>
    <w:bookmarkEnd w:id="140"/>
    <w:bookmarkEnd w:id="141"/>
    <w:p>
      <w:pPr>
        <w:pStyle w:val="5"/>
        <w:bidi w:val="0"/>
        <w:ind w:left="720" w:leftChars="0" w:hanging="720" w:firstLineChars="0"/>
        <w:rPr>
          <w:rFonts w:hint="eastAsia"/>
          <w:lang w:eastAsia="zh-CN"/>
        </w:rPr>
      </w:pPr>
      <w:bookmarkStart w:id="142" w:name="_Toc458506152"/>
      <w:bookmarkStart w:id="143" w:name="_Toc51319175"/>
      <w:bookmarkStart w:id="144" w:name="_Toc19515"/>
      <w:bookmarkStart w:id="145" w:name="_Toc21550"/>
      <w:bookmarkStart w:id="146" w:name="_Toc127414975"/>
      <w:r>
        <w:rPr>
          <w:rFonts w:hint="eastAsia"/>
          <w:lang w:eastAsia="zh-CN"/>
        </w:rPr>
        <w:t>地基</w:t>
      </w:r>
      <w:bookmarkEnd w:id="142"/>
      <w:bookmarkEnd w:id="143"/>
      <w:bookmarkEnd w:id="144"/>
      <w:r>
        <w:rPr>
          <w:rFonts w:hint="eastAsia"/>
          <w:lang w:val="en-US" w:eastAsia="zh-CN"/>
        </w:rPr>
        <w:t>处理措施</w:t>
      </w:r>
      <w:bookmarkEnd w:id="145"/>
    </w:p>
    <w:bookmarkEnd w:id="146"/>
    <w:p>
      <w:pPr>
        <w:pStyle w:val="178"/>
        <w:keepNext w:val="0"/>
        <w:keepLines w:val="0"/>
        <w:pageBreakBefore w:val="0"/>
        <w:widowControl/>
        <w:kinsoku/>
        <w:wordWrap/>
        <w:overflowPunct/>
        <w:topLinePunct w:val="0"/>
        <w:autoSpaceDE/>
        <w:autoSpaceDN/>
        <w:bidi w:val="0"/>
        <w:adjustRightInd/>
        <w:snapToGrid/>
        <w:textAlignment w:val="auto"/>
        <w:rPr>
          <w:rFonts w:hint="eastAsia" w:ascii="Times New Roman" w:hAnsi="Times New Roman" w:cs="Times New Roman" w:eastAsiaTheme="minorEastAsia"/>
          <w:sz w:val="24"/>
          <w:szCs w:val="24"/>
          <w:lang w:val="en-US" w:eastAsia="zh-CN" w:bidi="ar-SA"/>
        </w:rPr>
      </w:pPr>
      <w:bookmarkStart w:id="147" w:name="_Toc51319176"/>
      <w:bookmarkStart w:id="148" w:name="_Toc434743132"/>
      <w:bookmarkStart w:id="149" w:name="_Toc11003"/>
      <w:bookmarkStart w:id="150" w:name="_Toc434743182"/>
      <w:bookmarkStart w:id="151" w:name="_Toc458506153"/>
      <w:r>
        <w:rPr>
          <w:rFonts w:hint="eastAsia" w:ascii="Times New Roman" w:hAnsi="Times New Roman" w:cs="Times New Roman" w:eastAsiaTheme="minorEastAsia"/>
          <w:sz w:val="24"/>
          <w:szCs w:val="24"/>
          <w:lang w:val="en-US" w:eastAsia="zh-CN" w:bidi="ar-SA"/>
        </w:rPr>
        <w:t>工程区内普遍存在的淤泥，具有抗剪强度低、压缩性高、渗透系数小、承载力低和触变性、流变性的特点，直接将其作为持力层，将存在不均匀沉降、震陷、抗滑稳定性等问题。因此，应进行基础处理。</w:t>
      </w:r>
    </w:p>
    <w:p>
      <w:pPr>
        <w:pStyle w:val="178"/>
        <w:keepNext w:val="0"/>
        <w:keepLines w:val="0"/>
        <w:pageBreakBefore w:val="0"/>
        <w:widowControl/>
        <w:kinsoku/>
        <w:wordWrap/>
        <w:overflowPunct/>
        <w:topLinePunct w:val="0"/>
        <w:autoSpaceDE/>
        <w:autoSpaceDN/>
        <w:bidi w:val="0"/>
        <w:adjustRightInd/>
        <w:snapToGrid/>
        <w:textAlignment w:val="auto"/>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（1）由于工程区软土层分布连续，表部填土一般较薄，因此可采用排水固结法(预压或真空预压)进行处理或采用混凝土搅拌桩及番禺地区较为成熟的打木桩等复合地基，并进行护坡、护脚处理。</w:t>
      </w:r>
    </w:p>
    <w:p>
      <w:pPr>
        <w:pStyle w:val="178"/>
        <w:keepNext w:val="0"/>
        <w:keepLines w:val="0"/>
        <w:pageBreakBefore w:val="0"/>
        <w:widowControl/>
        <w:kinsoku/>
        <w:wordWrap/>
        <w:overflowPunct/>
        <w:topLinePunct w:val="0"/>
        <w:autoSpaceDE/>
        <w:autoSpaceDN/>
        <w:bidi w:val="0"/>
        <w:adjustRightInd/>
        <w:snapToGrid/>
        <w:textAlignment w:val="auto"/>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（2）在表层填土层较厚、现堤身高度基本满足设计要求的地段，经计算下卧软土层满足承载强度和稳定要求时，可不进行地基处理，但填土层须经夯实处理。</w:t>
      </w:r>
    </w:p>
    <w:p>
      <w:pPr>
        <w:pStyle w:val="178"/>
        <w:keepNext w:val="0"/>
        <w:keepLines w:val="0"/>
        <w:pageBreakBefore w:val="0"/>
        <w:widowControl/>
        <w:kinsoku/>
        <w:wordWrap/>
        <w:overflowPunct/>
        <w:topLinePunct w:val="0"/>
        <w:autoSpaceDE/>
        <w:autoSpaceDN/>
        <w:bidi w:val="0"/>
        <w:adjustRightInd/>
        <w:snapToGrid/>
        <w:textAlignment w:val="auto"/>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3）勘察资料表明软土层均较厚，加上河涌两岸民居较多、堤路共用等不利荷载，基槽开挖边坡稳定问题非常突出，存在边坡和基坑支护困难、坑底易隆起等问题，应进行浅层和深层抗滑稳定验算以选择有效的支护措施。在河涌两岸较开阔的地带，表部填土开挖边坡，可采用1:1.75～1:1.50。</w:t>
      </w:r>
    </w:p>
    <w:p>
      <w:pPr>
        <w:pStyle w:val="178"/>
        <w:keepNext w:val="0"/>
        <w:keepLines w:val="0"/>
        <w:pageBreakBefore w:val="0"/>
        <w:widowControl/>
        <w:kinsoku/>
        <w:wordWrap/>
        <w:overflowPunct/>
        <w:topLinePunct w:val="0"/>
        <w:autoSpaceDE/>
        <w:autoSpaceDN/>
        <w:bidi w:val="0"/>
        <w:adjustRightInd/>
        <w:snapToGrid/>
        <w:textAlignment w:val="auto"/>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（4）可尽量利用现已稳定的老堤，并进行必要的护坡、护脚处理。</w:t>
      </w:r>
    </w:p>
    <w:p>
      <w:pPr>
        <w:pStyle w:val="178"/>
        <w:keepNext w:val="0"/>
        <w:keepLines w:val="0"/>
        <w:pageBreakBefore w:val="0"/>
        <w:widowControl/>
        <w:kinsoku/>
        <w:wordWrap/>
        <w:overflowPunct/>
        <w:topLinePunct w:val="0"/>
        <w:autoSpaceDE/>
        <w:autoSpaceDN/>
        <w:bidi w:val="0"/>
        <w:adjustRightInd/>
        <w:snapToGrid/>
        <w:textAlignment w:val="auto"/>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（5）施工时应注意进度和工期，以保证土体有足够的固结时间。</w:t>
      </w:r>
    </w:p>
    <w:p>
      <w:pPr>
        <w:pStyle w:val="178"/>
        <w:keepNext w:val="0"/>
        <w:keepLines w:val="0"/>
        <w:pageBreakBefore w:val="0"/>
        <w:widowControl/>
        <w:kinsoku/>
        <w:wordWrap/>
        <w:overflowPunct/>
        <w:topLinePunct w:val="0"/>
        <w:autoSpaceDE/>
        <w:autoSpaceDN/>
        <w:bidi w:val="0"/>
        <w:adjustRightInd/>
        <w:snapToGrid/>
        <w:textAlignment w:val="auto"/>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各岩土层工程性质指标建议值如下表：表3.6-1。</w:t>
      </w:r>
    </w:p>
    <w:p>
      <w:pPr>
        <w:pStyle w:val="250"/>
        <w:bidi w:val="0"/>
        <w:rPr>
          <w:rFonts w:hint="eastAsia"/>
        </w:rPr>
      </w:pPr>
      <w:r>
        <w:rPr>
          <w:rFonts w:hint="eastAsia"/>
        </w:rPr>
        <w:t>表</w:t>
      </w:r>
      <w:r>
        <w:rPr>
          <w:rFonts w:hint="eastAsia"/>
          <w:lang w:val="en-US" w:eastAsia="zh-CN"/>
        </w:rPr>
        <w:t>3.</w:t>
      </w:r>
      <w:r>
        <w:rPr>
          <w:rFonts w:hint="eastAsia"/>
        </w:rPr>
        <w:t>6-1各岩土层工程性质指标建议值</w:t>
      </w:r>
    </w:p>
    <w:tbl>
      <w:tblPr>
        <w:tblStyle w:val="44"/>
        <w:tblW w:w="499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86"/>
        <w:gridCol w:w="1099"/>
        <w:gridCol w:w="1115"/>
        <w:gridCol w:w="1065"/>
        <w:gridCol w:w="978"/>
        <w:gridCol w:w="881"/>
        <w:gridCol w:w="981"/>
        <w:gridCol w:w="806"/>
        <w:gridCol w:w="888"/>
        <w:gridCol w:w="88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316" w:type="pct"/>
            <w:vMerge w:val="restart"/>
            <w:noWrap w:val="0"/>
            <w:vAlign w:val="center"/>
          </w:tcPr>
          <w:p>
            <w:pPr>
              <w:pStyle w:val="54"/>
              <w:bidi w:val="0"/>
            </w:pPr>
            <w:r>
              <w:rPr>
                <w:rFonts w:hint="eastAsia"/>
              </w:rPr>
              <w:t>层号</w:t>
            </w:r>
          </w:p>
        </w:tc>
        <w:tc>
          <w:tcPr>
            <w:tcW w:w="592" w:type="pct"/>
            <w:vMerge w:val="restart"/>
            <w:noWrap w:val="0"/>
            <w:vAlign w:val="center"/>
          </w:tcPr>
          <w:p>
            <w:pPr>
              <w:pStyle w:val="54"/>
              <w:bidi w:val="0"/>
            </w:pPr>
            <w:r>
              <w:rPr>
                <w:rFonts w:hint="eastAsia"/>
              </w:rPr>
              <w:t>岩土名称</w:t>
            </w:r>
          </w:p>
        </w:tc>
        <w:tc>
          <w:tcPr>
            <w:tcW w:w="601" w:type="pct"/>
            <w:vMerge w:val="restart"/>
            <w:noWrap w:val="0"/>
            <w:vAlign w:val="center"/>
          </w:tcPr>
          <w:p>
            <w:pPr>
              <w:pStyle w:val="54"/>
              <w:bidi w:val="0"/>
              <w:rPr>
                <w:rFonts w:hint="eastAsia"/>
              </w:rPr>
            </w:pPr>
            <w:r>
              <w:rPr>
                <w:rFonts w:hint="eastAsia"/>
              </w:rPr>
              <w:t>状态</w:t>
            </w:r>
          </w:p>
        </w:tc>
        <w:tc>
          <w:tcPr>
            <w:tcW w:w="574" w:type="pct"/>
            <w:vMerge w:val="restart"/>
            <w:noWrap w:val="0"/>
            <w:vAlign w:val="center"/>
          </w:tcPr>
          <w:p>
            <w:pPr>
              <w:pStyle w:val="54"/>
              <w:bidi w:val="0"/>
              <w:rPr>
                <w:rFonts w:hint="eastAsia"/>
              </w:rPr>
            </w:pPr>
            <w:r>
              <w:rPr>
                <w:rFonts w:hint="eastAsia"/>
              </w:rPr>
              <w:t>地基承载力特征值</w:t>
            </w:r>
            <w:r>
              <w:t>f</w:t>
            </w:r>
            <w:r>
              <w:rPr>
                <w:rFonts w:hint="eastAsia"/>
              </w:rPr>
              <w:softHyphen/>
            </w:r>
            <w:r>
              <w:rPr>
                <w:rFonts w:hint="eastAsia"/>
              </w:rPr>
              <w:softHyphen/>
            </w:r>
            <w:r>
              <w:rPr>
                <w:rFonts w:hint="eastAsia"/>
              </w:rPr>
              <w:t>ak(kPa)</w:t>
            </w:r>
          </w:p>
        </w:tc>
        <w:tc>
          <w:tcPr>
            <w:tcW w:w="527" w:type="pct"/>
            <w:vMerge w:val="restart"/>
            <w:noWrap w:val="0"/>
            <w:vAlign w:val="top"/>
          </w:tcPr>
          <w:p>
            <w:pPr>
              <w:pStyle w:val="54"/>
              <w:bidi w:val="0"/>
              <w:rPr>
                <w:rFonts w:hint="eastAsia"/>
              </w:rPr>
            </w:pPr>
            <w:r>
              <w:rPr>
                <w:rFonts w:hint="eastAsia"/>
              </w:rPr>
              <w:t>天然重度</w:t>
            </w:r>
          </w:p>
          <w:p>
            <w:pPr>
              <w:pStyle w:val="54"/>
              <w:bidi w:val="0"/>
              <w:rPr>
                <w:rFonts w:hint="eastAsia"/>
              </w:rPr>
            </w:pPr>
            <w:r>
              <w:rPr>
                <w:rFonts w:hint="eastAsia"/>
              </w:rPr>
              <w:t>(kN/m3)</w:t>
            </w:r>
          </w:p>
        </w:tc>
        <w:tc>
          <w:tcPr>
            <w:tcW w:w="1003" w:type="pct"/>
            <w:gridSpan w:val="2"/>
            <w:noWrap w:val="0"/>
            <w:vAlign w:val="center"/>
          </w:tcPr>
          <w:p>
            <w:pPr>
              <w:pStyle w:val="54"/>
              <w:bidi w:val="0"/>
              <w:rPr>
                <w:rFonts w:hint="eastAsia"/>
              </w:rPr>
            </w:pPr>
            <w:r>
              <w:rPr>
                <w:rFonts w:hint="eastAsia"/>
              </w:rPr>
              <w:t>快剪</w:t>
            </w:r>
          </w:p>
        </w:tc>
        <w:tc>
          <w:tcPr>
            <w:tcW w:w="434" w:type="pct"/>
            <w:vMerge w:val="restart"/>
            <w:noWrap w:val="0"/>
            <w:vAlign w:val="center"/>
          </w:tcPr>
          <w:p>
            <w:pPr>
              <w:pStyle w:val="54"/>
              <w:bidi w:val="0"/>
            </w:pPr>
            <w:r>
              <w:rPr>
                <w:rFonts w:hint="eastAsia"/>
              </w:rPr>
              <w:t>压缩模量Es</w:t>
            </w:r>
          </w:p>
          <w:p>
            <w:pPr>
              <w:pStyle w:val="54"/>
              <w:bidi w:val="0"/>
            </w:pPr>
            <w:r>
              <w:rPr>
                <w:rFonts w:hint="eastAsia"/>
              </w:rPr>
              <w:t>(MPa)</w:t>
            </w:r>
          </w:p>
        </w:tc>
        <w:tc>
          <w:tcPr>
            <w:tcW w:w="475" w:type="pct"/>
            <w:vMerge w:val="restart"/>
            <w:noWrap w:val="0"/>
            <w:vAlign w:val="center"/>
          </w:tcPr>
          <w:p>
            <w:pPr>
              <w:pStyle w:val="54"/>
              <w:bidi w:val="0"/>
              <w:rPr>
                <w:rFonts w:hint="eastAsia"/>
              </w:rPr>
            </w:pPr>
            <w:r>
              <w:rPr>
                <w:rFonts w:hint="eastAsia"/>
              </w:rPr>
              <w:t>渗透系数</w:t>
            </w:r>
            <w:r>
              <w:t>Kv</w:t>
            </w:r>
          </w:p>
          <w:p>
            <w:pPr>
              <w:pStyle w:val="54"/>
              <w:bidi w:val="0"/>
              <w:rPr>
                <w:rFonts w:hint="eastAsia"/>
              </w:rPr>
            </w:pPr>
            <w:r>
              <w:rPr>
                <w:rFonts w:hint="eastAsia"/>
              </w:rPr>
              <w:t>(cm/s)</w:t>
            </w:r>
          </w:p>
        </w:tc>
        <w:tc>
          <w:tcPr>
            <w:tcW w:w="475" w:type="pct"/>
            <w:vMerge w:val="restart"/>
            <w:noWrap w:val="0"/>
            <w:vAlign w:val="center"/>
          </w:tcPr>
          <w:p>
            <w:pPr>
              <w:pStyle w:val="54"/>
              <w:bidi w:val="0"/>
              <w:rPr>
                <w:rFonts w:hint="eastAsia"/>
              </w:rPr>
            </w:pPr>
            <w:r>
              <w:rPr>
                <w:rFonts w:hint="eastAsia"/>
              </w:rPr>
              <w:t>基底摩擦系数</w:t>
            </w:r>
          </w:p>
          <w:p>
            <w:pPr>
              <w:pStyle w:val="54"/>
              <w:bidi w:val="0"/>
            </w:pPr>
            <w:r>
              <w:t>f</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90" w:hRule="atLeast"/>
          <w:jc w:val="center"/>
        </w:trPr>
        <w:tc>
          <w:tcPr>
            <w:tcW w:w="316" w:type="pct"/>
            <w:vMerge w:val="continue"/>
            <w:tcBorders>
              <w:bottom w:val="single" w:color="auto" w:sz="12" w:space="0"/>
            </w:tcBorders>
            <w:noWrap w:val="0"/>
            <w:vAlign w:val="top"/>
          </w:tcPr>
          <w:p>
            <w:pPr>
              <w:pStyle w:val="54"/>
              <w:bidi w:val="0"/>
              <w:rPr>
                <w:rFonts w:hint="eastAsia"/>
              </w:rPr>
            </w:pPr>
          </w:p>
        </w:tc>
        <w:tc>
          <w:tcPr>
            <w:tcW w:w="592" w:type="pct"/>
            <w:vMerge w:val="continue"/>
            <w:tcBorders>
              <w:bottom w:val="single" w:color="auto" w:sz="12" w:space="0"/>
            </w:tcBorders>
            <w:noWrap w:val="0"/>
            <w:vAlign w:val="top"/>
          </w:tcPr>
          <w:p>
            <w:pPr>
              <w:pStyle w:val="54"/>
              <w:bidi w:val="0"/>
              <w:rPr>
                <w:rFonts w:hint="eastAsia"/>
              </w:rPr>
            </w:pPr>
          </w:p>
        </w:tc>
        <w:tc>
          <w:tcPr>
            <w:tcW w:w="601" w:type="pct"/>
            <w:vMerge w:val="continue"/>
            <w:tcBorders>
              <w:bottom w:val="single" w:color="auto" w:sz="12" w:space="0"/>
            </w:tcBorders>
            <w:noWrap w:val="0"/>
            <w:vAlign w:val="top"/>
          </w:tcPr>
          <w:p>
            <w:pPr>
              <w:pStyle w:val="54"/>
              <w:bidi w:val="0"/>
              <w:rPr>
                <w:rFonts w:hint="eastAsia"/>
              </w:rPr>
            </w:pPr>
          </w:p>
        </w:tc>
        <w:tc>
          <w:tcPr>
            <w:tcW w:w="574" w:type="pct"/>
            <w:vMerge w:val="continue"/>
            <w:tcBorders>
              <w:bottom w:val="single" w:color="auto" w:sz="12" w:space="0"/>
            </w:tcBorders>
            <w:noWrap w:val="0"/>
            <w:vAlign w:val="top"/>
          </w:tcPr>
          <w:p>
            <w:pPr>
              <w:pStyle w:val="54"/>
              <w:bidi w:val="0"/>
              <w:rPr>
                <w:rFonts w:hint="eastAsia"/>
              </w:rPr>
            </w:pPr>
          </w:p>
        </w:tc>
        <w:tc>
          <w:tcPr>
            <w:tcW w:w="527" w:type="pct"/>
            <w:vMerge w:val="continue"/>
            <w:tcBorders>
              <w:bottom w:val="single" w:color="auto" w:sz="12" w:space="0"/>
            </w:tcBorders>
            <w:noWrap w:val="0"/>
            <w:vAlign w:val="top"/>
          </w:tcPr>
          <w:p>
            <w:pPr>
              <w:pStyle w:val="54"/>
              <w:bidi w:val="0"/>
              <w:rPr>
                <w:rFonts w:hint="eastAsia"/>
              </w:rPr>
            </w:pPr>
          </w:p>
        </w:tc>
        <w:tc>
          <w:tcPr>
            <w:tcW w:w="475" w:type="pct"/>
            <w:tcBorders>
              <w:bottom w:val="single" w:color="auto" w:sz="12" w:space="0"/>
            </w:tcBorders>
            <w:noWrap w:val="0"/>
            <w:vAlign w:val="top"/>
          </w:tcPr>
          <w:p>
            <w:pPr>
              <w:pStyle w:val="54"/>
              <w:bidi w:val="0"/>
              <w:rPr>
                <w:rFonts w:hint="eastAsia"/>
              </w:rPr>
            </w:pPr>
            <w:r>
              <w:rPr>
                <w:rFonts w:hint="eastAsia"/>
              </w:rPr>
              <w:t>凝聚力</w:t>
            </w:r>
          </w:p>
          <w:p>
            <w:pPr>
              <w:pStyle w:val="54"/>
              <w:bidi w:val="0"/>
              <w:rPr>
                <w:rFonts w:hint="eastAsia"/>
              </w:rPr>
            </w:pPr>
            <w:r>
              <w:rPr>
                <w:rFonts w:hint="eastAsia"/>
              </w:rPr>
              <w:t>C(kPa)</w:t>
            </w:r>
          </w:p>
        </w:tc>
        <w:tc>
          <w:tcPr>
            <w:tcW w:w="528" w:type="pct"/>
            <w:tcBorders>
              <w:bottom w:val="single" w:color="auto" w:sz="12" w:space="0"/>
            </w:tcBorders>
            <w:noWrap w:val="0"/>
            <w:vAlign w:val="top"/>
          </w:tcPr>
          <w:p>
            <w:pPr>
              <w:pStyle w:val="54"/>
              <w:bidi w:val="0"/>
              <w:rPr>
                <w:rFonts w:hint="eastAsia"/>
              </w:rPr>
            </w:pPr>
            <w:r>
              <w:rPr>
                <w:rFonts w:hint="eastAsia"/>
              </w:rPr>
              <w:t>内摩擦角φ(0)</w:t>
            </w:r>
          </w:p>
        </w:tc>
        <w:tc>
          <w:tcPr>
            <w:tcW w:w="434" w:type="pct"/>
            <w:vMerge w:val="continue"/>
            <w:tcBorders>
              <w:bottom w:val="single" w:color="auto" w:sz="12" w:space="0"/>
            </w:tcBorders>
            <w:noWrap w:val="0"/>
            <w:vAlign w:val="top"/>
          </w:tcPr>
          <w:p>
            <w:pPr>
              <w:pStyle w:val="54"/>
              <w:bidi w:val="0"/>
              <w:rPr>
                <w:rFonts w:hint="eastAsia"/>
              </w:rPr>
            </w:pPr>
          </w:p>
        </w:tc>
        <w:tc>
          <w:tcPr>
            <w:tcW w:w="475" w:type="pct"/>
            <w:vMerge w:val="continue"/>
            <w:tcBorders>
              <w:bottom w:val="single" w:color="auto" w:sz="12" w:space="0"/>
            </w:tcBorders>
            <w:noWrap w:val="0"/>
            <w:vAlign w:val="top"/>
          </w:tcPr>
          <w:p>
            <w:pPr>
              <w:pStyle w:val="54"/>
              <w:bidi w:val="0"/>
              <w:rPr>
                <w:rFonts w:hint="eastAsia"/>
              </w:rPr>
            </w:pPr>
          </w:p>
        </w:tc>
        <w:tc>
          <w:tcPr>
            <w:tcW w:w="475" w:type="pct"/>
            <w:vMerge w:val="continue"/>
            <w:tcBorders>
              <w:bottom w:val="single" w:color="auto" w:sz="12" w:space="0"/>
            </w:tcBorders>
            <w:noWrap w:val="0"/>
            <w:vAlign w:val="top"/>
          </w:tcPr>
          <w:p>
            <w:pPr>
              <w:pStyle w:val="54"/>
              <w:bidi w:val="0"/>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16" w:type="pct"/>
            <w:noWrap w:val="0"/>
            <w:vAlign w:val="top"/>
          </w:tcPr>
          <w:p>
            <w:pPr>
              <w:pStyle w:val="54"/>
              <w:bidi w:val="0"/>
              <w:rPr>
                <w:rFonts w:hint="eastAsia"/>
              </w:rPr>
            </w:pPr>
            <w:r>
              <w:rPr>
                <w:rFonts w:hint="eastAsia"/>
              </w:rPr>
              <w:t>1</w:t>
            </w:r>
          </w:p>
        </w:tc>
        <w:tc>
          <w:tcPr>
            <w:tcW w:w="592" w:type="pct"/>
            <w:noWrap w:val="0"/>
            <w:vAlign w:val="top"/>
          </w:tcPr>
          <w:p>
            <w:pPr>
              <w:pStyle w:val="54"/>
              <w:bidi w:val="0"/>
              <w:rPr>
                <w:rFonts w:hint="eastAsia"/>
              </w:rPr>
            </w:pPr>
            <w:r>
              <w:rPr>
                <w:rFonts w:hint="eastAsia"/>
              </w:rPr>
              <w:t>杂填土</w:t>
            </w:r>
          </w:p>
        </w:tc>
        <w:tc>
          <w:tcPr>
            <w:tcW w:w="601" w:type="pct"/>
            <w:noWrap w:val="0"/>
            <w:vAlign w:val="top"/>
          </w:tcPr>
          <w:p>
            <w:pPr>
              <w:pStyle w:val="54"/>
              <w:bidi w:val="0"/>
              <w:rPr>
                <w:rFonts w:hint="eastAsia"/>
              </w:rPr>
            </w:pPr>
            <w:r>
              <w:rPr>
                <w:rFonts w:hint="eastAsia"/>
              </w:rPr>
              <w:t>疏松为主</w:t>
            </w:r>
          </w:p>
        </w:tc>
        <w:tc>
          <w:tcPr>
            <w:tcW w:w="574" w:type="pct"/>
            <w:noWrap w:val="0"/>
            <w:vAlign w:val="top"/>
          </w:tcPr>
          <w:p>
            <w:pPr>
              <w:pStyle w:val="54"/>
              <w:bidi w:val="0"/>
              <w:rPr>
                <w:rFonts w:hint="eastAsia"/>
              </w:rPr>
            </w:pPr>
            <w:r>
              <w:rPr>
                <w:rFonts w:hint="eastAsia"/>
              </w:rPr>
              <w:t>--</w:t>
            </w:r>
          </w:p>
        </w:tc>
        <w:tc>
          <w:tcPr>
            <w:tcW w:w="527" w:type="pct"/>
            <w:noWrap w:val="0"/>
            <w:vAlign w:val="top"/>
          </w:tcPr>
          <w:p>
            <w:pPr>
              <w:pStyle w:val="54"/>
              <w:bidi w:val="0"/>
              <w:rPr>
                <w:rFonts w:hint="eastAsia"/>
              </w:rPr>
            </w:pPr>
            <w:r>
              <w:rPr>
                <w:rFonts w:hint="eastAsia"/>
              </w:rPr>
              <w:t>19.0</w:t>
            </w:r>
          </w:p>
        </w:tc>
        <w:tc>
          <w:tcPr>
            <w:tcW w:w="475" w:type="pct"/>
            <w:noWrap w:val="0"/>
            <w:vAlign w:val="top"/>
          </w:tcPr>
          <w:p>
            <w:pPr>
              <w:pStyle w:val="54"/>
              <w:bidi w:val="0"/>
              <w:rPr>
                <w:rFonts w:hint="eastAsia"/>
              </w:rPr>
            </w:pPr>
            <w:r>
              <w:rPr>
                <w:rFonts w:hint="eastAsia"/>
              </w:rPr>
              <w:t>2.0</w:t>
            </w:r>
          </w:p>
        </w:tc>
        <w:tc>
          <w:tcPr>
            <w:tcW w:w="528" w:type="pct"/>
            <w:noWrap w:val="0"/>
            <w:vAlign w:val="top"/>
          </w:tcPr>
          <w:p>
            <w:pPr>
              <w:pStyle w:val="54"/>
              <w:bidi w:val="0"/>
              <w:rPr>
                <w:rFonts w:hint="eastAsia"/>
              </w:rPr>
            </w:pPr>
            <w:r>
              <w:rPr>
                <w:rFonts w:hint="eastAsia"/>
              </w:rPr>
              <w:t>10.0</w:t>
            </w:r>
          </w:p>
        </w:tc>
        <w:tc>
          <w:tcPr>
            <w:tcW w:w="434" w:type="pct"/>
            <w:noWrap w:val="0"/>
            <w:vAlign w:val="top"/>
          </w:tcPr>
          <w:p>
            <w:pPr>
              <w:pStyle w:val="54"/>
              <w:bidi w:val="0"/>
              <w:rPr>
                <w:rFonts w:hint="eastAsia"/>
              </w:rPr>
            </w:pPr>
            <w:r>
              <w:rPr>
                <w:rFonts w:hint="eastAsia"/>
              </w:rPr>
              <w:t>--</w:t>
            </w:r>
          </w:p>
        </w:tc>
        <w:tc>
          <w:tcPr>
            <w:tcW w:w="475" w:type="pct"/>
            <w:noWrap w:val="0"/>
            <w:vAlign w:val="top"/>
          </w:tcPr>
          <w:p>
            <w:pPr>
              <w:pStyle w:val="54"/>
              <w:bidi w:val="0"/>
              <w:rPr>
                <w:rFonts w:hint="eastAsia"/>
              </w:rPr>
            </w:pPr>
          </w:p>
        </w:tc>
        <w:tc>
          <w:tcPr>
            <w:tcW w:w="475" w:type="pct"/>
            <w:noWrap w:val="0"/>
            <w:vAlign w:val="top"/>
          </w:tcPr>
          <w:p>
            <w:pPr>
              <w:pStyle w:val="54"/>
              <w:bidi w:val="0"/>
              <w:rPr>
                <w:rFonts w:hint="eastAsia"/>
              </w:rPr>
            </w:pPr>
            <w:r>
              <w:rPr>
                <w:rFonts w:hint="eastAsia"/>
              </w:rPr>
              <w:t>0.15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16" w:type="pct"/>
            <w:noWrap w:val="0"/>
            <w:vAlign w:val="top"/>
          </w:tcPr>
          <w:p>
            <w:pPr>
              <w:pStyle w:val="54"/>
              <w:bidi w:val="0"/>
              <w:rPr>
                <w:rFonts w:hint="eastAsia"/>
              </w:rPr>
            </w:pPr>
            <w:r>
              <w:rPr>
                <w:rFonts w:hint="eastAsia"/>
              </w:rPr>
              <w:t>2-1</w:t>
            </w:r>
          </w:p>
        </w:tc>
        <w:tc>
          <w:tcPr>
            <w:tcW w:w="592" w:type="pct"/>
            <w:noWrap w:val="0"/>
            <w:vAlign w:val="top"/>
          </w:tcPr>
          <w:p>
            <w:pPr>
              <w:pStyle w:val="54"/>
              <w:bidi w:val="0"/>
              <w:rPr>
                <w:rFonts w:hint="eastAsia"/>
              </w:rPr>
            </w:pPr>
            <w:r>
              <w:rPr>
                <w:rFonts w:hint="eastAsia"/>
              </w:rPr>
              <w:t>淤泥</w:t>
            </w:r>
          </w:p>
        </w:tc>
        <w:tc>
          <w:tcPr>
            <w:tcW w:w="601" w:type="pct"/>
            <w:noWrap w:val="0"/>
            <w:vAlign w:val="top"/>
          </w:tcPr>
          <w:p>
            <w:pPr>
              <w:pStyle w:val="54"/>
              <w:bidi w:val="0"/>
              <w:rPr>
                <w:rFonts w:hint="eastAsia"/>
              </w:rPr>
            </w:pPr>
            <w:r>
              <w:rPr>
                <w:rFonts w:hint="eastAsia"/>
              </w:rPr>
              <w:t>流塑</w:t>
            </w:r>
          </w:p>
        </w:tc>
        <w:tc>
          <w:tcPr>
            <w:tcW w:w="574" w:type="pct"/>
            <w:noWrap w:val="0"/>
            <w:vAlign w:val="top"/>
          </w:tcPr>
          <w:p>
            <w:pPr>
              <w:pStyle w:val="54"/>
              <w:bidi w:val="0"/>
              <w:rPr>
                <w:rFonts w:hint="eastAsia"/>
              </w:rPr>
            </w:pPr>
            <w:r>
              <w:rPr>
                <w:rFonts w:hint="eastAsia"/>
              </w:rPr>
              <w:t>50</w:t>
            </w:r>
          </w:p>
        </w:tc>
        <w:tc>
          <w:tcPr>
            <w:tcW w:w="527" w:type="pct"/>
            <w:noWrap w:val="0"/>
            <w:vAlign w:val="top"/>
          </w:tcPr>
          <w:p>
            <w:pPr>
              <w:pStyle w:val="54"/>
              <w:bidi w:val="0"/>
              <w:rPr>
                <w:rFonts w:hint="eastAsia"/>
              </w:rPr>
            </w:pPr>
            <w:r>
              <w:rPr>
                <w:rFonts w:hint="eastAsia"/>
              </w:rPr>
              <w:t>16.0</w:t>
            </w:r>
          </w:p>
        </w:tc>
        <w:tc>
          <w:tcPr>
            <w:tcW w:w="475" w:type="pct"/>
            <w:noWrap w:val="0"/>
            <w:vAlign w:val="top"/>
          </w:tcPr>
          <w:p>
            <w:pPr>
              <w:pStyle w:val="54"/>
              <w:bidi w:val="0"/>
              <w:rPr>
                <w:rFonts w:hint="eastAsia"/>
              </w:rPr>
            </w:pPr>
            <w:r>
              <w:rPr>
                <w:rFonts w:hint="eastAsia"/>
              </w:rPr>
              <w:t>4.5</w:t>
            </w:r>
          </w:p>
        </w:tc>
        <w:tc>
          <w:tcPr>
            <w:tcW w:w="528" w:type="pct"/>
            <w:noWrap w:val="0"/>
            <w:vAlign w:val="top"/>
          </w:tcPr>
          <w:p>
            <w:pPr>
              <w:pStyle w:val="54"/>
              <w:bidi w:val="0"/>
              <w:rPr>
                <w:rFonts w:hint="eastAsia"/>
              </w:rPr>
            </w:pPr>
            <w:r>
              <w:rPr>
                <w:rFonts w:hint="eastAsia"/>
              </w:rPr>
              <w:t>2.0</w:t>
            </w:r>
          </w:p>
        </w:tc>
        <w:tc>
          <w:tcPr>
            <w:tcW w:w="434" w:type="pct"/>
            <w:noWrap w:val="0"/>
            <w:vAlign w:val="top"/>
          </w:tcPr>
          <w:p>
            <w:pPr>
              <w:pStyle w:val="54"/>
              <w:bidi w:val="0"/>
              <w:rPr>
                <w:rFonts w:hint="eastAsia"/>
              </w:rPr>
            </w:pPr>
            <w:r>
              <w:rPr>
                <w:rFonts w:hint="eastAsia"/>
              </w:rPr>
              <w:t>2.1</w:t>
            </w:r>
          </w:p>
        </w:tc>
        <w:tc>
          <w:tcPr>
            <w:tcW w:w="475" w:type="pct"/>
            <w:noWrap w:val="0"/>
            <w:vAlign w:val="top"/>
          </w:tcPr>
          <w:p>
            <w:pPr>
              <w:pStyle w:val="54"/>
              <w:bidi w:val="0"/>
              <w:rPr>
                <w:rFonts w:hint="eastAsia"/>
              </w:rPr>
            </w:pPr>
            <w:r>
              <w:rPr>
                <w:rFonts w:hint="eastAsia"/>
              </w:rPr>
              <w:t>1.02E-7</w:t>
            </w:r>
          </w:p>
        </w:tc>
        <w:tc>
          <w:tcPr>
            <w:tcW w:w="475" w:type="pct"/>
            <w:noWrap w:val="0"/>
            <w:vAlign w:val="top"/>
          </w:tcPr>
          <w:p>
            <w:pPr>
              <w:pStyle w:val="54"/>
              <w:bidi w:val="0"/>
              <w:rPr>
                <w:rFonts w:hint="eastAsia"/>
              </w:rPr>
            </w:pPr>
            <w:r>
              <w:rPr>
                <w:rFonts w:hint="eastAsia"/>
              </w:rPr>
              <w:t>0.10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16" w:type="pct"/>
            <w:noWrap w:val="0"/>
            <w:vAlign w:val="top"/>
          </w:tcPr>
          <w:p>
            <w:pPr>
              <w:pStyle w:val="54"/>
              <w:bidi w:val="0"/>
              <w:rPr>
                <w:rFonts w:hint="eastAsia"/>
              </w:rPr>
            </w:pPr>
            <w:r>
              <w:rPr>
                <w:rFonts w:hint="eastAsia"/>
              </w:rPr>
              <w:t>2-2</w:t>
            </w:r>
          </w:p>
        </w:tc>
        <w:tc>
          <w:tcPr>
            <w:tcW w:w="592" w:type="pct"/>
            <w:noWrap w:val="0"/>
            <w:vAlign w:val="top"/>
          </w:tcPr>
          <w:p>
            <w:pPr>
              <w:pStyle w:val="54"/>
              <w:bidi w:val="0"/>
              <w:rPr>
                <w:rFonts w:hint="eastAsia"/>
              </w:rPr>
            </w:pPr>
            <w:r>
              <w:rPr>
                <w:rFonts w:hint="eastAsia"/>
              </w:rPr>
              <w:t>粉砂</w:t>
            </w:r>
          </w:p>
        </w:tc>
        <w:tc>
          <w:tcPr>
            <w:tcW w:w="601" w:type="pct"/>
            <w:noWrap w:val="0"/>
            <w:vAlign w:val="top"/>
          </w:tcPr>
          <w:p>
            <w:pPr>
              <w:pStyle w:val="54"/>
              <w:bidi w:val="0"/>
              <w:rPr>
                <w:rFonts w:hint="eastAsia"/>
              </w:rPr>
            </w:pPr>
            <w:r>
              <w:rPr>
                <w:rFonts w:hint="eastAsia"/>
              </w:rPr>
              <w:t>松散为主</w:t>
            </w:r>
          </w:p>
        </w:tc>
        <w:tc>
          <w:tcPr>
            <w:tcW w:w="574" w:type="pct"/>
            <w:noWrap w:val="0"/>
            <w:vAlign w:val="top"/>
          </w:tcPr>
          <w:p>
            <w:pPr>
              <w:pStyle w:val="54"/>
              <w:bidi w:val="0"/>
              <w:rPr>
                <w:rFonts w:hint="eastAsia"/>
              </w:rPr>
            </w:pPr>
            <w:r>
              <w:rPr>
                <w:rFonts w:hint="eastAsia"/>
              </w:rPr>
              <w:t>70</w:t>
            </w:r>
          </w:p>
        </w:tc>
        <w:tc>
          <w:tcPr>
            <w:tcW w:w="527" w:type="pct"/>
            <w:noWrap w:val="0"/>
            <w:vAlign w:val="top"/>
          </w:tcPr>
          <w:p>
            <w:pPr>
              <w:pStyle w:val="54"/>
              <w:bidi w:val="0"/>
              <w:rPr>
                <w:rFonts w:hint="eastAsia"/>
              </w:rPr>
            </w:pPr>
            <w:r>
              <w:rPr>
                <w:rFonts w:hint="eastAsia"/>
              </w:rPr>
              <w:t>19.1</w:t>
            </w:r>
          </w:p>
        </w:tc>
        <w:tc>
          <w:tcPr>
            <w:tcW w:w="475" w:type="pct"/>
            <w:noWrap w:val="0"/>
            <w:vAlign w:val="top"/>
          </w:tcPr>
          <w:p>
            <w:pPr>
              <w:pStyle w:val="54"/>
              <w:bidi w:val="0"/>
              <w:rPr>
                <w:rFonts w:hint="eastAsia"/>
              </w:rPr>
            </w:pPr>
          </w:p>
        </w:tc>
        <w:tc>
          <w:tcPr>
            <w:tcW w:w="528" w:type="pct"/>
            <w:noWrap w:val="0"/>
            <w:vAlign w:val="top"/>
          </w:tcPr>
          <w:p>
            <w:pPr>
              <w:pStyle w:val="54"/>
              <w:bidi w:val="0"/>
              <w:rPr>
                <w:rFonts w:hint="eastAsia"/>
              </w:rPr>
            </w:pPr>
            <w:r>
              <w:rPr>
                <w:rFonts w:hint="eastAsia"/>
              </w:rPr>
              <w:t>20.0</w:t>
            </w:r>
          </w:p>
        </w:tc>
        <w:tc>
          <w:tcPr>
            <w:tcW w:w="434" w:type="pct"/>
            <w:noWrap w:val="0"/>
            <w:vAlign w:val="top"/>
          </w:tcPr>
          <w:p>
            <w:pPr>
              <w:pStyle w:val="54"/>
              <w:bidi w:val="0"/>
              <w:rPr>
                <w:rFonts w:hint="eastAsia"/>
              </w:rPr>
            </w:pPr>
          </w:p>
        </w:tc>
        <w:tc>
          <w:tcPr>
            <w:tcW w:w="475" w:type="pct"/>
            <w:noWrap w:val="0"/>
            <w:vAlign w:val="top"/>
          </w:tcPr>
          <w:p>
            <w:pPr>
              <w:pStyle w:val="54"/>
              <w:bidi w:val="0"/>
              <w:rPr>
                <w:rFonts w:hint="eastAsia"/>
              </w:rPr>
            </w:pPr>
          </w:p>
        </w:tc>
        <w:tc>
          <w:tcPr>
            <w:tcW w:w="475" w:type="pct"/>
            <w:noWrap w:val="0"/>
            <w:vAlign w:val="top"/>
          </w:tcPr>
          <w:p>
            <w:pPr>
              <w:pStyle w:val="54"/>
              <w:bidi w:val="0"/>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16" w:type="pct"/>
            <w:noWrap w:val="0"/>
            <w:vAlign w:val="top"/>
          </w:tcPr>
          <w:p>
            <w:pPr>
              <w:pStyle w:val="54"/>
              <w:bidi w:val="0"/>
              <w:rPr>
                <w:rFonts w:hint="eastAsia"/>
              </w:rPr>
            </w:pPr>
            <w:r>
              <w:rPr>
                <w:rFonts w:hint="eastAsia"/>
              </w:rPr>
              <w:t>2-3</w:t>
            </w:r>
          </w:p>
        </w:tc>
        <w:tc>
          <w:tcPr>
            <w:tcW w:w="592" w:type="pct"/>
            <w:noWrap w:val="0"/>
            <w:vAlign w:val="top"/>
          </w:tcPr>
          <w:p>
            <w:pPr>
              <w:pStyle w:val="54"/>
              <w:bidi w:val="0"/>
              <w:rPr>
                <w:rFonts w:hint="eastAsia"/>
              </w:rPr>
            </w:pPr>
            <w:r>
              <w:rPr>
                <w:rFonts w:hint="eastAsia"/>
              </w:rPr>
              <w:t>淤泥质土</w:t>
            </w:r>
          </w:p>
        </w:tc>
        <w:tc>
          <w:tcPr>
            <w:tcW w:w="601" w:type="pct"/>
            <w:noWrap w:val="0"/>
            <w:vAlign w:val="top"/>
          </w:tcPr>
          <w:p>
            <w:pPr>
              <w:pStyle w:val="54"/>
              <w:bidi w:val="0"/>
              <w:rPr>
                <w:rFonts w:hint="eastAsia"/>
              </w:rPr>
            </w:pPr>
            <w:r>
              <w:rPr>
                <w:rFonts w:hint="eastAsia"/>
              </w:rPr>
              <w:t>流塑</w:t>
            </w:r>
          </w:p>
        </w:tc>
        <w:tc>
          <w:tcPr>
            <w:tcW w:w="574" w:type="pct"/>
            <w:noWrap w:val="0"/>
            <w:vAlign w:val="top"/>
          </w:tcPr>
          <w:p>
            <w:pPr>
              <w:pStyle w:val="54"/>
              <w:bidi w:val="0"/>
              <w:rPr>
                <w:rFonts w:hint="eastAsia"/>
              </w:rPr>
            </w:pPr>
            <w:r>
              <w:rPr>
                <w:rFonts w:hint="eastAsia"/>
              </w:rPr>
              <w:t>60</w:t>
            </w:r>
          </w:p>
        </w:tc>
        <w:tc>
          <w:tcPr>
            <w:tcW w:w="527" w:type="pct"/>
            <w:noWrap w:val="0"/>
            <w:vAlign w:val="top"/>
          </w:tcPr>
          <w:p>
            <w:pPr>
              <w:pStyle w:val="54"/>
              <w:bidi w:val="0"/>
              <w:rPr>
                <w:rFonts w:hint="eastAsia"/>
              </w:rPr>
            </w:pPr>
            <w:r>
              <w:rPr>
                <w:rFonts w:hint="eastAsia"/>
              </w:rPr>
              <w:t>16.2</w:t>
            </w:r>
          </w:p>
        </w:tc>
        <w:tc>
          <w:tcPr>
            <w:tcW w:w="475" w:type="pct"/>
            <w:noWrap w:val="0"/>
            <w:vAlign w:val="top"/>
          </w:tcPr>
          <w:p>
            <w:pPr>
              <w:pStyle w:val="54"/>
              <w:bidi w:val="0"/>
              <w:rPr>
                <w:rFonts w:hint="eastAsia"/>
              </w:rPr>
            </w:pPr>
            <w:r>
              <w:rPr>
                <w:rFonts w:hint="eastAsia"/>
              </w:rPr>
              <w:t>5.0</w:t>
            </w:r>
          </w:p>
        </w:tc>
        <w:tc>
          <w:tcPr>
            <w:tcW w:w="528" w:type="pct"/>
            <w:noWrap w:val="0"/>
            <w:vAlign w:val="top"/>
          </w:tcPr>
          <w:p>
            <w:pPr>
              <w:pStyle w:val="54"/>
              <w:bidi w:val="0"/>
              <w:rPr>
                <w:rFonts w:hint="eastAsia"/>
              </w:rPr>
            </w:pPr>
            <w:r>
              <w:rPr>
                <w:rFonts w:hint="eastAsia"/>
              </w:rPr>
              <w:t>6.0</w:t>
            </w:r>
          </w:p>
        </w:tc>
        <w:tc>
          <w:tcPr>
            <w:tcW w:w="434" w:type="pct"/>
            <w:noWrap w:val="0"/>
            <w:vAlign w:val="top"/>
          </w:tcPr>
          <w:p>
            <w:pPr>
              <w:pStyle w:val="54"/>
              <w:bidi w:val="0"/>
              <w:rPr>
                <w:rFonts w:hint="eastAsia"/>
              </w:rPr>
            </w:pPr>
            <w:r>
              <w:rPr>
                <w:rFonts w:hint="eastAsia"/>
              </w:rPr>
              <w:t>2.5</w:t>
            </w:r>
          </w:p>
        </w:tc>
        <w:tc>
          <w:tcPr>
            <w:tcW w:w="475" w:type="pct"/>
            <w:noWrap w:val="0"/>
            <w:vAlign w:val="top"/>
          </w:tcPr>
          <w:p>
            <w:pPr>
              <w:pStyle w:val="54"/>
              <w:bidi w:val="0"/>
              <w:rPr>
                <w:rFonts w:hint="eastAsia"/>
              </w:rPr>
            </w:pPr>
            <w:r>
              <w:rPr>
                <w:rFonts w:hint="eastAsia"/>
              </w:rPr>
              <w:t>0.80E-7</w:t>
            </w:r>
          </w:p>
        </w:tc>
        <w:tc>
          <w:tcPr>
            <w:tcW w:w="475" w:type="pct"/>
            <w:noWrap w:val="0"/>
            <w:vAlign w:val="top"/>
          </w:tcPr>
          <w:p>
            <w:pPr>
              <w:pStyle w:val="54"/>
              <w:bidi w:val="0"/>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16" w:type="pct"/>
            <w:noWrap w:val="0"/>
            <w:vAlign w:val="top"/>
          </w:tcPr>
          <w:p>
            <w:pPr>
              <w:pStyle w:val="54"/>
              <w:bidi w:val="0"/>
              <w:rPr>
                <w:rFonts w:hint="eastAsia"/>
              </w:rPr>
            </w:pPr>
            <w:r>
              <w:rPr>
                <w:rFonts w:hint="eastAsia"/>
              </w:rPr>
              <w:t>3-1</w:t>
            </w:r>
          </w:p>
        </w:tc>
        <w:tc>
          <w:tcPr>
            <w:tcW w:w="592" w:type="pct"/>
            <w:noWrap w:val="0"/>
            <w:vAlign w:val="top"/>
          </w:tcPr>
          <w:p>
            <w:pPr>
              <w:pStyle w:val="54"/>
              <w:bidi w:val="0"/>
              <w:rPr>
                <w:rFonts w:hint="eastAsia"/>
              </w:rPr>
            </w:pPr>
            <w:r>
              <w:rPr>
                <w:rFonts w:hint="eastAsia"/>
              </w:rPr>
              <w:t>粉质粘土</w:t>
            </w:r>
          </w:p>
        </w:tc>
        <w:tc>
          <w:tcPr>
            <w:tcW w:w="601" w:type="pct"/>
            <w:noWrap w:val="0"/>
            <w:vAlign w:val="top"/>
          </w:tcPr>
          <w:p>
            <w:pPr>
              <w:pStyle w:val="54"/>
              <w:bidi w:val="0"/>
              <w:rPr>
                <w:rFonts w:hint="eastAsia"/>
              </w:rPr>
            </w:pPr>
            <w:r>
              <w:rPr>
                <w:rFonts w:hint="eastAsia"/>
              </w:rPr>
              <w:t>可塑为主</w:t>
            </w:r>
          </w:p>
        </w:tc>
        <w:tc>
          <w:tcPr>
            <w:tcW w:w="574" w:type="pct"/>
            <w:noWrap w:val="0"/>
            <w:vAlign w:val="top"/>
          </w:tcPr>
          <w:p>
            <w:pPr>
              <w:pStyle w:val="54"/>
              <w:bidi w:val="0"/>
              <w:rPr>
                <w:rFonts w:hint="eastAsia"/>
              </w:rPr>
            </w:pPr>
            <w:r>
              <w:rPr>
                <w:rFonts w:hint="eastAsia"/>
              </w:rPr>
              <w:t>150</w:t>
            </w:r>
          </w:p>
        </w:tc>
        <w:tc>
          <w:tcPr>
            <w:tcW w:w="527" w:type="pct"/>
            <w:noWrap w:val="0"/>
            <w:vAlign w:val="top"/>
          </w:tcPr>
          <w:p>
            <w:pPr>
              <w:pStyle w:val="54"/>
              <w:bidi w:val="0"/>
              <w:rPr>
                <w:rFonts w:hint="eastAsia"/>
              </w:rPr>
            </w:pPr>
            <w:r>
              <w:rPr>
                <w:rFonts w:hint="eastAsia"/>
              </w:rPr>
              <w:t>19.4</w:t>
            </w:r>
          </w:p>
        </w:tc>
        <w:tc>
          <w:tcPr>
            <w:tcW w:w="475" w:type="pct"/>
            <w:noWrap w:val="0"/>
            <w:vAlign w:val="top"/>
          </w:tcPr>
          <w:p>
            <w:pPr>
              <w:pStyle w:val="54"/>
              <w:bidi w:val="0"/>
              <w:rPr>
                <w:rFonts w:hint="eastAsia"/>
              </w:rPr>
            </w:pPr>
            <w:r>
              <w:rPr>
                <w:rFonts w:hint="eastAsia"/>
              </w:rPr>
              <w:t>10.0</w:t>
            </w:r>
          </w:p>
        </w:tc>
        <w:tc>
          <w:tcPr>
            <w:tcW w:w="528" w:type="pct"/>
            <w:noWrap w:val="0"/>
            <w:vAlign w:val="top"/>
          </w:tcPr>
          <w:p>
            <w:pPr>
              <w:pStyle w:val="54"/>
              <w:bidi w:val="0"/>
              <w:rPr>
                <w:rFonts w:hint="eastAsia"/>
              </w:rPr>
            </w:pPr>
            <w:r>
              <w:rPr>
                <w:rFonts w:hint="eastAsia"/>
              </w:rPr>
              <w:t>20.0</w:t>
            </w:r>
          </w:p>
        </w:tc>
        <w:tc>
          <w:tcPr>
            <w:tcW w:w="434" w:type="pct"/>
            <w:noWrap w:val="0"/>
            <w:vAlign w:val="top"/>
          </w:tcPr>
          <w:p>
            <w:pPr>
              <w:pStyle w:val="54"/>
              <w:bidi w:val="0"/>
              <w:rPr>
                <w:rFonts w:hint="eastAsia"/>
              </w:rPr>
            </w:pPr>
            <w:r>
              <w:rPr>
                <w:rFonts w:hint="eastAsia"/>
              </w:rPr>
              <w:t>7.0</w:t>
            </w:r>
          </w:p>
        </w:tc>
        <w:tc>
          <w:tcPr>
            <w:tcW w:w="475" w:type="pct"/>
            <w:noWrap w:val="0"/>
            <w:vAlign w:val="top"/>
          </w:tcPr>
          <w:p>
            <w:pPr>
              <w:pStyle w:val="54"/>
              <w:bidi w:val="0"/>
              <w:rPr>
                <w:rFonts w:hint="eastAsia"/>
              </w:rPr>
            </w:pPr>
            <w:r>
              <w:rPr>
                <w:rFonts w:hint="eastAsia"/>
              </w:rPr>
              <w:t>5.00E-8</w:t>
            </w:r>
          </w:p>
        </w:tc>
        <w:tc>
          <w:tcPr>
            <w:tcW w:w="475" w:type="pct"/>
            <w:noWrap w:val="0"/>
            <w:vAlign w:val="top"/>
          </w:tcPr>
          <w:p>
            <w:pPr>
              <w:pStyle w:val="54"/>
              <w:bidi w:val="0"/>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16" w:type="pct"/>
            <w:noWrap w:val="0"/>
            <w:vAlign w:val="top"/>
          </w:tcPr>
          <w:p>
            <w:pPr>
              <w:pStyle w:val="54"/>
              <w:bidi w:val="0"/>
              <w:rPr>
                <w:rFonts w:hint="eastAsia"/>
              </w:rPr>
            </w:pPr>
            <w:r>
              <w:rPr>
                <w:rFonts w:hint="eastAsia"/>
              </w:rPr>
              <w:t>3-2</w:t>
            </w:r>
          </w:p>
        </w:tc>
        <w:tc>
          <w:tcPr>
            <w:tcW w:w="592" w:type="pct"/>
            <w:noWrap w:val="0"/>
            <w:vAlign w:val="top"/>
          </w:tcPr>
          <w:p>
            <w:pPr>
              <w:pStyle w:val="54"/>
              <w:bidi w:val="0"/>
              <w:rPr>
                <w:rFonts w:hint="eastAsia"/>
              </w:rPr>
            </w:pPr>
            <w:r>
              <w:rPr>
                <w:rFonts w:hint="eastAsia"/>
              </w:rPr>
              <w:t>细砂</w:t>
            </w:r>
          </w:p>
        </w:tc>
        <w:tc>
          <w:tcPr>
            <w:tcW w:w="601" w:type="pct"/>
            <w:noWrap w:val="0"/>
            <w:vAlign w:val="top"/>
          </w:tcPr>
          <w:p>
            <w:pPr>
              <w:pStyle w:val="54"/>
              <w:bidi w:val="0"/>
              <w:rPr>
                <w:rFonts w:hint="eastAsia"/>
              </w:rPr>
            </w:pPr>
            <w:r>
              <w:rPr>
                <w:rFonts w:hint="eastAsia"/>
              </w:rPr>
              <w:t>稍密为主</w:t>
            </w:r>
          </w:p>
        </w:tc>
        <w:tc>
          <w:tcPr>
            <w:tcW w:w="574" w:type="pct"/>
            <w:noWrap w:val="0"/>
            <w:vAlign w:val="top"/>
          </w:tcPr>
          <w:p>
            <w:pPr>
              <w:pStyle w:val="54"/>
              <w:bidi w:val="0"/>
              <w:rPr>
                <w:rFonts w:hint="eastAsia"/>
              </w:rPr>
            </w:pPr>
            <w:r>
              <w:rPr>
                <w:rFonts w:hint="eastAsia"/>
              </w:rPr>
              <w:t>120</w:t>
            </w:r>
          </w:p>
        </w:tc>
        <w:tc>
          <w:tcPr>
            <w:tcW w:w="527" w:type="pct"/>
            <w:noWrap w:val="0"/>
            <w:vAlign w:val="top"/>
          </w:tcPr>
          <w:p>
            <w:pPr>
              <w:pStyle w:val="54"/>
              <w:bidi w:val="0"/>
              <w:rPr>
                <w:rFonts w:hint="eastAsia"/>
              </w:rPr>
            </w:pPr>
            <w:r>
              <w:rPr>
                <w:rFonts w:hint="eastAsia"/>
              </w:rPr>
              <w:t>19.6</w:t>
            </w:r>
          </w:p>
        </w:tc>
        <w:tc>
          <w:tcPr>
            <w:tcW w:w="475" w:type="pct"/>
            <w:noWrap w:val="0"/>
            <w:vAlign w:val="top"/>
          </w:tcPr>
          <w:p>
            <w:pPr>
              <w:pStyle w:val="54"/>
              <w:bidi w:val="0"/>
              <w:rPr>
                <w:rFonts w:hint="eastAsia"/>
              </w:rPr>
            </w:pPr>
          </w:p>
        </w:tc>
        <w:tc>
          <w:tcPr>
            <w:tcW w:w="528" w:type="pct"/>
            <w:noWrap w:val="0"/>
            <w:vAlign w:val="top"/>
          </w:tcPr>
          <w:p>
            <w:pPr>
              <w:pStyle w:val="54"/>
              <w:bidi w:val="0"/>
              <w:rPr>
                <w:rFonts w:hint="eastAsia"/>
              </w:rPr>
            </w:pPr>
            <w:r>
              <w:rPr>
                <w:rFonts w:hint="eastAsia"/>
              </w:rPr>
              <w:t>25.0</w:t>
            </w:r>
          </w:p>
        </w:tc>
        <w:tc>
          <w:tcPr>
            <w:tcW w:w="434" w:type="pct"/>
            <w:noWrap w:val="0"/>
            <w:vAlign w:val="top"/>
          </w:tcPr>
          <w:p>
            <w:pPr>
              <w:pStyle w:val="54"/>
              <w:bidi w:val="0"/>
              <w:rPr>
                <w:rFonts w:hint="eastAsia"/>
              </w:rPr>
            </w:pPr>
          </w:p>
        </w:tc>
        <w:tc>
          <w:tcPr>
            <w:tcW w:w="475" w:type="pct"/>
            <w:noWrap w:val="0"/>
            <w:vAlign w:val="top"/>
          </w:tcPr>
          <w:p>
            <w:pPr>
              <w:pStyle w:val="54"/>
              <w:bidi w:val="0"/>
              <w:rPr>
                <w:rFonts w:hint="eastAsia"/>
              </w:rPr>
            </w:pPr>
          </w:p>
        </w:tc>
        <w:tc>
          <w:tcPr>
            <w:tcW w:w="475" w:type="pct"/>
            <w:noWrap w:val="0"/>
            <w:vAlign w:val="top"/>
          </w:tcPr>
          <w:p>
            <w:pPr>
              <w:pStyle w:val="54"/>
              <w:bidi w:val="0"/>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16" w:type="pct"/>
            <w:noWrap w:val="0"/>
            <w:vAlign w:val="top"/>
          </w:tcPr>
          <w:p>
            <w:pPr>
              <w:pStyle w:val="54"/>
              <w:bidi w:val="0"/>
              <w:rPr>
                <w:rFonts w:hint="eastAsia"/>
              </w:rPr>
            </w:pPr>
            <w:r>
              <w:rPr>
                <w:rFonts w:hint="eastAsia"/>
              </w:rPr>
              <w:t>4</w:t>
            </w:r>
          </w:p>
        </w:tc>
        <w:tc>
          <w:tcPr>
            <w:tcW w:w="592" w:type="pct"/>
            <w:noWrap w:val="0"/>
            <w:vAlign w:val="top"/>
          </w:tcPr>
          <w:p>
            <w:pPr>
              <w:pStyle w:val="54"/>
              <w:bidi w:val="0"/>
              <w:rPr>
                <w:rFonts w:hint="eastAsia"/>
              </w:rPr>
            </w:pPr>
            <w:r>
              <w:rPr>
                <w:rFonts w:hint="eastAsia"/>
              </w:rPr>
              <w:t>粉土</w:t>
            </w:r>
          </w:p>
        </w:tc>
        <w:tc>
          <w:tcPr>
            <w:tcW w:w="601" w:type="pct"/>
            <w:noWrap w:val="0"/>
            <w:vAlign w:val="top"/>
          </w:tcPr>
          <w:p>
            <w:pPr>
              <w:pStyle w:val="54"/>
              <w:bidi w:val="0"/>
              <w:rPr>
                <w:rFonts w:hint="eastAsia"/>
              </w:rPr>
            </w:pPr>
            <w:r>
              <w:rPr>
                <w:rFonts w:hint="eastAsia"/>
              </w:rPr>
              <w:t>密实</w:t>
            </w:r>
          </w:p>
        </w:tc>
        <w:tc>
          <w:tcPr>
            <w:tcW w:w="574" w:type="pct"/>
            <w:noWrap w:val="0"/>
            <w:vAlign w:val="top"/>
          </w:tcPr>
          <w:p>
            <w:pPr>
              <w:pStyle w:val="54"/>
              <w:bidi w:val="0"/>
              <w:rPr>
                <w:rFonts w:hint="eastAsia"/>
              </w:rPr>
            </w:pPr>
            <w:r>
              <w:rPr>
                <w:rFonts w:hint="eastAsia"/>
              </w:rPr>
              <w:t>220</w:t>
            </w:r>
          </w:p>
        </w:tc>
        <w:tc>
          <w:tcPr>
            <w:tcW w:w="527" w:type="pct"/>
            <w:noWrap w:val="0"/>
            <w:vAlign w:val="top"/>
          </w:tcPr>
          <w:p>
            <w:pPr>
              <w:pStyle w:val="54"/>
              <w:bidi w:val="0"/>
              <w:rPr>
                <w:rFonts w:hint="eastAsia"/>
              </w:rPr>
            </w:pPr>
            <w:r>
              <w:rPr>
                <w:rFonts w:hint="eastAsia"/>
              </w:rPr>
              <w:t>18.3</w:t>
            </w:r>
          </w:p>
        </w:tc>
        <w:tc>
          <w:tcPr>
            <w:tcW w:w="475" w:type="pct"/>
            <w:noWrap w:val="0"/>
            <w:vAlign w:val="top"/>
          </w:tcPr>
          <w:p>
            <w:pPr>
              <w:pStyle w:val="54"/>
              <w:bidi w:val="0"/>
              <w:rPr>
                <w:rFonts w:hint="eastAsia"/>
              </w:rPr>
            </w:pPr>
            <w:r>
              <w:rPr>
                <w:rFonts w:hint="eastAsia"/>
              </w:rPr>
              <w:t>12.0</w:t>
            </w:r>
          </w:p>
        </w:tc>
        <w:tc>
          <w:tcPr>
            <w:tcW w:w="528" w:type="pct"/>
            <w:noWrap w:val="0"/>
            <w:vAlign w:val="top"/>
          </w:tcPr>
          <w:p>
            <w:pPr>
              <w:pStyle w:val="54"/>
              <w:bidi w:val="0"/>
              <w:rPr>
                <w:rFonts w:hint="eastAsia"/>
              </w:rPr>
            </w:pPr>
            <w:r>
              <w:rPr>
                <w:rFonts w:hint="eastAsia"/>
              </w:rPr>
              <w:t>25.0</w:t>
            </w:r>
          </w:p>
        </w:tc>
        <w:tc>
          <w:tcPr>
            <w:tcW w:w="434" w:type="pct"/>
            <w:noWrap w:val="0"/>
            <w:vAlign w:val="top"/>
          </w:tcPr>
          <w:p>
            <w:pPr>
              <w:pStyle w:val="54"/>
              <w:bidi w:val="0"/>
              <w:rPr>
                <w:rFonts w:hint="eastAsia"/>
              </w:rPr>
            </w:pPr>
            <w:r>
              <w:rPr>
                <w:rFonts w:hint="eastAsia"/>
              </w:rPr>
              <w:t>8.0</w:t>
            </w:r>
          </w:p>
        </w:tc>
        <w:tc>
          <w:tcPr>
            <w:tcW w:w="475" w:type="pct"/>
            <w:noWrap w:val="0"/>
            <w:vAlign w:val="top"/>
          </w:tcPr>
          <w:p>
            <w:pPr>
              <w:pStyle w:val="54"/>
              <w:bidi w:val="0"/>
              <w:rPr>
                <w:rFonts w:hint="eastAsia"/>
              </w:rPr>
            </w:pPr>
          </w:p>
        </w:tc>
        <w:tc>
          <w:tcPr>
            <w:tcW w:w="475" w:type="pct"/>
            <w:noWrap w:val="0"/>
            <w:vAlign w:val="top"/>
          </w:tcPr>
          <w:p>
            <w:pPr>
              <w:pStyle w:val="54"/>
              <w:bidi w:val="0"/>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316" w:type="pct"/>
            <w:noWrap w:val="0"/>
            <w:vAlign w:val="top"/>
          </w:tcPr>
          <w:p>
            <w:pPr>
              <w:pStyle w:val="54"/>
              <w:bidi w:val="0"/>
              <w:rPr>
                <w:rFonts w:hint="eastAsia"/>
              </w:rPr>
            </w:pPr>
            <w:r>
              <w:rPr>
                <w:rFonts w:hint="eastAsia"/>
              </w:rPr>
              <w:t>5-1</w:t>
            </w:r>
          </w:p>
        </w:tc>
        <w:tc>
          <w:tcPr>
            <w:tcW w:w="592" w:type="pct"/>
            <w:noWrap w:val="0"/>
            <w:vAlign w:val="center"/>
          </w:tcPr>
          <w:p>
            <w:pPr>
              <w:pStyle w:val="54"/>
              <w:bidi w:val="0"/>
              <w:rPr>
                <w:rFonts w:hint="eastAsia"/>
              </w:rPr>
            </w:pPr>
            <w:r>
              <w:rPr>
                <w:rFonts w:hint="eastAsia"/>
              </w:rPr>
              <w:t>泥质粉砂岩</w:t>
            </w:r>
          </w:p>
        </w:tc>
        <w:tc>
          <w:tcPr>
            <w:tcW w:w="601" w:type="pct"/>
            <w:noWrap w:val="0"/>
            <w:vAlign w:val="top"/>
          </w:tcPr>
          <w:p>
            <w:pPr>
              <w:pStyle w:val="54"/>
              <w:bidi w:val="0"/>
              <w:rPr>
                <w:rFonts w:hint="eastAsia"/>
              </w:rPr>
            </w:pPr>
            <w:r>
              <w:rPr>
                <w:rFonts w:hint="eastAsia"/>
              </w:rPr>
              <w:t>全风化</w:t>
            </w:r>
          </w:p>
        </w:tc>
        <w:tc>
          <w:tcPr>
            <w:tcW w:w="574" w:type="pct"/>
            <w:noWrap w:val="0"/>
            <w:vAlign w:val="top"/>
          </w:tcPr>
          <w:p>
            <w:pPr>
              <w:pStyle w:val="54"/>
              <w:bidi w:val="0"/>
              <w:rPr>
                <w:rFonts w:hint="eastAsia"/>
              </w:rPr>
            </w:pPr>
            <w:r>
              <w:rPr>
                <w:rFonts w:hint="eastAsia"/>
              </w:rPr>
              <w:t>350</w:t>
            </w:r>
          </w:p>
        </w:tc>
        <w:tc>
          <w:tcPr>
            <w:tcW w:w="527" w:type="pct"/>
            <w:noWrap w:val="0"/>
            <w:vAlign w:val="top"/>
          </w:tcPr>
          <w:p>
            <w:pPr>
              <w:pStyle w:val="54"/>
              <w:bidi w:val="0"/>
              <w:rPr>
                <w:rFonts w:hint="eastAsia"/>
              </w:rPr>
            </w:pPr>
            <w:r>
              <w:rPr>
                <w:rFonts w:hint="eastAsia"/>
              </w:rPr>
              <w:t>19.4</w:t>
            </w:r>
          </w:p>
        </w:tc>
        <w:tc>
          <w:tcPr>
            <w:tcW w:w="475" w:type="pct"/>
            <w:noWrap w:val="0"/>
            <w:vAlign w:val="top"/>
          </w:tcPr>
          <w:p>
            <w:pPr>
              <w:pStyle w:val="54"/>
              <w:bidi w:val="0"/>
              <w:rPr>
                <w:rFonts w:hint="eastAsia"/>
              </w:rPr>
            </w:pPr>
            <w:r>
              <w:rPr>
                <w:rFonts w:hint="eastAsia"/>
              </w:rPr>
              <w:t>20.0</w:t>
            </w:r>
          </w:p>
        </w:tc>
        <w:tc>
          <w:tcPr>
            <w:tcW w:w="528" w:type="pct"/>
            <w:noWrap w:val="0"/>
            <w:vAlign w:val="top"/>
          </w:tcPr>
          <w:p>
            <w:pPr>
              <w:pStyle w:val="54"/>
              <w:bidi w:val="0"/>
              <w:rPr>
                <w:rFonts w:hint="eastAsia"/>
              </w:rPr>
            </w:pPr>
            <w:r>
              <w:rPr>
                <w:rFonts w:hint="eastAsia"/>
              </w:rPr>
              <w:t>30.0</w:t>
            </w:r>
          </w:p>
        </w:tc>
        <w:tc>
          <w:tcPr>
            <w:tcW w:w="434" w:type="pct"/>
            <w:noWrap w:val="0"/>
            <w:vAlign w:val="top"/>
          </w:tcPr>
          <w:p>
            <w:pPr>
              <w:pStyle w:val="54"/>
              <w:bidi w:val="0"/>
              <w:rPr>
                <w:rFonts w:hint="eastAsia"/>
              </w:rPr>
            </w:pPr>
            <w:r>
              <w:rPr>
                <w:rFonts w:hint="eastAsia"/>
              </w:rPr>
              <w:t>9.5</w:t>
            </w:r>
          </w:p>
        </w:tc>
        <w:tc>
          <w:tcPr>
            <w:tcW w:w="475" w:type="pct"/>
            <w:noWrap w:val="0"/>
            <w:vAlign w:val="top"/>
          </w:tcPr>
          <w:p>
            <w:pPr>
              <w:pStyle w:val="54"/>
              <w:bidi w:val="0"/>
              <w:rPr>
                <w:rFonts w:hint="eastAsia"/>
              </w:rPr>
            </w:pPr>
          </w:p>
        </w:tc>
        <w:tc>
          <w:tcPr>
            <w:tcW w:w="475" w:type="pct"/>
            <w:noWrap w:val="0"/>
            <w:vAlign w:val="top"/>
          </w:tcPr>
          <w:p>
            <w:pPr>
              <w:pStyle w:val="54"/>
              <w:bidi w:val="0"/>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316" w:type="pct"/>
            <w:noWrap w:val="0"/>
            <w:vAlign w:val="top"/>
          </w:tcPr>
          <w:p>
            <w:pPr>
              <w:pStyle w:val="54"/>
              <w:bidi w:val="0"/>
              <w:rPr>
                <w:rFonts w:hint="eastAsia"/>
              </w:rPr>
            </w:pPr>
            <w:r>
              <w:rPr>
                <w:rFonts w:hint="eastAsia"/>
              </w:rPr>
              <w:t>5-2</w:t>
            </w:r>
          </w:p>
        </w:tc>
        <w:tc>
          <w:tcPr>
            <w:tcW w:w="592" w:type="pct"/>
            <w:noWrap w:val="0"/>
            <w:vAlign w:val="center"/>
          </w:tcPr>
          <w:p>
            <w:pPr>
              <w:pStyle w:val="54"/>
              <w:bidi w:val="0"/>
              <w:rPr>
                <w:rFonts w:hint="eastAsia"/>
              </w:rPr>
            </w:pPr>
            <w:r>
              <w:rPr>
                <w:rFonts w:hint="eastAsia"/>
              </w:rPr>
              <w:t>泥质粉砂岩</w:t>
            </w:r>
          </w:p>
        </w:tc>
        <w:tc>
          <w:tcPr>
            <w:tcW w:w="601" w:type="pct"/>
            <w:noWrap w:val="0"/>
            <w:vAlign w:val="top"/>
          </w:tcPr>
          <w:p>
            <w:pPr>
              <w:pStyle w:val="54"/>
              <w:bidi w:val="0"/>
              <w:rPr>
                <w:rFonts w:hint="eastAsia"/>
              </w:rPr>
            </w:pPr>
            <w:r>
              <w:rPr>
                <w:rFonts w:hint="eastAsia"/>
              </w:rPr>
              <w:t>强风化</w:t>
            </w:r>
          </w:p>
        </w:tc>
        <w:tc>
          <w:tcPr>
            <w:tcW w:w="574" w:type="pct"/>
            <w:noWrap w:val="0"/>
            <w:vAlign w:val="top"/>
          </w:tcPr>
          <w:p>
            <w:pPr>
              <w:pStyle w:val="54"/>
              <w:bidi w:val="0"/>
              <w:rPr>
                <w:rFonts w:hint="eastAsia"/>
              </w:rPr>
            </w:pPr>
            <w:r>
              <w:rPr>
                <w:rFonts w:hint="eastAsia"/>
              </w:rPr>
              <w:t>500</w:t>
            </w:r>
          </w:p>
        </w:tc>
        <w:tc>
          <w:tcPr>
            <w:tcW w:w="527" w:type="pct"/>
            <w:noWrap w:val="0"/>
            <w:vAlign w:val="top"/>
          </w:tcPr>
          <w:p>
            <w:pPr>
              <w:pStyle w:val="54"/>
              <w:bidi w:val="0"/>
              <w:rPr>
                <w:rFonts w:hint="eastAsia"/>
              </w:rPr>
            </w:pPr>
          </w:p>
        </w:tc>
        <w:tc>
          <w:tcPr>
            <w:tcW w:w="475" w:type="pct"/>
            <w:noWrap w:val="0"/>
            <w:vAlign w:val="top"/>
          </w:tcPr>
          <w:p>
            <w:pPr>
              <w:pStyle w:val="54"/>
              <w:bidi w:val="0"/>
              <w:rPr>
                <w:rFonts w:hint="eastAsia"/>
              </w:rPr>
            </w:pPr>
          </w:p>
        </w:tc>
        <w:tc>
          <w:tcPr>
            <w:tcW w:w="528" w:type="pct"/>
            <w:noWrap w:val="0"/>
            <w:vAlign w:val="top"/>
          </w:tcPr>
          <w:p>
            <w:pPr>
              <w:pStyle w:val="54"/>
              <w:bidi w:val="0"/>
              <w:rPr>
                <w:rFonts w:hint="eastAsia"/>
              </w:rPr>
            </w:pPr>
          </w:p>
        </w:tc>
        <w:tc>
          <w:tcPr>
            <w:tcW w:w="434" w:type="pct"/>
            <w:noWrap w:val="0"/>
            <w:vAlign w:val="top"/>
          </w:tcPr>
          <w:p>
            <w:pPr>
              <w:pStyle w:val="54"/>
              <w:bidi w:val="0"/>
              <w:rPr>
                <w:rFonts w:hint="eastAsia"/>
              </w:rPr>
            </w:pPr>
          </w:p>
        </w:tc>
        <w:tc>
          <w:tcPr>
            <w:tcW w:w="475" w:type="pct"/>
            <w:noWrap w:val="0"/>
            <w:vAlign w:val="top"/>
          </w:tcPr>
          <w:p>
            <w:pPr>
              <w:pStyle w:val="54"/>
              <w:bidi w:val="0"/>
              <w:rPr>
                <w:rFonts w:hint="eastAsia"/>
              </w:rPr>
            </w:pPr>
          </w:p>
        </w:tc>
        <w:tc>
          <w:tcPr>
            <w:tcW w:w="475" w:type="pct"/>
            <w:noWrap w:val="0"/>
            <w:vAlign w:val="top"/>
          </w:tcPr>
          <w:p>
            <w:pPr>
              <w:pStyle w:val="54"/>
              <w:bidi w:val="0"/>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316" w:type="pct"/>
            <w:noWrap w:val="0"/>
            <w:vAlign w:val="top"/>
          </w:tcPr>
          <w:p>
            <w:pPr>
              <w:pStyle w:val="54"/>
              <w:bidi w:val="0"/>
              <w:rPr>
                <w:rFonts w:hint="eastAsia"/>
              </w:rPr>
            </w:pPr>
            <w:r>
              <w:rPr>
                <w:rFonts w:hint="eastAsia"/>
              </w:rPr>
              <w:t>5-3</w:t>
            </w:r>
          </w:p>
        </w:tc>
        <w:tc>
          <w:tcPr>
            <w:tcW w:w="592" w:type="pct"/>
            <w:noWrap w:val="0"/>
            <w:vAlign w:val="center"/>
          </w:tcPr>
          <w:p>
            <w:pPr>
              <w:pStyle w:val="54"/>
              <w:bidi w:val="0"/>
              <w:rPr>
                <w:rFonts w:hint="eastAsia"/>
              </w:rPr>
            </w:pPr>
            <w:r>
              <w:rPr>
                <w:rFonts w:hint="eastAsia"/>
              </w:rPr>
              <w:t>泥质粉砂岩</w:t>
            </w:r>
          </w:p>
        </w:tc>
        <w:tc>
          <w:tcPr>
            <w:tcW w:w="601" w:type="pct"/>
            <w:noWrap w:val="0"/>
            <w:vAlign w:val="top"/>
          </w:tcPr>
          <w:p>
            <w:pPr>
              <w:pStyle w:val="54"/>
              <w:bidi w:val="0"/>
              <w:rPr>
                <w:rFonts w:hint="eastAsia"/>
              </w:rPr>
            </w:pPr>
            <w:r>
              <w:rPr>
                <w:rFonts w:hint="eastAsia"/>
              </w:rPr>
              <w:t>中风化</w:t>
            </w:r>
          </w:p>
        </w:tc>
        <w:tc>
          <w:tcPr>
            <w:tcW w:w="574" w:type="pct"/>
            <w:noWrap w:val="0"/>
            <w:vAlign w:val="top"/>
          </w:tcPr>
          <w:p>
            <w:pPr>
              <w:pStyle w:val="54"/>
              <w:bidi w:val="0"/>
              <w:rPr>
                <w:rFonts w:hint="eastAsia"/>
              </w:rPr>
            </w:pPr>
            <w:r>
              <w:rPr>
                <w:rFonts w:hint="eastAsia"/>
              </w:rPr>
              <w:t>1200</w:t>
            </w:r>
          </w:p>
        </w:tc>
        <w:tc>
          <w:tcPr>
            <w:tcW w:w="527" w:type="pct"/>
            <w:noWrap w:val="0"/>
            <w:vAlign w:val="top"/>
          </w:tcPr>
          <w:p>
            <w:pPr>
              <w:pStyle w:val="54"/>
              <w:bidi w:val="0"/>
              <w:rPr>
                <w:rFonts w:hint="eastAsia"/>
              </w:rPr>
            </w:pPr>
          </w:p>
        </w:tc>
        <w:tc>
          <w:tcPr>
            <w:tcW w:w="475" w:type="pct"/>
            <w:noWrap w:val="0"/>
            <w:vAlign w:val="top"/>
          </w:tcPr>
          <w:p>
            <w:pPr>
              <w:pStyle w:val="54"/>
              <w:bidi w:val="0"/>
              <w:rPr>
                <w:rFonts w:hint="eastAsia"/>
              </w:rPr>
            </w:pPr>
          </w:p>
        </w:tc>
        <w:tc>
          <w:tcPr>
            <w:tcW w:w="528" w:type="pct"/>
            <w:noWrap w:val="0"/>
            <w:vAlign w:val="top"/>
          </w:tcPr>
          <w:p>
            <w:pPr>
              <w:pStyle w:val="54"/>
              <w:bidi w:val="0"/>
              <w:rPr>
                <w:rFonts w:hint="eastAsia"/>
              </w:rPr>
            </w:pPr>
          </w:p>
        </w:tc>
        <w:tc>
          <w:tcPr>
            <w:tcW w:w="434" w:type="pct"/>
            <w:noWrap w:val="0"/>
            <w:vAlign w:val="top"/>
          </w:tcPr>
          <w:p>
            <w:pPr>
              <w:pStyle w:val="54"/>
              <w:bidi w:val="0"/>
              <w:rPr>
                <w:rFonts w:hint="eastAsia"/>
              </w:rPr>
            </w:pPr>
          </w:p>
        </w:tc>
        <w:tc>
          <w:tcPr>
            <w:tcW w:w="475" w:type="pct"/>
            <w:noWrap w:val="0"/>
            <w:vAlign w:val="top"/>
          </w:tcPr>
          <w:p>
            <w:pPr>
              <w:pStyle w:val="54"/>
              <w:bidi w:val="0"/>
              <w:rPr>
                <w:rFonts w:hint="eastAsia"/>
              </w:rPr>
            </w:pPr>
          </w:p>
        </w:tc>
        <w:tc>
          <w:tcPr>
            <w:tcW w:w="475" w:type="pct"/>
            <w:noWrap w:val="0"/>
            <w:vAlign w:val="top"/>
          </w:tcPr>
          <w:p>
            <w:pPr>
              <w:pStyle w:val="54"/>
              <w:bidi w:val="0"/>
              <w:rPr>
                <w:rFonts w:hint="eastAsia"/>
              </w:rPr>
            </w:pPr>
          </w:p>
        </w:tc>
      </w:tr>
    </w:tbl>
    <w:p>
      <w:pPr>
        <w:pStyle w:val="5"/>
        <w:adjustRightInd w:val="0"/>
        <w:spacing w:before="120" w:after="120" w:line="240" w:lineRule="auto"/>
        <w:rPr>
          <w:rFonts w:eastAsia="黑体"/>
          <w:bCs w:val="0"/>
          <w:color w:val="000000"/>
          <w:sz w:val="28"/>
        </w:rPr>
      </w:pPr>
      <w:bookmarkStart w:id="152" w:name="_Toc214267594"/>
      <w:bookmarkStart w:id="153" w:name="_Toc214267780"/>
      <w:bookmarkStart w:id="154" w:name="_Toc4798"/>
      <w:bookmarkStart w:id="155" w:name="_Toc214694904"/>
      <w:r>
        <w:rPr>
          <w:rFonts w:eastAsia="黑体"/>
          <w:bCs w:val="0"/>
          <w:color w:val="000000"/>
          <w:sz w:val="28"/>
        </w:rPr>
        <w:t>桩基参数建议</w:t>
      </w:r>
      <w:bookmarkEnd w:id="152"/>
      <w:bookmarkEnd w:id="153"/>
      <w:bookmarkEnd w:id="154"/>
      <w:bookmarkEnd w:id="155"/>
    </w:p>
    <w:p>
      <w:pPr>
        <w:pStyle w:val="178"/>
        <w:keepNext w:val="0"/>
        <w:keepLines w:val="0"/>
        <w:pageBreakBefore w:val="0"/>
        <w:widowControl/>
        <w:kinsoku/>
        <w:wordWrap/>
        <w:overflowPunct/>
        <w:topLinePunct w:val="0"/>
        <w:autoSpaceDE/>
        <w:autoSpaceDN/>
        <w:bidi w:val="0"/>
        <w:adjustRightInd/>
        <w:snapToGrid/>
        <w:textAlignment w:val="auto"/>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根据有关规程规范、区内（岩）土的物理力学性质和类似工程经验，确定桩周（岩）土的力学参数。预制桩桩周（岩）土的力学参数建议值见表3.6-2。</w:t>
      </w:r>
    </w:p>
    <w:p>
      <w:pPr>
        <w:pStyle w:val="178"/>
        <w:keepNext w:val="0"/>
        <w:keepLines w:val="0"/>
        <w:pageBreakBefore w:val="0"/>
        <w:widowControl/>
        <w:kinsoku/>
        <w:wordWrap/>
        <w:overflowPunct/>
        <w:topLinePunct w:val="0"/>
        <w:autoSpaceDE/>
        <w:autoSpaceDN/>
        <w:bidi w:val="0"/>
        <w:adjustRightInd/>
        <w:snapToGrid/>
        <w:jc w:val="center"/>
        <w:textAlignment w:val="auto"/>
        <w:rPr>
          <w:rFonts w:hint="eastAsia" w:ascii="Times New Roman" w:hAnsi="Times New Roman" w:cs="Times New Roman" w:eastAsiaTheme="minorEastAsia"/>
          <w:sz w:val="24"/>
          <w:szCs w:val="24"/>
          <w:lang w:val="en-US" w:eastAsia="zh-CN" w:bidi="ar-SA"/>
        </w:rPr>
      </w:pPr>
      <w:r>
        <w:rPr>
          <w:rStyle w:val="393"/>
          <w:rFonts w:hint="eastAsia"/>
          <w:lang w:val="en-US" w:eastAsia="zh-CN"/>
        </w:rPr>
        <w:t>表3.6-2  侧摩阻力特征值q</w:t>
      </w:r>
      <w:r>
        <w:rPr>
          <w:rStyle w:val="393"/>
          <w:rFonts w:hint="eastAsia"/>
          <w:lang w:val="en-US" w:eastAsia="zh-CN"/>
        </w:rPr>
        <w:softHyphen/>
      </w:r>
      <w:r>
        <w:rPr>
          <w:rStyle w:val="393"/>
          <w:rFonts w:hint="eastAsia"/>
          <w:lang w:val="en-US" w:eastAsia="zh-CN"/>
        </w:rPr>
        <w:softHyphen/>
      </w:r>
      <w:r>
        <w:rPr>
          <w:rStyle w:val="393"/>
          <w:rFonts w:hint="eastAsia"/>
          <w:lang w:val="en-US" w:eastAsia="zh-CN"/>
        </w:rPr>
        <w:t>sa和端阻力特征值qpa建议值</w:t>
      </w:r>
    </w:p>
    <w:tbl>
      <w:tblPr>
        <w:tblStyle w:val="44"/>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38"/>
        <w:gridCol w:w="2214"/>
        <w:gridCol w:w="1577"/>
        <w:gridCol w:w="1584"/>
        <w:gridCol w:w="1287"/>
        <w:gridCol w:w="128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21" w:type="pct"/>
            <w:vMerge w:val="restart"/>
            <w:noWrap w:val="0"/>
            <w:vAlign w:val="center"/>
          </w:tcPr>
          <w:p>
            <w:pPr>
              <w:pStyle w:val="54"/>
              <w:bidi w:val="0"/>
            </w:pPr>
            <w:r>
              <w:rPr>
                <w:rFonts w:hint="eastAsia"/>
              </w:rPr>
              <w:t>层序</w:t>
            </w:r>
          </w:p>
        </w:tc>
        <w:tc>
          <w:tcPr>
            <w:tcW w:w="1192" w:type="pct"/>
            <w:vMerge w:val="restart"/>
            <w:noWrap w:val="0"/>
            <w:vAlign w:val="center"/>
          </w:tcPr>
          <w:p>
            <w:pPr>
              <w:pStyle w:val="54"/>
              <w:bidi w:val="0"/>
            </w:pPr>
            <w:r>
              <w:rPr>
                <w:rFonts w:hint="eastAsia"/>
              </w:rPr>
              <w:t>土层名称</w:t>
            </w:r>
          </w:p>
        </w:tc>
        <w:tc>
          <w:tcPr>
            <w:tcW w:w="1702" w:type="pct"/>
            <w:gridSpan w:val="2"/>
            <w:noWrap w:val="0"/>
            <w:vAlign w:val="center"/>
          </w:tcPr>
          <w:p>
            <w:pPr>
              <w:pStyle w:val="54"/>
              <w:bidi w:val="0"/>
            </w:pPr>
            <w:r>
              <w:rPr>
                <w:rFonts w:hint="eastAsia"/>
              </w:rPr>
              <w:t>预应力混凝土管桩</w:t>
            </w:r>
          </w:p>
        </w:tc>
        <w:tc>
          <w:tcPr>
            <w:tcW w:w="1383" w:type="pct"/>
            <w:gridSpan w:val="2"/>
            <w:noWrap w:val="0"/>
            <w:vAlign w:val="center"/>
          </w:tcPr>
          <w:p>
            <w:pPr>
              <w:pStyle w:val="54"/>
              <w:bidi w:val="0"/>
            </w:pPr>
            <w:r>
              <w:rPr>
                <w:rFonts w:hint="eastAsia"/>
              </w:rPr>
              <w:t>水下钻孔灌注桩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21" w:type="pct"/>
            <w:vMerge w:val="continue"/>
            <w:noWrap w:val="0"/>
            <w:vAlign w:val="center"/>
          </w:tcPr>
          <w:p>
            <w:pPr>
              <w:pStyle w:val="54"/>
              <w:bidi w:val="0"/>
            </w:pPr>
          </w:p>
        </w:tc>
        <w:tc>
          <w:tcPr>
            <w:tcW w:w="1192" w:type="pct"/>
            <w:vMerge w:val="continue"/>
            <w:noWrap w:val="0"/>
            <w:vAlign w:val="center"/>
          </w:tcPr>
          <w:p>
            <w:pPr>
              <w:pStyle w:val="54"/>
              <w:bidi w:val="0"/>
            </w:pPr>
          </w:p>
        </w:tc>
        <w:tc>
          <w:tcPr>
            <w:tcW w:w="849" w:type="pct"/>
            <w:noWrap w:val="0"/>
            <w:vAlign w:val="center"/>
          </w:tcPr>
          <w:p>
            <w:pPr>
              <w:pStyle w:val="54"/>
              <w:bidi w:val="0"/>
            </w:pPr>
            <w:r>
              <w:rPr>
                <w:rFonts w:hint="eastAsia"/>
              </w:rPr>
              <w:t>q</w:t>
            </w:r>
            <w:r>
              <w:rPr>
                <w:rFonts w:hint="eastAsia"/>
              </w:rPr>
              <w:softHyphen/>
            </w:r>
            <w:r>
              <w:rPr>
                <w:rFonts w:hint="eastAsia"/>
              </w:rPr>
              <w:softHyphen/>
            </w:r>
            <w:r>
              <w:rPr>
                <w:rFonts w:hint="eastAsia"/>
              </w:rPr>
              <w:t>sa</w:t>
            </w:r>
            <w:r>
              <w:t>(</w:t>
            </w:r>
            <w:r>
              <w:rPr>
                <w:rFonts w:hint="eastAsia"/>
              </w:rPr>
              <w:t>k</w:t>
            </w:r>
            <w:r>
              <w:t>Pa)</w:t>
            </w:r>
          </w:p>
        </w:tc>
        <w:tc>
          <w:tcPr>
            <w:tcW w:w="852" w:type="pct"/>
            <w:noWrap w:val="0"/>
            <w:vAlign w:val="center"/>
          </w:tcPr>
          <w:p>
            <w:pPr>
              <w:pStyle w:val="54"/>
              <w:bidi w:val="0"/>
            </w:pPr>
            <w:r>
              <w:rPr>
                <w:rFonts w:hint="eastAsia"/>
              </w:rPr>
              <w:t>qpa</w:t>
            </w:r>
            <w:r>
              <w:t>(</w:t>
            </w:r>
            <w:r>
              <w:rPr>
                <w:rFonts w:hint="eastAsia"/>
              </w:rPr>
              <w:t>k</w:t>
            </w:r>
            <w:r>
              <w:t>Pa)</w:t>
            </w:r>
          </w:p>
        </w:tc>
        <w:tc>
          <w:tcPr>
            <w:tcW w:w="693" w:type="pct"/>
            <w:noWrap w:val="0"/>
            <w:vAlign w:val="center"/>
          </w:tcPr>
          <w:p>
            <w:pPr>
              <w:pStyle w:val="54"/>
              <w:bidi w:val="0"/>
            </w:pPr>
            <w:r>
              <w:rPr>
                <w:rFonts w:hint="eastAsia"/>
              </w:rPr>
              <w:t>q</w:t>
            </w:r>
            <w:r>
              <w:rPr>
                <w:rFonts w:hint="eastAsia"/>
              </w:rPr>
              <w:softHyphen/>
            </w:r>
            <w:r>
              <w:rPr>
                <w:rFonts w:hint="eastAsia"/>
              </w:rPr>
              <w:softHyphen/>
            </w:r>
            <w:r>
              <w:rPr>
                <w:rFonts w:hint="eastAsia"/>
              </w:rPr>
              <w:t>sa</w:t>
            </w:r>
            <w:r>
              <w:t>(</w:t>
            </w:r>
            <w:r>
              <w:rPr>
                <w:rFonts w:hint="eastAsia"/>
              </w:rPr>
              <w:t>k</w:t>
            </w:r>
            <w:r>
              <w:t>Pa)</w:t>
            </w:r>
          </w:p>
        </w:tc>
        <w:tc>
          <w:tcPr>
            <w:tcW w:w="690" w:type="pct"/>
            <w:noWrap w:val="0"/>
            <w:vAlign w:val="center"/>
          </w:tcPr>
          <w:p>
            <w:pPr>
              <w:pStyle w:val="54"/>
              <w:bidi w:val="0"/>
            </w:pPr>
            <w:r>
              <w:rPr>
                <w:rFonts w:hint="eastAsia"/>
              </w:rPr>
              <w:t>qpa</w:t>
            </w:r>
          </w:p>
          <w:p>
            <w:pPr>
              <w:pStyle w:val="54"/>
              <w:bidi w:val="0"/>
            </w:pPr>
            <w:r>
              <w:t>(</w:t>
            </w:r>
            <w:r>
              <w:rPr>
                <w:rFonts w:hint="eastAsia"/>
              </w:rPr>
              <w:t>k</w:t>
            </w:r>
            <w:r>
              <w:t>Pa)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721" w:type="pct"/>
            <w:noWrap w:val="0"/>
            <w:vAlign w:val="center"/>
          </w:tcPr>
          <w:p>
            <w:pPr>
              <w:pStyle w:val="54"/>
              <w:bidi w:val="0"/>
              <w:rPr>
                <w:rFonts w:hint="eastAsia"/>
              </w:rPr>
            </w:pPr>
            <w:r>
              <w:rPr>
                <w:rFonts w:hint="eastAsia"/>
              </w:rPr>
              <w:t>①</w:t>
            </w:r>
          </w:p>
        </w:tc>
        <w:tc>
          <w:tcPr>
            <w:tcW w:w="1192" w:type="pct"/>
            <w:noWrap w:val="0"/>
            <w:vAlign w:val="center"/>
          </w:tcPr>
          <w:p>
            <w:pPr>
              <w:pStyle w:val="54"/>
              <w:bidi w:val="0"/>
              <w:rPr>
                <w:rFonts w:hint="eastAsia"/>
              </w:rPr>
            </w:pPr>
            <w:r>
              <w:rPr>
                <w:rFonts w:hint="eastAsia"/>
              </w:rPr>
              <w:t>杂填土</w:t>
            </w:r>
          </w:p>
        </w:tc>
        <w:tc>
          <w:tcPr>
            <w:tcW w:w="849" w:type="pct"/>
            <w:tcBorders>
              <w:tl2br w:val="single" w:color="auto" w:sz="4" w:space="0"/>
            </w:tcBorders>
            <w:noWrap w:val="0"/>
            <w:vAlign w:val="center"/>
          </w:tcPr>
          <w:p>
            <w:pPr>
              <w:pStyle w:val="54"/>
              <w:bidi w:val="0"/>
              <w:rPr>
                <w:rFonts w:hint="eastAsia"/>
              </w:rPr>
            </w:pPr>
          </w:p>
        </w:tc>
        <w:tc>
          <w:tcPr>
            <w:tcW w:w="852" w:type="pct"/>
            <w:tcBorders>
              <w:tl2br w:val="single" w:color="auto" w:sz="4" w:space="0"/>
            </w:tcBorders>
            <w:noWrap w:val="0"/>
            <w:vAlign w:val="center"/>
          </w:tcPr>
          <w:p>
            <w:pPr>
              <w:pStyle w:val="54"/>
              <w:bidi w:val="0"/>
              <w:rPr>
                <w:rFonts w:hint="eastAsia"/>
              </w:rPr>
            </w:pPr>
          </w:p>
        </w:tc>
        <w:tc>
          <w:tcPr>
            <w:tcW w:w="693" w:type="pct"/>
            <w:tcBorders>
              <w:tl2br w:val="single" w:color="auto" w:sz="4" w:space="0"/>
            </w:tcBorders>
            <w:noWrap w:val="0"/>
            <w:vAlign w:val="center"/>
          </w:tcPr>
          <w:p>
            <w:pPr>
              <w:pStyle w:val="54"/>
              <w:bidi w:val="0"/>
              <w:rPr>
                <w:rFonts w:hint="eastAsia"/>
              </w:rPr>
            </w:pPr>
          </w:p>
        </w:tc>
        <w:tc>
          <w:tcPr>
            <w:tcW w:w="690" w:type="pct"/>
            <w:tcBorders>
              <w:tl2br w:val="single" w:color="auto" w:sz="4" w:space="0"/>
            </w:tcBorders>
            <w:noWrap w:val="0"/>
            <w:vAlign w:val="center"/>
          </w:tcPr>
          <w:p>
            <w:pPr>
              <w:pStyle w:val="54"/>
              <w:bidi w:val="0"/>
              <w:rPr>
                <w:rFonts w:hint="eastAsi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721" w:type="pct"/>
            <w:noWrap w:val="0"/>
            <w:vAlign w:val="center"/>
          </w:tcPr>
          <w:p>
            <w:pPr>
              <w:pStyle w:val="54"/>
              <w:bidi w:val="0"/>
              <w:rPr>
                <w:rFonts w:hint="eastAsia"/>
              </w:rPr>
            </w:pPr>
            <w:r>
              <w:rPr>
                <w:rFonts w:hint="eastAsia"/>
              </w:rPr>
              <w:t>②-1</w:t>
            </w:r>
          </w:p>
        </w:tc>
        <w:tc>
          <w:tcPr>
            <w:tcW w:w="1192" w:type="pct"/>
            <w:noWrap w:val="0"/>
            <w:vAlign w:val="center"/>
          </w:tcPr>
          <w:p>
            <w:pPr>
              <w:pStyle w:val="54"/>
              <w:bidi w:val="0"/>
              <w:rPr>
                <w:rFonts w:hint="eastAsia"/>
              </w:rPr>
            </w:pPr>
            <w:r>
              <w:rPr>
                <w:rFonts w:hint="eastAsia"/>
              </w:rPr>
              <w:t>淤泥</w:t>
            </w:r>
          </w:p>
        </w:tc>
        <w:tc>
          <w:tcPr>
            <w:tcW w:w="849" w:type="pct"/>
            <w:noWrap w:val="0"/>
            <w:vAlign w:val="center"/>
          </w:tcPr>
          <w:p>
            <w:pPr>
              <w:pStyle w:val="54"/>
              <w:bidi w:val="0"/>
              <w:rPr>
                <w:rFonts w:hint="eastAsia"/>
              </w:rPr>
            </w:pPr>
            <w:r>
              <w:rPr>
                <w:rFonts w:hint="eastAsia"/>
              </w:rPr>
              <w:t>6</w:t>
            </w:r>
          </w:p>
        </w:tc>
        <w:tc>
          <w:tcPr>
            <w:tcW w:w="852" w:type="pct"/>
            <w:noWrap w:val="0"/>
            <w:vAlign w:val="center"/>
          </w:tcPr>
          <w:p>
            <w:pPr>
              <w:pStyle w:val="54"/>
              <w:bidi w:val="0"/>
              <w:rPr>
                <w:rFonts w:hint="eastAsia"/>
              </w:rPr>
            </w:pPr>
          </w:p>
        </w:tc>
        <w:tc>
          <w:tcPr>
            <w:tcW w:w="693" w:type="pct"/>
            <w:noWrap w:val="0"/>
            <w:vAlign w:val="center"/>
          </w:tcPr>
          <w:p>
            <w:pPr>
              <w:pStyle w:val="54"/>
              <w:bidi w:val="0"/>
              <w:rPr>
                <w:rFonts w:hint="eastAsia"/>
              </w:rPr>
            </w:pPr>
            <w:r>
              <w:rPr>
                <w:rFonts w:hint="eastAsia"/>
              </w:rPr>
              <w:t>4</w:t>
            </w:r>
          </w:p>
        </w:tc>
        <w:tc>
          <w:tcPr>
            <w:tcW w:w="690" w:type="pct"/>
            <w:noWrap w:val="0"/>
            <w:vAlign w:val="center"/>
          </w:tcPr>
          <w:p>
            <w:pPr>
              <w:pStyle w:val="54"/>
              <w:bidi w:val="0"/>
              <w:rPr>
                <w:rFonts w:hint="eastAsia"/>
              </w:rPr>
            </w:pPr>
            <w:r>
              <w:rPr>
                <w:rFonts w:hint="eastAsia"/>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721" w:type="pct"/>
            <w:noWrap w:val="0"/>
            <w:vAlign w:val="center"/>
          </w:tcPr>
          <w:p>
            <w:pPr>
              <w:pStyle w:val="54"/>
              <w:bidi w:val="0"/>
              <w:rPr>
                <w:rFonts w:hint="eastAsia"/>
              </w:rPr>
            </w:pPr>
            <w:r>
              <w:rPr>
                <w:rFonts w:hint="eastAsia"/>
              </w:rPr>
              <w:t>②-2</w:t>
            </w:r>
          </w:p>
        </w:tc>
        <w:tc>
          <w:tcPr>
            <w:tcW w:w="1192" w:type="pct"/>
            <w:noWrap w:val="0"/>
            <w:vAlign w:val="center"/>
          </w:tcPr>
          <w:p>
            <w:pPr>
              <w:pStyle w:val="54"/>
              <w:bidi w:val="0"/>
              <w:rPr>
                <w:rFonts w:hint="eastAsia"/>
              </w:rPr>
            </w:pPr>
            <w:r>
              <w:rPr>
                <w:rFonts w:hint="eastAsia"/>
              </w:rPr>
              <w:t>粉砂</w:t>
            </w:r>
          </w:p>
        </w:tc>
        <w:tc>
          <w:tcPr>
            <w:tcW w:w="849" w:type="pct"/>
            <w:noWrap w:val="0"/>
            <w:vAlign w:val="center"/>
          </w:tcPr>
          <w:p>
            <w:pPr>
              <w:pStyle w:val="54"/>
              <w:bidi w:val="0"/>
              <w:rPr>
                <w:rFonts w:hint="eastAsia"/>
              </w:rPr>
            </w:pPr>
            <w:r>
              <w:rPr>
                <w:rFonts w:hint="eastAsia"/>
              </w:rPr>
              <w:t>8</w:t>
            </w:r>
          </w:p>
        </w:tc>
        <w:tc>
          <w:tcPr>
            <w:tcW w:w="852" w:type="pct"/>
            <w:noWrap w:val="0"/>
            <w:vAlign w:val="center"/>
          </w:tcPr>
          <w:p>
            <w:pPr>
              <w:pStyle w:val="54"/>
              <w:bidi w:val="0"/>
              <w:rPr>
                <w:rFonts w:hint="eastAsia"/>
              </w:rPr>
            </w:pPr>
          </w:p>
        </w:tc>
        <w:tc>
          <w:tcPr>
            <w:tcW w:w="693" w:type="pct"/>
            <w:noWrap w:val="0"/>
            <w:vAlign w:val="center"/>
          </w:tcPr>
          <w:p>
            <w:pPr>
              <w:pStyle w:val="54"/>
              <w:bidi w:val="0"/>
              <w:rPr>
                <w:rFonts w:hint="eastAsia"/>
              </w:rPr>
            </w:pPr>
            <w:r>
              <w:rPr>
                <w:rFonts w:hint="eastAsia"/>
              </w:rPr>
              <w:t>6</w:t>
            </w:r>
          </w:p>
        </w:tc>
        <w:tc>
          <w:tcPr>
            <w:tcW w:w="690" w:type="pct"/>
            <w:noWrap w:val="0"/>
            <w:vAlign w:val="center"/>
          </w:tcPr>
          <w:p>
            <w:pPr>
              <w:pStyle w:val="54"/>
              <w:bidi w:val="0"/>
              <w:rPr>
                <w:rFonts w:hint="eastAsia"/>
              </w:rPr>
            </w:pPr>
            <w:r>
              <w:rPr>
                <w:rFonts w:hint="eastAsia"/>
              </w:rPr>
              <w:t>70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721" w:type="pct"/>
            <w:noWrap w:val="0"/>
            <w:vAlign w:val="center"/>
          </w:tcPr>
          <w:p>
            <w:pPr>
              <w:pStyle w:val="54"/>
              <w:bidi w:val="0"/>
              <w:rPr>
                <w:rFonts w:hint="eastAsia"/>
              </w:rPr>
            </w:pPr>
            <w:r>
              <w:rPr>
                <w:rFonts w:hint="eastAsia"/>
              </w:rPr>
              <w:t>②-3</w:t>
            </w:r>
          </w:p>
        </w:tc>
        <w:tc>
          <w:tcPr>
            <w:tcW w:w="1192" w:type="pct"/>
            <w:noWrap w:val="0"/>
            <w:vAlign w:val="center"/>
          </w:tcPr>
          <w:p>
            <w:pPr>
              <w:pStyle w:val="54"/>
              <w:bidi w:val="0"/>
              <w:rPr>
                <w:rFonts w:hint="eastAsia"/>
              </w:rPr>
            </w:pPr>
            <w:r>
              <w:rPr>
                <w:rFonts w:hint="eastAsia"/>
              </w:rPr>
              <w:t>淤泥质土</w:t>
            </w:r>
          </w:p>
        </w:tc>
        <w:tc>
          <w:tcPr>
            <w:tcW w:w="849" w:type="pct"/>
            <w:noWrap w:val="0"/>
            <w:vAlign w:val="center"/>
          </w:tcPr>
          <w:p>
            <w:pPr>
              <w:pStyle w:val="54"/>
              <w:bidi w:val="0"/>
              <w:rPr>
                <w:rFonts w:hint="eastAsia"/>
              </w:rPr>
            </w:pPr>
            <w:r>
              <w:rPr>
                <w:rFonts w:hint="eastAsia"/>
              </w:rPr>
              <w:t>10</w:t>
            </w:r>
          </w:p>
        </w:tc>
        <w:tc>
          <w:tcPr>
            <w:tcW w:w="852" w:type="pct"/>
            <w:noWrap w:val="0"/>
            <w:vAlign w:val="center"/>
          </w:tcPr>
          <w:p>
            <w:pPr>
              <w:pStyle w:val="54"/>
              <w:bidi w:val="0"/>
              <w:rPr>
                <w:rFonts w:hint="eastAsia"/>
              </w:rPr>
            </w:pPr>
          </w:p>
        </w:tc>
        <w:tc>
          <w:tcPr>
            <w:tcW w:w="693" w:type="pct"/>
            <w:noWrap w:val="0"/>
            <w:vAlign w:val="center"/>
          </w:tcPr>
          <w:p>
            <w:pPr>
              <w:pStyle w:val="54"/>
              <w:bidi w:val="0"/>
              <w:rPr>
                <w:rFonts w:hint="eastAsia"/>
              </w:rPr>
            </w:pPr>
            <w:r>
              <w:rPr>
                <w:rFonts w:hint="eastAsia"/>
              </w:rPr>
              <w:t>8</w:t>
            </w:r>
          </w:p>
        </w:tc>
        <w:tc>
          <w:tcPr>
            <w:tcW w:w="690" w:type="pct"/>
            <w:noWrap w:val="0"/>
            <w:vAlign w:val="center"/>
          </w:tcPr>
          <w:p>
            <w:pPr>
              <w:pStyle w:val="54"/>
              <w:bidi w:val="0"/>
              <w:rPr>
                <w:rFonts w:hint="eastAsia"/>
              </w:rPr>
            </w:pPr>
            <w:r>
              <w:rPr>
                <w:rFonts w:hint="eastAsia"/>
              </w:rPr>
              <w:t>60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721" w:type="pct"/>
            <w:noWrap w:val="0"/>
            <w:vAlign w:val="center"/>
          </w:tcPr>
          <w:p>
            <w:pPr>
              <w:pStyle w:val="54"/>
              <w:bidi w:val="0"/>
              <w:rPr>
                <w:rFonts w:hint="eastAsia"/>
              </w:rPr>
            </w:pPr>
            <w:r>
              <w:rPr>
                <w:rFonts w:hint="eastAsia"/>
              </w:rPr>
              <w:t>③-1</w:t>
            </w:r>
          </w:p>
        </w:tc>
        <w:tc>
          <w:tcPr>
            <w:tcW w:w="1192" w:type="pct"/>
            <w:noWrap w:val="0"/>
            <w:vAlign w:val="center"/>
          </w:tcPr>
          <w:p>
            <w:pPr>
              <w:pStyle w:val="54"/>
              <w:bidi w:val="0"/>
              <w:rPr>
                <w:rFonts w:hint="eastAsia"/>
              </w:rPr>
            </w:pPr>
            <w:r>
              <w:rPr>
                <w:rFonts w:hint="eastAsia"/>
              </w:rPr>
              <w:t>粉质粘土</w:t>
            </w:r>
          </w:p>
        </w:tc>
        <w:tc>
          <w:tcPr>
            <w:tcW w:w="849" w:type="pct"/>
            <w:noWrap w:val="0"/>
            <w:vAlign w:val="center"/>
          </w:tcPr>
          <w:p>
            <w:pPr>
              <w:pStyle w:val="54"/>
              <w:bidi w:val="0"/>
              <w:rPr>
                <w:rFonts w:hint="eastAsia"/>
              </w:rPr>
            </w:pPr>
            <w:r>
              <w:rPr>
                <w:rFonts w:hint="eastAsia"/>
              </w:rPr>
              <w:t>25</w:t>
            </w:r>
          </w:p>
        </w:tc>
        <w:tc>
          <w:tcPr>
            <w:tcW w:w="852" w:type="pct"/>
            <w:noWrap w:val="0"/>
            <w:vAlign w:val="center"/>
          </w:tcPr>
          <w:p>
            <w:pPr>
              <w:pStyle w:val="54"/>
              <w:bidi w:val="0"/>
              <w:rPr>
                <w:rFonts w:hint="eastAsia"/>
              </w:rPr>
            </w:pPr>
          </w:p>
        </w:tc>
        <w:tc>
          <w:tcPr>
            <w:tcW w:w="693" w:type="pct"/>
            <w:noWrap w:val="0"/>
            <w:vAlign w:val="center"/>
          </w:tcPr>
          <w:p>
            <w:pPr>
              <w:pStyle w:val="54"/>
              <w:bidi w:val="0"/>
              <w:rPr>
                <w:rFonts w:hint="eastAsia"/>
              </w:rPr>
            </w:pPr>
            <w:r>
              <w:rPr>
                <w:rFonts w:hint="eastAsia"/>
              </w:rPr>
              <w:t>20</w:t>
            </w:r>
          </w:p>
        </w:tc>
        <w:tc>
          <w:tcPr>
            <w:tcW w:w="690" w:type="pct"/>
            <w:noWrap w:val="0"/>
            <w:vAlign w:val="center"/>
          </w:tcPr>
          <w:p>
            <w:pPr>
              <w:pStyle w:val="54"/>
              <w:bidi w:val="0"/>
              <w:rPr>
                <w:rFonts w:hint="eastAsia"/>
              </w:rPr>
            </w:pPr>
            <w:r>
              <w:rPr>
                <w:rFonts w:hint="eastAsia"/>
              </w:rPr>
              <w:t>150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721" w:type="pct"/>
            <w:noWrap w:val="0"/>
            <w:vAlign w:val="center"/>
          </w:tcPr>
          <w:p>
            <w:pPr>
              <w:pStyle w:val="54"/>
              <w:bidi w:val="0"/>
              <w:rPr>
                <w:rFonts w:hint="eastAsia"/>
              </w:rPr>
            </w:pPr>
            <w:r>
              <w:rPr>
                <w:rFonts w:hint="eastAsia"/>
              </w:rPr>
              <w:t>③-2</w:t>
            </w:r>
          </w:p>
        </w:tc>
        <w:tc>
          <w:tcPr>
            <w:tcW w:w="1192" w:type="pct"/>
            <w:noWrap w:val="0"/>
            <w:vAlign w:val="center"/>
          </w:tcPr>
          <w:p>
            <w:pPr>
              <w:pStyle w:val="54"/>
              <w:bidi w:val="0"/>
              <w:rPr>
                <w:rFonts w:hint="eastAsia"/>
              </w:rPr>
            </w:pPr>
            <w:r>
              <w:rPr>
                <w:rFonts w:hint="eastAsia"/>
              </w:rPr>
              <w:t>细砂</w:t>
            </w:r>
          </w:p>
        </w:tc>
        <w:tc>
          <w:tcPr>
            <w:tcW w:w="849" w:type="pct"/>
            <w:noWrap w:val="0"/>
            <w:vAlign w:val="center"/>
          </w:tcPr>
          <w:p>
            <w:pPr>
              <w:pStyle w:val="54"/>
              <w:bidi w:val="0"/>
              <w:rPr>
                <w:rFonts w:hint="eastAsia"/>
              </w:rPr>
            </w:pPr>
            <w:r>
              <w:rPr>
                <w:rFonts w:hint="eastAsia"/>
              </w:rPr>
              <w:t>15</w:t>
            </w:r>
          </w:p>
        </w:tc>
        <w:tc>
          <w:tcPr>
            <w:tcW w:w="852" w:type="pct"/>
            <w:noWrap w:val="0"/>
            <w:vAlign w:val="center"/>
          </w:tcPr>
          <w:p>
            <w:pPr>
              <w:pStyle w:val="54"/>
              <w:bidi w:val="0"/>
              <w:rPr>
                <w:rFonts w:hint="eastAsia"/>
              </w:rPr>
            </w:pPr>
            <w:r>
              <w:rPr>
                <w:rFonts w:hint="eastAsia"/>
              </w:rPr>
              <w:t>900</w:t>
            </w:r>
          </w:p>
        </w:tc>
        <w:tc>
          <w:tcPr>
            <w:tcW w:w="693" w:type="pct"/>
            <w:noWrap w:val="0"/>
            <w:vAlign w:val="center"/>
          </w:tcPr>
          <w:p>
            <w:pPr>
              <w:pStyle w:val="54"/>
              <w:bidi w:val="0"/>
              <w:rPr>
                <w:rFonts w:hint="eastAsia"/>
              </w:rPr>
            </w:pPr>
            <w:r>
              <w:rPr>
                <w:rFonts w:hint="eastAsia"/>
              </w:rPr>
              <w:t>20</w:t>
            </w:r>
          </w:p>
        </w:tc>
        <w:tc>
          <w:tcPr>
            <w:tcW w:w="690" w:type="pct"/>
            <w:noWrap w:val="0"/>
            <w:vAlign w:val="center"/>
          </w:tcPr>
          <w:p>
            <w:pPr>
              <w:pStyle w:val="54"/>
              <w:bidi w:val="0"/>
              <w:rPr>
                <w:rFonts w:hint="eastAsia"/>
              </w:rPr>
            </w:pPr>
            <w:r>
              <w:rPr>
                <w:rFonts w:hint="eastAsia"/>
              </w:rPr>
              <w:t>350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721" w:type="pct"/>
            <w:noWrap w:val="0"/>
            <w:vAlign w:val="center"/>
          </w:tcPr>
          <w:p>
            <w:pPr>
              <w:pStyle w:val="54"/>
              <w:bidi w:val="0"/>
              <w:rPr>
                <w:rFonts w:hint="eastAsia"/>
              </w:rPr>
            </w:pPr>
            <w:r>
              <w:rPr>
                <w:rFonts w:hint="eastAsia"/>
              </w:rPr>
              <w:t>④</w:t>
            </w:r>
          </w:p>
        </w:tc>
        <w:tc>
          <w:tcPr>
            <w:tcW w:w="1192" w:type="pct"/>
            <w:noWrap w:val="0"/>
            <w:vAlign w:val="center"/>
          </w:tcPr>
          <w:p>
            <w:pPr>
              <w:pStyle w:val="54"/>
              <w:bidi w:val="0"/>
              <w:rPr>
                <w:rFonts w:hint="eastAsia"/>
              </w:rPr>
            </w:pPr>
            <w:r>
              <w:rPr>
                <w:rFonts w:hint="eastAsia"/>
              </w:rPr>
              <w:t>粉土</w:t>
            </w:r>
          </w:p>
        </w:tc>
        <w:tc>
          <w:tcPr>
            <w:tcW w:w="849" w:type="pct"/>
            <w:noWrap w:val="0"/>
            <w:vAlign w:val="center"/>
          </w:tcPr>
          <w:p>
            <w:pPr>
              <w:pStyle w:val="54"/>
              <w:bidi w:val="0"/>
              <w:rPr>
                <w:rFonts w:hint="eastAsia"/>
              </w:rPr>
            </w:pPr>
            <w:r>
              <w:rPr>
                <w:rFonts w:hint="eastAsia"/>
              </w:rPr>
              <w:t>35</w:t>
            </w:r>
          </w:p>
        </w:tc>
        <w:tc>
          <w:tcPr>
            <w:tcW w:w="852" w:type="pct"/>
            <w:noWrap w:val="0"/>
            <w:vAlign w:val="center"/>
          </w:tcPr>
          <w:p>
            <w:pPr>
              <w:pStyle w:val="54"/>
              <w:bidi w:val="0"/>
              <w:rPr>
                <w:rFonts w:hint="eastAsia"/>
              </w:rPr>
            </w:pPr>
            <w:r>
              <w:rPr>
                <w:rFonts w:hint="eastAsia"/>
              </w:rPr>
              <w:t>1500</w:t>
            </w:r>
          </w:p>
        </w:tc>
        <w:tc>
          <w:tcPr>
            <w:tcW w:w="693" w:type="pct"/>
            <w:noWrap w:val="0"/>
            <w:vAlign w:val="center"/>
          </w:tcPr>
          <w:p>
            <w:pPr>
              <w:pStyle w:val="54"/>
              <w:bidi w:val="0"/>
              <w:rPr>
                <w:rFonts w:hint="eastAsia"/>
              </w:rPr>
            </w:pPr>
            <w:r>
              <w:rPr>
                <w:rFonts w:hint="eastAsia"/>
              </w:rPr>
              <w:t>25</w:t>
            </w:r>
          </w:p>
        </w:tc>
        <w:tc>
          <w:tcPr>
            <w:tcW w:w="690" w:type="pct"/>
            <w:noWrap w:val="0"/>
            <w:vAlign w:val="center"/>
          </w:tcPr>
          <w:p>
            <w:pPr>
              <w:pStyle w:val="54"/>
              <w:bidi w:val="0"/>
              <w:rPr>
                <w:rFonts w:hint="eastAsia"/>
              </w:rPr>
            </w:pPr>
            <w:r>
              <w:rPr>
                <w:rFonts w:hint="eastAsia"/>
              </w:rPr>
              <w:t>450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21" w:type="pct"/>
            <w:noWrap w:val="0"/>
            <w:vAlign w:val="center"/>
          </w:tcPr>
          <w:p>
            <w:pPr>
              <w:pStyle w:val="54"/>
              <w:bidi w:val="0"/>
              <w:rPr>
                <w:rFonts w:hint="eastAsia"/>
              </w:rPr>
            </w:pPr>
            <w:r>
              <w:rPr>
                <w:rFonts w:hint="eastAsia"/>
              </w:rPr>
              <w:t>⑤-1</w:t>
            </w:r>
          </w:p>
        </w:tc>
        <w:tc>
          <w:tcPr>
            <w:tcW w:w="1192" w:type="pct"/>
            <w:noWrap w:val="0"/>
            <w:vAlign w:val="center"/>
          </w:tcPr>
          <w:p>
            <w:pPr>
              <w:pStyle w:val="54"/>
              <w:bidi w:val="0"/>
              <w:rPr>
                <w:rFonts w:hint="eastAsia"/>
              </w:rPr>
            </w:pPr>
            <w:r>
              <w:rPr>
                <w:rFonts w:hint="eastAsia"/>
              </w:rPr>
              <w:t>全风化泥质粉砂岩</w:t>
            </w:r>
          </w:p>
        </w:tc>
        <w:tc>
          <w:tcPr>
            <w:tcW w:w="849" w:type="pct"/>
            <w:noWrap w:val="0"/>
            <w:vAlign w:val="center"/>
          </w:tcPr>
          <w:p>
            <w:pPr>
              <w:pStyle w:val="54"/>
              <w:bidi w:val="0"/>
              <w:rPr>
                <w:rFonts w:hint="eastAsia"/>
              </w:rPr>
            </w:pPr>
            <w:r>
              <w:rPr>
                <w:rFonts w:hint="eastAsia"/>
              </w:rPr>
              <w:t>55</w:t>
            </w:r>
          </w:p>
        </w:tc>
        <w:tc>
          <w:tcPr>
            <w:tcW w:w="852" w:type="pct"/>
            <w:noWrap w:val="0"/>
            <w:vAlign w:val="center"/>
          </w:tcPr>
          <w:p>
            <w:pPr>
              <w:pStyle w:val="54"/>
              <w:bidi w:val="0"/>
              <w:rPr>
                <w:rFonts w:hint="eastAsia"/>
              </w:rPr>
            </w:pPr>
            <w:r>
              <w:rPr>
                <w:rFonts w:hint="eastAsia"/>
              </w:rPr>
              <w:t>2500</w:t>
            </w:r>
          </w:p>
        </w:tc>
        <w:tc>
          <w:tcPr>
            <w:tcW w:w="693" w:type="pct"/>
            <w:noWrap w:val="0"/>
            <w:vAlign w:val="center"/>
          </w:tcPr>
          <w:p>
            <w:pPr>
              <w:pStyle w:val="54"/>
              <w:bidi w:val="0"/>
              <w:rPr>
                <w:rFonts w:hint="eastAsia"/>
              </w:rPr>
            </w:pPr>
            <w:r>
              <w:rPr>
                <w:rFonts w:hint="eastAsia"/>
              </w:rPr>
              <w:t>45</w:t>
            </w:r>
          </w:p>
        </w:tc>
        <w:tc>
          <w:tcPr>
            <w:tcW w:w="690" w:type="pct"/>
            <w:noWrap w:val="0"/>
            <w:vAlign w:val="center"/>
          </w:tcPr>
          <w:p>
            <w:pPr>
              <w:pStyle w:val="54"/>
              <w:bidi w:val="0"/>
              <w:rPr>
                <w:rFonts w:hint="eastAsia"/>
              </w:rPr>
            </w:pPr>
            <w:r>
              <w:rPr>
                <w:rFonts w:hint="eastAsia"/>
              </w:rPr>
              <w:t>700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21" w:type="pct"/>
            <w:noWrap w:val="0"/>
            <w:vAlign w:val="center"/>
          </w:tcPr>
          <w:p>
            <w:pPr>
              <w:pStyle w:val="54"/>
              <w:bidi w:val="0"/>
              <w:rPr>
                <w:rFonts w:hint="eastAsia"/>
              </w:rPr>
            </w:pPr>
            <w:r>
              <w:rPr>
                <w:rFonts w:hint="eastAsia"/>
              </w:rPr>
              <w:t>⑤-2</w:t>
            </w:r>
          </w:p>
        </w:tc>
        <w:tc>
          <w:tcPr>
            <w:tcW w:w="1192" w:type="pct"/>
            <w:noWrap w:val="0"/>
            <w:vAlign w:val="center"/>
          </w:tcPr>
          <w:p>
            <w:pPr>
              <w:pStyle w:val="54"/>
              <w:bidi w:val="0"/>
              <w:rPr>
                <w:rFonts w:hint="eastAsia"/>
              </w:rPr>
            </w:pPr>
            <w:r>
              <w:rPr>
                <w:rFonts w:hint="eastAsia"/>
              </w:rPr>
              <w:t>强风化泥质粉砂岩</w:t>
            </w:r>
          </w:p>
        </w:tc>
        <w:tc>
          <w:tcPr>
            <w:tcW w:w="849" w:type="pct"/>
            <w:noWrap w:val="0"/>
            <w:vAlign w:val="center"/>
          </w:tcPr>
          <w:p>
            <w:pPr>
              <w:pStyle w:val="54"/>
              <w:bidi w:val="0"/>
              <w:rPr>
                <w:rFonts w:hint="eastAsia"/>
              </w:rPr>
            </w:pPr>
            <w:r>
              <w:rPr>
                <w:rFonts w:hint="eastAsia"/>
              </w:rPr>
              <w:t>100</w:t>
            </w:r>
          </w:p>
        </w:tc>
        <w:tc>
          <w:tcPr>
            <w:tcW w:w="852" w:type="pct"/>
            <w:noWrap w:val="0"/>
            <w:vAlign w:val="center"/>
          </w:tcPr>
          <w:p>
            <w:pPr>
              <w:pStyle w:val="54"/>
              <w:bidi w:val="0"/>
              <w:rPr>
                <w:rFonts w:hint="eastAsia"/>
              </w:rPr>
            </w:pPr>
            <w:r>
              <w:rPr>
                <w:rFonts w:hint="eastAsia"/>
              </w:rPr>
              <w:t>4000</w:t>
            </w:r>
          </w:p>
        </w:tc>
        <w:tc>
          <w:tcPr>
            <w:tcW w:w="693" w:type="pct"/>
            <w:noWrap w:val="0"/>
            <w:vAlign w:val="center"/>
          </w:tcPr>
          <w:p>
            <w:pPr>
              <w:pStyle w:val="54"/>
              <w:bidi w:val="0"/>
              <w:rPr>
                <w:rFonts w:hint="eastAsia"/>
              </w:rPr>
            </w:pPr>
            <w:r>
              <w:rPr>
                <w:rFonts w:hint="eastAsia"/>
              </w:rPr>
              <w:t>70</w:t>
            </w:r>
          </w:p>
        </w:tc>
        <w:tc>
          <w:tcPr>
            <w:tcW w:w="690" w:type="pct"/>
            <w:noWrap w:val="0"/>
            <w:vAlign w:val="center"/>
          </w:tcPr>
          <w:p>
            <w:pPr>
              <w:pStyle w:val="54"/>
              <w:bidi w:val="0"/>
              <w:rPr>
                <w:rFonts w:hint="eastAsia"/>
              </w:rPr>
            </w:pPr>
            <w:r>
              <w:rPr>
                <w:rFonts w:hint="eastAsia"/>
              </w:rPr>
              <w:t>900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21" w:type="pct"/>
            <w:noWrap w:val="0"/>
            <w:vAlign w:val="center"/>
          </w:tcPr>
          <w:p>
            <w:pPr>
              <w:pStyle w:val="54"/>
              <w:bidi w:val="0"/>
              <w:rPr>
                <w:rFonts w:hint="eastAsia"/>
              </w:rPr>
            </w:pPr>
            <w:r>
              <w:rPr>
                <w:rFonts w:hint="eastAsia"/>
              </w:rPr>
              <w:t>⑤-3</w:t>
            </w:r>
          </w:p>
        </w:tc>
        <w:tc>
          <w:tcPr>
            <w:tcW w:w="1192" w:type="pct"/>
            <w:noWrap w:val="0"/>
            <w:vAlign w:val="center"/>
          </w:tcPr>
          <w:p>
            <w:pPr>
              <w:pStyle w:val="54"/>
              <w:bidi w:val="0"/>
              <w:rPr>
                <w:rFonts w:hint="eastAsia"/>
              </w:rPr>
            </w:pPr>
            <w:r>
              <w:rPr>
                <w:rFonts w:hint="eastAsia"/>
              </w:rPr>
              <w:t>中风化泥质粉砂岩</w:t>
            </w:r>
          </w:p>
        </w:tc>
        <w:tc>
          <w:tcPr>
            <w:tcW w:w="3086" w:type="pct"/>
            <w:gridSpan w:val="4"/>
            <w:noWrap w:val="0"/>
            <w:vAlign w:val="center"/>
          </w:tcPr>
          <w:p>
            <w:pPr>
              <w:pStyle w:val="54"/>
              <w:bidi w:val="0"/>
              <w:rPr>
                <w:rFonts w:hint="eastAsia"/>
              </w:rPr>
            </w:pPr>
            <w:r>
              <w:rPr>
                <w:rFonts w:hint="eastAsia"/>
              </w:rPr>
              <w:t>建议frk取5.0MPa</w:t>
            </w:r>
          </w:p>
        </w:tc>
      </w:tr>
    </w:tbl>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bidi="ar-SA"/>
        </w:rPr>
        <w:t>当采用打木桩或搅拌桩时</w:t>
      </w:r>
      <w:r>
        <w:rPr>
          <w:rFonts w:hint="eastAsia" w:cs="Times New Roman" w:eastAsiaTheme="minorEastAsia"/>
          <w:sz w:val="24"/>
          <w:szCs w:val="24"/>
          <w:lang w:val="en-US" w:eastAsia="zh-CN" w:bidi="ar-SA"/>
        </w:rPr>
        <w:t>，</w:t>
      </w:r>
      <w:r>
        <w:rPr>
          <w:rFonts w:hint="eastAsia" w:ascii="Times New Roman" w:hAnsi="Times New Roman" w:cs="Times New Roman" w:eastAsiaTheme="minorEastAsia"/>
          <w:sz w:val="24"/>
          <w:szCs w:val="24"/>
          <w:lang w:val="en-US" w:eastAsia="zh-CN" w:bidi="ar-SA"/>
        </w:rPr>
        <w:t>可参考水下钻孔桩的参数</w:t>
      </w:r>
      <w:r>
        <w:rPr>
          <w:rFonts w:hint="eastAsia" w:cs="Times New Roman" w:eastAsiaTheme="minorEastAsia"/>
          <w:sz w:val="24"/>
          <w:szCs w:val="24"/>
          <w:lang w:val="en-US" w:eastAsia="zh-CN" w:bidi="ar-SA"/>
        </w:rPr>
        <w:t>。</w:t>
      </w:r>
    </w:p>
    <w:bookmarkEnd w:id="147"/>
    <w:bookmarkEnd w:id="148"/>
    <w:bookmarkEnd w:id="149"/>
    <w:bookmarkEnd w:id="150"/>
    <w:bookmarkEnd w:id="151"/>
    <w:p>
      <w:pPr>
        <w:pStyle w:val="4"/>
        <w:keepNext w:val="0"/>
        <w:keepLines w:val="0"/>
        <w:pageBreakBefore w:val="0"/>
        <w:widowControl/>
        <w:kinsoku/>
        <w:wordWrap/>
        <w:overflowPunct/>
        <w:topLinePunct w:val="0"/>
        <w:autoSpaceDE/>
        <w:autoSpaceDN/>
        <w:bidi w:val="0"/>
        <w:adjustRightInd/>
        <w:snapToGrid/>
        <w:ind w:firstLine="0" w:firstLineChars="0"/>
        <w:textAlignment w:val="auto"/>
        <w:rPr>
          <w:rFonts w:hint="eastAsia"/>
          <w:lang w:val="en-US" w:eastAsia="zh-CN"/>
        </w:rPr>
      </w:pPr>
      <w:bookmarkStart w:id="156" w:name="_Toc16647"/>
      <w:bookmarkStart w:id="157" w:name="_Toc9031"/>
      <w:r>
        <w:rPr>
          <w:rFonts w:hint="eastAsia"/>
          <w:lang w:val="en-US" w:eastAsia="zh-CN"/>
        </w:rPr>
        <w:t>天然建筑材料</w:t>
      </w:r>
      <w:bookmarkEnd w:id="156"/>
      <w:bookmarkEnd w:id="157"/>
    </w:p>
    <w:p>
      <w:pPr>
        <w:pStyle w:val="5"/>
        <w:bidi w:val="0"/>
        <w:ind w:left="720" w:leftChars="0" w:hanging="720" w:firstLineChars="0"/>
        <w:rPr>
          <w:rFonts w:hint="eastAsia"/>
          <w:lang w:eastAsia="zh-CN"/>
        </w:rPr>
      </w:pPr>
      <w:bookmarkStart w:id="158" w:name="_Toc560"/>
      <w:bookmarkStart w:id="159" w:name="_Toc20293"/>
      <w:bookmarkStart w:id="160" w:name="_Toc51319179"/>
      <w:r>
        <w:rPr>
          <w:rFonts w:hint="eastAsia"/>
          <w:lang w:eastAsia="zh-CN"/>
        </w:rPr>
        <w:t>土料</w:t>
      </w:r>
      <w:bookmarkEnd w:id="158"/>
      <w:bookmarkEnd w:id="159"/>
      <w:bookmarkEnd w:id="160"/>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工程区为平原水网区，地表主要为第四系松散堆积软土层，地下水埋深浅，可供利用的土料匮乏，根据当地经验，多利用岗丘的平整开挖卉料作为填筑土料。有公路可达，交通便利。</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土料主要为第四系残积以及全～强风化泥质粉砂岩、全风化泥质粉砂岩。在番禺区南村镇镇南大干线附近的山丘均有分布，其范围大、储量足。</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次主要调查了兴南大道土料场和兴业大道土料场，剥离层厚0.5～lm，有用层为第四系残积以及基岩全～强风化碎石粉质壤土，厚度大于10m，在不破坏环境的基础上，按相关规划允许进行开采利用是可行的。若政府允许开采，储量大于8×106m</w:t>
      </w:r>
      <w:r>
        <w:rPr>
          <w:rFonts w:hint="eastAsia" w:ascii="Times New Roman" w:hAnsi="Times New Roman" w:cs="Times New Roman" w:eastAsiaTheme="minorEastAsia"/>
          <w:sz w:val="24"/>
          <w:szCs w:val="24"/>
          <w:vertAlign w:val="superscript"/>
          <w:lang w:val="en-US" w:eastAsia="zh-CN"/>
        </w:rPr>
        <w:t>3</w:t>
      </w:r>
      <w:r>
        <w:rPr>
          <w:rFonts w:hint="eastAsia" w:ascii="Times New Roman" w:hAnsi="Times New Roman"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土料物理力学指标：土粒比重2.75，天然状态的干密度为1.69g/cm</w:t>
      </w:r>
      <w:r>
        <w:rPr>
          <w:rFonts w:hint="eastAsia" w:ascii="Times New Roman" w:hAnsi="Times New Roman" w:cs="Times New Roman" w:eastAsiaTheme="minorEastAsia"/>
          <w:sz w:val="24"/>
          <w:szCs w:val="24"/>
          <w:vertAlign w:val="superscript"/>
          <w:lang w:val="en-US" w:eastAsia="zh-CN"/>
        </w:rPr>
        <w:t>3</w:t>
      </w:r>
      <w:r>
        <w:rPr>
          <w:rFonts w:hint="eastAsia" w:ascii="Times New Roman" w:hAnsi="Times New Roman" w:cs="Times New Roman" w:eastAsiaTheme="minorEastAsia"/>
          <w:sz w:val="24"/>
          <w:szCs w:val="24"/>
          <w:lang w:val="en-US" w:eastAsia="zh-CN"/>
        </w:rPr>
        <w:t>，粘粒含量23%、粉粒含量31%、砂粒含量42%（以中细砂为主）、角砾含量4%。最大干密度1.78g/cm</w:t>
      </w:r>
      <w:r>
        <w:rPr>
          <w:rFonts w:hint="eastAsia" w:ascii="Times New Roman" w:hAnsi="Times New Roman" w:cs="Times New Roman" w:eastAsiaTheme="minorEastAsia"/>
          <w:sz w:val="24"/>
          <w:szCs w:val="24"/>
          <w:vertAlign w:val="superscript"/>
          <w:lang w:val="en-US" w:eastAsia="zh-CN"/>
        </w:rPr>
        <w:t>3</w:t>
      </w:r>
      <w:r>
        <w:rPr>
          <w:rFonts w:hint="eastAsia" w:ascii="Times New Roman" w:hAnsi="Times New Roman" w:cs="Times New Roman" w:eastAsiaTheme="minorEastAsia"/>
          <w:sz w:val="24"/>
          <w:szCs w:val="24"/>
          <w:lang w:val="en-US" w:eastAsia="zh-CN"/>
        </w:rPr>
        <w:t>，最优含水量15.6%，压缩系数0.162MPa-1，压缩模量10.04MPa。内摩擦角25.8°，凝聚力1kPa。渗透系数8.5×10</w:t>
      </w:r>
      <w:r>
        <w:rPr>
          <w:rFonts w:hint="eastAsia" w:ascii="Times New Roman" w:hAnsi="Times New Roman" w:cs="Times New Roman" w:eastAsiaTheme="minorEastAsia"/>
          <w:sz w:val="24"/>
          <w:szCs w:val="24"/>
          <w:vertAlign w:val="superscript"/>
          <w:lang w:val="en-US" w:eastAsia="zh-CN"/>
        </w:rPr>
        <w:t>-6</w:t>
      </w:r>
      <w:r>
        <w:rPr>
          <w:rFonts w:hint="eastAsia" w:ascii="Times New Roman" w:hAnsi="Times New Roman" w:cs="Times New Roman" w:eastAsiaTheme="minorEastAsia"/>
          <w:sz w:val="24"/>
          <w:szCs w:val="24"/>
          <w:lang w:val="en-US" w:eastAsia="zh-CN"/>
        </w:rPr>
        <w:t>cm/s。土料质量基本满足要求。</w:t>
      </w:r>
    </w:p>
    <w:p>
      <w:pPr>
        <w:pStyle w:val="5"/>
        <w:bidi w:val="0"/>
        <w:ind w:left="720" w:leftChars="0" w:hanging="720" w:firstLineChars="0"/>
        <w:rPr>
          <w:rFonts w:hint="eastAsia"/>
          <w:lang w:eastAsia="zh-CN"/>
        </w:rPr>
      </w:pPr>
      <w:bookmarkStart w:id="161" w:name="_Toc21339"/>
      <w:bookmarkStart w:id="162" w:name="_Toc31965"/>
      <w:bookmarkStart w:id="163" w:name="_Toc51319180"/>
      <w:r>
        <w:rPr>
          <w:rFonts w:hint="eastAsia"/>
          <w:lang w:eastAsia="zh-CN"/>
        </w:rPr>
        <w:t>砂料</w:t>
      </w:r>
      <w:bookmarkEnd w:id="161"/>
      <w:bookmarkEnd w:id="162"/>
      <w:bookmarkEnd w:id="163"/>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本区天然砂砾料匮乏，当地多从珠江口河道采取砂料，己形成规模的商业开发。</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次调查在番禺区周边的万顷鸿利沙场和番禺区新造镇穗石村建兴沙场进行，经调查，砂料码头堆砂场的砂料作为混凝土细骨料其质量可以满足规程的要求。工程区水路、陆路交通便利，砂料可以从陆路运达。砂料场储量、质量均满足本工程需求。</w:t>
      </w:r>
    </w:p>
    <w:p>
      <w:pPr>
        <w:pStyle w:val="5"/>
        <w:bidi w:val="0"/>
        <w:ind w:left="720" w:leftChars="0" w:hanging="720" w:firstLineChars="0"/>
        <w:rPr>
          <w:rFonts w:hint="eastAsia"/>
          <w:lang w:eastAsia="zh-CN"/>
        </w:rPr>
      </w:pPr>
      <w:bookmarkStart w:id="164" w:name="_Toc51319181"/>
      <w:bookmarkStart w:id="165" w:name="_Toc9042"/>
      <w:bookmarkStart w:id="166" w:name="_Toc11214"/>
      <w:r>
        <w:rPr>
          <w:rFonts w:hint="eastAsia"/>
          <w:lang w:eastAsia="zh-CN"/>
        </w:rPr>
        <w:t>石料</w:t>
      </w:r>
      <w:bookmarkEnd w:id="164"/>
      <w:bookmarkEnd w:id="165"/>
      <w:bookmarkEnd w:id="166"/>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区内可供选择的石料场为番禺区钟村镇飞鹅石场和番禺区沙湾镇沙湾防洪沙石场。该石场开采块石料，同时加工各种规格碎石料，供应周边作为建筑混凝土粗骨料使用。飞鹅石场和沙湾防洪沙石场生产的石料为花岗岩质量，石料质地坚硬，强度质量满足要求，其储量大于3×105m</w:t>
      </w:r>
      <w:r>
        <w:rPr>
          <w:rFonts w:hint="eastAsia" w:ascii="Times New Roman" w:hAnsi="Times New Roman" w:cs="Times New Roman" w:eastAsiaTheme="minorEastAsia"/>
          <w:sz w:val="24"/>
          <w:szCs w:val="24"/>
          <w:vertAlign w:val="superscript"/>
          <w:lang w:val="en-US" w:eastAsia="zh-CN"/>
        </w:rPr>
        <w:t>3</w:t>
      </w:r>
      <w:r>
        <w:rPr>
          <w:rFonts w:hint="eastAsia" w:ascii="Times New Roman" w:hAnsi="Times New Roman" w:cs="Times New Roman" w:eastAsiaTheme="minorEastAsia"/>
          <w:sz w:val="24"/>
          <w:szCs w:val="24"/>
          <w:lang w:val="en-US" w:eastAsia="zh-CN"/>
        </w:rPr>
        <w:t>。有公路相通，飞鹅石场水路不能到达，沙湾防洪沙石场水路能到达运输便利。石料场储量、质量均满足本工程需求。</w:t>
      </w:r>
    </w:p>
    <w:p>
      <w:pPr>
        <w:pStyle w:val="4"/>
        <w:keepNext w:val="0"/>
        <w:keepLines w:val="0"/>
        <w:pageBreakBefore w:val="0"/>
        <w:widowControl/>
        <w:kinsoku/>
        <w:wordWrap/>
        <w:overflowPunct/>
        <w:topLinePunct w:val="0"/>
        <w:autoSpaceDE/>
        <w:autoSpaceDN/>
        <w:bidi w:val="0"/>
        <w:adjustRightInd/>
        <w:snapToGrid/>
        <w:spacing w:before="0" w:beforeLines="0" w:after="0" w:afterLines="0" w:line="360" w:lineRule="auto"/>
        <w:ind w:left="0" w:firstLine="0" w:firstLineChars="0"/>
        <w:jc w:val="left"/>
        <w:textAlignment w:val="auto"/>
        <w:outlineLvl w:val="1"/>
        <w:rPr>
          <w:rFonts w:hint="eastAsia" w:ascii="Times New Roman" w:hAnsi="Times New Roman" w:eastAsia="黑体" w:cs="Times New Roman"/>
          <w:b w:val="0"/>
          <w:bCs/>
          <w:sz w:val="30"/>
          <w:szCs w:val="30"/>
          <w:lang w:val="en-US" w:eastAsia="zh-CN"/>
        </w:rPr>
      </w:pPr>
      <w:bookmarkStart w:id="167" w:name="_Toc30142"/>
      <w:bookmarkStart w:id="168" w:name="_Toc371"/>
      <w:r>
        <w:rPr>
          <w:rFonts w:hint="eastAsia" w:ascii="Times New Roman" w:hAnsi="Times New Roman" w:eastAsia="黑体" w:cs="Times New Roman"/>
          <w:b w:val="0"/>
          <w:bCs/>
          <w:sz w:val="30"/>
          <w:szCs w:val="30"/>
          <w:lang w:val="en-US" w:eastAsia="zh-CN"/>
        </w:rPr>
        <w:t>结论及建议</w:t>
      </w:r>
      <w:bookmarkEnd w:id="167"/>
      <w:bookmarkEnd w:id="168"/>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工程位于粤中拗褶断束的南部，西北江三角洲次稳定区。工程区的地震动峰值加速度为0.10g（相应的地震基本烈度为Ⅶ度），动反应谱特征周期为0.35s。该区上部流塑状淤泥和松散状存在软土震陷害和液化问题。</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工程区的地下水位高程一般为-0.05～1.62m，受外江潮水涨落和河涌水位的影响较大。现阶段勘察表明，区内地表水对混凝土一般无腐蚀性。其水质受外江潮水和工业与生活排放污水影响较大，建议下一步分析地下水和地表水水质随季节变化情况，并进一步分析评价地环境水对混凝土的腐蚀性。</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（3）工程区的粘性土渗透变形破坏类型以流土为主，允许比降为0.25～0.35；细砂渗透变形破坏类型以管涌为主，允许比降一般为0.15～0.20。</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（4）河涌两岸没有完整统一的堤防，老堤堤身土高度各处不等，断面形状不规则，填筑的土料成分复杂，压实度较低，具中～高压缩性，现有堤防总体质量较差，需进行碾压或置换处理。</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（5）对堤基软土层，建议采用打木桩、塑料排水板等处理措施；</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（6）在进行堤身土方填筑施工时，应进行堤身沉降和内、外坡地基位移观测，当变形超过允许范围时，应停止堤上作业，以防发生沉陷或滑坡。</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bidi="ar-SA"/>
        </w:rPr>
      </w:pPr>
      <w:r>
        <w:rPr>
          <w:rFonts w:hint="eastAsia" w:ascii="Times New Roman" w:hAnsi="Times New Roman" w:cs="Times New Roman" w:eastAsiaTheme="minorEastAsia"/>
          <w:sz w:val="24"/>
          <w:szCs w:val="24"/>
          <w:lang w:val="en-US" w:eastAsia="zh-CN"/>
        </w:rPr>
        <w:t>（7）根据业主意见，工程地质工作，不进行天然建筑材料地质勘察，所有建筑材料均采用外购。</w:t>
      </w:r>
    </w:p>
    <w:p>
      <w:pPr>
        <w:rPr>
          <w:rFonts w:hint="default" w:ascii="Times New Roman" w:hAnsi="Times New Roman" w:cs="Times New Roman"/>
          <w:b/>
          <w:bCs w:val="0"/>
          <w:sz w:val="36"/>
          <w:szCs w:val="36"/>
          <w:lang w:val="en-US" w:eastAsia="zh-CN"/>
        </w:rPr>
      </w:pPr>
      <w:r>
        <w:rPr>
          <w:rFonts w:hint="eastAsia" w:ascii="Times New Roman" w:hAnsi="Times New Roman" w:cs="Times New Roman"/>
          <w:b/>
          <w:bCs w:val="0"/>
          <w:sz w:val="36"/>
          <w:szCs w:val="36"/>
          <w:lang w:val="en-US" w:eastAsia="zh-CN"/>
        </w:rPr>
        <w:br w:type="page"/>
      </w: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default" w:ascii="Times New Roman" w:hAnsi="Times New Roman" w:cs="Times New Roman"/>
          <w:b/>
          <w:bCs w:val="0"/>
          <w:sz w:val="36"/>
          <w:szCs w:val="36"/>
          <w:lang w:val="en-US" w:eastAsia="zh-CN"/>
        </w:rPr>
      </w:pPr>
      <w:bookmarkStart w:id="169" w:name="_Toc14481"/>
      <w:r>
        <w:rPr>
          <w:rFonts w:hint="eastAsia" w:ascii="Times New Roman" w:hAnsi="Times New Roman" w:cs="Times New Roman"/>
          <w:b/>
          <w:bCs w:val="0"/>
          <w:sz w:val="36"/>
          <w:szCs w:val="36"/>
          <w:lang w:val="en-US" w:eastAsia="zh-CN"/>
        </w:rPr>
        <w:t>工程任务和规模</w:t>
      </w:r>
      <w:bookmarkEnd w:id="169"/>
    </w:p>
    <w:p>
      <w:pPr>
        <w:pStyle w:val="4"/>
        <w:bidi w:val="0"/>
        <w:ind w:left="575" w:leftChars="0" w:hanging="575" w:firstLineChars="0"/>
        <w:rPr>
          <w:rFonts w:hint="eastAsia"/>
          <w:lang w:val="en-US" w:eastAsia="zh-CN"/>
        </w:rPr>
      </w:pPr>
      <w:bookmarkStart w:id="170" w:name="_Toc24416"/>
      <w:r>
        <w:rPr>
          <w:rFonts w:hint="eastAsia"/>
          <w:lang w:val="en-US" w:eastAsia="zh-CN"/>
        </w:rPr>
        <w:t>现状存在问题</w:t>
      </w:r>
      <w:bookmarkEnd w:id="170"/>
    </w:p>
    <w:tbl>
      <w:tblPr>
        <w:tblStyle w:val="45"/>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5"/>
        <w:gridCol w:w="1784"/>
        <w:gridCol w:w="2735"/>
        <w:gridCol w:w="2624"/>
        <w:gridCol w:w="17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228" w:type="pct"/>
            <w:vMerge w:val="restart"/>
            <w:vAlign w:val="center"/>
          </w:tcPr>
          <w:p>
            <w:pPr>
              <w:pStyle w:val="54"/>
              <w:widowControl w:val="0"/>
              <w:bidi w:val="0"/>
              <w:ind w:firstLine="0"/>
              <w:jc w:val="center"/>
              <w:rPr>
                <w:rFonts w:hint="default"/>
                <w:kern w:val="0"/>
                <w:lang w:val="en-US" w:eastAsia="zh-CN"/>
              </w:rPr>
            </w:pPr>
            <w:r>
              <w:rPr>
                <w:rFonts w:hint="eastAsia"/>
                <w:kern w:val="0"/>
                <w:lang w:val="en-US" w:eastAsia="zh-CN"/>
              </w:rPr>
              <w:t>二塱西街</w:t>
            </w:r>
          </w:p>
        </w:tc>
        <w:tc>
          <w:tcPr>
            <w:tcW w:w="961" w:type="pct"/>
            <w:vAlign w:val="center"/>
          </w:tcPr>
          <w:p>
            <w:pPr>
              <w:pStyle w:val="54"/>
              <w:widowControl w:val="0"/>
              <w:bidi w:val="0"/>
              <w:jc w:val="center"/>
              <w:rPr>
                <w:rFonts w:hint="default"/>
                <w:kern w:val="0"/>
                <w:lang w:val="en-US" w:eastAsia="zh-CN"/>
              </w:rPr>
            </w:pPr>
            <w:r>
              <w:rPr>
                <w:rFonts w:hint="eastAsia"/>
                <w:kern w:val="0"/>
                <w:lang w:val="en-US" w:eastAsia="zh-CN"/>
              </w:rPr>
              <w:t>桩号</w:t>
            </w:r>
          </w:p>
        </w:tc>
        <w:tc>
          <w:tcPr>
            <w:tcW w:w="1473" w:type="pct"/>
            <w:vAlign w:val="center"/>
          </w:tcPr>
          <w:p>
            <w:pPr>
              <w:pStyle w:val="54"/>
              <w:widowControl w:val="0"/>
              <w:bidi w:val="0"/>
              <w:jc w:val="center"/>
              <w:rPr>
                <w:rFonts w:hint="default"/>
                <w:kern w:val="0"/>
                <w:lang w:val="en-US" w:eastAsia="zh-CN"/>
              </w:rPr>
            </w:pPr>
            <w:r>
              <w:rPr>
                <w:rFonts w:hint="eastAsia"/>
                <w:kern w:val="0"/>
                <w:lang w:val="en-US" w:eastAsia="zh-CN"/>
              </w:rPr>
              <w:t>存在问题</w:t>
            </w:r>
          </w:p>
        </w:tc>
        <w:tc>
          <w:tcPr>
            <w:tcW w:w="1413" w:type="pct"/>
            <w:vAlign w:val="center"/>
          </w:tcPr>
          <w:p>
            <w:pPr>
              <w:pStyle w:val="54"/>
              <w:widowControl w:val="0"/>
              <w:bidi w:val="0"/>
              <w:jc w:val="center"/>
              <w:rPr>
                <w:rFonts w:hint="default"/>
                <w:kern w:val="0"/>
                <w:lang w:val="en-US" w:eastAsia="zh-CN"/>
              </w:rPr>
            </w:pPr>
            <w:r>
              <w:rPr>
                <w:rFonts w:hint="eastAsia"/>
                <w:kern w:val="0"/>
                <w:lang w:val="en-US" w:eastAsia="zh-CN"/>
              </w:rPr>
              <w:t>现场照片</w:t>
            </w:r>
          </w:p>
        </w:tc>
        <w:tc>
          <w:tcPr>
            <w:tcW w:w="922" w:type="pct"/>
            <w:vAlign w:val="center"/>
          </w:tcPr>
          <w:p>
            <w:pPr>
              <w:pStyle w:val="54"/>
              <w:widowControl w:val="0"/>
              <w:bidi w:val="0"/>
              <w:jc w:val="center"/>
              <w:rPr>
                <w:rFonts w:hint="default"/>
                <w:kern w:val="0"/>
                <w:lang w:val="en-US" w:eastAsia="zh-CN"/>
              </w:rPr>
            </w:pPr>
            <w:r>
              <w:rPr>
                <w:rFonts w:hint="eastAsia"/>
                <w:kern w:val="0"/>
                <w:lang w:val="en-US" w:eastAsia="zh-CN"/>
              </w:rPr>
              <w:t>原因分析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2" w:hRule="atLeast"/>
          <w:jc w:val="center"/>
        </w:trPr>
        <w:tc>
          <w:tcPr>
            <w:tcW w:w="228" w:type="pct"/>
            <w:vMerge w:val="continue"/>
            <w:vAlign w:val="center"/>
          </w:tcPr>
          <w:p>
            <w:pPr>
              <w:pStyle w:val="54"/>
              <w:widowControl w:val="0"/>
              <w:bidi w:val="0"/>
              <w:jc w:val="center"/>
              <w:rPr>
                <w:rFonts w:hint="eastAsia"/>
                <w:kern w:val="0"/>
                <w:lang w:val="en-US" w:eastAsia="zh-CN"/>
              </w:rPr>
            </w:pPr>
          </w:p>
        </w:tc>
        <w:tc>
          <w:tcPr>
            <w:tcW w:w="961" w:type="pct"/>
            <w:vAlign w:val="center"/>
          </w:tcPr>
          <w:p>
            <w:pPr>
              <w:pStyle w:val="54"/>
              <w:widowControl w:val="0"/>
              <w:bidi w:val="0"/>
              <w:jc w:val="center"/>
              <w:rPr>
                <w:rFonts w:hint="eastAsia"/>
                <w:kern w:val="0"/>
                <w:lang w:val="en-US" w:eastAsia="zh-CN"/>
              </w:rPr>
            </w:pPr>
            <w:r>
              <w:rPr>
                <w:rFonts w:hint="eastAsia"/>
                <w:kern w:val="0"/>
                <w:lang w:val="en-US" w:eastAsia="zh-CN"/>
              </w:rPr>
              <w:t>K0+000~K0+089</w:t>
            </w:r>
          </w:p>
        </w:tc>
        <w:tc>
          <w:tcPr>
            <w:tcW w:w="1473" w:type="pct"/>
            <w:vAlign w:val="center"/>
          </w:tcPr>
          <w:p>
            <w:pPr>
              <w:pStyle w:val="54"/>
              <w:widowControl w:val="0"/>
              <w:bidi w:val="0"/>
              <w:jc w:val="center"/>
              <w:rPr>
                <w:rFonts w:hint="eastAsia"/>
                <w:kern w:val="0"/>
                <w:lang w:val="en-US" w:eastAsia="zh-CN"/>
              </w:rPr>
            </w:pPr>
            <w:r>
              <w:rPr>
                <w:rFonts w:hint="eastAsia"/>
                <w:kern w:val="0"/>
              </w:rPr>
              <w:t>①堤顶道路开裂，开裂宽度约5cm，长度约</w:t>
            </w:r>
            <w:r>
              <w:rPr>
                <w:rFonts w:hint="eastAsia"/>
                <w:kern w:val="0"/>
                <w:lang w:val="en-US" w:eastAsia="zh-CN"/>
              </w:rPr>
              <w:t>89</w:t>
            </w:r>
            <w:r>
              <w:rPr>
                <w:rFonts w:hint="eastAsia"/>
                <w:kern w:val="0"/>
              </w:rPr>
              <w:t>m。</w:t>
            </w:r>
          </w:p>
        </w:tc>
        <w:tc>
          <w:tcPr>
            <w:tcW w:w="1413" w:type="pct"/>
            <w:vAlign w:val="center"/>
          </w:tcPr>
          <w:p>
            <w:pPr>
              <w:pStyle w:val="54"/>
              <w:widowControl w:val="0"/>
              <w:bidi w:val="0"/>
              <w:jc w:val="center"/>
              <w:rPr>
                <w:rFonts w:hint="eastAsia"/>
                <w:kern w:val="0"/>
                <w:lang w:val="en-US" w:eastAsia="zh-CN"/>
              </w:rPr>
            </w:pPr>
            <w:r>
              <w:rPr>
                <w:kern w:val="0"/>
              </w:rPr>
              <w:drawing>
                <wp:inline distT="0" distB="0" distL="114300" distR="114300">
                  <wp:extent cx="1598295" cy="1125220"/>
                  <wp:effectExtent l="0" t="0" r="1905" b="17780"/>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26"/>
                          <a:srcRect t="1111" b="20956"/>
                          <a:stretch>
                            <a:fillRect/>
                          </a:stretch>
                        </pic:blipFill>
                        <pic:spPr>
                          <a:xfrm>
                            <a:off x="0" y="0"/>
                            <a:ext cx="1598295" cy="1125220"/>
                          </a:xfrm>
                          <a:prstGeom prst="rect">
                            <a:avLst/>
                          </a:prstGeom>
                        </pic:spPr>
                      </pic:pic>
                    </a:graphicData>
                  </a:graphic>
                </wp:inline>
              </w:drawing>
            </w:r>
          </w:p>
        </w:tc>
        <w:tc>
          <w:tcPr>
            <w:tcW w:w="922" w:type="pct"/>
            <w:vMerge w:val="restart"/>
            <w:vAlign w:val="center"/>
          </w:tcPr>
          <w:p>
            <w:pPr>
              <w:pStyle w:val="54"/>
              <w:widowControl w:val="0"/>
              <w:bidi w:val="0"/>
              <w:jc w:val="center"/>
              <w:rPr>
                <w:rFonts w:hint="eastAsia"/>
                <w:kern w:val="0"/>
                <w:lang w:val="en-US" w:eastAsia="zh-CN"/>
              </w:rPr>
            </w:pPr>
            <w:r>
              <w:rPr>
                <w:rFonts w:hint="eastAsia"/>
                <w:kern w:val="0"/>
                <w:lang w:val="en-US" w:eastAsia="zh-CN"/>
              </w:rPr>
              <w:t>挡墙反滤体破损，河堤沿线污水管破损，堤身土顺管道及墙身排水管方向流失，堤身被掏空，导致堤顶沉降，道路开裂及挡墙位移。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228" w:type="pct"/>
            <w:vMerge w:val="continue"/>
            <w:vAlign w:val="center"/>
          </w:tcPr>
          <w:p>
            <w:pPr>
              <w:pStyle w:val="54"/>
              <w:widowControl w:val="0"/>
              <w:bidi w:val="0"/>
              <w:jc w:val="center"/>
              <w:rPr>
                <w:rFonts w:hint="eastAsia"/>
                <w:kern w:val="0"/>
                <w:lang w:val="en-US" w:eastAsia="zh-CN"/>
              </w:rPr>
            </w:pPr>
          </w:p>
        </w:tc>
        <w:tc>
          <w:tcPr>
            <w:tcW w:w="961" w:type="pct"/>
            <w:vAlign w:val="center"/>
          </w:tcPr>
          <w:p>
            <w:pPr>
              <w:pStyle w:val="54"/>
              <w:widowControl w:val="0"/>
              <w:bidi w:val="0"/>
              <w:jc w:val="center"/>
              <w:rPr>
                <w:rFonts w:hint="eastAsia"/>
                <w:kern w:val="0"/>
                <w:lang w:val="en-US" w:eastAsia="zh-CN"/>
              </w:rPr>
            </w:pPr>
            <w:r>
              <w:rPr>
                <w:rFonts w:hint="eastAsia"/>
                <w:kern w:val="0"/>
                <w:lang w:val="en-US" w:eastAsia="zh-CN"/>
              </w:rPr>
              <w:t>K0+089~K0+101</w:t>
            </w:r>
          </w:p>
        </w:tc>
        <w:tc>
          <w:tcPr>
            <w:tcW w:w="1473" w:type="pct"/>
            <w:vAlign w:val="center"/>
          </w:tcPr>
          <w:p>
            <w:pPr>
              <w:pStyle w:val="54"/>
              <w:widowControl w:val="0"/>
              <w:bidi w:val="0"/>
              <w:jc w:val="center"/>
              <w:rPr>
                <w:rFonts w:hint="eastAsia"/>
                <w:kern w:val="0"/>
                <w:lang w:val="en-US" w:eastAsia="zh-CN"/>
              </w:rPr>
            </w:pPr>
            <w:r>
              <w:rPr>
                <w:rFonts w:hint="eastAsia"/>
                <w:kern w:val="0"/>
                <w:lang w:val="en-US" w:eastAsia="zh-CN"/>
              </w:rPr>
              <w:t>①堤顶道路开裂，开裂宽度约5cm，长度约12m。</w:t>
            </w:r>
          </w:p>
          <w:p>
            <w:pPr>
              <w:pStyle w:val="54"/>
              <w:widowControl w:val="0"/>
              <w:bidi w:val="0"/>
              <w:jc w:val="center"/>
              <w:rPr>
                <w:rFonts w:hint="eastAsia"/>
                <w:kern w:val="0"/>
                <w:lang w:val="en-US" w:eastAsia="zh-CN"/>
              </w:rPr>
            </w:pPr>
            <w:r>
              <w:rPr>
                <w:rFonts w:hint="eastAsia"/>
                <w:kern w:val="0"/>
                <w:lang w:val="en-US" w:eastAsia="zh-CN"/>
              </w:rPr>
              <w:t>②墙后回填土掏空，墙顶绿化带下沉，深度约10~30cm</w:t>
            </w:r>
          </w:p>
        </w:tc>
        <w:tc>
          <w:tcPr>
            <w:tcW w:w="1413" w:type="pct"/>
            <w:vAlign w:val="center"/>
          </w:tcPr>
          <w:p>
            <w:pPr>
              <w:pStyle w:val="54"/>
              <w:widowControl w:val="0"/>
              <w:bidi w:val="0"/>
              <w:jc w:val="center"/>
              <w:rPr>
                <w:rFonts w:hint="eastAsia"/>
                <w:kern w:val="0"/>
                <w:lang w:val="en-US" w:eastAsia="zh-CN"/>
              </w:rPr>
            </w:pPr>
            <w:r>
              <w:rPr>
                <w:kern w:val="0"/>
              </w:rPr>
              <w:drawing>
                <wp:inline distT="0" distB="0" distL="114300" distR="114300">
                  <wp:extent cx="1609725" cy="1154430"/>
                  <wp:effectExtent l="0" t="0" r="9525" b="7620"/>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27"/>
                          <a:srcRect l="886" t="15802" r="-886" b="35092"/>
                          <a:stretch>
                            <a:fillRect/>
                          </a:stretch>
                        </pic:blipFill>
                        <pic:spPr>
                          <a:xfrm>
                            <a:off x="0" y="0"/>
                            <a:ext cx="1609725" cy="1154430"/>
                          </a:xfrm>
                          <a:prstGeom prst="rect">
                            <a:avLst/>
                          </a:prstGeom>
                        </pic:spPr>
                      </pic:pic>
                    </a:graphicData>
                  </a:graphic>
                </wp:inline>
              </w:drawing>
            </w:r>
          </w:p>
        </w:tc>
        <w:tc>
          <w:tcPr>
            <w:tcW w:w="922" w:type="pct"/>
            <w:vMerge w:val="continue"/>
            <w:vAlign w:val="center"/>
          </w:tcPr>
          <w:p>
            <w:pPr>
              <w:pStyle w:val="54"/>
              <w:widowControl w:val="0"/>
              <w:bidi w:val="0"/>
              <w:jc w:val="center"/>
              <w:rPr>
                <w:rFonts w:hint="eastAsia"/>
                <w:kern w:val="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8" w:type="pct"/>
            <w:vMerge w:val="continue"/>
            <w:vAlign w:val="center"/>
          </w:tcPr>
          <w:p>
            <w:pPr>
              <w:pStyle w:val="54"/>
              <w:widowControl w:val="0"/>
              <w:bidi w:val="0"/>
              <w:jc w:val="center"/>
              <w:rPr>
                <w:rFonts w:hint="eastAsia"/>
                <w:kern w:val="0"/>
                <w:lang w:val="en-US" w:eastAsia="zh-CN"/>
              </w:rPr>
            </w:pPr>
          </w:p>
        </w:tc>
        <w:tc>
          <w:tcPr>
            <w:tcW w:w="961" w:type="pct"/>
            <w:vAlign w:val="center"/>
          </w:tcPr>
          <w:p>
            <w:pPr>
              <w:pStyle w:val="54"/>
              <w:widowControl w:val="0"/>
              <w:bidi w:val="0"/>
              <w:jc w:val="center"/>
              <w:rPr>
                <w:rFonts w:hint="eastAsia"/>
                <w:kern w:val="0"/>
                <w:lang w:val="en-US" w:eastAsia="zh-CN"/>
              </w:rPr>
            </w:pPr>
            <w:r>
              <w:rPr>
                <w:rFonts w:hint="eastAsia"/>
                <w:kern w:val="0"/>
                <w:lang w:val="en-US" w:eastAsia="zh-CN"/>
              </w:rPr>
              <w:t>K0+101~K0+130</w:t>
            </w:r>
          </w:p>
        </w:tc>
        <w:tc>
          <w:tcPr>
            <w:tcW w:w="1473" w:type="pct"/>
            <w:vAlign w:val="center"/>
          </w:tcPr>
          <w:p>
            <w:pPr>
              <w:pStyle w:val="54"/>
              <w:widowControl w:val="0"/>
              <w:bidi w:val="0"/>
              <w:jc w:val="center"/>
              <w:rPr>
                <w:rFonts w:hint="eastAsia"/>
                <w:kern w:val="0"/>
                <w:lang w:val="en-US" w:eastAsia="zh-CN"/>
              </w:rPr>
            </w:pPr>
            <w:r>
              <w:rPr>
                <w:rFonts w:hint="eastAsia"/>
                <w:kern w:val="0"/>
                <w:lang w:val="en-US" w:eastAsia="zh-CN"/>
              </w:rPr>
              <w:t>①墙后回填土掏空，墙顶绿化带下沉，深度约10~30cm。</w:t>
            </w:r>
          </w:p>
          <w:p>
            <w:pPr>
              <w:pStyle w:val="54"/>
              <w:widowControl w:val="0"/>
              <w:bidi w:val="0"/>
              <w:jc w:val="center"/>
              <w:rPr>
                <w:rFonts w:hint="eastAsia"/>
                <w:kern w:val="0"/>
                <w:lang w:val="en-US" w:eastAsia="zh-CN"/>
              </w:rPr>
            </w:pPr>
            <w:r>
              <w:rPr>
                <w:rFonts w:hint="eastAsia"/>
                <w:kern w:val="0"/>
                <w:lang w:val="en-US" w:eastAsia="zh-CN"/>
              </w:rPr>
              <w:t>②堤顶道路开裂，开裂宽度约5cm，长度约29m。</w:t>
            </w:r>
          </w:p>
          <w:p>
            <w:pPr>
              <w:pStyle w:val="54"/>
              <w:widowControl w:val="0"/>
              <w:bidi w:val="0"/>
              <w:jc w:val="center"/>
              <w:rPr>
                <w:rFonts w:hint="eastAsia"/>
                <w:kern w:val="0"/>
                <w:lang w:val="en-US" w:eastAsia="zh-CN"/>
              </w:rPr>
            </w:pPr>
            <w:r>
              <w:rPr>
                <w:rFonts w:hint="eastAsia"/>
                <w:kern w:val="0"/>
                <w:lang w:val="en-US" w:eastAsia="zh-CN"/>
              </w:rPr>
              <w:t>③挡墙基础掏空，墙顶产生位移，最大约10cm。</w:t>
            </w:r>
          </w:p>
        </w:tc>
        <w:tc>
          <w:tcPr>
            <w:tcW w:w="1413" w:type="pct"/>
            <w:vAlign w:val="center"/>
          </w:tcPr>
          <w:p>
            <w:pPr>
              <w:pStyle w:val="54"/>
              <w:widowControl w:val="0"/>
              <w:bidi w:val="0"/>
              <w:jc w:val="center"/>
              <w:rPr>
                <w:rFonts w:hint="eastAsia"/>
                <w:kern w:val="0"/>
                <w:lang w:val="en-US" w:eastAsia="zh-CN"/>
              </w:rPr>
            </w:pPr>
            <w:r>
              <w:rPr>
                <w:kern w:val="0"/>
              </w:rPr>
              <w:drawing>
                <wp:inline distT="0" distB="0" distL="114300" distR="114300">
                  <wp:extent cx="1628140" cy="1187450"/>
                  <wp:effectExtent l="0" t="0" r="10160" b="12700"/>
                  <wp:docPr id="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3"/>
                          <pic:cNvPicPr>
                            <a:picLocks noChangeAspect="1"/>
                          </pic:cNvPicPr>
                        </pic:nvPicPr>
                        <pic:blipFill>
                          <a:blip r:embed="rId28"/>
                          <a:srcRect t="24258"/>
                          <a:stretch>
                            <a:fillRect/>
                          </a:stretch>
                        </pic:blipFill>
                        <pic:spPr>
                          <a:xfrm>
                            <a:off x="0" y="0"/>
                            <a:ext cx="1628140" cy="1187450"/>
                          </a:xfrm>
                          <a:prstGeom prst="rect">
                            <a:avLst/>
                          </a:prstGeom>
                        </pic:spPr>
                      </pic:pic>
                    </a:graphicData>
                  </a:graphic>
                </wp:inline>
              </w:drawing>
            </w:r>
          </w:p>
        </w:tc>
        <w:tc>
          <w:tcPr>
            <w:tcW w:w="922" w:type="pct"/>
            <w:vMerge w:val="continue"/>
            <w:vAlign w:val="center"/>
          </w:tcPr>
          <w:p>
            <w:pPr>
              <w:pStyle w:val="54"/>
              <w:widowControl w:val="0"/>
              <w:bidi w:val="0"/>
              <w:jc w:val="center"/>
              <w:rPr>
                <w:rFonts w:hint="eastAsia"/>
                <w:kern w:val="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228" w:type="pct"/>
            <w:vMerge w:val="continue"/>
            <w:vAlign w:val="center"/>
          </w:tcPr>
          <w:p>
            <w:pPr>
              <w:pStyle w:val="54"/>
              <w:widowControl w:val="0"/>
              <w:bidi w:val="0"/>
              <w:jc w:val="center"/>
              <w:rPr>
                <w:rFonts w:hint="eastAsia"/>
                <w:kern w:val="0"/>
                <w:lang w:val="en-US" w:eastAsia="zh-CN"/>
              </w:rPr>
            </w:pPr>
          </w:p>
        </w:tc>
        <w:tc>
          <w:tcPr>
            <w:tcW w:w="961" w:type="pct"/>
            <w:vAlign w:val="center"/>
          </w:tcPr>
          <w:p>
            <w:pPr>
              <w:pStyle w:val="54"/>
              <w:widowControl w:val="0"/>
              <w:bidi w:val="0"/>
              <w:jc w:val="center"/>
              <w:rPr>
                <w:rFonts w:hint="eastAsia"/>
                <w:kern w:val="0"/>
                <w:lang w:val="en-US" w:eastAsia="zh-CN"/>
              </w:rPr>
            </w:pPr>
            <w:r>
              <w:rPr>
                <w:rFonts w:hint="eastAsia"/>
                <w:kern w:val="0"/>
                <w:lang w:val="en-US" w:eastAsia="zh-CN"/>
              </w:rPr>
              <w:t>K0+130~K0+137</w:t>
            </w:r>
          </w:p>
        </w:tc>
        <w:tc>
          <w:tcPr>
            <w:tcW w:w="1473" w:type="pct"/>
            <w:vAlign w:val="center"/>
          </w:tcPr>
          <w:p>
            <w:pPr>
              <w:pStyle w:val="54"/>
              <w:widowControl w:val="0"/>
              <w:bidi w:val="0"/>
              <w:jc w:val="center"/>
              <w:rPr>
                <w:rFonts w:hint="eastAsia"/>
                <w:kern w:val="0"/>
                <w:lang w:val="en-US" w:eastAsia="zh-CN"/>
              </w:rPr>
            </w:pPr>
            <w:r>
              <w:rPr>
                <w:rFonts w:hint="eastAsia"/>
                <w:kern w:val="0"/>
                <w:lang w:val="en-US" w:eastAsia="zh-CN"/>
              </w:rPr>
              <w:t>①墙后回填土掏空，墙顶绿化带下沉，深度约10~30cm。</w:t>
            </w:r>
          </w:p>
          <w:p>
            <w:pPr>
              <w:pStyle w:val="54"/>
              <w:widowControl w:val="0"/>
              <w:bidi w:val="0"/>
              <w:jc w:val="center"/>
              <w:rPr>
                <w:rFonts w:hint="eastAsia"/>
                <w:kern w:val="0"/>
                <w:lang w:val="en-US" w:eastAsia="zh-CN"/>
              </w:rPr>
            </w:pPr>
            <w:r>
              <w:rPr>
                <w:rFonts w:hint="eastAsia"/>
                <w:kern w:val="0"/>
                <w:lang w:val="en-US" w:eastAsia="zh-CN"/>
              </w:rPr>
              <w:t>②堤顶道路开裂，长度约7m，开裂宽度约5cm</w:t>
            </w:r>
          </w:p>
        </w:tc>
        <w:tc>
          <w:tcPr>
            <w:tcW w:w="1413" w:type="pct"/>
            <w:vAlign w:val="center"/>
          </w:tcPr>
          <w:p>
            <w:pPr>
              <w:pStyle w:val="54"/>
              <w:widowControl w:val="0"/>
              <w:bidi w:val="0"/>
              <w:jc w:val="center"/>
              <w:rPr>
                <w:rFonts w:hint="eastAsia"/>
                <w:kern w:val="0"/>
                <w:lang w:val="en-US" w:eastAsia="zh-CN"/>
              </w:rPr>
            </w:pPr>
            <w:r>
              <w:rPr>
                <w:kern w:val="0"/>
              </w:rPr>
              <w:drawing>
                <wp:inline distT="0" distB="0" distL="114300" distR="114300">
                  <wp:extent cx="1584325" cy="1162050"/>
                  <wp:effectExtent l="0" t="0" r="15875" b="0"/>
                  <wp:docPr id="2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4"/>
                          <pic:cNvPicPr>
                            <a:picLocks noChangeAspect="1"/>
                          </pic:cNvPicPr>
                        </pic:nvPicPr>
                        <pic:blipFill>
                          <a:blip r:embed="rId29"/>
                          <a:srcRect l="12084" t="15094" r="14067" b="12681"/>
                          <a:stretch>
                            <a:fillRect/>
                          </a:stretch>
                        </pic:blipFill>
                        <pic:spPr>
                          <a:xfrm>
                            <a:off x="0" y="0"/>
                            <a:ext cx="1584325" cy="1162050"/>
                          </a:xfrm>
                          <a:prstGeom prst="rect">
                            <a:avLst/>
                          </a:prstGeom>
                        </pic:spPr>
                      </pic:pic>
                    </a:graphicData>
                  </a:graphic>
                </wp:inline>
              </w:drawing>
            </w:r>
          </w:p>
        </w:tc>
        <w:tc>
          <w:tcPr>
            <w:tcW w:w="922" w:type="pct"/>
            <w:vMerge w:val="continue"/>
            <w:vAlign w:val="center"/>
          </w:tcPr>
          <w:p>
            <w:pPr>
              <w:pStyle w:val="54"/>
              <w:widowControl w:val="0"/>
              <w:bidi w:val="0"/>
              <w:jc w:val="center"/>
              <w:rPr>
                <w:rFonts w:hint="eastAsia"/>
                <w:kern w:val="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5" w:hRule="atLeast"/>
          <w:jc w:val="center"/>
        </w:trPr>
        <w:tc>
          <w:tcPr>
            <w:tcW w:w="228" w:type="pct"/>
            <w:vMerge w:val="continue"/>
            <w:vAlign w:val="center"/>
          </w:tcPr>
          <w:p>
            <w:pPr>
              <w:pStyle w:val="54"/>
              <w:widowControl w:val="0"/>
              <w:bidi w:val="0"/>
              <w:jc w:val="center"/>
              <w:rPr>
                <w:rFonts w:hint="eastAsia"/>
                <w:kern w:val="0"/>
                <w:lang w:val="en-US" w:eastAsia="zh-CN"/>
              </w:rPr>
            </w:pPr>
          </w:p>
        </w:tc>
        <w:tc>
          <w:tcPr>
            <w:tcW w:w="961" w:type="pct"/>
            <w:vAlign w:val="center"/>
          </w:tcPr>
          <w:p>
            <w:pPr>
              <w:pStyle w:val="54"/>
              <w:widowControl w:val="0"/>
              <w:bidi w:val="0"/>
              <w:jc w:val="center"/>
              <w:rPr>
                <w:rFonts w:hint="eastAsia"/>
                <w:kern w:val="0"/>
                <w:lang w:val="en-US" w:eastAsia="zh-CN"/>
              </w:rPr>
            </w:pPr>
            <w:r>
              <w:rPr>
                <w:rFonts w:hint="eastAsia"/>
                <w:kern w:val="0"/>
                <w:lang w:val="en-US" w:eastAsia="zh-CN"/>
              </w:rPr>
              <w:t>K0+137~K0+160</w:t>
            </w:r>
          </w:p>
        </w:tc>
        <w:tc>
          <w:tcPr>
            <w:tcW w:w="1473" w:type="pct"/>
            <w:vAlign w:val="center"/>
          </w:tcPr>
          <w:p>
            <w:pPr>
              <w:pStyle w:val="54"/>
              <w:widowControl w:val="0"/>
              <w:bidi w:val="0"/>
              <w:jc w:val="center"/>
              <w:rPr>
                <w:rFonts w:hint="eastAsia"/>
                <w:kern w:val="0"/>
                <w:lang w:val="en-US" w:eastAsia="zh-CN"/>
              </w:rPr>
            </w:pPr>
            <w:r>
              <w:rPr>
                <w:rFonts w:hint="eastAsia"/>
                <w:kern w:val="0"/>
                <w:lang w:val="en-US" w:eastAsia="zh-CN"/>
              </w:rPr>
              <w:t>①堤顶道路开裂，开裂宽度约5cm，长度约23m。</w:t>
            </w:r>
          </w:p>
        </w:tc>
        <w:tc>
          <w:tcPr>
            <w:tcW w:w="1413" w:type="pct"/>
            <w:vAlign w:val="center"/>
          </w:tcPr>
          <w:p>
            <w:pPr>
              <w:pStyle w:val="54"/>
              <w:widowControl w:val="0"/>
              <w:bidi w:val="0"/>
              <w:jc w:val="center"/>
              <w:rPr>
                <w:rFonts w:hint="eastAsia"/>
                <w:kern w:val="0"/>
                <w:lang w:val="en-US" w:eastAsia="zh-CN"/>
              </w:rPr>
            </w:pPr>
            <w:r>
              <w:rPr>
                <w:kern w:val="0"/>
              </w:rPr>
              <w:drawing>
                <wp:inline distT="0" distB="0" distL="114300" distR="114300">
                  <wp:extent cx="1560830" cy="1004570"/>
                  <wp:effectExtent l="0" t="0" r="1270" b="5080"/>
                  <wp:docPr id="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
                          <pic:cNvPicPr>
                            <a:picLocks noChangeAspect="1"/>
                          </pic:cNvPicPr>
                        </pic:nvPicPr>
                        <pic:blipFill>
                          <a:blip r:embed="rId30"/>
                          <a:srcRect t="32287" r="21589" b="22184"/>
                          <a:stretch>
                            <a:fillRect/>
                          </a:stretch>
                        </pic:blipFill>
                        <pic:spPr>
                          <a:xfrm>
                            <a:off x="0" y="0"/>
                            <a:ext cx="1560830" cy="1004570"/>
                          </a:xfrm>
                          <a:prstGeom prst="rect">
                            <a:avLst/>
                          </a:prstGeom>
                        </pic:spPr>
                      </pic:pic>
                    </a:graphicData>
                  </a:graphic>
                </wp:inline>
              </w:drawing>
            </w:r>
          </w:p>
        </w:tc>
        <w:tc>
          <w:tcPr>
            <w:tcW w:w="922" w:type="pct"/>
            <w:vMerge w:val="continue"/>
            <w:vAlign w:val="center"/>
          </w:tcPr>
          <w:p>
            <w:pPr>
              <w:pStyle w:val="54"/>
              <w:widowControl w:val="0"/>
              <w:bidi w:val="0"/>
              <w:jc w:val="center"/>
              <w:rPr>
                <w:rFonts w:hint="eastAsia"/>
                <w:kern w:val="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0" w:hRule="atLeast"/>
          <w:jc w:val="center"/>
        </w:trPr>
        <w:tc>
          <w:tcPr>
            <w:tcW w:w="228" w:type="pct"/>
            <w:vMerge w:val="continue"/>
            <w:vAlign w:val="center"/>
          </w:tcPr>
          <w:p>
            <w:pPr>
              <w:pStyle w:val="54"/>
              <w:widowControl w:val="0"/>
              <w:bidi w:val="0"/>
              <w:jc w:val="center"/>
              <w:rPr>
                <w:rFonts w:hint="eastAsia"/>
                <w:kern w:val="0"/>
                <w:lang w:val="en-US" w:eastAsia="zh-CN"/>
              </w:rPr>
            </w:pPr>
          </w:p>
        </w:tc>
        <w:tc>
          <w:tcPr>
            <w:tcW w:w="961" w:type="pct"/>
            <w:vAlign w:val="center"/>
          </w:tcPr>
          <w:p>
            <w:pPr>
              <w:pStyle w:val="54"/>
              <w:widowControl w:val="0"/>
              <w:bidi w:val="0"/>
              <w:jc w:val="center"/>
              <w:rPr>
                <w:rFonts w:hint="eastAsia"/>
                <w:kern w:val="0"/>
                <w:highlight w:val="red"/>
                <w:lang w:val="en-US" w:eastAsia="zh-CN"/>
              </w:rPr>
            </w:pPr>
            <w:r>
              <w:rPr>
                <w:rFonts w:hint="eastAsia"/>
                <w:kern w:val="0"/>
                <w:lang w:val="en-US" w:eastAsia="zh-CN"/>
              </w:rPr>
              <w:t>K0+101~K0+130</w:t>
            </w:r>
          </w:p>
        </w:tc>
        <w:tc>
          <w:tcPr>
            <w:tcW w:w="1473" w:type="pct"/>
            <w:vAlign w:val="center"/>
          </w:tcPr>
          <w:p>
            <w:pPr>
              <w:keepNext w:val="0"/>
              <w:keepLines w:val="0"/>
              <w:widowControl/>
              <w:suppressLineNumbers w:val="0"/>
              <w:ind w:left="0" w:leftChars="0" w:firstLine="0" w:firstLineChars="0"/>
              <w:jc w:val="left"/>
              <w:rPr>
                <w:rFonts w:hint="default"/>
                <w:kern w:val="0"/>
                <w:highlight w:val="red"/>
                <w:lang w:val="en-US" w:eastAsia="zh-CN"/>
              </w:rPr>
            </w:pPr>
            <w:r>
              <w:rPr>
                <w:rFonts w:hint="eastAsia" w:ascii="Times New Roman" w:hAnsi="Times New Roman" w:eastAsia="宋体" w:cs="Times New Roman"/>
                <w:color w:val="auto"/>
                <w:kern w:val="0"/>
                <w:sz w:val="21"/>
                <w:szCs w:val="20"/>
                <w:lang w:val="en-US" w:eastAsia="zh-CN" w:bidi="ar-SA"/>
              </w:rPr>
              <w:t>①污水管存在渗漏、异物穿入、脱节、起伏、变形、破裂等结构性缺陷</w:t>
            </w:r>
            <w:r>
              <w:rPr>
                <w:rFonts w:hint="eastAsia" w:cs="Times New Roman"/>
                <w:color w:val="auto"/>
                <w:kern w:val="0"/>
                <w:sz w:val="21"/>
                <w:szCs w:val="20"/>
                <w:lang w:val="en-US" w:eastAsia="zh-CN" w:bidi="ar-SA"/>
              </w:rPr>
              <w:t>。</w:t>
            </w:r>
          </w:p>
        </w:tc>
        <w:tc>
          <w:tcPr>
            <w:tcW w:w="1413" w:type="pct"/>
            <w:vAlign w:val="center"/>
          </w:tcPr>
          <w:p>
            <w:pPr>
              <w:pStyle w:val="54"/>
              <w:widowControl w:val="0"/>
              <w:bidi w:val="0"/>
              <w:jc w:val="center"/>
              <w:rPr>
                <w:kern w:val="0"/>
              </w:rPr>
            </w:pPr>
            <w:r>
              <w:rPr>
                <w:kern w:val="0"/>
              </w:rPr>
              <w:drawing>
                <wp:inline distT="0" distB="0" distL="114300" distR="114300">
                  <wp:extent cx="1539875" cy="935990"/>
                  <wp:effectExtent l="0" t="0" r="3175" b="16510"/>
                  <wp:docPr id="1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2"/>
                          <pic:cNvPicPr>
                            <a:picLocks noChangeAspect="1"/>
                          </pic:cNvPicPr>
                        </pic:nvPicPr>
                        <pic:blipFill>
                          <a:blip r:embed="rId31"/>
                          <a:stretch>
                            <a:fillRect/>
                          </a:stretch>
                        </pic:blipFill>
                        <pic:spPr>
                          <a:xfrm>
                            <a:off x="0" y="0"/>
                            <a:ext cx="1539875" cy="935990"/>
                          </a:xfrm>
                          <a:prstGeom prst="rect">
                            <a:avLst/>
                          </a:prstGeom>
                          <a:noFill/>
                          <a:ln>
                            <a:noFill/>
                          </a:ln>
                        </pic:spPr>
                      </pic:pic>
                    </a:graphicData>
                  </a:graphic>
                </wp:inline>
              </w:drawing>
            </w:r>
          </w:p>
          <w:p>
            <w:pPr>
              <w:pStyle w:val="54"/>
              <w:widowControl w:val="0"/>
              <w:bidi w:val="0"/>
              <w:jc w:val="center"/>
              <w:rPr>
                <w:kern w:val="0"/>
              </w:rPr>
            </w:pPr>
            <w:r>
              <w:rPr>
                <w:kern w:val="0"/>
              </w:rPr>
              <w:drawing>
                <wp:inline distT="0" distB="0" distL="114300" distR="114300">
                  <wp:extent cx="1531620" cy="868680"/>
                  <wp:effectExtent l="0" t="0" r="11430" b="7620"/>
                  <wp:docPr id="3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3"/>
                          <pic:cNvPicPr>
                            <a:picLocks noChangeAspect="1"/>
                          </pic:cNvPicPr>
                        </pic:nvPicPr>
                        <pic:blipFill>
                          <a:blip r:embed="rId32"/>
                          <a:stretch>
                            <a:fillRect/>
                          </a:stretch>
                        </pic:blipFill>
                        <pic:spPr>
                          <a:xfrm>
                            <a:off x="0" y="0"/>
                            <a:ext cx="1531620" cy="868680"/>
                          </a:xfrm>
                          <a:prstGeom prst="rect">
                            <a:avLst/>
                          </a:prstGeom>
                          <a:noFill/>
                          <a:ln>
                            <a:noFill/>
                          </a:ln>
                        </pic:spPr>
                      </pic:pic>
                    </a:graphicData>
                  </a:graphic>
                </wp:inline>
              </w:drawing>
            </w:r>
          </w:p>
        </w:tc>
        <w:tc>
          <w:tcPr>
            <w:tcW w:w="922" w:type="pct"/>
            <w:vAlign w:val="center"/>
          </w:tcPr>
          <w:p>
            <w:pPr>
              <w:pStyle w:val="54"/>
              <w:widowControl w:val="0"/>
              <w:bidi w:val="0"/>
              <w:jc w:val="center"/>
              <w:rPr>
                <w:rFonts w:hint="eastAsia"/>
                <w:kern w:val="0"/>
                <w:highlight w:val="red"/>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5" w:hRule="atLeast"/>
          <w:jc w:val="center"/>
        </w:trPr>
        <w:tc>
          <w:tcPr>
            <w:tcW w:w="228" w:type="pct"/>
            <w:vAlign w:val="center"/>
          </w:tcPr>
          <w:p>
            <w:pPr>
              <w:pStyle w:val="54"/>
              <w:widowControl w:val="0"/>
              <w:bidi w:val="0"/>
              <w:jc w:val="center"/>
              <w:rPr>
                <w:rFonts w:hint="default"/>
                <w:kern w:val="0"/>
                <w:lang w:val="en-US" w:eastAsia="zh-CN"/>
              </w:rPr>
            </w:pPr>
            <w:r>
              <w:rPr>
                <w:rFonts w:hint="eastAsia"/>
                <w:kern w:val="0"/>
                <w:lang w:val="en-US" w:eastAsia="zh-CN"/>
              </w:rPr>
              <w:t>二塱东街</w:t>
            </w:r>
          </w:p>
        </w:tc>
        <w:tc>
          <w:tcPr>
            <w:tcW w:w="961" w:type="pct"/>
            <w:vAlign w:val="center"/>
          </w:tcPr>
          <w:p>
            <w:pPr>
              <w:pStyle w:val="54"/>
              <w:widowControl w:val="0"/>
              <w:bidi w:val="0"/>
              <w:jc w:val="center"/>
              <w:rPr>
                <w:rFonts w:hint="eastAsia"/>
                <w:kern w:val="0"/>
                <w:lang w:val="en-US" w:eastAsia="zh-CN"/>
              </w:rPr>
            </w:pPr>
            <w:r>
              <w:rPr>
                <w:rFonts w:hint="eastAsia"/>
                <w:kern w:val="0"/>
                <w:lang w:val="en-US" w:eastAsia="zh-CN"/>
              </w:rPr>
              <w:t>LK0+000~LK0+036</w:t>
            </w:r>
          </w:p>
        </w:tc>
        <w:tc>
          <w:tcPr>
            <w:tcW w:w="1473" w:type="pct"/>
            <w:vAlign w:val="center"/>
          </w:tcPr>
          <w:p>
            <w:pPr>
              <w:pStyle w:val="54"/>
              <w:widowControl w:val="0"/>
              <w:bidi w:val="0"/>
              <w:jc w:val="center"/>
              <w:rPr>
                <w:rFonts w:hint="eastAsia"/>
                <w:kern w:val="0"/>
                <w:lang w:val="en-US" w:eastAsia="zh-CN"/>
              </w:rPr>
            </w:pPr>
            <w:r>
              <w:rPr>
                <w:rFonts w:hint="eastAsia"/>
                <w:kern w:val="0"/>
                <w:lang w:val="en-US" w:eastAsia="zh-CN"/>
              </w:rPr>
              <w:t>①堤顶道路开裂，开裂宽度约5cm，长度约36m。</w:t>
            </w:r>
          </w:p>
        </w:tc>
        <w:tc>
          <w:tcPr>
            <w:tcW w:w="1413" w:type="pct"/>
            <w:vAlign w:val="center"/>
          </w:tcPr>
          <w:p>
            <w:pPr>
              <w:pStyle w:val="54"/>
              <w:widowControl w:val="0"/>
              <w:bidi w:val="0"/>
              <w:jc w:val="center"/>
              <w:rPr>
                <w:rFonts w:hint="eastAsia"/>
                <w:kern w:val="0"/>
                <w:lang w:val="en-US" w:eastAsia="zh-CN"/>
              </w:rPr>
            </w:pPr>
            <w:r>
              <w:rPr>
                <w:kern w:val="0"/>
              </w:rPr>
              <w:drawing>
                <wp:inline distT="0" distB="0" distL="114300" distR="114300">
                  <wp:extent cx="1471295" cy="1214120"/>
                  <wp:effectExtent l="0" t="0" r="14605" b="5080"/>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33"/>
                          <a:srcRect l="15842" r="33459"/>
                          <a:stretch>
                            <a:fillRect/>
                          </a:stretch>
                        </pic:blipFill>
                        <pic:spPr>
                          <a:xfrm>
                            <a:off x="0" y="0"/>
                            <a:ext cx="1471295" cy="1214120"/>
                          </a:xfrm>
                          <a:prstGeom prst="rect">
                            <a:avLst/>
                          </a:prstGeom>
                        </pic:spPr>
                      </pic:pic>
                    </a:graphicData>
                  </a:graphic>
                </wp:inline>
              </w:drawing>
            </w:r>
          </w:p>
        </w:tc>
        <w:tc>
          <w:tcPr>
            <w:tcW w:w="922" w:type="pct"/>
            <w:vAlign w:val="center"/>
          </w:tcPr>
          <w:p>
            <w:pPr>
              <w:pStyle w:val="54"/>
              <w:widowControl w:val="0"/>
              <w:bidi w:val="0"/>
              <w:jc w:val="center"/>
              <w:rPr>
                <w:rFonts w:hint="eastAsia"/>
                <w:kern w:val="0"/>
                <w:lang w:val="en-US" w:eastAsia="zh-CN"/>
              </w:rPr>
            </w:pPr>
            <w:r>
              <w:rPr>
                <w:rFonts w:hint="eastAsia"/>
                <w:kern w:val="0"/>
                <w:lang w:val="en-US" w:eastAsia="zh-CN"/>
              </w:rPr>
              <w:t>水土流失导致堤身不均匀沉降，从而导致路面开裂</w:t>
            </w:r>
          </w:p>
          <w:p>
            <w:pPr>
              <w:pStyle w:val="54"/>
              <w:widowControl w:val="0"/>
              <w:bidi w:val="0"/>
              <w:jc w:val="center"/>
              <w:rPr>
                <w:rFonts w:hint="eastAsia"/>
                <w:kern w:val="0"/>
                <w:lang w:val="en-US" w:eastAsia="zh-CN"/>
              </w:rPr>
            </w:pPr>
          </w:p>
        </w:tc>
      </w:tr>
    </w:tbl>
    <w:p>
      <w:pPr>
        <w:pStyle w:val="4"/>
        <w:bidi w:val="0"/>
        <w:ind w:left="575" w:leftChars="0" w:hanging="575" w:firstLineChars="0"/>
        <w:rPr>
          <w:rFonts w:hint="eastAsia"/>
          <w:lang w:val="en-US" w:eastAsia="zh-CN"/>
        </w:rPr>
      </w:pPr>
      <w:bookmarkStart w:id="171" w:name="_Toc27018"/>
      <w:r>
        <w:rPr>
          <w:rFonts w:hint="eastAsia"/>
          <w:lang w:val="en-US" w:eastAsia="zh-CN"/>
        </w:rPr>
        <w:t>工程建设必要性</w:t>
      </w:r>
      <w:bookmarkEnd w:id="171"/>
    </w:p>
    <w:p>
      <w:pPr>
        <w:keepNext w:val="0"/>
        <w:keepLines w:val="0"/>
        <w:pageBreakBefore w:val="0"/>
        <w:widowControl/>
        <w:numPr>
          <w:ilvl w:val="0"/>
          <w:numId w:val="0"/>
        </w:numPr>
        <w:kinsoku/>
        <w:wordWrap/>
        <w:overflowPunct/>
        <w:topLinePunct w:val="0"/>
        <w:autoSpaceDE/>
        <w:autoSpaceDN/>
        <w:bidi w:val="0"/>
        <w:adjustRightInd/>
        <w:snapToGrid/>
        <w:ind w:left="0" w:leftChars="0" w:firstLine="480" w:firstLineChars="200"/>
        <w:textAlignment w:val="auto"/>
        <w:rPr>
          <w:rFonts w:hint="eastAsia"/>
          <w:lang w:val="en-US" w:eastAsia="zh-CN"/>
        </w:rPr>
      </w:pPr>
      <w:bookmarkStart w:id="172" w:name="_Toc9071"/>
      <w:bookmarkStart w:id="173" w:name="_Toc24939"/>
      <w:bookmarkStart w:id="174" w:name="_Toc25478"/>
      <w:bookmarkStart w:id="175" w:name="_Toc14477"/>
      <w:r>
        <w:rPr>
          <w:rFonts w:hint="eastAsia"/>
          <w:lang w:val="en-US" w:eastAsia="zh-CN"/>
        </w:rPr>
        <w:t>工程建设是保证大蕴涌排涝通道水安全，保护河涌两岸沿线居民生命财产的安全的需要。大蕴涌河堤路面发生沉降开裂，长度约为196m；局部挡墙发生位移变形，长度约为29m，堤身污水管破损，存在较大的安全隐患，对河堤岸顶的房屋可能存在影响，影响村民安全出入。因此，桥南街大蕴涌排涝通道改造工程的建设是十分必要和迫切的。</w:t>
      </w:r>
    </w:p>
    <w:p>
      <w:pPr>
        <w:pStyle w:val="4"/>
        <w:bidi w:val="0"/>
        <w:ind w:left="575" w:leftChars="0" w:hanging="575" w:firstLineChars="0"/>
        <w:rPr>
          <w:rFonts w:hint="default"/>
          <w:lang w:val="en-US" w:eastAsia="zh-CN"/>
        </w:rPr>
      </w:pPr>
      <w:bookmarkStart w:id="176" w:name="_Toc10744"/>
      <w:r>
        <w:rPr>
          <w:rFonts w:hint="default"/>
          <w:lang w:val="en-US" w:eastAsia="zh-CN"/>
        </w:rPr>
        <w:t>工程任务</w:t>
      </w:r>
      <w:bookmarkEnd w:id="172"/>
      <w:bookmarkEnd w:id="173"/>
      <w:bookmarkEnd w:id="174"/>
      <w:bookmarkEnd w:id="175"/>
      <w:r>
        <w:rPr>
          <w:rFonts w:hint="eastAsia"/>
          <w:lang w:val="en-US" w:eastAsia="zh-CN"/>
        </w:rPr>
        <w:t>和规模</w:t>
      </w:r>
      <w:bookmarkEnd w:id="176"/>
    </w:p>
    <w:p>
      <w:pPr>
        <w:pStyle w:val="5"/>
        <w:bidi w:val="0"/>
        <w:ind w:left="720" w:leftChars="0" w:hanging="720" w:firstLineChars="0"/>
        <w:rPr>
          <w:rFonts w:hint="default" w:ascii="Times New Roman" w:cs="Times New Roman"/>
          <w:lang w:val="en-US" w:eastAsia="zh-CN"/>
        </w:rPr>
      </w:pPr>
      <w:bookmarkStart w:id="177" w:name="_Toc31709"/>
      <w:r>
        <w:rPr>
          <w:rFonts w:hint="eastAsia" w:ascii="Times New Roman" w:cs="Times New Roman"/>
          <w:lang w:val="en-US" w:eastAsia="zh-CN"/>
        </w:rPr>
        <w:t>工程任务</w:t>
      </w:r>
      <w:bookmarkEnd w:id="177"/>
    </w:p>
    <w:p>
      <w:pPr>
        <w:rPr>
          <w:rFonts w:hint="default"/>
          <w:lang w:val="en-US" w:eastAsia="zh-CN"/>
        </w:rPr>
      </w:pPr>
      <w:r>
        <w:rPr>
          <w:rFonts w:hint="eastAsia"/>
          <w:lang w:val="en-US" w:eastAsia="zh-CN"/>
        </w:rPr>
        <w:t>消除大蕴涌沿线防洪排涝隐患，保障大蕴涌行洪排涝通畅及居民生命财产安全。</w:t>
      </w:r>
    </w:p>
    <w:p>
      <w:pPr>
        <w:pStyle w:val="5"/>
        <w:bidi w:val="0"/>
        <w:ind w:left="720" w:leftChars="0" w:hanging="720" w:firstLineChars="0"/>
        <w:rPr>
          <w:rFonts w:hint="eastAsia" w:ascii="Times New Roman" w:cs="Times New Roman"/>
          <w:lang w:val="en-US" w:eastAsia="zh-CN"/>
        </w:rPr>
      </w:pPr>
      <w:bookmarkStart w:id="178" w:name="_Toc31953"/>
      <w:r>
        <w:rPr>
          <w:rFonts w:hint="eastAsia" w:cs="Times New Roman"/>
          <w:lang w:val="en-US" w:eastAsia="zh-CN"/>
        </w:rPr>
        <w:t>工程规模</w:t>
      </w:r>
      <w:bookmarkEnd w:id="178"/>
    </w:p>
    <w:p>
      <w:pPr>
        <w:rPr>
          <w:rFonts w:hint="default"/>
          <w:lang w:val="en-US" w:eastAsia="zh-CN"/>
        </w:rPr>
      </w:pPr>
      <w:r>
        <w:rPr>
          <w:rFonts w:hint="eastAsia"/>
          <w:highlight w:val="none"/>
          <w:lang w:val="en-US" w:eastAsia="zh-CN"/>
        </w:rPr>
        <w:t>桥南街大蕴涌排涝通道改造工程</w:t>
      </w:r>
      <w:r>
        <w:rPr>
          <w:rFonts w:hint="eastAsia" w:ascii="Times New Roman" w:hAnsi="Times New Roman" w:cs="Times New Roman" w:eastAsiaTheme="minorEastAsia"/>
          <w:bCs/>
          <w:sz w:val="24"/>
          <w:szCs w:val="24"/>
          <w:lang w:val="en-US" w:eastAsia="zh-CN" w:bidi="ar-SA"/>
        </w:rPr>
        <w:t>分二塱西街侧及二塱东街侧，其中二塱西街侧改造范围位于二塱水闸上游约1</w:t>
      </w:r>
      <w:r>
        <w:rPr>
          <w:rFonts w:hint="eastAsia" w:cs="Times New Roman" w:eastAsiaTheme="minorEastAsia"/>
          <w:bCs/>
          <w:sz w:val="24"/>
          <w:szCs w:val="24"/>
          <w:lang w:val="en-US" w:eastAsia="zh-CN" w:bidi="ar-SA"/>
        </w:rPr>
        <w:t>6</w:t>
      </w:r>
      <w:r>
        <w:rPr>
          <w:rFonts w:hint="eastAsia" w:ascii="Times New Roman" w:hAnsi="Times New Roman" w:cs="Times New Roman" w:eastAsiaTheme="minorEastAsia"/>
          <w:bCs/>
          <w:sz w:val="24"/>
          <w:szCs w:val="24"/>
          <w:lang w:val="en-US" w:eastAsia="zh-CN" w:bidi="ar-SA"/>
        </w:rPr>
        <w:t>0~320m处，改造总长度为1</w:t>
      </w:r>
      <w:r>
        <w:rPr>
          <w:rFonts w:hint="eastAsia" w:cs="Times New Roman" w:eastAsiaTheme="minorEastAsia"/>
          <w:bCs/>
          <w:sz w:val="24"/>
          <w:szCs w:val="24"/>
          <w:lang w:val="en-US" w:eastAsia="zh-CN" w:bidi="ar-SA"/>
        </w:rPr>
        <w:t>6</w:t>
      </w:r>
      <w:r>
        <w:rPr>
          <w:rFonts w:hint="eastAsia" w:ascii="Times New Roman" w:hAnsi="Times New Roman" w:cs="Times New Roman" w:eastAsiaTheme="minorEastAsia"/>
          <w:bCs/>
          <w:sz w:val="24"/>
          <w:szCs w:val="24"/>
          <w:lang w:val="en-US" w:eastAsia="zh-CN" w:bidi="ar-SA"/>
        </w:rPr>
        <w:t>0m；二塱东街侧改造范围位于福愉东路以南约50~8</w:t>
      </w:r>
      <w:r>
        <w:rPr>
          <w:rFonts w:hint="eastAsia" w:cs="Times New Roman" w:eastAsiaTheme="minorEastAsia"/>
          <w:bCs/>
          <w:sz w:val="24"/>
          <w:szCs w:val="24"/>
          <w:lang w:val="en-US" w:eastAsia="zh-CN" w:bidi="ar-SA"/>
        </w:rPr>
        <w:t>6</w:t>
      </w:r>
      <w:r>
        <w:rPr>
          <w:rFonts w:hint="eastAsia" w:ascii="Times New Roman" w:hAnsi="Times New Roman" w:cs="Times New Roman" w:eastAsiaTheme="minorEastAsia"/>
          <w:bCs/>
          <w:sz w:val="24"/>
          <w:szCs w:val="24"/>
          <w:lang w:val="en-US" w:eastAsia="zh-CN" w:bidi="ar-SA"/>
        </w:rPr>
        <w:t>m处，改造总长度为3</w:t>
      </w:r>
      <w:r>
        <w:rPr>
          <w:rFonts w:hint="eastAsia" w:cs="Times New Roman" w:eastAsiaTheme="minorEastAsia"/>
          <w:bCs/>
          <w:sz w:val="24"/>
          <w:szCs w:val="24"/>
          <w:lang w:val="en-US" w:eastAsia="zh-CN" w:bidi="ar-SA"/>
        </w:rPr>
        <w:t>6</w:t>
      </w:r>
      <w:r>
        <w:rPr>
          <w:rFonts w:hint="eastAsia" w:ascii="Times New Roman" w:hAnsi="Times New Roman" w:cs="Times New Roman" w:eastAsiaTheme="minorEastAsia"/>
          <w:bCs/>
          <w:sz w:val="24"/>
          <w:szCs w:val="24"/>
          <w:lang w:val="en-US" w:eastAsia="zh-CN" w:bidi="ar-SA"/>
        </w:rPr>
        <w:t>m。</w:t>
      </w:r>
      <w:r>
        <w:rPr>
          <w:rFonts w:hint="eastAsia" w:cs="Times New Roman" w:eastAsiaTheme="minorEastAsia"/>
          <w:bCs/>
          <w:sz w:val="24"/>
          <w:szCs w:val="24"/>
          <w:lang w:val="en-US" w:eastAsia="zh-CN" w:bidi="ar-SA"/>
        </w:rPr>
        <w:t>其中：</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default" w:ascii="Times New Roman" w:hAnsi="Times New Roman" w:eastAsia="宋体"/>
          <w:lang w:val="en-US" w:eastAsia="zh-CN"/>
        </w:rPr>
      </w:pPr>
      <w:bookmarkStart w:id="179" w:name="_Toc31794"/>
      <w:bookmarkStart w:id="180" w:name="_Toc26442"/>
      <w:r>
        <w:rPr>
          <w:rFonts w:hint="default" w:ascii="Times New Roman" w:hAnsi="Times New Roman" w:eastAsia="宋体"/>
          <w:lang w:val="en-US" w:eastAsia="zh-CN"/>
        </w:rPr>
        <w:t>二塱东街：</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default" w:ascii="Times New Roman" w:hAnsi="Times New Roman" w:eastAsia="宋体"/>
          <w:lang w:val="en-US" w:eastAsia="zh-CN"/>
        </w:rPr>
      </w:pPr>
      <w:r>
        <w:rPr>
          <w:rFonts w:hint="default" w:ascii="Times New Roman" w:hAnsi="Times New Roman" w:eastAsia="宋体"/>
          <w:lang w:val="en-US" w:eastAsia="zh-CN"/>
        </w:rPr>
        <w:t xml:space="preserve"> （1）堤身灌浆</w:t>
      </w:r>
      <w:r>
        <w:rPr>
          <w:rFonts w:hint="eastAsia" w:ascii="Times New Roman" w:hAnsi="Times New Roman" w:eastAsia="宋体"/>
          <w:lang w:val="en-US" w:eastAsia="zh-CN"/>
        </w:rPr>
        <w:t>、</w:t>
      </w:r>
      <w:r>
        <w:rPr>
          <w:rFonts w:hint="default" w:ascii="Times New Roman" w:hAnsi="Times New Roman" w:eastAsia="宋体"/>
          <w:lang w:val="en-US" w:eastAsia="zh-CN"/>
        </w:rPr>
        <w:t>重建堤顶路基及路面长度为3</w:t>
      </w:r>
      <w:r>
        <w:rPr>
          <w:rFonts w:hint="eastAsia"/>
          <w:lang w:val="en-US" w:eastAsia="zh-CN"/>
        </w:rPr>
        <w:t>6</w:t>
      </w:r>
      <w:r>
        <w:rPr>
          <w:rFonts w:hint="default" w:ascii="Times New Roman" w:hAnsi="Times New Roman" w:eastAsia="宋体"/>
          <w:lang w:val="en-US" w:eastAsia="zh-CN"/>
        </w:rPr>
        <w:t>m；</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default" w:ascii="Times New Roman" w:hAnsi="Times New Roman" w:eastAsia="宋体"/>
          <w:lang w:val="en-US" w:eastAsia="zh-CN"/>
        </w:rPr>
      </w:pPr>
      <w:r>
        <w:rPr>
          <w:rFonts w:hint="default" w:ascii="Times New Roman" w:hAnsi="Times New Roman" w:eastAsia="宋体"/>
          <w:lang w:val="en-US" w:eastAsia="zh-CN"/>
        </w:rPr>
        <w:t>二塱西街：</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default" w:ascii="Times New Roman" w:hAnsi="Times New Roman" w:eastAsia="宋体"/>
          <w:lang w:val="en-US" w:eastAsia="zh-CN"/>
        </w:rPr>
      </w:pPr>
      <w:r>
        <w:rPr>
          <w:rFonts w:hint="default" w:ascii="Times New Roman" w:hAnsi="Times New Roman" w:eastAsia="宋体"/>
          <w:lang w:val="en-US" w:eastAsia="zh-CN"/>
        </w:rPr>
        <w:t>（1）重建外侧钢筋砼挡墙，修复墙顶石材栏杆长度约29m；</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default" w:ascii="Times New Roman" w:hAnsi="Times New Roman" w:eastAsia="宋体"/>
          <w:lang w:val="en-US" w:eastAsia="zh-CN"/>
        </w:rPr>
      </w:pPr>
      <w:r>
        <w:rPr>
          <w:rFonts w:hint="default" w:ascii="Times New Roman" w:hAnsi="Times New Roman" w:eastAsia="宋体"/>
          <w:lang w:val="en-US" w:eastAsia="zh-CN"/>
        </w:rPr>
        <w:t>（2）堤身灌浆</w:t>
      </w:r>
      <w:r>
        <w:rPr>
          <w:rFonts w:hint="eastAsia" w:ascii="Times New Roman" w:hAnsi="Times New Roman" w:eastAsia="宋体"/>
          <w:lang w:val="en-US" w:eastAsia="zh-CN"/>
        </w:rPr>
        <w:t>、</w:t>
      </w:r>
      <w:r>
        <w:rPr>
          <w:rFonts w:hint="default" w:ascii="Times New Roman" w:hAnsi="Times New Roman" w:eastAsia="宋体"/>
          <w:lang w:val="en-US" w:eastAsia="zh-CN"/>
        </w:rPr>
        <w:t>重建堤顶路基及路面，长度为1</w:t>
      </w:r>
      <w:r>
        <w:rPr>
          <w:rFonts w:hint="eastAsia"/>
          <w:lang w:val="en-US" w:eastAsia="zh-CN"/>
        </w:rPr>
        <w:t>6</w:t>
      </w:r>
      <w:r>
        <w:rPr>
          <w:rFonts w:hint="default" w:ascii="Times New Roman" w:hAnsi="Times New Roman" w:eastAsia="宋体"/>
          <w:lang w:val="en-US" w:eastAsia="zh-CN"/>
        </w:rPr>
        <w:t>0m；</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default" w:ascii="Times New Roman" w:hAnsi="Times New Roman" w:eastAsia="宋体"/>
          <w:lang w:val="en-US" w:eastAsia="zh-CN"/>
        </w:rPr>
      </w:pPr>
      <w:r>
        <w:rPr>
          <w:rFonts w:hint="default" w:ascii="Times New Roman" w:hAnsi="Times New Roman" w:eastAsia="宋体"/>
          <w:lang w:val="en-US" w:eastAsia="zh-CN"/>
        </w:rPr>
        <w:t>（3）修复路侧绿化灌木带，长度为48m；</w:t>
      </w:r>
    </w:p>
    <w:p>
      <w:pPr>
        <w:keepNext w:val="0"/>
        <w:keepLines w:val="0"/>
        <w:pageBreakBefore w:val="0"/>
        <w:widowControl/>
        <w:numPr>
          <w:ilvl w:val="0"/>
          <w:numId w:val="0"/>
        </w:numPr>
        <w:kinsoku/>
        <w:wordWrap/>
        <w:overflowPunct/>
        <w:topLinePunct w:val="0"/>
        <w:autoSpaceDE/>
        <w:autoSpaceDN/>
        <w:bidi w:val="0"/>
        <w:adjustRightInd/>
        <w:snapToGrid/>
        <w:ind w:leftChars="200"/>
        <w:textAlignment w:val="auto"/>
        <w:rPr>
          <w:rFonts w:hint="default" w:ascii="Times New Roman" w:hAnsi="Times New Roman" w:eastAsia="宋体"/>
          <w:highlight w:val="none"/>
          <w:lang w:val="en-US" w:eastAsia="zh-CN"/>
        </w:rPr>
      </w:pPr>
      <w:r>
        <w:rPr>
          <w:rFonts w:hint="default" w:ascii="Times New Roman" w:hAnsi="Times New Roman" w:eastAsia="宋体"/>
          <w:highlight w:val="none"/>
          <w:lang w:val="en-US" w:eastAsia="zh-CN"/>
        </w:rPr>
        <w:t>（4）重建堤顶沿线污水管，长度为4</w:t>
      </w:r>
      <w:r>
        <w:rPr>
          <w:rFonts w:hint="eastAsia"/>
          <w:highlight w:val="none"/>
          <w:lang w:val="en-US" w:eastAsia="zh-CN"/>
        </w:rPr>
        <w:t>3</w:t>
      </w:r>
      <w:r>
        <w:rPr>
          <w:rFonts w:hint="default" w:ascii="Times New Roman" w:hAnsi="Times New Roman" w:eastAsia="宋体"/>
          <w:highlight w:val="none"/>
          <w:lang w:val="en-US" w:eastAsia="zh-CN"/>
        </w:rPr>
        <w:t>m。</w:t>
      </w:r>
    </w:p>
    <w:p>
      <w:pPr>
        <w:pStyle w:val="5"/>
        <w:bidi w:val="0"/>
        <w:ind w:left="720" w:leftChars="0" w:hanging="720" w:firstLineChars="0"/>
        <w:rPr>
          <w:rFonts w:hint="default" w:ascii="Times New Roman" w:cs="Times New Roman"/>
          <w:lang w:val="en-US" w:eastAsia="zh-CN"/>
        </w:rPr>
      </w:pPr>
      <w:bookmarkStart w:id="181" w:name="_Toc17783"/>
      <w:r>
        <w:rPr>
          <w:rFonts w:hint="eastAsia" w:cs="Times New Roman"/>
          <w:lang w:val="en-US" w:eastAsia="zh-CN"/>
        </w:rPr>
        <w:t>设计标准</w:t>
      </w:r>
      <w:bookmarkEnd w:id="181"/>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cs="Times New Roman" w:eastAsiaTheme="minorEastAsia"/>
          <w:sz w:val="24"/>
          <w:szCs w:val="24"/>
          <w:highlight w:val="cyan"/>
          <w:lang w:val="en-US" w:eastAsia="zh-CN"/>
        </w:rPr>
      </w:pPr>
      <w:r>
        <w:rPr>
          <w:color w:val="000000" w:themeColor="text1"/>
          <w:sz w:val="24"/>
          <w:szCs w:val="24"/>
          <w:highlight w:val="none"/>
          <w14:textFill>
            <w14:solidFill>
              <w14:schemeClr w14:val="tx1"/>
            </w14:solidFill>
          </w14:textFill>
        </w:rPr>
        <w:t>根据《防洪标准》（GB50201-2014）、《广东省防洪（潮）标准和治涝》（粤水电总字[1995]4号文）并参照《广州市番禺区防洪（潮）排涝规划》的要求，</w:t>
      </w:r>
      <w:r>
        <w:rPr>
          <w:rFonts w:hint="eastAsia"/>
          <w:color w:val="000000" w:themeColor="text1"/>
          <w:sz w:val="24"/>
          <w:szCs w:val="24"/>
          <w:highlight w:val="none"/>
          <w:lang w:eastAsia="zh-CN"/>
          <w14:textFill>
            <w14:solidFill>
              <w14:schemeClr w14:val="tx1"/>
            </w14:solidFill>
          </w14:textFill>
        </w:rPr>
        <w:t>确定本工程</w:t>
      </w:r>
      <w:r>
        <w:rPr>
          <w:color w:val="000000" w:themeColor="text1"/>
          <w:sz w:val="24"/>
          <w:szCs w:val="24"/>
          <w:highlight w:val="none"/>
          <w14:textFill>
            <w14:solidFill>
              <w14:schemeClr w14:val="tx1"/>
            </w14:solidFill>
          </w14:textFill>
        </w:rPr>
        <w:t>排涝标准</w:t>
      </w:r>
      <w:r>
        <w:rPr>
          <w:rFonts w:hint="eastAsia"/>
          <w:color w:val="000000" w:themeColor="text1"/>
          <w:sz w:val="24"/>
          <w:szCs w:val="24"/>
          <w:highlight w:val="none"/>
          <w:lang w:eastAsia="zh-CN"/>
          <w14:textFill>
            <w14:solidFill>
              <w14:schemeClr w14:val="tx1"/>
            </w14:solidFill>
          </w14:textFill>
        </w:rPr>
        <w:t>为</w:t>
      </w:r>
      <w:r>
        <w:rPr>
          <w:color w:val="000000" w:themeColor="text1"/>
          <w:sz w:val="24"/>
          <w:szCs w:val="24"/>
          <w:highlight w:val="none"/>
          <w14:textFill>
            <w14:solidFill>
              <w14:schemeClr w14:val="tx1"/>
            </w14:solidFill>
          </w14:textFill>
        </w:rPr>
        <w:t>20年一遇24小时暴雨不成灾</w:t>
      </w:r>
      <w:r>
        <w:rPr>
          <w:rFonts w:hint="eastAsia"/>
          <w:color w:val="000000" w:themeColor="text1"/>
          <w:sz w:val="24"/>
          <w:szCs w:val="24"/>
          <w:highlight w:val="none"/>
          <w:lang w:eastAsia="zh-CN"/>
          <w14:textFill>
            <w14:solidFill>
              <w14:schemeClr w14:val="tx1"/>
            </w14:solidFill>
          </w14:textFill>
        </w:rPr>
        <w:t>。</w:t>
      </w:r>
      <w:r>
        <w:rPr>
          <w:rFonts w:hint="eastAsia" w:cs="Times New Roman" w:eastAsiaTheme="minorEastAsia"/>
          <w:color w:val="auto"/>
          <w:sz w:val="24"/>
          <w:szCs w:val="24"/>
          <w:highlight w:val="none"/>
          <w:lang w:val="en-US" w:eastAsia="zh-CN"/>
        </w:rPr>
        <w:t>根据《水利水电工程等级划分洪水标准（SL252-2017）》及</w:t>
      </w:r>
      <w:r>
        <w:rPr>
          <w:rFonts w:hint="default" w:ascii="Times New Roman" w:hAnsi="Times New Roman" w:cs="Times New Roman" w:eastAsiaTheme="minorEastAsia"/>
          <w:sz w:val="24"/>
          <w:szCs w:val="24"/>
          <w:highlight w:val="none"/>
          <w:lang w:val="en-US" w:eastAsia="zh-CN"/>
        </w:rPr>
        <w:t>《堤防工程设计规范》（GB50286-2013）</w:t>
      </w:r>
      <w:r>
        <w:rPr>
          <w:rFonts w:hint="eastAsia" w:cs="Times New Roman" w:eastAsiaTheme="minorEastAsia"/>
          <w:sz w:val="24"/>
          <w:szCs w:val="24"/>
          <w:highlight w:val="none"/>
          <w:lang w:val="en-US" w:eastAsia="zh-CN"/>
        </w:rPr>
        <w:t>，本</w:t>
      </w:r>
      <w:r>
        <w:rPr>
          <w:rFonts w:hint="default" w:ascii="Times New Roman" w:hAnsi="Times New Roman" w:cs="Times New Roman" w:eastAsiaTheme="minorEastAsia"/>
          <w:sz w:val="24"/>
          <w:szCs w:val="24"/>
          <w:highlight w:val="none"/>
          <w:lang w:val="en-US" w:eastAsia="zh-CN"/>
        </w:rPr>
        <w:t>工程等级为Ⅳ等，主要建筑物级别为4级，次要建筑物级别为5级，临时建筑物级别为5级</w:t>
      </w:r>
      <w:r>
        <w:rPr>
          <w:rFonts w:hint="eastAsia" w:cs="Times New Roman" w:eastAsiaTheme="minorEastAsia"/>
          <w:sz w:val="24"/>
          <w:szCs w:val="24"/>
          <w:highlight w:val="none"/>
          <w:lang w:val="en-US" w:eastAsia="zh-CN"/>
        </w:rPr>
        <w:t>。</w:t>
      </w:r>
    </w:p>
    <w:p>
      <w:pPr>
        <w:pStyle w:val="4"/>
        <w:bidi w:val="0"/>
        <w:ind w:left="575" w:leftChars="0" w:hanging="575" w:firstLineChars="0"/>
        <w:rPr>
          <w:rFonts w:hint="eastAsia" w:ascii="Times New Roman" w:hAnsi="Times New Roman" w:cs="Times New Roman"/>
          <w:lang w:val="en-US" w:eastAsia="zh-CN"/>
        </w:rPr>
      </w:pPr>
      <w:bookmarkStart w:id="182" w:name="_Toc15028"/>
      <w:r>
        <w:rPr>
          <w:rFonts w:hint="eastAsia" w:ascii="Times New Roman" w:hAnsi="Times New Roman" w:cs="Times New Roman"/>
          <w:lang w:val="en-US" w:eastAsia="zh-CN"/>
        </w:rPr>
        <w:t>河道水面线计算</w:t>
      </w:r>
      <w:bookmarkEnd w:id="182"/>
    </w:p>
    <w:p>
      <w:pPr>
        <w:keepNext w:val="0"/>
        <w:keepLines w:val="0"/>
        <w:pageBreakBefore w:val="0"/>
        <w:widowControl w:val="0"/>
        <w:numPr>
          <w:ilvl w:val="0"/>
          <w:numId w:val="0"/>
        </w:numPr>
        <w:tabs>
          <w:tab w:val="left" w:pos="424"/>
        </w:tabs>
        <w:kinsoku/>
        <w:wordWrap/>
        <w:overflowPunct/>
        <w:topLinePunct w:val="0"/>
        <w:autoSpaceDE/>
        <w:autoSpaceDN/>
        <w:bidi w:val="0"/>
        <w:adjustRightInd/>
        <w:snapToGrid/>
        <w:spacing w:line="360" w:lineRule="auto"/>
        <w:textAlignment w:val="auto"/>
        <w:rPr>
          <w:rFonts w:hint="eastAsia" w:eastAsia="宋体"/>
          <w:sz w:val="24"/>
          <w:szCs w:val="24"/>
          <w:lang w:val="en-US" w:eastAsia="zh-CN"/>
        </w:rPr>
      </w:pPr>
      <w:r>
        <w:rPr>
          <w:color w:val="000000" w:themeColor="text1"/>
          <w:sz w:val="24"/>
          <w:szCs w:val="24"/>
          <w:lang w:val="en-GB"/>
          <w14:textFill>
            <w14:solidFill>
              <w14:schemeClr w14:val="tx1"/>
            </w14:solidFill>
          </w14:textFill>
        </w:rPr>
        <w:t>（</w:t>
      </w:r>
      <w:r>
        <w:rPr>
          <w:rFonts w:hint="eastAsia"/>
          <w:color w:val="000000" w:themeColor="text1"/>
          <w:sz w:val="24"/>
          <w:szCs w:val="24"/>
          <w:lang w:val="en-US" w:eastAsia="zh-CN"/>
          <w14:textFill>
            <w14:solidFill>
              <w14:schemeClr w14:val="tx1"/>
            </w14:solidFill>
          </w14:textFill>
        </w:rPr>
        <w:t>1</w:t>
      </w:r>
      <w:r>
        <w:rPr>
          <w:color w:val="000000" w:themeColor="text1"/>
          <w:sz w:val="24"/>
          <w:szCs w:val="24"/>
          <w:lang w:val="en-GB"/>
          <w14:textFill>
            <w14:solidFill>
              <w14:schemeClr w14:val="tx1"/>
            </w14:solidFill>
          </w14:textFill>
        </w:rPr>
        <w:t>）水面线计算</w:t>
      </w:r>
      <w:r>
        <w:rPr>
          <w:rFonts w:hint="eastAsia"/>
          <w:color w:val="000000" w:themeColor="text1"/>
          <w:sz w:val="24"/>
          <w:szCs w:val="24"/>
          <w:lang w:val="en-US" w:eastAsia="zh-CN"/>
          <w14:textFill>
            <w14:solidFill>
              <w14:schemeClr w14:val="tx1"/>
            </w14:solidFill>
          </w14:textFill>
        </w:rPr>
        <w:t>原理</w:t>
      </w:r>
    </w:p>
    <w:p>
      <w:pPr>
        <w:keepNext w:val="0"/>
        <w:keepLines w:val="0"/>
        <w:pageBreakBefore w:val="0"/>
        <w:widowControl w:val="0"/>
        <w:numPr>
          <w:ilvl w:val="0"/>
          <w:numId w:val="0"/>
        </w:numPr>
        <w:tabs>
          <w:tab w:val="left" w:pos="424"/>
        </w:tabs>
        <w:kinsoku/>
        <w:wordWrap/>
        <w:overflowPunct/>
        <w:topLinePunct w:val="0"/>
        <w:autoSpaceDE/>
        <w:autoSpaceDN/>
        <w:bidi w:val="0"/>
        <w:adjustRightInd/>
        <w:snapToGrid/>
        <w:spacing w:line="360" w:lineRule="auto"/>
        <w:ind w:leftChars="0" w:firstLine="480" w:firstLineChars="200"/>
        <w:textAlignment w:val="auto"/>
        <w:rPr>
          <w:rFonts w:hint="eastAsia"/>
          <w:sz w:val="24"/>
          <w:szCs w:val="24"/>
        </w:rPr>
      </w:pPr>
      <w:r>
        <w:rPr>
          <w:rFonts w:hint="eastAsia"/>
          <w:sz w:val="24"/>
          <w:szCs w:val="24"/>
        </w:rPr>
        <w:t>设计水面线的计算采用《水力学》、《水力计算手册》中基于能量守恒定理对天然河涌建立的水面线计算公式</w:t>
      </w:r>
      <w:r>
        <w:rPr>
          <w:rFonts w:hint="eastAsia"/>
          <w:sz w:val="24"/>
          <w:szCs w:val="24"/>
          <w:lang w:eastAsia="zh-CN"/>
        </w:rPr>
        <w:t>，</w:t>
      </w:r>
      <w:r>
        <w:rPr>
          <w:rFonts w:hint="eastAsia"/>
          <w:sz w:val="24"/>
          <w:szCs w:val="24"/>
        </w:rPr>
        <w:t>为伯诺里方程，即</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sz w:val="24"/>
          <w:szCs w:val="24"/>
        </w:rPr>
      </w:pPr>
      <w:r>
        <w:rPr>
          <w:position w:val="-28"/>
          <w:sz w:val="24"/>
          <w:szCs w:val="24"/>
        </w:rPr>
        <w:object>
          <v:shape id="_x0000_i1029" o:spt="75" type="#_x0000_t75" style="height:36pt;width:170pt;" o:ole="t" filled="f" stroked="f" coordsize="21600,21600">
            <v:path/>
            <v:fill on="f" alignshape="1" focussize="0,0"/>
            <v:stroke on="f"/>
            <v:imagedata r:id="rId35" grayscale="f" bilevel="f" o:title=""/>
            <o:lock v:ext="edit" aspectratio="t"/>
            <w10:wrap type="none"/>
            <w10:anchorlock/>
          </v:shape>
          <o:OLEObject Type="Embed" ProgID="Equation.3" ShapeID="_x0000_i1029" DrawAspect="Content" ObjectID="_1468075729" r:id="rId34">
            <o:LockedField>false</o:LockedField>
          </o:OLEObject>
        </w:objec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式中： 足标1代表下游断面，足标2代表上游断面</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left="-2" w:leftChars="-1" w:firstLine="480" w:firstLineChars="200"/>
        <w:textAlignment w:val="auto"/>
        <w:rPr>
          <w:rFonts w:hint="eastAsia"/>
          <w:sz w:val="24"/>
          <w:szCs w:val="24"/>
        </w:rPr>
      </w:pPr>
      <w:r>
        <w:rPr>
          <w:position w:val="-4"/>
          <w:sz w:val="24"/>
          <w:szCs w:val="24"/>
        </w:rPr>
        <w:object>
          <v:shape id="_x0000_i1030" o:spt="75" type="#_x0000_t75" style="height:13pt;width:12pt;" o:ole="t" filled="f" stroked="f" coordsize="21600,21600">
            <v:path/>
            <v:fill on="f" alignshape="1" focussize="0,0"/>
            <v:stroke on="f"/>
            <v:imagedata r:id="rId37" grayscale="f" bilevel="f" o:title=""/>
            <o:lock v:ext="edit" aspectratio="t"/>
            <w10:wrap type="none"/>
            <w10:anchorlock/>
          </v:shape>
          <o:OLEObject Type="Embed" ProgID="Equation.3" ShapeID="_x0000_i1030" DrawAspect="Content" ObjectID="_1468075730" r:id="rId36">
            <o:LockedField>false</o:LockedField>
          </o:OLEObject>
        </w:object>
      </w:r>
      <w:r>
        <w:rPr>
          <w:rFonts w:hint="eastAsia"/>
          <w:sz w:val="24"/>
          <w:szCs w:val="24"/>
        </w:rPr>
        <w:t xml:space="preserve">――水位；  </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left="-2" w:leftChars="-1" w:firstLine="480" w:firstLineChars="200"/>
        <w:textAlignment w:val="auto"/>
        <w:rPr>
          <w:rFonts w:hint="eastAsia"/>
          <w:sz w:val="24"/>
          <w:szCs w:val="24"/>
        </w:rPr>
      </w:pPr>
      <w:r>
        <w:rPr>
          <w:position w:val="-6"/>
          <w:sz w:val="24"/>
          <w:szCs w:val="24"/>
        </w:rPr>
        <w:object>
          <v:shape id="_x0000_i1031" o:spt="75" type="#_x0000_t75" style="height:11pt;width:12pt;" o:ole="t" filled="f" stroked="f" coordsize="21600,21600">
            <v:path/>
            <v:fill on="f" alignshape="1" focussize="0,0"/>
            <v:stroke on="f"/>
            <v:imagedata r:id="rId39" grayscale="f" bilevel="f" o:title=""/>
            <o:lock v:ext="edit" aspectratio="t"/>
            <w10:wrap type="none"/>
            <w10:anchorlock/>
          </v:shape>
          <o:OLEObject Type="Embed" ProgID="Equation.3" ShapeID="_x0000_i1031" DrawAspect="Content" ObjectID="_1468075731" r:id="rId38">
            <o:LockedField>false</o:LockedField>
          </o:OLEObject>
        </w:object>
      </w:r>
      <w:r>
        <w:rPr>
          <w:rFonts w:hint="eastAsia"/>
          <w:sz w:val="24"/>
          <w:szCs w:val="24"/>
        </w:rPr>
        <w:t>――动能修正系数</w:t>
      </w:r>
      <w:r>
        <w:rPr>
          <w:rFonts w:hint="eastAsia"/>
          <w:sz w:val="24"/>
          <w:szCs w:val="24"/>
          <w:lang w:eastAsia="zh-CN"/>
        </w:rPr>
        <w:t>，</w:t>
      </w:r>
      <w:r>
        <w:rPr>
          <w:rFonts w:hint="eastAsia"/>
          <w:sz w:val="24"/>
          <w:szCs w:val="24"/>
        </w:rPr>
        <w:t>取</w:t>
      </w:r>
      <w:r>
        <w:rPr>
          <w:position w:val="-10"/>
          <w:sz w:val="24"/>
          <w:szCs w:val="24"/>
        </w:rPr>
        <w:object>
          <v:shape id="_x0000_i1032" o:spt="75" type="#_x0000_t75" style="height:17pt;width:40pt;" o:ole="t" filled="f" stroked="f" coordsize="21600,21600">
            <v:path/>
            <v:fill on="f" alignshape="1" focussize="0,0"/>
            <v:stroke on="f"/>
            <v:imagedata r:id="rId41" grayscale="f" bilevel="f" o:title=""/>
            <o:lock v:ext="edit" aspectratio="t"/>
            <w10:wrap type="none"/>
            <w10:anchorlock/>
          </v:shape>
          <o:OLEObject Type="Embed" ProgID="Equation.3" ShapeID="_x0000_i1032" DrawAspect="Content" ObjectID="_1468075732" r:id="rId40">
            <o:LockedField>false</o:LockedField>
          </o:OLEObject>
        </w:object>
      </w:r>
      <w:r>
        <w:rPr>
          <w:rFonts w:hint="eastAsia"/>
          <w:sz w:val="24"/>
          <w:szCs w:val="24"/>
          <w:lang w:eastAsia="zh-CN"/>
        </w:rPr>
        <w:t>；</w:t>
      </w:r>
      <w:r>
        <w:rPr>
          <w:rFonts w:hint="eastAsia"/>
          <w:sz w:val="24"/>
          <w:szCs w:val="24"/>
        </w:rPr>
        <w:t>　</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left="-2" w:leftChars="-1" w:firstLine="480" w:firstLineChars="200"/>
        <w:textAlignment w:val="auto"/>
        <w:rPr>
          <w:rFonts w:hint="eastAsia"/>
          <w:sz w:val="24"/>
          <w:szCs w:val="24"/>
        </w:rPr>
      </w:pPr>
      <w:r>
        <w:rPr>
          <w:position w:val="-6"/>
          <w:sz w:val="24"/>
          <w:szCs w:val="24"/>
        </w:rPr>
        <w:object>
          <v:shape id="_x0000_i1033" o:spt="75" type="#_x0000_t75" style="height:13.95pt;width:12pt;" o:ole="t" filled="f" stroked="f" coordsize="21600,21600">
            <v:path/>
            <v:fill on="f" alignshape="1" focussize="0,0"/>
            <v:stroke on="f"/>
            <v:imagedata r:id="rId43" grayscale="f" bilevel="f" o:title=""/>
            <o:lock v:ext="edit" aspectratio="t"/>
            <w10:wrap type="none"/>
            <w10:anchorlock/>
          </v:shape>
          <o:OLEObject Type="Embed" ProgID="Equation.3" ShapeID="_x0000_i1033" DrawAspect="Content" ObjectID="_1468075733" r:id="rId42">
            <o:LockedField>false</o:LockedField>
          </o:OLEObject>
        </w:object>
      </w:r>
      <w:r>
        <w:rPr>
          <w:rFonts w:hint="eastAsia"/>
          <w:sz w:val="24"/>
          <w:szCs w:val="24"/>
        </w:rPr>
        <w:t>――流速</w:t>
      </w:r>
      <w:r>
        <w:rPr>
          <w:rFonts w:hint="eastAsia"/>
          <w:sz w:val="24"/>
          <w:szCs w:val="24"/>
          <w:lang w:eastAsia="zh-CN"/>
        </w:rPr>
        <w:t>（</w:t>
      </w:r>
      <w:r>
        <w:rPr>
          <w:rFonts w:hint="eastAsia"/>
          <w:sz w:val="24"/>
          <w:szCs w:val="24"/>
          <w:lang w:val="en-US" w:eastAsia="zh-CN"/>
        </w:rPr>
        <w:t>m/s</w:t>
      </w:r>
      <w:r>
        <w:rPr>
          <w:rFonts w:hint="eastAsia"/>
          <w:sz w:val="24"/>
          <w:szCs w:val="24"/>
          <w:lang w:eastAsia="zh-CN"/>
        </w:rPr>
        <w:t>）</w:t>
      </w:r>
      <w:r>
        <w:rPr>
          <w:rFonts w:hint="eastAsia"/>
          <w:sz w:val="24"/>
          <w:szCs w:val="24"/>
        </w:rPr>
        <w:t>；　</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left="-2" w:leftChars="-1" w:firstLine="480" w:firstLineChars="200"/>
        <w:textAlignment w:val="auto"/>
        <w:rPr>
          <w:rFonts w:hint="eastAsia"/>
          <w:sz w:val="24"/>
          <w:szCs w:val="24"/>
        </w:rPr>
      </w:pPr>
      <w:r>
        <w:rPr>
          <w:position w:val="-14"/>
          <w:sz w:val="24"/>
          <w:szCs w:val="24"/>
        </w:rPr>
        <w:object>
          <v:shape id="_x0000_i1034" o:spt="75" type="#_x0000_t75" style="height:19pt;width:15pt;" o:ole="t" filled="f" stroked="f" coordsize="21600,21600">
            <v:path/>
            <v:fill on="f" alignshape="1" focussize="0,0"/>
            <v:stroke on="f"/>
            <v:imagedata r:id="rId45" grayscale="f" bilevel="f" o:title=""/>
            <o:lock v:ext="edit" aspectratio="t"/>
            <w10:wrap type="none"/>
            <w10:anchorlock/>
          </v:shape>
          <o:OLEObject Type="Embed" ProgID="Equation.3" ShapeID="_x0000_i1034" DrawAspect="Content" ObjectID="_1468075734" r:id="rId44">
            <o:LockedField>false</o:LockedField>
          </o:OLEObject>
        </w:object>
      </w:r>
      <w:r>
        <w:rPr>
          <w:rFonts w:hint="eastAsia"/>
          <w:sz w:val="24"/>
          <w:szCs w:val="24"/>
        </w:rPr>
        <w:t>――沿程水头损失</w:t>
      </w:r>
      <w:r>
        <w:rPr>
          <w:rFonts w:hint="eastAsia"/>
          <w:sz w:val="24"/>
          <w:szCs w:val="24"/>
          <w:lang w:eastAsia="zh-CN"/>
        </w:rPr>
        <w:t>（</w:t>
      </w:r>
      <w:r>
        <w:rPr>
          <w:rFonts w:hint="eastAsia"/>
          <w:sz w:val="24"/>
          <w:szCs w:val="24"/>
          <w:lang w:val="en-US" w:eastAsia="zh-CN"/>
        </w:rPr>
        <w:t>m</w:t>
      </w:r>
      <w:r>
        <w:rPr>
          <w:rFonts w:hint="eastAsia"/>
          <w:sz w:val="24"/>
          <w:szCs w:val="24"/>
          <w:lang w:eastAsia="zh-CN"/>
        </w:rPr>
        <w:t>），</w:t>
      </w:r>
      <w:r>
        <w:rPr>
          <w:position w:val="-14"/>
          <w:sz w:val="24"/>
          <w:szCs w:val="24"/>
        </w:rPr>
        <w:object>
          <v:shape id="_x0000_i1035" o:spt="75" type="#_x0000_t75" style="height:21pt;width:175pt;" o:ole="t" filled="f" stroked="f" coordsize="21600,21600">
            <v:path/>
            <v:fill on="f" alignshape="1" focussize="0,0"/>
            <v:stroke on="f"/>
            <v:imagedata r:id="rId47" grayscale="f" bilevel="f" o:title=""/>
            <o:lock v:ext="edit" aspectratio="t"/>
            <w10:wrap type="none"/>
            <w10:anchorlock/>
          </v:shape>
          <o:OLEObject Type="Embed" ProgID="Equation.3" ShapeID="_x0000_i1035" DrawAspect="Content" ObjectID="_1468075735" r:id="rId46">
            <o:LockedField>false</o:LockedField>
          </o:OLEObject>
        </w:object>
      </w:r>
      <w:r>
        <w:rPr>
          <w:rFonts w:hint="eastAsia"/>
          <w:sz w:val="24"/>
          <w:szCs w:val="24"/>
        </w:rPr>
        <w:t>；</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firstLine="480" w:firstLineChars="200"/>
        <w:textAlignment w:val="auto"/>
        <w:rPr>
          <w:rFonts w:hint="eastAsia"/>
          <w:sz w:val="24"/>
          <w:szCs w:val="24"/>
          <w:lang w:eastAsia="zh-CN"/>
        </w:rPr>
      </w:pPr>
      <w:r>
        <w:rPr>
          <w:position w:val="-14"/>
          <w:sz w:val="24"/>
          <w:szCs w:val="24"/>
        </w:rPr>
        <w:object>
          <v:shape id="_x0000_i1036" o:spt="75" type="#_x0000_t75" style="height:19pt;width:13.95pt;" o:ole="t" filled="f" stroked="f" coordsize="21600,21600">
            <v:path/>
            <v:fill on="f" alignshape="1" focussize="0,0"/>
            <v:stroke on="f"/>
            <v:imagedata r:id="rId49" grayscale="f" bilevel="f" o:title=""/>
            <o:lock v:ext="edit" aspectratio="t"/>
            <w10:wrap type="none"/>
            <w10:anchorlock/>
          </v:shape>
          <o:OLEObject Type="Embed" ProgID="Equation.3" ShapeID="_x0000_i1036" DrawAspect="Content" ObjectID="_1468075736" r:id="rId48">
            <o:LockedField>false</o:LockedField>
          </o:OLEObject>
        </w:object>
      </w:r>
      <w:r>
        <w:rPr>
          <w:rFonts w:hint="eastAsia"/>
          <w:sz w:val="24"/>
          <w:szCs w:val="24"/>
        </w:rPr>
        <w:t>――局部水头损失</w:t>
      </w:r>
      <w:r>
        <w:rPr>
          <w:rFonts w:hint="eastAsia"/>
          <w:sz w:val="24"/>
          <w:szCs w:val="24"/>
          <w:lang w:eastAsia="zh-CN"/>
        </w:rPr>
        <w:t>（</w:t>
      </w:r>
      <w:r>
        <w:rPr>
          <w:rFonts w:hint="eastAsia"/>
          <w:sz w:val="24"/>
          <w:szCs w:val="24"/>
          <w:lang w:val="en-US" w:eastAsia="zh-CN"/>
        </w:rPr>
        <w:t>m</w:t>
      </w:r>
      <w:r>
        <w:rPr>
          <w:rFonts w:hint="eastAsia"/>
          <w:sz w:val="24"/>
          <w:szCs w:val="24"/>
          <w:lang w:eastAsia="zh-CN"/>
        </w:rPr>
        <w:t>），</w:t>
      </w:r>
      <w:r>
        <w:rPr>
          <w:position w:val="-14"/>
          <w:sz w:val="24"/>
          <w:szCs w:val="24"/>
        </w:rPr>
        <w:object>
          <v:shape id="_x0000_i1037" o:spt="75" type="#_x0000_t75" style="height:21pt;width:121pt;" o:ole="t" filled="f" stroked="f" coordsize="21600,21600">
            <v:path/>
            <v:fill on="f" alignshape="1" focussize="0,0"/>
            <v:stroke on="f"/>
            <v:imagedata r:id="rId51" grayscale="f" bilevel="f" o:title=""/>
            <o:lock v:ext="edit" aspectratio="t"/>
            <w10:wrap type="none"/>
            <w10:anchorlock/>
          </v:shape>
          <o:OLEObject Type="Embed" ProgID="Equation.3" ShapeID="_x0000_i1037" DrawAspect="Content" ObjectID="_1468075737" r:id="rId50">
            <o:LockedField>false</o:LockedField>
          </o:OLEObject>
        </w:object>
      </w:r>
      <w:r>
        <w:rPr>
          <w:rFonts w:hint="eastAsia"/>
          <w:sz w:val="24"/>
          <w:szCs w:val="24"/>
          <w:lang w:eastAsia="zh-CN"/>
        </w:rPr>
        <w:t>；</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position w:val="-4"/>
          <w:sz w:val="24"/>
          <w:szCs w:val="24"/>
        </w:rPr>
        <w:object>
          <v:shape id="_x0000_i1038" o:spt="75" type="#_x0000_t75" style="height:13pt;width:18pt;" o:ole="t" filled="f" stroked="f" coordsize="21600,21600">
            <v:path/>
            <v:fill on="f" alignshape="1" focussize="0,0"/>
            <v:stroke on="f"/>
            <v:imagedata r:id="rId53" grayscale="f" bilevel="f" o:title=""/>
            <o:lock v:ext="edit" aspectratio="t"/>
            <w10:wrap type="none"/>
            <w10:anchorlock/>
          </v:shape>
          <o:OLEObject Type="Embed" ProgID="Equation.3" ShapeID="_x0000_i1038" DrawAspect="Content" ObjectID="_1468075738" r:id="rId52">
            <o:LockedField>false</o:LockedField>
          </o:OLEObject>
        </w:object>
      </w:r>
      <w:r>
        <w:rPr>
          <w:rFonts w:hint="eastAsia"/>
          <w:sz w:val="24"/>
          <w:szCs w:val="24"/>
        </w:rPr>
        <w:t>――短长；</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firstLine="480" w:firstLineChars="200"/>
        <w:textAlignment w:val="auto"/>
        <w:rPr>
          <w:rFonts w:hint="eastAsia" w:eastAsia="宋体"/>
          <w:sz w:val="24"/>
          <w:szCs w:val="24"/>
          <w:lang w:val="en-US" w:eastAsia="zh-CN"/>
        </w:rPr>
      </w:pPr>
      <w:r>
        <w:rPr>
          <w:position w:val="-10"/>
          <w:sz w:val="24"/>
          <w:szCs w:val="24"/>
        </w:rPr>
        <w:object>
          <v:shape id="_x0000_i1039" o:spt="75" type="#_x0000_t75" style="height:16pt;width:10pt;" o:ole="t" filled="f" stroked="f" coordsize="21600,21600">
            <v:path/>
            <v:fill on="f" alignshape="1" focussize="0,0"/>
            <v:stroke on="f"/>
            <v:imagedata r:id="rId55" grayscale="f" bilevel="f" o:title=""/>
            <o:lock v:ext="edit" aspectratio="t"/>
            <w10:wrap type="none"/>
            <w10:anchorlock/>
          </v:shape>
          <o:OLEObject Type="Embed" ProgID="Equation.3" ShapeID="_x0000_i1039" DrawAspect="Content" ObjectID="_1468075739" r:id="rId54">
            <o:LockedField>false</o:LockedField>
          </o:OLEObject>
        </w:object>
      </w:r>
      <w:r>
        <w:rPr>
          <w:rFonts w:hint="eastAsia"/>
          <w:sz w:val="24"/>
          <w:szCs w:val="24"/>
        </w:rPr>
        <w:t>――局部阻力系数</w:t>
      </w:r>
      <w:r>
        <w:rPr>
          <w:rFonts w:hint="eastAsia"/>
          <w:sz w:val="24"/>
          <w:szCs w:val="24"/>
          <w:lang w:val="en-US" w:eastAsia="zh-CN"/>
        </w:rPr>
        <w:t>;</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firstLine="480" w:firstLineChars="200"/>
        <w:textAlignment w:val="auto"/>
        <w:rPr>
          <w:rFonts w:hint="eastAsia" w:eastAsia="宋体"/>
          <w:sz w:val="24"/>
          <w:szCs w:val="24"/>
          <w:lang w:eastAsia="zh-CN"/>
        </w:rPr>
      </w:pPr>
      <w:r>
        <w:rPr>
          <w:position w:val="-6"/>
          <w:sz w:val="24"/>
          <w:szCs w:val="24"/>
        </w:rPr>
        <w:object>
          <v:shape id="_x0000_i1040" o:spt="75" type="#_x0000_t75" style="height:13.95pt;width:12pt;" o:ole="t" filled="f" stroked="f" coordsize="21600,21600">
            <v:path/>
            <v:fill on="f" alignshape="1" focussize="0,0"/>
            <v:stroke on="f"/>
            <v:imagedata r:id="rId57" grayscale="f" bilevel="f" o:title=""/>
            <o:lock v:ext="edit" aspectratio="t"/>
            <w10:wrap type="none"/>
            <w10:anchorlock/>
          </v:shape>
          <o:OLEObject Type="Embed" ProgID="Equation.3" ShapeID="_x0000_i1040" DrawAspect="Content" ObjectID="_1468075740" r:id="rId56">
            <o:LockedField>false</o:LockedField>
          </o:OLEObject>
        </w:object>
      </w:r>
      <w:r>
        <w:rPr>
          <w:rFonts w:hint="eastAsia"/>
          <w:sz w:val="24"/>
          <w:szCs w:val="24"/>
        </w:rPr>
        <w:t>――谢才系数</w:t>
      </w:r>
      <w:r>
        <w:rPr>
          <w:rFonts w:hint="eastAsia"/>
          <w:sz w:val="24"/>
          <w:szCs w:val="24"/>
          <w:lang w:eastAsia="zh-CN"/>
        </w:rPr>
        <w:t>，</w:t>
      </w:r>
      <w:r>
        <w:rPr>
          <w:position w:val="-6"/>
          <w:sz w:val="24"/>
          <w:szCs w:val="24"/>
        </w:rPr>
        <w:object>
          <v:shape id="_x0000_i1041" o:spt="75" type="#_x0000_t75" style="height:13.95pt;width:12pt;" o:ole="t" filled="f" stroked="f" coordsize="21600,21600">
            <v:path/>
            <v:fill on="f" alignshape="1" focussize="0,0"/>
            <v:stroke on="f"/>
            <v:imagedata r:id="rId57" grayscale="f" bilevel="f" o:title=""/>
            <o:lock v:ext="edit" aspectratio="t"/>
            <w10:wrap type="none"/>
            <w10:anchorlock/>
          </v:shape>
          <o:OLEObject Type="Embed" ProgID="Equation.3" ShapeID="_x0000_i1041" DrawAspect="Content" ObjectID="_1468075741" r:id="rId58">
            <o:LockedField>false</o:LockedField>
          </o:OLEObject>
        </w:object>
      </w:r>
      <w:r>
        <w:rPr>
          <w:rFonts w:hint="eastAsia"/>
          <w:sz w:val="24"/>
          <w:szCs w:val="24"/>
        </w:rPr>
        <w:t>＝</w:t>
      </w:r>
      <w:r>
        <w:rPr>
          <w:position w:val="-10"/>
          <w:sz w:val="24"/>
          <w:szCs w:val="24"/>
        </w:rPr>
        <w:object>
          <v:shape id="_x0000_i1042" o:spt="75" type="#_x0000_t75" style="height:18pt;width:37pt;" o:ole="t" filled="f" stroked="f" coordsize="21600,21600">
            <v:path/>
            <v:fill on="f" alignshape="1" focussize="0,0"/>
            <v:stroke on="f"/>
            <v:imagedata r:id="rId60" grayscale="f" bilevel="f" o:title=""/>
            <o:lock v:ext="edit" aspectratio="t"/>
            <w10:wrap type="none"/>
            <w10:anchorlock/>
          </v:shape>
          <o:OLEObject Type="Embed" ProgID="Equation.3" ShapeID="_x0000_i1042" DrawAspect="Content" ObjectID="_1468075742" r:id="rId59">
            <o:LockedField>false</o:LockedField>
          </o:OLEObject>
        </w:object>
      </w:r>
      <w:r>
        <w:rPr>
          <w:rFonts w:hint="eastAsia"/>
          <w:sz w:val="24"/>
          <w:szCs w:val="24"/>
          <w:lang w:eastAsia="zh-CN"/>
        </w:rPr>
        <w:t>；</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firstLine="480" w:firstLineChars="200"/>
        <w:textAlignment w:val="auto"/>
        <w:rPr>
          <w:rFonts w:hint="eastAsia" w:hAnsi="Cambria Math" w:eastAsia="宋体"/>
          <w:i w:val="0"/>
          <w:sz w:val="28"/>
          <w:szCs w:val="28"/>
          <w:lang w:eastAsia="zh-CN"/>
        </w:rPr>
      </w:pPr>
      <w:r>
        <w:rPr>
          <w:position w:val="-4"/>
          <w:sz w:val="24"/>
          <w:szCs w:val="24"/>
        </w:rPr>
        <w:object>
          <v:shape id="_x0000_i1043" o:spt="75" type="#_x0000_t75" style="height:13pt;width:12pt;" o:ole="t" filled="f" stroked="f" coordsize="21600,21600">
            <v:path/>
            <v:fill on="f" alignshape="1" focussize="0,0"/>
            <v:stroke on="f"/>
            <v:imagedata r:id="rId62" grayscale="f" bilevel="f" o:title=""/>
            <o:lock v:ext="edit" aspectratio="t"/>
            <w10:wrap type="none"/>
            <w10:anchorlock/>
          </v:shape>
          <o:OLEObject Type="Embed" ProgID="Equation.3" ShapeID="_x0000_i1043" DrawAspect="Content" ObjectID="_1468075743" r:id="rId61">
            <o:LockedField>false</o:LockedField>
          </o:OLEObject>
        </w:object>
      </w:r>
      <w:r>
        <w:rPr>
          <w:rFonts w:hint="eastAsia"/>
          <w:sz w:val="24"/>
          <w:szCs w:val="24"/>
        </w:rPr>
        <w:t>――水力半径</w:t>
      </w:r>
      <w:r>
        <w:rPr>
          <w:rFonts w:hint="eastAsia"/>
          <w:sz w:val="24"/>
          <w:szCs w:val="24"/>
          <w:lang w:eastAsia="zh-CN"/>
        </w:rPr>
        <w:t>（</w:t>
      </w:r>
      <w:r>
        <w:rPr>
          <w:rFonts w:hint="eastAsia"/>
          <w:sz w:val="24"/>
          <w:szCs w:val="24"/>
          <w:lang w:val="en-US" w:eastAsia="zh-CN"/>
        </w:rPr>
        <w:t>m</w:t>
      </w:r>
      <w:r>
        <w:rPr>
          <w:rFonts w:hint="eastAsia"/>
          <w:sz w:val="24"/>
          <w:szCs w:val="24"/>
          <w:lang w:eastAsia="zh-CN"/>
        </w:rPr>
        <w:t>），</w:t>
      </w:r>
      <w:r>
        <w:rPr>
          <w:rFonts w:hint="eastAsia"/>
          <w:sz w:val="24"/>
          <w:szCs w:val="24"/>
          <w:lang w:val="en-US" w:eastAsia="zh-CN"/>
        </w:rPr>
        <w:t>R=</w:t>
      </w:r>
      <m:oMath>
        <m:f>
          <m:fPr>
            <m:ctrlPr>
              <w:rPr>
                <w:rFonts w:ascii="Cambria Math" w:hAnsi="Cambria Math"/>
                <w:i/>
                <w:sz w:val="28"/>
                <w:szCs w:val="28"/>
              </w:rPr>
            </m:ctrlPr>
          </m:fPr>
          <m:num>
            <m:r>
              <m:rPr/>
              <w:rPr>
                <w:rFonts w:ascii="Cambria Math" w:hAnsi="Cambria Math"/>
                <w:sz w:val="28"/>
                <w:szCs w:val="28"/>
              </w:rPr>
              <m:t>A</m:t>
            </m:r>
            <m:ctrlPr>
              <w:rPr>
                <w:rFonts w:ascii="Cambria Math" w:hAnsi="Cambria Math"/>
                <w:i/>
                <w:sz w:val="28"/>
                <w:szCs w:val="28"/>
              </w:rPr>
            </m:ctrlPr>
          </m:num>
          <m:den>
            <m:r>
              <m:rPr/>
              <w:rPr>
                <w:rFonts w:ascii="Cambria Math" w:hAnsi="Cambria Math"/>
                <w:sz w:val="28"/>
                <w:szCs w:val="28"/>
              </w:rPr>
              <m:t>X</m:t>
            </m:r>
            <m:ctrlPr>
              <w:rPr>
                <w:rFonts w:ascii="Cambria Math" w:hAnsi="Cambria Math"/>
                <w:i/>
                <w:sz w:val="28"/>
                <w:szCs w:val="28"/>
              </w:rPr>
            </m:ctrlPr>
          </m:den>
        </m:f>
      </m:oMath>
      <w:r>
        <w:rPr>
          <w:rFonts w:hint="eastAsia" w:hAnsi="Cambria Math"/>
          <w:i w:val="0"/>
          <w:sz w:val="28"/>
          <w:szCs w:val="28"/>
          <w:lang w:eastAsia="zh-CN"/>
        </w:rPr>
        <w:t>；</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firstLine="480" w:firstLineChars="200"/>
        <w:textAlignment w:val="auto"/>
        <w:rPr>
          <w:rFonts w:hint="eastAsia" w:hAnsi="Cambria Math" w:eastAsia="宋体"/>
          <w:i w:val="0"/>
          <w:sz w:val="28"/>
          <w:szCs w:val="28"/>
          <w:lang w:val="en-US" w:eastAsia="zh-CN"/>
        </w:rPr>
      </w:pPr>
      <w:r>
        <w:rPr>
          <w:rFonts w:hint="eastAsia"/>
          <w:sz w:val="24"/>
          <w:szCs w:val="24"/>
          <w:lang w:val="en-US" w:eastAsia="zh-CN"/>
        </w:rPr>
        <w:t>A</w:t>
      </w:r>
      <w:r>
        <w:rPr>
          <w:rFonts w:hint="eastAsia"/>
          <w:sz w:val="24"/>
          <w:szCs w:val="24"/>
        </w:rPr>
        <w:t>――</w:t>
      </w:r>
      <w:r>
        <w:rPr>
          <w:rFonts w:hint="eastAsia"/>
          <w:sz w:val="24"/>
          <w:szCs w:val="24"/>
          <w:lang w:val="en-US" w:eastAsia="zh-CN"/>
        </w:rPr>
        <w:t>过水断面</w:t>
      </w:r>
      <w:r>
        <w:rPr>
          <w:rFonts w:hint="eastAsia"/>
          <w:sz w:val="24"/>
          <w:szCs w:val="24"/>
          <w:lang w:eastAsia="zh-CN"/>
        </w:rPr>
        <w:t>（</w:t>
      </w:r>
      <w:r>
        <w:rPr>
          <w:rFonts w:hint="eastAsia"/>
          <w:sz w:val="24"/>
          <w:szCs w:val="24"/>
          <w:lang w:val="en-US" w:eastAsia="zh-CN"/>
        </w:rPr>
        <w:t>m</w:t>
      </w:r>
      <w:r>
        <w:rPr>
          <w:rFonts w:hint="eastAsia"/>
          <w:sz w:val="24"/>
          <w:szCs w:val="24"/>
          <w:vertAlign w:val="superscript"/>
          <w:lang w:val="en-US" w:eastAsia="zh-CN"/>
        </w:rPr>
        <w:t>2</w:t>
      </w:r>
      <w:r>
        <w:rPr>
          <w:rFonts w:hint="eastAsia"/>
          <w:sz w:val="24"/>
          <w:szCs w:val="24"/>
          <w:lang w:eastAsia="zh-CN"/>
        </w:rPr>
        <w:t>）；</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firstLine="480" w:firstLineChars="200"/>
        <w:textAlignment w:val="auto"/>
        <w:rPr>
          <w:rFonts w:hint="default" w:eastAsia="宋体"/>
          <w:sz w:val="24"/>
          <w:szCs w:val="24"/>
          <w:lang w:val="en-US" w:eastAsia="zh-CN"/>
        </w:rPr>
      </w:pPr>
      <w:r>
        <w:rPr>
          <w:rFonts w:hint="eastAsia"/>
          <w:sz w:val="24"/>
          <w:szCs w:val="24"/>
          <w:lang w:val="en-US" w:eastAsia="zh-CN"/>
        </w:rPr>
        <w:t>X</w:t>
      </w:r>
      <w:r>
        <w:rPr>
          <w:rFonts w:hint="eastAsia"/>
          <w:sz w:val="24"/>
          <w:szCs w:val="24"/>
        </w:rPr>
        <w:t>――</w:t>
      </w:r>
      <w:r>
        <w:rPr>
          <w:rFonts w:hint="eastAsia"/>
          <w:sz w:val="24"/>
          <w:szCs w:val="24"/>
          <w:lang w:val="en-US" w:eastAsia="zh-CN"/>
        </w:rPr>
        <w:t>湿周（m）；</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n――糙率。</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textAlignment w:val="auto"/>
        <w:rPr>
          <w:color w:val="000000" w:themeColor="text1"/>
          <w:sz w:val="24"/>
          <w:szCs w:val="24"/>
          <w:lang w:val="en-GB"/>
          <w14:textFill>
            <w14:solidFill>
              <w14:schemeClr w14:val="tx1"/>
            </w14:solidFill>
          </w14:textFill>
        </w:rPr>
      </w:pPr>
      <w:r>
        <w:rPr>
          <w:color w:val="000000" w:themeColor="text1"/>
          <w:sz w:val="24"/>
          <w:szCs w:val="24"/>
          <w:lang w:val="en-GB"/>
          <w14:textFill>
            <w14:solidFill>
              <w14:schemeClr w14:val="tx1"/>
            </w14:solidFill>
          </w14:textFill>
        </w:rPr>
        <w:t>（2）水面线计算条件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1）模拟断面设置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为了较好反映河道形势，本次模拟断面根据整治后河道平面布置特点进行设置，整治后河段共布置</w:t>
      </w:r>
      <w:r>
        <w:rPr>
          <w:rFonts w:hint="eastAsia"/>
          <w:color w:val="000000" w:themeColor="text1"/>
          <w:sz w:val="24"/>
          <w:szCs w:val="24"/>
          <w:highlight w:val="none"/>
          <w:lang w:val="en-US" w:eastAsia="zh-CN"/>
          <w14:textFill>
            <w14:solidFill>
              <w14:schemeClr w14:val="tx1"/>
            </w14:solidFill>
          </w14:textFill>
        </w:rPr>
        <w:t>6</w:t>
      </w:r>
      <w:r>
        <w:rPr>
          <w:color w:val="000000" w:themeColor="text1"/>
          <w:sz w:val="24"/>
          <w:szCs w:val="24"/>
          <w:highlight w:val="none"/>
          <w14:textFill>
            <w14:solidFill>
              <w14:schemeClr w14:val="tx1"/>
            </w14:solidFill>
          </w14:textFill>
        </w:rPr>
        <w:t>个</w:t>
      </w:r>
      <w:r>
        <w:rPr>
          <w:color w:val="000000" w:themeColor="text1"/>
          <w:sz w:val="24"/>
          <w:szCs w:val="24"/>
          <w14:textFill>
            <w14:solidFill>
              <w14:schemeClr w14:val="tx1"/>
            </w14:solidFill>
          </w14:textFill>
        </w:rPr>
        <w:t>计算断面。</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2）断面形式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整治后断面根据各段设计断面设置；现状断面根据工程段最新实测1:1000水下地形设置。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3）河道糙率</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000000" w:themeColor="text1"/>
          <w:sz w:val="24"/>
          <w:szCs w:val="24"/>
          <w:highlight w:val="none"/>
          <w14:textFill>
            <w14:solidFill>
              <w14:schemeClr w14:val="tx1"/>
            </w14:solidFill>
          </w14:textFill>
        </w:rPr>
      </w:pPr>
      <w:r>
        <w:rPr>
          <w:color w:val="000000" w:themeColor="text1"/>
          <w:sz w:val="24"/>
          <w:szCs w:val="24"/>
          <w14:textFill>
            <w14:solidFill>
              <w14:schemeClr w14:val="tx1"/>
            </w14:solidFill>
          </w14:textFill>
        </w:rPr>
        <w:t>河道的粗糙n值受到河床组成特性、平面形态及水流流态、植物、岸壁特性等因素的影响，本工程参考《水力计算手册》，整治后河道断面规整，水流较通畅，基本无死水、回流，根据本工程河流的情况，</w:t>
      </w:r>
      <w:r>
        <w:rPr>
          <w:color w:val="000000" w:themeColor="text1"/>
          <w:sz w:val="24"/>
          <w:szCs w:val="24"/>
          <w:highlight w:val="none"/>
          <w14:textFill>
            <w14:solidFill>
              <w14:schemeClr w14:val="tx1"/>
            </w14:solidFill>
          </w14:textFill>
        </w:rPr>
        <w:t>糙率n正常范围为0.025～0.029。参照工程附近其它河涌糙率取值，本次河道糙率采用n=0.029。整治前河道糙率参照整治后设置，同样采用0.029。</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000000" w:themeColor="text1"/>
          <w:sz w:val="24"/>
          <w:szCs w:val="24"/>
          <w:highlight w:val="none"/>
          <w14:textFill>
            <w14:solidFill>
              <w14:schemeClr w14:val="tx1"/>
            </w14:solidFill>
          </w14:textFill>
        </w:rPr>
      </w:pPr>
      <w:r>
        <w:rPr>
          <w:color w:val="000000" w:themeColor="text1"/>
          <w:sz w:val="24"/>
          <w:szCs w:val="24"/>
          <w:highlight w:val="none"/>
          <w14:textFill>
            <w14:solidFill>
              <w14:schemeClr w14:val="tx1"/>
            </w14:solidFill>
          </w14:textFill>
        </w:rPr>
        <w:t>4）河道水面线起推位置及起推水位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000000" w:themeColor="text1"/>
          <w:sz w:val="24"/>
          <w:highlight w:val="none"/>
          <w14:textFill>
            <w14:solidFill>
              <w14:schemeClr w14:val="tx1"/>
            </w14:solidFill>
          </w14:textFill>
        </w:rPr>
      </w:pPr>
      <w:r>
        <w:rPr>
          <w:color w:val="000000" w:themeColor="text1"/>
          <w:sz w:val="24"/>
          <w:szCs w:val="24"/>
          <w:highlight w:val="none"/>
          <w14:textFill>
            <w14:solidFill>
              <w14:schemeClr w14:val="tx1"/>
            </w14:solidFill>
          </w14:textFill>
        </w:rPr>
        <w:t>根据《</w:t>
      </w:r>
      <w:r>
        <w:rPr>
          <w:rFonts w:hint="eastAsia"/>
          <w:color w:val="000000" w:themeColor="text1"/>
          <w:sz w:val="24"/>
          <w:szCs w:val="24"/>
          <w:highlight w:val="none"/>
          <w14:textFill>
            <w14:solidFill>
              <w14:schemeClr w14:val="tx1"/>
            </w14:solidFill>
          </w14:textFill>
        </w:rPr>
        <w:t>大蕴涌（含二塱涌）整治工程</w:t>
      </w:r>
      <w:r>
        <w:rPr>
          <w:color w:val="000000" w:themeColor="text1"/>
          <w:sz w:val="24"/>
          <w:szCs w:val="24"/>
          <w:highlight w:val="none"/>
          <w14:textFill>
            <w14:solidFill>
              <w14:schemeClr w14:val="tx1"/>
            </w14:solidFill>
          </w14:textFill>
        </w:rPr>
        <w:t>初步设计报告》，闸前最高控制水位</w:t>
      </w:r>
      <w:r>
        <w:rPr>
          <w:rFonts w:hint="eastAsia"/>
          <w:color w:val="000000" w:themeColor="text1"/>
          <w:sz w:val="24"/>
          <w:szCs w:val="24"/>
          <w:highlight w:val="none"/>
          <w:lang w:eastAsia="zh-CN"/>
          <w14:textFill>
            <w14:solidFill>
              <w14:schemeClr w14:val="tx1"/>
            </w14:solidFill>
          </w14:textFill>
        </w:rPr>
        <w:t>取</w:t>
      </w:r>
      <w:r>
        <w:rPr>
          <w:rFonts w:hint="eastAsia"/>
          <w:color w:val="000000" w:themeColor="text1"/>
          <w:sz w:val="24"/>
          <w:szCs w:val="24"/>
          <w:highlight w:val="none"/>
          <w:lang w:val="en-US" w:eastAsia="zh-CN"/>
          <w14:textFill>
            <w14:solidFill>
              <w14:schemeClr w14:val="tx1"/>
            </w14:solidFill>
          </w14:textFill>
        </w:rPr>
        <w:t>0.80</w:t>
      </w:r>
      <w:r>
        <w:rPr>
          <w:color w:val="000000" w:themeColor="text1"/>
          <w:sz w:val="24"/>
          <w:szCs w:val="24"/>
          <w:highlight w:val="none"/>
          <w14:textFill>
            <w14:solidFill>
              <w14:schemeClr w14:val="tx1"/>
            </w14:solidFill>
          </w14:textFill>
        </w:rPr>
        <w:t>m，因此，本次计算起推水位取</w:t>
      </w:r>
      <w:r>
        <w:rPr>
          <w:rFonts w:hint="eastAsia"/>
          <w:color w:val="000000" w:themeColor="text1"/>
          <w:sz w:val="24"/>
          <w:szCs w:val="24"/>
          <w:highlight w:val="none"/>
          <w:lang w:val="en-US" w:eastAsia="zh-CN"/>
          <w14:textFill>
            <w14:solidFill>
              <w14:schemeClr w14:val="tx1"/>
            </w14:solidFill>
          </w14:textFill>
        </w:rPr>
        <w:t>0.80</w:t>
      </w:r>
      <w:r>
        <w:rPr>
          <w:color w:val="000000" w:themeColor="text1"/>
          <w:sz w:val="24"/>
          <w:szCs w:val="24"/>
          <w:highlight w:val="none"/>
          <w14:textFill>
            <w14:solidFill>
              <w14:schemeClr w14:val="tx1"/>
            </w14:solidFill>
          </w14:textFill>
        </w:rPr>
        <w:t>m</w:t>
      </w:r>
      <w:r>
        <w:rPr>
          <w:color w:val="000000" w:themeColor="text1"/>
          <w:sz w:val="24"/>
          <w:highlight w:val="none"/>
          <w14:textFill>
            <w14:solidFill>
              <w14:schemeClr w14:val="tx1"/>
            </w14:solidFill>
          </w14:textFill>
        </w:rPr>
        <w:t>。</w:t>
      </w:r>
    </w:p>
    <w:p>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（3）计算结果</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color w:val="000000" w:themeColor="text1"/>
          <w:sz w:val="24"/>
          <w14:textFill>
            <w14:solidFill>
              <w14:schemeClr w14:val="tx1"/>
            </w14:solidFill>
          </w14:textFill>
        </w:rPr>
      </w:pPr>
      <w:r>
        <w:rPr>
          <w:rFonts w:hint="eastAsia" w:ascii="Times New Roman" w:hAnsi="Times New Roman" w:cs="Times New Roman" w:eastAsiaTheme="minorEastAsia"/>
          <w:sz w:val="24"/>
          <w:szCs w:val="24"/>
          <w:lang w:val="en-US" w:eastAsia="zh-CN"/>
        </w:rPr>
        <w:t>计算结果表明，河涌通过整治后，大蕴涌</w:t>
      </w:r>
      <w:r>
        <w:rPr>
          <w:rFonts w:hint="eastAsia" w:cs="Times New Roman" w:eastAsiaTheme="minorEastAsia"/>
          <w:sz w:val="24"/>
          <w:szCs w:val="24"/>
          <w:lang w:val="en-US" w:eastAsia="zh-CN"/>
        </w:rPr>
        <w:t>工程区范围P=（5%）</w:t>
      </w:r>
      <w:r>
        <w:rPr>
          <w:rFonts w:hint="eastAsia" w:ascii="Times New Roman" w:hAnsi="Times New Roman" w:cs="Times New Roman" w:eastAsiaTheme="minorEastAsia"/>
          <w:sz w:val="24"/>
          <w:szCs w:val="24"/>
          <w:lang w:val="en-US" w:eastAsia="zh-CN"/>
        </w:rPr>
        <w:t>水位</w:t>
      </w:r>
      <w:r>
        <w:rPr>
          <w:rFonts w:hint="eastAsia" w:cs="Times New Roman" w:eastAsiaTheme="minorEastAsia"/>
          <w:sz w:val="24"/>
          <w:szCs w:val="24"/>
          <w:lang w:val="en-US" w:eastAsia="zh-CN"/>
        </w:rPr>
        <w:t>为</w:t>
      </w:r>
      <w:r>
        <w:rPr>
          <w:rFonts w:hint="eastAsia" w:ascii="Times New Roman" w:hAnsi="Times New Roman" w:cs="Times New Roman" w:eastAsiaTheme="minorEastAsia"/>
          <w:sz w:val="24"/>
          <w:szCs w:val="24"/>
          <w:lang w:val="en-US" w:eastAsia="zh-CN"/>
        </w:rPr>
        <w:t>0</w:t>
      </w:r>
      <w:r>
        <w:rPr>
          <w:rFonts w:hint="eastAsia" w:cs="Times New Roman" w:eastAsiaTheme="minorEastAsia"/>
          <w:sz w:val="24"/>
          <w:szCs w:val="24"/>
          <w:lang w:val="en-US" w:eastAsia="zh-CN"/>
        </w:rPr>
        <w:t>.82</w:t>
      </w:r>
      <w:r>
        <w:rPr>
          <w:rFonts w:hint="eastAsia" w:ascii="Times New Roman" w:hAnsi="Times New Roman" w:cs="Times New Roman" w:eastAsiaTheme="minorEastAsia"/>
          <w:sz w:val="24"/>
          <w:szCs w:val="24"/>
          <w:lang w:val="en-US" w:eastAsia="zh-CN"/>
        </w:rPr>
        <w:t>m</w:t>
      </w:r>
      <w:r>
        <w:rPr>
          <w:rFonts w:hint="eastAsia" w:cs="Times New Roman" w:eastAsiaTheme="minorEastAsia"/>
          <w:sz w:val="24"/>
          <w:szCs w:val="24"/>
          <w:lang w:val="en-US" w:eastAsia="zh-CN"/>
        </w:rPr>
        <w:t>。</w:t>
      </w:r>
      <w:r>
        <w:rPr>
          <w:color w:val="000000" w:themeColor="text1"/>
          <w:sz w:val="24"/>
          <w14:textFill>
            <w14:solidFill>
              <w14:schemeClr w14:val="tx1"/>
            </w14:solidFill>
          </w14:textFill>
        </w:rPr>
        <w:t>水面线计算成果详见表4.4-1</w:t>
      </w:r>
      <w:r>
        <w:rPr>
          <w:rFonts w:hint="eastAsia"/>
          <w:color w:val="000000" w:themeColor="text1"/>
          <w:sz w:val="24"/>
          <w:lang w:eastAsia="zh-CN"/>
          <w14:textFill>
            <w14:solidFill>
              <w14:schemeClr w14:val="tx1"/>
            </w14:solidFill>
          </w14:textFill>
        </w:rPr>
        <w:t>，水面线示意图见图</w:t>
      </w:r>
      <w:r>
        <w:rPr>
          <w:rFonts w:hint="eastAsia"/>
          <w:color w:val="000000" w:themeColor="text1"/>
          <w:sz w:val="24"/>
          <w:lang w:val="en-US" w:eastAsia="zh-CN"/>
          <w14:textFill>
            <w14:solidFill>
              <w14:schemeClr w14:val="tx1"/>
            </w14:solidFill>
          </w14:textFill>
        </w:rPr>
        <w:t>4.4-1</w:t>
      </w:r>
      <w:r>
        <w:rPr>
          <w:color w:val="000000" w:themeColor="text1"/>
          <w:sz w:val="24"/>
          <w14:textFill>
            <w14:solidFill>
              <w14:schemeClr w14:val="tx1"/>
            </w14:solidFill>
          </w14:textFill>
        </w:rPr>
        <w:t>。</w:t>
      </w:r>
    </w:p>
    <w:p>
      <w:pPr>
        <w:pStyle w:val="250"/>
        <w:bidi w:val="0"/>
        <w:rPr>
          <w:rFonts w:hint="default"/>
          <w:lang w:val="en-US" w:eastAsia="zh-CN"/>
        </w:rPr>
      </w:pPr>
      <w:r>
        <w:rPr>
          <w:rFonts w:hint="default"/>
          <w:lang w:val="en-US" w:eastAsia="zh-CN"/>
        </w:rPr>
        <w:t>表</w:t>
      </w:r>
      <w:r>
        <w:rPr>
          <w:rFonts w:hint="eastAsia"/>
          <w:lang w:val="en-US" w:eastAsia="zh-CN"/>
        </w:rPr>
        <w:t>4.4-1</w:t>
      </w:r>
      <w:r>
        <w:rPr>
          <w:rFonts w:hint="default"/>
          <w:lang w:val="en-US" w:eastAsia="zh-CN"/>
        </w:rPr>
        <w:t xml:space="preserve">    </w:t>
      </w:r>
      <w:r>
        <w:rPr>
          <w:rFonts w:hint="eastAsia"/>
          <w:lang w:val="en-US" w:eastAsia="zh-CN"/>
        </w:rPr>
        <w:t>水面线计算成果表</w:t>
      </w:r>
    </w:p>
    <w:tbl>
      <w:tblPr>
        <w:tblStyle w:val="45"/>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1"/>
        <w:gridCol w:w="927"/>
        <w:gridCol w:w="929"/>
        <w:gridCol w:w="929"/>
        <w:gridCol w:w="929"/>
        <w:gridCol w:w="929"/>
        <w:gridCol w:w="929"/>
        <w:gridCol w:w="929"/>
        <w:gridCol w:w="929"/>
        <w:gridCol w:w="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 w:type="pct"/>
            <w:vAlign w:val="center"/>
          </w:tcPr>
          <w:p>
            <w:pPr>
              <w:pStyle w:val="54"/>
              <w:widowControl w:val="0"/>
              <w:bidi w:val="0"/>
              <w:rPr>
                <w:rFonts w:hint="default"/>
                <w:kern w:val="0"/>
                <w:lang w:val="en-US" w:eastAsia="zh-CN"/>
              </w:rPr>
            </w:pPr>
            <w:r>
              <w:rPr>
                <w:rFonts w:hint="eastAsia"/>
                <w:kern w:val="0"/>
                <w:lang w:val="en-US" w:eastAsia="zh-CN"/>
              </w:rPr>
              <w:t>桩号</w:t>
            </w:r>
          </w:p>
        </w:tc>
        <w:tc>
          <w:tcPr>
            <w:tcW w:w="499" w:type="pct"/>
            <w:vAlign w:val="center"/>
          </w:tcPr>
          <w:p>
            <w:pPr>
              <w:pStyle w:val="54"/>
              <w:widowControl w:val="0"/>
              <w:bidi w:val="0"/>
              <w:rPr>
                <w:rFonts w:hint="default"/>
                <w:kern w:val="0"/>
                <w:lang w:val="en-US" w:eastAsia="zh-CN"/>
              </w:rPr>
            </w:pPr>
            <w:r>
              <w:rPr>
                <w:rFonts w:hint="eastAsia"/>
                <w:kern w:val="0"/>
                <w:lang w:val="en-US" w:eastAsia="zh-CN"/>
              </w:rPr>
              <w:t>距离L</w:t>
            </w:r>
          </w:p>
        </w:tc>
        <w:tc>
          <w:tcPr>
            <w:tcW w:w="500" w:type="pct"/>
            <w:vAlign w:val="center"/>
          </w:tcPr>
          <w:p>
            <w:pPr>
              <w:pStyle w:val="54"/>
              <w:widowControl w:val="0"/>
              <w:bidi w:val="0"/>
              <w:rPr>
                <w:rFonts w:hint="eastAsia"/>
                <w:kern w:val="0"/>
                <w:lang w:val="en-US" w:eastAsia="zh-CN"/>
              </w:rPr>
            </w:pPr>
            <w:r>
              <w:rPr>
                <w:rFonts w:hint="eastAsia"/>
                <w:kern w:val="0"/>
                <w:lang w:val="en-US" w:eastAsia="zh-CN"/>
              </w:rPr>
              <w:t>流量Q</w:t>
            </w:r>
          </w:p>
        </w:tc>
        <w:tc>
          <w:tcPr>
            <w:tcW w:w="500" w:type="pct"/>
            <w:vAlign w:val="center"/>
          </w:tcPr>
          <w:p>
            <w:pPr>
              <w:pStyle w:val="54"/>
              <w:widowControl w:val="0"/>
              <w:bidi w:val="0"/>
              <w:rPr>
                <w:rFonts w:hint="eastAsia"/>
                <w:kern w:val="0"/>
                <w:lang w:val="en-US" w:eastAsia="zh-CN"/>
              </w:rPr>
            </w:pPr>
            <w:r>
              <w:rPr>
                <w:rFonts w:hint="eastAsia"/>
                <w:kern w:val="0"/>
                <w:lang w:val="en-US" w:eastAsia="zh-CN"/>
              </w:rPr>
              <w:t>水位Z</w:t>
            </w:r>
          </w:p>
        </w:tc>
        <w:tc>
          <w:tcPr>
            <w:tcW w:w="500" w:type="pct"/>
            <w:vAlign w:val="center"/>
          </w:tcPr>
          <w:p>
            <w:pPr>
              <w:pStyle w:val="54"/>
              <w:widowControl w:val="0"/>
              <w:bidi w:val="0"/>
              <w:rPr>
                <w:rFonts w:hint="eastAsia"/>
                <w:kern w:val="0"/>
                <w:lang w:val="en-US" w:eastAsia="zh-CN"/>
              </w:rPr>
            </w:pPr>
            <w:r>
              <w:rPr>
                <w:rFonts w:hint="eastAsia"/>
                <w:kern w:val="0"/>
                <w:lang w:val="en-US" w:eastAsia="zh-CN"/>
              </w:rPr>
              <w:t>河底高H</w:t>
            </w:r>
          </w:p>
        </w:tc>
        <w:tc>
          <w:tcPr>
            <w:tcW w:w="500" w:type="pct"/>
            <w:vAlign w:val="center"/>
          </w:tcPr>
          <w:p>
            <w:pPr>
              <w:pStyle w:val="54"/>
              <w:widowControl w:val="0"/>
              <w:bidi w:val="0"/>
              <w:rPr>
                <w:rFonts w:hint="eastAsia"/>
                <w:kern w:val="0"/>
                <w:lang w:val="en-US" w:eastAsia="zh-CN"/>
              </w:rPr>
            </w:pPr>
            <w:r>
              <w:rPr>
                <w:rFonts w:hint="eastAsia"/>
                <w:kern w:val="0"/>
                <w:lang w:val="en-US" w:eastAsia="zh-CN"/>
              </w:rPr>
              <w:t>过水面积A</w:t>
            </w:r>
          </w:p>
        </w:tc>
        <w:tc>
          <w:tcPr>
            <w:tcW w:w="500" w:type="pct"/>
            <w:vAlign w:val="center"/>
          </w:tcPr>
          <w:p>
            <w:pPr>
              <w:pStyle w:val="54"/>
              <w:widowControl w:val="0"/>
              <w:bidi w:val="0"/>
              <w:rPr>
                <w:rFonts w:hint="eastAsia"/>
                <w:kern w:val="0"/>
                <w:lang w:val="en-US" w:eastAsia="zh-CN"/>
              </w:rPr>
            </w:pPr>
            <w:r>
              <w:rPr>
                <w:rFonts w:hint="eastAsia"/>
                <w:kern w:val="0"/>
                <w:lang w:val="en-US" w:eastAsia="zh-CN"/>
              </w:rPr>
              <w:t>湿周X</w:t>
            </w:r>
          </w:p>
        </w:tc>
        <w:tc>
          <w:tcPr>
            <w:tcW w:w="500" w:type="pct"/>
            <w:vAlign w:val="center"/>
          </w:tcPr>
          <w:p>
            <w:pPr>
              <w:pStyle w:val="54"/>
              <w:widowControl w:val="0"/>
              <w:bidi w:val="0"/>
              <w:rPr>
                <w:rFonts w:hint="eastAsia"/>
                <w:kern w:val="0"/>
                <w:lang w:val="en-US" w:eastAsia="zh-CN"/>
              </w:rPr>
            </w:pPr>
            <w:r>
              <w:rPr>
                <w:rFonts w:hint="eastAsia"/>
                <w:kern w:val="0"/>
                <w:lang w:val="en-US" w:eastAsia="zh-CN"/>
              </w:rPr>
              <w:t>水力半径R</w:t>
            </w:r>
          </w:p>
        </w:tc>
        <w:tc>
          <w:tcPr>
            <w:tcW w:w="500" w:type="pct"/>
            <w:vAlign w:val="center"/>
          </w:tcPr>
          <w:p>
            <w:pPr>
              <w:pStyle w:val="54"/>
              <w:widowControl w:val="0"/>
              <w:bidi w:val="0"/>
              <w:rPr>
                <w:rFonts w:hint="eastAsia"/>
                <w:kern w:val="0"/>
                <w:lang w:val="en-US" w:eastAsia="zh-CN"/>
              </w:rPr>
            </w:pPr>
            <w:r>
              <w:rPr>
                <w:rFonts w:hint="eastAsia"/>
                <w:kern w:val="0"/>
                <w:lang w:val="en-US" w:eastAsia="zh-CN"/>
              </w:rPr>
              <w:t>糙率n</w:t>
            </w:r>
          </w:p>
        </w:tc>
        <w:tc>
          <w:tcPr>
            <w:tcW w:w="500" w:type="pct"/>
            <w:vAlign w:val="center"/>
          </w:tcPr>
          <w:p>
            <w:pPr>
              <w:pStyle w:val="54"/>
              <w:widowControl w:val="0"/>
              <w:bidi w:val="0"/>
              <w:rPr>
                <w:rFonts w:hint="eastAsia"/>
                <w:kern w:val="0"/>
                <w:lang w:val="en-US" w:eastAsia="zh-CN"/>
              </w:rPr>
            </w:pPr>
            <w:r>
              <w:rPr>
                <w:rFonts w:hint="eastAsia"/>
                <w:kern w:val="0"/>
                <w:lang w:val="en-US" w:eastAsia="zh-CN"/>
              </w:rPr>
              <w:t>流速v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 w:type="pct"/>
            <w:vAlign w:val="center"/>
          </w:tcPr>
          <w:p>
            <w:pPr>
              <w:pStyle w:val="54"/>
              <w:widowControl w:val="0"/>
              <w:bidi w:val="0"/>
              <w:rPr>
                <w:rFonts w:hint="default"/>
                <w:kern w:val="0"/>
                <w:lang w:val="en-US" w:eastAsia="zh-CN"/>
              </w:rPr>
            </w:pPr>
            <w:r>
              <w:rPr>
                <w:rFonts w:hint="default"/>
                <w:kern w:val="0"/>
                <w:lang w:val="en-US" w:eastAsia="zh-CN"/>
              </w:rPr>
              <w:t>K0+000</w:t>
            </w:r>
          </w:p>
        </w:tc>
        <w:tc>
          <w:tcPr>
            <w:tcW w:w="499" w:type="pct"/>
            <w:vAlign w:val="center"/>
          </w:tcPr>
          <w:p>
            <w:pPr>
              <w:pStyle w:val="396"/>
              <w:widowControl w:val="0"/>
              <w:bidi w:val="0"/>
              <w:rPr>
                <w:rFonts w:hint="default"/>
                <w:kern w:val="0"/>
                <w:lang w:val="en-US" w:eastAsia="zh-CN"/>
              </w:rPr>
            </w:pPr>
            <w:r>
              <w:rPr>
                <w:rFonts w:hint="eastAsia"/>
                <w:kern w:val="0"/>
                <w:lang w:val="en-US" w:eastAsia="zh-CN"/>
              </w:rPr>
              <w:t>0</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12.3</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0.8</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-1.8</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42.01</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22</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1.54</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0.025</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0.29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 w:type="pct"/>
            <w:vAlign w:val="center"/>
          </w:tcPr>
          <w:p>
            <w:pPr>
              <w:pStyle w:val="54"/>
              <w:widowControl w:val="0"/>
              <w:bidi w:val="0"/>
              <w:rPr>
                <w:rFonts w:hint="default"/>
                <w:kern w:val="0"/>
                <w:lang w:val="en-US" w:eastAsia="zh-CN"/>
              </w:rPr>
            </w:pPr>
            <w:r>
              <w:rPr>
                <w:rFonts w:hint="default"/>
                <w:kern w:val="0"/>
                <w:lang w:val="en-US" w:eastAsia="zh-CN"/>
              </w:rPr>
              <w:t>K0+0</w:t>
            </w:r>
            <w:r>
              <w:rPr>
                <w:rFonts w:hint="eastAsia"/>
                <w:kern w:val="0"/>
                <w:lang w:val="en-US" w:eastAsia="zh-CN"/>
              </w:rPr>
              <w:t>5</w:t>
            </w:r>
            <w:r>
              <w:rPr>
                <w:rFonts w:hint="default"/>
                <w:kern w:val="0"/>
                <w:lang w:val="en-US" w:eastAsia="zh-CN"/>
              </w:rPr>
              <w:t>0</w:t>
            </w:r>
          </w:p>
        </w:tc>
        <w:tc>
          <w:tcPr>
            <w:tcW w:w="499" w:type="pct"/>
            <w:vAlign w:val="center"/>
          </w:tcPr>
          <w:p>
            <w:pPr>
              <w:pStyle w:val="396"/>
              <w:widowControl w:val="0"/>
              <w:bidi w:val="0"/>
              <w:rPr>
                <w:rFonts w:hint="default"/>
                <w:kern w:val="0"/>
                <w:lang w:val="en-US" w:eastAsia="zh-CN"/>
              </w:rPr>
            </w:pPr>
            <w:r>
              <w:rPr>
                <w:rFonts w:hint="eastAsia"/>
                <w:kern w:val="0"/>
                <w:lang w:val="en-US" w:eastAsia="zh-CN"/>
              </w:rPr>
              <w:t>50</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12.3</w:t>
            </w:r>
          </w:p>
        </w:tc>
        <w:tc>
          <w:tcPr>
            <w:tcW w:w="500" w:type="pct"/>
            <w:vAlign w:val="center"/>
          </w:tcPr>
          <w:p>
            <w:pPr>
              <w:pStyle w:val="396"/>
              <w:widowControl w:val="0"/>
              <w:bidi w:val="0"/>
              <w:rPr>
                <w:rFonts w:hint="default"/>
                <w:kern w:val="0"/>
                <w:lang w:val="en-US" w:eastAsia="zh-CN"/>
              </w:rPr>
            </w:pPr>
            <w:r>
              <w:rPr>
                <w:rFonts w:hint="eastAsia"/>
                <w:kern w:val="0"/>
                <w:lang w:val="en-US" w:eastAsia="zh-CN"/>
              </w:rPr>
              <w:t>0.81</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-1.2</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42.04</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21.95</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1.55</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0.025</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0.29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 w:type="pct"/>
            <w:vAlign w:val="center"/>
          </w:tcPr>
          <w:p>
            <w:pPr>
              <w:pStyle w:val="54"/>
              <w:widowControl w:val="0"/>
              <w:bidi w:val="0"/>
              <w:rPr>
                <w:rFonts w:hint="default"/>
                <w:kern w:val="0"/>
                <w:lang w:val="en-US" w:eastAsia="zh-CN"/>
              </w:rPr>
            </w:pPr>
            <w:r>
              <w:rPr>
                <w:rFonts w:hint="default"/>
                <w:kern w:val="0"/>
                <w:lang w:val="en-US" w:eastAsia="zh-CN"/>
              </w:rPr>
              <w:t>K0+</w:t>
            </w:r>
            <w:r>
              <w:rPr>
                <w:rFonts w:hint="eastAsia"/>
                <w:kern w:val="0"/>
                <w:lang w:val="en-US" w:eastAsia="zh-CN"/>
              </w:rPr>
              <w:t>1</w:t>
            </w:r>
            <w:r>
              <w:rPr>
                <w:rFonts w:hint="default"/>
                <w:kern w:val="0"/>
                <w:lang w:val="en-US" w:eastAsia="zh-CN"/>
              </w:rPr>
              <w:t>00</w:t>
            </w:r>
          </w:p>
        </w:tc>
        <w:tc>
          <w:tcPr>
            <w:tcW w:w="499" w:type="pct"/>
            <w:vAlign w:val="center"/>
          </w:tcPr>
          <w:p>
            <w:pPr>
              <w:pStyle w:val="396"/>
              <w:widowControl w:val="0"/>
              <w:bidi w:val="0"/>
              <w:rPr>
                <w:rFonts w:hint="default"/>
                <w:kern w:val="0"/>
                <w:lang w:val="en-US" w:eastAsia="zh-CN"/>
              </w:rPr>
            </w:pPr>
            <w:r>
              <w:rPr>
                <w:rFonts w:hint="eastAsia"/>
                <w:kern w:val="0"/>
                <w:lang w:val="en-US" w:eastAsia="zh-CN"/>
              </w:rPr>
              <w:t>50</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12.3</w:t>
            </w:r>
          </w:p>
        </w:tc>
        <w:tc>
          <w:tcPr>
            <w:tcW w:w="500" w:type="pct"/>
            <w:vAlign w:val="center"/>
          </w:tcPr>
          <w:p>
            <w:pPr>
              <w:pStyle w:val="396"/>
              <w:widowControl w:val="0"/>
              <w:bidi w:val="0"/>
              <w:rPr>
                <w:rFonts w:hint="default"/>
                <w:kern w:val="0"/>
                <w:lang w:val="en-US" w:eastAsia="zh-CN"/>
              </w:rPr>
            </w:pPr>
            <w:r>
              <w:rPr>
                <w:rFonts w:hint="eastAsia"/>
                <w:kern w:val="0"/>
                <w:lang w:val="en-US" w:eastAsia="zh-CN"/>
              </w:rPr>
              <w:t>0.81</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-1.2</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35.97</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18.76</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1.57</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0.025</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0.34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 w:type="pct"/>
            <w:vAlign w:val="center"/>
          </w:tcPr>
          <w:p>
            <w:pPr>
              <w:pStyle w:val="54"/>
              <w:widowControl w:val="0"/>
              <w:bidi w:val="0"/>
              <w:rPr>
                <w:rFonts w:hint="default"/>
                <w:kern w:val="0"/>
                <w:lang w:val="en-US" w:eastAsia="zh-CN"/>
              </w:rPr>
            </w:pPr>
            <w:r>
              <w:rPr>
                <w:rFonts w:hint="default"/>
                <w:kern w:val="0"/>
                <w:lang w:val="en-US" w:eastAsia="zh-CN"/>
              </w:rPr>
              <w:t>K0+</w:t>
            </w:r>
            <w:r>
              <w:rPr>
                <w:rFonts w:hint="eastAsia"/>
                <w:kern w:val="0"/>
                <w:lang w:val="en-US" w:eastAsia="zh-CN"/>
              </w:rPr>
              <w:t>15</w:t>
            </w:r>
            <w:r>
              <w:rPr>
                <w:rFonts w:hint="default"/>
                <w:kern w:val="0"/>
                <w:lang w:val="en-US" w:eastAsia="zh-CN"/>
              </w:rPr>
              <w:t>0</w:t>
            </w:r>
          </w:p>
        </w:tc>
        <w:tc>
          <w:tcPr>
            <w:tcW w:w="499" w:type="pct"/>
            <w:vAlign w:val="center"/>
          </w:tcPr>
          <w:p>
            <w:pPr>
              <w:pStyle w:val="396"/>
              <w:widowControl w:val="0"/>
              <w:bidi w:val="0"/>
              <w:rPr>
                <w:rFonts w:hint="default"/>
                <w:kern w:val="0"/>
                <w:lang w:val="en-US" w:eastAsia="zh-CN"/>
              </w:rPr>
            </w:pPr>
            <w:r>
              <w:rPr>
                <w:rFonts w:hint="eastAsia"/>
                <w:kern w:val="0"/>
                <w:lang w:val="en-US" w:eastAsia="zh-CN"/>
              </w:rPr>
              <w:t>50</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12.3</w:t>
            </w:r>
          </w:p>
        </w:tc>
        <w:tc>
          <w:tcPr>
            <w:tcW w:w="500" w:type="pct"/>
            <w:vAlign w:val="center"/>
          </w:tcPr>
          <w:p>
            <w:pPr>
              <w:pStyle w:val="396"/>
              <w:widowControl w:val="0"/>
              <w:bidi w:val="0"/>
              <w:rPr>
                <w:rFonts w:hint="default"/>
                <w:kern w:val="0"/>
                <w:lang w:val="en-US" w:eastAsia="zh-CN"/>
              </w:rPr>
            </w:pPr>
            <w:r>
              <w:rPr>
                <w:rFonts w:hint="eastAsia"/>
                <w:kern w:val="0"/>
                <w:lang w:val="en-US" w:eastAsia="zh-CN"/>
              </w:rPr>
              <w:t>0.82</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-1.2</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26.02</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15.8</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1.4</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0.025</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0.47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 w:type="pct"/>
            <w:vAlign w:val="center"/>
          </w:tcPr>
          <w:p>
            <w:pPr>
              <w:pStyle w:val="54"/>
              <w:widowControl w:val="0"/>
              <w:bidi w:val="0"/>
              <w:rPr>
                <w:rFonts w:hint="default"/>
                <w:kern w:val="0"/>
                <w:lang w:val="en-US" w:eastAsia="zh-CN"/>
              </w:rPr>
            </w:pPr>
            <w:r>
              <w:rPr>
                <w:rFonts w:hint="default"/>
                <w:kern w:val="0"/>
                <w:lang w:val="en-US" w:eastAsia="zh-CN"/>
              </w:rPr>
              <w:t>K0+</w:t>
            </w:r>
            <w:r>
              <w:rPr>
                <w:rFonts w:hint="eastAsia"/>
                <w:kern w:val="0"/>
                <w:lang w:val="en-US" w:eastAsia="zh-CN"/>
              </w:rPr>
              <w:t>16</w:t>
            </w:r>
            <w:r>
              <w:rPr>
                <w:rFonts w:hint="default"/>
                <w:kern w:val="0"/>
                <w:lang w:val="en-US" w:eastAsia="zh-CN"/>
              </w:rPr>
              <w:t>0</w:t>
            </w:r>
          </w:p>
        </w:tc>
        <w:tc>
          <w:tcPr>
            <w:tcW w:w="499" w:type="pct"/>
            <w:vAlign w:val="center"/>
          </w:tcPr>
          <w:p>
            <w:pPr>
              <w:pStyle w:val="396"/>
              <w:widowControl w:val="0"/>
              <w:bidi w:val="0"/>
              <w:rPr>
                <w:rFonts w:hint="default"/>
                <w:kern w:val="0"/>
                <w:lang w:val="en-US" w:eastAsia="zh-CN"/>
              </w:rPr>
            </w:pPr>
            <w:r>
              <w:rPr>
                <w:rFonts w:hint="eastAsia"/>
                <w:kern w:val="0"/>
                <w:lang w:val="en-US" w:eastAsia="zh-CN"/>
              </w:rPr>
              <w:t>10</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12.3</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0.82</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-1.2</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26.1</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15.8</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1.4</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0.025</w:t>
            </w:r>
          </w:p>
        </w:tc>
        <w:tc>
          <w:tcPr>
            <w:tcW w:w="500" w:type="pct"/>
            <w:vAlign w:val="center"/>
          </w:tcPr>
          <w:p>
            <w:pPr>
              <w:pStyle w:val="396"/>
              <w:widowControl w:val="0"/>
              <w:bidi w:val="0"/>
              <w:rPr>
                <w:rFonts w:hint="eastAsia"/>
                <w:kern w:val="0"/>
                <w:lang w:val="en-US" w:eastAsia="zh-CN"/>
              </w:rPr>
            </w:pPr>
            <w:r>
              <w:rPr>
                <w:rFonts w:hint="eastAsia"/>
                <w:kern w:val="0"/>
                <w:lang w:val="en-US" w:eastAsia="zh-CN"/>
              </w:rPr>
              <w:t>0.47</w:t>
            </w:r>
          </w:p>
        </w:tc>
      </w:tr>
    </w:tbl>
    <w:p>
      <w:pPr>
        <w:pStyle w:val="2"/>
        <w:jc w:val="center"/>
        <w:rPr>
          <w:highlight w:val="red"/>
        </w:rPr>
      </w:pPr>
      <w:r>
        <w:drawing>
          <wp:inline distT="0" distB="0" distL="114300" distR="114300">
            <wp:extent cx="4537075" cy="2931160"/>
            <wp:effectExtent l="0" t="0" r="0" b="0"/>
            <wp:docPr id="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pPr>
        <w:pStyle w:val="250"/>
        <w:bidi w:val="0"/>
        <w:rPr>
          <w:rFonts w:hint="eastAsia"/>
          <w:highlight w:val="none"/>
          <w:lang w:val="en-US" w:eastAsia="zh-CN"/>
        </w:rPr>
      </w:pPr>
      <w:r>
        <w:rPr>
          <w:rFonts w:hint="eastAsia"/>
          <w:highlight w:val="none"/>
          <w:lang w:val="en-US" w:eastAsia="zh-CN"/>
        </w:rPr>
        <w:t>图4.4-1</w:t>
      </w:r>
      <w:r>
        <w:rPr>
          <w:rFonts w:hint="default"/>
          <w:highlight w:val="none"/>
          <w:lang w:val="en-US" w:eastAsia="zh-CN"/>
        </w:rPr>
        <w:t xml:space="preserve">   </w:t>
      </w:r>
      <w:r>
        <w:rPr>
          <w:rFonts w:hint="eastAsia"/>
          <w:highlight w:val="none"/>
          <w:lang w:val="en-US" w:eastAsia="zh-CN"/>
        </w:rPr>
        <w:t>水面线示意图</w:t>
      </w:r>
    </w:p>
    <w:p>
      <w:pPr>
        <w:pStyle w:val="43"/>
        <w:ind w:left="0" w:leftChars="0" w:firstLine="0" w:firstLineChars="0"/>
        <w:outlineLvl w:val="9"/>
        <w:rPr>
          <w:rFonts w:hint="eastAsia"/>
          <w:lang w:val="en-US" w:eastAsia="zh-CN"/>
        </w:rPr>
      </w:pPr>
    </w:p>
    <w:p>
      <w:pPr>
        <w:ind w:left="0" w:leftChars="0" w:firstLine="0" w:firstLineChars="0"/>
        <w:rPr>
          <w:rFonts w:hint="default" w:ascii="Times New Roman" w:hAnsi="Times New Roman" w:cs="Times New Roman" w:eastAsiaTheme="minorEastAsia"/>
          <w:sz w:val="24"/>
          <w:lang w:eastAsia="zh-CN"/>
        </w:rPr>
      </w:pP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default" w:ascii="Times New Roman" w:hAnsi="Times New Roman" w:cs="Times New Roman"/>
          <w:b/>
          <w:bCs w:val="0"/>
          <w:sz w:val="36"/>
          <w:szCs w:val="36"/>
          <w:lang w:val="en-US" w:eastAsia="zh-CN"/>
        </w:rPr>
      </w:pPr>
      <w:bookmarkStart w:id="183" w:name="_Toc6243"/>
      <w:r>
        <w:rPr>
          <w:rFonts w:hint="eastAsia" w:ascii="Times New Roman" w:hAnsi="Times New Roman" w:cs="Times New Roman"/>
          <w:b/>
          <w:bCs w:val="0"/>
          <w:sz w:val="36"/>
          <w:szCs w:val="36"/>
          <w:lang w:val="en-US" w:eastAsia="zh-CN"/>
        </w:rPr>
        <w:t>工程布置及建筑物</w:t>
      </w:r>
      <w:bookmarkEnd w:id="183"/>
    </w:p>
    <w:bookmarkEnd w:id="179"/>
    <w:bookmarkEnd w:id="180"/>
    <w:p>
      <w:pPr>
        <w:pStyle w:val="4"/>
        <w:bidi w:val="0"/>
        <w:ind w:left="575" w:leftChars="0" w:hanging="575" w:firstLineChars="0"/>
        <w:rPr>
          <w:rFonts w:hint="default"/>
          <w:lang w:val="en-US" w:eastAsia="zh-CN"/>
        </w:rPr>
      </w:pPr>
      <w:bookmarkStart w:id="184" w:name="_Toc1621"/>
      <w:bookmarkStart w:id="185" w:name="_Toc16456"/>
      <w:bookmarkStart w:id="186" w:name="_Toc21761"/>
      <w:bookmarkStart w:id="187" w:name="_Toc13869"/>
      <w:bookmarkStart w:id="188" w:name="_Toc6888"/>
      <w:bookmarkStart w:id="189" w:name="_Toc23390"/>
      <w:bookmarkStart w:id="190" w:name="_Toc17054"/>
      <w:r>
        <w:rPr>
          <w:rFonts w:hint="eastAsia"/>
          <w:lang w:val="en-US" w:eastAsia="zh-CN"/>
        </w:rPr>
        <w:t>设计依据</w:t>
      </w:r>
      <w:bookmarkEnd w:id="184"/>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w:t>
      </w:r>
      <w:r>
        <w:rPr>
          <w:rFonts w:hint="default" w:ascii="Times New Roman" w:hAnsi="Times New Roman" w:cs="Times New Roman" w:eastAsiaTheme="minorEastAsia"/>
          <w:sz w:val="24"/>
          <w:szCs w:val="24"/>
          <w:lang w:val="en-US" w:eastAsia="zh-CN"/>
        </w:rPr>
        <w:t>《水利水电工程初步设计报告编制规程》（SL619-</w:t>
      </w:r>
      <w:r>
        <w:rPr>
          <w:rFonts w:hint="eastAsia" w:ascii="Times New Roman" w:hAnsi="Times New Roman" w:cs="Times New Roman" w:eastAsiaTheme="minorEastAsia"/>
          <w:sz w:val="24"/>
          <w:szCs w:val="24"/>
          <w:lang w:val="en-US" w:eastAsia="zh-CN"/>
        </w:rPr>
        <w:t>2021</w:t>
      </w:r>
      <w:r>
        <w:rPr>
          <w:rFonts w:hint="default" w:ascii="Times New Roman" w:hAnsi="Times New Roman"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w:t>
      </w:r>
      <w:r>
        <w:rPr>
          <w:rFonts w:hint="default" w:ascii="Times New Roman" w:hAnsi="Times New Roman" w:cs="Times New Roman" w:eastAsiaTheme="minorEastAsia"/>
          <w:sz w:val="24"/>
          <w:szCs w:val="24"/>
          <w:lang w:val="en-US" w:eastAsia="zh-CN"/>
        </w:rPr>
        <w:t>《河道整治设计规范》GB50707-2011；</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w:t>
      </w:r>
      <w:r>
        <w:rPr>
          <w:rFonts w:hint="default" w:ascii="Times New Roman" w:hAnsi="Times New Roman" w:cs="Times New Roman" w:eastAsiaTheme="minorEastAsia"/>
          <w:sz w:val="24"/>
          <w:szCs w:val="24"/>
          <w:lang w:val="en-US" w:eastAsia="zh-CN"/>
        </w:rPr>
        <w:t>《堤防工程设计规范》GB50286-2013；</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（4）</w:t>
      </w:r>
      <w:r>
        <w:rPr>
          <w:rFonts w:hint="default" w:ascii="Times New Roman" w:hAnsi="Times New Roman" w:cs="Times New Roman" w:eastAsiaTheme="minorEastAsia"/>
          <w:sz w:val="24"/>
          <w:szCs w:val="24"/>
          <w:lang w:val="en-US" w:eastAsia="zh-CN"/>
        </w:rPr>
        <w:t>《堤防工程管理设计规范》（SL171-20</w:t>
      </w:r>
      <w:r>
        <w:rPr>
          <w:rFonts w:hint="eastAsia" w:ascii="Times New Roman" w:hAnsi="Times New Roman" w:cs="Times New Roman" w:eastAsiaTheme="minorEastAsia"/>
          <w:sz w:val="24"/>
          <w:szCs w:val="24"/>
          <w:lang w:val="en-US" w:eastAsia="zh-CN"/>
        </w:rPr>
        <w:t>20</w:t>
      </w:r>
      <w:r>
        <w:rPr>
          <w:rFonts w:hint="default" w:ascii="Times New Roman" w:hAnsi="Times New Roman"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（5）</w:t>
      </w:r>
      <w:r>
        <w:rPr>
          <w:rFonts w:hint="default" w:ascii="Times New Roman" w:hAnsi="Times New Roman" w:cs="Times New Roman" w:eastAsiaTheme="minorEastAsia"/>
          <w:sz w:val="24"/>
          <w:szCs w:val="24"/>
          <w:lang w:val="en-US" w:eastAsia="zh-CN"/>
        </w:rPr>
        <w:t>《防洪标准》（GB50201-2014）；</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（6）</w:t>
      </w:r>
      <w:r>
        <w:rPr>
          <w:rFonts w:hint="default" w:ascii="Times New Roman" w:hAnsi="Times New Roman" w:cs="Times New Roman" w:eastAsiaTheme="minorEastAsia"/>
          <w:sz w:val="24"/>
          <w:szCs w:val="24"/>
          <w:lang w:val="en-US" w:eastAsia="zh-CN"/>
        </w:rPr>
        <w:t>《水利水电工程等级划分及洪水标准》（SL252-2017）；</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（7）</w:t>
      </w:r>
      <w:r>
        <w:rPr>
          <w:rFonts w:hint="default" w:ascii="Times New Roman" w:hAnsi="Times New Roman" w:cs="Times New Roman" w:eastAsiaTheme="minorEastAsia"/>
          <w:sz w:val="24"/>
          <w:szCs w:val="24"/>
          <w:lang w:val="en-US" w:eastAsia="zh-CN"/>
        </w:rPr>
        <w:t>《水利水电工程设计工程量计算规定》（SL328-2005）；</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（8）</w:t>
      </w:r>
      <w:r>
        <w:rPr>
          <w:rFonts w:hint="default" w:ascii="Times New Roman" w:hAnsi="Times New Roman" w:cs="Times New Roman" w:eastAsiaTheme="minorEastAsia"/>
          <w:sz w:val="24"/>
          <w:szCs w:val="24"/>
          <w:lang w:val="en-US" w:eastAsia="zh-CN"/>
        </w:rPr>
        <w:t>《水工建筑物抗震设计规范》（GB51247-2018 ）；</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（9）</w:t>
      </w:r>
      <w:r>
        <w:rPr>
          <w:rFonts w:hint="default" w:ascii="Times New Roman" w:hAnsi="Times New Roman" w:cs="Times New Roman" w:eastAsiaTheme="minorEastAsia"/>
          <w:sz w:val="24"/>
          <w:szCs w:val="24"/>
          <w:lang w:val="en-US" w:eastAsia="zh-CN"/>
        </w:rPr>
        <w:t>《建筑地基基础设计规范》（GB5007-2011）；</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（10）</w:t>
      </w:r>
      <w:r>
        <w:rPr>
          <w:rFonts w:hint="default" w:ascii="Times New Roman" w:hAnsi="Times New Roman" w:cs="Times New Roman" w:eastAsiaTheme="minorEastAsia"/>
          <w:sz w:val="24"/>
          <w:szCs w:val="24"/>
          <w:lang w:val="en-US" w:eastAsia="zh-CN"/>
        </w:rPr>
        <w:t>《建筑桩基技术规范》（JGJ94－2008）；</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（11）</w:t>
      </w:r>
      <w:r>
        <w:rPr>
          <w:rFonts w:hint="default" w:ascii="Times New Roman" w:hAnsi="Times New Roman" w:cs="Times New Roman" w:eastAsiaTheme="minorEastAsia"/>
          <w:sz w:val="24"/>
          <w:szCs w:val="24"/>
          <w:lang w:val="en-US" w:eastAsia="zh-CN"/>
        </w:rPr>
        <w:t>《室外给排水规范》GB50014-2006（2016年版）；</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（12）</w:t>
      </w:r>
      <w:r>
        <w:rPr>
          <w:rFonts w:hint="default" w:ascii="Times New Roman" w:hAnsi="Times New Roman" w:cs="Times New Roman" w:eastAsiaTheme="minorEastAsia"/>
          <w:sz w:val="24"/>
          <w:szCs w:val="24"/>
          <w:lang w:val="en-US" w:eastAsia="zh-CN"/>
        </w:rPr>
        <w:t>《水利水电工程边坡设计规范》（SL386-2007）；</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（13）</w:t>
      </w:r>
      <w:r>
        <w:rPr>
          <w:rFonts w:hint="default" w:ascii="Times New Roman" w:hAnsi="Times New Roman"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广州市河涌水系规划</w:t>
      </w:r>
      <w:r>
        <w:rPr>
          <w:rFonts w:hint="default" w:ascii="Times New Roman" w:hAnsi="Times New Roman"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2017-2035</w:t>
      </w:r>
      <w:r>
        <w:rPr>
          <w:rFonts w:hint="default" w:ascii="Times New Roman" w:hAnsi="Times New Roman"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color w:val="auto"/>
          <w:sz w:val="24"/>
          <w:szCs w:val="24"/>
          <w:lang w:val="en-US" w:eastAsia="zh-CN"/>
        </w:rPr>
      </w:pPr>
      <w:r>
        <w:rPr>
          <w:rFonts w:hint="eastAsia" w:ascii="Times New Roman" w:hAnsi="Times New Roman" w:cs="Times New Roman" w:eastAsiaTheme="minorEastAsia"/>
          <w:color w:val="auto"/>
          <w:sz w:val="24"/>
          <w:szCs w:val="24"/>
          <w:lang w:val="en-US" w:eastAsia="zh-CN"/>
        </w:rPr>
        <w:t>（14）</w:t>
      </w:r>
      <w:r>
        <w:rPr>
          <w:rFonts w:hint="default" w:ascii="Times New Roman" w:hAnsi="Times New Roman" w:cs="Times New Roman" w:eastAsiaTheme="minorEastAsia"/>
          <w:color w:val="auto"/>
          <w:sz w:val="24"/>
          <w:szCs w:val="24"/>
          <w:lang w:val="en-US" w:eastAsia="zh-CN"/>
        </w:rPr>
        <w:t>《</w:t>
      </w:r>
      <w:r>
        <w:rPr>
          <w:rFonts w:hint="eastAsia" w:cs="Times New Roman" w:eastAsiaTheme="minorEastAsia"/>
          <w:color w:val="auto"/>
          <w:sz w:val="24"/>
          <w:szCs w:val="24"/>
          <w:lang w:val="en-US" w:eastAsia="zh-CN"/>
        </w:rPr>
        <w:t>广州市</w:t>
      </w:r>
      <w:r>
        <w:rPr>
          <w:rFonts w:hint="eastAsia" w:ascii="Times New Roman" w:hAnsi="Times New Roman" w:cs="Times New Roman" w:eastAsiaTheme="minorEastAsia"/>
          <w:color w:val="auto"/>
          <w:sz w:val="24"/>
          <w:szCs w:val="24"/>
          <w:lang w:val="en-US" w:eastAsia="zh-CN"/>
        </w:rPr>
        <w:t>番禺区防洪</w:t>
      </w:r>
      <w:r>
        <w:rPr>
          <w:rFonts w:hint="eastAsia" w:cs="Times New Roman" w:eastAsiaTheme="minorEastAsia"/>
          <w:color w:val="auto"/>
          <w:sz w:val="24"/>
          <w:szCs w:val="24"/>
          <w:lang w:val="en-US" w:eastAsia="zh-CN"/>
        </w:rPr>
        <w:t>（潮）</w:t>
      </w:r>
      <w:r>
        <w:rPr>
          <w:rFonts w:hint="eastAsia" w:ascii="Times New Roman" w:hAnsi="Times New Roman" w:cs="Times New Roman" w:eastAsiaTheme="minorEastAsia"/>
          <w:color w:val="auto"/>
          <w:sz w:val="24"/>
          <w:szCs w:val="24"/>
          <w:lang w:val="en-US" w:eastAsia="zh-CN"/>
        </w:rPr>
        <w:t>排涝规划</w:t>
      </w:r>
      <w:r>
        <w:rPr>
          <w:rFonts w:hint="default" w:ascii="Times New Roman" w:hAnsi="Times New Roman" w:cs="Times New Roman" w:eastAsiaTheme="minorEastAsia"/>
          <w:color w:val="auto"/>
          <w:sz w:val="24"/>
          <w:szCs w:val="24"/>
          <w:lang w:val="en-US" w:eastAsia="zh-CN"/>
        </w:rPr>
        <w:t>》（</w:t>
      </w:r>
      <w:r>
        <w:rPr>
          <w:rFonts w:hint="eastAsia" w:ascii="Times New Roman" w:hAnsi="Times New Roman" w:cs="Times New Roman" w:eastAsiaTheme="minorEastAsia"/>
          <w:color w:val="auto"/>
          <w:sz w:val="24"/>
          <w:szCs w:val="24"/>
          <w:lang w:val="en-US" w:eastAsia="zh-CN"/>
        </w:rPr>
        <w:t>202</w:t>
      </w:r>
      <w:r>
        <w:rPr>
          <w:rFonts w:hint="eastAsia" w:cs="Times New Roman" w:eastAsiaTheme="minorEastAsia"/>
          <w:color w:val="auto"/>
          <w:sz w:val="24"/>
          <w:szCs w:val="24"/>
          <w:lang w:val="en-US" w:eastAsia="zh-CN"/>
        </w:rPr>
        <w:t>0-2023</w:t>
      </w:r>
      <w:r>
        <w:rPr>
          <w:rFonts w:hint="default" w:ascii="Times New Roman" w:hAnsi="Times New Roman" w:cs="Times New Roman" w:eastAsiaTheme="minorEastAsia"/>
          <w:color w:val="auto"/>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（15）</w:t>
      </w:r>
      <w:r>
        <w:rPr>
          <w:rFonts w:hint="default" w:ascii="Times New Roman" w:hAnsi="Times New Roman" w:cs="Times New Roman" w:eastAsiaTheme="minorEastAsia"/>
          <w:sz w:val="24"/>
          <w:szCs w:val="24"/>
          <w:lang w:val="en-US" w:eastAsia="zh-CN"/>
        </w:rPr>
        <w:t>《番禺区排水工程规划》（2017年）</w:t>
      </w:r>
      <w:r>
        <w:rPr>
          <w:rFonts w:hint="eastAsia" w:ascii="Times New Roman" w:hAnsi="Times New Roman" w:cs="Times New Roman" w:eastAsiaTheme="minorEastAsia"/>
          <w:sz w:val="24"/>
          <w:szCs w:val="24"/>
          <w:lang w:val="en-US" w:eastAsia="zh-CN"/>
        </w:rPr>
        <w:t>。</w:t>
      </w:r>
    </w:p>
    <w:p>
      <w:pPr>
        <w:pStyle w:val="4"/>
        <w:bidi w:val="0"/>
        <w:ind w:left="575" w:leftChars="0" w:hanging="575" w:firstLineChars="0"/>
        <w:rPr>
          <w:rFonts w:hint="default" w:ascii="Times New Roman" w:hAnsi="Times New Roman" w:cs="Times New Roman"/>
          <w:lang w:val="en-US" w:eastAsia="zh-CN"/>
        </w:rPr>
      </w:pPr>
      <w:bookmarkStart w:id="191" w:name="_Toc10741"/>
      <w:r>
        <w:rPr>
          <w:rFonts w:hint="eastAsia" w:ascii="Times New Roman" w:hAnsi="Times New Roman" w:cs="Times New Roman"/>
          <w:lang w:val="en-US" w:eastAsia="zh-CN"/>
        </w:rPr>
        <w:t>工程等级和标准</w:t>
      </w:r>
      <w:bookmarkEnd w:id="191"/>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按照《广州市河涌水系规划》（2017-2035）</w:t>
      </w:r>
      <w:r>
        <w:rPr>
          <w:rFonts w:hint="eastAsia"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《广州市番禺区防洪（潮）排涝规划》（</w:t>
      </w:r>
      <w:r>
        <w:rPr>
          <w:rFonts w:hint="eastAsia" w:cs="Times New Roman" w:eastAsiaTheme="minorEastAsia"/>
          <w:sz w:val="24"/>
          <w:szCs w:val="24"/>
          <w:lang w:val="en-US" w:eastAsia="zh-CN"/>
        </w:rPr>
        <w:t>2020~2023</w:t>
      </w:r>
      <w:r>
        <w:rPr>
          <w:rFonts w:hint="eastAsia" w:ascii="Times New Roman" w:hAnsi="Times New Roman" w:cs="Times New Roman" w:eastAsiaTheme="minorEastAsia"/>
          <w:sz w:val="24"/>
          <w:szCs w:val="24"/>
          <w:lang w:val="en-US" w:eastAsia="zh-CN"/>
        </w:rPr>
        <w:t>），</w:t>
      </w:r>
      <w:r>
        <w:rPr>
          <w:rFonts w:hint="default" w:ascii="Times New Roman" w:hAnsi="Times New Roman" w:cs="Times New Roman" w:eastAsiaTheme="minorEastAsia"/>
          <w:sz w:val="24"/>
          <w:szCs w:val="24"/>
          <w:lang w:val="en-US" w:eastAsia="zh-CN"/>
        </w:rPr>
        <w:t>结合保护区城镇建设与经济发展状况，本工程设计排涝标准为20年一遇最大24小时设计暴雨不成灾。</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工程</w:t>
      </w:r>
      <w:r>
        <w:rPr>
          <w:rFonts w:hint="default" w:ascii="Times New Roman" w:hAnsi="Times New Roman" w:cs="Times New Roman" w:eastAsiaTheme="minorEastAsia"/>
          <w:sz w:val="24"/>
          <w:szCs w:val="24"/>
          <w:lang w:val="en-US" w:eastAsia="zh-CN"/>
        </w:rPr>
        <w:t>根据《水利水电工程等级划分及洪水标准》（SL252-2017）、《堤防设计规范》（GB50286-2013）等相关规范规定，</w:t>
      </w:r>
      <w:r>
        <w:rPr>
          <w:rFonts w:hint="eastAsia" w:ascii="Times New Roman" w:hAnsi="Times New Roman" w:cs="Times New Roman" w:eastAsiaTheme="minorEastAsia"/>
          <w:sz w:val="24"/>
          <w:szCs w:val="24"/>
          <w:lang w:val="en-US" w:eastAsia="zh-CN"/>
        </w:rPr>
        <w:t>确定</w:t>
      </w:r>
      <w:r>
        <w:rPr>
          <w:rFonts w:hint="default" w:ascii="Times New Roman" w:hAnsi="Times New Roman" w:cs="Times New Roman" w:eastAsiaTheme="minorEastAsia"/>
          <w:sz w:val="24"/>
          <w:szCs w:val="24"/>
          <w:lang w:val="en-US" w:eastAsia="zh-CN"/>
        </w:rPr>
        <w:t>本</w:t>
      </w:r>
      <w:r>
        <w:rPr>
          <w:rFonts w:hint="eastAsia" w:ascii="Times New Roman" w:hAnsi="Times New Roman" w:cs="Times New Roman" w:eastAsiaTheme="minorEastAsia"/>
          <w:sz w:val="24"/>
          <w:szCs w:val="24"/>
          <w:lang w:val="en-US" w:eastAsia="zh-CN"/>
        </w:rPr>
        <w:t>工程</w:t>
      </w:r>
      <w:r>
        <w:rPr>
          <w:rFonts w:hint="default" w:ascii="Times New Roman" w:hAnsi="Times New Roman" w:cs="Times New Roman" w:eastAsiaTheme="minorEastAsia"/>
          <w:sz w:val="24"/>
          <w:szCs w:val="24"/>
          <w:lang w:val="en-US" w:eastAsia="zh-CN"/>
        </w:rPr>
        <w:t>主要建筑物级别为</w:t>
      </w:r>
      <w:r>
        <w:rPr>
          <w:rFonts w:hint="eastAsia" w:ascii="Times New Roman" w:hAnsi="Times New Roman" w:cs="Times New Roman" w:eastAsiaTheme="minorEastAsia"/>
          <w:sz w:val="24"/>
          <w:szCs w:val="24"/>
          <w:lang w:val="en-US" w:eastAsia="zh-CN"/>
        </w:rPr>
        <w:t>4</w:t>
      </w:r>
      <w:r>
        <w:rPr>
          <w:rFonts w:hint="default" w:ascii="Times New Roman" w:hAnsi="Times New Roman" w:cs="Times New Roman" w:eastAsiaTheme="minorEastAsia"/>
          <w:sz w:val="24"/>
          <w:szCs w:val="24"/>
          <w:lang w:val="en-US" w:eastAsia="zh-CN"/>
        </w:rPr>
        <w:t>级，次要建筑物级别为</w:t>
      </w:r>
      <w:r>
        <w:rPr>
          <w:rFonts w:hint="eastAsia" w:ascii="Times New Roman" w:hAnsi="Times New Roman" w:cs="Times New Roman" w:eastAsiaTheme="minorEastAsia"/>
          <w:sz w:val="24"/>
          <w:szCs w:val="24"/>
          <w:lang w:val="en-US" w:eastAsia="zh-CN"/>
        </w:rPr>
        <w:t>5</w:t>
      </w:r>
      <w:r>
        <w:rPr>
          <w:rFonts w:hint="default" w:ascii="Times New Roman" w:hAnsi="Times New Roman" w:cs="Times New Roman" w:eastAsiaTheme="minorEastAsia"/>
          <w:sz w:val="24"/>
          <w:szCs w:val="24"/>
          <w:lang w:val="en-US" w:eastAsia="zh-CN"/>
        </w:rPr>
        <w:t>级，临时建筑物级别为</w:t>
      </w:r>
      <w:r>
        <w:rPr>
          <w:rFonts w:hint="eastAsia" w:ascii="Times New Roman" w:hAnsi="Times New Roman" w:cs="Times New Roman" w:eastAsiaTheme="minorEastAsia"/>
          <w:sz w:val="24"/>
          <w:szCs w:val="24"/>
          <w:lang w:val="en-US" w:eastAsia="zh-CN"/>
        </w:rPr>
        <w:t>5</w:t>
      </w:r>
      <w:r>
        <w:rPr>
          <w:rFonts w:hint="default" w:ascii="Times New Roman" w:hAnsi="Times New Roman" w:cs="Times New Roman" w:eastAsiaTheme="minorEastAsia"/>
          <w:sz w:val="24"/>
          <w:szCs w:val="24"/>
          <w:lang w:val="en-US" w:eastAsia="zh-CN"/>
        </w:rPr>
        <w:t>级。</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根据1:400万《中国地震动参数区划图》（GB18306-2001）和相关规范，工程抗震设计烈度取为7度，工程区地震动峰值加速度取为0.10g，根据地震动反应谱特征周期为0.35s。</w:t>
      </w:r>
    </w:p>
    <w:p>
      <w:pPr>
        <w:pStyle w:val="4"/>
        <w:bidi w:val="0"/>
        <w:ind w:left="575" w:leftChars="0" w:hanging="575" w:firstLineChars="0"/>
        <w:rPr>
          <w:rFonts w:hint="default" w:ascii="Times New Roman" w:hAnsi="Times New Roman" w:cs="Times New Roman"/>
          <w:lang w:val="en-US" w:eastAsia="zh-CN"/>
        </w:rPr>
      </w:pPr>
      <w:bookmarkStart w:id="192" w:name="_Toc12130"/>
      <w:r>
        <w:rPr>
          <w:rFonts w:hint="default" w:ascii="Times New Roman" w:hAnsi="Times New Roman" w:cs="Times New Roman"/>
          <w:lang w:val="en-US" w:eastAsia="zh-CN"/>
        </w:rPr>
        <w:t>工程总体布置</w:t>
      </w:r>
      <w:bookmarkEnd w:id="185"/>
      <w:bookmarkEnd w:id="186"/>
      <w:bookmarkEnd w:id="187"/>
      <w:bookmarkEnd w:id="188"/>
      <w:bookmarkEnd w:id="189"/>
      <w:bookmarkEnd w:id="190"/>
      <w:bookmarkEnd w:id="192"/>
    </w:p>
    <w:p>
      <w:pPr>
        <w:pStyle w:val="5"/>
        <w:bidi w:val="0"/>
        <w:ind w:left="720" w:leftChars="0" w:hanging="720" w:firstLineChars="0"/>
        <w:rPr>
          <w:rFonts w:hint="default" w:ascii="Times New Roman" w:cs="Times New Roman"/>
          <w:highlight w:val="none"/>
          <w:lang w:val="en-US" w:eastAsia="zh-CN"/>
        </w:rPr>
      </w:pPr>
      <w:bookmarkStart w:id="193" w:name="_Toc25636"/>
      <w:r>
        <w:rPr>
          <w:rFonts w:hint="eastAsia" w:ascii="Times New Roman" w:cs="Times New Roman"/>
          <w:highlight w:val="none"/>
          <w:lang w:val="en-US" w:eastAsia="zh-CN"/>
        </w:rPr>
        <w:t>布置原则</w:t>
      </w:r>
      <w:bookmarkEnd w:id="193"/>
    </w:p>
    <w:p>
      <w:pPr>
        <w:spacing w:line="360" w:lineRule="auto"/>
        <w:ind w:firstLine="480" w:firstLineChars="200"/>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（1）堤线布置与围区建设发展规划相协调，堤线布置与番禺区对该处河道及岸线利用发展规划相协调。</w:t>
      </w:r>
    </w:p>
    <w:p>
      <w:pPr>
        <w:spacing w:line="360" w:lineRule="auto"/>
        <w:ind w:firstLine="480" w:firstLineChars="200"/>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（2）遵循上、下游兼顾及左、右岸协调的原则，考虑河势的演变情况，堤线布置与水道水流流向相适应，与主流大致平行。堤线应力求平滑顺直，各堤段平缓连接。</w:t>
      </w:r>
    </w:p>
    <w:p>
      <w:pPr>
        <w:spacing w:line="360" w:lineRule="auto"/>
        <w:ind w:firstLine="480" w:firstLineChars="200"/>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（3）充分利用现有防洪设施，在满足流域防洪及堤围总体规划的前提下，尽量利用老堤线，并注重堤、闸协调。</w:t>
      </w:r>
    </w:p>
    <w:p>
      <w:pPr>
        <w:spacing w:line="360" w:lineRule="auto"/>
        <w:ind w:firstLine="480" w:firstLineChars="200"/>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（4）尽量减少房屋拆迁，并利于防汛抢险和管理。</w:t>
      </w:r>
    </w:p>
    <w:p>
      <w:pPr>
        <w:spacing w:line="360" w:lineRule="auto"/>
        <w:ind w:firstLine="480" w:firstLineChars="200"/>
        <w:rPr>
          <w:bCs/>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（5）充分考虑潮汐影响。由于堤线处于水位变动频繁的江海岸地带，加上堤基地质条件较差，在布置堤线时，根据技术经济要求，合理控制堤身高度，力求堤线布置方案的经济合理</w:t>
      </w:r>
      <w:r>
        <w:rPr>
          <w:bCs/>
          <w:color w:val="000000" w:themeColor="text1"/>
          <w:sz w:val="24"/>
          <w:highlight w:val="none"/>
          <w14:textFill>
            <w14:solidFill>
              <w14:schemeClr w14:val="tx1"/>
            </w14:solidFill>
          </w14:textFill>
        </w:rPr>
        <w:t>。</w:t>
      </w:r>
    </w:p>
    <w:p>
      <w:pPr>
        <w:rPr>
          <w:rFonts w:hint="eastAsia" w:ascii="Times New Roman" w:cs="Times New Roman"/>
          <w:highlight w:val="none"/>
          <w:lang w:val="en-US" w:eastAsia="zh-CN"/>
        </w:rPr>
      </w:pPr>
      <w:r>
        <w:rPr>
          <w:rFonts w:hint="eastAsia" w:cs="Times New Roman"/>
          <w:highlight w:val="none"/>
          <w:lang w:val="en-US" w:eastAsia="zh-CN"/>
        </w:rPr>
        <w:t>本工程为重建工程，为顺接上下游堤岸，本工程设计堤线与原堤岸线一致。</w:t>
      </w:r>
    </w:p>
    <w:p>
      <w:pPr>
        <w:pStyle w:val="5"/>
        <w:bidi w:val="0"/>
        <w:ind w:left="720" w:leftChars="0" w:hanging="720" w:firstLineChars="0"/>
        <w:rPr>
          <w:rFonts w:hint="eastAsia" w:ascii="Times New Roman" w:cs="Times New Roman"/>
          <w:highlight w:val="none"/>
          <w:lang w:val="en-US" w:eastAsia="zh-CN"/>
        </w:rPr>
      </w:pPr>
      <w:bookmarkStart w:id="194" w:name="_Toc29936"/>
      <w:r>
        <w:rPr>
          <w:rFonts w:hint="eastAsia" w:ascii="Times New Roman" w:cs="Times New Roman"/>
          <w:highlight w:val="none"/>
          <w:lang w:val="en-US" w:eastAsia="zh-CN"/>
        </w:rPr>
        <w:t>总体布置</w:t>
      </w:r>
      <w:bookmarkEnd w:id="194"/>
    </w:p>
    <w:p>
      <w:pPr>
        <w:bidi w:val="0"/>
        <w:rPr>
          <w:rFonts w:hint="eastAsia"/>
          <w:lang w:val="en-US" w:eastAsia="zh-CN"/>
        </w:rPr>
      </w:pPr>
      <w:r>
        <w:rPr>
          <w:rFonts w:hint="eastAsia"/>
          <w:highlight w:val="none"/>
          <w:lang w:val="en-US" w:eastAsia="zh-CN"/>
        </w:rPr>
        <w:t>桥南街大蕴涌排涝通道改造工程</w:t>
      </w:r>
      <w:r>
        <w:rPr>
          <w:rFonts w:hint="eastAsia" w:ascii="Times New Roman" w:hAnsi="Times New Roman" w:cs="Times New Roman" w:eastAsiaTheme="minorEastAsia"/>
          <w:bCs/>
          <w:sz w:val="24"/>
          <w:szCs w:val="24"/>
          <w:highlight w:val="none"/>
          <w:lang w:val="en-US" w:eastAsia="zh-CN" w:bidi="ar-SA"/>
        </w:rPr>
        <w:t>分</w:t>
      </w:r>
      <w:r>
        <w:rPr>
          <w:rFonts w:hint="eastAsia" w:ascii="Times New Roman" w:hAnsi="Times New Roman" w:cs="Times New Roman" w:eastAsiaTheme="minorEastAsia"/>
          <w:bCs/>
          <w:sz w:val="24"/>
          <w:szCs w:val="24"/>
          <w:lang w:val="en-US" w:eastAsia="zh-CN" w:bidi="ar-SA"/>
        </w:rPr>
        <w:t>二塱西街侧及二塱东街侧，</w:t>
      </w:r>
      <w:r>
        <w:rPr>
          <w:rFonts w:hint="default"/>
          <w:lang w:val="en-US" w:eastAsia="zh-CN"/>
        </w:rPr>
        <w:t>二塱西街侧改造范围位于二塱水闸上游约1</w:t>
      </w:r>
      <w:r>
        <w:rPr>
          <w:rFonts w:hint="eastAsia"/>
          <w:lang w:val="en-US" w:eastAsia="zh-CN"/>
        </w:rPr>
        <w:t>6</w:t>
      </w:r>
      <w:r>
        <w:rPr>
          <w:rFonts w:hint="default"/>
          <w:lang w:val="en-US" w:eastAsia="zh-CN"/>
        </w:rPr>
        <w:t>0~320m处，改造总长度为1</w:t>
      </w:r>
      <w:r>
        <w:rPr>
          <w:rFonts w:hint="eastAsia"/>
          <w:lang w:val="en-US" w:eastAsia="zh-CN"/>
        </w:rPr>
        <w:t>6</w:t>
      </w:r>
      <w:r>
        <w:rPr>
          <w:rFonts w:hint="default"/>
          <w:lang w:val="en-US" w:eastAsia="zh-CN"/>
        </w:rPr>
        <w:t>0m；二塱东街侧改造范围位于福愉东路以南约50~8</w:t>
      </w:r>
      <w:r>
        <w:rPr>
          <w:rFonts w:hint="eastAsia"/>
          <w:lang w:val="en-US" w:eastAsia="zh-CN"/>
        </w:rPr>
        <w:t>6</w:t>
      </w:r>
      <w:r>
        <w:rPr>
          <w:rFonts w:hint="default"/>
          <w:lang w:val="en-US" w:eastAsia="zh-CN"/>
        </w:rPr>
        <w:t>m处，改造总长度为3</w:t>
      </w:r>
      <w:r>
        <w:rPr>
          <w:rFonts w:hint="eastAsia"/>
          <w:lang w:val="en-US" w:eastAsia="zh-CN"/>
        </w:rPr>
        <w:t>6</w:t>
      </w:r>
      <w:r>
        <w:rPr>
          <w:rFonts w:hint="default"/>
          <w:lang w:val="en-US" w:eastAsia="zh-CN"/>
        </w:rPr>
        <w:t>m</w:t>
      </w:r>
      <w:r>
        <w:rPr>
          <w:rFonts w:hint="eastAsia"/>
          <w:lang w:val="en-US" w:eastAsia="zh-CN"/>
        </w:rPr>
        <w:t>。工程总体布置见图5.3-1及表5.3-1。</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center"/>
        <w:textAlignment w:val="auto"/>
      </w:pPr>
      <w:r>
        <w:drawing>
          <wp:inline distT="0" distB="0" distL="114300" distR="114300">
            <wp:extent cx="4158615" cy="3140075"/>
            <wp:effectExtent l="0" t="0" r="13335" b="3175"/>
            <wp:docPr id="4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2"/>
                    <pic:cNvPicPr>
                      <a:picLocks noChangeAspect="1"/>
                    </pic:cNvPicPr>
                  </pic:nvPicPr>
                  <pic:blipFill>
                    <a:blip r:embed="rId64"/>
                    <a:stretch>
                      <a:fillRect/>
                    </a:stretch>
                  </pic:blipFill>
                  <pic:spPr>
                    <a:xfrm>
                      <a:off x="0" y="0"/>
                      <a:ext cx="4158615" cy="3140075"/>
                    </a:xfrm>
                    <a:prstGeom prst="rect">
                      <a:avLst/>
                    </a:prstGeom>
                    <a:noFill/>
                    <a:ln>
                      <a:noFill/>
                    </a:ln>
                  </pic:spPr>
                </pic:pic>
              </a:graphicData>
            </a:graphic>
          </wp:inline>
        </w:drawing>
      </w:r>
    </w:p>
    <w:p>
      <w:pPr>
        <w:pStyle w:val="250"/>
        <w:bidi w:val="0"/>
        <w:rPr>
          <w:rFonts w:hint="default"/>
          <w:color w:val="auto"/>
          <w:lang w:val="en-US" w:eastAsia="zh-CN"/>
        </w:rPr>
      </w:pPr>
      <w:r>
        <w:rPr>
          <w:rFonts w:hint="default"/>
          <w:color w:val="auto"/>
          <w:lang w:eastAsia="zh-CN"/>
        </w:rPr>
        <w:t>图</w:t>
      </w:r>
      <w:r>
        <w:rPr>
          <w:rFonts w:hint="eastAsia"/>
          <w:color w:val="auto"/>
          <w:lang w:val="en-US" w:eastAsia="zh-CN"/>
        </w:rPr>
        <w:t>5.3-1</w:t>
      </w:r>
      <w:r>
        <w:rPr>
          <w:rFonts w:hint="default"/>
          <w:color w:val="auto"/>
          <w:lang w:val="en-US" w:eastAsia="zh-CN"/>
        </w:rPr>
        <w:t xml:space="preserve">   </w:t>
      </w:r>
      <w:r>
        <w:rPr>
          <w:rFonts w:hint="eastAsia"/>
          <w:color w:val="auto"/>
          <w:lang w:val="en-US" w:eastAsia="zh-CN"/>
        </w:rPr>
        <w:t>二塱东街</w:t>
      </w:r>
      <w:r>
        <w:rPr>
          <w:rFonts w:hint="default"/>
          <w:color w:val="auto"/>
          <w:lang w:val="en-US" w:eastAsia="zh-CN"/>
        </w:rPr>
        <w:t>平面布置图</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center"/>
        <w:textAlignment w:val="auto"/>
        <w:rPr>
          <w:rFonts w:hint="default" w:ascii="Times New Roman" w:hAnsi="Times New Roman" w:cs="Times New Roman" w:eastAsiaTheme="minorEastAsia"/>
          <w:color w:val="FF0000"/>
          <w:sz w:val="24"/>
          <w:szCs w:val="24"/>
          <w:lang w:val="en-US" w:eastAsia="zh-CN"/>
        </w:rPr>
      </w:pPr>
      <w:r>
        <w:rPr>
          <w:color w:val="FF0000"/>
        </w:rPr>
        <w:drawing>
          <wp:inline distT="0" distB="0" distL="114300" distR="114300">
            <wp:extent cx="3168650" cy="4798060"/>
            <wp:effectExtent l="0" t="0" r="12700" b="2540"/>
            <wp:docPr id="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9"/>
                    <pic:cNvPicPr>
                      <a:picLocks noChangeAspect="1"/>
                    </pic:cNvPicPr>
                  </pic:nvPicPr>
                  <pic:blipFill>
                    <a:blip r:embed="rId65"/>
                    <a:stretch>
                      <a:fillRect/>
                    </a:stretch>
                  </pic:blipFill>
                  <pic:spPr>
                    <a:xfrm>
                      <a:off x="0" y="0"/>
                      <a:ext cx="3168650" cy="4798060"/>
                    </a:xfrm>
                    <a:prstGeom prst="rect">
                      <a:avLst/>
                    </a:prstGeom>
                    <a:noFill/>
                    <a:ln>
                      <a:noFill/>
                    </a:ln>
                  </pic:spPr>
                </pic:pic>
              </a:graphicData>
            </a:graphic>
          </wp:inline>
        </w:drawing>
      </w:r>
    </w:p>
    <w:p>
      <w:pPr>
        <w:pStyle w:val="250"/>
        <w:bidi w:val="0"/>
        <w:rPr>
          <w:rFonts w:hint="default"/>
          <w:color w:val="auto"/>
          <w:lang w:val="en-US" w:eastAsia="zh-CN"/>
        </w:rPr>
      </w:pPr>
      <w:r>
        <w:rPr>
          <w:rFonts w:hint="default"/>
          <w:color w:val="auto"/>
          <w:lang w:eastAsia="zh-CN"/>
        </w:rPr>
        <w:t>图</w:t>
      </w:r>
      <w:r>
        <w:rPr>
          <w:rFonts w:hint="eastAsia"/>
          <w:color w:val="auto"/>
          <w:lang w:val="en-US" w:eastAsia="zh-CN"/>
        </w:rPr>
        <w:t>5.3-2</w:t>
      </w:r>
      <w:r>
        <w:rPr>
          <w:rFonts w:hint="default"/>
          <w:color w:val="auto"/>
          <w:lang w:val="en-US" w:eastAsia="zh-CN"/>
        </w:rPr>
        <w:t xml:space="preserve">   </w:t>
      </w:r>
      <w:r>
        <w:rPr>
          <w:rFonts w:hint="eastAsia"/>
          <w:color w:val="auto"/>
          <w:lang w:val="en-US" w:eastAsia="zh-CN"/>
        </w:rPr>
        <w:t>二塱西街</w:t>
      </w:r>
      <w:r>
        <w:rPr>
          <w:rFonts w:hint="default"/>
          <w:color w:val="auto"/>
          <w:lang w:val="en-US" w:eastAsia="zh-CN"/>
        </w:rPr>
        <w:t>平面布置图</w:t>
      </w:r>
    </w:p>
    <w:p>
      <w:pPr>
        <w:pStyle w:val="250"/>
        <w:bidi w:val="0"/>
        <w:rPr>
          <w:rFonts w:hint="default"/>
          <w:lang w:val="en-US" w:eastAsia="zh-CN"/>
        </w:rPr>
      </w:pPr>
      <w:r>
        <w:rPr>
          <w:rFonts w:hint="eastAsia"/>
          <w:lang w:val="en-US" w:eastAsia="zh-CN"/>
        </w:rPr>
        <w:t>表5.3-1 工程布置表</w:t>
      </w:r>
    </w:p>
    <w:tbl>
      <w:tblPr>
        <w:tblStyle w:val="45"/>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5"/>
        <w:gridCol w:w="2732"/>
        <w:gridCol w:w="1014"/>
        <w:gridCol w:w="44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 w:type="pct"/>
            <w:vMerge w:val="restart"/>
            <w:vAlign w:val="center"/>
          </w:tcPr>
          <w:p>
            <w:pPr>
              <w:pStyle w:val="54"/>
              <w:widowControl w:val="0"/>
              <w:bidi w:val="0"/>
              <w:rPr>
                <w:rFonts w:hint="default"/>
                <w:kern w:val="0"/>
                <w:lang w:val="en-US" w:eastAsia="zh-CN"/>
              </w:rPr>
            </w:pPr>
            <w:r>
              <w:rPr>
                <w:rFonts w:hint="eastAsia"/>
                <w:kern w:val="0"/>
                <w:lang w:val="en-US" w:eastAsia="zh-CN"/>
              </w:rPr>
              <w:t>二塱西街</w:t>
            </w:r>
          </w:p>
        </w:tc>
        <w:tc>
          <w:tcPr>
            <w:tcW w:w="1471" w:type="pct"/>
            <w:vAlign w:val="center"/>
          </w:tcPr>
          <w:p>
            <w:pPr>
              <w:pStyle w:val="54"/>
              <w:widowControl w:val="0"/>
              <w:bidi w:val="0"/>
              <w:rPr>
                <w:rFonts w:hint="default"/>
                <w:kern w:val="0"/>
                <w:lang w:val="en-US" w:eastAsia="zh-CN"/>
              </w:rPr>
            </w:pPr>
            <w:r>
              <w:rPr>
                <w:rFonts w:hint="eastAsia"/>
                <w:kern w:val="0"/>
                <w:lang w:val="en-US" w:eastAsia="zh-CN"/>
              </w:rPr>
              <w:t>桩号</w:t>
            </w:r>
          </w:p>
        </w:tc>
        <w:tc>
          <w:tcPr>
            <w:tcW w:w="546" w:type="pct"/>
            <w:vAlign w:val="center"/>
          </w:tcPr>
          <w:p>
            <w:pPr>
              <w:pStyle w:val="54"/>
              <w:widowControl w:val="0"/>
              <w:bidi w:val="0"/>
              <w:rPr>
                <w:rFonts w:hint="default"/>
                <w:kern w:val="0"/>
                <w:lang w:val="en-US" w:eastAsia="zh-CN"/>
              </w:rPr>
            </w:pPr>
            <w:r>
              <w:rPr>
                <w:rFonts w:hint="eastAsia"/>
                <w:kern w:val="0"/>
                <w:lang w:val="en-US" w:eastAsia="zh-CN"/>
              </w:rPr>
              <w:t>长度(m）</w:t>
            </w:r>
          </w:p>
        </w:tc>
        <w:tc>
          <w:tcPr>
            <w:tcW w:w="2401" w:type="pct"/>
            <w:vAlign w:val="center"/>
          </w:tcPr>
          <w:p>
            <w:pPr>
              <w:pStyle w:val="54"/>
              <w:widowControl w:val="0"/>
              <w:bidi w:val="0"/>
              <w:rPr>
                <w:rFonts w:hint="default"/>
                <w:kern w:val="0"/>
                <w:lang w:val="en-US" w:eastAsia="zh-CN"/>
              </w:rPr>
            </w:pPr>
            <w:r>
              <w:rPr>
                <w:rFonts w:hint="eastAsia"/>
                <w:kern w:val="0"/>
                <w:lang w:val="en-US" w:eastAsia="zh-CN"/>
              </w:rPr>
              <w:t>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579" w:type="pct"/>
            <w:vMerge w:val="continue"/>
            <w:vAlign w:val="center"/>
          </w:tcPr>
          <w:p>
            <w:pPr>
              <w:pStyle w:val="54"/>
              <w:widowControl w:val="0"/>
              <w:bidi w:val="0"/>
              <w:rPr>
                <w:rFonts w:hint="default"/>
                <w:kern w:val="0"/>
                <w:lang w:val="en-US" w:eastAsia="zh-CN"/>
              </w:rPr>
            </w:pPr>
          </w:p>
        </w:tc>
        <w:tc>
          <w:tcPr>
            <w:tcW w:w="1471" w:type="pct"/>
            <w:vAlign w:val="center"/>
          </w:tcPr>
          <w:p>
            <w:pPr>
              <w:pStyle w:val="54"/>
              <w:widowControl w:val="0"/>
              <w:bidi w:val="0"/>
              <w:rPr>
                <w:rFonts w:hint="default"/>
                <w:kern w:val="0"/>
                <w:lang w:val="en-US" w:eastAsia="zh-CN"/>
              </w:rPr>
            </w:pPr>
            <w:r>
              <w:rPr>
                <w:rFonts w:hint="default"/>
                <w:kern w:val="0"/>
                <w:lang w:val="en-US" w:eastAsia="zh-CN"/>
              </w:rPr>
              <w:t>K0+000.00~K0+0</w:t>
            </w:r>
            <w:r>
              <w:rPr>
                <w:rFonts w:hint="eastAsia"/>
                <w:kern w:val="0"/>
                <w:lang w:val="en-US" w:eastAsia="zh-CN"/>
              </w:rPr>
              <w:t>8</w:t>
            </w:r>
            <w:r>
              <w:rPr>
                <w:rFonts w:hint="default"/>
                <w:kern w:val="0"/>
                <w:lang w:val="en-US" w:eastAsia="zh-CN"/>
              </w:rPr>
              <w:t>9.00</w:t>
            </w:r>
          </w:p>
        </w:tc>
        <w:tc>
          <w:tcPr>
            <w:tcW w:w="546" w:type="pct"/>
            <w:vAlign w:val="center"/>
          </w:tcPr>
          <w:p>
            <w:pPr>
              <w:pStyle w:val="54"/>
              <w:widowControl w:val="0"/>
              <w:bidi w:val="0"/>
              <w:rPr>
                <w:rFonts w:hint="default"/>
                <w:kern w:val="0"/>
                <w:lang w:val="en-US" w:eastAsia="zh-CN"/>
              </w:rPr>
            </w:pPr>
            <w:r>
              <w:rPr>
                <w:rFonts w:hint="eastAsia"/>
                <w:kern w:val="0"/>
                <w:lang w:val="en-US" w:eastAsia="zh-CN"/>
              </w:rPr>
              <w:t>89</w:t>
            </w:r>
          </w:p>
        </w:tc>
        <w:tc>
          <w:tcPr>
            <w:tcW w:w="2401" w:type="pct"/>
            <w:vMerge w:val="restart"/>
            <w:vAlign w:val="center"/>
          </w:tcPr>
          <w:p>
            <w:pPr>
              <w:pStyle w:val="54"/>
              <w:widowControl w:val="0"/>
              <w:bidi w:val="0"/>
              <w:rPr>
                <w:rFonts w:hint="default"/>
                <w:kern w:val="0"/>
                <w:lang w:val="en-US" w:eastAsia="zh-CN"/>
              </w:rPr>
            </w:pPr>
            <w:r>
              <w:rPr>
                <w:rFonts w:hint="eastAsia"/>
                <w:kern w:val="0"/>
                <w:lang w:val="en-US" w:eastAsia="zh-CN"/>
              </w:rPr>
              <w:t>①</w:t>
            </w:r>
            <w:r>
              <w:rPr>
                <w:rFonts w:hint="default"/>
                <w:kern w:val="0"/>
                <w:lang w:val="en-US" w:eastAsia="zh-CN"/>
              </w:rPr>
              <w:t>堤身灌浆、重建堤顶路基及路面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579" w:type="pct"/>
            <w:vMerge w:val="continue"/>
            <w:vAlign w:val="center"/>
          </w:tcPr>
          <w:p>
            <w:pPr>
              <w:pStyle w:val="54"/>
              <w:widowControl w:val="0"/>
              <w:bidi w:val="0"/>
              <w:rPr>
                <w:kern w:val="0"/>
              </w:rPr>
            </w:pPr>
          </w:p>
        </w:tc>
        <w:tc>
          <w:tcPr>
            <w:tcW w:w="1471" w:type="pct"/>
            <w:vAlign w:val="center"/>
          </w:tcPr>
          <w:p>
            <w:pPr>
              <w:pStyle w:val="54"/>
              <w:widowControl w:val="0"/>
              <w:bidi w:val="0"/>
              <w:rPr>
                <w:kern w:val="0"/>
              </w:rPr>
            </w:pPr>
            <w:r>
              <w:rPr>
                <w:rFonts w:hint="default"/>
                <w:kern w:val="0"/>
                <w:lang w:val="en-US" w:eastAsia="zh-CN"/>
              </w:rPr>
              <w:t>K0+1</w:t>
            </w:r>
            <w:r>
              <w:rPr>
                <w:rFonts w:hint="eastAsia"/>
                <w:kern w:val="0"/>
                <w:lang w:val="en-US" w:eastAsia="zh-CN"/>
              </w:rPr>
              <w:t>3</w:t>
            </w:r>
            <w:r>
              <w:rPr>
                <w:rFonts w:hint="default"/>
                <w:kern w:val="0"/>
                <w:lang w:val="en-US" w:eastAsia="zh-CN"/>
              </w:rPr>
              <w:t>7.00~K0+1</w:t>
            </w:r>
            <w:r>
              <w:rPr>
                <w:rFonts w:hint="eastAsia"/>
                <w:kern w:val="0"/>
                <w:lang w:val="en-US" w:eastAsia="zh-CN"/>
              </w:rPr>
              <w:t>6</w:t>
            </w:r>
            <w:r>
              <w:rPr>
                <w:rFonts w:hint="default"/>
                <w:kern w:val="0"/>
                <w:lang w:val="en-US" w:eastAsia="zh-CN"/>
              </w:rPr>
              <w:t>0.00</w:t>
            </w:r>
          </w:p>
        </w:tc>
        <w:tc>
          <w:tcPr>
            <w:tcW w:w="546" w:type="pct"/>
            <w:vAlign w:val="center"/>
          </w:tcPr>
          <w:p>
            <w:pPr>
              <w:pStyle w:val="54"/>
              <w:widowControl w:val="0"/>
              <w:bidi w:val="0"/>
              <w:rPr>
                <w:rFonts w:hint="default"/>
                <w:kern w:val="0"/>
                <w:lang w:val="en-US" w:eastAsia="zh-CN"/>
              </w:rPr>
            </w:pPr>
            <w:r>
              <w:rPr>
                <w:rFonts w:hint="eastAsia"/>
                <w:kern w:val="0"/>
                <w:lang w:val="en-US" w:eastAsia="zh-CN"/>
              </w:rPr>
              <w:t>23</w:t>
            </w:r>
          </w:p>
        </w:tc>
        <w:tc>
          <w:tcPr>
            <w:tcW w:w="2401" w:type="pct"/>
            <w:vMerge w:val="continue"/>
            <w:vAlign w:val="center"/>
          </w:tcPr>
          <w:p>
            <w:pPr>
              <w:pStyle w:val="54"/>
              <w:widowControl w:val="0"/>
              <w:bidi w:val="0"/>
              <w:rPr>
                <w:rFonts w:hint="default"/>
                <w:kern w:val="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579" w:type="pct"/>
            <w:vMerge w:val="continue"/>
            <w:vAlign w:val="center"/>
          </w:tcPr>
          <w:p>
            <w:pPr>
              <w:pStyle w:val="54"/>
              <w:widowControl w:val="0"/>
              <w:bidi w:val="0"/>
              <w:rPr>
                <w:rFonts w:hint="default"/>
                <w:kern w:val="0"/>
                <w:lang w:val="en-US" w:eastAsia="zh-CN"/>
              </w:rPr>
            </w:pPr>
          </w:p>
        </w:tc>
        <w:tc>
          <w:tcPr>
            <w:tcW w:w="1471" w:type="pct"/>
            <w:vAlign w:val="center"/>
          </w:tcPr>
          <w:p>
            <w:pPr>
              <w:pStyle w:val="54"/>
              <w:widowControl w:val="0"/>
              <w:bidi w:val="0"/>
              <w:rPr>
                <w:rFonts w:hint="default"/>
                <w:kern w:val="0"/>
                <w:lang w:val="en-US" w:eastAsia="zh-CN"/>
              </w:rPr>
            </w:pPr>
            <w:r>
              <w:rPr>
                <w:rFonts w:hint="default"/>
                <w:kern w:val="0"/>
                <w:lang w:val="en-US" w:eastAsia="zh-CN"/>
              </w:rPr>
              <w:t>K0+0</w:t>
            </w:r>
            <w:r>
              <w:rPr>
                <w:rFonts w:hint="eastAsia"/>
                <w:kern w:val="0"/>
                <w:lang w:val="en-US" w:eastAsia="zh-CN"/>
              </w:rPr>
              <w:t>8</w:t>
            </w:r>
            <w:r>
              <w:rPr>
                <w:rFonts w:hint="default"/>
                <w:kern w:val="0"/>
                <w:lang w:val="en-US" w:eastAsia="zh-CN"/>
              </w:rPr>
              <w:t>9.00~K0+1</w:t>
            </w:r>
            <w:r>
              <w:rPr>
                <w:rFonts w:hint="eastAsia"/>
                <w:kern w:val="0"/>
                <w:lang w:val="en-US" w:eastAsia="zh-CN"/>
              </w:rPr>
              <w:t>0</w:t>
            </w:r>
            <w:r>
              <w:rPr>
                <w:rFonts w:hint="default"/>
                <w:kern w:val="0"/>
                <w:lang w:val="en-US" w:eastAsia="zh-CN"/>
              </w:rPr>
              <w:t>1.00</w:t>
            </w:r>
          </w:p>
        </w:tc>
        <w:tc>
          <w:tcPr>
            <w:tcW w:w="546" w:type="pct"/>
            <w:vAlign w:val="center"/>
          </w:tcPr>
          <w:p>
            <w:pPr>
              <w:pStyle w:val="54"/>
              <w:widowControl w:val="0"/>
              <w:bidi w:val="0"/>
              <w:rPr>
                <w:rFonts w:hint="default"/>
                <w:kern w:val="0"/>
                <w:lang w:val="en-US" w:eastAsia="zh-CN"/>
              </w:rPr>
            </w:pPr>
            <w:r>
              <w:rPr>
                <w:rFonts w:hint="eastAsia"/>
                <w:kern w:val="0"/>
                <w:lang w:val="en-US" w:eastAsia="zh-CN"/>
              </w:rPr>
              <w:t>12</w:t>
            </w:r>
          </w:p>
        </w:tc>
        <w:tc>
          <w:tcPr>
            <w:tcW w:w="2401" w:type="pct"/>
            <w:vMerge w:val="restart"/>
            <w:vAlign w:val="center"/>
          </w:tcPr>
          <w:p>
            <w:pPr>
              <w:pStyle w:val="54"/>
              <w:widowControl w:val="0"/>
              <w:bidi w:val="0"/>
              <w:rPr>
                <w:rFonts w:hint="default"/>
                <w:kern w:val="0"/>
                <w:lang w:val="en-US" w:eastAsia="zh-CN"/>
              </w:rPr>
            </w:pPr>
            <w:r>
              <w:rPr>
                <w:rFonts w:hint="eastAsia"/>
                <w:kern w:val="0"/>
                <w:lang w:val="en-US" w:eastAsia="zh-CN"/>
              </w:rPr>
              <w:t>①</w:t>
            </w:r>
            <w:r>
              <w:rPr>
                <w:rFonts w:hint="default"/>
                <w:kern w:val="0"/>
                <w:lang w:val="en-US" w:eastAsia="zh-CN"/>
              </w:rPr>
              <w:t>堤身灌浆、重建堤顶路基及路面</w:t>
            </w:r>
          </w:p>
          <w:p>
            <w:pPr>
              <w:pStyle w:val="54"/>
              <w:widowControl w:val="0"/>
              <w:bidi w:val="0"/>
              <w:rPr>
                <w:rFonts w:hint="default"/>
                <w:kern w:val="0"/>
                <w:lang w:val="en-US" w:eastAsia="zh-CN"/>
              </w:rPr>
            </w:pPr>
            <w:r>
              <w:rPr>
                <w:rFonts w:hint="default"/>
                <w:kern w:val="0"/>
                <w:lang w:val="en-US" w:eastAsia="zh-CN"/>
              </w:rPr>
              <w:t>②修复路侧绿化灌木带</w:t>
            </w:r>
          </w:p>
          <w:p>
            <w:pPr>
              <w:pStyle w:val="54"/>
              <w:widowControl w:val="0"/>
              <w:bidi w:val="0"/>
              <w:rPr>
                <w:rFonts w:hint="default"/>
                <w:kern w:val="0"/>
                <w:lang w:val="en-US" w:eastAsia="zh-CN"/>
              </w:rPr>
            </w:pPr>
            <w:r>
              <w:rPr>
                <w:rFonts w:hint="default"/>
                <w:kern w:val="0"/>
                <w:lang w:val="en-US" w:eastAsia="zh-CN"/>
              </w:rPr>
              <w:t>③重建堤顶沿线污水管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579" w:type="pct"/>
            <w:vMerge w:val="continue"/>
            <w:vAlign w:val="center"/>
          </w:tcPr>
          <w:p>
            <w:pPr>
              <w:pStyle w:val="54"/>
              <w:widowControl w:val="0"/>
              <w:bidi w:val="0"/>
              <w:rPr>
                <w:kern w:val="0"/>
              </w:rPr>
            </w:pPr>
          </w:p>
        </w:tc>
        <w:tc>
          <w:tcPr>
            <w:tcW w:w="1471" w:type="pct"/>
            <w:vAlign w:val="center"/>
          </w:tcPr>
          <w:p>
            <w:pPr>
              <w:pStyle w:val="54"/>
              <w:widowControl w:val="0"/>
              <w:bidi w:val="0"/>
              <w:rPr>
                <w:rFonts w:hint="default"/>
                <w:kern w:val="0"/>
                <w:lang w:val="en-US" w:eastAsia="zh-CN"/>
              </w:rPr>
            </w:pPr>
            <w:r>
              <w:rPr>
                <w:rFonts w:hint="eastAsia"/>
                <w:kern w:val="0"/>
                <w:lang w:val="en-US" w:eastAsia="zh-CN"/>
              </w:rPr>
              <w:t>K0+130.00~K0+137.00</w:t>
            </w:r>
          </w:p>
        </w:tc>
        <w:tc>
          <w:tcPr>
            <w:tcW w:w="546" w:type="pct"/>
            <w:vAlign w:val="center"/>
          </w:tcPr>
          <w:p>
            <w:pPr>
              <w:pStyle w:val="54"/>
              <w:widowControl w:val="0"/>
              <w:bidi w:val="0"/>
              <w:rPr>
                <w:rFonts w:hint="default"/>
                <w:kern w:val="0"/>
                <w:lang w:val="en-US" w:eastAsia="zh-CN"/>
              </w:rPr>
            </w:pPr>
            <w:r>
              <w:rPr>
                <w:rFonts w:hint="eastAsia"/>
                <w:kern w:val="0"/>
                <w:lang w:val="en-US" w:eastAsia="zh-CN"/>
              </w:rPr>
              <w:t>7</w:t>
            </w:r>
          </w:p>
        </w:tc>
        <w:tc>
          <w:tcPr>
            <w:tcW w:w="2401" w:type="pct"/>
            <w:vMerge w:val="continue"/>
            <w:vAlign w:val="center"/>
          </w:tcPr>
          <w:p>
            <w:pPr>
              <w:pStyle w:val="54"/>
              <w:widowControl w:val="0"/>
              <w:bidi w:val="0"/>
              <w:rPr>
                <w:rFonts w:hint="default"/>
                <w:kern w:val="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 w:type="pct"/>
            <w:vMerge w:val="continue"/>
            <w:vAlign w:val="center"/>
          </w:tcPr>
          <w:p>
            <w:pPr>
              <w:pStyle w:val="54"/>
              <w:widowControl w:val="0"/>
              <w:bidi w:val="0"/>
              <w:rPr>
                <w:rFonts w:hint="default"/>
                <w:kern w:val="0"/>
                <w:lang w:val="en-US" w:eastAsia="zh-CN"/>
              </w:rPr>
            </w:pPr>
          </w:p>
        </w:tc>
        <w:tc>
          <w:tcPr>
            <w:tcW w:w="1471" w:type="pct"/>
            <w:vAlign w:val="center"/>
          </w:tcPr>
          <w:p>
            <w:pPr>
              <w:pStyle w:val="54"/>
              <w:widowControl w:val="0"/>
              <w:bidi w:val="0"/>
              <w:rPr>
                <w:rFonts w:hint="default"/>
                <w:kern w:val="0"/>
                <w:lang w:val="en-US" w:eastAsia="zh-CN"/>
              </w:rPr>
            </w:pPr>
            <w:r>
              <w:rPr>
                <w:rFonts w:hint="default"/>
                <w:kern w:val="0"/>
                <w:lang w:val="en-US" w:eastAsia="zh-CN"/>
              </w:rPr>
              <w:t>K0+1</w:t>
            </w:r>
            <w:r>
              <w:rPr>
                <w:rFonts w:hint="eastAsia"/>
                <w:kern w:val="0"/>
                <w:lang w:val="en-US" w:eastAsia="zh-CN"/>
              </w:rPr>
              <w:t>0</w:t>
            </w:r>
            <w:r>
              <w:rPr>
                <w:rFonts w:hint="default"/>
                <w:kern w:val="0"/>
                <w:lang w:val="en-US" w:eastAsia="zh-CN"/>
              </w:rPr>
              <w:t>1.00~K0+1</w:t>
            </w:r>
            <w:r>
              <w:rPr>
                <w:rFonts w:hint="eastAsia"/>
                <w:kern w:val="0"/>
                <w:lang w:val="en-US" w:eastAsia="zh-CN"/>
              </w:rPr>
              <w:t>3</w:t>
            </w:r>
            <w:r>
              <w:rPr>
                <w:rFonts w:hint="default"/>
                <w:kern w:val="0"/>
                <w:lang w:val="en-US" w:eastAsia="zh-CN"/>
              </w:rPr>
              <w:t>0.00</w:t>
            </w:r>
          </w:p>
        </w:tc>
        <w:tc>
          <w:tcPr>
            <w:tcW w:w="546" w:type="pct"/>
            <w:vAlign w:val="center"/>
          </w:tcPr>
          <w:p>
            <w:pPr>
              <w:pStyle w:val="54"/>
              <w:widowControl w:val="0"/>
              <w:bidi w:val="0"/>
              <w:rPr>
                <w:rFonts w:hint="default"/>
                <w:kern w:val="0"/>
                <w:lang w:val="en-US" w:eastAsia="zh-CN"/>
              </w:rPr>
            </w:pPr>
            <w:r>
              <w:rPr>
                <w:rFonts w:hint="eastAsia"/>
                <w:kern w:val="0"/>
                <w:lang w:val="en-US" w:eastAsia="zh-CN"/>
              </w:rPr>
              <w:t>29</w:t>
            </w:r>
          </w:p>
        </w:tc>
        <w:tc>
          <w:tcPr>
            <w:tcW w:w="2401" w:type="pct"/>
            <w:vAlign w:val="center"/>
          </w:tcPr>
          <w:p>
            <w:pPr>
              <w:pStyle w:val="54"/>
              <w:widowControl w:val="0"/>
              <w:bidi w:val="0"/>
              <w:rPr>
                <w:rFonts w:hint="default"/>
                <w:kern w:val="0"/>
                <w:lang w:val="en-US" w:eastAsia="zh-CN"/>
              </w:rPr>
            </w:pPr>
            <w:r>
              <w:rPr>
                <w:rFonts w:hint="default"/>
                <w:kern w:val="0"/>
                <w:lang w:val="en-US" w:eastAsia="zh-CN"/>
              </w:rPr>
              <w:t>①堤身灌浆、重建堤顶路基及路面</w:t>
            </w:r>
          </w:p>
          <w:p>
            <w:pPr>
              <w:pStyle w:val="54"/>
              <w:widowControl w:val="0"/>
              <w:bidi w:val="0"/>
              <w:rPr>
                <w:rFonts w:hint="default"/>
                <w:kern w:val="0"/>
                <w:lang w:val="en-US" w:eastAsia="zh-CN"/>
              </w:rPr>
            </w:pPr>
            <w:r>
              <w:rPr>
                <w:rFonts w:hint="default"/>
                <w:kern w:val="0"/>
                <w:lang w:val="en-US" w:eastAsia="zh-CN"/>
              </w:rPr>
              <w:t>②修复路侧绿化灌木</w:t>
            </w:r>
          </w:p>
          <w:p>
            <w:pPr>
              <w:pStyle w:val="54"/>
              <w:widowControl w:val="0"/>
              <w:bidi w:val="0"/>
              <w:rPr>
                <w:rFonts w:hint="default"/>
                <w:kern w:val="0"/>
                <w:lang w:val="en-US" w:eastAsia="zh-CN"/>
              </w:rPr>
            </w:pPr>
            <w:r>
              <w:rPr>
                <w:rFonts w:hint="default"/>
                <w:kern w:val="0"/>
                <w:lang w:val="en-US" w:eastAsia="zh-CN"/>
              </w:rPr>
              <w:t>③重建外侧钢筋砼挡墙及修复墙顶石材栏杆</w:t>
            </w:r>
          </w:p>
          <w:p>
            <w:pPr>
              <w:pStyle w:val="54"/>
              <w:widowControl w:val="0"/>
              <w:bidi w:val="0"/>
              <w:rPr>
                <w:rFonts w:hint="default"/>
                <w:kern w:val="0"/>
                <w:lang w:val="en-US" w:eastAsia="zh-CN"/>
              </w:rPr>
            </w:pPr>
            <w:r>
              <w:rPr>
                <w:rFonts w:hint="default"/>
                <w:kern w:val="0"/>
                <w:lang w:val="en-US" w:eastAsia="zh-CN"/>
              </w:rPr>
              <w:t>④重建堤顶沿线污水管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 w:type="pct"/>
            <w:vAlign w:val="center"/>
          </w:tcPr>
          <w:p>
            <w:pPr>
              <w:pStyle w:val="54"/>
              <w:widowControl w:val="0"/>
              <w:bidi w:val="0"/>
              <w:rPr>
                <w:rFonts w:hint="default"/>
                <w:kern w:val="0"/>
                <w:lang w:val="en-US" w:eastAsia="zh-CN"/>
              </w:rPr>
            </w:pPr>
            <w:r>
              <w:rPr>
                <w:rFonts w:hint="eastAsia"/>
                <w:kern w:val="0"/>
                <w:lang w:val="en-US" w:eastAsia="zh-CN"/>
              </w:rPr>
              <w:t>二塱东街</w:t>
            </w:r>
          </w:p>
        </w:tc>
        <w:tc>
          <w:tcPr>
            <w:tcW w:w="1471" w:type="pct"/>
            <w:vAlign w:val="center"/>
          </w:tcPr>
          <w:p>
            <w:pPr>
              <w:pStyle w:val="54"/>
              <w:widowControl w:val="0"/>
              <w:bidi w:val="0"/>
              <w:rPr>
                <w:rFonts w:hint="default"/>
                <w:kern w:val="0"/>
                <w:lang w:val="en-US" w:eastAsia="zh-CN"/>
              </w:rPr>
            </w:pPr>
            <w:r>
              <w:rPr>
                <w:rFonts w:hint="eastAsia"/>
                <w:kern w:val="0"/>
                <w:lang w:val="en-US" w:eastAsia="zh-CN"/>
              </w:rPr>
              <w:t>LK</w:t>
            </w:r>
            <w:r>
              <w:rPr>
                <w:rFonts w:hint="default"/>
                <w:kern w:val="0"/>
                <w:lang w:val="en-US" w:eastAsia="zh-CN"/>
              </w:rPr>
              <w:t>0+000.00~</w:t>
            </w:r>
            <w:r>
              <w:rPr>
                <w:rFonts w:hint="eastAsia"/>
                <w:kern w:val="0"/>
                <w:lang w:val="en-US" w:eastAsia="zh-CN"/>
              </w:rPr>
              <w:t>LK</w:t>
            </w:r>
            <w:r>
              <w:rPr>
                <w:rFonts w:hint="default"/>
                <w:kern w:val="0"/>
                <w:lang w:val="en-US" w:eastAsia="zh-CN"/>
              </w:rPr>
              <w:t>0+03</w:t>
            </w:r>
            <w:r>
              <w:rPr>
                <w:rFonts w:hint="eastAsia"/>
                <w:kern w:val="0"/>
                <w:lang w:val="en-US" w:eastAsia="zh-CN"/>
              </w:rPr>
              <w:t>6</w:t>
            </w:r>
            <w:r>
              <w:rPr>
                <w:rFonts w:hint="default"/>
                <w:kern w:val="0"/>
                <w:lang w:val="en-US" w:eastAsia="zh-CN"/>
              </w:rPr>
              <w:t>.00</w:t>
            </w:r>
          </w:p>
        </w:tc>
        <w:tc>
          <w:tcPr>
            <w:tcW w:w="546" w:type="pct"/>
            <w:vAlign w:val="center"/>
          </w:tcPr>
          <w:p>
            <w:pPr>
              <w:pStyle w:val="54"/>
              <w:widowControl w:val="0"/>
              <w:bidi w:val="0"/>
              <w:rPr>
                <w:rFonts w:hint="default"/>
                <w:kern w:val="0"/>
                <w:lang w:val="en-US" w:eastAsia="zh-CN"/>
              </w:rPr>
            </w:pPr>
            <w:r>
              <w:rPr>
                <w:rFonts w:hint="eastAsia"/>
                <w:kern w:val="0"/>
                <w:lang w:val="en-US" w:eastAsia="zh-CN"/>
              </w:rPr>
              <w:t>36</w:t>
            </w:r>
          </w:p>
        </w:tc>
        <w:tc>
          <w:tcPr>
            <w:tcW w:w="2401" w:type="pct"/>
            <w:vAlign w:val="center"/>
          </w:tcPr>
          <w:p>
            <w:pPr>
              <w:pStyle w:val="54"/>
              <w:widowControl w:val="0"/>
              <w:bidi w:val="0"/>
              <w:rPr>
                <w:rFonts w:hint="default"/>
                <w:kern w:val="0"/>
                <w:lang w:val="en-US" w:eastAsia="zh-CN"/>
              </w:rPr>
            </w:pPr>
            <w:r>
              <w:rPr>
                <w:rFonts w:hint="eastAsia"/>
                <w:kern w:val="0"/>
                <w:lang w:val="en-US" w:eastAsia="zh-CN"/>
              </w:rPr>
              <w:t>①</w:t>
            </w:r>
            <w:r>
              <w:rPr>
                <w:rFonts w:hint="default"/>
                <w:kern w:val="0"/>
                <w:lang w:val="en-US" w:eastAsia="zh-CN"/>
              </w:rPr>
              <w:t>堤身灌浆、重建堤顶路基及路面</w:t>
            </w:r>
          </w:p>
        </w:tc>
      </w:tr>
    </w:tbl>
    <w:p>
      <w:pPr>
        <w:pStyle w:val="4"/>
        <w:bidi w:val="0"/>
        <w:ind w:left="575" w:leftChars="0" w:hanging="575" w:firstLineChars="0"/>
        <w:rPr>
          <w:rFonts w:hint="default"/>
          <w:lang w:val="en-US" w:eastAsia="zh-CN"/>
        </w:rPr>
      </w:pPr>
      <w:bookmarkStart w:id="195" w:name="_Toc28452"/>
      <w:bookmarkStart w:id="196" w:name="_Toc23800"/>
      <w:bookmarkStart w:id="197" w:name="_Toc27798"/>
      <w:bookmarkStart w:id="198" w:name="_Toc26220"/>
      <w:bookmarkStart w:id="199" w:name="_Toc31427"/>
      <w:bookmarkStart w:id="200" w:name="_Toc58343070"/>
      <w:r>
        <w:rPr>
          <w:rFonts w:hint="default"/>
          <w:lang w:val="en-US" w:eastAsia="zh-CN"/>
        </w:rPr>
        <w:t>堤顶高程</w:t>
      </w:r>
      <w:bookmarkEnd w:id="195"/>
      <w:bookmarkEnd w:id="196"/>
      <w:bookmarkEnd w:id="197"/>
      <w:bookmarkEnd w:id="198"/>
      <w:bookmarkEnd w:id="199"/>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根据相关规范，堤顶高程应根据设计高潮位、波浪爬高及安全加高值确定，计算公式如下。</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center"/>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object>
          <v:shape id="_x0000_i1044" o:spt="75" type="#_x0000_t75" style="height:20.25pt;width:83.25pt;" o:ole="t" filled="f" o:preferrelative="t" stroked="f" coordsize="21600,21600">
            <v:path/>
            <v:fill on="f" focussize="0,0"/>
            <v:stroke on="f"/>
            <v:imagedata r:id="rId67" o:title=""/>
            <o:lock v:ext="edit" aspectratio="t"/>
            <w10:wrap type="none"/>
            <w10:anchorlock/>
          </v:shape>
          <o:OLEObject Type="Embed" ProgID="Equation.DSMT4" ShapeID="_x0000_i1044" DrawAspect="Content" ObjectID="_1468075744" r:id="rId66">
            <o:LockedField>false</o:LockedField>
          </o:OLEObject>
        </w:objec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式中：</w:t>
      </w:r>
      <w:r>
        <w:rPr>
          <w:rFonts w:hint="default" w:ascii="Times New Roman" w:hAnsi="Times New Roman" w:cs="Times New Roman" w:eastAsiaTheme="minorEastAsia"/>
          <w:sz w:val="24"/>
          <w:szCs w:val="24"/>
          <w:lang w:val="en-US" w:eastAsia="zh-CN"/>
        </w:rPr>
        <w:object>
          <v:shape id="_x0000_i1045" o:spt="75" type="#_x0000_t75" style="height:20.25pt;width:15.75pt;" o:ole="t" filled="f" o:preferrelative="t" stroked="f" coordsize="21600,21600">
            <v:path/>
            <v:fill on="f" focussize="0,0"/>
            <v:stroke on="f" joinstyle="miter"/>
            <v:imagedata r:id="rId69" o:title=""/>
            <o:lock v:ext="edit" aspectratio="t"/>
            <w10:wrap type="none"/>
            <w10:anchorlock/>
          </v:shape>
          <o:OLEObject Type="Embed" ProgID="Equation.DSMT4" ShapeID="_x0000_i1045" DrawAspect="Content" ObjectID="_1468075745" r:id="rId68">
            <o:LockedField>false</o:LockedField>
          </o:OLEObject>
        </w:object>
      </w:r>
      <w:r>
        <w:rPr>
          <w:rFonts w:hint="default" w:ascii="Times New Roman" w:hAnsi="Times New Roman" w:cs="Times New Roman" w:eastAsiaTheme="minorEastAsia"/>
          <w:sz w:val="24"/>
          <w:szCs w:val="24"/>
          <w:lang w:val="en-US" w:eastAsia="zh-CN"/>
        </w:rPr>
        <w:t>——设计频率的堤顶高程，m；</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object>
          <v:shape id="_x0000_i1046" o:spt="75" type="#_x0000_t75" style="height:20.25pt;width:15.75pt;" o:ole="t" filled="f" o:preferrelative="t" stroked="f" coordsize="21600,21600">
            <v:path/>
            <v:fill on="f" focussize="0,0"/>
            <v:stroke on="f" joinstyle="miter"/>
            <v:imagedata r:id="rId71" o:title=""/>
            <o:lock v:ext="edit" aspectratio="t"/>
            <w10:wrap type="none"/>
            <w10:anchorlock/>
          </v:shape>
          <o:OLEObject Type="Embed" ProgID="Equation.DSMT4" ShapeID="_x0000_i1046" DrawAspect="Content" ObjectID="_1468075746" r:id="rId70">
            <o:LockedField>false</o:LockedField>
          </o:OLEObject>
        </w:object>
      </w:r>
      <w:r>
        <w:rPr>
          <w:rFonts w:hint="default" w:ascii="Times New Roman" w:hAnsi="Times New Roman" w:cs="Times New Roman" w:eastAsiaTheme="minorEastAsia"/>
          <w:sz w:val="24"/>
          <w:szCs w:val="24"/>
          <w:lang w:val="en-US" w:eastAsia="zh-CN"/>
        </w:rPr>
        <w:t>——按设计波浪计算的累积频率为F的波浪爬高值（按允许部分越浪设计，取</w:t>
      </w:r>
      <w:r>
        <w:rPr>
          <w:rFonts w:hint="default" w:ascii="Times New Roman" w:hAnsi="Times New Roman" w:cs="Times New Roman" w:eastAsiaTheme="minorEastAsia"/>
          <w:sz w:val="24"/>
          <w:szCs w:val="24"/>
          <w:lang w:val="en-US" w:eastAsia="zh-CN"/>
        </w:rPr>
        <w:object>
          <v:shape id="_x0000_i1047" o:spt="75" type="#_x0000_t75" style="height:15.75pt;width:47.25pt;" o:ole="t" filled="f" o:preferrelative="t" stroked="f" coordsize="21600,21600">
            <v:path/>
            <v:fill on="f" focussize="0,0"/>
            <v:stroke on="f" joinstyle="miter"/>
            <v:imagedata r:id="rId73" o:title=""/>
            <o:lock v:ext="edit" aspectratio="t"/>
            <w10:wrap type="none"/>
            <w10:anchorlock/>
          </v:shape>
          <o:OLEObject Type="Embed" ProgID="Equation.DSMT4" ShapeID="_x0000_i1047" DrawAspect="Content" ObjectID="_1468075747" r:id="rId72">
            <o:LockedField>false</o:LockedField>
          </o:OLEObject>
        </w:object>
      </w:r>
      <w:r>
        <w:rPr>
          <w:rFonts w:hint="default" w:ascii="Times New Roman" w:hAnsi="Times New Roman" w:cs="Times New Roman" w:eastAsiaTheme="minorEastAsia"/>
          <w:sz w:val="24"/>
          <w:szCs w:val="24"/>
          <w:lang w:val="en-US" w:eastAsia="zh-CN"/>
        </w:rPr>
        <w:t>），m；</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object>
          <v:shape id="_x0000_i1048" o:spt="75" type="#_x0000_t75" style="height:11.25pt;width:11.25pt;" o:ole="t" filled="f" o:preferrelative="t" stroked="f" coordsize="21600,21600">
            <v:path/>
            <v:fill on="f" focussize="0,0"/>
            <v:stroke on="f" joinstyle="miter"/>
            <v:imagedata r:id="rId75" o:title=""/>
            <o:lock v:ext="edit" aspectratio="t"/>
            <w10:wrap type="none"/>
            <w10:anchorlock/>
          </v:shape>
          <o:OLEObject Type="Embed" ProgID="Equation.DSMT4" ShapeID="_x0000_i1048" DrawAspect="Content" ObjectID="_1468075748" r:id="rId74">
            <o:LockedField>false</o:LockedField>
          </o:OLEObject>
        </w:object>
      </w:r>
      <w:r>
        <w:rPr>
          <w:rFonts w:hint="default" w:ascii="Times New Roman" w:hAnsi="Times New Roman" w:cs="Times New Roman" w:eastAsiaTheme="minorEastAsia"/>
          <w:sz w:val="24"/>
          <w:szCs w:val="24"/>
          <w:lang w:val="en-US" w:eastAsia="zh-CN"/>
        </w:rPr>
        <w:t>——安全加高值，m；按</w:t>
      </w:r>
      <w:r>
        <w:rPr>
          <w:rFonts w:hint="eastAsia" w:cs="Times New Roman" w:eastAsiaTheme="minorEastAsia"/>
          <w:sz w:val="24"/>
          <w:szCs w:val="24"/>
          <w:lang w:val="en-US" w:eastAsia="zh-CN"/>
        </w:rPr>
        <w:t>不允许</w:t>
      </w:r>
      <w:r>
        <w:rPr>
          <w:rFonts w:hint="default" w:ascii="Times New Roman" w:hAnsi="Times New Roman" w:cs="Times New Roman" w:eastAsiaTheme="minorEastAsia"/>
          <w:sz w:val="24"/>
          <w:szCs w:val="24"/>
          <w:lang w:val="en-US" w:eastAsia="zh-CN"/>
        </w:rPr>
        <w:t>越浪设计取为</w:t>
      </w:r>
      <w:r>
        <w:rPr>
          <w:rFonts w:hint="eastAsia" w:cs="Times New Roman" w:eastAsiaTheme="minorEastAsia"/>
          <w:sz w:val="24"/>
          <w:szCs w:val="24"/>
          <w:lang w:val="en-US" w:eastAsia="zh-CN"/>
        </w:rPr>
        <w:t>0.6</w:t>
      </w:r>
      <w:r>
        <w:rPr>
          <w:rFonts w:hint="default" w:ascii="Times New Roman" w:hAnsi="Times New Roman" w:cs="Times New Roman" w:eastAsiaTheme="minorEastAsia"/>
          <w:sz w:val="24"/>
          <w:szCs w:val="24"/>
          <w:lang w:val="en-US" w:eastAsia="zh-CN"/>
        </w:rPr>
        <w:t>m。</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累计频率为P的波浪爬高Rp计算公式如下。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object>
          <v:shape id="_x0000_i1049" o:spt="75" type="#_x0000_t75" style="height:41.25pt;width:102.75pt;" o:ole="t" filled="f" o:preferrelative="t" stroked="f" coordsize="21600,21600">
            <v:path/>
            <v:fill on="f" focussize="0,0"/>
            <v:stroke on="f" joinstyle="miter"/>
            <v:imagedata r:id="rId77" o:title=""/>
            <o:lock v:ext="edit" aspectratio="t"/>
            <w10:wrap type="none"/>
            <w10:anchorlock/>
          </v:shape>
          <o:OLEObject Type="Embed" ProgID="Equation.3" ShapeID="_x0000_i1049" DrawAspect="Content" ObjectID="_1468075749" r:id="rId76">
            <o:LockedField>false</o:LockedField>
          </o:OLEObject>
        </w:objec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式中：</w:t>
      </w:r>
      <w:r>
        <w:rPr>
          <w:rFonts w:hint="default" w:ascii="Times New Roman" w:hAnsi="Times New Roman" w:cs="Times New Roman" w:eastAsiaTheme="minorEastAsia"/>
          <w:sz w:val="24"/>
          <w:szCs w:val="24"/>
          <w:lang w:val="en-US" w:eastAsia="zh-CN"/>
        </w:rPr>
        <w:object>
          <v:shape id="_x0000_i1050" o:spt="75" type="#_x0000_t75" style="height:20.25pt;width:15.75pt;" o:ole="t" filled="f" o:preferrelative="t" stroked="f" coordsize="21600,21600">
            <v:path/>
            <v:fill on="f" focussize="0,0"/>
            <v:stroke on="f" joinstyle="miter"/>
            <v:imagedata r:id="rId79" o:title=""/>
            <o:lock v:ext="edit" aspectratio="t"/>
            <w10:wrap type="none"/>
            <w10:anchorlock/>
          </v:shape>
          <o:OLEObject Type="Embed" ProgID="Equation.3" ShapeID="_x0000_i1050" DrawAspect="Content" ObjectID="_1468075750" r:id="rId78">
            <o:LockedField>false</o:LockedField>
          </o:OLEObject>
        </w:object>
      </w:r>
      <w:r>
        <w:rPr>
          <w:rFonts w:hint="default" w:ascii="Times New Roman" w:hAnsi="Times New Roman" w:cs="Times New Roman" w:eastAsiaTheme="minorEastAsia"/>
          <w:sz w:val="24"/>
          <w:szCs w:val="24"/>
          <w:lang w:val="en-US" w:eastAsia="zh-CN"/>
        </w:rPr>
        <w:t>——累计频率为P的波浪爬高，m；</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object>
          <v:shape id="_x0000_i1051" o:spt="75" type="#_x0000_t75" style="height:20.25pt;width:15.75pt;" o:ole="t" filled="f" o:preferrelative="t" stroked="f" coordsize="21600,21600">
            <v:path/>
            <v:fill on="f" focussize="0,0"/>
            <v:stroke on="f" joinstyle="miter"/>
            <v:imagedata r:id="rId81" o:title=""/>
            <o:lock v:ext="edit" aspectratio="t"/>
            <w10:wrap type="none"/>
            <w10:anchorlock/>
          </v:shape>
          <o:OLEObject Type="Embed" ProgID="Equation.3" ShapeID="_x0000_i1051" DrawAspect="Content" ObjectID="_1468075751" r:id="rId80">
            <o:LockedField>false</o:LockedField>
          </o:OLEObject>
        </w:object>
      </w:r>
      <w:r>
        <w:rPr>
          <w:rFonts w:hint="default" w:ascii="Times New Roman" w:hAnsi="Times New Roman" w:cs="Times New Roman" w:eastAsiaTheme="minorEastAsia"/>
          <w:sz w:val="24"/>
          <w:szCs w:val="24"/>
          <w:lang w:val="en-US" w:eastAsia="zh-CN"/>
        </w:rPr>
        <w:t>——斜坡糙率及渗透性系数；</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object>
          <v:shape id="_x0000_i1052" o:spt="75" type="#_x0000_t75" style="height:20.25pt;width:15.75pt;" o:ole="t" filled="f" o:preferrelative="t" stroked="f" coordsize="21600,21600">
            <v:path/>
            <v:fill on="f" focussize="0,0"/>
            <v:stroke on="f" joinstyle="miter"/>
            <v:imagedata r:id="rId83" o:title=""/>
            <o:lock v:ext="edit" aspectratio="t"/>
            <w10:wrap type="none"/>
            <w10:anchorlock/>
          </v:shape>
          <o:OLEObject Type="Embed" ProgID="Equation.3" ShapeID="_x0000_i1052" DrawAspect="Content" ObjectID="_1468075752" r:id="rId82">
            <o:LockedField>false</o:LockedField>
          </o:OLEObject>
        </w:object>
      </w:r>
      <w:r>
        <w:rPr>
          <w:rFonts w:hint="default" w:ascii="Times New Roman" w:hAnsi="Times New Roman" w:cs="Times New Roman" w:eastAsiaTheme="minorEastAsia"/>
          <w:sz w:val="24"/>
          <w:szCs w:val="24"/>
          <w:lang w:val="en-US" w:eastAsia="zh-CN"/>
        </w:rPr>
        <w:t>——经验系数；</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object>
          <v:shape id="_x0000_i1053" o:spt="75" type="#_x0000_t75" style="height:20.25pt;width:15.75pt;" o:ole="t" filled="f" o:preferrelative="t" stroked="f" coordsize="21600,21600">
            <v:path/>
            <v:fill on="f" focussize="0,0"/>
            <v:stroke on="f" joinstyle="miter"/>
            <v:imagedata r:id="rId85" o:title=""/>
            <o:lock v:ext="edit" aspectratio="t"/>
            <w10:wrap type="none"/>
            <w10:anchorlock/>
          </v:shape>
          <o:OLEObject Type="Embed" ProgID="Equation.3" ShapeID="_x0000_i1053" DrawAspect="Content" ObjectID="_1468075753" r:id="rId84">
            <o:LockedField>false</o:LockedField>
          </o:OLEObject>
        </w:object>
      </w:r>
      <w:r>
        <w:rPr>
          <w:rFonts w:hint="default" w:ascii="Times New Roman" w:hAnsi="Times New Roman" w:cs="Times New Roman" w:eastAsiaTheme="minorEastAsia"/>
          <w:sz w:val="24"/>
          <w:szCs w:val="24"/>
          <w:lang w:val="en-US" w:eastAsia="zh-CN"/>
        </w:rPr>
        <w:t>——爬高累计频率换算系数。</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highlight w:val="none"/>
          <w:lang w:val="en-US" w:eastAsia="zh-CN"/>
        </w:rPr>
      </w:pPr>
      <w:r>
        <w:rPr>
          <w:rFonts w:hint="eastAsia"/>
          <w:highlight w:val="none"/>
          <w:lang w:eastAsia="zh-CN"/>
        </w:rPr>
        <w:t>根据水面线计算成果，设计水位取</w:t>
      </w:r>
      <w:r>
        <w:rPr>
          <w:rFonts w:hint="eastAsia"/>
          <w:highlight w:val="none"/>
          <w:lang w:val="en-US" w:eastAsia="zh-CN"/>
        </w:rPr>
        <w:t>0.82m，</w:t>
      </w:r>
      <w:r>
        <w:rPr>
          <w:rFonts w:hint="eastAsia"/>
          <w:highlight w:val="none"/>
        </w:rPr>
        <w:t>由于</w:t>
      </w:r>
      <w:r>
        <w:rPr>
          <w:rFonts w:hint="eastAsia"/>
          <w:highlight w:val="none"/>
          <w:lang w:eastAsia="zh-CN"/>
        </w:rPr>
        <w:t>大蕴涌</w:t>
      </w:r>
      <w:r>
        <w:rPr>
          <w:rFonts w:hint="eastAsia"/>
          <w:highlight w:val="none"/>
        </w:rPr>
        <w:t>宽度狭窄，风雍高度及波浪爬高计算值小，本次不考虑风雍高度及波浪爬高。</w:t>
      </w:r>
      <w:r>
        <w:rPr>
          <w:rFonts w:hint="eastAsia" w:ascii="Times New Roman" w:hAnsi="Times New Roman" w:cs="Times New Roman" w:eastAsiaTheme="minorEastAsia"/>
          <w:sz w:val="24"/>
          <w:szCs w:val="24"/>
          <w:highlight w:val="none"/>
          <w:lang w:val="en-US" w:eastAsia="zh-CN"/>
        </w:rPr>
        <w:t>考虑</w:t>
      </w:r>
      <w:r>
        <w:rPr>
          <w:rFonts w:hint="default" w:ascii="Times New Roman" w:hAnsi="Times New Roman" w:cs="Times New Roman" w:eastAsiaTheme="minorEastAsia"/>
          <w:sz w:val="24"/>
          <w:szCs w:val="24"/>
          <w:highlight w:val="none"/>
          <w:lang w:val="en-US" w:eastAsia="zh-CN"/>
        </w:rPr>
        <w:t>安全加高值后，</w:t>
      </w:r>
      <w:r>
        <w:rPr>
          <w:rFonts w:hint="eastAsia" w:ascii="Times New Roman" w:hAnsi="Times New Roman" w:cs="Times New Roman" w:eastAsiaTheme="minorEastAsia"/>
          <w:sz w:val="24"/>
          <w:szCs w:val="24"/>
          <w:highlight w:val="none"/>
          <w:lang w:val="en-US" w:eastAsia="zh-CN"/>
        </w:rPr>
        <w:t>堤顶</w:t>
      </w:r>
      <w:r>
        <w:rPr>
          <w:rFonts w:hint="eastAsia" w:cs="Times New Roman" w:eastAsiaTheme="minorEastAsia"/>
          <w:sz w:val="24"/>
          <w:szCs w:val="24"/>
          <w:highlight w:val="none"/>
          <w:lang w:val="en-US" w:eastAsia="zh-CN"/>
        </w:rPr>
        <w:t>高程计算值</w:t>
      </w:r>
      <w:r>
        <w:rPr>
          <w:rFonts w:hint="eastAsia" w:ascii="Times New Roman" w:hAnsi="Times New Roman" w:cs="Times New Roman" w:eastAsiaTheme="minorEastAsia"/>
          <w:sz w:val="24"/>
          <w:szCs w:val="24"/>
          <w:highlight w:val="none"/>
          <w:lang w:val="en-US" w:eastAsia="zh-CN"/>
        </w:rPr>
        <w:t>为</w:t>
      </w:r>
      <w:r>
        <w:rPr>
          <w:rFonts w:hint="eastAsia" w:cs="Times New Roman" w:eastAsiaTheme="minorEastAsia"/>
          <w:sz w:val="24"/>
          <w:szCs w:val="24"/>
          <w:highlight w:val="none"/>
          <w:lang w:val="en-US" w:eastAsia="zh-CN"/>
        </w:rPr>
        <w:t>1.42m，考虑到堤防与上下游现状堤防的衔接，确定堤顶高程设计值为1.70m</w:t>
      </w:r>
      <w:r>
        <w:rPr>
          <w:rFonts w:hint="default" w:ascii="Times New Roman" w:hAnsi="Times New Roman" w:cs="Times New Roman" w:eastAsiaTheme="minorEastAsia"/>
          <w:sz w:val="24"/>
          <w:szCs w:val="24"/>
          <w:highlight w:val="none"/>
          <w:lang w:val="en-US" w:eastAsia="zh-CN"/>
        </w:rPr>
        <w:t>。见表5.</w:t>
      </w:r>
      <w:r>
        <w:rPr>
          <w:rFonts w:hint="eastAsia" w:cs="Times New Roman" w:eastAsiaTheme="minorEastAsia"/>
          <w:sz w:val="24"/>
          <w:szCs w:val="24"/>
          <w:highlight w:val="none"/>
          <w:lang w:val="en-US" w:eastAsia="zh-CN"/>
        </w:rPr>
        <w:t>4</w:t>
      </w:r>
      <w:r>
        <w:rPr>
          <w:rFonts w:hint="default" w:ascii="Times New Roman" w:hAnsi="Times New Roman" w:cs="Times New Roman" w:eastAsiaTheme="minorEastAsia"/>
          <w:sz w:val="24"/>
          <w:szCs w:val="24"/>
          <w:highlight w:val="none"/>
          <w:lang w:val="en-US" w:eastAsia="zh-CN"/>
        </w:rPr>
        <w:t>-1。</w:t>
      </w:r>
    </w:p>
    <w:p>
      <w:pPr>
        <w:pStyle w:val="250"/>
        <w:bidi w:val="0"/>
        <w:rPr>
          <w:rFonts w:hint="eastAsia"/>
          <w:lang w:val="en-US" w:eastAsia="zh-CN"/>
        </w:rPr>
      </w:pPr>
      <w:r>
        <w:rPr>
          <w:rFonts w:hint="eastAsia"/>
          <w:lang w:val="en-US" w:eastAsia="zh-CN"/>
        </w:rPr>
        <w:t>表5.4-1   堤顶高程计算成果表</w:t>
      </w:r>
    </w:p>
    <w:tbl>
      <w:tblPr>
        <w:tblStyle w:val="44"/>
        <w:tblW w:w="4998"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0" w:type="dxa"/>
          <w:bottom w:w="0" w:type="dxa"/>
          <w:right w:w="0" w:type="dxa"/>
        </w:tblCellMar>
      </w:tblPr>
      <w:tblGrid>
        <w:gridCol w:w="1815"/>
        <w:gridCol w:w="1816"/>
        <w:gridCol w:w="1813"/>
        <w:gridCol w:w="1816"/>
        <w:gridCol w:w="1817"/>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99" w:hRule="exact"/>
          <w:jc w:val="center"/>
        </w:trPr>
        <w:tc>
          <w:tcPr>
            <w:tcW w:w="999" w:type="pct"/>
            <w:tcBorders>
              <w:top w:val="single" w:color="auto" w:sz="4" w:space="0"/>
              <w:left w:val="single" w:color="auto" w:sz="4" w:space="0"/>
              <w:bottom w:val="single" w:color="auto" w:sz="4" w:space="0"/>
              <w:right w:val="single" w:color="auto" w:sz="4" w:space="0"/>
            </w:tcBorders>
            <w:vAlign w:val="center"/>
          </w:tcPr>
          <w:p>
            <w:pPr>
              <w:pStyle w:val="54"/>
              <w:bidi w:val="0"/>
              <w:rPr>
                <w:rFonts w:hint="eastAsia"/>
                <w:smallCaps w:val="0"/>
                <w:spacing w:val="6"/>
                <w:kern w:val="2"/>
                <w:lang w:val="en-US" w:eastAsia="zh-CN"/>
              </w:rPr>
            </w:pPr>
            <w:r>
              <w:rPr>
                <w:rFonts w:hint="eastAsia"/>
                <w:smallCaps w:val="0"/>
                <w:spacing w:val="6"/>
                <w:kern w:val="2"/>
                <w:lang w:val="en-US" w:eastAsia="zh-CN"/>
              </w:rPr>
              <w:t>设计水位</w:t>
            </w:r>
          </w:p>
          <w:p>
            <w:pPr>
              <w:pStyle w:val="54"/>
              <w:bidi w:val="0"/>
              <w:rPr>
                <w:rFonts w:hint="eastAsia"/>
                <w:smallCaps w:val="0"/>
                <w:spacing w:val="6"/>
                <w:kern w:val="2"/>
                <w:lang w:val="en-US" w:eastAsia="zh-CN"/>
              </w:rPr>
            </w:pPr>
            <w:r>
              <w:rPr>
                <w:rFonts w:hint="eastAsia"/>
                <w:smallCaps w:val="0"/>
                <w:spacing w:val="6"/>
                <w:kern w:val="2"/>
                <w:lang w:val="en-US" w:eastAsia="zh-CN"/>
              </w:rPr>
              <w:t>（m）</w:t>
            </w:r>
          </w:p>
        </w:tc>
        <w:tc>
          <w:tcPr>
            <w:tcW w:w="1000" w:type="pct"/>
            <w:tcBorders>
              <w:top w:val="single" w:color="auto" w:sz="4" w:space="0"/>
              <w:left w:val="single" w:color="auto" w:sz="4" w:space="0"/>
              <w:bottom w:val="single" w:color="auto" w:sz="4" w:space="0"/>
              <w:right w:val="single" w:color="auto" w:sz="4" w:space="0"/>
            </w:tcBorders>
            <w:vAlign w:val="center"/>
          </w:tcPr>
          <w:p>
            <w:pPr>
              <w:pStyle w:val="54"/>
              <w:bidi w:val="0"/>
              <w:rPr>
                <w:rFonts w:hint="eastAsia"/>
                <w:smallCaps w:val="0"/>
                <w:spacing w:val="6"/>
                <w:kern w:val="2"/>
                <w:lang w:val="en-US" w:eastAsia="zh-CN"/>
              </w:rPr>
            </w:pPr>
            <w:r>
              <w:rPr>
                <w:rFonts w:hint="eastAsia"/>
                <w:smallCaps w:val="0"/>
                <w:spacing w:val="6"/>
                <w:kern w:val="2"/>
                <w:lang w:val="en-US" w:eastAsia="zh-CN"/>
              </w:rPr>
              <w:t>波浪爬高</w:t>
            </w:r>
          </w:p>
          <w:p>
            <w:pPr>
              <w:pStyle w:val="54"/>
              <w:bidi w:val="0"/>
              <w:rPr>
                <w:rFonts w:hint="eastAsia"/>
                <w:smallCaps w:val="0"/>
                <w:spacing w:val="6"/>
                <w:kern w:val="2"/>
                <w:lang w:val="en-US" w:eastAsia="zh-CN"/>
              </w:rPr>
            </w:pPr>
            <w:r>
              <w:rPr>
                <w:rFonts w:hint="eastAsia"/>
                <w:smallCaps w:val="0"/>
                <w:spacing w:val="6"/>
                <w:kern w:val="2"/>
                <w:lang w:val="en-US" w:eastAsia="zh-CN"/>
              </w:rPr>
              <w:t>（m）</w:t>
            </w:r>
          </w:p>
        </w:tc>
        <w:tc>
          <w:tcPr>
            <w:tcW w:w="998" w:type="pct"/>
            <w:tcBorders>
              <w:top w:val="single" w:color="auto" w:sz="4" w:space="0"/>
              <w:left w:val="single" w:color="auto" w:sz="4" w:space="0"/>
              <w:bottom w:val="single" w:color="auto" w:sz="4" w:space="0"/>
              <w:right w:val="single" w:color="auto" w:sz="4" w:space="0"/>
            </w:tcBorders>
            <w:vAlign w:val="center"/>
          </w:tcPr>
          <w:p>
            <w:pPr>
              <w:pStyle w:val="54"/>
              <w:bidi w:val="0"/>
              <w:rPr>
                <w:rFonts w:hint="eastAsia"/>
                <w:smallCaps w:val="0"/>
                <w:spacing w:val="6"/>
                <w:kern w:val="2"/>
                <w:lang w:val="en-US" w:eastAsia="zh-CN"/>
              </w:rPr>
            </w:pPr>
            <w:r>
              <w:rPr>
                <w:rFonts w:hint="eastAsia"/>
                <w:smallCaps w:val="0"/>
                <w:spacing w:val="6"/>
                <w:kern w:val="2"/>
                <w:lang w:val="en-US" w:eastAsia="zh-CN"/>
              </w:rPr>
              <w:t>安全加高值</w:t>
            </w:r>
          </w:p>
          <w:p>
            <w:pPr>
              <w:pStyle w:val="54"/>
              <w:bidi w:val="0"/>
              <w:rPr>
                <w:rFonts w:hint="eastAsia"/>
                <w:smallCaps w:val="0"/>
                <w:spacing w:val="6"/>
                <w:kern w:val="2"/>
                <w:lang w:val="en-US" w:eastAsia="zh-CN"/>
              </w:rPr>
            </w:pPr>
            <w:r>
              <w:rPr>
                <w:rFonts w:hint="eastAsia"/>
                <w:smallCaps w:val="0"/>
                <w:spacing w:val="6"/>
                <w:kern w:val="2"/>
                <w:lang w:val="en-US" w:eastAsia="zh-CN"/>
              </w:rPr>
              <w:t>（m）</w:t>
            </w:r>
          </w:p>
        </w:tc>
        <w:tc>
          <w:tcPr>
            <w:tcW w:w="1000" w:type="pct"/>
            <w:tcBorders>
              <w:top w:val="single" w:color="auto" w:sz="4" w:space="0"/>
              <w:left w:val="single" w:color="auto" w:sz="4" w:space="0"/>
              <w:bottom w:val="single" w:color="auto" w:sz="4" w:space="0"/>
              <w:right w:val="single" w:color="auto" w:sz="4" w:space="0"/>
            </w:tcBorders>
            <w:vAlign w:val="center"/>
          </w:tcPr>
          <w:p>
            <w:pPr>
              <w:pStyle w:val="54"/>
              <w:bidi w:val="0"/>
              <w:rPr>
                <w:rFonts w:hint="eastAsia"/>
                <w:smallCaps w:val="0"/>
                <w:spacing w:val="6"/>
                <w:kern w:val="2"/>
                <w:lang w:val="en-US" w:eastAsia="zh-CN"/>
              </w:rPr>
            </w:pPr>
            <w:r>
              <w:rPr>
                <w:rFonts w:hint="eastAsia"/>
                <w:smallCaps w:val="0"/>
                <w:spacing w:val="6"/>
                <w:kern w:val="2"/>
                <w:lang w:val="en-US" w:eastAsia="zh-CN"/>
              </w:rPr>
              <w:t>堤顶高程计算值</w:t>
            </w:r>
          </w:p>
          <w:p>
            <w:pPr>
              <w:pStyle w:val="54"/>
              <w:bidi w:val="0"/>
              <w:rPr>
                <w:rFonts w:hint="eastAsia"/>
                <w:smallCaps w:val="0"/>
                <w:spacing w:val="6"/>
                <w:kern w:val="2"/>
                <w:lang w:val="en-US" w:eastAsia="zh-CN"/>
              </w:rPr>
            </w:pPr>
            <w:r>
              <w:rPr>
                <w:rFonts w:hint="eastAsia"/>
                <w:smallCaps w:val="0"/>
                <w:spacing w:val="6"/>
                <w:kern w:val="2"/>
                <w:lang w:val="en-US" w:eastAsia="zh-CN"/>
              </w:rPr>
              <w:t>（m）</w:t>
            </w:r>
          </w:p>
        </w:tc>
        <w:tc>
          <w:tcPr>
            <w:tcW w:w="1000" w:type="pct"/>
            <w:tcBorders>
              <w:top w:val="single" w:color="auto" w:sz="4" w:space="0"/>
              <w:left w:val="single" w:color="auto" w:sz="4" w:space="0"/>
              <w:bottom w:val="single" w:color="auto" w:sz="4" w:space="0"/>
              <w:right w:val="single" w:color="auto" w:sz="4" w:space="0"/>
            </w:tcBorders>
            <w:vAlign w:val="center"/>
          </w:tcPr>
          <w:p>
            <w:pPr>
              <w:pStyle w:val="54"/>
              <w:bidi w:val="0"/>
              <w:rPr>
                <w:rFonts w:hint="eastAsia"/>
                <w:smallCaps w:val="0"/>
                <w:spacing w:val="6"/>
                <w:kern w:val="2"/>
                <w:lang w:val="en-US" w:eastAsia="zh-CN"/>
              </w:rPr>
            </w:pPr>
            <w:r>
              <w:rPr>
                <w:rFonts w:hint="eastAsia"/>
                <w:smallCaps w:val="0"/>
                <w:spacing w:val="6"/>
                <w:kern w:val="2"/>
                <w:lang w:val="en-US" w:eastAsia="zh-CN"/>
              </w:rPr>
              <w:t>堤顶高程设计值</w:t>
            </w:r>
          </w:p>
          <w:p>
            <w:pPr>
              <w:pStyle w:val="54"/>
              <w:bidi w:val="0"/>
              <w:rPr>
                <w:rFonts w:hint="eastAsia"/>
                <w:smallCaps w:val="0"/>
                <w:spacing w:val="6"/>
                <w:kern w:val="2"/>
                <w:lang w:val="en-US" w:eastAsia="zh-CN"/>
              </w:rPr>
            </w:pPr>
            <w:r>
              <w:rPr>
                <w:rFonts w:hint="eastAsia"/>
                <w:smallCaps w:val="0"/>
                <w:spacing w:val="6"/>
                <w:kern w:val="2"/>
                <w:lang w:val="en-US" w:eastAsia="zh-CN"/>
              </w:rPr>
              <w:t>（m）</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97" w:hRule="exact"/>
          <w:jc w:val="center"/>
        </w:trPr>
        <w:tc>
          <w:tcPr>
            <w:tcW w:w="999"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smallCaps w:val="0"/>
                <w:spacing w:val="6"/>
                <w:kern w:val="2"/>
                <w:lang w:val="en-US" w:eastAsia="zh-CN"/>
              </w:rPr>
            </w:pPr>
            <w:r>
              <w:rPr>
                <w:rFonts w:hint="eastAsia"/>
                <w:smallCaps w:val="0"/>
                <w:spacing w:val="6"/>
                <w:kern w:val="2"/>
                <w:lang w:val="en-US" w:eastAsia="zh-CN"/>
              </w:rPr>
              <w:t>0.82</w:t>
            </w:r>
          </w:p>
        </w:tc>
        <w:tc>
          <w:tcPr>
            <w:tcW w:w="1000"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smallCaps w:val="0"/>
                <w:spacing w:val="6"/>
                <w:kern w:val="2"/>
                <w:lang w:val="en-US" w:eastAsia="zh-CN"/>
              </w:rPr>
            </w:pPr>
            <w:r>
              <w:rPr>
                <w:rFonts w:hint="eastAsia"/>
                <w:smallCaps w:val="0"/>
                <w:spacing w:val="6"/>
                <w:kern w:val="2"/>
                <w:lang w:val="en-US" w:eastAsia="zh-CN"/>
              </w:rPr>
              <w:t>0</w:t>
            </w:r>
          </w:p>
        </w:tc>
        <w:tc>
          <w:tcPr>
            <w:tcW w:w="998"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smallCaps w:val="0"/>
                <w:spacing w:val="6"/>
                <w:kern w:val="2"/>
                <w:lang w:val="en-US" w:eastAsia="zh-CN"/>
              </w:rPr>
            </w:pPr>
            <w:r>
              <w:rPr>
                <w:rFonts w:hint="eastAsia"/>
                <w:smallCaps w:val="0"/>
                <w:spacing w:val="6"/>
                <w:kern w:val="2"/>
                <w:lang w:val="en-US" w:eastAsia="zh-CN"/>
              </w:rPr>
              <w:t>0.6</w:t>
            </w:r>
          </w:p>
        </w:tc>
        <w:tc>
          <w:tcPr>
            <w:tcW w:w="1000"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smallCaps w:val="0"/>
                <w:spacing w:val="6"/>
                <w:kern w:val="2"/>
                <w:lang w:val="en-US" w:eastAsia="zh-CN"/>
              </w:rPr>
            </w:pPr>
            <w:r>
              <w:rPr>
                <w:rFonts w:hint="eastAsia"/>
                <w:smallCaps w:val="0"/>
                <w:spacing w:val="6"/>
                <w:kern w:val="2"/>
                <w:lang w:val="en-US" w:eastAsia="zh-CN"/>
              </w:rPr>
              <w:t>1.42</w:t>
            </w:r>
          </w:p>
        </w:tc>
        <w:tc>
          <w:tcPr>
            <w:tcW w:w="1000" w:type="pct"/>
            <w:tcBorders>
              <w:top w:val="single" w:color="auto" w:sz="4" w:space="0"/>
              <w:left w:val="single" w:color="auto" w:sz="4" w:space="0"/>
              <w:bottom w:val="single" w:color="auto" w:sz="4" w:space="0"/>
              <w:right w:val="single" w:color="auto" w:sz="4" w:space="0"/>
            </w:tcBorders>
            <w:vAlign w:val="center"/>
          </w:tcPr>
          <w:p>
            <w:pPr>
              <w:pStyle w:val="54"/>
              <w:bidi w:val="0"/>
              <w:rPr>
                <w:rFonts w:hint="default"/>
                <w:smallCaps w:val="0"/>
                <w:spacing w:val="6"/>
                <w:kern w:val="2"/>
                <w:lang w:val="en-US" w:eastAsia="zh-CN"/>
              </w:rPr>
            </w:pPr>
            <w:r>
              <w:rPr>
                <w:rFonts w:hint="eastAsia"/>
                <w:smallCaps w:val="0"/>
                <w:spacing w:val="6"/>
                <w:kern w:val="2"/>
                <w:lang w:val="en-US" w:eastAsia="zh-CN"/>
              </w:rPr>
              <w:t>1.70</w:t>
            </w:r>
          </w:p>
        </w:tc>
      </w:tr>
      <w:bookmarkEnd w:id="200"/>
    </w:tbl>
    <w:p>
      <w:pPr>
        <w:pStyle w:val="4"/>
        <w:bidi w:val="0"/>
        <w:ind w:left="575" w:leftChars="0" w:hanging="575" w:firstLineChars="0"/>
        <w:rPr>
          <w:rFonts w:hint="default" w:ascii="Times New Roman" w:hAnsi="Times New Roman" w:cs="Times New Roman"/>
          <w:lang w:val="en-US" w:eastAsia="zh-CN"/>
        </w:rPr>
      </w:pPr>
      <w:bookmarkStart w:id="201" w:name="_Toc12370"/>
      <w:r>
        <w:rPr>
          <w:rFonts w:hint="eastAsia" w:cs="Times New Roman"/>
          <w:lang w:val="en-US" w:eastAsia="zh-CN"/>
        </w:rPr>
        <w:t>堤型及断面比选</w:t>
      </w:r>
      <w:bookmarkEnd w:id="201"/>
    </w:p>
    <w:p>
      <w:pPr>
        <w:pStyle w:val="5"/>
        <w:bidi w:val="0"/>
        <w:ind w:left="720" w:leftChars="0" w:hanging="720" w:firstLineChars="0"/>
        <w:rPr>
          <w:rFonts w:hint="default" w:ascii="Times New Roman" w:hAnsi="Times New Roman" w:cs="Times New Roman"/>
          <w:highlight w:val="none"/>
          <w:lang w:val="en-US" w:eastAsia="zh-CN"/>
        </w:rPr>
      </w:pPr>
      <w:bookmarkStart w:id="202" w:name="_Toc11134"/>
      <w:r>
        <w:rPr>
          <w:rFonts w:hint="eastAsia" w:ascii="Times New Roman" w:hAnsi="Times New Roman" w:cs="Times New Roman"/>
          <w:highlight w:val="none"/>
          <w:lang w:val="en-US" w:eastAsia="zh-CN"/>
        </w:rPr>
        <w:t>堤身断面设计</w:t>
      </w:r>
      <w:bookmarkEnd w:id="202"/>
    </w:p>
    <w:p>
      <w:pPr>
        <w:pStyle w:val="178"/>
        <w:rPr>
          <w:rFonts w:hint="eastAsia" w:ascii="Times New Roman" w:hAnsi="Times New Roman"/>
          <w:bCs/>
          <w:kern w:val="0"/>
          <w:highlight w:val="none"/>
        </w:rPr>
      </w:pPr>
      <w:r>
        <w:rPr>
          <w:rFonts w:hint="eastAsia" w:ascii="Times New Roman" w:hAnsi="Times New Roman"/>
          <w:bCs/>
          <w:kern w:val="0"/>
          <w:highlight w:val="none"/>
        </w:rPr>
        <w:t>河涌堤岸形式及断面设计在满足使用功能的基础上充分考虑“减少拆迁、绿化生态、以人为本、人水协调”的原则，在使用功能上应满足自排条件下通过洪峰流量的要求，同时考虑现有河涌断面形式、地质条件及边坡稳定的需要，以及改地区的规划发展要求，根据河涌的基本功能选择合适的断面形式。</w:t>
      </w:r>
    </w:p>
    <w:p>
      <w:pPr>
        <w:ind w:left="0" w:leftChars="0" w:firstLine="0" w:firstLineChars="0"/>
        <w:rPr>
          <w:rFonts w:hint="eastAsia" w:ascii="Times New Roman" w:hAnsi="Times New Roman"/>
          <w:bCs/>
          <w:kern w:val="0"/>
          <w:highlight w:val="none"/>
        </w:rPr>
      </w:pPr>
      <w:r>
        <w:rPr>
          <w:rFonts w:hint="eastAsia" w:ascii="Times New Roman" w:hAnsi="Times New Roman"/>
          <w:bCs/>
          <w:kern w:val="0"/>
          <w:highlight w:val="none"/>
        </w:rPr>
        <w:t>河涌断面设计方案要遵循尽量减少征地拆迁的原则进行设计，河涌沿线民居较密集段，尽量保留原民居，避免因河涌施工对民居造成破坏，要求进行边坡支护减少开挖宽度，并对沿线民居进行房屋鉴定。</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eastAsia" w:ascii="Times New Roman" w:hAnsi="Times New Roman"/>
          <w:bCs/>
          <w:kern w:val="0"/>
          <w:highlight w:val="none"/>
        </w:rPr>
      </w:pPr>
      <w:r>
        <w:rPr>
          <w:rFonts w:hint="eastAsia" w:cs="Times New Roman"/>
          <w:highlight w:val="none"/>
          <w:lang w:val="en-US" w:eastAsia="zh-CN"/>
        </w:rPr>
        <w:t>本工程为重建工程，为顺接上下游堤岸，故本工程重建段断面形式与现状上下游断面形式一致，为矩形断面。</w:t>
      </w:r>
    </w:p>
    <w:p>
      <w:pPr>
        <w:pStyle w:val="5"/>
        <w:bidi w:val="0"/>
        <w:ind w:left="720" w:leftChars="0" w:hanging="720" w:firstLineChars="0"/>
        <w:rPr>
          <w:rFonts w:hint="default" w:ascii="Times New Roman" w:hAnsi="Times New Roman" w:cs="Times New Roman"/>
          <w:highlight w:val="none"/>
          <w:lang w:val="en-US" w:eastAsia="zh-CN"/>
        </w:rPr>
      </w:pPr>
      <w:bookmarkStart w:id="203" w:name="_Toc21406"/>
      <w:r>
        <w:rPr>
          <w:rFonts w:hint="eastAsia" w:ascii="Times New Roman" w:hAnsi="Times New Roman" w:cs="Times New Roman"/>
          <w:highlight w:val="none"/>
          <w:lang w:val="en-US" w:eastAsia="zh-CN"/>
        </w:rPr>
        <w:t>护岸形式比选</w:t>
      </w:r>
      <w:bookmarkEnd w:id="203"/>
    </w:p>
    <w:p>
      <w:pPr>
        <w:keepNext w:val="0"/>
        <w:keepLines w:val="0"/>
        <w:pageBreakBefore w:val="0"/>
        <w:widowControl/>
        <w:kinsoku/>
        <w:wordWrap/>
        <w:overflowPunct/>
        <w:topLinePunct w:val="0"/>
        <w:autoSpaceDE/>
        <w:autoSpaceDN/>
        <w:bidi w:val="0"/>
        <w:adjustRightInd/>
        <w:snapToGrid/>
        <w:ind w:firstLine="480"/>
        <w:textAlignment w:val="auto"/>
        <w:rPr>
          <w:szCs w:val="22"/>
          <w:highlight w:val="none"/>
        </w:rPr>
      </w:pPr>
      <w:r>
        <w:rPr>
          <w:rFonts w:hint="eastAsia"/>
          <w:szCs w:val="22"/>
          <w:highlight w:val="none"/>
        </w:rPr>
        <w:t>在保障防洪排涝安全的前提下，突出河流的水生态文明建设要求。本次</w:t>
      </w:r>
      <w:r>
        <w:rPr>
          <w:rFonts w:hint="eastAsia"/>
          <w:szCs w:val="22"/>
          <w:highlight w:val="none"/>
          <w:lang w:eastAsia="zh-CN"/>
        </w:rPr>
        <w:t>岸坡防护</w:t>
      </w:r>
      <w:r>
        <w:rPr>
          <w:rFonts w:hint="eastAsia"/>
          <w:szCs w:val="22"/>
          <w:highlight w:val="none"/>
        </w:rPr>
        <w:t>设计根据河道实际情况，分河段选取护岸型式。</w:t>
      </w:r>
    </w:p>
    <w:p>
      <w:pPr>
        <w:keepNext w:val="0"/>
        <w:keepLines w:val="0"/>
        <w:pageBreakBefore w:val="0"/>
        <w:widowControl/>
        <w:kinsoku/>
        <w:wordWrap/>
        <w:overflowPunct/>
        <w:topLinePunct w:val="0"/>
        <w:autoSpaceDE/>
        <w:autoSpaceDN/>
        <w:bidi w:val="0"/>
        <w:adjustRightInd/>
        <w:snapToGrid/>
        <w:textAlignment w:val="auto"/>
        <w:rPr>
          <w:b w:val="0"/>
          <w:sz w:val="24"/>
          <w:highlight w:val="none"/>
          <w:shd w:val="clear" w:color="auto" w:fill="auto"/>
        </w:rPr>
      </w:pPr>
      <w:r>
        <w:rPr>
          <w:b w:val="0"/>
          <w:sz w:val="24"/>
          <w:highlight w:val="none"/>
          <w:shd w:val="clear" w:color="auto" w:fill="auto"/>
        </w:rPr>
        <w:t>方案</w:t>
      </w:r>
      <w:r>
        <w:rPr>
          <w:rFonts w:hint="eastAsia"/>
          <w:b w:val="0"/>
          <w:sz w:val="24"/>
          <w:highlight w:val="none"/>
          <w:shd w:val="clear" w:color="auto" w:fill="auto"/>
        </w:rPr>
        <w:t>一</w:t>
      </w:r>
      <w:r>
        <w:rPr>
          <w:rStyle w:val="51"/>
          <w:rFonts w:hint="eastAsia" w:ascii="Times New Roman" w:hAnsi="Times New Roman"/>
          <w:b w:val="0"/>
          <w:bCs/>
          <w:color w:val="auto"/>
          <w:sz w:val="24"/>
          <w:szCs w:val="24"/>
          <w:highlight w:val="none"/>
          <w:u w:val="none"/>
          <w:shd w:val="clear" w:color="auto" w:fill="auto"/>
        </w:rPr>
        <w:t>波浪桩护岸</w:t>
      </w:r>
      <w:r>
        <w:rPr>
          <w:b w:val="0"/>
          <w:sz w:val="24"/>
          <w:highlight w:val="none"/>
          <w:shd w:val="clear" w:color="auto" w:fill="auto"/>
        </w:rPr>
        <w:t>：</w:t>
      </w:r>
    </w:p>
    <w:p>
      <w:pPr>
        <w:keepNext w:val="0"/>
        <w:keepLines w:val="0"/>
        <w:pageBreakBefore w:val="0"/>
        <w:widowControl/>
        <w:kinsoku/>
        <w:wordWrap/>
        <w:overflowPunct/>
        <w:topLinePunct w:val="0"/>
        <w:autoSpaceDE/>
        <w:autoSpaceDN/>
        <w:bidi w:val="0"/>
        <w:adjustRightInd/>
        <w:snapToGrid/>
        <w:textAlignment w:val="auto"/>
        <w:rPr>
          <w:highlight w:val="none"/>
        </w:rPr>
      </w:pPr>
      <w:r>
        <w:rPr>
          <w:rFonts w:hint="eastAsia"/>
          <w:highlight w:val="none"/>
        </w:rPr>
        <w:t>波浪桩是一种新型的预应力混凝土构件，截面星半圆环形，混凝士强度不小于C80，主筋采用预应力用凝土钢棒，抗拉强度标准们大于等于1420MPa，采用先张法工艺制作生产，可延缓混凝土的开裂，并可提供较高的抗弯承载力。在混凝土内添加自主研发的高性能复合材料，优化混凝土配方及养护工艺，经离心成型和高温养护后成桩，使得桩身混凝土的耐久性能大大提升，是一种绿色、节能、环保、耐久的产品。</w:t>
      </w:r>
    </w:p>
    <w:p>
      <w:pPr>
        <w:keepNext w:val="0"/>
        <w:keepLines w:val="0"/>
        <w:pageBreakBefore w:val="0"/>
        <w:widowControl/>
        <w:kinsoku/>
        <w:wordWrap/>
        <w:overflowPunct/>
        <w:topLinePunct w:val="0"/>
        <w:autoSpaceDE/>
        <w:autoSpaceDN/>
        <w:bidi w:val="0"/>
        <w:adjustRightInd/>
        <w:snapToGrid/>
        <w:textAlignment w:val="auto"/>
        <w:rPr>
          <w:rFonts w:ascii="Times New Roman" w:hAnsi="Times New Roman" w:eastAsia="宋体" w:cs="Times New Roman"/>
          <w:b w:val="0"/>
          <w:sz w:val="24"/>
          <w:highlight w:val="none"/>
          <w:shd w:val="clear" w:color="auto" w:fill="auto"/>
        </w:rPr>
      </w:pPr>
      <w:r>
        <w:rPr>
          <w:rFonts w:ascii="Times New Roman" w:hAnsi="Times New Roman" w:eastAsia="宋体" w:cs="Times New Roman"/>
          <w:b w:val="0"/>
          <w:sz w:val="24"/>
          <w:highlight w:val="none"/>
          <w:shd w:val="clear" w:color="auto" w:fill="auto"/>
        </w:rPr>
        <w:t>方案</w:t>
      </w:r>
      <w:r>
        <w:rPr>
          <w:rFonts w:hint="eastAsia" w:ascii="Times New Roman" w:hAnsi="Times New Roman" w:eastAsia="宋体" w:cs="Times New Roman"/>
          <w:b w:val="0"/>
          <w:sz w:val="24"/>
          <w:highlight w:val="none"/>
          <w:shd w:val="clear" w:color="auto" w:fill="auto"/>
        </w:rPr>
        <w:t>二仿松木桩护岸</w:t>
      </w:r>
      <w:r>
        <w:rPr>
          <w:rFonts w:ascii="Times New Roman" w:hAnsi="Times New Roman" w:eastAsia="宋体" w:cs="Times New Roman"/>
          <w:b w:val="0"/>
          <w:sz w:val="24"/>
          <w:highlight w:val="none"/>
          <w:shd w:val="clear" w:color="auto" w:fill="auto"/>
        </w:rPr>
        <w:t>：</w:t>
      </w:r>
    </w:p>
    <w:p>
      <w:pPr>
        <w:keepNext w:val="0"/>
        <w:keepLines w:val="0"/>
        <w:pageBreakBefore w:val="0"/>
        <w:widowControl/>
        <w:kinsoku/>
        <w:wordWrap/>
        <w:overflowPunct/>
        <w:topLinePunct w:val="0"/>
        <w:autoSpaceDE/>
        <w:autoSpaceDN/>
        <w:bidi w:val="0"/>
        <w:adjustRightInd/>
        <w:snapToGrid/>
        <w:textAlignment w:val="auto"/>
        <w:rPr>
          <w:highlight w:val="none"/>
        </w:rPr>
      </w:pPr>
      <w:r>
        <w:rPr>
          <w:rFonts w:hint="eastAsia"/>
          <w:highlight w:val="none"/>
        </w:rPr>
        <w:t>仿木桩采用混凝土浇筑而成，外观与木桩相似，仿木桩比实木更坚固耐用，不腐不烂，抗风化等，可以使用到传统木制品不能应用的环境中。</w:t>
      </w:r>
    </w:p>
    <w:p>
      <w:pPr>
        <w:pStyle w:val="38"/>
        <w:spacing w:before="0" w:beforeAutospacing="0" w:after="0" w:afterAutospacing="0" w:line="240" w:lineRule="auto"/>
        <w:ind w:firstLine="0" w:firstLineChars="0"/>
        <w:jc w:val="both"/>
        <w:rPr>
          <w:rStyle w:val="51"/>
          <w:rFonts w:ascii="Times New Roman" w:hAnsi="Times New Roman" w:eastAsia="宋体"/>
          <w:bCs/>
          <w:color w:val="auto"/>
          <w:sz w:val="24"/>
          <w:szCs w:val="24"/>
          <w:highlight w:val="none"/>
          <w:u w:val="none"/>
        </w:rPr>
      </w:pPr>
      <w:r>
        <w:rPr>
          <w:rFonts w:ascii="Times New Roman" w:hAnsi="Times New Roman" w:eastAsia="宋体"/>
          <w:bCs/>
          <w:sz w:val="24"/>
          <w:szCs w:val="24"/>
          <w:highlight w:val="none"/>
        </w:rPr>
        <w:drawing>
          <wp:inline distT="0" distB="0" distL="114300" distR="114300">
            <wp:extent cx="2574925" cy="2051685"/>
            <wp:effectExtent l="0" t="0" r="15875" b="5715"/>
            <wp:docPr id="32" name="图片 15" descr="tim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5" descr="timg (1)"/>
                    <pic:cNvPicPr>
                      <a:picLocks noChangeAspect="1"/>
                    </pic:cNvPicPr>
                  </pic:nvPicPr>
                  <pic:blipFill>
                    <a:blip r:embed="rId86"/>
                    <a:srcRect l="49818" t="25188" b="25237"/>
                    <a:stretch>
                      <a:fillRect/>
                    </a:stretch>
                  </pic:blipFill>
                  <pic:spPr>
                    <a:xfrm>
                      <a:off x="0" y="0"/>
                      <a:ext cx="2574925" cy="2051685"/>
                    </a:xfrm>
                    <a:prstGeom prst="rect">
                      <a:avLst/>
                    </a:prstGeom>
                    <a:noFill/>
                    <a:ln>
                      <a:noFill/>
                    </a:ln>
                  </pic:spPr>
                </pic:pic>
              </a:graphicData>
            </a:graphic>
          </wp:inline>
        </w:drawing>
      </w:r>
      <w:r>
        <w:rPr>
          <w:rFonts w:ascii="Times New Roman" w:hAnsi="Times New Roman" w:eastAsia="宋体"/>
          <w:bCs/>
          <w:sz w:val="24"/>
          <w:szCs w:val="24"/>
          <w:highlight w:val="none"/>
        </w:rPr>
        <w:t xml:space="preserve"> </w:t>
      </w:r>
      <w:r>
        <w:rPr>
          <w:rFonts w:ascii="Times New Roman" w:hAnsi="Times New Roman" w:eastAsia="宋体"/>
          <w:bCs/>
          <w:sz w:val="24"/>
          <w:szCs w:val="24"/>
          <w:highlight w:val="none"/>
        </w:rPr>
        <w:drawing>
          <wp:inline distT="0" distB="0" distL="114300" distR="114300">
            <wp:extent cx="2517140" cy="2051685"/>
            <wp:effectExtent l="0" t="0" r="16510" b="5715"/>
            <wp:docPr id="34" name="图片 16" descr="u=971854222,41068356&amp;fm=26&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6" descr="u=971854222,41068356&amp;fm=26&amp;gp=0"/>
                    <pic:cNvPicPr>
                      <a:picLocks noChangeAspect="1"/>
                    </pic:cNvPicPr>
                  </pic:nvPicPr>
                  <pic:blipFill>
                    <a:blip r:embed="rId87"/>
                    <a:stretch>
                      <a:fillRect/>
                    </a:stretch>
                  </pic:blipFill>
                  <pic:spPr>
                    <a:xfrm>
                      <a:off x="0" y="0"/>
                      <a:ext cx="2517140" cy="2051685"/>
                    </a:xfrm>
                    <a:prstGeom prst="rect">
                      <a:avLst/>
                    </a:prstGeom>
                    <a:noFill/>
                    <a:ln>
                      <a:noFill/>
                    </a:ln>
                  </pic:spPr>
                </pic:pic>
              </a:graphicData>
            </a:graphic>
          </wp:inline>
        </w:drawing>
      </w:r>
      <w:r>
        <w:rPr>
          <w:rFonts w:ascii="Times New Roman" w:hAnsi="Times New Roman" w:eastAsia="宋体"/>
          <w:bCs/>
          <w:sz w:val="24"/>
          <w:szCs w:val="24"/>
          <w:highlight w:val="none"/>
        </w:rPr>
        <w:t xml:space="preserve">                               </w:t>
      </w:r>
    </w:p>
    <w:p>
      <w:pPr>
        <w:pStyle w:val="14"/>
        <w:rPr>
          <w:rFonts w:ascii="Times New Roman" w:hAnsi="Times New Roman" w:eastAsia="宋体" w:cs="Times New Roman"/>
          <w:highlight w:val="none"/>
        </w:rPr>
      </w:pPr>
      <w:r>
        <w:rPr>
          <w:rFonts w:ascii="Times New Roman" w:hAnsi="Times New Roman" w:eastAsia="宋体" w:cs="Times New Roman"/>
          <w:highlight w:val="none"/>
        </w:rPr>
        <w:t>图5</w:t>
      </w:r>
      <w:r>
        <w:rPr>
          <w:rFonts w:hint="eastAsia" w:ascii="Times New Roman" w:hAnsi="Times New Roman" w:eastAsia="宋体" w:cs="Times New Roman"/>
          <w:highlight w:val="none"/>
        </w:rPr>
        <w:t>.</w:t>
      </w:r>
      <w:r>
        <w:rPr>
          <w:rFonts w:hint="eastAsia" w:ascii="Times New Roman" w:hAnsi="Times New Roman" w:eastAsia="宋体" w:cs="Times New Roman"/>
          <w:highlight w:val="none"/>
          <w:lang w:val="en-US" w:eastAsia="zh-CN"/>
        </w:rPr>
        <w:t>5</w:t>
      </w:r>
      <w:r>
        <w:rPr>
          <w:rFonts w:ascii="Times New Roman" w:hAnsi="Times New Roman" w:eastAsia="宋体" w:cs="Times New Roman"/>
          <w:highlight w:val="none"/>
        </w:rPr>
        <w:t>-</w:t>
      </w:r>
      <w:r>
        <w:rPr>
          <w:rFonts w:hint="eastAsia" w:ascii="Times New Roman" w:hAnsi="Times New Roman" w:eastAsia="宋体" w:cs="Times New Roman"/>
          <w:highlight w:val="none"/>
        </w:rPr>
        <w:t>1</w:t>
      </w:r>
      <w:r>
        <w:rPr>
          <w:rFonts w:ascii="Times New Roman" w:hAnsi="Times New Roman" w:eastAsia="宋体" w:cs="Times New Roman"/>
          <w:highlight w:val="none"/>
        </w:rPr>
        <w:t xml:space="preserve">  </w:t>
      </w:r>
      <w:r>
        <w:rPr>
          <w:rFonts w:hint="eastAsia" w:ascii="Times New Roman" w:hAnsi="Times New Roman" w:eastAsia="宋体" w:cs="Times New Roman"/>
          <w:highlight w:val="none"/>
        </w:rPr>
        <w:t>波浪桩护岸</w:t>
      </w:r>
      <w:r>
        <w:rPr>
          <w:rFonts w:ascii="Times New Roman" w:hAnsi="Times New Roman" w:eastAsia="宋体" w:cs="Times New Roman"/>
          <w:highlight w:val="none"/>
        </w:rPr>
        <w:t>（左）和</w:t>
      </w:r>
      <w:r>
        <w:rPr>
          <w:rFonts w:hint="eastAsia" w:ascii="Times New Roman" w:hAnsi="Times New Roman" w:eastAsia="宋体" w:cs="Times New Roman"/>
          <w:highlight w:val="none"/>
        </w:rPr>
        <w:t>仿松木桩护岸</w:t>
      </w:r>
      <w:r>
        <w:rPr>
          <w:rFonts w:ascii="Times New Roman" w:hAnsi="Times New Roman" w:eastAsia="宋体" w:cs="Times New Roman"/>
          <w:highlight w:val="none"/>
        </w:rPr>
        <w:t>（右）</w:t>
      </w:r>
    </w:p>
    <w:p>
      <w:pPr>
        <w:keepNext w:val="0"/>
        <w:keepLines w:val="0"/>
        <w:pageBreakBefore w:val="0"/>
        <w:widowControl/>
        <w:kinsoku/>
        <w:wordWrap/>
        <w:overflowPunct/>
        <w:topLinePunct w:val="0"/>
        <w:autoSpaceDE/>
        <w:autoSpaceDN/>
        <w:bidi w:val="0"/>
        <w:adjustRightInd/>
        <w:snapToGrid/>
        <w:ind w:firstLine="482"/>
        <w:textAlignment w:val="auto"/>
        <w:rPr>
          <w:rFonts w:ascii="Times New Roman" w:hAnsi="Times New Roman" w:eastAsia="宋体" w:cs="Times New Roman"/>
          <w:b w:val="0"/>
          <w:sz w:val="24"/>
          <w:highlight w:val="none"/>
          <w:shd w:val="clear" w:color="auto" w:fill="auto"/>
        </w:rPr>
      </w:pPr>
      <w:r>
        <w:rPr>
          <w:rFonts w:ascii="Times New Roman" w:hAnsi="Times New Roman" w:eastAsia="宋体" w:cs="Times New Roman"/>
          <w:b w:val="0"/>
          <w:sz w:val="24"/>
          <w:highlight w:val="none"/>
          <w:shd w:val="clear" w:color="auto" w:fill="auto"/>
        </w:rPr>
        <w:t>方案</w:t>
      </w:r>
      <w:r>
        <w:rPr>
          <w:rFonts w:hint="eastAsia" w:ascii="Times New Roman" w:hAnsi="Times New Roman" w:eastAsia="宋体" w:cs="Times New Roman"/>
          <w:b w:val="0"/>
          <w:sz w:val="24"/>
          <w:highlight w:val="none"/>
          <w:shd w:val="clear" w:color="auto" w:fill="auto"/>
          <w:lang w:eastAsia="zh-CN"/>
        </w:rPr>
        <w:t>三</w:t>
      </w:r>
      <w:r>
        <w:rPr>
          <w:rFonts w:ascii="Times New Roman" w:hAnsi="Times New Roman" w:eastAsia="宋体" w:cs="Times New Roman"/>
          <w:b w:val="0"/>
          <w:sz w:val="24"/>
          <w:highlight w:val="none"/>
          <w:shd w:val="clear" w:color="auto" w:fill="auto"/>
        </w:rPr>
        <w:t>生态型格宾挡墙：</w:t>
      </w:r>
    </w:p>
    <w:p>
      <w:pPr>
        <w:keepNext w:val="0"/>
        <w:keepLines w:val="0"/>
        <w:pageBreakBefore w:val="0"/>
        <w:widowControl/>
        <w:kinsoku/>
        <w:wordWrap/>
        <w:overflowPunct/>
        <w:topLinePunct w:val="0"/>
        <w:autoSpaceDE/>
        <w:autoSpaceDN/>
        <w:bidi w:val="0"/>
        <w:adjustRightInd/>
        <w:snapToGrid/>
        <w:textAlignment w:val="auto"/>
        <w:rPr>
          <w:highlight w:val="none"/>
        </w:rPr>
      </w:pPr>
      <w:r>
        <w:rPr>
          <w:highlight w:val="none"/>
        </w:rPr>
        <w:t>采用以机编六边形低碳钢丝面制成的网垫，在网垫内填充合乎一定要求的石头共同构成的防护结构，网格内部填充碎石，碎石块须坚硬，严禁采用风化碎石。本方案具有良好的透水性，无需另外设置排水措施，以及利于植生保水；较强的抗冲刷和抗风浪袭击能力；是理想的生态建设和生态修复功能，生态景观效果好；透气性好，可水下施工；整体性好，适应变形能力强；松散的填料可以减轻风浪的冲击力；施工方便，价格较经济，安全性较好。</w:t>
      </w:r>
    </w:p>
    <w:p>
      <w:pPr>
        <w:keepNext w:val="0"/>
        <w:keepLines w:val="0"/>
        <w:pageBreakBefore w:val="0"/>
        <w:widowControl/>
        <w:kinsoku/>
        <w:wordWrap/>
        <w:overflowPunct/>
        <w:topLinePunct w:val="0"/>
        <w:autoSpaceDE/>
        <w:autoSpaceDN/>
        <w:bidi w:val="0"/>
        <w:adjustRightInd/>
        <w:snapToGrid/>
        <w:ind w:firstLine="482"/>
        <w:textAlignment w:val="auto"/>
        <w:rPr>
          <w:rFonts w:ascii="Times New Roman" w:hAnsi="Times New Roman" w:eastAsia="宋体" w:cs="Times New Roman"/>
          <w:b w:val="0"/>
          <w:sz w:val="24"/>
          <w:highlight w:val="none"/>
          <w:shd w:val="clear" w:color="auto" w:fill="auto"/>
        </w:rPr>
      </w:pPr>
      <w:r>
        <w:rPr>
          <w:rFonts w:ascii="Times New Roman" w:hAnsi="Times New Roman" w:eastAsia="宋体" w:cs="Times New Roman"/>
          <w:b w:val="0"/>
          <w:sz w:val="24"/>
          <w:highlight w:val="none"/>
          <w:shd w:val="clear" w:color="auto" w:fill="auto"/>
        </w:rPr>
        <w:t>方案</w:t>
      </w:r>
      <w:r>
        <w:rPr>
          <w:rFonts w:hint="eastAsia" w:ascii="Times New Roman" w:hAnsi="Times New Roman" w:eastAsia="宋体" w:cs="Times New Roman"/>
          <w:b w:val="0"/>
          <w:sz w:val="24"/>
          <w:highlight w:val="none"/>
          <w:shd w:val="clear" w:color="auto" w:fill="auto"/>
          <w:lang w:eastAsia="zh-CN"/>
        </w:rPr>
        <w:t>四</w:t>
      </w:r>
      <w:r>
        <w:rPr>
          <w:rFonts w:ascii="Times New Roman" w:hAnsi="Times New Roman" w:eastAsia="宋体" w:cs="Times New Roman"/>
          <w:b w:val="0"/>
          <w:sz w:val="24"/>
          <w:highlight w:val="none"/>
          <w:shd w:val="clear" w:color="auto" w:fill="auto"/>
        </w:rPr>
        <w:t>机械化叠石挡墙：</w:t>
      </w:r>
    </w:p>
    <w:p>
      <w:pPr>
        <w:keepNext w:val="0"/>
        <w:keepLines w:val="0"/>
        <w:pageBreakBefore w:val="0"/>
        <w:widowControl/>
        <w:kinsoku/>
        <w:wordWrap/>
        <w:overflowPunct/>
        <w:topLinePunct w:val="0"/>
        <w:autoSpaceDE/>
        <w:autoSpaceDN/>
        <w:bidi w:val="0"/>
        <w:adjustRightInd/>
        <w:snapToGrid/>
        <w:textAlignment w:val="auto"/>
        <w:rPr>
          <w:szCs w:val="24"/>
          <w:highlight w:val="none"/>
        </w:rPr>
      </w:pPr>
      <w:r>
        <w:rPr>
          <w:highlight w:val="none"/>
        </w:rPr>
        <w:t>机械化叠石挡墙是一种依靠块石自身重量及交错咬合形成的综合摩擦力来保证自身稳定、抵抗水土压力的新型生态护岸技术。机械化叠石护岸为柔性护岸，变形适应能力强，施工简便快速，投资较少，外观自然，与周围环境浑然一体，生态适应性强，景观效果好。护岸叠石单块宜不小于300kg，厚度宜不小于400mm，上下错位，垫砌稳固。机械化叠石护岸适用于石材资源丰富、水流速度较小、抗冲要求不高的河流护岸及造景。</w:t>
      </w:r>
    </w:p>
    <w:p>
      <w:pPr>
        <w:pStyle w:val="38"/>
        <w:spacing w:before="0" w:beforeAutospacing="0" w:after="0" w:afterAutospacing="0" w:line="240" w:lineRule="auto"/>
        <w:ind w:firstLine="0" w:firstLineChars="0"/>
        <w:jc w:val="both"/>
        <w:rPr>
          <w:rStyle w:val="51"/>
          <w:rFonts w:ascii="Times New Roman" w:hAnsi="Times New Roman" w:eastAsia="黑体"/>
          <w:bCs/>
          <w:color w:val="auto"/>
          <w:sz w:val="24"/>
          <w:szCs w:val="24"/>
          <w:highlight w:val="none"/>
          <w:u w:val="none"/>
        </w:rPr>
      </w:pPr>
      <w:r>
        <w:rPr>
          <w:rFonts w:ascii="Times New Roman" w:hAnsi="Times New Roman" w:eastAsia="黑体"/>
          <w:b/>
          <w:bCs/>
          <w:highlight w:val="none"/>
        </w:rPr>
        <w:drawing>
          <wp:inline distT="0" distB="0" distL="114300" distR="114300">
            <wp:extent cx="2547620" cy="2499995"/>
            <wp:effectExtent l="0" t="0" r="5080" b="14605"/>
            <wp:docPr id="33" name="图片 17" descr="叠石护岸7（可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7" descr="叠石护岸7（可用）.jpg"/>
                    <pic:cNvPicPr>
                      <a:picLocks noChangeAspect="1"/>
                    </pic:cNvPicPr>
                  </pic:nvPicPr>
                  <pic:blipFill>
                    <a:blip r:embed="rId88"/>
                    <a:stretch>
                      <a:fillRect/>
                    </a:stretch>
                  </pic:blipFill>
                  <pic:spPr>
                    <a:xfrm>
                      <a:off x="0" y="0"/>
                      <a:ext cx="2547620" cy="2499995"/>
                    </a:xfrm>
                    <a:prstGeom prst="rect">
                      <a:avLst/>
                    </a:prstGeom>
                    <a:noFill/>
                    <a:ln>
                      <a:noFill/>
                    </a:ln>
                  </pic:spPr>
                </pic:pic>
              </a:graphicData>
            </a:graphic>
          </wp:inline>
        </w:drawing>
      </w:r>
      <w:r>
        <w:rPr>
          <w:rStyle w:val="51"/>
          <w:rFonts w:hint="eastAsia" w:ascii="Times New Roman" w:hAnsi="Times New Roman" w:eastAsia="黑体"/>
          <w:bCs/>
          <w:color w:val="auto"/>
          <w:sz w:val="24"/>
          <w:szCs w:val="24"/>
          <w:highlight w:val="none"/>
          <w:u w:val="none"/>
        </w:rPr>
        <w:drawing>
          <wp:inline distT="0" distB="0" distL="114300" distR="114300">
            <wp:extent cx="2550795" cy="2506980"/>
            <wp:effectExtent l="0" t="0" r="1905" b="7620"/>
            <wp:docPr id="35" name="图片 18"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8" descr="timg"/>
                    <pic:cNvPicPr>
                      <a:picLocks noChangeAspect="1"/>
                    </pic:cNvPicPr>
                  </pic:nvPicPr>
                  <pic:blipFill>
                    <a:blip r:embed="rId89"/>
                    <a:stretch>
                      <a:fillRect/>
                    </a:stretch>
                  </pic:blipFill>
                  <pic:spPr>
                    <a:xfrm>
                      <a:off x="0" y="0"/>
                      <a:ext cx="2550795" cy="2506980"/>
                    </a:xfrm>
                    <a:prstGeom prst="rect">
                      <a:avLst/>
                    </a:prstGeom>
                    <a:noFill/>
                    <a:ln>
                      <a:noFill/>
                    </a:ln>
                  </pic:spPr>
                </pic:pic>
              </a:graphicData>
            </a:graphic>
          </wp:inline>
        </w:drawing>
      </w:r>
    </w:p>
    <w:p>
      <w:pPr>
        <w:pStyle w:val="14"/>
        <w:rPr>
          <w:rFonts w:ascii="Times New Roman" w:hAnsi="Times New Roman" w:eastAsia="宋体" w:cs="Times New Roman"/>
          <w:highlight w:val="none"/>
        </w:rPr>
      </w:pPr>
      <w:r>
        <w:rPr>
          <w:rFonts w:ascii="Times New Roman" w:hAnsi="Times New Roman" w:eastAsia="宋体" w:cs="Times New Roman"/>
          <w:highlight w:val="none"/>
        </w:rPr>
        <w:t>图5</w:t>
      </w:r>
      <w:r>
        <w:rPr>
          <w:rFonts w:hint="eastAsia" w:ascii="Times New Roman" w:hAnsi="Times New Roman" w:eastAsia="宋体" w:cs="Times New Roman"/>
          <w:highlight w:val="none"/>
        </w:rPr>
        <w:t>.</w:t>
      </w:r>
      <w:r>
        <w:rPr>
          <w:rFonts w:hint="eastAsia" w:ascii="Times New Roman" w:hAnsi="Times New Roman" w:eastAsia="宋体" w:cs="Times New Roman"/>
          <w:highlight w:val="none"/>
          <w:lang w:val="en-US" w:eastAsia="zh-CN"/>
        </w:rPr>
        <w:t>5</w:t>
      </w:r>
      <w:r>
        <w:rPr>
          <w:rFonts w:ascii="Times New Roman" w:hAnsi="Times New Roman" w:eastAsia="宋体" w:cs="Times New Roman"/>
          <w:highlight w:val="none"/>
        </w:rPr>
        <w:t>-</w:t>
      </w:r>
      <w:r>
        <w:rPr>
          <w:rFonts w:hint="eastAsia" w:ascii="Times New Roman" w:hAnsi="Times New Roman" w:eastAsia="宋体" w:cs="Times New Roman"/>
          <w:highlight w:val="none"/>
        </w:rPr>
        <w:t>2</w:t>
      </w:r>
      <w:r>
        <w:rPr>
          <w:rFonts w:ascii="Times New Roman" w:hAnsi="Times New Roman" w:eastAsia="宋体" w:cs="Times New Roman"/>
          <w:highlight w:val="none"/>
        </w:rPr>
        <w:t xml:space="preserve">  叠石挡墙（左）和格宾挡墙（右）</w:t>
      </w:r>
    </w:p>
    <w:p>
      <w:pPr>
        <w:ind w:firstLine="482"/>
        <w:rPr>
          <w:rFonts w:ascii="Times New Roman" w:hAnsi="Times New Roman" w:eastAsia="宋体" w:cs="Times New Roman"/>
          <w:b w:val="0"/>
          <w:sz w:val="24"/>
          <w:highlight w:val="none"/>
          <w:shd w:val="clear" w:color="auto" w:fill="auto"/>
        </w:rPr>
      </w:pPr>
      <w:r>
        <w:rPr>
          <w:rFonts w:ascii="Times New Roman" w:hAnsi="Times New Roman" w:eastAsia="宋体" w:cs="Times New Roman"/>
          <w:b w:val="0"/>
          <w:sz w:val="24"/>
          <w:highlight w:val="none"/>
          <w:shd w:val="clear" w:color="auto" w:fill="auto"/>
        </w:rPr>
        <w:t>方案</w:t>
      </w:r>
      <w:r>
        <w:rPr>
          <w:rFonts w:hint="eastAsia" w:ascii="Times New Roman" w:hAnsi="Times New Roman" w:eastAsia="宋体" w:cs="Times New Roman"/>
          <w:b w:val="0"/>
          <w:sz w:val="24"/>
          <w:highlight w:val="none"/>
          <w:shd w:val="clear" w:color="auto" w:fill="auto"/>
          <w:lang w:eastAsia="zh-CN"/>
        </w:rPr>
        <w:t>五钢筋</w:t>
      </w:r>
      <w:r>
        <w:rPr>
          <w:rFonts w:ascii="Times New Roman" w:hAnsi="Times New Roman" w:eastAsia="宋体" w:cs="Times New Roman"/>
          <w:b w:val="0"/>
          <w:sz w:val="24"/>
          <w:highlight w:val="none"/>
          <w:shd w:val="clear" w:color="auto" w:fill="auto"/>
        </w:rPr>
        <w:t>混凝土挡墙护岸：</w:t>
      </w:r>
    </w:p>
    <w:p>
      <w:pPr>
        <w:bidi w:val="0"/>
        <w:rPr>
          <w:highlight w:val="none"/>
        </w:rPr>
      </w:pPr>
      <w:r>
        <w:rPr>
          <w:rFonts w:hint="eastAsia"/>
          <w:highlight w:val="none"/>
          <w:lang w:eastAsia="zh-CN"/>
        </w:rPr>
        <w:t>钢筋混凝土挡</w:t>
      </w:r>
      <w:r>
        <w:rPr>
          <w:highlight w:val="none"/>
        </w:rPr>
        <w:t>墙护岸适用于迎流顶冲段，当地缺乏石料，水流条件复杂，抗冲刷要求高的河段。本护岸型式具有抗冲刷能力高，施工工艺成熟的优点，但生态及景观效果较差，植物无法生长，可在土地紧张的乡镇河段使用。</w:t>
      </w:r>
    </w:p>
    <w:p>
      <w:pPr>
        <w:ind w:firstLine="482"/>
        <w:rPr>
          <w:rFonts w:ascii="Times New Roman" w:hAnsi="Times New Roman" w:eastAsia="宋体" w:cs="Times New Roman"/>
          <w:b w:val="0"/>
          <w:sz w:val="24"/>
          <w:highlight w:val="none"/>
          <w:shd w:val="clear" w:color="auto" w:fill="auto"/>
        </w:rPr>
      </w:pPr>
      <w:r>
        <w:rPr>
          <w:rFonts w:ascii="Times New Roman" w:hAnsi="Times New Roman" w:eastAsia="宋体" w:cs="Times New Roman"/>
          <w:b w:val="0"/>
          <w:sz w:val="24"/>
          <w:highlight w:val="none"/>
          <w:shd w:val="clear" w:color="auto" w:fill="auto"/>
        </w:rPr>
        <w:t>方案</w:t>
      </w:r>
      <w:r>
        <w:rPr>
          <w:rFonts w:hint="eastAsia" w:ascii="Times New Roman" w:hAnsi="Times New Roman" w:eastAsia="宋体" w:cs="Times New Roman"/>
          <w:b w:val="0"/>
          <w:sz w:val="24"/>
          <w:highlight w:val="none"/>
          <w:shd w:val="clear" w:color="auto" w:fill="auto"/>
          <w:lang w:eastAsia="zh-CN"/>
        </w:rPr>
        <w:t>六</w:t>
      </w:r>
      <w:r>
        <w:rPr>
          <w:rFonts w:ascii="Times New Roman" w:hAnsi="Times New Roman" w:eastAsia="宋体" w:cs="Times New Roman"/>
          <w:b w:val="0"/>
          <w:sz w:val="24"/>
          <w:highlight w:val="none"/>
          <w:shd w:val="clear" w:color="auto" w:fill="auto"/>
        </w:rPr>
        <w:t>传统型浆砌石护岸：</w:t>
      </w:r>
    </w:p>
    <w:p>
      <w:pPr>
        <w:ind w:firstLine="482"/>
        <w:rPr>
          <w:rFonts w:eastAsia="宋体"/>
          <w:szCs w:val="24"/>
          <w:highlight w:val="none"/>
        </w:rPr>
      </w:pPr>
      <w:r>
        <w:rPr>
          <w:rFonts w:eastAsia="宋体"/>
          <w:szCs w:val="24"/>
          <w:highlight w:val="none"/>
        </w:rPr>
        <w:t>采用M7.5浆砌块石，石块最小边不应小于200mm，每块质量应大于30kg，选用强度大、无风表面密度大、吸水率小、耐久性高的石料。适用范围要求当地石料丰富、抗冲刷要求较高的河段。优点：抗冲能力强，可就地取材，节约“三材”，施工技术简单。缺点：景观效果较差，植物无法生长，需要定期检查和维修。</w:t>
      </w:r>
    </w:p>
    <w:p>
      <w:pPr>
        <w:pStyle w:val="38"/>
        <w:spacing w:before="0" w:beforeAutospacing="0" w:after="0" w:afterAutospacing="0" w:line="240" w:lineRule="auto"/>
        <w:ind w:firstLine="0" w:firstLineChars="0"/>
        <w:rPr>
          <w:rFonts w:ascii="Times New Roman" w:hAnsi="Times New Roman" w:eastAsia="宋体"/>
          <w:sz w:val="24"/>
          <w:szCs w:val="24"/>
          <w:highlight w:val="none"/>
        </w:rPr>
      </w:pPr>
      <w:r>
        <w:rPr>
          <w:rFonts w:ascii="Times New Roman" w:hAnsi="Times New Roman" w:eastAsia="宋体"/>
          <w:sz w:val="24"/>
          <w:szCs w:val="24"/>
          <w:highlight w:val="none"/>
        </w:rPr>
        <w:drawing>
          <wp:inline distT="0" distB="0" distL="114300" distR="114300">
            <wp:extent cx="5260975" cy="2520315"/>
            <wp:effectExtent l="0" t="0" r="15875" b="13335"/>
            <wp:docPr id="31" name="图片 19" descr="F:\桌面\QQ截图201807090858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9" descr="F:\桌面\QQ截图20180709085846.png"/>
                    <pic:cNvPicPr>
                      <a:picLocks noChangeAspect="1"/>
                    </pic:cNvPicPr>
                  </pic:nvPicPr>
                  <pic:blipFill>
                    <a:blip r:embed="rId90"/>
                    <a:stretch>
                      <a:fillRect/>
                    </a:stretch>
                  </pic:blipFill>
                  <pic:spPr>
                    <a:xfrm>
                      <a:off x="0" y="0"/>
                      <a:ext cx="5260975" cy="2520315"/>
                    </a:xfrm>
                    <a:prstGeom prst="rect">
                      <a:avLst/>
                    </a:prstGeom>
                    <a:noFill/>
                    <a:ln>
                      <a:noFill/>
                    </a:ln>
                  </pic:spPr>
                </pic:pic>
              </a:graphicData>
            </a:graphic>
          </wp:inline>
        </w:drawing>
      </w:r>
    </w:p>
    <w:p>
      <w:pPr>
        <w:pStyle w:val="14"/>
        <w:rPr>
          <w:rFonts w:ascii="Times New Roman" w:hAnsi="Times New Roman" w:eastAsia="宋体" w:cs="Times New Roman"/>
          <w:highlight w:val="none"/>
        </w:rPr>
      </w:pPr>
      <w:r>
        <w:rPr>
          <w:rFonts w:ascii="Times New Roman" w:hAnsi="Times New Roman" w:eastAsia="宋体" w:cs="Times New Roman"/>
          <w:highlight w:val="none"/>
        </w:rPr>
        <w:t>图5</w:t>
      </w:r>
      <w:r>
        <w:rPr>
          <w:rFonts w:hint="eastAsia" w:ascii="Times New Roman" w:hAnsi="Times New Roman" w:eastAsia="宋体" w:cs="Times New Roman"/>
          <w:highlight w:val="none"/>
        </w:rPr>
        <w:t>.</w:t>
      </w:r>
      <w:r>
        <w:rPr>
          <w:rFonts w:hint="eastAsia" w:ascii="Times New Roman" w:hAnsi="Times New Roman" w:eastAsia="宋体" w:cs="Times New Roman"/>
          <w:highlight w:val="none"/>
          <w:lang w:val="en-US" w:eastAsia="zh-CN"/>
        </w:rPr>
        <w:t>5</w:t>
      </w:r>
      <w:r>
        <w:rPr>
          <w:rFonts w:ascii="Times New Roman" w:hAnsi="Times New Roman" w:eastAsia="宋体" w:cs="Times New Roman"/>
          <w:highlight w:val="none"/>
        </w:rPr>
        <w:t>-</w:t>
      </w:r>
      <w:r>
        <w:rPr>
          <w:rFonts w:hint="eastAsia" w:ascii="Times New Roman" w:hAnsi="Times New Roman" w:eastAsia="宋体" w:cs="Times New Roman"/>
          <w:highlight w:val="none"/>
        </w:rPr>
        <w:t>3</w:t>
      </w:r>
      <w:r>
        <w:rPr>
          <w:rFonts w:ascii="Times New Roman" w:hAnsi="Times New Roman" w:eastAsia="宋体" w:cs="Times New Roman"/>
          <w:highlight w:val="none"/>
        </w:rPr>
        <w:t xml:space="preserve">   浆砌石挡墙（左）和混凝土挡墙（右）</w:t>
      </w:r>
    </w:p>
    <w:p>
      <w:pPr>
        <w:pStyle w:val="14"/>
        <w:rPr>
          <w:rFonts w:ascii="Times New Roman" w:hAnsi="Times New Roman" w:eastAsia="宋体" w:cs="Times New Roman"/>
          <w:highlight w:val="none"/>
        </w:rPr>
      </w:pPr>
      <w:r>
        <w:rPr>
          <w:rFonts w:ascii="Times New Roman" w:hAnsi="Times New Roman" w:eastAsia="宋体" w:cs="Times New Roman"/>
          <w:highlight w:val="none"/>
        </w:rPr>
        <w:t>表5</w:t>
      </w:r>
      <w:r>
        <w:rPr>
          <w:rFonts w:hint="eastAsia" w:ascii="Times New Roman" w:hAnsi="Times New Roman" w:eastAsia="宋体" w:cs="Times New Roman"/>
          <w:highlight w:val="none"/>
        </w:rPr>
        <w:t>.</w:t>
      </w:r>
      <w:r>
        <w:rPr>
          <w:rFonts w:hint="eastAsia" w:ascii="Times New Roman" w:hAnsi="Times New Roman" w:eastAsia="宋体" w:cs="Times New Roman"/>
          <w:highlight w:val="none"/>
          <w:lang w:val="en-US" w:eastAsia="zh-CN"/>
        </w:rPr>
        <w:t>4</w:t>
      </w:r>
      <w:r>
        <w:rPr>
          <w:rFonts w:ascii="Times New Roman" w:hAnsi="Times New Roman" w:eastAsia="宋体" w:cs="Times New Roman"/>
          <w:highlight w:val="none"/>
        </w:rPr>
        <w:t>-</w:t>
      </w:r>
      <w:r>
        <w:rPr>
          <w:rFonts w:hint="eastAsia" w:ascii="Times New Roman" w:hAnsi="Times New Roman" w:eastAsia="宋体" w:cs="Times New Roman"/>
          <w:highlight w:val="none"/>
        </w:rPr>
        <w:t>1</w:t>
      </w:r>
      <w:r>
        <w:rPr>
          <w:rFonts w:ascii="Times New Roman" w:hAnsi="Times New Roman" w:eastAsia="宋体" w:cs="Times New Roman"/>
          <w:highlight w:val="none"/>
        </w:rPr>
        <w:t>河道护岸型式优缺点对比表</w:t>
      </w:r>
    </w:p>
    <w:tbl>
      <w:tblPr>
        <w:tblStyle w:val="4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6"/>
        <w:gridCol w:w="1342"/>
        <w:gridCol w:w="1281"/>
        <w:gridCol w:w="1286"/>
        <w:gridCol w:w="1444"/>
        <w:gridCol w:w="1550"/>
        <w:gridCol w:w="1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blHeader/>
          <w:jc w:val="center"/>
        </w:trPr>
        <w:tc>
          <w:tcPr>
            <w:tcW w:w="45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比较因素</w:t>
            </w:r>
          </w:p>
        </w:tc>
        <w:tc>
          <w:tcPr>
            <w:tcW w:w="730"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方案一：</w:t>
            </w:r>
            <w:r>
              <w:rPr>
                <w:rFonts w:hint="eastAsia" w:ascii="Times New Roman" w:hAnsi="Times New Roman" w:eastAsia="宋体" w:cs="Times New Roman"/>
                <w:highlight w:val="none"/>
              </w:rPr>
              <w:t>波浪桩护岸</w:t>
            </w:r>
          </w:p>
        </w:tc>
        <w:tc>
          <w:tcPr>
            <w:tcW w:w="697"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方案二：</w:t>
            </w:r>
            <w:r>
              <w:rPr>
                <w:rFonts w:hint="eastAsia" w:ascii="Times New Roman" w:hAnsi="Times New Roman" w:eastAsia="宋体" w:cs="Times New Roman"/>
                <w:highlight w:val="none"/>
              </w:rPr>
              <w:t>仿松木桩护岸</w:t>
            </w:r>
          </w:p>
        </w:tc>
        <w:tc>
          <w:tcPr>
            <w:tcW w:w="700"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方案</w:t>
            </w:r>
            <w:r>
              <w:rPr>
                <w:rFonts w:hint="eastAsia" w:ascii="Times New Roman" w:hAnsi="Times New Roman" w:eastAsia="宋体" w:cs="Times New Roman"/>
                <w:highlight w:val="none"/>
              </w:rPr>
              <w:t>三</w:t>
            </w:r>
            <w:r>
              <w:rPr>
                <w:rFonts w:ascii="Times New Roman" w:hAnsi="Times New Roman" w:eastAsia="宋体" w:cs="Times New Roman"/>
                <w:highlight w:val="none"/>
              </w:rPr>
              <w:t>：叠石挡墙</w:t>
            </w:r>
          </w:p>
        </w:tc>
        <w:tc>
          <w:tcPr>
            <w:tcW w:w="78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方案</w:t>
            </w:r>
            <w:r>
              <w:rPr>
                <w:rFonts w:hint="eastAsia" w:ascii="Times New Roman" w:hAnsi="Times New Roman" w:eastAsia="宋体" w:cs="Times New Roman"/>
                <w:highlight w:val="none"/>
              </w:rPr>
              <w:t>四</w:t>
            </w:r>
            <w:r>
              <w:rPr>
                <w:rFonts w:ascii="Times New Roman" w:hAnsi="Times New Roman" w:eastAsia="宋体" w:cs="Times New Roman"/>
                <w:highlight w:val="none"/>
              </w:rPr>
              <w:t>：格宾挡墙</w:t>
            </w:r>
          </w:p>
        </w:tc>
        <w:tc>
          <w:tcPr>
            <w:tcW w:w="842"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方案</w:t>
            </w:r>
            <w:r>
              <w:rPr>
                <w:rFonts w:hint="eastAsia" w:ascii="Times New Roman" w:hAnsi="Times New Roman" w:eastAsia="宋体" w:cs="Times New Roman"/>
                <w:highlight w:val="none"/>
              </w:rPr>
              <w:t>五</w:t>
            </w:r>
            <w:r>
              <w:rPr>
                <w:rFonts w:ascii="Times New Roman" w:hAnsi="Times New Roman" w:eastAsia="宋体" w:cs="Times New Roman"/>
                <w:highlight w:val="none"/>
              </w:rPr>
              <w:t>：</w:t>
            </w:r>
            <w:r>
              <w:rPr>
                <w:rFonts w:hint="eastAsia" w:ascii="Times New Roman" w:hAnsi="Times New Roman" w:eastAsia="宋体" w:cs="Times New Roman"/>
                <w:highlight w:val="none"/>
                <w:lang w:eastAsia="zh-CN"/>
              </w:rPr>
              <w:t>钢筋</w:t>
            </w:r>
            <w:r>
              <w:rPr>
                <w:rFonts w:ascii="Times New Roman" w:hAnsi="Times New Roman" w:eastAsia="宋体" w:cs="Times New Roman"/>
                <w:highlight w:val="none"/>
              </w:rPr>
              <w:t>混凝土挡墙</w:t>
            </w:r>
          </w:p>
        </w:tc>
        <w:tc>
          <w:tcPr>
            <w:tcW w:w="78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方案</w:t>
            </w:r>
            <w:r>
              <w:rPr>
                <w:rFonts w:hint="eastAsia" w:ascii="Times New Roman" w:hAnsi="Times New Roman" w:eastAsia="宋体" w:cs="Times New Roman"/>
                <w:highlight w:val="none"/>
              </w:rPr>
              <w:t>六</w:t>
            </w:r>
            <w:r>
              <w:rPr>
                <w:rFonts w:ascii="Times New Roman" w:hAnsi="Times New Roman" w:eastAsia="宋体" w:cs="Times New Roman"/>
                <w:highlight w:val="none"/>
              </w:rPr>
              <w:t>：浆砌石挡墙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5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防护性</w:t>
            </w:r>
          </w:p>
        </w:tc>
        <w:tc>
          <w:tcPr>
            <w:tcW w:w="730"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1、具有良好的水性；</w:t>
            </w:r>
          </w:p>
          <w:p>
            <w:pPr>
              <w:pStyle w:val="396"/>
              <w:rPr>
                <w:rFonts w:ascii="Times New Roman" w:hAnsi="Times New Roman" w:eastAsia="宋体" w:cs="Times New Roman"/>
                <w:highlight w:val="none"/>
              </w:rPr>
            </w:pPr>
            <w:r>
              <w:rPr>
                <w:rFonts w:ascii="Times New Roman" w:hAnsi="Times New Roman" w:eastAsia="宋体" w:cs="Times New Roman"/>
                <w:highlight w:val="none"/>
              </w:rPr>
              <w:t>2、</w:t>
            </w:r>
            <w:r>
              <w:rPr>
                <w:rFonts w:hint="eastAsia" w:ascii="Times New Roman" w:hAnsi="Times New Roman" w:eastAsia="宋体" w:cs="Times New Roman"/>
                <w:highlight w:val="none"/>
              </w:rPr>
              <w:t>抗冲刷能力较强</w:t>
            </w:r>
            <w:r>
              <w:rPr>
                <w:rFonts w:ascii="Times New Roman" w:hAnsi="Times New Roman" w:eastAsia="宋体" w:cs="Times New Roman"/>
                <w:highlight w:val="none"/>
              </w:rPr>
              <w:t>；</w:t>
            </w:r>
          </w:p>
          <w:p>
            <w:pPr>
              <w:pStyle w:val="396"/>
              <w:rPr>
                <w:rFonts w:ascii="Times New Roman" w:hAnsi="Times New Roman" w:eastAsia="宋体" w:cs="Times New Roman"/>
                <w:highlight w:val="none"/>
              </w:rPr>
            </w:pPr>
            <w:r>
              <w:rPr>
                <w:rFonts w:ascii="Times New Roman" w:hAnsi="Times New Roman" w:eastAsia="宋体" w:cs="Times New Roman"/>
                <w:highlight w:val="none"/>
              </w:rPr>
              <w:t>3、</w:t>
            </w:r>
            <w:r>
              <w:rPr>
                <w:rFonts w:hint="eastAsia" w:ascii="Times New Roman" w:hAnsi="Times New Roman" w:eastAsia="宋体" w:cs="Times New Roman"/>
                <w:highlight w:val="none"/>
              </w:rPr>
              <w:t>地形适应性较强</w:t>
            </w:r>
            <w:r>
              <w:rPr>
                <w:rFonts w:ascii="Times New Roman" w:hAnsi="Times New Roman" w:eastAsia="宋体" w:cs="Times New Roman"/>
                <w:highlight w:val="none"/>
              </w:rPr>
              <w:t>；</w:t>
            </w:r>
          </w:p>
          <w:p>
            <w:pPr>
              <w:pStyle w:val="396"/>
              <w:rPr>
                <w:rFonts w:ascii="Times New Roman" w:hAnsi="Times New Roman" w:eastAsia="宋体" w:cs="Times New Roman"/>
                <w:highlight w:val="none"/>
              </w:rPr>
            </w:pPr>
            <w:r>
              <w:rPr>
                <w:rFonts w:ascii="Times New Roman" w:hAnsi="Times New Roman" w:eastAsia="宋体" w:cs="Times New Roman"/>
                <w:highlight w:val="none"/>
              </w:rPr>
              <w:t>4、</w:t>
            </w:r>
            <w:r>
              <w:rPr>
                <w:rFonts w:hint="eastAsia" w:ascii="Times New Roman" w:hAnsi="Times New Roman" w:eastAsia="宋体" w:cs="Times New Roman"/>
                <w:highlight w:val="none"/>
              </w:rPr>
              <w:t>耐久性能好</w:t>
            </w:r>
            <w:r>
              <w:rPr>
                <w:rFonts w:ascii="Times New Roman" w:hAnsi="Times New Roman" w:eastAsia="宋体" w:cs="Times New Roman"/>
                <w:highlight w:val="none"/>
              </w:rPr>
              <w:t>；</w:t>
            </w:r>
          </w:p>
        </w:tc>
        <w:tc>
          <w:tcPr>
            <w:tcW w:w="697"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1、具有良好的水性；</w:t>
            </w:r>
          </w:p>
          <w:p>
            <w:pPr>
              <w:pStyle w:val="396"/>
              <w:rPr>
                <w:rFonts w:ascii="Times New Roman" w:hAnsi="Times New Roman" w:eastAsia="宋体" w:cs="Times New Roman"/>
                <w:highlight w:val="none"/>
              </w:rPr>
            </w:pPr>
            <w:r>
              <w:rPr>
                <w:rFonts w:ascii="Times New Roman" w:hAnsi="Times New Roman" w:eastAsia="宋体" w:cs="Times New Roman"/>
                <w:highlight w:val="none"/>
              </w:rPr>
              <w:t>2、对地基适应性好；</w:t>
            </w:r>
          </w:p>
          <w:p>
            <w:pPr>
              <w:pStyle w:val="396"/>
              <w:rPr>
                <w:rFonts w:ascii="Times New Roman" w:hAnsi="Times New Roman" w:eastAsia="宋体" w:cs="Times New Roman"/>
                <w:highlight w:val="none"/>
              </w:rPr>
            </w:pPr>
            <w:r>
              <w:rPr>
                <w:rFonts w:ascii="Times New Roman" w:hAnsi="Times New Roman" w:eastAsia="宋体" w:cs="Times New Roman"/>
                <w:highlight w:val="none"/>
              </w:rPr>
              <w:t>3、变形适应能力强</w:t>
            </w:r>
          </w:p>
          <w:p>
            <w:pPr>
              <w:pStyle w:val="396"/>
              <w:rPr>
                <w:rFonts w:ascii="Times New Roman" w:hAnsi="Times New Roman" w:eastAsia="宋体" w:cs="Times New Roman"/>
                <w:highlight w:val="none"/>
              </w:rPr>
            </w:pPr>
          </w:p>
        </w:tc>
        <w:tc>
          <w:tcPr>
            <w:tcW w:w="700"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1、具有良好的水性；</w:t>
            </w:r>
          </w:p>
          <w:p>
            <w:pPr>
              <w:pStyle w:val="396"/>
              <w:rPr>
                <w:rFonts w:ascii="Times New Roman" w:hAnsi="Times New Roman" w:eastAsia="宋体" w:cs="Times New Roman"/>
                <w:highlight w:val="none"/>
              </w:rPr>
            </w:pPr>
            <w:r>
              <w:rPr>
                <w:rFonts w:ascii="Times New Roman" w:hAnsi="Times New Roman" w:eastAsia="宋体" w:cs="Times New Roman"/>
                <w:highlight w:val="none"/>
              </w:rPr>
              <w:t>2、对地基适应性好；人为损坏小；</w:t>
            </w:r>
          </w:p>
          <w:p>
            <w:pPr>
              <w:pStyle w:val="396"/>
              <w:rPr>
                <w:rFonts w:ascii="Times New Roman" w:hAnsi="Times New Roman" w:eastAsia="宋体" w:cs="Times New Roman"/>
                <w:highlight w:val="none"/>
              </w:rPr>
            </w:pPr>
            <w:r>
              <w:rPr>
                <w:rFonts w:ascii="Times New Roman" w:hAnsi="Times New Roman" w:eastAsia="宋体" w:cs="Times New Roman"/>
                <w:highlight w:val="none"/>
              </w:rPr>
              <w:t>3、变形适应能力强</w:t>
            </w:r>
          </w:p>
          <w:p>
            <w:pPr>
              <w:pStyle w:val="396"/>
              <w:rPr>
                <w:rFonts w:ascii="Times New Roman" w:hAnsi="Times New Roman" w:eastAsia="宋体" w:cs="Times New Roman"/>
                <w:highlight w:val="none"/>
              </w:rPr>
            </w:pPr>
          </w:p>
        </w:tc>
        <w:tc>
          <w:tcPr>
            <w:tcW w:w="78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1、具有良好的水性；</w:t>
            </w:r>
          </w:p>
          <w:p>
            <w:pPr>
              <w:pStyle w:val="396"/>
              <w:rPr>
                <w:rFonts w:ascii="Times New Roman" w:hAnsi="Times New Roman" w:eastAsia="宋体" w:cs="Times New Roman"/>
                <w:highlight w:val="none"/>
              </w:rPr>
            </w:pPr>
            <w:r>
              <w:rPr>
                <w:rFonts w:ascii="Times New Roman" w:hAnsi="Times New Roman" w:eastAsia="宋体" w:cs="Times New Roman"/>
                <w:highlight w:val="none"/>
              </w:rPr>
              <w:t>2、金属网面构成，柔韧性较好；</w:t>
            </w:r>
          </w:p>
          <w:p>
            <w:pPr>
              <w:pStyle w:val="396"/>
              <w:rPr>
                <w:rFonts w:ascii="Times New Roman" w:hAnsi="Times New Roman" w:eastAsia="宋体" w:cs="Times New Roman"/>
                <w:highlight w:val="none"/>
              </w:rPr>
            </w:pPr>
            <w:r>
              <w:rPr>
                <w:rFonts w:ascii="Times New Roman" w:hAnsi="Times New Roman" w:eastAsia="宋体" w:cs="Times New Roman"/>
                <w:highlight w:val="none"/>
              </w:rPr>
              <w:t>3、整体性好，抗冲能力强；</w:t>
            </w:r>
          </w:p>
          <w:p>
            <w:pPr>
              <w:pStyle w:val="396"/>
              <w:rPr>
                <w:rFonts w:ascii="Times New Roman" w:hAnsi="Times New Roman" w:eastAsia="宋体" w:cs="Times New Roman"/>
                <w:highlight w:val="none"/>
              </w:rPr>
            </w:pPr>
            <w:r>
              <w:rPr>
                <w:rFonts w:ascii="Times New Roman" w:hAnsi="Times New Roman" w:eastAsia="宋体" w:cs="Times New Roman"/>
                <w:highlight w:val="none"/>
              </w:rPr>
              <w:t>4、人为损坏小；</w:t>
            </w:r>
          </w:p>
        </w:tc>
        <w:tc>
          <w:tcPr>
            <w:tcW w:w="842"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1、抗冲刷能力非常高；</w:t>
            </w:r>
          </w:p>
          <w:p>
            <w:pPr>
              <w:pStyle w:val="396"/>
              <w:rPr>
                <w:rFonts w:ascii="Times New Roman" w:hAnsi="Times New Roman" w:eastAsia="宋体" w:cs="Times New Roman"/>
                <w:highlight w:val="none"/>
              </w:rPr>
            </w:pPr>
            <w:r>
              <w:rPr>
                <w:rFonts w:ascii="Times New Roman" w:hAnsi="Times New Roman" w:eastAsia="宋体" w:cs="Times New Roman"/>
                <w:highlight w:val="none"/>
              </w:rPr>
              <w:t>2、施工工艺成熟；</w:t>
            </w:r>
          </w:p>
        </w:tc>
        <w:tc>
          <w:tcPr>
            <w:tcW w:w="78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1、抗冲刷能力高；</w:t>
            </w:r>
          </w:p>
          <w:p>
            <w:pPr>
              <w:pStyle w:val="396"/>
              <w:rPr>
                <w:rFonts w:ascii="Times New Roman" w:hAnsi="Times New Roman" w:eastAsia="宋体" w:cs="Times New Roman"/>
                <w:highlight w:val="none"/>
              </w:rPr>
            </w:pPr>
            <w:r>
              <w:rPr>
                <w:rFonts w:ascii="Times New Roman" w:hAnsi="Times New Roman" w:eastAsia="宋体" w:cs="Times New Roman"/>
                <w:highlight w:val="none"/>
              </w:rPr>
              <w:t>2、可就地取材；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5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生态功能</w:t>
            </w:r>
          </w:p>
        </w:tc>
        <w:tc>
          <w:tcPr>
            <w:tcW w:w="730"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生态适应</w:t>
            </w:r>
            <w:r>
              <w:rPr>
                <w:rFonts w:hint="eastAsia" w:ascii="Times New Roman" w:hAnsi="Times New Roman" w:eastAsia="宋体" w:cs="Times New Roman"/>
                <w:highlight w:val="none"/>
              </w:rPr>
              <w:t>一般</w:t>
            </w:r>
            <w:r>
              <w:rPr>
                <w:rFonts w:ascii="Times New Roman" w:hAnsi="Times New Roman" w:eastAsia="宋体" w:cs="Times New Roman"/>
                <w:highlight w:val="none"/>
              </w:rPr>
              <w:t>，景观效果好。</w:t>
            </w:r>
          </w:p>
        </w:tc>
        <w:tc>
          <w:tcPr>
            <w:tcW w:w="697"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生态适应</w:t>
            </w:r>
            <w:r>
              <w:rPr>
                <w:rFonts w:hint="eastAsia" w:ascii="Times New Roman" w:hAnsi="Times New Roman" w:eastAsia="宋体" w:cs="Times New Roman"/>
                <w:highlight w:val="none"/>
              </w:rPr>
              <w:t>一般</w:t>
            </w:r>
            <w:r>
              <w:rPr>
                <w:rFonts w:ascii="Times New Roman" w:hAnsi="Times New Roman" w:eastAsia="宋体" w:cs="Times New Roman"/>
                <w:highlight w:val="none"/>
              </w:rPr>
              <w:t>，景观效果好。</w:t>
            </w:r>
          </w:p>
        </w:tc>
        <w:tc>
          <w:tcPr>
            <w:tcW w:w="700"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生态适应性强，景观效果好。</w:t>
            </w:r>
          </w:p>
        </w:tc>
        <w:tc>
          <w:tcPr>
            <w:tcW w:w="78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能在石笼上实现植生绿化，景观性好。</w:t>
            </w:r>
          </w:p>
        </w:tc>
        <w:tc>
          <w:tcPr>
            <w:tcW w:w="842"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生态及景观效果差。</w:t>
            </w:r>
          </w:p>
        </w:tc>
        <w:tc>
          <w:tcPr>
            <w:tcW w:w="78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生态及景观效果差。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5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施工便捷性</w:t>
            </w:r>
          </w:p>
        </w:tc>
        <w:tc>
          <w:tcPr>
            <w:tcW w:w="730"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施工简单，进度快。</w:t>
            </w:r>
          </w:p>
        </w:tc>
        <w:tc>
          <w:tcPr>
            <w:tcW w:w="697"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施工简单，进度快。</w:t>
            </w:r>
          </w:p>
        </w:tc>
        <w:tc>
          <w:tcPr>
            <w:tcW w:w="700"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施工简单，进度快。</w:t>
            </w:r>
          </w:p>
        </w:tc>
        <w:tc>
          <w:tcPr>
            <w:tcW w:w="78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施工简单，进度快。</w:t>
            </w:r>
          </w:p>
        </w:tc>
        <w:tc>
          <w:tcPr>
            <w:tcW w:w="842"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施工复杂，进度比浆砌石挡墙稍快。</w:t>
            </w:r>
          </w:p>
        </w:tc>
        <w:tc>
          <w:tcPr>
            <w:tcW w:w="78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施工简单，进度慢。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5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缺点</w:t>
            </w:r>
          </w:p>
        </w:tc>
        <w:tc>
          <w:tcPr>
            <w:tcW w:w="730"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抗冲能力相对</w:t>
            </w:r>
            <w:r>
              <w:rPr>
                <w:rFonts w:hint="eastAsia" w:ascii="Times New Roman" w:hAnsi="Times New Roman" w:eastAsia="宋体" w:cs="Times New Roman"/>
                <w:highlight w:val="none"/>
              </w:rPr>
              <w:t>一般</w:t>
            </w:r>
            <w:r>
              <w:rPr>
                <w:rFonts w:ascii="Times New Roman" w:hAnsi="Times New Roman" w:eastAsia="宋体" w:cs="Times New Roman"/>
                <w:highlight w:val="none"/>
              </w:rPr>
              <w:t>，</w:t>
            </w:r>
            <w:r>
              <w:rPr>
                <w:rFonts w:hint="eastAsia" w:ascii="Times New Roman" w:hAnsi="Times New Roman" w:eastAsia="宋体" w:cs="Times New Roman"/>
                <w:highlight w:val="none"/>
              </w:rPr>
              <w:t>施工场地要求较大，后期维护成本较高。</w:t>
            </w:r>
          </w:p>
        </w:tc>
        <w:tc>
          <w:tcPr>
            <w:tcW w:w="697"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抗冲能力相对较弱，适用于水流速度较小、抗冲要求不高的河流护岸及造景。</w:t>
            </w:r>
          </w:p>
        </w:tc>
        <w:tc>
          <w:tcPr>
            <w:tcW w:w="700"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石材要求严格，抗冲能力相对较弱，适用于石材资源丰富、水流速度较小、抗冲要求不高的河流护岸及造景。</w:t>
            </w:r>
          </w:p>
        </w:tc>
        <w:tc>
          <w:tcPr>
            <w:tcW w:w="78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石笼的铺设高度、流速和水流腐蚀等都会影响到石笼结构的稳定性，可能会造成格网破裂、石笼结构失稳；铁丝网容易挂垃圾，影响美观。</w:t>
            </w:r>
          </w:p>
        </w:tc>
        <w:tc>
          <w:tcPr>
            <w:tcW w:w="842"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生态及景观效果较差，植物无法生长，地基承载力要求就高。</w:t>
            </w:r>
          </w:p>
        </w:tc>
        <w:tc>
          <w:tcPr>
            <w:tcW w:w="785" w:type="pct"/>
            <w:noWrap w:val="0"/>
            <w:vAlign w:val="center"/>
          </w:tcPr>
          <w:p>
            <w:pPr>
              <w:pStyle w:val="396"/>
              <w:rPr>
                <w:rFonts w:ascii="Times New Roman" w:hAnsi="Times New Roman" w:eastAsia="宋体" w:cs="Times New Roman"/>
                <w:highlight w:val="none"/>
              </w:rPr>
            </w:pPr>
            <w:r>
              <w:rPr>
                <w:rFonts w:ascii="Times New Roman" w:hAnsi="Times New Roman" w:eastAsia="宋体" w:cs="Times New Roman"/>
                <w:highlight w:val="none"/>
              </w:rPr>
              <w:t>景观效果较差，需定期检查和维修,对施工工艺要求较高。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55" w:type="pct"/>
            <w:noWrap w:val="0"/>
            <w:vAlign w:val="center"/>
          </w:tcPr>
          <w:p>
            <w:pPr>
              <w:pStyle w:val="403"/>
              <w:bidi w:val="0"/>
              <w:rPr>
                <w:highlight w:val="none"/>
              </w:rPr>
            </w:pPr>
            <w:r>
              <w:rPr>
                <w:highlight w:val="none"/>
              </w:rPr>
              <w:t>每延米造价（元）</w:t>
            </w:r>
          </w:p>
        </w:tc>
        <w:tc>
          <w:tcPr>
            <w:tcW w:w="730" w:type="pct"/>
            <w:noWrap w:val="0"/>
            <w:vAlign w:val="center"/>
          </w:tcPr>
          <w:p>
            <w:pPr>
              <w:pStyle w:val="403"/>
              <w:bidi w:val="0"/>
              <w:rPr>
                <w:highlight w:val="none"/>
              </w:rPr>
            </w:pPr>
            <w:r>
              <w:rPr>
                <w:rFonts w:hint="eastAsia"/>
                <w:highlight w:val="none"/>
              </w:rPr>
              <w:t>792</w:t>
            </w:r>
          </w:p>
        </w:tc>
        <w:tc>
          <w:tcPr>
            <w:tcW w:w="697" w:type="pct"/>
            <w:noWrap w:val="0"/>
            <w:vAlign w:val="center"/>
          </w:tcPr>
          <w:p>
            <w:pPr>
              <w:pStyle w:val="403"/>
              <w:bidi w:val="0"/>
              <w:rPr>
                <w:rFonts w:hint="default"/>
                <w:highlight w:val="none"/>
                <w:lang w:val="en-US" w:eastAsia="zh-CN"/>
              </w:rPr>
            </w:pPr>
            <w:r>
              <w:rPr>
                <w:rFonts w:hint="eastAsia"/>
                <w:highlight w:val="none"/>
                <w:lang w:val="en-US" w:eastAsia="zh-CN"/>
              </w:rPr>
              <w:t>1840</w:t>
            </w:r>
          </w:p>
        </w:tc>
        <w:tc>
          <w:tcPr>
            <w:tcW w:w="700" w:type="pct"/>
            <w:noWrap w:val="0"/>
            <w:vAlign w:val="center"/>
          </w:tcPr>
          <w:p>
            <w:pPr>
              <w:pStyle w:val="403"/>
              <w:bidi w:val="0"/>
              <w:rPr>
                <w:highlight w:val="none"/>
              </w:rPr>
            </w:pPr>
            <w:r>
              <w:rPr>
                <w:highlight w:val="none"/>
              </w:rPr>
              <w:t>1024</w:t>
            </w:r>
          </w:p>
        </w:tc>
        <w:tc>
          <w:tcPr>
            <w:tcW w:w="785" w:type="pct"/>
            <w:noWrap w:val="0"/>
            <w:vAlign w:val="center"/>
          </w:tcPr>
          <w:p>
            <w:pPr>
              <w:pStyle w:val="403"/>
              <w:bidi w:val="0"/>
              <w:rPr>
                <w:highlight w:val="none"/>
              </w:rPr>
            </w:pPr>
            <w:r>
              <w:rPr>
                <w:rFonts w:hint="eastAsia"/>
                <w:highlight w:val="none"/>
              </w:rPr>
              <w:t>1258</w:t>
            </w:r>
          </w:p>
        </w:tc>
        <w:tc>
          <w:tcPr>
            <w:tcW w:w="842" w:type="pct"/>
            <w:noWrap w:val="0"/>
            <w:vAlign w:val="center"/>
          </w:tcPr>
          <w:p>
            <w:pPr>
              <w:pStyle w:val="403"/>
              <w:bidi w:val="0"/>
              <w:rPr>
                <w:highlight w:val="none"/>
              </w:rPr>
            </w:pPr>
            <w:r>
              <w:rPr>
                <w:rFonts w:hint="eastAsia"/>
                <w:highlight w:val="none"/>
              </w:rPr>
              <w:t>2647</w:t>
            </w:r>
          </w:p>
        </w:tc>
        <w:tc>
          <w:tcPr>
            <w:tcW w:w="785" w:type="pct"/>
            <w:noWrap w:val="0"/>
            <w:vAlign w:val="center"/>
          </w:tcPr>
          <w:p>
            <w:pPr>
              <w:pStyle w:val="403"/>
              <w:bidi w:val="0"/>
              <w:rPr>
                <w:highlight w:val="none"/>
              </w:rPr>
            </w:pPr>
            <w:r>
              <w:rPr>
                <w:rFonts w:hint="eastAsia"/>
                <w:highlight w:val="none"/>
              </w:rPr>
              <w:t>1850</w:t>
            </w:r>
          </w:p>
        </w:tc>
      </w:tr>
    </w:tbl>
    <w:p>
      <w:pPr>
        <w:bidi w:val="0"/>
        <w:rPr>
          <w:rFonts w:hint="default"/>
          <w:highlight w:val="none"/>
          <w:lang w:val="en-US" w:eastAsia="zh-CN"/>
        </w:rPr>
      </w:pPr>
      <w:r>
        <w:rPr>
          <w:highlight w:val="none"/>
        </w:rPr>
        <w:t>根据以上材料的优缺点及价格，综合考虑生态、景观、安全等因素，考虑本工程</w:t>
      </w:r>
      <w:r>
        <w:rPr>
          <w:rFonts w:hint="eastAsia"/>
          <w:highlight w:val="none"/>
          <w:lang w:eastAsia="zh-CN"/>
        </w:rPr>
        <w:t>为重建工程，重建护岸长度不长，投资影响不大，为确保河涌上下游岸墙的连续性及整体美观性，结合上下游现状护岸形式，本工程岸墙选用</w:t>
      </w:r>
      <w:r>
        <w:rPr>
          <w:rFonts w:hint="eastAsia"/>
          <w:highlight w:val="none"/>
          <w:lang w:val="en-US" w:eastAsia="zh-CN"/>
        </w:rPr>
        <w:t>钢筋混凝土挡墙</w:t>
      </w:r>
      <w:r>
        <w:rPr>
          <w:highlight w:val="none"/>
        </w:rPr>
        <w:t>。</w:t>
      </w:r>
    </w:p>
    <w:p>
      <w:pPr>
        <w:pStyle w:val="5"/>
        <w:bidi w:val="0"/>
        <w:ind w:left="720" w:leftChars="0" w:hanging="720" w:firstLineChars="0"/>
        <w:rPr>
          <w:rFonts w:hint="default" w:ascii="Times New Roman" w:hAnsi="Times New Roman" w:cs="Times New Roman"/>
          <w:highlight w:val="none"/>
          <w:lang w:val="en-US" w:eastAsia="zh-CN"/>
        </w:rPr>
      </w:pPr>
      <w:bookmarkStart w:id="204" w:name="_Toc1733"/>
      <w:r>
        <w:rPr>
          <w:rFonts w:hint="eastAsia" w:ascii="Times New Roman" w:hAnsi="Times New Roman" w:cs="Times New Roman"/>
          <w:highlight w:val="none"/>
          <w:lang w:val="en-US" w:eastAsia="zh-CN"/>
        </w:rPr>
        <w:t>断面设计</w:t>
      </w:r>
      <w:bookmarkEnd w:id="204"/>
    </w:p>
    <w:p>
      <w:pPr>
        <w:pStyle w:val="365"/>
        <w:keepNext w:val="0"/>
        <w:keepLines w:val="0"/>
        <w:pageBreakBefore w:val="0"/>
        <w:widowControl/>
        <w:numPr>
          <w:ilvl w:val="0"/>
          <w:numId w:val="2"/>
        </w:numPr>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cs="Times New Roman" w:eastAsiaTheme="minorEastAsia"/>
          <w:bCs w:val="0"/>
          <w:kern w:val="0"/>
          <w:sz w:val="24"/>
          <w:szCs w:val="24"/>
          <w:lang w:val="en-US" w:eastAsia="zh-CN" w:bidi="ar-SA"/>
        </w:rPr>
      </w:pPr>
      <w:r>
        <w:rPr>
          <w:rFonts w:hint="default" w:ascii="Times New Roman" w:hAnsi="Times New Roman" w:cs="Times New Roman" w:eastAsiaTheme="minorEastAsia"/>
          <w:bCs w:val="0"/>
          <w:kern w:val="0"/>
          <w:sz w:val="24"/>
          <w:szCs w:val="24"/>
          <w:lang w:val="en-US" w:eastAsia="zh-CN" w:bidi="ar-SA"/>
        </w:rPr>
        <w:t>K0+1</w:t>
      </w:r>
      <w:r>
        <w:rPr>
          <w:rFonts w:hint="eastAsia" w:cs="Times New Roman" w:eastAsiaTheme="minorEastAsia"/>
          <w:bCs w:val="0"/>
          <w:kern w:val="0"/>
          <w:sz w:val="24"/>
          <w:szCs w:val="24"/>
          <w:lang w:val="en-US" w:eastAsia="zh-CN" w:bidi="ar-SA"/>
        </w:rPr>
        <w:t>0</w:t>
      </w:r>
      <w:r>
        <w:rPr>
          <w:rFonts w:hint="default" w:ascii="Times New Roman" w:hAnsi="Times New Roman" w:cs="Times New Roman" w:eastAsiaTheme="minorEastAsia"/>
          <w:bCs w:val="0"/>
          <w:kern w:val="0"/>
          <w:sz w:val="24"/>
          <w:szCs w:val="24"/>
          <w:lang w:val="en-US" w:eastAsia="zh-CN" w:bidi="ar-SA"/>
        </w:rPr>
        <w:t>1~K0+1</w:t>
      </w:r>
      <w:r>
        <w:rPr>
          <w:rFonts w:hint="eastAsia" w:cs="Times New Roman" w:eastAsiaTheme="minorEastAsia"/>
          <w:bCs w:val="0"/>
          <w:kern w:val="0"/>
          <w:sz w:val="24"/>
          <w:szCs w:val="24"/>
          <w:lang w:val="en-US" w:eastAsia="zh-CN" w:bidi="ar-SA"/>
        </w:rPr>
        <w:t>3</w:t>
      </w:r>
      <w:r>
        <w:rPr>
          <w:rFonts w:hint="default" w:ascii="Times New Roman" w:hAnsi="Times New Roman" w:cs="Times New Roman" w:eastAsiaTheme="minorEastAsia"/>
          <w:bCs w:val="0"/>
          <w:kern w:val="0"/>
          <w:sz w:val="24"/>
          <w:szCs w:val="24"/>
          <w:lang w:val="en-US" w:eastAsia="zh-CN" w:bidi="ar-SA"/>
        </w:rPr>
        <w:t>0段</w:t>
      </w:r>
      <w:r>
        <w:rPr>
          <w:rFonts w:hint="eastAsia" w:cs="Times New Roman" w:eastAsiaTheme="minorEastAsia"/>
          <w:bCs w:val="0"/>
          <w:kern w:val="0"/>
          <w:sz w:val="24"/>
          <w:szCs w:val="24"/>
          <w:lang w:val="en-US" w:eastAsia="zh-CN" w:bidi="ar-SA"/>
        </w:rPr>
        <w:t>长度为29m，岸墙采用C30钢筋砼挡墙形式，墙底高程为</w:t>
      </w:r>
      <w:r>
        <w:rPr>
          <w:rFonts w:hint="eastAsia" w:cs="Times New Roman" w:eastAsiaTheme="minorEastAsia"/>
          <w:bCs w:val="0"/>
          <w:kern w:val="0"/>
          <w:sz w:val="24"/>
          <w:szCs w:val="24"/>
          <w:highlight w:val="none"/>
          <w:lang w:val="en-US" w:eastAsia="zh-CN" w:bidi="ar-SA"/>
        </w:rPr>
        <w:t>-1.00m</w:t>
      </w:r>
      <w:r>
        <w:rPr>
          <w:rFonts w:hint="eastAsia" w:cs="Times New Roman" w:eastAsiaTheme="minorEastAsia"/>
          <w:bCs w:val="0"/>
          <w:kern w:val="0"/>
          <w:sz w:val="24"/>
          <w:szCs w:val="24"/>
          <w:lang w:val="en-US" w:eastAsia="zh-CN" w:bidi="ar-SA"/>
        </w:rPr>
        <w:t>，墙顶高程为1.70m，挡墙基础利用原松木桩基础，墙顶重建</w:t>
      </w:r>
      <w:r>
        <w:rPr>
          <w:rFonts w:hint="default" w:ascii="Times New Roman" w:hAnsi="Times New Roman" w:cs="Times New Roman" w:eastAsiaTheme="minorEastAsia"/>
          <w:bCs w:val="0"/>
          <w:kern w:val="0"/>
          <w:sz w:val="24"/>
          <w:szCs w:val="24"/>
          <w:lang w:val="en-US" w:eastAsia="zh-CN" w:bidi="ar-SA"/>
        </w:rPr>
        <w:t>石材栏杆</w:t>
      </w:r>
      <w:r>
        <w:rPr>
          <w:rFonts w:hint="eastAsia" w:cs="Times New Roman" w:eastAsiaTheme="minorEastAsia"/>
          <w:bCs w:val="0"/>
          <w:kern w:val="0"/>
          <w:sz w:val="24"/>
          <w:szCs w:val="24"/>
          <w:lang w:val="en-US" w:eastAsia="zh-CN" w:bidi="ar-SA"/>
        </w:rPr>
        <w:t>，墙后</w:t>
      </w:r>
      <w:r>
        <w:rPr>
          <w:rFonts w:hint="default" w:ascii="Times New Roman" w:hAnsi="Times New Roman" w:cs="Times New Roman" w:eastAsiaTheme="minorEastAsia"/>
          <w:bCs w:val="0"/>
          <w:kern w:val="0"/>
          <w:sz w:val="24"/>
          <w:szCs w:val="24"/>
          <w:lang w:val="en-US" w:eastAsia="zh-CN" w:bidi="ar-SA"/>
        </w:rPr>
        <w:t>重建堤顶路基及路面</w:t>
      </w:r>
      <w:r>
        <w:rPr>
          <w:rFonts w:hint="eastAsia" w:cs="Times New Roman" w:eastAsiaTheme="minorEastAsia"/>
          <w:bCs w:val="0"/>
          <w:kern w:val="0"/>
          <w:sz w:val="24"/>
          <w:szCs w:val="24"/>
          <w:lang w:val="en-US" w:eastAsia="zh-CN" w:bidi="ar-SA"/>
        </w:rPr>
        <w:t>并</w:t>
      </w:r>
      <w:r>
        <w:rPr>
          <w:rFonts w:hint="eastAsia" w:ascii="Times New Roman" w:hAnsi="Times New Roman" w:cs="Times New Roman" w:eastAsiaTheme="minorEastAsia"/>
          <w:bCs w:val="0"/>
          <w:kern w:val="0"/>
          <w:sz w:val="24"/>
          <w:szCs w:val="24"/>
          <w:lang w:val="en-US" w:eastAsia="zh-CN" w:bidi="ar-SA"/>
        </w:rPr>
        <w:t>修复路侧绿化灌木带</w:t>
      </w:r>
      <w:r>
        <w:rPr>
          <w:rFonts w:hint="eastAsia" w:cs="Times New Roman" w:eastAsiaTheme="minorEastAsia"/>
          <w:bCs w:val="0"/>
          <w:kern w:val="0"/>
          <w:sz w:val="24"/>
          <w:szCs w:val="24"/>
          <w:lang w:val="en-US" w:eastAsia="zh-CN" w:bidi="ar-SA"/>
        </w:rPr>
        <w:t>，路基采用200mm厚6%水泥石粉垫层，路面为200mm厚C30砼路面，堤身增设水泥黏土灌浆，灌浆深度为8m，灌浆孔间距2×2m正方形布置，岸墙墙脚处增设抛石护脚，提高挡墙的稳定性。</w:t>
      </w:r>
      <w:r>
        <w:rPr>
          <w:rFonts w:hint="eastAsia" w:ascii="Times New Roman" w:hAnsi="Times New Roman" w:cs="Times New Roman" w:eastAsiaTheme="minorEastAsia"/>
          <w:bCs w:val="0"/>
          <w:kern w:val="0"/>
          <w:sz w:val="24"/>
          <w:szCs w:val="24"/>
          <w:lang w:val="en-US" w:eastAsia="zh-CN" w:bidi="ar-SA"/>
        </w:rPr>
        <w:t>断面设计详图5.5-1。</w:t>
      </w:r>
    </w:p>
    <w:p>
      <w:pPr>
        <w:pStyle w:val="365"/>
        <w:keepNext w:val="0"/>
        <w:keepLines w:val="0"/>
        <w:pageBreakBefore w:val="0"/>
        <w:widowControl/>
        <w:numPr>
          <w:ilvl w:val="0"/>
          <w:numId w:val="0"/>
        </w:numPr>
        <w:kinsoku/>
        <w:wordWrap/>
        <w:overflowPunct/>
        <w:topLinePunct w:val="0"/>
        <w:autoSpaceDE/>
        <w:autoSpaceDN/>
        <w:bidi w:val="0"/>
        <w:adjustRightInd/>
        <w:snapToGrid/>
        <w:spacing w:line="360" w:lineRule="auto"/>
        <w:jc w:val="both"/>
        <w:textAlignment w:val="auto"/>
      </w:pPr>
      <w:r>
        <w:drawing>
          <wp:inline distT="0" distB="0" distL="114300" distR="114300">
            <wp:extent cx="5555615" cy="2586355"/>
            <wp:effectExtent l="0" t="0" r="6985" b="444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91"/>
                    <a:srcRect b="20666"/>
                    <a:stretch>
                      <a:fillRect/>
                    </a:stretch>
                  </pic:blipFill>
                  <pic:spPr>
                    <a:xfrm>
                      <a:off x="0" y="0"/>
                      <a:ext cx="5555615" cy="2586355"/>
                    </a:xfrm>
                    <a:prstGeom prst="rect">
                      <a:avLst/>
                    </a:prstGeom>
                  </pic:spPr>
                </pic:pic>
              </a:graphicData>
            </a:graphic>
          </wp:inline>
        </w:drawing>
      </w:r>
    </w:p>
    <w:p>
      <w:pPr>
        <w:pStyle w:val="250"/>
        <w:bidi w:val="0"/>
        <w:rPr>
          <w:rFonts w:hint="default"/>
          <w:lang w:val="en-US" w:eastAsia="zh-CN"/>
        </w:rPr>
      </w:pPr>
      <w:r>
        <w:rPr>
          <w:rFonts w:hint="eastAsia"/>
          <w:lang w:val="en-US" w:eastAsia="zh-CN"/>
        </w:rPr>
        <w:t>图5.5-1典型断面一</w:t>
      </w:r>
    </w:p>
    <w:p>
      <w:pPr>
        <w:pStyle w:val="365"/>
        <w:keepNext w:val="0"/>
        <w:keepLines w:val="0"/>
        <w:pageBreakBefore w:val="0"/>
        <w:widowControl/>
        <w:numPr>
          <w:ilvl w:val="0"/>
          <w:numId w:val="3"/>
        </w:numPr>
        <w:kinsoku/>
        <w:wordWrap/>
        <w:overflowPunct/>
        <w:topLinePunct w:val="0"/>
        <w:autoSpaceDE/>
        <w:autoSpaceDN/>
        <w:bidi w:val="0"/>
        <w:adjustRightInd/>
        <w:snapToGrid/>
        <w:spacing w:line="360" w:lineRule="auto"/>
        <w:ind w:firstLine="480" w:firstLineChars="200"/>
        <w:jc w:val="both"/>
        <w:textAlignment w:val="auto"/>
        <w:rPr>
          <w:rFonts w:hint="eastAsia"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KO+0</w:t>
      </w:r>
      <w:r>
        <w:rPr>
          <w:rFonts w:hint="eastAsia" w:cs="Times New Roman" w:eastAsiaTheme="minorEastAsia"/>
          <w:sz w:val="24"/>
          <w:szCs w:val="24"/>
          <w:lang w:val="en-US" w:eastAsia="zh-CN"/>
        </w:rPr>
        <w:t>8</w:t>
      </w:r>
      <w:r>
        <w:rPr>
          <w:rFonts w:hint="default" w:ascii="Times New Roman" w:hAnsi="Times New Roman" w:cs="Times New Roman" w:eastAsiaTheme="minorEastAsia"/>
          <w:sz w:val="24"/>
          <w:szCs w:val="24"/>
          <w:lang w:val="en-US" w:eastAsia="zh-CN"/>
        </w:rPr>
        <w:t>9.00-KO+1</w:t>
      </w:r>
      <w:r>
        <w:rPr>
          <w:rFonts w:hint="eastAsia" w:cs="Times New Roman" w:eastAsiaTheme="minorEastAsia"/>
          <w:sz w:val="24"/>
          <w:szCs w:val="24"/>
          <w:lang w:val="en-US" w:eastAsia="zh-CN"/>
        </w:rPr>
        <w:t>0</w:t>
      </w:r>
      <w:r>
        <w:rPr>
          <w:rFonts w:hint="default" w:ascii="Times New Roman" w:hAnsi="Times New Roman" w:cs="Times New Roman" w:eastAsiaTheme="minorEastAsia"/>
          <w:sz w:val="24"/>
          <w:szCs w:val="24"/>
          <w:lang w:val="en-US" w:eastAsia="zh-CN"/>
        </w:rPr>
        <w:t>1.00</w:t>
      </w:r>
      <w:r>
        <w:rPr>
          <w:rFonts w:hint="eastAsia" w:cs="Times New Roman" w:eastAsiaTheme="minorEastAsia"/>
          <w:sz w:val="24"/>
          <w:szCs w:val="24"/>
          <w:lang w:val="en-US" w:eastAsia="zh-CN"/>
        </w:rPr>
        <w:t>、</w:t>
      </w:r>
      <w:r>
        <w:rPr>
          <w:rFonts w:hint="default" w:ascii="Times New Roman" w:hAnsi="Times New Roman" w:cs="Times New Roman" w:eastAsiaTheme="minorEastAsia"/>
          <w:sz w:val="24"/>
          <w:szCs w:val="24"/>
          <w:lang w:val="en-US" w:eastAsia="zh-CN"/>
        </w:rPr>
        <w:t>KO+1</w:t>
      </w:r>
      <w:r>
        <w:rPr>
          <w:rFonts w:hint="eastAsia" w:cs="Times New Roman" w:eastAsiaTheme="minorEastAsia"/>
          <w:sz w:val="24"/>
          <w:szCs w:val="24"/>
          <w:lang w:val="en-US" w:eastAsia="zh-CN"/>
        </w:rPr>
        <w:t>3</w:t>
      </w:r>
      <w:r>
        <w:rPr>
          <w:rFonts w:hint="default" w:ascii="Times New Roman" w:hAnsi="Times New Roman" w:cs="Times New Roman" w:eastAsiaTheme="minorEastAsia"/>
          <w:sz w:val="24"/>
          <w:szCs w:val="24"/>
          <w:lang w:val="en-US" w:eastAsia="zh-CN"/>
        </w:rPr>
        <w:t>0.00-KO+1</w:t>
      </w:r>
      <w:r>
        <w:rPr>
          <w:rFonts w:hint="eastAsia" w:cs="Times New Roman" w:eastAsiaTheme="minorEastAsia"/>
          <w:sz w:val="24"/>
          <w:szCs w:val="24"/>
          <w:lang w:val="en-US" w:eastAsia="zh-CN"/>
        </w:rPr>
        <w:t>3</w:t>
      </w:r>
      <w:r>
        <w:rPr>
          <w:rFonts w:hint="default" w:ascii="Times New Roman" w:hAnsi="Times New Roman" w:cs="Times New Roman" w:eastAsiaTheme="minorEastAsia"/>
          <w:sz w:val="24"/>
          <w:szCs w:val="24"/>
          <w:lang w:val="en-US" w:eastAsia="zh-CN"/>
        </w:rPr>
        <w:t>7.00段</w:t>
      </w:r>
      <w:r>
        <w:rPr>
          <w:rFonts w:hint="eastAsia" w:cs="Times New Roman" w:eastAsiaTheme="minorEastAsia"/>
          <w:sz w:val="24"/>
          <w:szCs w:val="24"/>
          <w:lang w:val="en-US" w:eastAsia="zh-CN"/>
        </w:rPr>
        <w:t>长度共19m，</w:t>
      </w:r>
      <w:r>
        <w:rPr>
          <w:rFonts w:hint="default" w:ascii="Times New Roman" w:hAnsi="Times New Roman" w:cs="Times New Roman" w:eastAsiaTheme="minorEastAsia"/>
          <w:bCs w:val="0"/>
          <w:kern w:val="0"/>
          <w:sz w:val="24"/>
          <w:szCs w:val="24"/>
          <w:lang w:val="en-US" w:eastAsia="zh-CN" w:bidi="ar-SA"/>
        </w:rPr>
        <w:t>重建堤顶路基及路面</w:t>
      </w:r>
      <w:r>
        <w:rPr>
          <w:rFonts w:hint="eastAsia" w:cs="Times New Roman" w:eastAsiaTheme="minorEastAsia"/>
          <w:bCs w:val="0"/>
          <w:kern w:val="0"/>
          <w:sz w:val="24"/>
          <w:szCs w:val="24"/>
          <w:lang w:val="en-US" w:eastAsia="zh-CN" w:bidi="ar-SA"/>
        </w:rPr>
        <w:t>并</w:t>
      </w:r>
      <w:r>
        <w:rPr>
          <w:rFonts w:hint="eastAsia" w:ascii="Times New Roman" w:hAnsi="Times New Roman" w:cs="Times New Roman" w:eastAsiaTheme="minorEastAsia"/>
          <w:bCs w:val="0"/>
          <w:kern w:val="0"/>
          <w:sz w:val="24"/>
          <w:szCs w:val="24"/>
          <w:lang w:val="en-US" w:eastAsia="zh-CN" w:bidi="ar-SA"/>
        </w:rPr>
        <w:t>修复路侧绿化灌木带</w:t>
      </w:r>
      <w:r>
        <w:rPr>
          <w:rFonts w:hint="eastAsia" w:cs="Times New Roman" w:eastAsiaTheme="minorEastAsia"/>
          <w:bCs w:val="0"/>
          <w:kern w:val="0"/>
          <w:sz w:val="24"/>
          <w:szCs w:val="24"/>
          <w:lang w:val="en-US" w:eastAsia="zh-CN" w:bidi="ar-SA"/>
        </w:rPr>
        <w:t>，路基采用200mm厚6%水泥石粉垫层，路面为200mm厚C30砼路面，堤身增设水泥黏土灌浆，灌浆深度为8m，灌浆孔间距2×2m正方形布置，岸墙墙脚处增设抛石护脚，提高挡墙的稳定性。</w:t>
      </w:r>
      <w:r>
        <w:rPr>
          <w:rFonts w:hint="eastAsia" w:ascii="Times New Roman" w:hAnsi="Times New Roman" w:cs="Times New Roman" w:eastAsiaTheme="minorEastAsia"/>
          <w:bCs w:val="0"/>
          <w:kern w:val="0"/>
          <w:sz w:val="24"/>
          <w:szCs w:val="24"/>
          <w:lang w:val="en-US" w:eastAsia="zh-CN" w:bidi="ar-SA"/>
        </w:rPr>
        <w:t>断面设计详图5.5-2。</w:t>
      </w:r>
    </w:p>
    <w:p>
      <w:pPr>
        <w:pStyle w:val="365"/>
        <w:keepNext w:val="0"/>
        <w:keepLines w:val="0"/>
        <w:pageBreakBefore w:val="0"/>
        <w:kinsoku/>
        <w:wordWrap/>
        <w:overflowPunct/>
        <w:topLinePunct w:val="0"/>
        <w:autoSpaceDE/>
        <w:autoSpaceDN/>
        <w:bidi w:val="0"/>
        <w:snapToGrid/>
        <w:spacing w:line="360" w:lineRule="auto"/>
        <w:ind w:left="0" w:leftChars="0" w:firstLine="0" w:firstLineChars="0"/>
        <w:jc w:val="center"/>
      </w:pPr>
      <w:r>
        <w:drawing>
          <wp:inline distT="0" distB="0" distL="114300" distR="114300">
            <wp:extent cx="4999990" cy="2634615"/>
            <wp:effectExtent l="0" t="0" r="10160" b="133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2"/>
                    <a:stretch>
                      <a:fillRect/>
                    </a:stretch>
                  </pic:blipFill>
                  <pic:spPr>
                    <a:xfrm>
                      <a:off x="0" y="0"/>
                      <a:ext cx="4999990" cy="2634615"/>
                    </a:xfrm>
                    <a:prstGeom prst="rect">
                      <a:avLst/>
                    </a:prstGeom>
                  </pic:spPr>
                </pic:pic>
              </a:graphicData>
            </a:graphic>
          </wp:inline>
        </w:drawing>
      </w:r>
    </w:p>
    <w:p>
      <w:pPr>
        <w:pStyle w:val="250"/>
        <w:bidi w:val="0"/>
        <w:rPr>
          <w:rFonts w:hint="default"/>
          <w:lang w:val="en-US" w:eastAsia="zh-CN"/>
        </w:rPr>
      </w:pPr>
      <w:r>
        <w:rPr>
          <w:rFonts w:hint="eastAsia"/>
          <w:lang w:val="en-US" w:eastAsia="zh-CN"/>
        </w:rPr>
        <w:t>图5.5-2典型断面二</w:t>
      </w:r>
    </w:p>
    <w:p>
      <w:pPr>
        <w:pStyle w:val="365"/>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jc w:val="both"/>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（3）KO+000.00~KO+0</w:t>
      </w:r>
      <w:r>
        <w:rPr>
          <w:rFonts w:hint="eastAsia" w:cs="Times New Roman" w:eastAsiaTheme="minorEastAsia"/>
          <w:sz w:val="24"/>
          <w:szCs w:val="24"/>
          <w:lang w:val="en-US" w:eastAsia="zh-CN"/>
        </w:rPr>
        <w:t>8</w:t>
      </w:r>
      <w:r>
        <w:rPr>
          <w:rFonts w:hint="default" w:ascii="Times New Roman" w:hAnsi="Times New Roman" w:cs="Times New Roman" w:eastAsiaTheme="minorEastAsia"/>
          <w:sz w:val="24"/>
          <w:szCs w:val="24"/>
          <w:lang w:val="en-US" w:eastAsia="zh-CN"/>
        </w:rPr>
        <w:t>9.00</w:t>
      </w:r>
      <w:r>
        <w:rPr>
          <w:rFonts w:hint="eastAsia" w:cs="Times New Roman" w:eastAsiaTheme="minorEastAsia"/>
          <w:sz w:val="24"/>
          <w:szCs w:val="24"/>
          <w:lang w:val="en-US" w:eastAsia="zh-CN"/>
        </w:rPr>
        <w:t>，</w:t>
      </w:r>
      <w:r>
        <w:rPr>
          <w:rFonts w:hint="default" w:ascii="Times New Roman" w:hAnsi="Times New Roman" w:cs="Times New Roman" w:eastAsiaTheme="minorEastAsia"/>
          <w:sz w:val="24"/>
          <w:szCs w:val="24"/>
          <w:lang w:val="en-US" w:eastAsia="zh-CN"/>
        </w:rPr>
        <w:t>KO+1</w:t>
      </w:r>
      <w:r>
        <w:rPr>
          <w:rFonts w:hint="eastAsia" w:cs="Times New Roman" w:eastAsiaTheme="minorEastAsia"/>
          <w:sz w:val="24"/>
          <w:szCs w:val="24"/>
          <w:lang w:val="en-US" w:eastAsia="zh-CN"/>
        </w:rPr>
        <w:t>3</w:t>
      </w:r>
      <w:r>
        <w:rPr>
          <w:rFonts w:hint="default" w:ascii="Times New Roman" w:hAnsi="Times New Roman" w:cs="Times New Roman" w:eastAsiaTheme="minorEastAsia"/>
          <w:sz w:val="24"/>
          <w:szCs w:val="24"/>
          <w:lang w:val="en-US" w:eastAsia="zh-CN"/>
        </w:rPr>
        <w:t>7.00~KO+1</w:t>
      </w:r>
      <w:r>
        <w:rPr>
          <w:rFonts w:hint="eastAsia" w:cs="Times New Roman" w:eastAsiaTheme="minorEastAsia"/>
          <w:sz w:val="24"/>
          <w:szCs w:val="24"/>
          <w:lang w:val="en-US" w:eastAsia="zh-CN"/>
        </w:rPr>
        <w:t>6</w:t>
      </w:r>
      <w:r>
        <w:rPr>
          <w:rFonts w:hint="default" w:ascii="Times New Roman" w:hAnsi="Times New Roman" w:cs="Times New Roman" w:eastAsiaTheme="minorEastAsia"/>
          <w:sz w:val="24"/>
          <w:szCs w:val="24"/>
          <w:lang w:val="en-US" w:eastAsia="zh-CN"/>
        </w:rPr>
        <w:t>0.00、</w:t>
      </w:r>
      <w:r>
        <w:rPr>
          <w:rFonts w:hint="eastAsia" w:cs="Times New Roman" w:eastAsiaTheme="minorEastAsia"/>
          <w:sz w:val="24"/>
          <w:szCs w:val="24"/>
          <w:lang w:val="en-US" w:eastAsia="zh-CN"/>
        </w:rPr>
        <w:t>LK</w:t>
      </w:r>
      <w:r>
        <w:rPr>
          <w:rFonts w:hint="default" w:ascii="Times New Roman" w:hAnsi="Times New Roman" w:cs="Times New Roman" w:eastAsiaTheme="minorEastAsia"/>
          <w:sz w:val="24"/>
          <w:szCs w:val="24"/>
          <w:lang w:val="en-US" w:eastAsia="zh-CN"/>
        </w:rPr>
        <w:t>0+000.00~</w:t>
      </w:r>
      <w:r>
        <w:rPr>
          <w:rFonts w:hint="eastAsia" w:cs="Times New Roman" w:eastAsiaTheme="minorEastAsia"/>
          <w:sz w:val="24"/>
          <w:szCs w:val="24"/>
          <w:lang w:val="en-US" w:eastAsia="zh-CN"/>
        </w:rPr>
        <w:t>LK</w:t>
      </w:r>
      <w:r>
        <w:rPr>
          <w:rFonts w:hint="default" w:ascii="Times New Roman" w:hAnsi="Times New Roman" w:cs="Times New Roman" w:eastAsiaTheme="minorEastAsia"/>
          <w:sz w:val="24"/>
          <w:szCs w:val="24"/>
          <w:lang w:val="en-US" w:eastAsia="zh-CN"/>
        </w:rPr>
        <w:t>0+035.00</w:t>
      </w:r>
      <w:r>
        <w:rPr>
          <w:rFonts w:hint="eastAsia" w:cs="Times New Roman" w:eastAsiaTheme="minorEastAsia"/>
          <w:sz w:val="24"/>
          <w:szCs w:val="24"/>
          <w:lang w:val="en-US" w:eastAsia="zh-CN"/>
        </w:rPr>
        <w:t>段长度共147m，重建堤顶路基及路面，路基采用200mm厚6%水泥石粉垫层，路面为200mm厚C30透水砼路面，堤身增设水泥黏土灌浆，灌浆深度为8m，灌浆孔间距2×2m正方形布置，岸墙墙脚处增设抛石护脚，提高挡墙的稳定性</w:t>
      </w:r>
      <w:r>
        <w:rPr>
          <w:rFonts w:hint="default" w:ascii="Times New Roman" w:hAnsi="Times New Roman" w:cs="Times New Roman" w:eastAsiaTheme="minorEastAsia"/>
          <w:sz w:val="24"/>
          <w:szCs w:val="24"/>
          <w:lang w:val="en-US" w:eastAsia="zh-CN"/>
        </w:rPr>
        <w:t>。</w:t>
      </w:r>
      <w:r>
        <w:rPr>
          <w:rFonts w:hint="eastAsia" w:ascii="Times New Roman" w:hAnsi="Times New Roman" w:cs="Times New Roman" w:eastAsiaTheme="minorEastAsia"/>
          <w:bCs w:val="0"/>
          <w:kern w:val="0"/>
          <w:sz w:val="24"/>
          <w:szCs w:val="24"/>
          <w:lang w:val="en-US" w:eastAsia="zh-CN" w:bidi="ar-SA"/>
        </w:rPr>
        <w:t>断面设计详图5.5-3。</w:t>
      </w:r>
    </w:p>
    <w:p>
      <w:pPr>
        <w:pStyle w:val="2"/>
        <w:numPr>
          <w:ilvl w:val="0"/>
          <w:numId w:val="0"/>
        </w:numPr>
        <w:jc w:val="center"/>
        <w:rPr>
          <w:rFonts w:hint="default"/>
          <w:lang w:val="en-US" w:eastAsia="zh-CN"/>
        </w:rPr>
      </w:pPr>
      <w:r>
        <w:drawing>
          <wp:inline distT="0" distB="0" distL="114300" distR="114300">
            <wp:extent cx="5456555" cy="2759710"/>
            <wp:effectExtent l="0" t="0" r="10795" b="254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93"/>
                    <a:stretch>
                      <a:fillRect/>
                    </a:stretch>
                  </pic:blipFill>
                  <pic:spPr>
                    <a:xfrm>
                      <a:off x="0" y="0"/>
                      <a:ext cx="5456555" cy="2759710"/>
                    </a:xfrm>
                    <a:prstGeom prst="rect">
                      <a:avLst/>
                    </a:prstGeom>
                  </pic:spPr>
                </pic:pic>
              </a:graphicData>
            </a:graphic>
          </wp:inline>
        </w:drawing>
      </w:r>
    </w:p>
    <w:p>
      <w:pPr>
        <w:pStyle w:val="250"/>
        <w:bidi w:val="0"/>
        <w:rPr>
          <w:rFonts w:hint="default"/>
          <w:lang w:val="en-US" w:eastAsia="zh-CN"/>
        </w:rPr>
      </w:pPr>
      <w:r>
        <w:rPr>
          <w:rFonts w:hint="eastAsia"/>
          <w:lang w:val="en-US" w:eastAsia="zh-CN"/>
        </w:rPr>
        <w:t>图5.5-3典型断面二</w:t>
      </w:r>
    </w:p>
    <w:p>
      <w:pPr>
        <w:pStyle w:val="56"/>
        <w:keepNext w:val="0"/>
        <w:keepLines w:val="0"/>
        <w:pageBreakBefore w:val="0"/>
        <w:kinsoku/>
        <w:wordWrap/>
        <w:overflowPunct/>
        <w:topLinePunct w:val="0"/>
        <w:autoSpaceDE/>
        <w:autoSpaceDN/>
        <w:bidi w:val="0"/>
        <w:snapToGrid/>
        <w:spacing w:line="360" w:lineRule="auto"/>
        <w:ind w:left="0" w:leftChars="0" w:firstLine="0" w:firstLineChars="0"/>
        <w:jc w:val="center"/>
      </w:pPr>
    </w:p>
    <w:p>
      <w:pPr>
        <w:pStyle w:val="365"/>
        <w:keepNext w:val="0"/>
        <w:keepLines w:val="0"/>
        <w:pageBreakBefore w:val="0"/>
        <w:widowControl/>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eastAsiaTheme="minorEastAsia"/>
          <w:sz w:val="24"/>
          <w:szCs w:val="24"/>
          <w:highlight w:val="red"/>
          <w:lang w:val="en-US" w:eastAsia="zh-CN"/>
        </w:rPr>
      </w:pPr>
      <w:r>
        <w:rPr>
          <w:rFonts w:hint="default" w:ascii="Times New Roman" w:hAnsi="Times New Roman" w:cs="Times New Roman" w:eastAsiaTheme="minorEastAsia"/>
          <w:sz w:val="24"/>
          <w:szCs w:val="24"/>
          <w:lang w:val="en-US" w:eastAsia="zh-CN"/>
        </w:rPr>
        <w:t>（</w:t>
      </w:r>
      <w:r>
        <w:rPr>
          <w:rFonts w:hint="eastAsia" w:ascii="Times New Roman" w:hAnsi="Times New Roman" w:cs="Times New Roman" w:eastAsiaTheme="minorEastAsia"/>
          <w:sz w:val="24"/>
          <w:szCs w:val="24"/>
          <w:highlight w:val="none"/>
          <w:lang w:val="en-US" w:eastAsia="zh-CN"/>
        </w:rPr>
        <w:t>4</w:t>
      </w:r>
      <w:r>
        <w:rPr>
          <w:rFonts w:hint="default" w:ascii="Times New Roman" w:hAnsi="Times New Roman" w:cs="Times New Roman" w:eastAsiaTheme="minorEastAsia"/>
          <w:sz w:val="24"/>
          <w:szCs w:val="24"/>
          <w:highlight w:val="none"/>
          <w:lang w:val="en-US" w:eastAsia="zh-CN"/>
        </w:rPr>
        <w:t>）</w:t>
      </w:r>
      <w:r>
        <w:rPr>
          <w:rFonts w:hint="eastAsia" w:ascii="Times New Roman" w:hAnsi="Times New Roman" w:cs="Times New Roman" w:eastAsiaTheme="minorEastAsia"/>
          <w:sz w:val="24"/>
          <w:szCs w:val="24"/>
          <w:highlight w:val="none"/>
          <w:lang w:val="en-US" w:eastAsia="zh-CN"/>
        </w:rPr>
        <w:t>K0</w:t>
      </w:r>
      <w:r>
        <w:rPr>
          <w:rFonts w:hint="default" w:ascii="Times New Roman" w:hAnsi="Times New Roman" w:cs="Times New Roman" w:eastAsiaTheme="minorEastAsia"/>
          <w:sz w:val="24"/>
          <w:szCs w:val="24"/>
          <w:highlight w:val="none"/>
          <w:lang w:val="en-US" w:eastAsia="zh-CN"/>
        </w:rPr>
        <w:t>+</w:t>
      </w:r>
      <w:r>
        <w:rPr>
          <w:rFonts w:hint="eastAsia" w:ascii="Times New Roman" w:hAnsi="Times New Roman" w:cs="Times New Roman" w:eastAsiaTheme="minorEastAsia"/>
          <w:sz w:val="24"/>
          <w:szCs w:val="24"/>
          <w:highlight w:val="none"/>
          <w:lang w:val="en-US" w:eastAsia="zh-CN"/>
        </w:rPr>
        <w:t>101</w:t>
      </w:r>
      <w:r>
        <w:rPr>
          <w:rFonts w:hint="default" w:ascii="Times New Roman" w:hAnsi="Times New Roman" w:cs="Times New Roman" w:eastAsiaTheme="minorEastAsia"/>
          <w:sz w:val="24"/>
          <w:szCs w:val="24"/>
          <w:highlight w:val="none"/>
          <w:lang w:val="en-US" w:eastAsia="zh-CN"/>
        </w:rPr>
        <w:t>~K</w:t>
      </w:r>
      <w:r>
        <w:rPr>
          <w:rFonts w:hint="eastAsia" w:ascii="Times New Roman" w:hAnsi="Times New Roman" w:cs="Times New Roman" w:eastAsiaTheme="minorEastAsia"/>
          <w:sz w:val="24"/>
          <w:szCs w:val="24"/>
          <w:highlight w:val="none"/>
          <w:lang w:val="en-US" w:eastAsia="zh-CN"/>
        </w:rPr>
        <w:t>0</w:t>
      </w:r>
      <w:r>
        <w:rPr>
          <w:rFonts w:hint="default" w:ascii="Times New Roman" w:hAnsi="Times New Roman" w:cs="Times New Roman" w:eastAsiaTheme="minorEastAsia"/>
          <w:sz w:val="24"/>
          <w:szCs w:val="24"/>
          <w:highlight w:val="none"/>
          <w:lang w:val="en-US" w:eastAsia="zh-CN"/>
        </w:rPr>
        <w:t>+</w:t>
      </w:r>
      <w:r>
        <w:rPr>
          <w:rFonts w:hint="eastAsia" w:ascii="Times New Roman" w:hAnsi="Times New Roman" w:cs="Times New Roman" w:eastAsiaTheme="minorEastAsia"/>
          <w:sz w:val="24"/>
          <w:szCs w:val="24"/>
          <w:highlight w:val="none"/>
          <w:lang w:val="en-US" w:eastAsia="zh-CN"/>
        </w:rPr>
        <w:t>130段主要是沿线污水管</w:t>
      </w:r>
      <w:r>
        <w:rPr>
          <w:rFonts w:hint="eastAsia" w:cs="Times New Roman" w:eastAsiaTheme="minorEastAsia"/>
          <w:sz w:val="24"/>
          <w:szCs w:val="24"/>
          <w:highlight w:val="none"/>
          <w:lang w:val="en-US" w:eastAsia="zh-CN"/>
        </w:rPr>
        <w:t>重建</w:t>
      </w:r>
      <w:r>
        <w:rPr>
          <w:rFonts w:hint="eastAsia" w:ascii="Times New Roman" w:hAnsi="Times New Roman" w:cs="Times New Roman" w:eastAsiaTheme="minorEastAsia"/>
          <w:sz w:val="24"/>
          <w:szCs w:val="24"/>
          <w:highlight w:val="none"/>
          <w:lang w:val="en-US" w:eastAsia="zh-CN"/>
        </w:rPr>
        <w:t>。</w:t>
      </w:r>
      <w:r>
        <w:rPr>
          <w:rFonts w:hint="eastAsia" w:cs="Times New Roman" w:eastAsiaTheme="minorEastAsia"/>
          <w:sz w:val="24"/>
          <w:szCs w:val="24"/>
          <w:highlight w:val="none"/>
          <w:lang w:val="en-US" w:eastAsia="zh-CN"/>
        </w:rPr>
        <w:t>结合现有污水管材质，重建污水管采用混凝土管道，管径为500mm，重建污水管总长度为43m。污水管基础采用120°C25混凝土基础，下方是中粗砂垫层，管道两侧回填石屑,采用槽钢支护。</w:t>
      </w:r>
    </w:p>
    <w:p>
      <w:pPr>
        <w:jc w:val="center"/>
        <w:rPr>
          <w:highlight w:val="red"/>
        </w:rPr>
      </w:pPr>
    </w:p>
    <w:p>
      <w:pPr>
        <w:pStyle w:val="250"/>
        <w:bidi w:val="0"/>
        <w:rPr>
          <w:rFonts w:hint="eastAsia"/>
          <w:highlight w:val="none"/>
          <w:lang w:val="en-US" w:eastAsia="zh-CN"/>
        </w:rPr>
      </w:pPr>
      <w:r>
        <w:drawing>
          <wp:inline distT="0" distB="0" distL="114300" distR="114300">
            <wp:extent cx="5755640" cy="4272280"/>
            <wp:effectExtent l="0" t="0" r="16510" b="13970"/>
            <wp:docPr id="2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1"/>
                    <pic:cNvPicPr>
                      <a:picLocks noChangeAspect="1"/>
                    </pic:cNvPicPr>
                  </pic:nvPicPr>
                  <pic:blipFill>
                    <a:blip r:embed="rId94"/>
                    <a:stretch>
                      <a:fillRect/>
                    </a:stretch>
                  </pic:blipFill>
                  <pic:spPr>
                    <a:xfrm>
                      <a:off x="0" y="0"/>
                      <a:ext cx="5755640" cy="4272280"/>
                    </a:xfrm>
                    <a:prstGeom prst="rect">
                      <a:avLst/>
                    </a:prstGeom>
                    <a:noFill/>
                    <a:ln>
                      <a:noFill/>
                    </a:ln>
                  </pic:spPr>
                </pic:pic>
              </a:graphicData>
            </a:graphic>
          </wp:inline>
        </w:drawing>
      </w:r>
    </w:p>
    <w:p>
      <w:pPr>
        <w:pStyle w:val="250"/>
        <w:bidi w:val="0"/>
        <w:rPr>
          <w:rFonts w:hint="default"/>
          <w:highlight w:val="none"/>
          <w:lang w:val="en-US" w:eastAsia="zh-CN"/>
        </w:rPr>
      </w:pPr>
      <w:r>
        <w:rPr>
          <w:rFonts w:hint="eastAsia"/>
          <w:highlight w:val="none"/>
          <w:lang w:val="en-US" w:eastAsia="zh-CN"/>
        </w:rPr>
        <w:t>图5.5-4污水管修复断面</w:t>
      </w:r>
    </w:p>
    <w:p>
      <w:pPr>
        <w:pStyle w:val="4"/>
        <w:bidi w:val="0"/>
        <w:ind w:left="575" w:leftChars="0" w:hanging="575" w:firstLineChars="0"/>
        <w:rPr>
          <w:rFonts w:hint="eastAsia" w:ascii="Times New Roman" w:hAnsi="Times New Roman" w:cs="Times New Roman"/>
          <w:lang w:val="en-US" w:eastAsia="zh-CN"/>
        </w:rPr>
      </w:pPr>
      <w:bookmarkStart w:id="205" w:name="_Toc16749"/>
      <w:bookmarkStart w:id="206" w:name="_Toc12609"/>
      <w:bookmarkStart w:id="207" w:name="_Toc12936"/>
      <w:r>
        <w:rPr>
          <w:rFonts w:hint="eastAsia" w:ascii="Times New Roman" w:hAnsi="Times New Roman" w:cs="Times New Roman"/>
          <w:lang w:val="en-US" w:eastAsia="zh-CN"/>
        </w:rPr>
        <w:t>地基承载力计算</w:t>
      </w:r>
      <w:bookmarkEnd w:id="205"/>
    </w:p>
    <w:p>
      <w:pPr>
        <w:overflowPunct w:val="0"/>
        <w:topLinePunct/>
        <w:spacing w:line="360" w:lineRule="auto"/>
        <w:ind w:firstLine="480" w:firstLineChars="200"/>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河涌地基承载力计算如下：</w:t>
      </w:r>
    </w:p>
    <w:p>
      <w:pPr>
        <w:overflowPunct w:val="0"/>
        <w:topLinePunct/>
        <w:spacing w:line="360" w:lineRule="auto"/>
        <w:ind w:firstLine="480" w:firstLineChars="200"/>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根据《建筑地基处理技术规范》，</w:t>
      </w:r>
      <w:r>
        <w:rPr>
          <w:rFonts w:hint="eastAsia"/>
          <w:color w:val="000000" w:themeColor="text1"/>
          <w:sz w:val="24"/>
          <w:highlight w:val="none"/>
          <w:lang w:eastAsia="zh-CN"/>
          <w14:textFill>
            <w14:solidFill>
              <w14:schemeClr w14:val="tx1"/>
            </w14:solidFill>
          </w14:textFill>
        </w:rPr>
        <w:t>现状松木桩地基按复合地基计算，</w:t>
      </w:r>
      <w:r>
        <w:rPr>
          <w:color w:val="000000" w:themeColor="text1"/>
          <w:sz w:val="24"/>
          <w:highlight w:val="none"/>
          <w14:textFill>
            <w14:solidFill>
              <w14:schemeClr w14:val="tx1"/>
            </w14:solidFill>
          </w14:textFill>
        </w:rPr>
        <w:t>复合地基承载力标准值可以通过下式计算：</w:t>
      </w:r>
    </w:p>
    <w:p>
      <w:pPr>
        <w:overflowPunct w:val="0"/>
        <w:topLinePunct/>
        <w:spacing w:line="360" w:lineRule="auto"/>
        <w:ind w:firstLine="1200" w:firstLineChars="500"/>
        <w:rPr>
          <w:color w:val="000000" w:themeColor="text1"/>
          <w:sz w:val="24"/>
          <w:highlight w:val="none"/>
          <w14:textFill>
            <w14:solidFill>
              <w14:schemeClr w14:val="tx1"/>
            </w14:solidFill>
          </w14:textFill>
        </w:rPr>
      </w:pPr>
      <w:r>
        <w:rPr>
          <w:color w:val="000000" w:themeColor="text1"/>
          <w:position w:val="-30"/>
          <w:sz w:val="24"/>
          <w:highlight w:val="none"/>
          <w14:textFill>
            <w14:solidFill>
              <w14:schemeClr w14:val="tx1"/>
            </w14:solidFill>
          </w14:textFill>
        </w:rPr>
        <w:object>
          <v:shape id="_x0000_i1054" o:spt="75" type="#_x0000_t75" style="height:36pt;width:129.05pt;" o:ole="t" filled="f" o:preferrelative="t" stroked="f" coordsize="21600,21600">
            <v:path/>
            <v:fill on="f" focussize="0,0"/>
            <v:stroke on="f" joinstyle="miter"/>
            <v:imagedata r:id="rId96" o:title=""/>
            <o:lock v:ext="edit" aspectratio="t"/>
            <w10:wrap type="none"/>
            <w10:anchorlock/>
          </v:shape>
          <o:OLEObject Type="Embed" ProgID="Equation.3" ShapeID="_x0000_i1054" DrawAspect="Content" ObjectID="_1468075754" r:id="rId95">
            <o:LockedField>false</o:LockedField>
          </o:OLEObject>
        </w:object>
      </w:r>
    </w:p>
    <w:p>
      <w:pPr>
        <w:overflowPunct w:val="0"/>
        <w:topLinePunct/>
        <w:spacing w:line="360" w:lineRule="auto"/>
        <w:ind w:firstLine="480" w:firstLineChars="200"/>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式中：</w:t>
      </w:r>
      <w:r>
        <w:rPr>
          <w:i/>
          <w:color w:val="000000" w:themeColor="text1"/>
          <w:sz w:val="24"/>
          <w:highlight w:val="none"/>
          <w14:textFill>
            <w14:solidFill>
              <w14:schemeClr w14:val="tx1"/>
            </w14:solidFill>
          </w14:textFill>
        </w:rPr>
        <w:t>m</w:t>
      </w:r>
      <w:r>
        <w:rPr>
          <w:color w:val="000000" w:themeColor="text1"/>
          <w:sz w:val="24"/>
          <w:highlight w:val="none"/>
          <w14:textFill>
            <w14:solidFill>
              <w14:schemeClr w14:val="tx1"/>
            </w14:solidFill>
          </w14:textFill>
        </w:rPr>
        <w:t>——面积置换率，</w:t>
      </w:r>
      <w:r>
        <w:rPr>
          <w:rFonts w:hint="eastAsia"/>
          <w:color w:val="000000" w:themeColor="text1"/>
          <w:sz w:val="24"/>
          <w:highlight w:val="none"/>
          <w:lang w:val="en-US" w:eastAsia="zh-CN"/>
          <w14:textFill>
            <w14:solidFill>
              <w14:schemeClr w14:val="tx1"/>
            </w14:solidFill>
          </w14:textFill>
        </w:rPr>
        <w:t>0.031</w:t>
      </w:r>
      <w:r>
        <w:rPr>
          <w:color w:val="000000" w:themeColor="text1"/>
          <w:sz w:val="24"/>
          <w:highlight w:val="none"/>
          <w14:textFill>
            <w14:solidFill>
              <w14:schemeClr w14:val="tx1"/>
            </w14:solidFill>
          </w14:textFill>
        </w:rPr>
        <w:t>；</w:t>
      </w:r>
    </w:p>
    <w:p>
      <w:pPr>
        <w:overflowPunct w:val="0"/>
        <w:topLinePunct/>
        <w:spacing w:line="360" w:lineRule="auto"/>
        <w:ind w:firstLine="1200" w:firstLineChars="500"/>
        <w:rPr>
          <w:color w:val="000000" w:themeColor="text1"/>
          <w:sz w:val="24"/>
          <w:highlight w:val="none"/>
          <w14:textFill>
            <w14:solidFill>
              <w14:schemeClr w14:val="tx1"/>
            </w14:solidFill>
          </w14:textFill>
        </w:rPr>
      </w:pPr>
      <w:r>
        <w:rPr>
          <w:i/>
          <w:color w:val="000000" w:themeColor="text1"/>
          <w:sz w:val="24"/>
          <w:highlight w:val="none"/>
          <w14:textFill>
            <w14:solidFill>
              <w14:schemeClr w14:val="tx1"/>
            </w14:solidFill>
          </w14:textFill>
        </w:rPr>
        <w:t>A</w:t>
      </w:r>
      <w:r>
        <w:rPr>
          <w:i/>
          <w:color w:val="000000" w:themeColor="text1"/>
          <w:sz w:val="24"/>
          <w:highlight w:val="none"/>
          <w:vertAlign w:val="subscript"/>
          <w14:textFill>
            <w14:solidFill>
              <w14:schemeClr w14:val="tx1"/>
            </w14:solidFill>
          </w14:textFill>
        </w:rPr>
        <w:t>p</w:t>
      </w:r>
      <w:r>
        <w:rPr>
          <w:color w:val="000000" w:themeColor="text1"/>
          <w:sz w:val="24"/>
          <w:highlight w:val="none"/>
          <w14:textFill>
            <w14:solidFill>
              <w14:schemeClr w14:val="tx1"/>
            </w14:solidFill>
          </w14:textFill>
        </w:rPr>
        <w:t>——桩的截面积，</w:t>
      </w:r>
      <w:r>
        <w:rPr>
          <w:rFonts w:hint="eastAsia"/>
          <w:color w:val="000000" w:themeColor="text1"/>
          <w:sz w:val="24"/>
          <w:highlight w:val="none"/>
          <w:lang w:val="en-US" w:eastAsia="zh-CN"/>
          <w14:textFill>
            <w14:solidFill>
              <w14:schemeClr w14:val="tx1"/>
            </w14:solidFill>
          </w14:textFill>
        </w:rPr>
        <w:t>0.00785</w:t>
      </w:r>
      <w:r>
        <w:rPr>
          <w:color w:val="000000" w:themeColor="text1"/>
          <w:sz w:val="24"/>
          <w:highlight w:val="none"/>
          <w14:textFill>
            <w14:solidFill>
              <w14:schemeClr w14:val="tx1"/>
            </w14:solidFill>
          </w14:textFill>
        </w:rPr>
        <w:t>m</w:t>
      </w:r>
      <w:r>
        <w:rPr>
          <w:color w:val="000000" w:themeColor="text1"/>
          <w:sz w:val="24"/>
          <w:highlight w:val="none"/>
          <w:vertAlign w:val="superscript"/>
          <w14:textFill>
            <w14:solidFill>
              <w14:schemeClr w14:val="tx1"/>
            </w14:solidFill>
          </w14:textFill>
        </w:rPr>
        <w:t>2</w:t>
      </w:r>
      <w:r>
        <w:rPr>
          <w:color w:val="000000" w:themeColor="text1"/>
          <w:sz w:val="24"/>
          <w:highlight w:val="none"/>
          <w14:textFill>
            <w14:solidFill>
              <w14:schemeClr w14:val="tx1"/>
            </w14:solidFill>
          </w14:textFill>
        </w:rPr>
        <w:t>；</w:t>
      </w:r>
    </w:p>
    <w:p>
      <w:pPr>
        <w:overflowPunct w:val="0"/>
        <w:topLinePunct/>
        <w:spacing w:line="360" w:lineRule="auto"/>
        <w:ind w:firstLine="1200" w:firstLineChars="500"/>
        <w:rPr>
          <w:color w:val="000000" w:themeColor="text1"/>
          <w:sz w:val="24"/>
          <w:highlight w:val="none"/>
          <w14:textFill>
            <w14:solidFill>
              <w14:schemeClr w14:val="tx1"/>
            </w14:solidFill>
          </w14:textFill>
        </w:rPr>
      </w:pPr>
      <w:r>
        <w:rPr>
          <w:i/>
          <w:color w:val="000000" w:themeColor="text1"/>
          <w:sz w:val="24"/>
          <w:highlight w:val="none"/>
          <w14:textFill>
            <w14:solidFill>
              <w14:schemeClr w14:val="tx1"/>
            </w14:solidFill>
          </w14:textFill>
        </w:rPr>
        <w:t>f</w:t>
      </w:r>
      <w:r>
        <w:rPr>
          <w:color w:val="000000" w:themeColor="text1"/>
          <w:sz w:val="24"/>
          <w:highlight w:val="none"/>
          <w:vertAlign w:val="subscript"/>
          <w14:textFill>
            <w14:solidFill>
              <w14:schemeClr w14:val="tx1"/>
            </w14:solidFill>
          </w14:textFill>
        </w:rPr>
        <w:t>s，k</w:t>
      </w:r>
      <w:r>
        <w:rPr>
          <w:color w:val="000000" w:themeColor="text1"/>
          <w:sz w:val="24"/>
          <w:highlight w:val="none"/>
          <w14:textFill>
            <w14:solidFill>
              <w14:schemeClr w14:val="tx1"/>
            </w14:solidFill>
          </w14:textFill>
        </w:rPr>
        <w:t>——桩间天然地基承载力标准值，</w:t>
      </w:r>
      <w:r>
        <w:rPr>
          <w:rFonts w:hint="eastAsia"/>
          <w:color w:val="000000" w:themeColor="text1"/>
          <w:sz w:val="24"/>
          <w:highlight w:val="none"/>
          <w:lang w:val="en-US" w:eastAsia="zh-CN"/>
          <w14:textFill>
            <w14:solidFill>
              <w14:schemeClr w14:val="tx1"/>
            </w14:solidFill>
          </w14:textFill>
        </w:rPr>
        <w:t>65</w:t>
      </w:r>
      <w:r>
        <w:rPr>
          <w:color w:val="000000" w:themeColor="text1"/>
          <w:sz w:val="24"/>
          <w:highlight w:val="none"/>
          <w14:textFill>
            <w14:solidFill>
              <w14:schemeClr w14:val="tx1"/>
            </w14:solidFill>
          </w14:textFill>
        </w:rPr>
        <w:t>kPa;</w:t>
      </w:r>
    </w:p>
    <w:p>
      <w:pPr>
        <w:overflowPunct w:val="0"/>
        <w:topLinePunct/>
        <w:spacing w:line="360" w:lineRule="auto"/>
        <w:ind w:firstLine="1200" w:firstLineChars="500"/>
        <w:rPr>
          <w:color w:val="000000" w:themeColor="text1"/>
          <w:sz w:val="24"/>
          <w:highlight w:val="none"/>
          <w14:textFill>
            <w14:solidFill>
              <w14:schemeClr w14:val="tx1"/>
            </w14:solidFill>
          </w14:textFill>
        </w:rPr>
      </w:pPr>
      <w:r>
        <w:rPr>
          <w:i/>
          <w:color w:val="000000" w:themeColor="text1"/>
          <w:sz w:val="24"/>
          <w:highlight w:val="none"/>
          <w14:textFill>
            <w14:solidFill>
              <w14:schemeClr w14:val="tx1"/>
            </w14:solidFill>
          </w14:textFill>
        </w:rPr>
        <w:t>β</w:t>
      </w:r>
      <w:r>
        <w:rPr>
          <w:color w:val="000000" w:themeColor="text1"/>
          <w:sz w:val="24"/>
          <w:highlight w:val="none"/>
          <w14:textFill>
            <w14:solidFill>
              <w14:schemeClr w14:val="tx1"/>
            </w14:solidFill>
          </w14:textFill>
        </w:rPr>
        <w:t>——桩间土承载力折减系数，取0.3；</w:t>
      </w:r>
    </w:p>
    <w:p>
      <w:pPr>
        <w:overflowPunct w:val="0"/>
        <w:topLinePunct/>
        <w:spacing w:line="360" w:lineRule="auto"/>
        <w:ind w:firstLine="1200" w:firstLineChars="500"/>
        <w:rPr>
          <w:color w:val="000000" w:themeColor="text1"/>
          <w:sz w:val="24"/>
          <w:highlight w:val="none"/>
          <w14:textFill>
            <w14:solidFill>
              <w14:schemeClr w14:val="tx1"/>
            </w14:solidFill>
          </w14:textFill>
        </w:rPr>
      </w:pPr>
      <w:r>
        <w:rPr>
          <w:i/>
          <w:color w:val="000000" w:themeColor="text1"/>
          <w:sz w:val="24"/>
          <w:highlight w:val="none"/>
          <w14:textFill>
            <w14:solidFill>
              <w14:schemeClr w14:val="tx1"/>
            </w14:solidFill>
          </w14:textFill>
        </w:rPr>
        <w:t>R</w:t>
      </w:r>
      <w:r>
        <w:rPr>
          <w:color w:val="000000" w:themeColor="text1"/>
          <w:sz w:val="24"/>
          <w:highlight w:val="none"/>
          <w:vertAlign w:val="subscript"/>
          <w14:textFill>
            <w14:solidFill>
              <w14:schemeClr w14:val="tx1"/>
            </w14:solidFill>
          </w14:textFill>
        </w:rPr>
        <w:t>k</w:t>
      </w:r>
      <w:r>
        <w:rPr>
          <w:color w:val="000000" w:themeColor="text1"/>
          <w:sz w:val="24"/>
          <w:highlight w:val="none"/>
          <w14:textFill>
            <w14:solidFill>
              <w14:schemeClr w14:val="tx1"/>
            </w14:solidFill>
          </w14:textFill>
        </w:rPr>
        <w:t>——单桩竖向承载力标准值，</w:t>
      </w:r>
      <w:r>
        <w:rPr>
          <w:color w:val="000000" w:themeColor="text1"/>
          <w:position w:val="-28"/>
          <w:sz w:val="24"/>
          <w:highlight w:val="none"/>
          <w14:textFill>
            <w14:solidFill>
              <w14:schemeClr w14:val="tx1"/>
            </w14:solidFill>
          </w14:textFill>
        </w:rPr>
        <w:drawing>
          <wp:inline distT="0" distB="0" distL="114300" distR="114300">
            <wp:extent cx="1762125" cy="428625"/>
            <wp:effectExtent l="0" t="0" r="0" b="8255"/>
            <wp:docPr id="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4"/>
                    <pic:cNvPicPr>
                      <a:picLocks noChangeAspect="1"/>
                    </pic:cNvPicPr>
                  </pic:nvPicPr>
                  <pic:blipFill>
                    <a:blip r:embed="rId97"/>
                    <a:stretch>
                      <a:fillRect/>
                    </a:stretch>
                  </pic:blipFill>
                  <pic:spPr>
                    <a:xfrm>
                      <a:off x="0" y="0"/>
                      <a:ext cx="1762125" cy="428625"/>
                    </a:xfrm>
                    <a:prstGeom prst="rect">
                      <a:avLst/>
                    </a:prstGeom>
                    <a:noFill/>
                    <a:ln>
                      <a:noFill/>
                    </a:ln>
                  </pic:spPr>
                </pic:pic>
              </a:graphicData>
            </a:graphic>
          </wp:inline>
        </w:drawing>
      </w:r>
      <w:r>
        <w:rPr>
          <w:color w:val="000000" w:themeColor="text1"/>
          <w:sz w:val="24"/>
          <w:highlight w:val="none"/>
          <w14:textFill>
            <w14:solidFill>
              <w14:schemeClr w14:val="tx1"/>
            </w14:solidFill>
          </w14:textFill>
        </w:rPr>
        <w:t>，</w:t>
      </w:r>
    </w:p>
    <w:p>
      <w:pPr>
        <w:overflowPunct w:val="0"/>
        <w:topLinePunct/>
        <w:spacing w:line="360" w:lineRule="auto"/>
        <w:ind w:firstLine="1200" w:firstLineChars="500"/>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端阻力可忽略不计；</w:t>
      </w:r>
    </w:p>
    <w:p>
      <w:pPr>
        <w:overflowPunct w:val="0"/>
        <w:topLinePunct/>
        <w:spacing w:line="360" w:lineRule="auto"/>
        <w:ind w:firstLine="1200" w:firstLineChars="500"/>
        <w:rPr>
          <w:color w:val="000000" w:themeColor="text1"/>
          <w:sz w:val="24"/>
          <w:highlight w:val="none"/>
          <w14:textFill>
            <w14:solidFill>
              <w14:schemeClr w14:val="tx1"/>
            </w14:solidFill>
          </w14:textFill>
        </w:rPr>
      </w:pPr>
      <w:r>
        <w:rPr>
          <w:i/>
          <w:color w:val="000000" w:themeColor="text1"/>
          <w:sz w:val="24"/>
          <w:highlight w:val="none"/>
          <w14:textFill>
            <w14:solidFill>
              <w14:schemeClr w14:val="tx1"/>
            </w14:solidFill>
          </w14:textFill>
        </w:rPr>
        <w:t>u</w:t>
      </w:r>
      <w:r>
        <w:rPr>
          <w:color w:val="000000" w:themeColor="text1"/>
          <w:sz w:val="24"/>
          <w:highlight w:val="none"/>
          <w:vertAlign w:val="subscript"/>
          <w14:textFill>
            <w14:solidFill>
              <w14:schemeClr w14:val="tx1"/>
            </w14:solidFill>
          </w14:textFill>
        </w:rPr>
        <w:t>p</w:t>
      </w:r>
      <w:r>
        <w:rPr>
          <w:color w:val="000000" w:themeColor="text1"/>
          <w:sz w:val="24"/>
          <w:highlight w:val="none"/>
          <w14:textFill>
            <w14:solidFill>
              <w14:schemeClr w14:val="tx1"/>
            </w14:solidFill>
          </w14:textFill>
        </w:rPr>
        <w:t>——桩的周长（m），取</w:t>
      </w:r>
      <w:r>
        <w:rPr>
          <w:rFonts w:hint="eastAsia"/>
          <w:color w:val="000000" w:themeColor="text1"/>
          <w:sz w:val="24"/>
          <w:highlight w:val="none"/>
          <w:lang w:val="en-US" w:eastAsia="zh-CN"/>
          <w14:textFill>
            <w14:solidFill>
              <w14:schemeClr w14:val="tx1"/>
            </w14:solidFill>
          </w14:textFill>
        </w:rPr>
        <w:t>0.314</w:t>
      </w:r>
      <w:r>
        <w:rPr>
          <w:color w:val="000000" w:themeColor="text1"/>
          <w:sz w:val="24"/>
          <w:highlight w:val="none"/>
          <w14:textFill>
            <w14:solidFill>
              <w14:schemeClr w14:val="tx1"/>
            </w14:solidFill>
          </w14:textFill>
        </w:rPr>
        <w:t>m；</w:t>
      </w:r>
    </w:p>
    <w:p>
      <w:pPr>
        <w:overflowPunct w:val="0"/>
        <w:topLinePunct/>
        <w:spacing w:line="360" w:lineRule="auto"/>
        <w:ind w:firstLine="1200" w:firstLineChars="500"/>
        <w:rPr>
          <w:color w:val="000000" w:themeColor="text1"/>
          <w:sz w:val="24"/>
          <w:highlight w:val="none"/>
          <w14:textFill>
            <w14:solidFill>
              <w14:schemeClr w14:val="tx1"/>
            </w14:solidFill>
          </w14:textFill>
        </w:rPr>
      </w:pPr>
      <w:r>
        <w:rPr>
          <w:i/>
          <w:color w:val="000000" w:themeColor="text1"/>
          <w:sz w:val="24"/>
          <w:highlight w:val="none"/>
          <w14:textFill>
            <w14:solidFill>
              <w14:schemeClr w14:val="tx1"/>
            </w14:solidFill>
          </w14:textFill>
        </w:rPr>
        <w:t>q</w:t>
      </w:r>
      <w:r>
        <w:rPr>
          <w:color w:val="000000" w:themeColor="text1"/>
          <w:sz w:val="24"/>
          <w:highlight w:val="none"/>
          <w:vertAlign w:val="subscript"/>
          <w14:textFill>
            <w14:solidFill>
              <w14:schemeClr w14:val="tx1"/>
            </w14:solidFill>
          </w14:textFill>
        </w:rPr>
        <w:t>s</w:t>
      </w:r>
      <w:r>
        <w:rPr>
          <w:color w:val="000000" w:themeColor="text1"/>
          <w:sz w:val="24"/>
          <w:highlight w:val="none"/>
          <w14:textFill>
            <w14:solidFill>
              <w14:schemeClr w14:val="tx1"/>
            </w14:solidFill>
          </w14:textFill>
        </w:rPr>
        <w:t>——桩周土平均摩擦力；</w:t>
      </w:r>
    </w:p>
    <w:p>
      <w:pPr>
        <w:overflowPunct w:val="0"/>
        <w:topLinePunct/>
        <w:spacing w:line="360" w:lineRule="auto"/>
        <w:ind w:firstLine="1200" w:firstLineChars="500"/>
        <w:rPr>
          <w:highlight w:val="none"/>
        </w:rPr>
      </w:pPr>
      <w:r>
        <w:rPr>
          <w:i/>
          <w:color w:val="000000" w:themeColor="text1"/>
          <w:sz w:val="24"/>
          <w:highlight w:val="none"/>
          <w14:textFill>
            <w14:solidFill>
              <w14:schemeClr w14:val="tx1"/>
            </w14:solidFill>
          </w14:textFill>
        </w:rPr>
        <w:t>f</w:t>
      </w:r>
      <w:r>
        <w:rPr>
          <w:color w:val="000000" w:themeColor="text1"/>
          <w:sz w:val="24"/>
          <w:highlight w:val="none"/>
          <w:vertAlign w:val="subscript"/>
          <w14:textFill>
            <w14:solidFill>
              <w14:schemeClr w14:val="tx1"/>
            </w14:solidFill>
          </w14:textFill>
        </w:rPr>
        <w:t>a</w:t>
      </w:r>
      <w:r>
        <w:rPr>
          <w:color w:val="000000" w:themeColor="text1"/>
          <w:sz w:val="24"/>
          <w:highlight w:val="none"/>
          <w14:textFill>
            <w14:solidFill>
              <w14:schemeClr w14:val="tx1"/>
            </w14:solidFill>
          </w14:textFill>
        </w:rPr>
        <w:t>——桩身承压强度设计值，</w:t>
      </w:r>
      <w:r>
        <w:rPr>
          <w:rFonts w:hint="eastAsia"/>
          <w:color w:val="000000" w:themeColor="text1"/>
          <w:sz w:val="24"/>
          <w:highlight w:val="none"/>
          <w:lang w:eastAsia="zh-CN"/>
          <w14:textFill>
            <w14:solidFill>
              <w14:schemeClr w14:val="tx1"/>
            </w14:solidFill>
          </w14:textFill>
        </w:rPr>
        <w:t>松木桩无此设计指标</w:t>
      </w:r>
      <w:r>
        <w:rPr>
          <w:color w:val="000000" w:themeColor="text1"/>
          <w:sz w:val="24"/>
          <w:highlight w:val="none"/>
          <w14:textFill>
            <w14:solidFill>
              <w14:schemeClr w14:val="tx1"/>
            </w14:solidFill>
          </w14:textFill>
        </w:rPr>
        <w:t>。</w:t>
      </w:r>
    </w:p>
    <w:p>
      <w:pPr>
        <w:overflowPunct w:val="0"/>
        <w:topLinePunct/>
        <w:spacing w:line="360" w:lineRule="auto"/>
        <w:ind w:firstLine="480" w:firstLineChars="200"/>
        <w:rPr>
          <w:rFonts w:hint="eastAsia"/>
          <w:lang w:val="en-US" w:eastAsia="zh-CN"/>
        </w:rPr>
      </w:pPr>
      <w:r>
        <w:rPr>
          <w:rFonts w:hint="eastAsia"/>
          <w:color w:val="000000" w:themeColor="text1"/>
          <w:sz w:val="24"/>
          <w:highlight w:val="none"/>
          <w:lang w:eastAsia="zh-CN"/>
          <w14:textFill>
            <w14:solidFill>
              <w14:schemeClr w14:val="tx1"/>
            </w14:solidFill>
          </w14:textFill>
        </w:rPr>
        <w:t>松木桩单桩承载力按桩间土及桩端土阻力计算，不考虑桩身强度，</w:t>
      </w:r>
      <w:r>
        <w:rPr>
          <w:color w:val="000000" w:themeColor="text1"/>
          <w:sz w:val="24"/>
          <w:highlight w:val="none"/>
          <w14:textFill>
            <w14:solidFill>
              <w14:schemeClr w14:val="tx1"/>
            </w14:solidFill>
          </w14:textFill>
        </w:rPr>
        <w:t>经计算，</w:t>
      </w:r>
      <w:r>
        <w:rPr>
          <w:rFonts w:hint="eastAsia"/>
          <w:color w:val="000000" w:themeColor="text1"/>
          <w:sz w:val="24"/>
          <w:highlight w:val="none"/>
          <w:lang w:eastAsia="zh-CN"/>
          <w14:textFill>
            <w14:solidFill>
              <w14:schemeClr w14:val="tx1"/>
            </w14:solidFill>
          </w14:textFill>
        </w:rPr>
        <w:t>松木桩</w:t>
      </w:r>
      <w:r>
        <w:rPr>
          <w:color w:val="000000" w:themeColor="text1"/>
          <w:sz w:val="24"/>
          <w:highlight w:val="none"/>
          <w14:textFill>
            <w14:solidFill>
              <w14:schemeClr w14:val="tx1"/>
            </w14:solidFill>
          </w14:textFill>
        </w:rPr>
        <w:t>桩单桩承载力</w:t>
      </w:r>
      <w:r>
        <w:rPr>
          <w:rFonts w:hint="eastAsia"/>
          <w:color w:val="000000" w:themeColor="text1"/>
          <w:sz w:val="24"/>
          <w:highlight w:val="none"/>
          <w:lang w:eastAsia="zh-CN"/>
          <w14:textFill>
            <w14:solidFill>
              <w14:schemeClr w14:val="tx1"/>
            </w14:solidFill>
          </w14:textFill>
        </w:rPr>
        <w:t>为</w:t>
      </w:r>
      <w:r>
        <w:rPr>
          <w:rFonts w:hint="eastAsia"/>
          <w:color w:val="000000" w:themeColor="text1"/>
          <w:sz w:val="24"/>
          <w:highlight w:val="none"/>
          <w:lang w:val="en-US" w:eastAsia="zh-CN"/>
          <w14:textFill>
            <w14:solidFill>
              <w14:schemeClr w14:val="tx1"/>
            </w14:solidFill>
          </w14:textFill>
        </w:rPr>
        <w:t>14</w:t>
      </w:r>
      <w:r>
        <w:rPr>
          <w:color w:val="000000" w:themeColor="text1"/>
          <w:sz w:val="24"/>
          <w:highlight w:val="none"/>
          <w14:textFill>
            <w14:solidFill>
              <w14:schemeClr w14:val="tx1"/>
            </w14:solidFill>
          </w14:textFill>
        </w:rPr>
        <w:t>KN，复合地基承载力特征值f</w:t>
      </w:r>
      <w:r>
        <w:rPr>
          <w:color w:val="000000" w:themeColor="text1"/>
          <w:sz w:val="24"/>
          <w:highlight w:val="none"/>
          <w:vertAlign w:val="subscript"/>
          <w14:textFill>
            <w14:solidFill>
              <w14:schemeClr w14:val="tx1"/>
            </w14:solidFill>
          </w14:textFill>
        </w:rPr>
        <w:t>spk</w:t>
      </w:r>
      <w:r>
        <w:rPr>
          <w:color w:val="000000" w:themeColor="text1"/>
          <w:sz w:val="24"/>
          <w:highlight w:val="none"/>
          <w14:textFill>
            <w14:solidFill>
              <w14:schemeClr w14:val="tx1"/>
            </w14:solidFill>
          </w14:textFill>
        </w:rPr>
        <w:t>=</w:t>
      </w:r>
      <w:r>
        <w:rPr>
          <w:rFonts w:hint="eastAsia"/>
          <w:color w:val="000000" w:themeColor="text1"/>
          <w:sz w:val="24"/>
          <w:highlight w:val="none"/>
          <w:lang w:val="en-US" w:eastAsia="zh-CN"/>
          <w14:textFill>
            <w14:solidFill>
              <w14:schemeClr w14:val="tx1"/>
            </w14:solidFill>
          </w14:textFill>
        </w:rPr>
        <w:t>75</w:t>
      </w:r>
      <w:r>
        <w:rPr>
          <w:color w:val="000000" w:themeColor="text1"/>
          <w:sz w:val="24"/>
          <w:highlight w:val="none"/>
          <w14:textFill>
            <w14:solidFill>
              <w14:schemeClr w14:val="tx1"/>
            </w14:solidFill>
          </w14:textFill>
        </w:rPr>
        <w:t>kPa。</w:t>
      </w:r>
    </w:p>
    <w:p>
      <w:pPr>
        <w:pStyle w:val="4"/>
        <w:bidi w:val="0"/>
        <w:ind w:left="575" w:leftChars="0" w:hanging="575" w:firstLineChars="0"/>
        <w:rPr>
          <w:rFonts w:hint="eastAsia" w:ascii="Times New Roman" w:hAnsi="Times New Roman" w:cs="Times New Roman"/>
          <w:lang w:val="en-US" w:eastAsia="zh-CN"/>
        </w:rPr>
      </w:pPr>
      <w:bookmarkStart w:id="208" w:name="_Toc20748"/>
      <w:r>
        <w:rPr>
          <w:rFonts w:hint="eastAsia" w:ascii="Times New Roman" w:hAnsi="Times New Roman" w:cs="Times New Roman"/>
          <w:lang w:val="en-US" w:eastAsia="zh-CN"/>
        </w:rPr>
        <w:t>挡墙稳定计算</w:t>
      </w:r>
      <w:bookmarkEnd w:id="206"/>
      <w:bookmarkEnd w:id="207"/>
      <w:bookmarkEnd w:id="208"/>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挡土墙的抗倾稳定安全系数按下式计算：</w:t>
      </w:r>
    </w:p>
    <w:p>
      <w:pPr>
        <w:pStyle w:val="178"/>
        <w:spacing w:line="360" w:lineRule="auto"/>
        <w:jc w:val="center"/>
        <w:rPr>
          <w:rFonts w:ascii="Times New Roman" w:hAnsi="Times New Roman" w:eastAsia="宋体"/>
          <w:color w:val="000000"/>
          <w:sz w:val="24"/>
        </w:rPr>
      </w:pPr>
      <w:r>
        <w:rPr>
          <w:rFonts w:ascii="Times New Roman" w:hAnsi="Times New Roman" w:eastAsia="宋体"/>
          <w:color w:val="000000"/>
          <w:sz w:val="24"/>
        </w:rPr>
        <w:t>K</w:t>
      </w:r>
      <w:r>
        <w:rPr>
          <w:rFonts w:ascii="Times New Roman" w:hAnsi="Times New Roman" w:eastAsia="宋体"/>
          <w:color w:val="000000"/>
          <w:sz w:val="24"/>
          <w:vertAlign w:val="subscript"/>
        </w:rPr>
        <w:t>0</w:t>
      </w:r>
      <w:r>
        <w:rPr>
          <w:rFonts w:ascii="Times New Roman" w:hAnsi="Times New Roman" w:eastAsia="宋体"/>
          <w:color w:val="000000"/>
          <w:sz w:val="24"/>
        </w:rPr>
        <w:t xml:space="preserve"> = </w:t>
      </w:r>
      <w:r>
        <w:rPr>
          <w:rFonts w:ascii="Times New Roman" w:hAnsi="Times New Roman" w:eastAsia="宋体"/>
          <w:color w:val="000000"/>
          <w:sz w:val="24"/>
        </w:rPr>
        <w:fldChar w:fldCharType="begin"/>
      </w:r>
      <w:r>
        <w:rPr>
          <w:rFonts w:ascii="Times New Roman" w:hAnsi="Times New Roman" w:eastAsia="宋体"/>
          <w:color w:val="000000"/>
          <w:sz w:val="24"/>
        </w:rPr>
        <w:instrText xml:space="preserve"> EQ \F(ΣMV,ΣMH) </w:instrText>
      </w:r>
      <w:r>
        <w:rPr>
          <w:rFonts w:ascii="Times New Roman" w:hAnsi="Times New Roman" w:eastAsia="宋体"/>
          <w:color w:val="000000"/>
          <w:sz w:val="24"/>
        </w:rPr>
        <w:fldChar w:fldCharType="end"/>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式中</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K</w:t>
      </w:r>
      <w:r>
        <w:rPr>
          <w:rFonts w:ascii="Times New Roman" w:hAnsi="Times New Roman" w:eastAsia="宋体"/>
          <w:color w:val="000000"/>
          <w:sz w:val="24"/>
          <w:vertAlign w:val="subscript"/>
        </w:rPr>
        <w:t>0</w:t>
      </w:r>
      <w:r>
        <w:rPr>
          <w:rFonts w:ascii="Times New Roman" w:hAnsi="Times New Roman" w:eastAsia="宋体"/>
          <w:color w:val="000000"/>
          <w:sz w:val="24"/>
        </w:rPr>
        <w:t>——抗倾稳定安全系数；</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M</w:t>
      </w:r>
      <w:r>
        <w:rPr>
          <w:rFonts w:ascii="Times New Roman" w:hAnsi="Times New Roman" w:eastAsia="宋体"/>
          <w:color w:val="000000"/>
          <w:sz w:val="24"/>
          <w:vertAlign w:val="subscript"/>
        </w:rPr>
        <w:t>v</w:t>
      </w:r>
      <w:r>
        <w:rPr>
          <w:rFonts w:ascii="Times New Roman" w:hAnsi="Times New Roman" w:eastAsia="宋体"/>
          <w:color w:val="000000"/>
          <w:sz w:val="24"/>
        </w:rPr>
        <w:t>——抗倾覆力矩（KN·m）；</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M</w:t>
      </w:r>
      <w:r>
        <w:rPr>
          <w:rFonts w:ascii="Times New Roman" w:hAnsi="Times New Roman" w:eastAsia="宋体"/>
          <w:color w:val="000000"/>
          <w:sz w:val="24"/>
          <w:vertAlign w:val="subscript"/>
        </w:rPr>
        <w:t>H</w:t>
      </w:r>
      <w:r>
        <w:rPr>
          <w:rFonts w:ascii="Times New Roman" w:hAnsi="Times New Roman" w:eastAsia="宋体"/>
          <w:color w:val="000000"/>
          <w:sz w:val="24"/>
        </w:rPr>
        <w:t>——倾覆力矩（KN·m）；</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挡土墙的抗滑定安全系数按下式计算：</w:t>
      </w:r>
    </w:p>
    <w:p>
      <w:pPr>
        <w:pStyle w:val="178"/>
        <w:spacing w:line="360" w:lineRule="auto"/>
        <w:jc w:val="center"/>
        <w:rPr>
          <w:rFonts w:ascii="Times New Roman" w:hAnsi="Times New Roman" w:eastAsia="宋体"/>
          <w:color w:val="000000"/>
          <w:sz w:val="24"/>
        </w:rPr>
      </w:pPr>
      <w:r>
        <w:rPr>
          <w:rFonts w:ascii="Times New Roman" w:hAnsi="Times New Roman" w:eastAsia="宋体"/>
          <w:color w:val="000000"/>
          <w:sz w:val="24"/>
        </w:rPr>
        <w:t>K</w:t>
      </w:r>
      <w:r>
        <w:rPr>
          <w:rFonts w:ascii="Times New Roman" w:hAnsi="Times New Roman" w:eastAsia="宋体"/>
          <w:color w:val="000000"/>
          <w:sz w:val="24"/>
          <w:vertAlign w:val="subscript"/>
        </w:rPr>
        <w:t>C</w:t>
      </w:r>
      <w:r>
        <w:rPr>
          <w:rFonts w:ascii="Times New Roman" w:hAnsi="Times New Roman" w:eastAsia="宋体"/>
          <w:color w:val="000000"/>
          <w:sz w:val="24"/>
        </w:rPr>
        <w:t xml:space="preserve"> = </w:t>
      </w:r>
      <w:r>
        <w:rPr>
          <w:rFonts w:ascii="Times New Roman" w:hAnsi="Times New Roman" w:eastAsia="宋体"/>
          <w:color w:val="000000"/>
          <w:sz w:val="24"/>
        </w:rPr>
        <w:fldChar w:fldCharType="begin"/>
      </w:r>
      <w:r>
        <w:rPr>
          <w:rFonts w:ascii="Times New Roman" w:hAnsi="Times New Roman" w:eastAsia="宋体"/>
          <w:color w:val="000000"/>
          <w:sz w:val="24"/>
        </w:rPr>
        <w:instrText xml:space="preserve"> EQ \F(fΣW,ΣP) </w:instrText>
      </w:r>
      <w:r>
        <w:rPr>
          <w:rFonts w:ascii="Times New Roman" w:hAnsi="Times New Roman" w:eastAsia="宋体"/>
          <w:color w:val="000000"/>
          <w:sz w:val="24"/>
        </w:rPr>
        <w:fldChar w:fldCharType="end"/>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 xml:space="preserve">式中：        </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K</w:t>
      </w:r>
      <w:r>
        <w:rPr>
          <w:rFonts w:ascii="Times New Roman" w:hAnsi="Times New Roman" w:eastAsia="宋体"/>
          <w:color w:val="000000"/>
          <w:sz w:val="24"/>
          <w:vertAlign w:val="subscript"/>
        </w:rPr>
        <w:t>C</w:t>
      </w:r>
      <w:r>
        <w:rPr>
          <w:rFonts w:ascii="Times New Roman" w:hAnsi="Times New Roman" w:eastAsia="宋体"/>
          <w:color w:val="000000"/>
          <w:sz w:val="24"/>
        </w:rPr>
        <w:t>——抗滑稳定安全系数；</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ΣW——作用于墙体上的全部垂直力的总和（KN）；</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ΣP——作用于墙体上的全部水平力的总和（KN）；</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f ——底板与堤基的摩擦系数。</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挡土墙的基底压应力按下式计算：</w:t>
      </w:r>
    </w:p>
    <w:p>
      <w:pPr>
        <w:pStyle w:val="178"/>
        <w:spacing w:line="360" w:lineRule="auto"/>
        <w:jc w:val="center"/>
        <w:rPr>
          <w:rFonts w:ascii="Times New Roman" w:hAnsi="Times New Roman" w:eastAsia="宋体"/>
          <w:color w:val="000000"/>
          <w:sz w:val="24"/>
        </w:rPr>
      </w:pPr>
      <w:r>
        <w:rPr>
          <w:rFonts w:ascii="Times New Roman" w:hAnsi="Times New Roman" w:eastAsia="宋体"/>
          <w:color w:val="000000"/>
          <w:sz w:val="24"/>
        </w:rPr>
        <w:t>б</w:t>
      </w:r>
      <w:r>
        <w:rPr>
          <w:rFonts w:ascii="Times New Roman" w:hAnsi="Times New Roman" w:eastAsia="宋体"/>
          <w:color w:val="000000"/>
          <w:sz w:val="24"/>
          <w:vertAlign w:val="subscript"/>
        </w:rPr>
        <w:t>max.min</w:t>
      </w:r>
      <w:r>
        <w:rPr>
          <w:rFonts w:ascii="Times New Roman" w:hAnsi="Times New Roman" w:eastAsia="宋体"/>
          <w:color w:val="000000"/>
          <w:sz w:val="24"/>
        </w:rPr>
        <w:t xml:space="preserve"> = </w:t>
      </w:r>
      <w:r>
        <w:rPr>
          <w:rFonts w:ascii="Times New Roman" w:hAnsi="Times New Roman" w:eastAsia="宋体"/>
          <w:color w:val="000000"/>
          <w:sz w:val="24"/>
        </w:rPr>
        <w:fldChar w:fldCharType="begin"/>
      </w:r>
      <w:r>
        <w:rPr>
          <w:rFonts w:ascii="Times New Roman" w:hAnsi="Times New Roman" w:eastAsia="宋体"/>
          <w:color w:val="000000"/>
          <w:sz w:val="24"/>
        </w:rPr>
        <w:instrText xml:space="preserve"> EQ \F(ΣG,A) </w:instrText>
      </w:r>
      <w:r>
        <w:rPr>
          <w:rFonts w:ascii="Times New Roman" w:hAnsi="Times New Roman" w:eastAsia="宋体"/>
          <w:color w:val="000000"/>
          <w:sz w:val="24"/>
        </w:rPr>
        <w:fldChar w:fldCharType="end"/>
      </w:r>
      <w:r>
        <w:rPr>
          <w:rFonts w:ascii="Times New Roman" w:hAnsi="Times New Roman" w:eastAsia="宋体"/>
          <w:color w:val="000000"/>
          <w:sz w:val="24"/>
        </w:rPr>
        <w:t xml:space="preserve"> + </w:t>
      </w:r>
      <w:r>
        <w:rPr>
          <w:rFonts w:ascii="Times New Roman" w:hAnsi="Times New Roman" w:eastAsia="宋体"/>
          <w:color w:val="000000"/>
          <w:sz w:val="24"/>
        </w:rPr>
        <w:fldChar w:fldCharType="begin"/>
      </w:r>
      <w:r>
        <w:rPr>
          <w:rFonts w:ascii="Times New Roman" w:hAnsi="Times New Roman" w:eastAsia="宋体"/>
          <w:color w:val="000000"/>
          <w:sz w:val="24"/>
        </w:rPr>
        <w:instrText xml:space="preserve"> EQ \F(ΣM,ΣW) </w:instrText>
      </w:r>
      <w:r>
        <w:rPr>
          <w:rFonts w:ascii="Times New Roman" w:hAnsi="Times New Roman" w:eastAsia="宋体"/>
          <w:color w:val="000000"/>
          <w:sz w:val="24"/>
        </w:rPr>
        <w:fldChar w:fldCharType="end"/>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 xml:space="preserve">式中：     </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б</w:t>
      </w:r>
      <w:r>
        <w:rPr>
          <w:rFonts w:ascii="Times New Roman" w:hAnsi="Times New Roman" w:eastAsia="宋体"/>
          <w:color w:val="000000"/>
          <w:sz w:val="24"/>
          <w:vertAlign w:val="subscript"/>
        </w:rPr>
        <w:t>max.min</w:t>
      </w:r>
      <w:r>
        <w:rPr>
          <w:rFonts w:ascii="Times New Roman" w:hAnsi="Times New Roman" w:eastAsia="宋体"/>
          <w:color w:val="000000"/>
          <w:sz w:val="24"/>
        </w:rPr>
        <w:t>——基底的最大和最小压应力（KN）；</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ΣG——垂直力荷载（KN）；</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A ——底板面积（m2）；</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ΣM——荷载对底板形心轴的力矩（KN·m）；</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ΣW——底板的截面系数（m</w:t>
      </w:r>
      <w:r>
        <w:rPr>
          <w:rFonts w:ascii="Times New Roman" w:hAnsi="Times New Roman" w:eastAsia="宋体"/>
          <w:color w:val="000000"/>
          <w:sz w:val="24"/>
          <w:vertAlign w:val="superscript"/>
        </w:rPr>
        <w:t>3</w:t>
      </w:r>
      <w:r>
        <w:rPr>
          <w:rFonts w:ascii="Times New Roman" w:hAnsi="Times New Roman" w:eastAsia="宋体"/>
          <w:color w:val="000000"/>
          <w:sz w:val="24"/>
        </w:rPr>
        <w:t>）；</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计算工况选取不利水位组合。主要荷载包括土重、侧向土压力、水平水压力、水重、扬压力、结构自重等，侧向土压力按朗肯主动土压力计算。</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稳定计算工况及水位组合选取如下：</w:t>
      </w:r>
    </w:p>
    <w:p>
      <w:pPr>
        <w:pStyle w:val="178"/>
        <w:spacing w:line="360" w:lineRule="auto"/>
        <w:ind w:firstLine="480" w:firstLineChars="200"/>
        <w:rPr>
          <w:rFonts w:ascii="Times New Roman" w:hAnsi="Times New Roman" w:eastAsia="宋体"/>
          <w:color w:val="000000"/>
          <w:sz w:val="24"/>
          <w:highlight w:val="none"/>
        </w:rPr>
      </w:pPr>
      <w:r>
        <w:rPr>
          <w:rFonts w:ascii="Times New Roman" w:hAnsi="Times New Roman" w:eastAsia="宋体"/>
          <w:color w:val="000000"/>
          <w:sz w:val="24"/>
          <w:highlight w:val="none"/>
        </w:rPr>
        <w:t>工况1（基本组合）：正常挡水情况，墙前为常水位</w:t>
      </w:r>
      <w:r>
        <w:rPr>
          <w:rFonts w:hint="eastAsia" w:ascii="Times New Roman" w:hAnsi="Times New Roman" w:eastAsia="宋体"/>
          <w:color w:val="000000"/>
          <w:sz w:val="24"/>
          <w:highlight w:val="none"/>
          <w:lang w:val="en-US" w:eastAsia="zh-CN"/>
        </w:rPr>
        <w:t>0.</w:t>
      </w:r>
      <w:r>
        <w:rPr>
          <w:rFonts w:hint="eastAsia" w:ascii="Times New Roman" w:hAnsi="Times New Roman"/>
          <w:color w:val="000000"/>
          <w:sz w:val="24"/>
          <w:highlight w:val="none"/>
          <w:lang w:val="en-US" w:eastAsia="zh-CN"/>
        </w:rPr>
        <w:t>8</w:t>
      </w:r>
      <w:r>
        <w:rPr>
          <w:rFonts w:ascii="Times New Roman" w:hAnsi="Times New Roman" w:eastAsia="宋体"/>
          <w:color w:val="000000"/>
          <w:sz w:val="24"/>
          <w:highlight w:val="none"/>
        </w:rPr>
        <w:t>m，墙后水位为常水位</w:t>
      </w:r>
      <w:r>
        <w:rPr>
          <w:rFonts w:hint="eastAsia" w:ascii="Times New Roman" w:hAnsi="Times New Roman" w:eastAsia="宋体"/>
          <w:color w:val="000000"/>
          <w:sz w:val="24"/>
          <w:highlight w:val="none"/>
          <w:lang w:val="en-US" w:eastAsia="zh-CN"/>
        </w:rPr>
        <w:t>0.</w:t>
      </w:r>
      <w:r>
        <w:rPr>
          <w:rFonts w:hint="eastAsia" w:ascii="Times New Roman" w:hAnsi="Times New Roman"/>
          <w:color w:val="000000"/>
          <w:sz w:val="24"/>
          <w:highlight w:val="none"/>
          <w:lang w:val="en-US" w:eastAsia="zh-CN"/>
        </w:rPr>
        <w:t>8</w:t>
      </w:r>
      <w:r>
        <w:rPr>
          <w:rFonts w:ascii="Times New Roman" w:hAnsi="Times New Roman" w:eastAsia="宋体"/>
          <w:color w:val="000000"/>
          <w:sz w:val="24"/>
          <w:highlight w:val="none"/>
        </w:rPr>
        <w:t>m；</w:t>
      </w:r>
    </w:p>
    <w:p>
      <w:pPr>
        <w:pStyle w:val="178"/>
        <w:spacing w:line="360" w:lineRule="auto"/>
        <w:ind w:firstLine="480" w:firstLineChars="200"/>
        <w:rPr>
          <w:rFonts w:ascii="Times New Roman" w:hAnsi="Times New Roman" w:eastAsia="宋体"/>
          <w:color w:val="000000"/>
          <w:sz w:val="24"/>
          <w:highlight w:val="none"/>
        </w:rPr>
      </w:pPr>
      <w:r>
        <w:rPr>
          <w:rFonts w:ascii="Times New Roman" w:hAnsi="Times New Roman" w:eastAsia="宋体"/>
          <w:color w:val="000000"/>
          <w:sz w:val="24"/>
          <w:highlight w:val="none"/>
        </w:rPr>
        <w:t>工况2（基本组合）：设计挡水情况，墙前为</w:t>
      </w:r>
      <w:r>
        <w:rPr>
          <w:rFonts w:hint="eastAsia" w:ascii="Times New Roman" w:hAnsi="Times New Roman" w:eastAsia="宋体"/>
          <w:color w:val="000000"/>
          <w:sz w:val="24"/>
          <w:highlight w:val="none"/>
          <w:lang w:eastAsia="zh-CN"/>
        </w:rPr>
        <w:t>设计</w:t>
      </w:r>
      <w:r>
        <w:rPr>
          <w:rFonts w:ascii="Times New Roman" w:hAnsi="Times New Roman" w:eastAsia="宋体"/>
          <w:color w:val="000000"/>
          <w:sz w:val="24"/>
          <w:highlight w:val="none"/>
        </w:rPr>
        <w:t>水位</w:t>
      </w:r>
      <w:r>
        <w:rPr>
          <w:rFonts w:hint="eastAsia" w:ascii="Times New Roman" w:hAnsi="Times New Roman" w:eastAsia="宋体"/>
          <w:color w:val="000000"/>
          <w:sz w:val="24"/>
          <w:highlight w:val="none"/>
          <w:lang w:val="en-US" w:eastAsia="zh-CN"/>
        </w:rPr>
        <w:t>0.82</w:t>
      </w:r>
      <w:r>
        <w:rPr>
          <w:rFonts w:ascii="Times New Roman" w:hAnsi="Times New Roman" w:eastAsia="宋体"/>
          <w:color w:val="000000"/>
          <w:sz w:val="24"/>
          <w:highlight w:val="none"/>
        </w:rPr>
        <w:t>m，墙后水位为常水位</w:t>
      </w:r>
      <w:r>
        <w:rPr>
          <w:rFonts w:hint="eastAsia" w:ascii="Times New Roman" w:hAnsi="Times New Roman" w:eastAsia="宋体"/>
          <w:color w:val="000000"/>
          <w:sz w:val="24"/>
          <w:highlight w:val="none"/>
          <w:lang w:val="en-US" w:eastAsia="zh-CN"/>
        </w:rPr>
        <w:t>0.</w:t>
      </w:r>
      <w:r>
        <w:rPr>
          <w:rFonts w:hint="eastAsia" w:ascii="Times New Roman" w:hAnsi="Times New Roman"/>
          <w:color w:val="000000"/>
          <w:sz w:val="24"/>
          <w:highlight w:val="none"/>
          <w:lang w:val="en-US" w:eastAsia="zh-CN"/>
        </w:rPr>
        <w:t>8</w:t>
      </w:r>
      <w:r>
        <w:rPr>
          <w:rFonts w:ascii="Times New Roman" w:hAnsi="Times New Roman" w:eastAsia="宋体"/>
          <w:color w:val="000000"/>
          <w:sz w:val="24"/>
          <w:highlight w:val="none"/>
        </w:rPr>
        <w:t>m；</w:t>
      </w:r>
    </w:p>
    <w:p>
      <w:pPr>
        <w:pStyle w:val="178"/>
        <w:spacing w:line="360" w:lineRule="auto"/>
        <w:ind w:firstLine="480" w:firstLineChars="200"/>
        <w:rPr>
          <w:rFonts w:ascii="Times New Roman" w:hAnsi="Times New Roman" w:eastAsia="宋体"/>
          <w:color w:val="000000"/>
          <w:sz w:val="24"/>
          <w:highlight w:val="none"/>
        </w:rPr>
      </w:pPr>
      <w:r>
        <w:rPr>
          <w:rFonts w:ascii="Times New Roman" w:hAnsi="Times New Roman" w:eastAsia="宋体"/>
          <w:color w:val="000000"/>
          <w:sz w:val="24"/>
          <w:highlight w:val="none"/>
        </w:rPr>
        <w:t>工况3（特殊组合）：施工期，墙前、后无水。</w:t>
      </w:r>
    </w:p>
    <w:p>
      <w:pPr>
        <w:pStyle w:val="178"/>
        <w:spacing w:line="360" w:lineRule="auto"/>
        <w:ind w:firstLine="480" w:firstLineChars="200"/>
        <w:rPr>
          <w:rFonts w:ascii="Times New Roman" w:hAnsi="Times New Roman" w:eastAsia="宋体"/>
          <w:color w:val="000000"/>
          <w:sz w:val="24"/>
        </w:rPr>
      </w:pPr>
      <w:r>
        <w:rPr>
          <w:rFonts w:ascii="Times New Roman" w:hAnsi="Times New Roman" w:eastAsia="宋体"/>
          <w:color w:val="000000"/>
          <w:sz w:val="24"/>
        </w:rPr>
        <w:t>挡墙基础为碎石、粗砂层，基底摩擦系数取</w:t>
      </w:r>
      <w:r>
        <w:rPr>
          <w:rFonts w:ascii="Times New Roman" w:hAnsi="Times New Roman" w:eastAsia="宋体"/>
          <w:color w:val="000000"/>
          <w:sz w:val="24"/>
          <w:highlight w:val="none"/>
        </w:rPr>
        <w:t>0.30</w:t>
      </w:r>
      <w:r>
        <w:rPr>
          <w:rFonts w:hint="eastAsia" w:ascii="Times New Roman" w:hAnsi="Times New Roman" w:eastAsia="宋体"/>
          <w:color w:val="000000"/>
          <w:sz w:val="24"/>
          <w:highlight w:val="none"/>
          <w:lang w:eastAsia="zh-CN"/>
        </w:rPr>
        <w:t>，</w:t>
      </w:r>
      <w:r>
        <w:rPr>
          <w:rFonts w:ascii="Times New Roman" w:hAnsi="Times New Roman" w:eastAsia="宋体"/>
          <w:color w:val="000000"/>
          <w:sz w:val="24"/>
        </w:rPr>
        <w:t>具体计算结果详见表5.</w:t>
      </w:r>
      <w:r>
        <w:rPr>
          <w:rFonts w:hint="eastAsia" w:ascii="Times New Roman" w:hAnsi="Times New Roman" w:eastAsia="宋体"/>
          <w:color w:val="000000"/>
          <w:sz w:val="24"/>
          <w:lang w:val="en-US" w:eastAsia="zh-CN"/>
        </w:rPr>
        <w:t>4</w:t>
      </w:r>
      <w:r>
        <w:rPr>
          <w:rFonts w:ascii="Times New Roman" w:hAnsi="Times New Roman" w:eastAsia="宋体"/>
          <w:color w:val="000000"/>
          <w:sz w:val="24"/>
        </w:rPr>
        <w:t>-</w:t>
      </w:r>
      <w:r>
        <w:rPr>
          <w:rFonts w:hint="eastAsia" w:ascii="Times New Roman" w:hAnsi="Times New Roman" w:eastAsia="宋体"/>
          <w:color w:val="000000"/>
          <w:sz w:val="24"/>
          <w:lang w:val="en-US" w:eastAsia="zh-CN"/>
        </w:rPr>
        <w:t>8</w:t>
      </w:r>
      <w:r>
        <w:rPr>
          <w:rFonts w:ascii="Times New Roman" w:hAnsi="Times New Roman" w:eastAsia="宋体"/>
          <w:color w:val="000000"/>
          <w:sz w:val="24"/>
        </w:rPr>
        <w:t>。</w:t>
      </w:r>
    </w:p>
    <w:p>
      <w:pPr>
        <w:pStyle w:val="14"/>
        <w:rPr>
          <w:rFonts w:ascii="Times New Roman" w:hAnsi="Times New Roman" w:eastAsia="宋体" w:cs="Times New Roman"/>
          <w:color w:val="000000"/>
          <w:sz w:val="24"/>
          <w:szCs w:val="24"/>
          <w:highlight w:val="none"/>
        </w:rPr>
      </w:pPr>
      <w:r>
        <w:rPr>
          <w:rFonts w:ascii="Times New Roman" w:hAnsi="Times New Roman" w:eastAsia="宋体" w:cs="Times New Roman"/>
          <w:color w:val="000000"/>
          <w:sz w:val="24"/>
          <w:szCs w:val="24"/>
          <w:highlight w:val="none"/>
        </w:rPr>
        <w:t>表5.</w:t>
      </w:r>
      <w:r>
        <w:rPr>
          <w:rFonts w:hint="eastAsia" w:ascii="Times New Roman" w:hAnsi="Times New Roman" w:eastAsia="宋体" w:cs="Times New Roman"/>
          <w:sz w:val="24"/>
          <w:szCs w:val="24"/>
          <w:highlight w:val="none"/>
          <w:lang w:val="en-US" w:eastAsia="zh-CN"/>
        </w:rPr>
        <w:t>4</w:t>
      </w:r>
      <w:r>
        <w:rPr>
          <w:rFonts w:ascii="Times New Roman" w:hAnsi="Times New Roman" w:eastAsia="宋体" w:cs="Times New Roman"/>
          <w:color w:val="000000"/>
          <w:sz w:val="24"/>
          <w:szCs w:val="24"/>
          <w:highlight w:val="none"/>
        </w:rPr>
        <w:t>-</w:t>
      </w:r>
      <w:r>
        <w:rPr>
          <w:rFonts w:hint="eastAsia" w:ascii="Times New Roman" w:hAnsi="Times New Roman" w:eastAsia="宋体" w:cs="Times New Roman"/>
          <w:sz w:val="24"/>
          <w:szCs w:val="24"/>
          <w:highlight w:val="none"/>
          <w:lang w:val="en-US" w:eastAsia="zh-CN"/>
        </w:rPr>
        <w:t>8</w:t>
      </w:r>
      <w:r>
        <w:rPr>
          <w:rFonts w:hint="eastAsia" w:ascii="Times New Roman" w:hAnsi="Times New Roman" w:eastAsia="宋体" w:cs="Times New Roman"/>
          <w:sz w:val="24"/>
          <w:szCs w:val="24"/>
          <w:highlight w:val="none"/>
          <w:lang w:eastAsia="zh-CN"/>
        </w:rPr>
        <w:t xml:space="preserve"> </w:t>
      </w:r>
      <w:r>
        <w:rPr>
          <w:rFonts w:ascii="Times New Roman" w:hAnsi="Times New Roman" w:eastAsia="宋体" w:cs="Times New Roman"/>
          <w:color w:val="000000"/>
          <w:sz w:val="24"/>
          <w:szCs w:val="24"/>
          <w:highlight w:val="none"/>
        </w:rPr>
        <w:t>挡墙稳定计算成果表</w:t>
      </w:r>
    </w:p>
    <w:tbl>
      <w:tblPr>
        <w:tblStyle w:val="4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6"/>
        <w:gridCol w:w="1387"/>
        <w:gridCol w:w="1609"/>
        <w:gridCol w:w="1610"/>
        <w:gridCol w:w="3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2796" w:type="dxa"/>
            <w:gridSpan w:val="2"/>
            <w:vMerge w:val="restart"/>
            <w:noWrap w:val="0"/>
            <w:vAlign w:val="center"/>
          </w:tcPr>
          <w:p>
            <w:pPr>
              <w:pStyle w:val="405"/>
              <w:jc w:val="center"/>
              <w:rPr>
                <w:rFonts w:eastAsia="宋体"/>
                <w:color w:val="000000"/>
                <w:highlight w:val="none"/>
              </w:rPr>
            </w:pPr>
            <w:r>
              <w:rPr>
                <w:rFonts w:eastAsia="宋体"/>
                <w:color w:val="000000"/>
                <w:highlight w:val="none"/>
              </w:rPr>
              <w:t>工况组合</w:t>
            </w:r>
          </w:p>
        </w:tc>
        <w:tc>
          <w:tcPr>
            <w:tcW w:w="3133" w:type="dxa"/>
            <w:gridSpan w:val="2"/>
            <w:noWrap w:val="0"/>
            <w:vAlign w:val="center"/>
          </w:tcPr>
          <w:p>
            <w:pPr>
              <w:pStyle w:val="405"/>
              <w:jc w:val="center"/>
              <w:rPr>
                <w:rFonts w:eastAsia="宋体"/>
                <w:color w:val="000000"/>
                <w:highlight w:val="none"/>
              </w:rPr>
            </w:pPr>
            <w:r>
              <w:rPr>
                <w:rFonts w:eastAsia="宋体"/>
                <w:color w:val="000000"/>
                <w:highlight w:val="none"/>
              </w:rPr>
              <w:t>基本组合</w:t>
            </w:r>
          </w:p>
        </w:tc>
        <w:tc>
          <w:tcPr>
            <w:tcW w:w="3109" w:type="dxa"/>
            <w:noWrap w:val="0"/>
            <w:vAlign w:val="center"/>
          </w:tcPr>
          <w:p>
            <w:pPr>
              <w:pStyle w:val="405"/>
              <w:jc w:val="center"/>
              <w:rPr>
                <w:rFonts w:eastAsia="宋体"/>
                <w:color w:val="000000"/>
                <w:highlight w:val="none"/>
              </w:rPr>
            </w:pPr>
            <w:r>
              <w:rPr>
                <w:rFonts w:eastAsia="宋体"/>
                <w:color w:val="000000"/>
                <w:highlight w:val="none"/>
              </w:rPr>
              <w:t>特殊组合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2796" w:type="dxa"/>
            <w:gridSpan w:val="2"/>
            <w:vMerge w:val="continue"/>
            <w:noWrap w:val="0"/>
            <w:vAlign w:val="center"/>
          </w:tcPr>
          <w:p>
            <w:pPr>
              <w:pStyle w:val="405"/>
              <w:jc w:val="center"/>
              <w:rPr>
                <w:rFonts w:eastAsia="宋体"/>
                <w:color w:val="000000"/>
                <w:highlight w:val="none"/>
              </w:rPr>
            </w:pPr>
          </w:p>
        </w:tc>
        <w:tc>
          <w:tcPr>
            <w:tcW w:w="1566" w:type="dxa"/>
            <w:noWrap w:val="0"/>
            <w:vAlign w:val="center"/>
          </w:tcPr>
          <w:p>
            <w:pPr>
              <w:pStyle w:val="405"/>
              <w:jc w:val="center"/>
              <w:rPr>
                <w:rFonts w:eastAsia="宋体"/>
                <w:color w:val="000000"/>
                <w:highlight w:val="none"/>
              </w:rPr>
            </w:pPr>
            <w:r>
              <w:rPr>
                <w:rFonts w:eastAsia="宋体"/>
                <w:color w:val="000000"/>
                <w:highlight w:val="none"/>
              </w:rPr>
              <w:t>工况1</w:t>
            </w:r>
          </w:p>
        </w:tc>
        <w:tc>
          <w:tcPr>
            <w:tcW w:w="1567" w:type="dxa"/>
            <w:noWrap w:val="0"/>
            <w:vAlign w:val="center"/>
          </w:tcPr>
          <w:p>
            <w:pPr>
              <w:pStyle w:val="405"/>
              <w:jc w:val="center"/>
              <w:rPr>
                <w:rFonts w:eastAsia="宋体"/>
                <w:color w:val="000000"/>
                <w:highlight w:val="none"/>
              </w:rPr>
            </w:pPr>
            <w:r>
              <w:rPr>
                <w:rFonts w:eastAsia="宋体"/>
                <w:color w:val="000000"/>
                <w:highlight w:val="none"/>
              </w:rPr>
              <w:t>工况2</w:t>
            </w:r>
          </w:p>
        </w:tc>
        <w:tc>
          <w:tcPr>
            <w:tcW w:w="3109" w:type="dxa"/>
            <w:noWrap w:val="0"/>
            <w:vAlign w:val="center"/>
          </w:tcPr>
          <w:p>
            <w:pPr>
              <w:pStyle w:val="405"/>
              <w:jc w:val="center"/>
              <w:rPr>
                <w:rFonts w:eastAsia="宋体"/>
                <w:color w:val="000000"/>
                <w:highlight w:val="none"/>
              </w:rPr>
            </w:pPr>
            <w:r>
              <w:rPr>
                <w:rFonts w:eastAsia="宋体"/>
                <w:color w:val="000000"/>
                <w:highlight w:val="none"/>
              </w:rPr>
              <w:t>工况3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446" w:type="dxa"/>
            <w:vMerge w:val="restart"/>
            <w:noWrap w:val="0"/>
            <w:vAlign w:val="center"/>
          </w:tcPr>
          <w:p>
            <w:pPr>
              <w:pStyle w:val="405"/>
              <w:jc w:val="center"/>
              <w:rPr>
                <w:rFonts w:eastAsia="宋体"/>
                <w:color w:val="000000"/>
                <w:highlight w:val="none"/>
              </w:rPr>
            </w:pPr>
            <w:r>
              <w:rPr>
                <w:rFonts w:eastAsia="宋体"/>
                <w:color w:val="000000"/>
                <w:highlight w:val="none"/>
              </w:rPr>
              <w:t>抗滑稳定</w:t>
            </w:r>
          </w:p>
          <w:p>
            <w:pPr>
              <w:pStyle w:val="405"/>
              <w:jc w:val="center"/>
              <w:rPr>
                <w:rFonts w:eastAsia="宋体"/>
                <w:color w:val="000000"/>
                <w:highlight w:val="none"/>
              </w:rPr>
            </w:pPr>
            <w:r>
              <w:rPr>
                <w:rFonts w:eastAsia="宋体"/>
                <w:color w:val="000000"/>
                <w:highlight w:val="none"/>
              </w:rPr>
              <w:t>安全系数</w:t>
            </w:r>
          </w:p>
        </w:tc>
        <w:tc>
          <w:tcPr>
            <w:tcW w:w="1350" w:type="dxa"/>
            <w:noWrap w:val="0"/>
            <w:vAlign w:val="center"/>
          </w:tcPr>
          <w:p>
            <w:pPr>
              <w:pStyle w:val="405"/>
              <w:jc w:val="center"/>
              <w:rPr>
                <w:rFonts w:eastAsia="宋体"/>
                <w:color w:val="000000"/>
                <w:highlight w:val="none"/>
              </w:rPr>
            </w:pPr>
            <w:r>
              <w:rPr>
                <w:rFonts w:eastAsia="宋体"/>
                <w:color w:val="000000"/>
                <w:highlight w:val="none"/>
              </w:rPr>
              <w:t>Kc</w:t>
            </w:r>
          </w:p>
        </w:tc>
        <w:tc>
          <w:tcPr>
            <w:tcW w:w="1566" w:type="dxa"/>
            <w:noWrap w:val="0"/>
            <w:vAlign w:val="center"/>
          </w:tcPr>
          <w:p>
            <w:pPr>
              <w:pStyle w:val="405"/>
              <w:jc w:val="center"/>
              <w:rPr>
                <w:rFonts w:hint="default" w:eastAsia="宋体"/>
                <w:color w:val="000000"/>
                <w:highlight w:val="none"/>
                <w:lang w:val="en-US" w:eastAsia="zh-CN"/>
              </w:rPr>
            </w:pPr>
            <w:r>
              <w:rPr>
                <w:rFonts w:hint="eastAsia"/>
                <w:color w:val="000000"/>
                <w:highlight w:val="none"/>
                <w:lang w:val="en-US" w:eastAsia="zh-CN"/>
              </w:rPr>
              <w:t>1.31</w:t>
            </w:r>
          </w:p>
        </w:tc>
        <w:tc>
          <w:tcPr>
            <w:tcW w:w="1567" w:type="dxa"/>
            <w:noWrap w:val="0"/>
            <w:vAlign w:val="center"/>
          </w:tcPr>
          <w:p>
            <w:pPr>
              <w:pStyle w:val="405"/>
              <w:jc w:val="center"/>
              <w:rPr>
                <w:rFonts w:eastAsia="宋体"/>
                <w:color w:val="000000"/>
                <w:highlight w:val="none"/>
              </w:rPr>
            </w:pPr>
            <w:r>
              <w:rPr>
                <w:rFonts w:eastAsia="宋体"/>
                <w:color w:val="000000"/>
                <w:highlight w:val="none"/>
              </w:rPr>
              <w:t>＞1.20</w:t>
            </w:r>
          </w:p>
        </w:tc>
        <w:tc>
          <w:tcPr>
            <w:tcW w:w="3109" w:type="dxa"/>
            <w:noWrap w:val="0"/>
            <w:vAlign w:val="center"/>
          </w:tcPr>
          <w:p>
            <w:pPr>
              <w:pStyle w:val="405"/>
              <w:jc w:val="center"/>
              <w:rPr>
                <w:rFonts w:eastAsia="宋体"/>
                <w:color w:val="000000"/>
                <w:highlight w:val="none"/>
              </w:rPr>
            </w:pPr>
            <w:r>
              <w:rPr>
                <w:rFonts w:eastAsia="宋体"/>
                <w:color w:val="000000"/>
                <w:highlight w:val="none"/>
              </w:rPr>
              <w:t>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446" w:type="dxa"/>
            <w:vMerge w:val="continue"/>
            <w:noWrap w:val="0"/>
            <w:vAlign w:val="center"/>
          </w:tcPr>
          <w:p>
            <w:pPr>
              <w:pStyle w:val="405"/>
              <w:jc w:val="center"/>
              <w:rPr>
                <w:rFonts w:eastAsia="宋体"/>
                <w:color w:val="000000"/>
                <w:highlight w:val="none"/>
              </w:rPr>
            </w:pPr>
          </w:p>
        </w:tc>
        <w:tc>
          <w:tcPr>
            <w:tcW w:w="1350" w:type="dxa"/>
            <w:noWrap w:val="0"/>
            <w:vAlign w:val="center"/>
          </w:tcPr>
          <w:p>
            <w:pPr>
              <w:pStyle w:val="405"/>
              <w:jc w:val="center"/>
              <w:rPr>
                <w:rFonts w:eastAsia="宋体"/>
                <w:color w:val="000000"/>
                <w:highlight w:val="none"/>
              </w:rPr>
            </w:pPr>
            <w:r>
              <w:rPr>
                <w:rFonts w:eastAsia="宋体"/>
                <w:color w:val="000000"/>
                <w:highlight w:val="none"/>
              </w:rPr>
              <w:t>〔Kc〕</w:t>
            </w:r>
          </w:p>
        </w:tc>
        <w:tc>
          <w:tcPr>
            <w:tcW w:w="3133" w:type="dxa"/>
            <w:gridSpan w:val="2"/>
            <w:noWrap w:val="0"/>
            <w:vAlign w:val="center"/>
          </w:tcPr>
          <w:p>
            <w:pPr>
              <w:pStyle w:val="405"/>
              <w:jc w:val="center"/>
              <w:rPr>
                <w:rFonts w:eastAsia="宋体"/>
                <w:color w:val="000000"/>
                <w:highlight w:val="none"/>
              </w:rPr>
            </w:pPr>
            <w:r>
              <w:rPr>
                <w:rFonts w:eastAsia="宋体"/>
                <w:color w:val="000000"/>
                <w:highlight w:val="none"/>
              </w:rPr>
              <w:t>1.20</w:t>
            </w:r>
          </w:p>
        </w:tc>
        <w:tc>
          <w:tcPr>
            <w:tcW w:w="3109" w:type="dxa"/>
            <w:noWrap w:val="0"/>
            <w:vAlign w:val="center"/>
          </w:tcPr>
          <w:p>
            <w:pPr>
              <w:pStyle w:val="405"/>
              <w:jc w:val="center"/>
              <w:rPr>
                <w:rFonts w:eastAsia="宋体"/>
                <w:color w:val="000000"/>
                <w:highlight w:val="none"/>
              </w:rPr>
            </w:pPr>
            <w:r>
              <w:rPr>
                <w:rFonts w:eastAsia="宋体"/>
                <w:color w:val="000000"/>
                <w:highlight w:val="none"/>
              </w:rPr>
              <w:t>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446" w:type="dxa"/>
            <w:vMerge w:val="restart"/>
            <w:noWrap w:val="0"/>
            <w:vAlign w:val="center"/>
          </w:tcPr>
          <w:p>
            <w:pPr>
              <w:pStyle w:val="405"/>
              <w:jc w:val="center"/>
              <w:rPr>
                <w:rFonts w:eastAsia="宋体"/>
                <w:color w:val="000000"/>
                <w:highlight w:val="none"/>
              </w:rPr>
            </w:pPr>
            <w:r>
              <w:rPr>
                <w:rFonts w:eastAsia="宋体"/>
                <w:color w:val="000000"/>
                <w:highlight w:val="none"/>
              </w:rPr>
              <w:t>抗倾覆稳定</w:t>
            </w:r>
          </w:p>
          <w:p>
            <w:pPr>
              <w:pStyle w:val="405"/>
              <w:jc w:val="center"/>
              <w:rPr>
                <w:rFonts w:eastAsia="宋体"/>
                <w:color w:val="000000"/>
                <w:highlight w:val="none"/>
              </w:rPr>
            </w:pPr>
            <w:r>
              <w:rPr>
                <w:rFonts w:eastAsia="宋体"/>
                <w:color w:val="000000"/>
                <w:highlight w:val="none"/>
              </w:rPr>
              <w:t>安全系数</w:t>
            </w:r>
          </w:p>
        </w:tc>
        <w:tc>
          <w:tcPr>
            <w:tcW w:w="1350" w:type="dxa"/>
            <w:noWrap w:val="0"/>
            <w:vAlign w:val="center"/>
          </w:tcPr>
          <w:p>
            <w:pPr>
              <w:pStyle w:val="405"/>
              <w:jc w:val="center"/>
              <w:rPr>
                <w:rFonts w:eastAsia="宋体"/>
                <w:color w:val="000000"/>
                <w:highlight w:val="none"/>
              </w:rPr>
            </w:pPr>
            <w:r>
              <w:rPr>
                <w:rFonts w:eastAsia="宋体"/>
                <w:color w:val="000000"/>
                <w:highlight w:val="none"/>
              </w:rPr>
              <w:t>K</w:t>
            </w:r>
            <w:r>
              <w:rPr>
                <w:rFonts w:eastAsia="宋体"/>
                <w:color w:val="000000"/>
                <w:highlight w:val="none"/>
                <w:vertAlign w:val="subscript"/>
              </w:rPr>
              <w:t>0</w:t>
            </w:r>
          </w:p>
        </w:tc>
        <w:tc>
          <w:tcPr>
            <w:tcW w:w="1566" w:type="dxa"/>
            <w:noWrap w:val="0"/>
            <w:vAlign w:val="center"/>
          </w:tcPr>
          <w:p>
            <w:pPr>
              <w:pStyle w:val="405"/>
              <w:jc w:val="center"/>
              <w:rPr>
                <w:rFonts w:hint="default" w:eastAsia="宋体"/>
                <w:color w:val="000000"/>
                <w:highlight w:val="none"/>
                <w:lang w:val="en-US" w:eastAsia="zh-CN"/>
              </w:rPr>
            </w:pPr>
            <w:r>
              <w:rPr>
                <w:rFonts w:hint="eastAsia"/>
                <w:color w:val="000000"/>
                <w:highlight w:val="none"/>
                <w:lang w:val="en-US" w:eastAsia="zh-CN"/>
              </w:rPr>
              <w:t>3.293</w:t>
            </w:r>
          </w:p>
        </w:tc>
        <w:tc>
          <w:tcPr>
            <w:tcW w:w="1567" w:type="dxa"/>
            <w:noWrap w:val="0"/>
            <w:vAlign w:val="center"/>
          </w:tcPr>
          <w:p>
            <w:pPr>
              <w:pStyle w:val="405"/>
              <w:jc w:val="center"/>
              <w:rPr>
                <w:rFonts w:hint="default" w:eastAsia="宋体"/>
                <w:color w:val="000000"/>
                <w:highlight w:val="none"/>
                <w:lang w:val="en-US" w:eastAsia="zh-CN"/>
              </w:rPr>
            </w:pPr>
            <w:r>
              <w:rPr>
                <w:rFonts w:hint="eastAsia"/>
                <w:color w:val="000000"/>
                <w:highlight w:val="none"/>
                <w:lang w:val="en-US" w:eastAsia="zh-CN"/>
              </w:rPr>
              <w:t>1.45</w:t>
            </w:r>
          </w:p>
        </w:tc>
        <w:tc>
          <w:tcPr>
            <w:tcW w:w="3109" w:type="dxa"/>
            <w:noWrap w:val="0"/>
            <w:vAlign w:val="center"/>
          </w:tcPr>
          <w:p>
            <w:pPr>
              <w:pStyle w:val="405"/>
              <w:jc w:val="center"/>
              <w:rPr>
                <w:rFonts w:hint="default" w:eastAsia="宋体"/>
                <w:color w:val="000000"/>
                <w:highlight w:val="none"/>
                <w:lang w:val="en-US" w:eastAsia="zh-CN"/>
              </w:rPr>
            </w:pPr>
            <w:r>
              <w:rPr>
                <w:rFonts w:hint="eastAsia"/>
                <w:color w:val="000000"/>
                <w:highlight w:val="none"/>
                <w:lang w:val="en-US" w:eastAsia="zh-CN"/>
              </w:rPr>
              <w:t>3.315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446" w:type="dxa"/>
            <w:vMerge w:val="continue"/>
            <w:noWrap w:val="0"/>
            <w:vAlign w:val="center"/>
          </w:tcPr>
          <w:p>
            <w:pPr>
              <w:pStyle w:val="405"/>
              <w:jc w:val="center"/>
              <w:rPr>
                <w:rFonts w:eastAsia="宋体"/>
                <w:color w:val="000000"/>
                <w:highlight w:val="none"/>
              </w:rPr>
            </w:pPr>
          </w:p>
        </w:tc>
        <w:tc>
          <w:tcPr>
            <w:tcW w:w="1350" w:type="dxa"/>
            <w:noWrap w:val="0"/>
            <w:vAlign w:val="center"/>
          </w:tcPr>
          <w:p>
            <w:pPr>
              <w:pStyle w:val="405"/>
              <w:jc w:val="center"/>
              <w:rPr>
                <w:rFonts w:eastAsia="宋体"/>
                <w:color w:val="000000"/>
                <w:highlight w:val="none"/>
              </w:rPr>
            </w:pPr>
            <w:r>
              <w:rPr>
                <w:rFonts w:eastAsia="宋体"/>
                <w:color w:val="000000"/>
                <w:highlight w:val="none"/>
              </w:rPr>
              <w:t>〔K</w:t>
            </w:r>
            <w:r>
              <w:rPr>
                <w:rFonts w:eastAsia="宋体"/>
                <w:color w:val="000000"/>
                <w:highlight w:val="none"/>
                <w:vertAlign w:val="subscript"/>
              </w:rPr>
              <w:t>0</w:t>
            </w:r>
            <w:r>
              <w:rPr>
                <w:rFonts w:eastAsia="宋体"/>
                <w:color w:val="000000"/>
                <w:highlight w:val="none"/>
              </w:rPr>
              <w:t>〕</w:t>
            </w:r>
          </w:p>
        </w:tc>
        <w:tc>
          <w:tcPr>
            <w:tcW w:w="3133" w:type="dxa"/>
            <w:gridSpan w:val="2"/>
            <w:noWrap w:val="0"/>
            <w:vAlign w:val="center"/>
          </w:tcPr>
          <w:p>
            <w:pPr>
              <w:pStyle w:val="405"/>
              <w:jc w:val="center"/>
              <w:rPr>
                <w:rFonts w:hint="eastAsia" w:eastAsia="宋体"/>
                <w:color w:val="000000"/>
                <w:highlight w:val="none"/>
                <w:lang w:eastAsia="zh-CN"/>
              </w:rPr>
            </w:pPr>
            <w:r>
              <w:rPr>
                <w:rFonts w:eastAsia="宋体"/>
                <w:color w:val="000000"/>
                <w:highlight w:val="none"/>
              </w:rPr>
              <w:t>1.4</w:t>
            </w:r>
            <w:r>
              <w:rPr>
                <w:rFonts w:hint="eastAsia"/>
                <w:color w:val="000000"/>
                <w:highlight w:val="none"/>
                <w:lang w:val="en-US" w:eastAsia="zh-CN"/>
              </w:rPr>
              <w:t>5</w:t>
            </w:r>
          </w:p>
        </w:tc>
        <w:tc>
          <w:tcPr>
            <w:tcW w:w="3109" w:type="dxa"/>
            <w:noWrap w:val="0"/>
            <w:vAlign w:val="center"/>
          </w:tcPr>
          <w:p>
            <w:pPr>
              <w:pStyle w:val="405"/>
              <w:jc w:val="center"/>
              <w:rPr>
                <w:rFonts w:eastAsia="宋体"/>
                <w:color w:val="000000"/>
                <w:highlight w:val="none"/>
              </w:rPr>
            </w:pPr>
            <w:r>
              <w:rPr>
                <w:rFonts w:eastAsia="宋体"/>
                <w:color w:val="000000"/>
                <w:highlight w:val="none"/>
              </w:rPr>
              <w:t>1.30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446" w:type="dxa"/>
            <w:vMerge w:val="restart"/>
            <w:noWrap w:val="0"/>
            <w:vAlign w:val="center"/>
          </w:tcPr>
          <w:p>
            <w:pPr>
              <w:pStyle w:val="405"/>
              <w:jc w:val="center"/>
              <w:rPr>
                <w:rFonts w:eastAsia="宋体"/>
                <w:color w:val="000000"/>
                <w:highlight w:val="none"/>
              </w:rPr>
            </w:pPr>
            <w:r>
              <w:rPr>
                <w:rFonts w:eastAsia="宋体"/>
                <w:color w:val="000000"/>
                <w:highlight w:val="none"/>
              </w:rPr>
              <w:t>基底应力</w:t>
            </w:r>
          </w:p>
          <w:p>
            <w:pPr>
              <w:pStyle w:val="405"/>
              <w:jc w:val="center"/>
              <w:rPr>
                <w:rFonts w:eastAsia="宋体"/>
                <w:color w:val="000000"/>
                <w:highlight w:val="none"/>
              </w:rPr>
            </w:pPr>
            <w:r>
              <w:rPr>
                <w:rFonts w:eastAsia="宋体"/>
                <w:color w:val="000000"/>
                <w:highlight w:val="none"/>
              </w:rPr>
              <w:t>（kPa）</w:t>
            </w:r>
          </w:p>
        </w:tc>
        <w:tc>
          <w:tcPr>
            <w:tcW w:w="1350" w:type="dxa"/>
            <w:noWrap w:val="0"/>
            <w:vAlign w:val="center"/>
          </w:tcPr>
          <w:p>
            <w:pPr>
              <w:pStyle w:val="405"/>
              <w:jc w:val="center"/>
              <w:rPr>
                <w:rFonts w:eastAsia="宋体"/>
                <w:color w:val="000000"/>
                <w:highlight w:val="none"/>
              </w:rPr>
            </w:pPr>
            <w:r>
              <w:rPr>
                <w:rFonts w:eastAsia="宋体"/>
                <w:color w:val="000000"/>
                <w:highlight w:val="none"/>
              </w:rPr>
              <w:t>σ</w:t>
            </w:r>
            <w:r>
              <w:rPr>
                <w:rFonts w:eastAsia="宋体"/>
                <w:color w:val="000000"/>
                <w:highlight w:val="none"/>
                <w:vertAlign w:val="subscript"/>
              </w:rPr>
              <w:t>max</w:t>
            </w:r>
          </w:p>
        </w:tc>
        <w:tc>
          <w:tcPr>
            <w:tcW w:w="1566" w:type="dxa"/>
            <w:noWrap w:val="0"/>
            <w:vAlign w:val="center"/>
          </w:tcPr>
          <w:p>
            <w:pPr>
              <w:pStyle w:val="405"/>
              <w:jc w:val="center"/>
              <w:rPr>
                <w:rFonts w:hint="default" w:eastAsia="宋体"/>
                <w:color w:val="000000"/>
                <w:highlight w:val="none"/>
                <w:lang w:val="en-US" w:eastAsia="zh-CN"/>
              </w:rPr>
            </w:pPr>
            <w:r>
              <w:rPr>
                <w:rFonts w:hint="eastAsia"/>
                <w:color w:val="000000"/>
                <w:highlight w:val="none"/>
                <w:lang w:val="en-US" w:eastAsia="zh-CN"/>
              </w:rPr>
              <w:t>31.74</w:t>
            </w:r>
          </w:p>
        </w:tc>
        <w:tc>
          <w:tcPr>
            <w:tcW w:w="1567" w:type="dxa"/>
            <w:noWrap w:val="0"/>
            <w:vAlign w:val="center"/>
          </w:tcPr>
          <w:p>
            <w:pPr>
              <w:pStyle w:val="405"/>
              <w:jc w:val="center"/>
              <w:rPr>
                <w:rFonts w:hint="default" w:eastAsia="宋体"/>
                <w:color w:val="000000"/>
                <w:highlight w:val="none"/>
                <w:lang w:val="en-US" w:eastAsia="zh-CN"/>
              </w:rPr>
            </w:pPr>
            <w:r>
              <w:rPr>
                <w:rFonts w:hint="eastAsia"/>
                <w:color w:val="000000"/>
                <w:highlight w:val="none"/>
                <w:lang w:val="en-US" w:eastAsia="zh-CN"/>
              </w:rPr>
              <w:t>12.83</w:t>
            </w:r>
          </w:p>
        </w:tc>
        <w:tc>
          <w:tcPr>
            <w:tcW w:w="3109" w:type="dxa"/>
            <w:noWrap w:val="0"/>
            <w:vAlign w:val="center"/>
          </w:tcPr>
          <w:p>
            <w:pPr>
              <w:pStyle w:val="405"/>
              <w:jc w:val="center"/>
              <w:rPr>
                <w:rFonts w:eastAsia="宋体"/>
                <w:color w:val="000000"/>
                <w:highlight w:val="none"/>
              </w:rPr>
            </w:pPr>
            <w:r>
              <w:rPr>
                <w:rFonts w:hint="eastAsia"/>
                <w:color w:val="000000"/>
                <w:highlight w:val="none"/>
                <w:lang w:val="en-US" w:eastAsia="zh-CN"/>
              </w:rPr>
              <w:t>2</w:t>
            </w:r>
            <w:r>
              <w:rPr>
                <w:rFonts w:eastAsia="宋体"/>
                <w:color w:val="000000"/>
                <w:highlight w:val="none"/>
              </w:rPr>
              <w:t>2.98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446" w:type="dxa"/>
            <w:vMerge w:val="continue"/>
            <w:noWrap w:val="0"/>
            <w:vAlign w:val="center"/>
          </w:tcPr>
          <w:p>
            <w:pPr>
              <w:pStyle w:val="405"/>
              <w:jc w:val="center"/>
              <w:rPr>
                <w:rFonts w:eastAsia="宋体"/>
                <w:color w:val="000000"/>
                <w:highlight w:val="none"/>
              </w:rPr>
            </w:pPr>
          </w:p>
        </w:tc>
        <w:tc>
          <w:tcPr>
            <w:tcW w:w="1350" w:type="dxa"/>
            <w:noWrap w:val="0"/>
            <w:vAlign w:val="center"/>
          </w:tcPr>
          <w:p>
            <w:pPr>
              <w:pStyle w:val="405"/>
              <w:jc w:val="center"/>
              <w:rPr>
                <w:rFonts w:eastAsia="宋体"/>
                <w:color w:val="000000"/>
                <w:highlight w:val="none"/>
              </w:rPr>
            </w:pPr>
            <w:r>
              <w:rPr>
                <w:rFonts w:eastAsia="宋体"/>
                <w:color w:val="000000"/>
                <w:highlight w:val="none"/>
              </w:rPr>
              <w:t>σ</w:t>
            </w:r>
            <w:r>
              <w:rPr>
                <w:rFonts w:eastAsia="宋体"/>
                <w:color w:val="000000"/>
                <w:highlight w:val="none"/>
                <w:vertAlign w:val="subscript"/>
              </w:rPr>
              <w:t>min</w:t>
            </w:r>
          </w:p>
        </w:tc>
        <w:tc>
          <w:tcPr>
            <w:tcW w:w="1566" w:type="dxa"/>
            <w:noWrap w:val="0"/>
            <w:vAlign w:val="center"/>
          </w:tcPr>
          <w:p>
            <w:pPr>
              <w:pStyle w:val="405"/>
              <w:jc w:val="center"/>
              <w:rPr>
                <w:rFonts w:eastAsia="宋体"/>
                <w:color w:val="000000"/>
                <w:highlight w:val="none"/>
              </w:rPr>
            </w:pPr>
            <w:r>
              <w:rPr>
                <w:rFonts w:eastAsia="宋体"/>
                <w:color w:val="000000"/>
                <w:highlight w:val="none"/>
              </w:rPr>
              <w:t>31.29</w:t>
            </w:r>
          </w:p>
        </w:tc>
        <w:tc>
          <w:tcPr>
            <w:tcW w:w="1567" w:type="dxa"/>
            <w:noWrap w:val="0"/>
            <w:vAlign w:val="center"/>
          </w:tcPr>
          <w:p>
            <w:pPr>
              <w:pStyle w:val="405"/>
              <w:jc w:val="center"/>
              <w:rPr>
                <w:rFonts w:eastAsia="宋体"/>
                <w:color w:val="000000"/>
                <w:highlight w:val="none"/>
              </w:rPr>
            </w:pPr>
            <w:r>
              <w:rPr>
                <w:rFonts w:eastAsia="宋体"/>
                <w:color w:val="000000"/>
                <w:highlight w:val="none"/>
              </w:rPr>
              <w:t>28.22</w:t>
            </w:r>
          </w:p>
        </w:tc>
        <w:tc>
          <w:tcPr>
            <w:tcW w:w="3109" w:type="dxa"/>
            <w:noWrap w:val="0"/>
            <w:vAlign w:val="center"/>
          </w:tcPr>
          <w:p>
            <w:pPr>
              <w:pStyle w:val="405"/>
              <w:jc w:val="center"/>
              <w:rPr>
                <w:rFonts w:eastAsia="宋体"/>
                <w:color w:val="000000"/>
                <w:highlight w:val="none"/>
              </w:rPr>
            </w:pPr>
            <w:r>
              <w:rPr>
                <w:rFonts w:eastAsia="宋体"/>
                <w:color w:val="000000"/>
                <w:highlight w:val="none"/>
              </w:rPr>
              <w:t>3</w:t>
            </w:r>
            <w:r>
              <w:rPr>
                <w:rFonts w:hint="eastAsia"/>
                <w:color w:val="000000"/>
                <w:highlight w:val="none"/>
                <w:lang w:val="en-US" w:eastAsia="zh-CN"/>
              </w:rPr>
              <w:t>1</w:t>
            </w:r>
            <w:r>
              <w:rPr>
                <w:rFonts w:eastAsia="宋体"/>
                <w:color w:val="000000"/>
                <w:highlight w:val="none"/>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446" w:type="dxa"/>
            <w:vMerge w:val="continue"/>
            <w:noWrap w:val="0"/>
            <w:vAlign w:val="center"/>
          </w:tcPr>
          <w:p>
            <w:pPr>
              <w:pStyle w:val="405"/>
              <w:jc w:val="center"/>
              <w:rPr>
                <w:rFonts w:eastAsia="宋体"/>
                <w:color w:val="000000"/>
                <w:highlight w:val="none"/>
              </w:rPr>
            </w:pPr>
          </w:p>
        </w:tc>
        <w:tc>
          <w:tcPr>
            <w:tcW w:w="1350" w:type="dxa"/>
            <w:noWrap w:val="0"/>
            <w:vAlign w:val="center"/>
          </w:tcPr>
          <w:p>
            <w:pPr>
              <w:pStyle w:val="405"/>
              <w:jc w:val="center"/>
              <w:rPr>
                <w:rFonts w:eastAsia="宋体"/>
                <w:color w:val="000000"/>
                <w:highlight w:val="none"/>
              </w:rPr>
            </w:pPr>
            <w:r>
              <w:rPr>
                <w:rFonts w:eastAsia="宋体"/>
                <w:color w:val="000000"/>
                <w:highlight w:val="none"/>
              </w:rPr>
              <w:t>均值σ</w:t>
            </w:r>
          </w:p>
        </w:tc>
        <w:tc>
          <w:tcPr>
            <w:tcW w:w="1566" w:type="dxa"/>
            <w:noWrap w:val="0"/>
            <w:vAlign w:val="center"/>
          </w:tcPr>
          <w:p>
            <w:pPr>
              <w:pStyle w:val="405"/>
              <w:jc w:val="center"/>
              <w:rPr>
                <w:rFonts w:eastAsia="宋体"/>
                <w:color w:val="000000"/>
                <w:highlight w:val="none"/>
              </w:rPr>
            </w:pPr>
            <w:r>
              <w:rPr>
                <w:rFonts w:hint="eastAsia"/>
                <w:color w:val="000000"/>
                <w:highlight w:val="none"/>
                <w:lang w:val="en-US" w:eastAsia="zh-CN"/>
              </w:rPr>
              <w:t>31.513</w:t>
            </w:r>
          </w:p>
        </w:tc>
        <w:tc>
          <w:tcPr>
            <w:tcW w:w="1567" w:type="dxa"/>
            <w:noWrap w:val="0"/>
            <w:vAlign w:val="center"/>
          </w:tcPr>
          <w:p>
            <w:pPr>
              <w:pStyle w:val="405"/>
              <w:jc w:val="center"/>
              <w:rPr>
                <w:rFonts w:eastAsia="宋体"/>
                <w:color w:val="000000"/>
                <w:highlight w:val="none"/>
              </w:rPr>
            </w:pPr>
            <w:r>
              <w:rPr>
                <w:rFonts w:hint="eastAsia"/>
                <w:color w:val="000000"/>
                <w:highlight w:val="none"/>
                <w:lang w:val="en-US" w:eastAsia="zh-CN"/>
              </w:rPr>
              <w:t>20.524</w:t>
            </w:r>
          </w:p>
        </w:tc>
        <w:tc>
          <w:tcPr>
            <w:tcW w:w="3109" w:type="dxa"/>
            <w:noWrap w:val="0"/>
            <w:vAlign w:val="center"/>
          </w:tcPr>
          <w:p>
            <w:pPr>
              <w:pStyle w:val="405"/>
              <w:jc w:val="center"/>
              <w:rPr>
                <w:rFonts w:eastAsia="宋体"/>
                <w:color w:val="000000"/>
                <w:highlight w:val="none"/>
              </w:rPr>
            </w:pPr>
            <w:r>
              <w:rPr>
                <w:rFonts w:hint="eastAsia"/>
                <w:color w:val="000000"/>
                <w:highlight w:val="none"/>
                <w:lang w:val="en-US" w:eastAsia="zh-CN"/>
              </w:rPr>
              <w:t>2</w:t>
            </w:r>
            <w:r>
              <w:rPr>
                <w:rFonts w:eastAsia="宋体"/>
                <w:color w:val="000000"/>
                <w:highlight w:val="none"/>
              </w:rPr>
              <w:t>2.94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796" w:type="dxa"/>
            <w:gridSpan w:val="2"/>
            <w:noWrap w:val="0"/>
            <w:vAlign w:val="center"/>
          </w:tcPr>
          <w:p>
            <w:pPr>
              <w:pStyle w:val="405"/>
              <w:jc w:val="center"/>
              <w:rPr>
                <w:rFonts w:eastAsia="宋体"/>
                <w:color w:val="000000"/>
                <w:highlight w:val="none"/>
              </w:rPr>
            </w:pPr>
            <w:r>
              <w:rPr>
                <w:color w:val="000000"/>
                <w:highlight w:val="none"/>
              </w:rPr>
              <w:t>不均匀系数σ</w:t>
            </w:r>
            <w:r>
              <w:rPr>
                <w:color w:val="000000"/>
                <w:highlight w:val="none"/>
                <w:vertAlign w:val="subscript"/>
              </w:rPr>
              <w:t>max</w:t>
            </w:r>
            <w:r>
              <w:rPr>
                <w:color w:val="000000"/>
                <w:highlight w:val="none"/>
              </w:rPr>
              <w:t>/σ</w:t>
            </w:r>
            <w:r>
              <w:rPr>
                <w:color w:val="000000"/>
                <w:highlight w:val="none"/>
                <w:vertAlign w:val="subscript"/>
              </w:rPr>
              <w:t>min</w:t>
            </w:r>
          </w:p>
        </w:tc>
        <w:tc>
          <w:tcPr>
            <w:tcW w:w="1566" w:type="dxa"/>
            <w:noWrap w:val="0"/>
            <w:vAlign w:val="center"/>
          </w:tcPr>
          <w:p>
            <w:pPr>
              <w:pStyle w:val="405"/>
              <w:jc w:val="center"/>
              <w:rPr>
                <w:rFonts w:eastAsia="宋体"/>
                <w:color w:val="000000"/>
                <w:highlight w:val="none"/>
              </w:rPr>
            </w:pPr>
            <w:r>
              <w:rPr>
                <w:rFonts w:eastAsia="宋体"/>
                <w:color w:val="000000"/>
                <w:highlight w:val="none"/>
              </w:rPr>
              <w:t>1.09</w:t>
            </w:r>
          </w:p>
        </w:tc>
        <w:tc>
          <w:tcPr>
            <w:tcW w:w="1567" w:type="dxa"/>
            <w:noWrap w:val="0"/>
            <w:vAlign w:val="center"/>
          </w:tcPr>
          <w:p>
            <w:pPr>
              <w:pStyle w:val="405"/>
              <w:jc w:val="center"/>
              <w:rPr>
                <w:rFonts w:eastAsia="宋体"/>
                <w:color w:val="000000"/>
                <w:highlight w:val="none"/>
              </w:rPr>
            </w:pPr>
            <w:r>
              <w:rPr>
                <w:rFonts w:eastAsia="宋体"/>
                <w:color w:val="000000"/>
                <w:highlight w:val="none"/>
              </w:rPr>
              <w:t>1.47</w:t>
            </w:r>
          </w:p>
        </w:tc>
        <w:tc>
          <w:tcPr>
            <w:tcW w:w="3109" w:type="dxa"/>
            <w:noWrap w:val="0"/>
            <w:vAlign w:val="center"/>
          </w:tcPr>
          <w:p>
            <w:pPr>
              <w:pStyle w:val="405"/>
              <w:jc w:val="center"/>
              <w:rPr>
                <w:rFonts w:eastAsia="宋体"/>
                <w:color w:val="000000"/>
                <w:highlight w:val="none"/>
              </w:rPr>
            </w:pPr>
            <w:r>
              <w:rPr>
                <w:rFonts w:eastAsia="宋体"/>
                <w:color w:val="000000"/>
                <w:highlight w:val="none"/>
              </w:rPr>
              <w:t>1.61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796" w:type="dxa"/>
            <w:gridSpan w:val="2"/>
            <w:noWrap w:val="0"/>
            <w:vAlign w:val="center"/>
          </w:tcPr>
          <w:p>
            <w:pPr>
              <w:pStyle w:val="405"/>
              <w:jc w:val="center"/>
              <w:rPr>
                <w:rFonts w:eastAsia="宋体"/>
                <w:color w:val="000000"/>
                <w:highlight w:val="none"/>
              </w:rPr>
            </w:pPr>
            <w:r>
              <w:rPr>
                <w:color w:val="000000"/>
                <w:highlight w:val="none"/>
              </w:rPr>
              <w:t>允许不均匀系数〔σ</w:t>
            </w:r>
            <w:r>
              <w:rPr>
                <w:color w:val="000000"/>
                <w:highlight w:val="none"/>
                <w:vertAlign w:val="subscript"/>
              </w:rPr>
              <w:t>max</w:t>
            </w:r>
            <w:r>
              <w:rPr>
                <w:color w:val="000000"/>
                <w:highlight w:val="none"/>
              </w:rPr>
              <w:t>/σ</w:t>
            </w:r>
            <w:r>
              <w:rPr>
                <w:color w:val="000000"/>
                <w:highlight w:val="none"/>
                <w:vertAlign w:val="subscript"/>
              </w:rPr>
              <w:t>min</w:t>
            </w:r>
            <w:r>
              <w:rPr>
                <w:color w:val="000000"/>
                <w:highlight w:val="none"/>
              </w:rPr>
              <w:t>〕</w:t>
            </w:r>
          </w:p>
        </w:tc>
        <w:tc>
          <w:tcPr>
            <w:tcW w:w="1566" w:type="dxa"/>
            <w:noWrap w:val="0"/>
            <w:vAlign w:val="center"/>
          </w:tcPr>
          <w:p>
            <w:pPr>
              <w:pStyle w:val="405"/>
              <w:jc w:val="center"/>
              <w:rPr>
                <w:rFonts w:eastAsia="宋体"/>
                <w:color w:val="000000"/>
                <w:highlight w:val="none"/>
              </w:rPr>
            </w:pPr>
            <w:r>
              <w:rPr>
                <w:rFonts w:eastAsia="宋体"/>
                <w:color w:val="000000"/>
                <w:highlight w:val="none"/>
              </w:rPr>
              <w:t>2.0</w:t>
            </w:r>
          </w:p>
        </w:tc>
        <w:tc>
          <w:tcPr>
            <w:tcW w:w="1567" w:type="dxa"/>
            <w:noWrap w:val="0"/>
            <w:vAlign w:val="center"/>
          </w:tcPr>
          <w:p>
            <w:pPr>
              <w:pStyle w:val="405"/>
              <w:jc w:val="center"/>
              <w:rPr>
                <w:rFonts w:eastAsia="宋体"/>
                <w:color w:val="000000"/>
                <w:highlight w:val="none"/>
              </w:rPr>
            </w:pPr>
            <w:r>
              <w:rPr>
                <w:rFonts w:eastAsia="宋体"/>
                <w:color w:val="000000"/>
                <w:highlight w:val="none"/>
              </w:rPr>
              <w:t>2.0</w:t>
            </w:r>
          </w:p>
        </w:tc>
        <w:tc>
          <w:tcPr>
            <w:tcW w:w="3109" w:type="dxa"/>
            <w:noWrap w:val="0"/>
            <w:vAlign w:val="center"/>
          </w:tcPr>
          <w:p>
            <w:pPr>
              <w:pStyle w:val="405"/>
              <w:jc w:val="center"/>
              <w:rPr>
                <w:rFonts w:eastAsia="宋体"/>
                <w:color w:val="000000"/>
                <w:highlight w:val="none"/>
              </w:rPr>
            </w:pPr>
            <w:r>
              <w:rPr>
                <w:rFonts w:eastAsia="宋体"/>
                <w:color w:val="000000"/>
                <w:highlight w:val="none"/>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796" w:type="dxa"/>
            <w:gridSpan w:val="2"/>
            <w:noWrap w:val="0"/>
            <w:vAlign w:val="center"/>
          </w:tcPr>
          <w:p>
            <w:pPr>
              <w:pStyle w:val="405"/>
              <w:jc w:val="center"/>
              <w:rPr>
                <w:rFonts w:eastAsia="宋体"/>
                <w:color w:val="000000"/>
                <w:highlight w:val="none"/>
              </w:rPr>
            </w:pPr>
            <w:r>
              <w:rPr>
                <w:rFonts w:eastAsia="宋体"/>
                <w:color w:val="000000"/>
                <w:highlight w:val="none"/>
              </w:rPr>
              <w:t>基底应力允许值〔σ〕（kPa）</w:t>
            </w:r>
          </w:p>
        </w:tc>
        <w:tc>
          <w:tcPr>
            <w:tcW w:w="6242" w:type="dxa"/>
            <w:gridSpan w:val="3"/>
            <w:noWrap w:val="0"/>
            <w:vAlign w:val="center"/>
          </w:tcPr>
          <w:p>
            <w:pPr>
              <w:pStyle w:val="405"/>
              <w:jc w:val="center"/>
              <w:rPr>
                <w:rFonts w:hint="default" w:eastAsia="宋体"/>
                <w:color w:val="000000"/>
                <w:highlight w:val="none"/>
                <w:lang w:val="en-US" w:eastAsia="zh-CN"/>
              </w:rPr>
            </w:pPr>
            <w:r>
              <w:rPr>
                <w:rFonts w:hint="eastAsia"/>
                <w:color w:val="000000"/>
                <w:highlight w:val="none"/>
                <w:lang w:val="en-US" w:eastAsia="zh-CN"/>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796" w:type="dxa"/>
            <w:gridSpan w:val="2"/>
            <w:noWrap w:val="0"/>
            <w:vAlign w:val="center"/>
          </w:tcPr>
          <w:p>
            <w:pPr>
              <w:pStyle w:val="405"/>
              <w:jc w:val="center"/>
              <w:rPr>
                <w:rFonts w:hint="eastAsia" w:eastAsia="宋体"/>
                <w:color w:val="000000"/>
                <w:highlight w:val="none"/>
                <w:lang w:eastAsia="zh-CN"/>
              </w:rPr>
            </w:pPr>
            <w:r>
              <w:rPr>
                <w:rFonts w:eastAsia="宋体"/>
                <w:color w:val="000000"/>
                <w:highlight w:val="none"/>
              </w:rPr>
              <w:t>1.2〔σ〕</w:t>
            </w:r>
          </w:p>
          <w:p>
            <w:pPr>
              <w:pStyle w:val="405"/>
              <w:jc w:val="center"/>
              <w:rPr>
                <w:rFonts w:eastAsia="宋体"/>
                <w:color w:val="000000"/>
                <w:highlight w:val="none"/>
              </w:rPr>
            </w:pPr>
            <w:r>
              <w:rPr>
                <w:rFonts w:eastAsia="宋体"/>
                <w:color w:val="000000"/>
                <w:highlight w:val="none"/>
              </w:rPr>
              <w:t>（kPa）</w:t>
            </w:r>
          </w:p>
        </w:tc>
        <w:tc>
          <w:tcPr>
            <w:tcW w:w="6242" w:type="dxa"/>
            <w:gridSpan w:val="3"/>
            <w:noWrap w:val="0"/>
            <w:vAlign w:val="center"/>
          </w:tcPr>
          <w:p>
            <w:pPr>
              <w:pStyle w:val="405"/>
              <w:jc w:val="center"/>
              <w:rPr>
                <w:rFonts w:hint="default" w:eastAsia="宋体"/>
                <w:color w:val="000000"/>
                <w:highlight w:val="none"/>
                <w:lang w:val="en-US" w:eastAsia="zh-CN"/>
              </w:rPr>
            </w:pPr>
            <w:r>
              <w:rPr>
                <w:rFonts w:hint="eastAsia"/>
                <w:color w:val="000000"/>
                <w:highlight w:val="none"/>
                <w:lang w:val="en-US" w:eastAsia="zh-CN"/>
              </w:rPr>
              <w:t>90</w:t>
            </w:r>
          </w:p>
        </w:tc>
      </w:tr>
    </w:tbl>
    <w:p>
      <w:pPr>
        <w:widowControl/>
        <w:ind w:firstLine="480"/>
        <w:rPr>
          <w:rFonts w:hint="eastAsia" w:ascii="Times New Roman" w:hAnsi="Times New Roman" w:eastAsia="宋体"/>
          <w:color w:val="000000"/>
          <w:sz w:val="24"/>
          <w:lang w:eastAsia="zh-CN"/>
        </w:rPr>
      </w:pPr>
      <w:r>
        <w:rPr>
          <w:rFonts w:hint="eastAsia" w:ascii="Times New Roman" w:hAnsi="Times New Roman" w:eastAsia="宋体" w:cs="Times New Roman"/>
          <w:kern w:val="2"/>
          <w:sz w:val="24"/>
          <w:szCs w:val="24"/>
          <w:highlight w:val="none"/>
          <w:lang w:val="en-US" w:eastAsia="zh-CN" w:bidi="ar"/>
        </w:rPr>
        <w:t>本工程</w:t>
      </w:r>
      <w:r>
        <w:rPr>
          <w:rFonts w:hint="default" w:ascii="Times New Roman" w:hAnsi="Times New Roman" w:eastAsia="宋体" w:cs="Times New Roman"/>
          <w:kern w:val="2"/>
          <w:sz w:val="24"/>
          <w:szCs w:val="24"/>
          <w:highlight w:val="none"/>
          <w:lang w:val="en-US" w:eastAsia="zh-CN" w:bidi="ar"/>
        </w:rPr>
        <w:t>挡墙基础全部置于</w:t>
      </w:r>
      <w:r>
        <w:rPr>
          <w:rFonts w:hint="eastAsia" w:cs="Times New Roman"/>
          <w:kern w:val="2"/>
          <w:sz w:val="24"/>
          <w:szCs w:val="24"/>
          <w:highlight w:val="none"/>
          <w:lang w:val="en-US" w:eastAsia="zh-CN" w:bidi="ar"/>
        </w:rPr>
        <w:t>中粗砂</w:t>
      </w:r>
      <w:r>
        <w:rPr>
          <w:rFonts w:hint="default" w:ascii="Times New Roman" w:hAnsi="Times New Roman" w:eastAsia="宋体" w:cs="Times New Roman"/>
          <w:kern w:val="2"/>
          <w:sz w:val="24"/>
          <w:szCs w:val="24"/>
          <w:highlight w:val="none"/>
          <w:lang w:val="en-US" w:eastAsia="zh-CN" w:bidi="ar"/>
        </w:rPr>
        <w:t>层，基底应力计算成果见表5.4-</w:t>
      </w:r>
      <w:r>
        <w:rPr>
          <w:rFonts w:hint="eastAsia" w:ascii="Times New Roman" w:hAnsi="Times New Roman" w:eastAsia="宋体" w:cs="Times New Roman"/>
          <w:kern w:val="2"/>
          <w:sz w:val="24"/>
          <w:szCs w:val="24"/>
          <w:highlight w:val="none"/>
          <w:lang w:val="en-US" w:eastAsia="zh-CN" w:bidi="ar"/>
        </w:rPr>
        <w:t>8</w:t>
      </w:r>
      <w:r>
        <w:rPr>
          <w:rFonts w:hint="default" w:ascii="Times New Roman" w:hAnsi="Times New Roman" w:eastAsia="宋体" w:cs="Times New Roman"/>
          <w:kern w:val="2"/>
          <w:sz w:val="24"/>
          <w:szCs w:val="24"/>
          <w:highlight w:val="none"/>
          <w:lang w:val="en-US" w:eastAsia="zh-CN" w:bidi="ar"/>
        </w:rPr>
        <w:t>。从计算可看出，在各运行工况下，基底均不出现拉应力，其最大压应力为</w:t>
      </w:r>
      <w:r>
        <w:rPr>
          <w:rFonts w:hint="eastAsia" w:cs="Times New Roman"/>
          <w:kern w:val="2"/>
          <w:sz w:val="24"/>
          <w:szCs w:val="24"/>
          <w:highlight w:val="none"/>
          <w:lang w:val="en-US" w:eastAsia="zh-CN" w:bidi="ar"/>
        </w:rPr>
        <w:t>90</w:t>
      </w:r>
      <w:r>
        <w:rPr>
          <w:rFonts w:hint="default" w:ascii="Times New Roman" w:hAnsi="Times New Roman" w:eastAsia="宋体" w:cs="Times New Roman"/>
          <w:kern w:val="2"/>
          <w:sz w:val="24"/>
          <w:szCs w:val="24"/>
          <w:highlight w:val="none"/>
          <w:lang w:val="en-US" w:eastAsia="zh-CN" w:bidi="ar"/>
        </w:rPr>
        <w:t>kPa，其它均小于该值。地基允许承载力为</w:t>
      </w:r>
      <w:r>
        <w:rPr>
          <w:rFonts w:hint="eastAsia" w:cs="Times New Roman"/>
          <w:kern w:val="2"/>
          <w:sz w:val="24"/>
          <w:szCs w:val="24"/>
          <w:highlight w:val="none"/>
          <w:lang w:val="en-US" w:eastAsia="zh-CN" w:bidi="ar"/>
        </w:rPr>
        <w:t>75</w:t>
      </w:r>
      <w:r>
        <w:rPr>
          <w:rFonts w:hint="default" w:ascii="Times New Roman" w:hAnsi="Times New Roman" w:eastAsia="宋体" w:cs="Times New Roman"/>
          <w:kern w:val="2"/>
          <w:sz w:val="24"/>
          <w:szCs w:val="24"/>
          <w:highlight w:val="none"/>
          <w:lang w:val="en-US" w:eastAsia="zh-CN" w:bidi="ar"/>
        </w:rPr>
        <w:t xml:space="preserve">kPa，可见，各工况地基承载力均满足规范要求。 </w:t>
      </w:r>
    </w:p>
    <w:p>
      <w:pPr>
        <w:pStyle w:val="178"/>
        <w:spacing w:line="360" w:lineRule="auto"/>
        <w:ind w:firstLine="480" w:firstLineChars="200"/>
        <w:rPr>
          <w:rFonts w:ascii="Times New Roman" w:hAnsi="Times New Roman" w:eastAsia="宋体"/>
          <w:color w:val="000000"/>
          <w:sz w:val="24"/>
        </w:rPr>
      </w:pPr>
      <w:r>
        <w:rPr>
          <w:rFonts w:hint="eastAsia" w:ascii="Times New Roman" w:hAnsi="Times New Roman" w:eastAsia="宋体"/>
          <w:color w:val="000000"/>
          <w:sz w:val="24"/>
          <w:lang w:eastAsia="zh-CN"/>
        </w:rPr>
        <w:t>综上，本工程</w:t>
      </w:r>
      <w:r>
        <w:rPr>
          <w:rFonts w:ascii="Times New Roman" w:hAnsi="Times New Roman" w:eastAsia="宋体"/>
          <w:color w:val="000000"/>
          <w:sz w:val="24"/>
        </w:rPr>
        <w:t>地基承载力</w:t>
      </w:r>
      <w:r>
        <w:rPr>
          <w:rFonts w:hint="eastAsia" w:ascii="Times New Roman" w:hAnsi="Times New Roman" w:eastAsia="宋体"/>
          <w:color w:val="000000"/>
          <w:sz w:val="24"/>
          <w:lang w:eastAsia="zh-CN"/>
        </w:rPr>
        <w:t>、</w:t>
      </w:r>
      <w:r>
        <w:rPr>
          <w:rFonts w:ascii="Times New Roman" w:hAnsi="Times New Roman" w:eastAsia="宋体"/>
          <w:color w:val="000000"/>
          <w:sz w:val="24"/>
        </w:rPr>
        <w:t>挡墙抗滑稳定</w:t>
      </w:r>
      <w:r>
        <w:rPr>
          <w:rFonts w:hint="eastAsia" w:ascii="Times New Roman" w:hAnsi="Times New Roman" w:eastAsia="宋体"/>
          <w:color w:val="000000"/>
          <w:sz w:val="24"/>
          <w:lang w:eastAsia="zh-CN"/>
        </w:rPr>
        <w:t>及</w:t>
      </w:r>
      <w:r>
        <w:rPr>
          <w:rFonts w:ascii="Times New Roman" w:hAnsi="Times New Roman" w:eastAsia="宋体"/>
          <w:color w:val="000000"/>
          <w:sz w:val="24"/>
        </w:rPr>
        <w:t>抗倾覆稳定均满足要求。</w:t>
      </w: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default" w:ascii="Times New Roman" w:hAnsi="Times New Roman" w:cs="Times New Roman"/>
          <w:b/>
          <w:bCs w:val="0"/>
          <w:sz w:val="36"/>
          <w:szCs w:val="36"/>
          <w:lang w:val="en-US" w:eastAsia="zh-CN"/>
        </w:rPr>
      </w:pPr>
      <w:bookmarkStart w:id="209" w:name="_Toc13768"/>
      <w:bookmarkStart w:id="210" w:name="_Toc29462"/>
      <w:bookmarkStart w:id="211" w:name="_Toc29343"/>
      <w:bookmarkStart w:id="212" w:name="_Toc10867"/>
      <w:bookmarkStart w:id="213" w:name="_Toc10959"/>
      <w:bookmarkStart w:id="214" w:name="_Toc10106"/>
      <w:bookmarkStart w:id="215" w:name="_Toc12726"/>
      <w:bookmarkStart w:id="216" w:name="_Toc28575"/>
      <w:r>
        <w:rPr>
          <w:rFonts w:hint="eastAsia" w:ascii="Times New Roman" w:hAnsi="Times New Roman" w:cs="Times New Roman"/>
          <w:b/>
          <w:bCs w:val="0"/>
          <w:sz w:val="36"/>
          <w:szCs w:val="36"/>
          <w:lang w:val="en-US" w:eastAsia="zh-CN"/>
        </w:rPr>
        <w:t>机电及金属</w:t>
      </w:r>
      <w:bookmarkEnd w:id="209"/>
      <w:bookmarkEnd w:id="210"/>
      <w:bookmarkEnd w:id="211"/>
      <w:bookmarkEnd w:id="212"/>
      <w:bookmarkEnd w:id="213"/>
      <w:bookmarkEnd w:id="214"/>
      <w:bookmarkEnd w:id="215"/>
      <w:bookmarkEnd w:id="216"/>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本工程不涉及机电及金属。</w:t>
      </w:r>
    </w:p>
    <w:p>
      <w:pPr>
        <w:rPr>
          <w:rFonts w:hint="default" w:ascii="Times New Roman" w:hAnsi="Times New Roman" w:cs="Times New Roman" w:eastAsiaTheme="minorEastAsia"/>
          <w:spacing w:val="12"/>
          <w:kern w:val="0"/>
          <w:sz w:val="24"/>
          <w:szCs w:val="24"/>
          <w:lang w:eastAsia="zh-CN"/>
        </w:rPr>
      </w:pPr>
      <w:r>
        <w:rPr>
          <w:rFonts w:hint="default" w:ascii="Times New Roman" w:hAnsi="Times New Roman" w:cs="Times New Roman" w:eastAsiaTheme="minorEastAsia"/>
          <w:spacing w:val="12"/>
          <w:kern w:val="0"/>
          <w:sz w:val="24"/>
          <w:szCs w:val="24"/>
          <w:lang w:eastAsia="zh-CN"/>
        </w:rPr>
        <w:br w:type="page"/>
      </w: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default" w:ascii="Times New Roman" w:hAnsi="Times New Roman" w:cs="Times New Roman"/>
          <w:b/>
          <w:bCs w:val="0"/>
          <w:sz w:val="36"/>
          <w:szCs w:val="36"/>
          <w:lang w:val="en-US" w:eastAsia="zh-CN"/>
        </w:rPr>
      </w:pPr>
      <w:bookmarkStart w:id="217" w:name="_Toc18181"/>
      <w:r>
        <w:rPr>
          <w:rFonts w:hint="eastAsia" w:ascii="Times New Roman" w:hAnsi="Times New Roman" w:cs="Times New Roman"/>
          <w:b/>
          <w:bCs w:val="0"/>
          <w:sz w:val="36"/>
          <w:szCs w:val="36"/>
          <w:lang w:val="en-US" w:eastAsia="zh-CN"/>
        </w:rPr>
        <w:t>施工组织设计</w:t>
      </w:r>
      <w:bookmarkEnd w:id="217"/>
    </w:p>
    <w:p>
      <w:pPr>
        <w:pStyle w:val="4"/>
        <w:bidi w:val="0"/>
        <w:ind w:left="575" w:leftChars="0" w:hanging="575" w:firstLineChars="0"/>
        <w:rPr>
          <w:rFonts w:hint="eastAsia" w:ascii="Times New Roman" w:hAnsi="Times New Roman" w:cs="Times New Roman"/>
          <w:highlight w:val="none"/>
          <w:lang w:val="en-US" w:eastAsia="zh-CN"/>
        </w:rPr>
      </w:pPr>
      <w:bookmarkStart w:id="218" w:name="_Toc5411"/>
      <w:r>
        <w:rPr>
          <w:rFonts w:hint="eastAsia" w:ascii="Times New Roman" w:hAnsi="Times New Roman" w:cs="Times New Roman"/>
          <w:highlight w:val="none"/>
          <w:lang w:val="en-US" w:eastAsia="zh-CN"/>
        </w:rPr>
        <w:t>施工条件</w:t>
      </w:r>
      <w:bookmarkEnd w:id="218"/>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（1）交通条件</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本工程位于位于广州市番禺区</w:t>
      </w:r>
      <w:r>
        <w:rPr>
          <w:rFonts w:hint="eastAsia" w:cs="Times New Roman" w:eastAsiaTheme="minorEastAsia"/>
          <w:sz w:val="24"/>
          <w:szCs w:val="24"/>
          <w:lang w:val="en-US" w:eastAsia="zh-CN"/>
        </w:rPr>
        <w:t>二塱西街大蕴</w:t>
      </w:r>
      <w:r>
        <w:rPr>
          <w:rFonts w:hint="eastAsia" w:ascii="Times New Roman" w:hAnsi="Times New Roman" w:cs="Times New Roman" w:eastAsiaTheme="minorEastAsia"/>
          <w:sz w:val="24"/>
          <w:szCs w:val="24"/>
          <w:lang w:val="en-US" w:eastAsia="zh-CN"/>
        </w:rPr>
        <w:t>涌涌口，项目区周边水陆交通畅顺，道路互相贯通，路况良好，施工所需各种材料和设备可由现有公路直达工程区。项目区水路交通同样便利，工程外江出口即为</w:t>
      </w:r>
      <w:r>
        <w:rPr>
          <w:rFonts w:hint="eastAsia" w:cs="Times New Roman" w:eastAsiaTheme="minorEastAsia"/>
          <w:sz w:val="24"/>
          <w:szCs w:val="24"/>
          <w:lang w:val="en-US" w:eastAsia="zh-CN"/>
        </w:rPr>
        <w:t>沙湾</w:t>
      </w:r>
      <w:r>
        <w:rPr>
          <w:rFonts w:hint="eastAsia" w:ascii="Times New Roman" w:hAnsi="Times New Roman" w:cs="Times New Roman" w:eastAsiaTheme="minorEastAsia"/>
          <w:sz w:val="24"/>
          <w:szCs w:val="24"/>
          <w:lang w:val="en-US" w:eastAsia="zh-CN"/>
        </w:rPr>
        <w:t>水道，具有十分便利的水运条件。综上，项目所需的土料、砂石料、块石、水泥等建筑材料均可通过道路、水路运输进入施工现场，交通条件便利。</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（2）场地条件</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根据现场调查了解，本工程区内地势平坦，</w:t>
      </w:r>
      <w:r>
        <w:rPr>
          <w:rFonts w:hint="eastAsia" w:cs="Times New Roman" w:eastAsiaTheme="minorEastAsia"/>
          <w:sz w:val="24"/>
          <w:szCs w:val="24"/>
          <w:lang w:val="en-US" w:eastAsia="zh-CN"/>
        </w:rPr>
        <w:t>大蕴</w:t>
      </w:r>
      <w:r>
        <w:rPr>
          <w:rFonts w:hint="eastAsia" w:ascii="Times New Roman" w:hAnsi="Times New Roman" w:cs="Times New Roman" w:eastAsiaTheme="minorEastAsia"/>
          <w:sz w:val="24"/>
          <w:szCs w:val="24"/>
          <w:lang w:val="en-US" w:eastAsia="zh-CN"/>
        </w:rPr>
        <w:t>涌</w:t>
      </w:r>
      <w:r>
        <w:rPr>
          <w:rFonts w:hint="eastAsia" w:cs="Times New Roman" w:eastAsiaTheme="minorEastAsia"/>
          <w:sz w:val="24"/>
          <w:szCs w:val="24"/>
          <w:lang w:val="en-US" w:eastAsia="zh-CN"/>
        </w:rPr>
        <w:t>左</w:t>
      </w:r>
      <w:r>
        <w:rPr>
          <w:rFonts w:hint="eastAsia" w:ascii="Times New Roman" w:hAnsi="Times New Roman" w:cs="Times New Roman" w:eastAsiaTheme="minorEastAsia"/>
          <w:sz w:val="24"/>
          <w:szCs w:val="24"/>
          <w:lang w:val="en-US" w:eastAsia="zh-CN"/>
        </w:rPr>
        <w:t>岸为</w:t>
      </w:r>
      <w:r>
        <w:rPr>
          <w:rFonts w:hint="eastAsia" w:cs="Times New Roman" w:eastAsiaTheme="minorEastAsia"/>
          <w:sz w:val="24"/>
          <w:szCs w:val="24"/>
          <w:lang w:val="en-US" w:eastAsia="zh-CN"/>
        </w:rPr>
        <w:t>鱼塘和空地，可以作为</w:t>
      </w:r>
      <w:r>
        <w:rPr>
          <w:rFonts w:hint="eastAsia" w:ascii="Times New Roman" w:hAnsi="Times New Roman" w:cs="Times New Roman" w:eastAsiaTheme="minorEastAsia"/>
          <w:sz w:val="24"/>
          <w:szCs w:val="24"/>
          <w:lang w:val="en-US" w:eastAsia="zh-CN"/>
        </w:rPr>
        <w:t>施工场地利用。施工期可作为临时施工用地，紧凑布置施工期生产、管理及生活设施。此外，也可考虑临时租用附近村居作为施工生活、办公用地，十分便利。</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（3）施工供应</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工程所在区域水运、陆路交通便利，施工所需砂石料、水泥、钢材等建筑材料均可在当地采购，混凝土采用商品混凝土，施工用电结合抽水站永久供电线路建设，修配加工和生活可在当地就近解决。施工机械的修配不需要设立专门的修配厂，施工机械遇到故障时，可及时得到维修，保证工程的正常进行。</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区域每年5～11月为台风季节，在强台风侵袭下，有时会导致暴潮。由于夏季高温多雨，给工程施工带来不利的影响，须采取相应措施，保证施工质量和施工进度，在一个枯水期内完成工程主体结构施工，确保度汛安全。</w:t>
      </w:r>
    </w:p>
    <w:p>
      <w:pPr>
        <w:pStyle w:val="4"/>
        <w:bidi w:val="0"/>
        <w:ind w:left="575" w:leftChars="0" w:hanging="575" w:firstLineChars="0"/>
        <w:rPr>
          <w:rFonts w:hint="eastAsia" w:ascii="Times New Roman" w:hAnsi="Times New Roman" w:cs="Times New Roman"/>
          <w:lang w:val="en-US" w:eastAsia="zh-CN"/>
        </w:rPr>
      </w:pPr>
      <w:bookmarkStart w:id="219" w:name="_Toc9416"/>
      <w:r>
        <w:rPr>
          <w:rFonts w:hint="eastAsia" w:ascii="Times New Roman" w:hAnsi="Times New Roman" w:cs="Times New Roman"/>
          <w:lang w:val="en-US" w:eastAsia="zh-CN"/>
        </w:rPr>
        <w:t>施工导截流</w:t>
      </w:r>
      <w:bookmarkEnd w:id="219"/>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（1）防洪标准</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根据《水利水电工程施工组织设计规范》，导流设计洪水标准为5年～10年洪水重现期，由于本工程规模小，参考番禺区类似工程经验，本工程导流洪水标准选用5年一遇</w:t>
      </w:r>
      <w:r>
        <w:rPr>
          <w:rFonts w:hint="eastAsia"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（2）导截流方案</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lang w:val="en-US" w:eastAsia="zh-CN"/>
        </w:rPr>
      </w:pPr>
      <w:r>
        <w:rPr>
          <w:rFonts w:hint="eastAsia" w:ascii="Times New Roman" w:hAnsi="Times New Roman" w:cs="Times New Roman" w:eastAsiaTheme="minorEastAsia"/>
          <w:sz w:val="24"/>
          <w:szCs w:val="24"/>
          <w:lang w:val="en-US" w:eastAsia="zh-CN"/>
        </w:rPr>
        <w:t>为保证河涌的正常运行，施工期需考虑砌筑围堰和施工导流，施工导流及围堰采用沿河布置纵向围堰，单边施工单边导流。</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（3）围堰设计</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eastAsia"/>
          <w:lang w:val="en-US" w:eastAsia="zh-CN"/>
        </w:rPr>
      </w:pPr>
      <w:r>
        <w:rPr>
          <w:rFonts w:hint="eastAsia"/>
          <w:lang w:val="en-US" w:eastAsia="zh-CN"/>
        </w:rPr>
        <w:t>堰顶高程满足本河涌5年一遇防洪标准。本工程重建挡墙段（K0+101~K0+130)需进行施工围堰。围堰采用砂包围堰，按施工期最高水深1.0m考虑，堰顶宽1.5m，堰高2.3m，砌筑坡比为1:1，围堰迎水面设复合防渗土工膜（为二布一膜，规格为700g/m²）。总长度为48.7m，完工后人工拆除。施工围堰布置见下图。</w:t>
      </w:r>
    </w:p>
    <w:p>
      <w:pPr>
        <w:pStyle w:val="2"/>
        <w:jc w:val="center"/>
      </w:pPr>
      <w:r>
        <w:drawing>
          <wp:inline distT="0" distB="0" distL="114300" distR="114300">
            <wp:extent cx="5756275" cy="5482590"/>
            <wp:effectExtent l="0" t="0" r="15875" b="3810"/>
            <wp:docPr id="5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1"/>
                    <pic:cNvPicPr>
                      <a:picLocks noChangeAspect="1"/>
                    </pic:cNvPicPr>
                  </pic:nvPicPr>
                  <pic:blipFill>
                    <a:blip r:embed="rId98"/>
                    <a:stretch>
                      <a:fillRect/>
                    </a:stretch>
                  </pic:blipFill>
                  <pic:spPr>
                    <a:xfrm>
                      <a:off x="0" y="0"/>
                      <a:ext cx="5756275" cy="5482590"/>
                    </a:xfrm>
                    <a:prstGeom prst="rect">
                      <a:avLst/>
                    </a:prstGeom>
                    <a:noFill/>
                    <a:ln>
                      <a:noFill/>
                    </a:ln>
                  </pic:spPr>
                </pic:pic>
              </a:graphicData>
            </a:graphic>
          </wp:inline>
        </w:drawing>
      </w:r>
    </w:p>
    <w:p>
      <w:pPr>
        <w:pStyle w:val="250"/>
        <w:bidi w:val="0"/>
        <w:rPr>
          <w:rFonts w:hint="default"/>
          <w:lang w:val="en-US" w:eastAsia="zh-CN"/>
        </w:rPr>
      </w:pPr>
      <w:r>
        <w:rPr>
          <w:rFonts w:hint="eastAsia"/>
          <w:lang w:val="en-US" w:eastAsia="zh-CN"/>
        </w:rPr>
        <w:t>图7.2-1围堰平面图</w:t>
      </w:r>
    </w:p>
    <w:p>
      <w:pPr>
        <w:keepNext w:val="0"/>
        <w:keepLines w:val="0"/>
        <w:pageBreakBefore w:val="0"/>
        <w:widowControl/>
        <w:kinsoku/>
        <w:wordWrap/>
        <w:overflowPunct/>
        <w:topLinePunct w:val="0"/>
        <w:autoSpaceDE/>
        <w:autoSpaceDN/>
        <w:bidi w:val="0"/>
        <w:adjustRightInd/>
        <w:snapToGrid/>
        <w:ind w:firstLine="0" w:firstLineChars="0"/>
        <w:jc w:val="center"/>
        <w:textAlignment w:val="auto"/>
      </w:pPr>
      <w:r>
        <w:drawing>
          <wp:inline distT="0" distB="0" distL="114300" distR="114300">
            <wp:extent cx="5311140" cy="3008630"/>
            <wp:effectExtent l="0" t="0" r="3810" b="1270"/>
            <wp:docPr id="5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2"/>
                    <pic:cNvPicPr>
                      <a:picLocks noChangeAspect="1"/>
                    </pic:cNvPicPr>
                  </pic:nvPicPr>
                  <pic:blipFill>
                    <a:blip r:embed="rId99"/>
                    <a:stretch>
                      <a:fillRect/>
                    </a:stretch>
                  </pic:blipFill>
                  <pic:spPr>
                    <a:xfrm>
                      <a:off x="0" y="0"/>
                      <a:ext cx="5311140" cy="3008630"/>
                    </a:xfrm>
                    <a:prstGeom prst="rect">
                      <a:avLst/>
                    </a:prstGeom>
                    <a:noFill/>
                    <a:ln>
                      <a:noFill/>
                    </a:ln>
                  </pic:spPr>
                </pic:pic>
              </a:graphicData>
            </a:graphic>
          </wp:inline>
        </w:drawing>
      </w:r>
    </w:p>
    <w:p>
      <w:pPr>
        <w:pStyle w:val="250"/>
        <w:bidi w:val="0"/>
        <w:rPr>
          <w:rFonts w:hint="eastAsia"/>
          <w:lang w:val="en-US" w:eastAsia="zh-CN"/>
        </w:rPr>
      </w:pPr>
      <w:r>
        <w:rPr>
          <w:rFonts w:hint="eastAsia"/>
          <w:lang w:val="en-US" w:eastAsia="zh-CN"/>
        </w:rPr>
        <w:t>图7.2-2围堰断面图</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（4）围堰施工</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围堰选择在枯水期施工，编织袋装土可在附近料场由人工装料、用手推车运至作业面。</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（5）基坑排水</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围堰施工完毕后，进行基坑初期排水，排水量包括基坑积水、围堰与基础渗水。经常性排水考虑基坑渗水、降雨和施工弃水。</w:t>
      </w:r>
    </w:p>
    <w:p>
      <w:pPr>
        <w:pStyle w:val="4"/>
        <w:bidi w:val="0"/>
        <w:ind w:left="575" w:leftChars="0" w:hanging="575" w:firstLineChars="0"/>
        <w:rPr>
          <w:rFonts w:hint="default" w:ascii="Times New Roman" w:hAnsi="Times New Roman" w:cs="Times New Roman"/>
          <w:lang w:val="en-US" w:eastAsia="zh-CN"/>
        </w:rPr>
      </w:pPr>
      <w:bookmarkStart w:id="220" w:name="_Toc25362"/>
      <w:r>
        <w:rPr>
          <w:rFonts w:hint="eastAsia" w:ascii="Times New Roman" w:hAnsi="Times New Roman" w:cs="Times New Roman"/>
          <w:lang w:val="en-US" w:eastAsia="zh-CN"/>
        </w:rPr>
        <w:t>施工总体布置</w:t>
      </w:r>
      <w:bookmarkEnd w:id="220"/>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根据施工组织设计，按照紧凑布置临时施工设施，将生活区和生产区区分开来的原则布置临时占地。临时施工占地考虑施工临时生活办公区、堆料场、加工厂、设备停放用地等。本工程临时施工工棚占地</w:t>
      </w:r>
      <w:r>
        <w:rPr>
          <w:rFonts w:hint="eastAsia" w:cs="Times New Roman" w:eastAsiaTheme="minorEastAsia"/>
          <w:sz w:val="24"/>
          <w:szCs w:val="24"/>
          <w:lang w:val="en-US" w:eastAsia="zh-CN"/>
        </w:rPr>
        <w:t>2</w:t>
      </w:r>
      <w:r>
        <w:rPr>
          <w:rFonts w:hint="eastAsia" w:ascii="Times New Roman" w:hAnsi="Times New Roman" w:cs="Times New Roman" w:eastAsiaTheme="minorEastAsia"/>
          <w:sz w:val="24"/>
          <w:szCs w:val="24"/>
          <w:lang w:val="en-US" w:eastAsia="zh-CN"/>
        </w:rPr>
        <w:t>00m</w:t>
      </w:r>
      <w:r>
        <w:rPr>
          <w:rFonts w:hint="eastAsia" w:ascii="Times New Roman" w:hAnsi="Times New Roman" w:cs="Times New Roman" w:eastAsiaTheme="minorEastAsia"/>
          <w:sz w:val="24"/>
          <w:szCs w:val="24"/>
          <w:vertAlign w:val="superscript"/>
          <w:lang w:val="en-US" w:eastAsia="zh-CN"/>
        </w:rPr>
        <w:t>2</w:t>
      </w:r>
      <w:r>
        <w:rPr>
          <w:rFonts w:hint="eastAsia" w:ascii="Times New Roman" w:hAnsi="Times New Roman" w:cs="Times New Roman" w:eastAsiaTheme="minorEastAsia"/>
          <w:sz w:val="24"/>
          <w:szCs w:val="24"/>
          <w:lang w:val="en-US" w:eastAsia="zh-CN"/>
        </w:rPr>
        <w:t>，施工仓库占地</w:t>
      </w:r>
      <w:r>
        <w:rPr>
          <w:rFonts w:hint="eastAsia" w:cs="Times New Roman" w:eastAsiaTheme="minorEastAsia"/>
          <w:sz w:val="24"/>
          <w:szCs w:val="24"/>
          <w:lang w:val="en-US" w:eastAsia="zh-CN"/>
        </w:rPr>
        <w:t>2</w:t>
      </w:r>
      <w:r>
        <w:rPr>
          <w:rFonts w:hint="eastAsia" w:ascii="Times New Roman" w:hAnsi="Times New Roman" w:cs="Times New Roman" w:eastAsiaTheme="minorEastAsia"/>
          <w:sz w:val="24"/>
          <w:szCs w:val="24"/>
          <w:lang w:val="en-US" w:eastAsia="zh-CN"/>
        </w:rPr>
        <w:t>00m</w:t>
      </w:r>
      <w:r>
        <w:rPr>
          <w:rFonts w:hint="eastAsia" w:ascii="Times New Roman" w:hAnsi="Times New Roman" w:cs="Times New Roman" w:eastAsiaTheme="minorEastAsia"/>
          <w:sz w:val="24"/>
          <w:szCs w:val="24"/>
          <w:vertAlign w:val="superscript"/>
          <w:lang w:val="en-US" w:eastAsia="zh-CN"/>
        </w:rPr>
        <w:t>2</w:t>
      </w:r>
      <w:r>
        <w:rPr>
          <w:rFonts w:hint="eastAsia" w:ascii="Times New Roman" w:hAnsi="Times New Roman" w:cs="Times New Roman" w:eastAsiaTheme="minorEastAsia"/>
          <w:sz w:val="24"/>
          <w:szCs w:val="24"/>
          <w:lang w:val="en-US" w:eastAsia="zh-CN"/>
        </w:rPr>
        <w:t>，临时用地总合计为</w:t>
      </w:r>
      <w:r>
        <w:rPr>
          <w:rFonts w:hint="eastAsia" w:cs="Times New Roman" w:eastAsiaTheme="minorEastAsia"/>
          <w:sz w:val="24"/>
          <w:szCs w:val="24"/>
          <w:lang w:val="en-US" w:eastAsia="zh-CN"/>
        </w:rPr>
        <w:t>4</w:t>
      </w:r>
      <w:r>
        <w:rPr>
          <w:rFonts w:hint="eastAsia" w:ascii="Times New Roman" w:hAnsi="Times New Roman" w:cs="Times New Roman" w:eastAsiaTheme="minorEastAsia"/>
          <w:sz w:val="24"/>
          <w:szCs w:val="24"/>
          <w:lang w:val="en-US" w:eastAsia="zh-CN"/>
        </w:rPr>
        <w:t>00m</w:t>
      </w:r>
      <w:r>
        <w:rPr>
          <w:rFonts w:hint="eastAsia" w:ascii="Times New Roman" w:hAnsi="Times New Roman" w:cs="Times New Roman" w:eastAsiaTheme="minorEastAsia"/>
          <w:sz w:val="24"/>
          <w:szCs w:val="24"/>
          <w:vertAlign w:val="superscript"/>
          <w:lang w:val="en-US" w:eastAsia="zh-CN"/>
        </w:rPr>
        <w:t>2</w:t>
      </w:r>
      <w:r>
        <w:rPr>
          <w:rFonts w:hint="eastAsia" w:ascii="Times New Roman" w:hAnsi="Times New Roman" w:cs="Times New Roman" w:eastAsiaTheme="minorEastAsia"/>
          <w:sz w:val="24"/>
          <w:szCs w:val="24"/>
          <w:lang w:val="en-US" w:eastAsia="zh-CN"/>
        </w:rPr>
        <w:t>，布置于空地。</w:t>
      </w:r>
    </w:p>
    <w:p>
      <w:pPr>
        <w:pStyle w:val="4"/>
        <w:bidi w:val="0"/>
        <w:ind w:left="575" w:leftChars="0" w:hanging="575" w:firstLineChars="0"/>
        <w:rPr>
          <w:rFonts w:hint="eastAsia" w:ascii="Times New Roman" w:hAnsi="Times New Roman" w:cs="Times New Roman"/>
          <w:lang w:val="en-US" w:eastAsia="zh-CN"/>
        </w:rPr>
      </w:pPr>
      <w:bookmarkStart w:id="221" w:name="_Toc3833"/>
      <w:r>
        <w:rPr>
          <w:rFonts w:hint="eastAsia" w:ascii="Times New Roman" w:hAnsi="Times New Roman" w:cs="Times New Roman"/>
          <w:lang w:val="en-US" w:eastAsia="zh-CN"/>
        </w:rPr>
        <w:t>施工总进度</w:t>
      </w:r>
      <w:bookmarkEnd w:id="221"/>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highlight w:val="none"/>
          <w:lang w:val="en-US" w:eastAsia="zh-CN"/>
        </w:rPr>
      </w:pPr>
      <w:r>
        <w:rPr>
          <w:rFonts w:hint="eastAsia" w:ascii="Times New Roman" w:hAnsi="Times New Roman" w:cs="Times New Roman" w:eastAsiaTheme="minorEastAsia"/>
          <w:sz w:val="24"/>
          <w:szCs w:val="24"/>
          <w:lang w:val="en-US" w:eastAsia="zh-CN"/>
        </w:rPr>
        <w:t>工程建设分工程筹建期、工程施工期及工程完建收尾期三个阶段，工程筹建期不计入总工期，主要完成施工征地及施工招投标工作。根据工程区气象和水文条件，工程主体施工的最佳时间是每年旱季，</w:t>
      </w:r>
      <w:r>
        <w:rPr>
          <w:rFonts w:hint="eastAsia" w:ascii="Times New Roman" w:hAnsi="Times New Roman" w:cs="Times New Roman" w:eastAsiaTheme="minorEastAsia"/>
          <w:sz w:val="24"/>
          <w:szCs w:val="24"/>
          <w:highlight w:val="none"/>
          <w:lang w:val="en-US" w:eastAsia="zh-CN"/>
        </w:rPr>
        <w:t>即当年10月中旬至次年4月中旬。因此，工程计划于2024年11月开工，2025年2月竣工，施工计划总工期为4个月。</w:t>
      </w:r>
    </w:p>
    <w:p>
      <w:pPr>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br w:type="page"/>
      </w: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eastAsia" w:ascii="Times New Roman" w:hAnsi="Times New Roman" w:cs="Times New Roman"/>
          <w:b/>
          <w:bCs w:val="0"/>
          <w:sz w:val="36"/>
          <w:szCs w:val="36"/>
          <w:highlight w:val="none"/>
          <w:lang w:val="en-US" w:eastAsia="zh-CN"/>
        </w:rPr>
      </w:pPr>
      <w:bookmarkStart w:id="222" w:name="_Toc2980"/>
      <w:r>
        <w:rPr>
          <w:rFonts w:hint="eastAsia" w:ascii="Times New Roman" w:hAnsi="Times New Roman" w:cs="Times New Roman"/>
          <w:b/>
          <w:bCs w:val="0"/>
          <w:sz w:val="36"/>
          <w:szCs w:val="36"/>
          <w:highlight w:val="none"/>
          <w:lang w:val="en-US" w:eastAsia="zh-CN"/>
        </w:rPr>
        <w:t>建设征地与移民</w:t>
      </w:r>
      <w:bookmarkEnd w:id="222"/>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本工程</w:t>
      </w:r>
      <w:r>
        <w:rPr>
          <w:rFonts w:hint="eastAsia" w:cs="Times New Roman" w:eastAsiaTheme="minorEastAsia"/>
          <w:sz w:val="24"/>
          <w:szCs w:val="24"/>
          <w:lang w:val="en-US" w:eastAsia="zh-CN"/>
        </w:rPr>
        <w:t>用地均属水利用地，</w:t>
      </w:r>
      <w:r>
        <w:rPr>
          <w:rFonts w:hint="default" w:ascii="Times New Roman" w:hAnsi="Times New Roman" w:cs="Times New Roman" w:eastAsiaTheme="minorEastAsia"/>
          <w:sz w:val="24"/>
          <w:szCs w:val="24"/>
          <w:lang w:val="en-US" w:eastAsia="zh-CN"/>
        </w:rPr>
        <w:t>不涉及</w:t>
      </w:r>
      <w:r>
        <w:rPr>
          <w:rFonts w:hint="eastAsia" w:cs="Times New Roman" w:eastAsiaTheme="minorEastAsia"/>
          <w:sz w:val="24"/>
          <w:szCs w:val="24"/>
          <w:lang w:val="en-US" w:eastAsia="zh-CN"/>
        </w:rPr>
        <w:t>建设征地及</w:t>
      </w:r>
      <w:r>
        <w:rPr>
          <w:rFonts w:hint="default" w:ascii="Times New Roman" w:hAnsi="Times New Roman" w:cs="Times New Roman" w:eastAsiaTheme="minorEastAsia"/>
          <w:sz w:val="24"/>
          <w:szCs w:val="24"/>
          <w:lang w:val="en-US" w:eastAsia="zh-CN"/>
        </w:rPr>
        <w:t>移民安置。</w:t>
      </w:r>
    </w:p>
    <w:p>
      <w:pPr>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br w:type="page"/>
      </w: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eastAsia" w:ascii="Times New Roman" w:hAnsi="Times New Roman" w:cs="Times New Roman"/>
          <w:b/>
          <w:bCs w:val="0"/>
          <w:sz w:val="36"/>
          <w:szCs w:val="36"/>
          <w:lang w:val="en-US" w:eastAsia="zh-CN"/>
        </w:rPr>
      </w:pPr>
      <w:bookmarkStart w:id="223" w:name="_Toc13938"/>
      <w:r>
        <w:rPr>
          <w:rFonts w:hint="eastAsia" w:ascii="Times New Roman" w:hAnsi="Times New Roman" w:cs="Times New Roman"/>
          <w:b/>
          <w:bCs w:val="0"/>
          <w:sz w:val="36"/>
          <w:szCs w:val="36"/>
          <w:lang w:val="en-US" w:eastAsia="zh-CN"/>
        </w:rPr>
        <w:t>环境影响评价</w:t>
      </w:r>
      <w:bookmarkEnd w:id="223"/>
    </w:p>
    <w:p>
      <w:pPr>
        <w:pStyle w:val="4"/>
        <w:bidi w:val="0"/>
        <w:ind w:left="575" w:leftChars="0" w:hanging="575" w:firstLineChars="0"/>
        <w:rPr>
          <w:rFonts w:hint="eastAsia" w:ascii="Times New Roman" w:hAnsi="Times New Roman" w:cs="Times New Roman"/>
          <w:lang w:val="en-US" w:eastAsia="zh-CN"/>
        </w:rPr>
      </w:pPr>
      <w:bookmarkStart w:id="224" w:name="_Toc11717"/>
      <w:r>
        <w:rPr>
          <w:rFonts w:hint="eastAsia" w:ascii="Times New Roman" w:hAnsi="Times New Roman" w:cs="Times New Roman"/>
          <w:lang w:val="en-US" w:eastAsia="zh-CN"/>
        </w:rPr>
        <w:t>评价标准</w:t>
      </w:r>
      <w:bookmarkEnd w:id="224"/>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（1）《中华人民共和国环境保护法》（1989年12月）；</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（2）《中华人民共和国防洪法》（全国人大，2002年8月29日）；</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（3）《中华人民共和国水法》（全国人大，1997年10月28日）；</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（4）《中华人民共和国固体废物污染环境防治法》（1995年10月）；</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（5）《中华人民共和国水污染防治法》（1996年5月修正案）；</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（6）《中华人民共和国环境噪声污染防治法》（1996年10月）；</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（7）《中华人民共和国大气污染防治法》（2000年4月修正案）；</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（8）《全国生态环境保护纲要》（国务院，国发【2000】38号）</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（9）《建设项目环境保护设计规定》（国环字（87）第002号文）；</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（10）《广东省建设项目环境保护管理条例》（1994年7月）；</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（11）《国务院关于环境保护若干问题的决定》（1996年8月）；</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（12）《建设项目环境保护管理条例》（国务院，国发【1998】36号）；</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（13）《建设项目环境保护分类管理名录》（1999年）；</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（14）《广东省地表水环境功能区划（试行方案）》（粤府函【1999】553号）；</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（15）《水利水电工程可行性研究报告编制规程》（SL618-2013）；</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（16）《地表水环境质量标准》（GB3838-2002）；</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（17）《环境空气质量标准》（GB3095—1996）；</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（18）《城市区域环境噪声标准》（GB3096-2008）；</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（19）《建筑施工场界噪声限值》（GBl2523-2011）；</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（20）《污水综合排放标准》（GB8978—1996）；</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（21）《大气污染物综合排放标准》（GBl6297-1996）；</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（22）《广东省水污染物排放限值》（DB44/26-2001）；</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（23）《广东省大气污染物排放限值》（DB44/27-2001）。</w:t>
      </w:r>
    </w:p>
    <w:p>
      <w:pPr>
        <w:pStyle w:val="4"/>
        <w:bidi w:val="0"/>
        <w:ind w:left="575" w:leftChars="0" w:hanging="575" w:firstLineChars="0"/>
        <w:rPr>
          <w:rFonts w:hint="eastAsia" w:ascii="Times New Roman" w:hAnsi="Times New Roman" w:cs="Times New Roman"/>
          <w:lang w:val="en-US" w:eastAsia="zh-CN"/>
        </w:rPr>
      </w:pPr>
      <w:bookmarkStart w:id="225" w:name="_Toc27088"/>
      <w:bookmarkStart w:id="226" w:name="_Toc4612"/>
      <w:r>
        <w:rPr>
          <w:rFonts w:hint="eastAsia" w:ascii="Times New Roman" w:hAnsi="Times New Roman" w:cs="Times New Roman"/>
          <w:lang w:val="en-US" w:eastAsia="zh-CN"/>
        </w:rPr>
        <w:t>环境现状调查与评价</w:t>
      </w:r>
      <w:bookmarkEnd w:id="225"/>
      <w:bookmarkEnd w:id="226"/>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本工程区域所在河涌主要行使防洪排涝的功能，根据现状，</w:t>
      </w:r>
      <w:r>
        <w:rPr>
          <w:rFonts w:hint="default" w:ascii="Times New Roman" w:hAnsi="Times New Roman" w:cs="Times New Roman" w:eastAsiaTheme="minorEastAsia"/>
          <w:sz w:val="24"/>
          <w:szCs w:val="24"/>
          <w:lang w:val="zh-CN" w:eastAsia="zh-CN"/>
        </w:rPr>
        <w:t>河涌进行过综合整治，河涌上游无污染性较大的矿产及工业企业，河道来水不含有毒物质。</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zh-CN" w:eastAsia="zh-CN"/>
        </w:rPr>
        <w:t>工程周边不涉及基本农田保护区，无较大居民点分布，主要为空地和鱼塘。本</w:t>
      </w:r>
      <w:r>
        <w:rPr>
          <w:rFonts w:hint="default" w:ascii="Times New Roman" w:hAnsi="Times New Roman" w:cs="Times New Roman" w:eastAsiaTheme="minorEastAsia"/>
          <w:sz w:val="24"/>
          <w:szCs w:val="24"/>
          <w:lang w:val="en-US" w:eastAsia="zh-CN"/>
        </w:rPr>
        <w:t>工程区域生态环境由于地区人为开发活动，已由自然生态环境转为城市人工生态环境，周边空地零散分布陆生植物，植物种类组成成分比较简单，没有发现国家和广东省规定的保护植物。根据地图显示，工程区域四周有大片的荔枝林、鱼塘、滩地，据了解，未发现野生珍稀动物。</w:t>
      </w:r>
    </w:p>
    <w:p>
      <w:pPr>
        <w:pStyle w:val="4"/>
        <w:bidi w:val="0"/>
        <w:ind w:left="575" w:leftChars="0" w:hanging="575" w:firstLineChars="0"/>
        <w:rPr>
          <w:rFonts w:hint="eastAsia" w:ascii="Times New Roman" w:hAnsi="Times New Roman" w:cs="Times New Roman"/>
          <w:lang w:val="en-US" w:eastAsia="zh-CN"/>
        </w:rPr>
      </w:pPr>
      <w:bookmarkStart w:id="227" w:name="_Toc12883"/>
      <w:bookmarkStart w:id="228" w:name="_Toc21278"/>
      <w:r>
        <w:rPr>
          <w:rFonts w:hint="eastAsia" w:ascii="Times New Roman" w:hAnsi="Times New Roman" w:cs="Times New Roman"/>
          <w:lang w:val="en-US" w:eastAsia="zh-CN"/>
        </w:rPr>
        <w:t>环境保护目标</w:t>
      </w:r>
      <w:bookmarkEnd w:id="227"/>
      <w:bookmarkEnd w:id="228"/>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（1）生态保护目标</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保护工程区域内生态系统的完整性，使工程周边的生态环境质量不应本工程的实施而受到显著的影响，生态环境的破坏也能得到全面的修复。</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（2）水质保护目标</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水环境影响区域主要是</w:t>
      </w:r>
      <w:r>
        <w:rPr>
          <w:rFonts w:hint="eastAsia" w:cs="Times New Roman" w:eastAsiaTheme="minorEastAsia"/>
          <w:sz w:val="24"/>
          <w:szCs w:val="24"/>
          <w:lang w:val="en-US" w:eastAsia="zh-CN"/>
        </w:rPr>
        <w:t>二塱</w:t>
      </w:r>
      <w:r>
        <w:rPr>
          <w:rFonts w:hint="default" w:ascii="Times New Roman" w:hAnsi="Times New Roman" w:cs="Times New Roman" w:eastAsiaTheme="minorEastAsia"/>
          <w:sz w:val="24"/>
          <w:szCs w:val="24"/>
          <w:lang w:val="zh-CN" w:eastAsia="zh-CN"/>
        </w:rPr>
        <w:t>水闸以下的内涌，</w:t>
      </w:r>
      <w:r>
        <w:rPr>
          <w:rFonts w:hint="eastAsia" w:ascii="Times New Roman" w:hAnsi="Times New Roman" w:cs="Times New Roman" w:eastAsiaTheme="minorEastAsia"/>
          <w:sz w:val="24"/>
          <w:szCs w:val="24"/>
          <w:lang w:val="zh-CN" w:eastAsia="zh-CN"/>
        </w:rPr>
        <w:t>外江</w:t>
      </w:r>
      <w:r>
        <w:rPr>
          <w:rFonts w:hint="default" w:ascii="Times New Roman" w:hAnsi="Times New Roman" w:cs="Times New Roman" w:eastAsiaTheme="minorEastAsia"/>
          <w:sz w:val="24"/>
          <w:szCs w:val="24"/>
          <w:lang w:val="zh-CN" w:eastAsia="zh-CN"/>
        </w:rPr>
        <w:t>水质不因工程的施工受到显著的影响。本工程施工期间产生的生产废水和生活污水应经过有效处理达标后排放于指定地点，避免对河涌水质产生明显影响。</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（3）环境空气质量保护目标</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根据《广州市人民政府关于印发广州市环境空气功能区区划（修订）的通知》（穗府[2003]17号文）的要求，工程所在地的环境空气属于二类功能区，环境空气质量应执行《环境空气质量标准》（GB3095-2012）二级标准。本工程实施过程中应保护工程所在地的环境空气，使之不因工程的实施而降低环境空气质量，影响居民生活。</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（4）声环境保护目标</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工程区域内主要是农渔业用地，夹杂着居民建筑物，本工程的实施应保护居民休息、睡眠，减小噪音影响。</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（5）人群健康保护目标</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zh-CN" w:eastAsia="zh-CN"/>
        </w:rPr>
        <w:t>工程施工期施工人员传染病、流行疾病发病得到有效控制。</w:t>
      </w:r>
    </w:p>
    <w:p>
      <w:pPr>
        <w:pStyle w:val="4"/>
        <w:bidi w:val="0"/>
        <w:ind w:left="575" w:leftChars="0" w:hanging="575" w:firstLineChars="0"/>
        <w:rPr>
          <w:rFonts w:hint="eastAsia" w:ascii="Times New Roman" w:hAnsi="Times New Roman" w:cs="Times New Roman"/>
          <w:lang w:val="en-US" w:eastAsia="zh-CN"/>
        </w:rPr>
      </w:pPr>
      <w:bookmarkStart w:id="229" w:name="_Toc3140"/>
      <w:bookmarkStart w:id="230" w:name="_Toc10038"/>
      <w:r>
        <w:rPr>
          <w:rFonts w:hint="eastAsia" w:ascii="Times New Roman" w:hAnsi="Times New Roman" w:cs="Times New Roman"/>
          <w:lang w:val="en-US" w:eastAsia="zh-CN"/>
        </w:rPr>
        <w:t>环境影响分析</w:t>
      </w:r>
      <w:bookmarkEnd w:id="229"/>
      <w:bookmarkEnd w:id="230"/>
    </w:p>
    <w:p>
      <w:pPr>
        <w:pStyle w:val="5"/>
        <w:bidi w:val="0"/>
        <w:ind w:left="720" w:leftChars="0" w:hanging="720" w:firstLineChars="0"/>
        <w:rPr>
          <w:rFonts w:hint="eastAsia" w:ascii="Times New Roman" w:cs="Times New Roman"/>
          <w:lang w:val="en-US" w:eastAsia="zh-CN"/>
        </w:rPr>
      </w:pPr>
      <w:bookmarkStart w:id="231" w:name="_Toc20556"/>
      <w:bookmarkStart w:id="232" w:name="_Toc2768"/>
      <w:r>
        <w:rPr>
          <w:rFonts w:hint="eastAsia" w:ascii="Times New Roman" w:cs="Times New Roman"/>
          <w:lang w:val="en-US" w:eastAsia="zh-CN"/>
        </w:rPr>
        <w:t>工程对环境的有利影响</w:t>
      </w:r>
      <w:bookmarkEnd w:id="231"/>
      <w:bookmarkEnd w:id="232"/>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（1）本次工程的主要任务是</w:t>
      </w:r>
      <w:r>
        <w:rPr>
          <w:rFonts w:hint="eastAsia" w:cs="Times New Roman" w:eastAsiaTheme="minorEastAsia"/>
          <w:sz w:val="24"/>
          <w:szCs w:val="24"/>
          <w:lang w:val="en-US" w:eastAsia="zh-CN"/>
        </w:rPr>
        <w:t>抢险、加固</w:t>
      </w:r>
      <w:r>
        <w:rPr>
          <w:rFonts w:hint="default" w:ascii="Times New Roman" w:hAnsi="Times New Roman" w:cs="Times New Roman" w:eastAsiaTheme="minorEastAsia"/>
          <w:sz w:val="24"/>
          <w:szCs w:val="24"/>
          <w:lang w:val="zh-CN" w:eastAsia="zh-CN"/>
        </w:rPr>
        <w:t>，工程建成后能有效提高区域</w:t>
      </w:r>
      <w:r>
        <w:rPr>
          <w:rFonts w:hint="eastAsia" w:cs="Times New Roman" w:eastAsiaTheme="minorEastAsia"/>
          <w:sz w:val="24"/>
          <w:szCs w:val="24"/>
          <w:lang w:val="en-US" w:eastAsia="zh-CN"/>
        </w:rPr>
        <w:t>边坡稳定性，</w:t>
      </w:r>
      <w:r>
        <w:rPr>
          <w:rFonts w:hint="default" w:ascii="Times New Roman" w:hAnsi="Times New Roman" w:cs="Times New Roman" w:eastAsiaTheme="minorEastAsia"/>
          <w:sz w:val="24"/>
          <w:szCs w:val="24"/>
          <w:lang w:val="zh-CN" w:eastAsia="zh-CN"/>
        </w:rPr>
        <w:t>缓解区域洪涝灾害威胁，避免人员生命财产安全受到危害，稳定社会，保证社会正常的生产和生活活动有序进行，为流域内地区经济社会发展提供稳定、安全的社会环境；</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（2）工程的建成满足区域经济社会快速发展产生的美观需求，为创造良好的人居环境以及对未来</w:t>
      </w:r>
      <w:r>
        <w:rPr>
          <w:rFonts w:hint="eastAsia" w:cs="Times New Roman" w:eastAsiaTheme="minorEastAsia"/>
          <w:sz w:val="24"/>
          <w:szCs w:val="24"/>
          <w:lang w:val="en-US" w:eastAsia="zh-CN"/>
        </w:rPr>
        <w:t>大蕴</w:t>
      </w:r>
      <w:r>
        <w:rPr>
          <w:rFonts w:hint="default" w:ascii="Times New Roman" w:hAnsi="Times New Roman" w:cs="Times New Roman" w:eastAsiaTheme="minorEastAsia"/>
          <w:sz w:val="24"/>
          <w:szCs w:val="24"/>
          <w:lang w:val="zh-CN" w:eastAsia="zh-CN"/>
        </w:rPr>
        <w:t>涌两岸景观绿化改造工程提供了条件，对周边生态环境改变有重大影响。</w:t>
      </w:r>
    </w:p>
    <w:p>
      <w:pPr>
        <w:pStyle w:val="5"/>
        <w:bidi w:val="0"/>
        <w:ind w:left="720" w:leftChars="0" w:hanging="720" w:firstLineChars="0"/>
        <w:rPr>
          <w:rFonts w:hint="eastAsia" w:ascii="Times New Roman" w:cs="Times New Roman"/>
          <w:lang w:val="en-US" w:eastAsia="zh-CN"/>
        </w:rPr>
      </w:pPr>
      <w:bookmarkStart w:id="233" w:name="_Toc25150"/>
      <w:bookmarkStart w:id="234" w:name="_Toc13730"/>
      <w:r>
        <w:rPr>
          <w:rFonts w:hint="eastAsia" w:ascii="Times New Roman" w:cs="Times New Roman"/>
          <w:lang w:val="en-US" w:eastAsia="zh-CN"/>
        </w:rPr>
        <w:t>工程对环境的不利影响</w:t>
      </w:r>
      <w:bookmarkEnd w:id="233"/>
      <w:bookmarkEnd w:id="234"/>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工程实施对环境的不利影响主要在施工期，主要有以下几点：</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（1）水环境影响</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施工期水环境影响主要是施工人员生活污水、施工生产废水及围堰填筑拆除可能对周围水环境造成的影响。生活污水和生产废水经处理达标后进行综合利用，不会对区域内水环境的水质造成不良影响，围堰填筑拆除期间引起的水中悬浮物增加影响时间短且范围小，对河道的水质影响也有限。</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（2）噪声影响</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施工期噪声主要来自施工的施工机械和机动车辆，影响周围几百米左右以内的区域，对附近居民及施工人员产生干扰，造成噪声污染。根据现场，本工程周围主要是种植地、鱼塘，对村庄居民的影响较小，而且可以安排合理的施工计划及采取合理的措施继续降低施工噪声带来的影响。施工期的影响是暂时的，随着施工的结束，施工带来的不利影响也就随着结束。</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（3）环境空气影响</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施工期，开挖填筑、物料运输等施工活动产生的扬尘会对周边环境造成一定的不良影响，而且扬尘会直接危害到施工人员的身体健康。由于本工程地处江边，空气较湿润，在施工过程中，只要通过洒水抑尘等措施，施工产生的扬尘对周围环境影响很小。</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除了扬尘外，施工过程中施工机械与运输车辆排放的尾气对大气及周边地区造成一定污染。施工机械数量较少，施工区较为开阔，排放的废气排放量小，总体对空气质量的影响很小，对周围环境的影响甚微。</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（4）水生生态环境影响</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本工程施工过程中会扰动河涌，造成悬浮物浓度增加，底质污染物释放，河涌散发阵阵臭味，影响水生态环境。</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只要采取合理的保护措施，并加强施工组织管理，以上不利影响均可得到减免，而且施工期的影响是暂时的，随着施工的结束，施工带来的不利影响也就随之结束。因此，从环境保护角度分析，分析结果认为有利影响范围广，时间长，而不利影响相对范围小，且多为暂时性影响。由此可知，本工程无制约工程开发的环境因子，从环境角度衡量该工程是可行的。</w:t>
      </w:r>
    </w:p>
    <w:p>
      <w:pPr>
        <w:pStyle w:val="4"/>
        <w:bidi w:val="0"/>
        <w:ind w:left="575" w:leftChars="0" w:hanging="575" w:firstLineChars="0"/>
        <w:rPr>
          <w:rFonts w:hint="eastAsia" w:ascii="Times New Roman" w:hAnsi="Times New Roman" w:cs="Times New Roman"/>
          <w:lang w:val="en-US" w:eastAsia="zh-CN"/>
        </w:rPr>
      </w:pPr>
      <w:bookmarkStart w:id="235" w:name="_Toc5243"/>
      <w:bookmarkStart w:id="236" w:name="_Toc22391"/>
      <w:r>
        <w:rPr>
          <w:rFonts w:hint="eastAsia" w:ascii="Times New Roman" w:hAnsi="Times New Roman" w:cs="Times New Roman"/>
          <w:lang w:val="en-US" w:eastAsia="zh-CN"/>
        </w:rPr>
        <w:t>环境保护对策措施</w:t>
      </w:r>
      <w:bookmarkEnd w:id="235"/>
      <w:bookmarkEnd w:id="236"/>
    </w:p>
    <w:p>
      <w:pPr>
        <w:pStyle w:val="5"/>
        <w:bidi w:val="0"/>
        <w:ind w:left="720" w:leftChars="0" w:hanging="720" w:firstLineChars="0"/>
        <w:rPr>
          <w:rFonts w:hint="eastAsia" w:ascii="Times New Roman" w:cs="Times New Roman"/>
          <w:lang w:val="en-US" w:eastAsia="zh-CN"/>
        </w:rPr>
      </w:pPr>
      <w:bookmarkStart w:id="237" w:name="_Toc8685"/>
      <w:bookmarkStart w:id="238" w:name="_Toc16009"/>
      <w:r>
        <w:rPr>
          <w:rFonts w:hint="eastAsia" w:ascii="Times New Roman" w:cs="Times New Roman"/>
          <w:lang w:val="en-US" w:eastAsia="zh-CN"/>
        </w:rPr>
        <w:t>水环境保护措施</w:t>
      </w:r>
      <w:bookmarkEnd w:id="237"/>
      <w:bookmarkEnd w:id="238"/>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（1）建材堆放时加以覆盖，防止雨水冲刷。</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（2）含有害物质的建筑材料（如施工水泥等）应远离饮水井和水源地，各类建筑材料应有防雨遮雨设施，水泥材料不得倾倒于堤上，工程废料要及时运走。</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（3）工程施工过程中，为防止施工对水体的污染影响，应合理组织施工程序和施工机械。施工中产生的废渣按要求运到规定的地方堆放，不得任意丢弃在水中。施工点要设置沉砂池，防止泥沙直接进入水体。</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（4）严格管理施工机械和运输车辆，严禁油料泄漏和倾倒废油料。施工机械、运输车辆的清洗水及施工机械的油污要集中处理，达标后排放。有油污的固体废弃物不得随地乱扔，与废油渣一齐集中推放处理。</w:t>
      </w:r>
    </w:p>
    <w:p>
      <w:pPr>
        <w:pStyle w:val="5"/>
        <w:bidi w:val="0"/>
        <w:ind w:left="720" w:leftChars="0" w:hanging="720" w:firstLineChars="0"/>
        <w:rPr>
          <w:rFonts w:hint="eastAsia" w:ascii="Times New Roman" w:cs="Times New Roman"/>
          <w:lang w:val="en-US" w:eastAsia="zh-CN"/>
        </w:rPr>
      </w:pPr>
      <w:bookmarkStart w:id="239" w:name="_Toc25555"/>
      <w:bookmarkStart w:id="240" w:name="_Toc7504"/>
      <w:r>
        <w:rPr>
          <w:rFonts w:hint="eastAsia" w:ascii="Times New Roman" w:cs="Times New Roman"/>
          <w:lang w:val="en-US" w:eastAsia="zh-CN"/>
        </w:rPr>
        <w:t>气环境保护措施</w:t>
      </w:r>
      <w:bookmarkEnd w:id="239"/>
      <w:bookmarkEnd w:id="240"/>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施工期大气污染防治措施主要是降低施工期粉尘散落和运输过程扬尘的措施，由于物料运输车辆泥土带出和撒漏，会使施工场产生扬尘污染。由于本工程地处江边，空气较湿润，在施工过程中，只要通过洒水抑尘，覆盖运输，保持车辆整体整洁，防止沿途撒漏，清理撒漏现场等措施，施工产生的扬尘对周围环境影响就不大。</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燃油废气控制采取以下措施：</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（1）运输车辆和以燃油为动力的施工机械应使用国家规定的标准燃油，严禁使用劣质燃油，同时合理布置运输车辆行驶路线，保证行驶速度；减少怠速时间，以减少机动车尾气的排放。</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（2）加强对燃油机械设备的维护和保养，对于发动机耗油多、效率低、排放尾气超标的老、旧车辆，及时更新，保持设备在正常良好的状态下工作。同时燃油机械应安装尾气排放净化器，使尾气能够达标排放。</w:t>
      </w:r>
    </w:p>
    <w:p>
      <w:pPr>
        <w:pStyle w:val="5"/>
        <w:bidi w:val="0"/>
        <w:ind w:left="720" w:leftChars="0" w:hanging="720" w:firstLineChars="0"/>
        <w:rPr>
          <w:rFonts w:hint="eastAsia" w:ascii="Times New Roman" w:cs="Times New Roman"/>
          <w:lang w:val="en-US" w:eastAsia="zh-CN"/>
        </w:rPr>
      </w:pPr>
      <w:bookmarkStart w:id="241" w:name="_Toc26336"/>
      <w:bookmarkStart w:id="242" w:name="_Toc19576"/>
      <w:r>
        <w:rPr>
          <w:rFonts w:hint="eastAsia" w:ascii="Times New Roman" w:cs="Times New Roman"/>
          <w:lang w:val="en-US" w:eastAsia="zh-CN"/>
        </w:rPr>
        <w:t>声环境保护措施</w:t>
      </w:r>
      <w:bookmarkEnd w:id="241"/>
      <w:bookmarkEnd w:id="242"/>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本工程噪声影响主要发生在施工期，施工单位应对噪声源采取减振、消声、隔音等措施，力求使施工场界噪声符合《建筑施工场界噪声限值》等相关规范要求，以减少其对临时生活区及附近居民区的直接影响。采用的噪声防治措施如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（1）合理安排施工场地，统一布局，合理安排施工时间，合理布局施工现场，避免局部声级过高。</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（2）尽量选用低噪声机械设备，同时加强保养和维护，降低设备运行时的噪声，并负责对现场工作人员进行培训，严格按操作规范使用各类机械。</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3）严格控制施工时间，合理安排施工的活动计划，禁止在中午（12:00～14:00）和夜间（22:00～次日8:00）期间进行产生较高噪声的施工活动，避免夜间施工以保障施工区及其周围居民有良好的生活和工作环境；若因工程进度要求或抢险需要连续施工作业时，则提前5天向当地环保主管部门申报，领取《夜间噪声排放证》，并设立施工公告牌，接受市民监督，以取得市民谅解，防止扰民事件发生。</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（4）在施工场地周围有敏感点的地方设立临时声屏障。</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（5）车辆出入现场时尽量低速、禁鸣，重型车辆夜间禁止通行。</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default" w:ascii="Times New Roman" w:hAnsi="Times New Roman" w:cs="Times New Roman" w:eastAsiaTheme="minorEastAsia"/>
          <w:sz w:val="24"/>
          <w:szCs w:val="24"/>
          <w:lang w:val="zh-CN" w:eastAsia="zh-CN"/>
        </w:rPr>
        <w:t>采取上述环保措施后，本项目建设期的噪声影响程度可降低至人们可接受的程度。</w:t>
      </w:r>
    </w:p>
    <w:p>
      <w:pPr>
        <w:pStyle w:val="5"/>
        <w:bidi w:val="0"/>
        <w:ind w:left="720" w:leftChars="0" w:hanging="720" w:firstLineChars="0"/>
        <w:rPr>
          <w:rFonts w:hint="eastAsia" w:ascii="Times New Roman" w:cs="Times New Roman"/>
          <w:lang w:val="en-US" w:eastAsia="zh-CN"/>
        </w:rPr>
      </w:pPr>
      <w:bookmarkStart w:id="243" w:name="_Toc14774"/>
      <w:bookmarkStart w:id="244" w:name="_Toc1588"/>
      <w:bookmarkStart w:id="245" w:name="_Toc11565"/>
      <w:r>
        <w:rPr>
          <w:rFonts w:hint="eastAsia" w:ascii="Times New Roman" w:cs="Times New Roman"/>
          <w:lang w:val="en-US" w:eastAsia="zh-CN"/>
        </w:rPr>
        <w:t>固体废物处理</w:t>
      </w:r>
      <w:bookmarkEnd w:id="243"/>
      <w:bookmarkEnd w:id="244"/>
      <w:bookmarkEnd w:id="245"/>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en-US" w:eastAsia="zh-CN"/>
        </w:rPr>
        <w:t>本工程产生的生活垃圾应设置垃圾堆放设施，分类收集，定点堆放，由当地环卫部门清理后，运至垃圾填埋场填埋。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本工程渣料弃至专门的渣场填埋处置，符合无害化处理要求。但为了避免弃渣造成水土流失，根据主体工程施工特点和施工布置要求，应采取相应的防护措施以减少水土流失，水土保持措施见水土保持部分。</w:t>
      </w:r>
    </w:p>
    <w:p>
      <w:pPr>
        <w:pStyle w:val="5"/>
        <w:bidi w:val="0"/>
        <w:ind w:left="720" w:leftChars="0" w:hanging="720" w:firstLineChars="0"/>
        <w:rPr>
          <w:rFonts w:hint="eastAsia" w:ascii="Times New Roman" w:cs="Times New Roman"/>
          <w:lang w:val="en-US" w:eastAsia="zh-CN"/>
        </w:rPr>
      </w:pPr>
      <w:bookmarkStart w:id="246" w:name="_Toc18004"/>
      <w:bookmarkStart w:id="247" w:name="_Toc8510"/>
      <w:bookmarkStart w:id="248" w:name="_Toc11994"/>
      <w:r>
        <w:rPr>
          <w:rFonts w:hint="eastAsia" w:ascii="Times New Roman" w:cs="Times New Roman"/>
          <w:lang w:val="en-US" w:eastAsia="zh-CN"/>
        </w:rPr>
        <w:t>人群健康保护</w:t>
      </w:r>
      <w:bookmarkEnd w:id="246"/>
      <w:bookmarkEnd w:id="247"/>
      <w:bookmarkEnd w:id="248"/>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（1）卫生检疫与预防接种:</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为防止施工人员将传染性疾病带入施工区，在施工人员进场前进行卫生检疫，按20%比例抽检，抽检项目主要包括传染性肝炎（新冠肺炎）、肺结核、流脑、疟疾等传染病流行性疾病，限制传染病患者进入施工区，切断传染病的传染源。</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在施工人群中重点开展伤寒、出血热、疟疾等疾病的预防免疫工作，防止危害较大的传染性疾病在施工人群中暴发和交叉感染，保护施工人员身体健康。</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老鼠、苍蝇和蚊子是疟疾、伤寒等肠道传染病的传播媒介，在工程施工期间，施工单位在施工营地开展一次灭鼠、灭蚊活动。经常性地对生活营地、工作环境及生活设施进行消毒和卫生清扫。</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（2）公共卫生:</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针对工地就餐集中特点，应加强对施工区食堂的卫生监督与管理，保证饮食的清洁卫生。施工现场和生活区拟修建临时厕所2座，设置垃圾桶5个。生活垃圾委托当地环卫部门及时清运、处理。工程完工后拆除临时厕所，并进行消毒无害化处理。</w:t>
      </w:r>
    </w:p>
    <w:p>
      <w:pPr>
        <w:pStyle w:val="5"/>
        <w:bidi w:val="0"/>
        <w:rPr>
          <w:rFonts w:hint="eastAsia"/>
          <w:smallCaps w:val="0"/>
          <w:spacing w:val="6"/>
          <w:kern w:val="2"/>
          <w:lang w:eastAsia="zh-CN"/>
        </w:rPr>
      </w:pPr>
      <w:bookmarkStart w:id="249" w:name="_Toc13610"/>
      <w:bookmarkStart w:id="250" w:name="_Toc13331"/>
      <w:r>
        <w:rPr>
          <w:rFonts w:hint="eastAsia"/>
          <w:smallCaps w:val="0"/>
          <w:spacing w:val="6"/>
          <w:kern w:val="2"/>
          <w:lang w:eastAsia="zh-CN"/>
        </w:rPr>
        <w:t>水生生态环境保护</w:t>
      </w:r>
      <w:bookmarkEnd w:id="249"/>
      <w:bookmarkEnd w:id="250"/>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生态资源保护主要包括工程区及附近的陆地生态资源和水生生物保护。</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（1）陆地生态资源保护措施</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①尽量缩短施工时间，施工完毕，立即恢复植被。</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②加强对施工人员的环保教育，保护自然资源，不准乱砍伐林木。</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③施工车辆应在施工道路上行驶，以免损现状植被。</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（2）水生生物保护措施</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①尽量缩短建设工期，减少水体扰动、悬浮物增加等对水生生物的影响。</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②切实落实水土保持措施，防治施工期和运行期因水土流失而增加的悬浮物对水生生物带来不利影响。</w:t>
      </w:r>
    </w:p>
    <w:p>
      <w:pPr>
        <w:pStyle w:val="4"/>
        <w:bidi w:val="0"/>
        <w:ind w:left="575" w:leftChars="0" w:hanging="575" w:firstLineChars="0"/>
        <w:rPr>
          <w:rFonts w:hint="eastAsia" w:ascii="Times New Roman" w:hAnsi="Times New Roman" w:cs="Times New Roman"/>
          <w:lang w:val="en-US" w:eastAsia="zh-CN"/>
        </w:rPr>
      </w:pPr>
      <w:bookmarkStart w:id="251" w:name="_Toc13691"/>
      <w:bookmarkStart w:id="252" w:name="_Toc26660"/>
      <w:r>
        <w:rPr>
          <w:rFonts w:hint="eastAsia" w:ascii="Times New Roman" w:hAnsi="Times New Roman" w:cs="Times New Roman"/>
          <w:lang w:val="en-US" w:eastAsia="zh-CN"/>
        </w:rPr>
        <w:t>环境管理及监测</w:t>
      </w:r>
      <w:bookmarkEnd w:id="251"/>
      <w:bookmarkEnd w:id="252"/>
    </w:p>
    <w:p>
      <w:pPr>
        <w:pStyle w:val="5"/>
        <w:bidi w:val="0"/>
        <w:rPr>
          <w:smallCaps w:val="0"/>
          <w:spacing w:val="6"/>
          <w:kern w:val="2"/>
        </w:rPr>
      </w:pPr>
      <w:bookmarkStart w:id="253" w:name="_Toc18056"/>
      <w:bookmarkStart w:id="254" w:name="_Toc32443"/>
      <w:r>
        <w:rPr>
          <w:rFonts w:hint="eastAsia"/>
          <w:smallCaps w:val="0"/>
          <w:spacing w:val="6"/>
          <w:kern w:val="2"/>
        </w:rPr>
        <w:t>环境管理</w:t>
      </w:r>
      <w:bookmarkEnd w:id="253"/>
      <w:bookmarkEnd w:id="254"/>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根据《建设项目环境保护设计规定》中的第二条的规定，为保护好施工区的环境，须加强环境管理与监督。应设置环境管理办公室，配备1名环境管理人员，负责工程施工各项环境管理工作。可以委托当地有资质部门，负责工程及周围的环境监测工作，掌握工程建设对周围环境的影响，以便及时采取相应措施。</w:t>
      </w:r>
    </w:p>
    <w:p>
      <w:pPr>
        <w:pStyle w:val="5"/>
        <w:bidi w:val="0"/>
        <w:rPr>
          <w:smallCaps w:val="0"/>
          <w:spacing w:val="6"/>
          <w:kern w:val="2"/>
        </w:rPr>
      </w:pPr>
      <w:bookmarkStart w:id="255" w:name="_Toc29125"/>
      <w:bookmarkStart w:id="256" w:name="_Toc29268"/>
      <w:r>
        <w:rPr>
          <w:rFonts w:hint="eastAsia"/>
          <w:smallCaps w:val="0"/>
          <w:spacing w:val="6"/>
          <w:kern w:val="2"/>
        </w:rPr>
        <w:t>环境监测</w:t>
      </w:r>
      <w:bookmarkEnd w:id="255"/>
      <w:bookmarkEnd w:id="256"/>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环境监测是强化环境监督管理的重要手段。在工程监测部门中，可通过招投标方式确定环境监测人员。配备环境监理工程师1名，在施工现场对环境保护工作进行监督检查，要求施工经营单位限期完成有关环境保护工作。</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环境监理工程师定期编报环境监理日志、环境监理报告报环境管理办公室。提出存在的重大环境问题和解决问题的建议。</w:t>
      </w:r>
    </w:p>
    <w:p>
      <w:pPr>
        <w:pStyle w:val="5"/>
        <w:bidi w:val="0"/>
        <w:rPr>
          <w:smallCaps w:val="0"/>
          <w:spacing w:val="6"/>
          <w:kern w:val="2"/>
        </w:rPr>
      </w:pPr>
      <w:bookmarkStart w:id="257" w:name="_Toc14916"/>
      <w:bookmarkStart w:id="258" w:name="_Toc24496"/>
      <w:r>
        <w:rPr>
          <w:rFonts w:hint="eastAsia"/>
          <w:smallCaps w:val="0"/>
          <w:spacing w:val="6"/>
          <w:kern w:val="2"/>
        </w:rPr>
        <w:t>监测目的及内容</w:t>
      </w:r>
      <w:bookmarkEnd w:id="257"/>
      <w:bookmarkEnd w:id="258"/>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（1）监测目的及内容</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为了随时掌握各施工阶段的污染程度和范围，拟对施工区水质、环境空气质量、噪声、人群健康进行监测，以便于检验环保措施的实施效果和优化调整环保措施，并为工程建设环境管理、环境监理及工程竣工验收等提供科学依据。</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（2）水质检测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监测项目：水温、pH、溶解氧、悬浮物、CODMn、BOD5、氨氮、总磷、总氮、挥发酚、铜、砷、汞、镉、六价铬、氰化物、石油类、大肠菌群等，共计18项。</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监测方法：各项目均按《地表水环境质量标准》（GB3838－2002）中规定的方法进行水质监测。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监测频率：主体工程施工期开始至结束后两个月间每两个月监测一次。</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（3）空气质量监测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监测项目：TSP。</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监测方法：按《环境空气质量标准》（GB3095－96）中规定的方法进行监测。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监测频率：开工前监测一次，主体工程施工期每四个月一次。</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（4）噪声监测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监测项目：等效声级。</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监测方法：按《城市区域环境噪声测量方法》（GB/TI4623－93）规定执行。</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监测频率：开工前监测一次，主体工程施工期每四个月一次。</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（5）人群健康监测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监测对象：重点是施工作业人员。</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监测内容：主要调查施工人员中各种传染病的发病情况，并对可能发生的主要传染病进行监测。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监测频率：施工准备期、施工高峰期和工程完建前各1次。</w:t>
      </w:r>
    </w:p>
    <w:p>
      <w:pPr>
        <w:pStyle w:val="4"/>
        <w:bidi w:val="0"/>
        <w:ind w:left="575" w:leftChars="0" w:hanging="575" w:firstLineChars="0"/>
        <w:rPr>
          <w:rFonts w:hint="eastAsia" w:ascii="Times New Roman" w:hAnsi="Times New Roman" w:cs="Times New Roman"/>
          <w:lang w:val="en-US" w:eastAsia="zh-CN"/>
        </w:rPr>
      </w:pPr>
      <w:bookmarkStart w:id="259" w:name="_Toc27091"/>
      <w:bookmarkStart w:id="260" w:name="_Toc23697"/>
      <w:r>
        <w:rPr>
          <w:rFonts w:hint="eastAsia" w:ascii="Times New Roman" w:hAnsi="Times New Roman" w:cs="Times New Roman"/>
          <w:lang w:val="en-US" w:eastAsia="zh-CN"/>
        </w:rPr>
        <w:t>评价结论与建议</w:t>
      </w:r>
      <w:bookmarkEnd w:id="259"/>
      <w:bookmarkEnd w:id="260"/>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本工程对环境的不利影响主要发生在施工期，但通过采取相应措施均可避免或减轻到最低限度，随着施工期的结束，不利影响将消失。</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本工程主要工程任务为堤身灌浆、重建堤顶路基及路面，修复路侧绿化灌木，重建外侧钢筋砼挡墙及修复墙顶石材栏杆，重建堤顶沿线污水管。</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工程建成后，将有效提高区域</w:t>
      </w:r>
      <w:r>
        <w:rPr>
          <w:rFonts w:hint="eastAsia" w:cs="Times New Roman" w:eastAsiaTheme="minorEastAsia"/>
          <w:sz w:val="24"/>
          <w:szCs w:val="24"/>
          <w:lang w:val="en-US" w:eastAsia="zh-CN"/>
        </w:rPr>
        <w:t>边坡稳定性</w:t>
      </w:r>
      <w:r>
        <w:rPr>
          <w:rFonts w:hint="eastAsia" w:ascii="Times New Roman" w:hAnsi="Times New Roman" w:cs="Times New Roman" w:eastAsiaTheme="minorEastAsia"/>
          <w:sz w:val="24"/>
          <w:szCs w:val="24"/>
          <w:lang w:val="en-US" w:eastAsia="zh-CN"/>
        </w:rPr>
        <w:t>，缓解区域洪涝灾害威胁，解决了城市发展的后顾之忧，保障了人民生命财产的安全，有利于促进区域经济和社会的可持续发展。因此，从环境影响评价的角度出发，工程建设是可行的。</w:t>
      </w:r>
    </w:p>
    <w:p>
      <w:pPr>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br w:type="page"/>
      </w: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eastAsia" w:ascii="Times New Roman" w:hAnsi="Times New Roman" w:cs="Times New Roman"/>
          <w:b/>
          <w:bCs w:val="0"/>
          <w:sz w:val="36"/>
          <w:szCs w:val="36"/>
          <w:lang w:val="en-US" w:eastAsia="zh-CN"/>
        </w:rPr>
      </w:pPr>
      <w:bookmarkStart w:id="261" w:name="_Toc32445"/>
      <w:r>
        <w:rPr>
          <w:rFonts w:hint="eastAsia" w:ascii="Times New Roman" w:hAnsi="Times New Roman" w:cs="Times New Roman"/>
          <w:b/>
          <w:bCs w:val="0"/>
          <w:sz w:val="36"/>
          <w:szCs w:val="36"/>
          <w:lang w:val="en-US" w:eastAsia="zh-CN"/>
        </w:rPr>
        <w:t>水土保持</w:t>
      </w:r>
      <w:bookmarkEnd w:id="261"/>
    </w:p>
    <w:p>
      <w:pPr>
        <w:pStyle w:val="4"/>
        <w:bidi w:val="0"/>
        <w:ind w:left="575" w:leftChars="0" w:hanging="575" w:firstLineChars="0"/>
        <w:rPr>
          <w:rFonts w:hint="eastAsia" w:ascii="Times New Roman" w:hAnsi="Times New Roman" w:cs="Times New Roman"/>
          <w:lang w:val="en-US" w:eastAsia="zh-CN"/>
        </w:rPr>
      </w:pPr>
      <w:bookmarkStart w:id="262" w:name="_Toc2242"/>
      <w:bookmarkStart w:id="263" w:name="_Toc22208"/>
      <w:r>
        <w:rPr>
          <w:rFonts w:hint="eastAsia" w:ascii="Times New Roman" w:hAnsi="Times New Roman" w:cs="Times New Roman"/>
          <w:lang w:val="en-US" w:eastAsia="zh-CN"/>
        </w:rPr>
        <w:t>概述</w:t>
      </w:r>
      <w:bookmarkEnd w:id="262"/>
      <w:bookmarkEnd w:id="263"/>
    </w:p>
    <w:p>
      <w:pPr>
        <w:pStyle w:val="5"/>
        <w:bidi w:val="0"/>
        <w:ind w:left="720" w:leftChars="0" w:hanging="720" w:firstLineChars="0"/>
        <w:rPr>
          <w:rFonts w:hint="eastAsia" w:ascii="Times New Roman" w:cs="Times New Roman"/>
          <w:lang w:val="en-US" w:eastAsia="zh-CN"/>
        </w:rPr>
      </w:pPr>
      <w:bookmarkStart w:id="264" w:name="_Toc6690"/>
      <w:bookmarkStart w:id="265" w:name="_Toc7396"/>
      <w:bookmarkStart w:id="266" w:name="_Toc13779_WPSOffice_Level3"/>
      <w:bookmarkStart w:id="267" w:name="_Toc14415"/>
      <w:r>
        <w:rPr>
          <w:rFonts w:hint="eastAsia" w:ascii="Times New Roman" w:cs="Times New Roman"/>
          <w:lang w:val="en-US" w:eastAsia="zh-CN"/>
        </w:rPr>
        <w:t>编制依据</w:t>
      </w:r>
      <w:bookmarkEnd w:id="264"/>
      <w:bookmarkEnd w:id="265"/>
      <w:bookmarkEnd w:id="266"/>
      <w:bookmarkEnd w:id="267"/>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（1）《中华人民共和国水土保持法》；</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（2）《中华人民共和国水土保持法实施条例》；</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（3）《广东省实施&lt;中华人民共和国水土保持法&gt;办法》；</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（4）《广东省水土保持补偿费征收和使用管理暂行规定》；</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（5）《广东省人民政府《关于划分水土保持“三区”的通告》；</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（6）《开发建设项目水土保持技术规范》（GB50433-2008）；</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（7）《开发建设项目水土流失防治标准》（GB50434-2008）；</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（8）《水土保持综合治理规划通则》（GB/T15772-2008）；</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（9）《水土保持综合治理技术规范》（GB/T16453-2008）；</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（10）《水土保持监测技术规程》（SL277-2002）；</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（11）《水利水电工程水土保持技术规范》（SL575-2012）等。</w:t>
      </w:r>
    </w:p>
    <w:p>
      <w:pPr>
        <w:pStyle w:val="5"/>
        <w:bidi w:val="0"/>
        <w:ind w:left="720" w:leftChars="0" w:hanging="720" w:firstLineChars="0"/>
        <w:rPr>
          <w:rFonts w:hint="eastAsia" w:ascii="Times New Roman" w:cs="Times New Roman"/>
          <w:lang w:val="en-US" w:eastAsia="zh-CN"/>
        </w:rPr>
      </w:pPr>
      <w:bookmarkStart w:id="268" w:name="_Toc27745"/>
      <w:bookmarkStart w:id="269" w:name="_Toc26920"/>
      <w:bookmarkStart w:id="270" w:name="_Toc31860_WPSOffice_Level3"/>
      <w:bookmarkStart w:id="271" w:name="_Toc10055"/>
      <w:r>
        <w:rPr>
          <w:rFonts w:hint="eastAsia" w:ascii="Times New Roman" w:cs="Times New Roman"/>
          <w:lang w:val="en-US" w:eastAsia="zh-CN"/>
        </w:rPr>
        <w:t>项目概况</w:t>
      </w:r>
      <w:bookmarkEnd w:id="268"/>
      <w:bookmarkEnd w:id="269"/>
      <w:bookmarkEnd w:id="270"/>
      <w:bookmarkEnd w:id="271"/>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本工程主要工程任务为堤身灌浆、重建堤顶路基及路面，修复路侧绿化灌木，重建外侧钢筋砼挡墙及修复墙顶石材栏杆，重建堤顶沿线污水管。</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项目所在区域属亚热带海洋性季风气候，气温受偏南季候风影响，暖湿多雨，光照充足，无霜期长。多年平均气温22.1℃，最高气温38.4℃（2016年7月），最低气温-0.4℃（1967年1月），多年平均相对湿度79%。多年日照时数在1472小时左右，无霜期357天。根据月份变化，7月份日照时间最长，最高达236.3小时。其次是8月份，为222小时。2～3月份最短，每月日照仅100小时左右。整个5～12月，平均月日照时间在150小时以上。多年平均降雨量为1633mm。</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项目区土壤侵蚀类型为水力侵蚀，区域侵蚀强度微度。依照《关于划分全省水土流失重点防治区的公告》（粤农水【2000】23号），项目区所在地广州市不属国家级、广东省水土流失重点预防和重点治理区，属于两区之外。</w:t>
      </w:r>
    </w:p>
    <w:p>
      <w:pPr>
        <w:pStyle w:val="4"/>
        <w:bidi w:val="0"/>
        <w:ind w:left="575" w:leftChars="0" w:hanging="575" w:firstLineChars="0"/>
        <w:rPr>
          <w:rFonts w:hint="eastAsia" w:ascii="Times New Roman" w:hAnsi="Times New Roman" w:cs="Times New Roman"/>
          <w:lang w:val="en-US" w:eastAsia="zh-CN"/>
        </w:rPr>
      </w:pPr>
      <w:bookmarkStart w:id="272" w:name="_Toc7792"/>
      <w:bookmarkStart w:id="273" w:name="_Toc28197"/>
      <w:bookmarkStart w:id="274" w:name="_Toc16563_WPSOffice_Level2"/>
      <w:bookmarkStart w:id="275" w:name="_Toc376"/>
      <w:bookmarkStart w:id="276" w:name="_Toc4934_WPSOffice_Level2"/>
      <w:r>
        <w:rPr>
          <w:rFonts w:hint="eastAsia" w:ascii="Times New Roman" w:hAnsi="Times New Roman" w:cs="Times New Roman"/>
          <w:lang w:val="en-US" w:eastAsia="zh-CN"/>
        </w:rPr>
        <w:t>项目区水土流失影响分析</w:t>
      </w:r>
      <w:bookmarkEnd w:id="272"/>
      <w:bookmarkEnd w:id="273"/>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工程规模相对不大，主要材料土、砂、石全部向当地料场购买，属商品，工程没有开采料场取土取砂石的相关需要。故在主体工程总体布置、渣料场规划、施工组织设计等方面，本项目不存在制约性的水土保持问题。</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因此，从水土保持角度出发，本工程布局、施工组织设计合理，工程建设不存在水土保持制约性因素，本工程的建设是可行的。</w:t>
      </w:r>
    </w:p>
    <w:bookmarkEnd w:id="274"/>
    <w:bookmarkEnd w:id="275"/>
    <w:bookmarkEnd w:id="276"/>
    <w:p>
      <w:pPr>
        <w:rPr>
          <w:rFonts w:hint="default" w:ascii="Times New Roman" w:hAnsi="Times New Roman" w:cs="Times New Roman" w:eastAsiaTheme="minorEastAsia"/>
          <w:b/>
          <w:bCs w:val="0"/>
          <w:sz w:val="28"/>
          <w:szCs w:val="28"/>
        </w:rPr>
      </w:pPr>
      <w:r>
        <w:rPr>
          <w:rFonts w:hint="default" w:ascii="Times New Roman" w:hAnsi="Times New Roman" w:cs="Times New Roman" w:eastAsiaTheme="minorEastAsia"/>
          <w:b/>
          <w:bCs w:val="0"/>
          <w:sz w:val="28"/>
          <w:szCs w:val="28"/>
        </w:rPr>
        <w:br w:type="page"/>
      </w: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eastAsia" w:ascii="Times New Roman" w:hAnsi="Times New Roman" w:cs="Times New Roman"/>
          <w:b/>
          <w:bCs w:val="0"/>
          <w:sz w:val="36"/>
          <w:szCs w:val="36"/>
          <w:lang w:val="en-US" w:eastAsia="zh-CN"/>
        </w:rPr>
      </w:pPr>
      <w:bookmarkStart w:id="277" w:name="_Toc12845"/>
      <w:r>
        <w:rPr>
          <w:rFonts w:hint="eastAsia" w:ascii="Times New Roman" w:hAnsi="Times New Roman" w:cs="Times New Roman"/>
          <w:b/>
          <w:bCs w:val="0"/>
          <w:sz w:val="36"/>
          <w:szCs w:val="36"/>
          <w:lang w:val="en-US" w:eastAsia="zh-CN"/>
        </w:rPr>
        <w:t>劳动安全与工业卫生</w:t>
      </w:r>
      <w:bookmarkEnd w:id="277"/>
    </w:p>
    <w:p>
      <w:pPr>
        <w:pStyle w:val="4"/>
        <w:bidi w:val="0"/>
        <w:ind w:left="575" w:leftChars="0" w:hanging="575" w:firstLineChars="0"/>
        <w:rPr>
          <w:rFonts w:hint="eastAsia" w:ascii="Times New Roman" w:hAnsi="Times New Roman" w:cs="Times New Roman"/>
          <w:lang w:val="en-US" w:eastAsia="zh-CN"/>
        </w:rPr>
      </w:pPr>
      <w:bookmarkStart w:id="278" w:name="_Toc847"/>
      <w:bookmarkStart w:id="279" w:name="_Toc24667"/>
      <w:r>
        <w:rPr>
          <w:rFonts w:hint="eastAsia" w:ascii="Times New Roman" w:hAnsi="Times New Roman" w:cs="Times New Roman"/>
          <w:lang w:val="en-US" w:eastAsia="zh-CN"/>
        </w:rPr>
        <w:t>设计依据</w:t>
      </w:r>
      <w:bookmarkEnd w:id="278"/>
      <w:bookmarkEnd w:id="279"/>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（1）《中华人民共和国安全生产法》</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（2）《中华人民共和国劳动法》</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（3）《水利水电工程劳动安全与工业卫生设计规范》</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（4）《生产过程安全卫生要求总则》</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（5）《工业企业设计卫生标准》</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（6）《工业企业厂界噪声标准》</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（7）相关国家相关法律、法规及政府有关文件。</w:t>
      </w:r>
    </w:p>
    <w:p>
      <w:pPr>
        <w:pStyle w:val="4"/>
        <w:bidi w:val="0"/>
        <w:ind w:left="575" w:leftChars="0" w:hanging="575" w:firstLineChars="0"/>
        <w:rPr>
          <w:rFonts w:hint="eastAsia" w:ascii="Times New Roman" w:hAnsi="Times New Roman" w:cs="Times New Roman"/>
          <w:lang w:val="en-US" w:eastAsia="zh-CN"/>
        </w:rPr>
      </w:pPr>
      <w:bookmarkStart w:id="280" w:name="_Toc9015"/>
      <w:bookmarkStart w:id="281" w:name="_Toc23152"/>
      <w:r>
        <w:rPr>
          <w:rFonts w:hint="eastAsia" w:ascii="Times New Roman" w:hAnsi="Times New Roman" w:cs="Times New Roman"/>
          <w:lang w:val="en-US" w:eastAsia="zh-CN"/>
        </w:rPr>
        <w:t>危险与有害因素分析</w:t>
      </w:r>
      <w:bookmarkEnd w:id="280"/>
      <w:bookmarkEnd w:id="281"/>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为了贯彻“安全第一，预防为主，综合治理”的方针，确保建设工程安全卫生设施符合国家规定的标准，做到与主体工程同时设计、同时施工、同时投入生产和使用（简称“三同时”）。</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对工程建成投入运行后，可能存在的直接危及劳动者人身安全和身体健康的各种因素，采取符合规范要求的工程防护措施进行了阐述。做到工程投产后，保障劳动者在劳动中的安全和健康的要求。</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在对本地区各种自然环境状况进行了调查研究和分析工作的基础上，从总体布置到各项建筑物的设计及机电设备选择均已充分考虑到本工程的实际情况，严格按相关的规程规范要求设计，建筑物间的安全距离、各建筑物内的安全疏散通道、永久交通道路等均满足规范要求。</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根据工程所在地的自然、社会条件和周边情况，分析了在工程建设和运行中影响劳动安全与工业卫生的主要危险和有害因素，主要危害因素的为洪（潮）灾害和塌方。</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在本工程设计过程中，针对上述可能对劳动安全与工业卫生构成影响的因素进行了充分考虑，采取了有效的防范措施。</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洪（潮）灾害方面，采用了符合相关防洪标准的内外江围堰进行防洪（潮），可以有效应对风险。塌方方面，一方面采取了基坑开挖支护措施，另一方面，设计了安全监测措施。通过变形和沉降监测，可以及时发现安全隐患，及时采取相应措施。施工时边坡做好支护、防水及排水措施；对边坡稳定有必要的预警系统，确保工程施工人员及设备安全。</w:t>
      </w:r>
    </w:p>
    <w:p>
      <w:pPr>
        <w:pStyle w:val="4"/>
        <w:bidi w:val="0"/>
        <w:ind w:left="575" w:leftChars="0" w:hanging="575" w:firstLineChars="0"/>
        <w:rPr>
          <w:rFonts w:hint="eastAsia" w:ascii="Times New Roman" w:hAnsi="Times New Roman" w:cs="Times New Roman"/>
          <w:lang w:val="en-US" w:eastAsia="zh-CN"/>
        </w:rPr>
      </w:pPr>
      <w:bookmarkStart w:id="282" w:name="_Toc194889830"/>
      <w:bookmarkStart w:id="283" w:name="_Toc275281292"/>
      <w:bookmarkStart w:id="284" w:name="_Toc290388199"/>
      <w:bookmarkStart w:id="285" w:name="_Toc141273851"/>
      <w:bookmarkStart w:id="286" w:name="_Toc28457"/>
      <w:bookmarkStart w:id="287" w:name="_Toc17414"/>
      <w:r>
        <w:rPr>
          <w:rFonts w:hint="eastAsia" w:ascii="Times New Roman" w:hAnsi="Times New Roman" w:cs="Times New Roman"/>
          <w:lang w:val="en-US" w:eastAsia="zh-CN"/>
        </w:rPr>
        <w:t>劳动安全</w:t>
      </w:r>
      <w:bookmarkEnd w:id="282"/>
      <w:bookmarkEnd w:id="283"/>
      <w:bookmarkEnd w:id="284"/>
      <w:bookmarkEnd w:id="285"/>
      <w:r>
        <w:rPr>
          <w:rFonts w:hint="eastAsia" w:ascii="Times New Roman" w:hAnsi="Times New Roman" w:cs="Times New Roman"/>
          <w:lang w:val="en-US" w:eastAsia="zh-CN"/>
        </w:rPr>
        <w:t>措施</w:t>
      </w:r>
      <w:bookmarkEnd w:id="286"/>
      <w:bookmarkEnd w:id="287"/>
    </w:p>
    <w:p>
      <w:pPr>
        <w:pStyle w:val="5"/>
        <w:bidi w:val="0"/>
        <w:ind w:left="720" w:leftChars="0" w:hanging="720" w:firstLineChars="0"/>
        <w:rPr>
          <w:rFonts w:hint="eastAsia" w:ascii="Times New Roman" w:cs="Times New Roman"/>
          <w:lang w:val="en-US" w:eastAsia="zh-CN"/>
        </w:rPr>
      </w:pPr>
      <w:bookmarkStart w:id="288" w:name="_Toc290388200"/>
      <w:bookmarkStart w:id="289" w:name="_Toc11716"/>
      <w:bookmarkStart w:id="290" w:name="_Toc3760"/>
      <w:r>
        <w:rPr>
          <w:rFonts w:hint="eastAsia" w:ascii="Times New Roman" w:cs="Times New Roman"/>
          <w:lang w:val="en-US" w:eastAsia="zh-CN"/>
        </w:rPr>
        <w:t>防火、防爆安全</w:t>
      </w:r>
      <w:bookmarkEnd w:id="288"/>
      <w:bookmarkEnd w:id="289"/>
      <w:bookmarkEnd w:id="290"/>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本工程的防火、防爆安全设计贯彻“预防为主、防消结合”的方针，实行防火安全责任制。主要消防措施包括：</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（1）建立专职消防队，配备消防器材，训练人员上岗值班。</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（2）在消防设施和器材上设置安全标志、并定期组织检验、维修，确保消防设施和器材完好、有效。</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（3）制定本工程的消防安全制度、消防安全操作规程。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（4）实行防火安全责任制，确定本枢纽和所属各部门、岗位的消防安全责任人。</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（5）对职工进行消防安全培训。</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（6）保障各个疏散通道、安全出口畅通，并设置符合国家规定的消防安全疏散标志。</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发生火灾后，紧急广播通知在场人员进行扑救，并通知专职消防队进入事故现场。指示在场人员按指示的方向疏散避难；通知医疗卫生人员利用急救车抢救烧伤和电击伤害人员，伤情严重者送城市医院急救。</w:t>
      </w:r>
    </w:p>
    <w:p>
      <w:pPr>
        <w:pStyle w:val="5"/>
        <w:bidi w:val="0"/>
        <w:ind w:left="720" w:leftChars="0" w:hanging="720" w:firstLineChars="0"/>
        <w:rPr>
          <w:rFonts w:hint="eastAsia" w:ascii="Times New Roman" w:cs="Times New Roman"/>
          <w:lang w:val="en-US" w:eastAsia="zh-CN"/>
        </w:rPr>
      </w:pPr>
      <w:bookmarkStart w:id="291" w:name="_Toc290388202"/>
      <w:bookmarkStart w:id="292" w:name="_Toc23122"/>
      <w:bookmarkStart w:id="293" w:name="_Toc11170"/>
      <w:r>
        <w:rPr>
          <w:rFonts w:hint="eastAsia" w:ascii="Times New Roman" w:cs="Times New Roman"/>
          <w:lang w:val="en-US" w:eastAsia="zh-CN"/>
        </w:rPr>
        <w:t>防机械伤害、防坠落措施</w:t>
      </w:r>
      <w:bookmarkEnd w:id="291"/>
      <w:bookmarkEnd w:id="292"/>
      <w:bookmarkEnd w:id="293"/>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（1）楼梯、爬梯、平台均设扶手并采取防滑措施。</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（2）阀门起吊设施所用钢丝绳、滑轮、吊钩符合《起重机械安全规程》（GB6067-2010）的有关规定。</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（3）施工机械运作范围布设安全标志，并设安全检测人员，减少机械对人身伤害。</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（4）高边坡开挖符合稳定要求，避免塌方。</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（5）施工期高空作业时，必须按照操作规程进行操作，做好安全防护措施，以免造成安全事故。</w:t>
      </w:r>
    </w:p>
    <w:p>
      <w:pPr>
        <w:pStyle w:val="5"/>
        <w:bidi w:val="0"/>
        <w:ind w:left="720" w:leftChars="0" w:hanging="720" w:firstLineChars="0"/>
        <w:rPr>
          <w:rFonts w:hint="eastAsia" w:ascii="Times New Roman" w:cs="Times New Roman"/>
          <w:lang w:val="en-US" w:eastAsia="zh-CN"/>
        </w:rPr>
      </w:pPr>
      <w:bookmarkStart w:id="294" w:name="_Toc25709"/>
      <w:bookmarkStart w:id="295" w:name="_Toc15293"/>
      <w:bookmarkStart w:id="296" w:name="_Toc290388204"/>
      <w:r>
        <w:rPr>
          <w:rFonts w:hint="eastAsia" w:ascii="Times New Roman" w:cs="Times New Roman"/>
          <w:lang w:val="en-US" w:eastAsia="zh-CN"/>
        </w:rPr>
        <w:t>安全生产教育</w:t>
      </w:r>
      <w:bookmarkEnd w:id="294"/>
      <w:bookmarkEnd w:id="295"/>
      <w:bookmarkEnd w:id="296"/>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广泛开展安全生产的宣传教育，使现场人员真正认识到安全生产的重要性，懂得安全生产、文明生产的科学知识，牢固树立安全第一的思想。企业要建立经常性的安全和培训考核制度，具体包括如下三个方面。</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（1）新工人（包括合同工、临时工、学徒工、实习和代培人员）必须事先进行安全教育。教育内容包括安全技术知识、设备性能、操作规程、安全制度和严禁事项，并经考试合格后，方可进入操作岗位。</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（2）电工、焊工、架工、司炉工、爆破工、机操工及起重机、打桩机和各种机动车辆司机等特殊工种工作，除进行一般安全教育外，还要经过本工程的安全技术教育，经考核合格发证后，方可获准独立操作。</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（3）采用新技术、新工艺、新设备施工和调换工作岗位时，要对操作人员进行新技术和新岗位的安全教育，未经教育不得上岗操作。</w:t>
      </w:r>
    </w:p>
    <w:p>
      <w:pPr>
        <w:pStyle w:val="5"/>
        <w:bidi w:val="0"/>
        <w:ind w:left="720" w:leftChars="0" w:hanging="720" w:firstLineChars="0"/>
        <w:rPr>
          <w:rFonts w:hint="eastAsia" w:ascii="Times New Roman" w:cs="Times New Roman"/>
          <w:lang w:val="en-US" w:eastAsia="zh-CN"/>
        </w:rPr>
      </w:pPr>
      <w:bookmarkStart w:id="297" w:name="_Toc290388205"/>
      <w:bookmarkStart w:id="298" w:name="_Toc5426"/>
      <w:bookmarkStart w:id="299" w:name="_Toc14290"/>
      <w:r>
        <w:rPr>
          <w:rFonts w:hint="eastAsia" w:ascii="Times New Roman" w:cs="Times New Roman"/>
          <w:lang w:val="en-US" w:eastAsia="zh-CN"/>
        </w:rPr>
        <w:t>安全生产的检查、监督</w:t>
      </w:r>
      <w:bookmarkEnd w:id="297"/>
      <w:bookmarkEnd w:id="298"/>
      <w:bookmarkEnd w:id="299"/>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除应经常进行安全检查外，还要组织定期检查、监督。企业每季、工区每月、施工队每半月组织一次检查。检查要发动群众，要有领导干部、技术干部和工作人员参加，边检查，边整改。</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每次检查要有重点、有标准，要评比记分，列入本单位考核内容。</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检查以自查为主，互查为辅。以查思想、查制度、查纪律、查领导、查隐患为主要内容。要结合季节特点，开展防洪、防雷电、防坍塌、防高处坠落、防煤气中毒等“五防”检查。</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制定整改计划，定人、定措施、定经费、定完成日期。在隐患没有消除前，必须采取可靠的防护措施，如有危及人身安全的紧急险情，应立即停止作业。</w:t>
      </w:r>
    </w:p>
    <w:p>
      <w:pPr>
        <w:pStyle w:val="4"/>
        <w:bidi w:val="0"/>
        <w:ind w:left="575" w:leftChars="0" w:hanging="575" w:firstLineChars="0"/>
        <w:rPr>
          <w:rFonts w:hint="eastAsia" w:ascii="Times New Roman" w:hAnsi="Times New Roman" w:cs="Times New Roman"/>
          <w:lang w:val="en-US" w:eastAsia="zh-CN"/>
        </w:rPr>
      </w:pPr>
      <w:bookmarkStart w:id="300" w:name="_Toc290388206"/>
      <w:bookmarkStart w:id="301" w:name="_Toc27081"/>
      <w:bookmarkStart w:id="302" w:name="_Toc275281293"/>
      <w:bookmarkStart w:id="303" w:name="_Toc32322"/>
      <w:r>
        <w:rPr>
          <w:rFonts w:hint="eastAsia" w:ascii="Times New Roman" w:hAnsi="Times New Roman" w:cs="Times New Roman"/>
          <w:lang w:val="en-US" w:eastAsia="zh-CN"/>
        </w:rPr>
        <w:t>工业卫生</w:t>
      </w:r>
      <w:bookmarkEnd w:id="300"/>
      <w:bookmarkEnd w:id="301"/>
      <w:bookmarkEnd w:id="302"/>
      <w:bookmarkEnd w:id="303"/>
    </w:p>
    <w:p>
      <w:pPr>
        <w:pStyle w:val="5"/>
        <w:bidi w:val="0"/>
        <w:ind w:left="720" w:leftChars="0" w:hanging="720" w:firstLineChars="0"/>
        <w:rPr>
          <w:rFonts w:hint="eastAsia" w:ascii="Times New Roman" w:cs="Times New Roman"/>
          <w:lang w:val="en-US" w:eastAsia="zh-CN"/>
        </w:rPr>
      </w:pPr>
      <w:bookmarkStart w:id="304" w:name="_Toc25872"/>
      <w:bookmarkStart w:id="305" w:name="_Toc290388207"/>
      <w:bookmarkStart w:id="306" w:name="_Toc31559"/>
      <w:r>
        <w:rPr>
          <w:rFonts w:hint="eastAsia" w:ascii="Times New Roman" w:cs="Times New Roman"/>
          <w:lang w:val="en-US" w:eastAsia="zh-CN"/>
        </w:rPr>
        <w:t>防噪声及防振动</w:t>
      </w:r>
      <w:bookmarkEnd w:id="304"/>
      <w:bookmarkEnd w:id="305"/>
      <w:bookmarkEnd w:id="306"/>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生产管理用房的各部位噪声限制值均按《水利水电工程劳动安全与工业卫生设计规范》相关规定要求进行设计：</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（1）生产管理楼内办公室、会议室、试验室噪声限制值为60（dB）。</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（2）作业场所和生产设备房间噪声限制值为85（dB）。</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（3）设计中选用噪声和搌动水平符合国家现行有关标准的设备，必要时，应对设备提出允许的限制值，或采取相应的防护措施。</w:t>
      </w:r>
    </w:p>
    <w:p>
      <w:pPr>
        <w:pStyle w:val="5"/>
        <w:bidi w:val="0"/>
        <w:ind w:left="720" w:leftChars="0" w:hanging="720" w:firstLineChars="0"/>
        <w:rPr>
          <w:rFonts w:hint="eastAsia" w:ascii="Times New Roman" w:cs="Times New Roman"/>
          <w:lang w:val="en-US" w:eastAsia="zh-CN"/>
        </w:rPr>
      </w:pPr>
      <w:bookmarkStart w:id="307" w:name="_Toc290388208"/>
      <w:bookmarkStart w:id="308" w:name="_Toc7340"/>
      <w:bookmarkStart w:id="309" w:name="_Toc29763"/>
      <w:r>
        <w:rPr>
          <w:rFonts w:hint="eastAsia" w:ascii="Times New Roman" w:cs="Times New Roman"/>
          <w:lang w:val="en-US" w:eastAsia="zh-CN"/>
        </w:rPr>
        <w:t>温度与湿度控制</w:t>
      </w:r>
      <w:bookmarkEnd w:id="307"/>
      <w:bookmarkEnd w:id="308"/>
      <w:bookmarkEnd w:id="309"/>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作业环境不良，会使作业人员处于身体疲劳、视线不清、注意力不集中、反应迟钝、昏昏欲睡状态，使操作失误增多，所以也是导致事故发生的危害因素。高温环境会引起中暑，长期高温作业（数年）可出现高血压、心肌受损和消化功能障碍病症。工程各类工作场所的室内空气均应控制在一定的温度和湿度。</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（1）办公楼、调度室等作业场所的空气质量、湿度随大气环境变化而变化，室内温度应有空调设备调节。</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（2）在夏季高温环境中作业和施工时，应采取必要的遮挡日晒和防暑降温措施。连续工作时间不宜过长，要符合有关规定，要合理安排工作时间。</w:t>
      </w:r>
    </w:p>
    <w:p>
      <w:pPr>
        <w:pStyle w:val="5"/>
        <w:bidi w:val="0"/>
        <w:ind w:left="720" w:leftChars="0" w:hanging="720" w:firstLineChars="0"/>
        <w:rPr>
          <w:rFonts w:hint="eastAsia" w:ascii="Times New Roman" w:cs="Times New Roman"/>
          <w:lang w:val="en-US" w:eastAsia="zh-CN"/>
        </w:rPr>
      </w:pPr>
      <w:bookmarkStart w:id="310" w:name="_Toc17263"/>
      <w:bookmarkStart w:id="311" w:name="_Toc290388210"/>
      <w:bookmarkStart w:id="312" w:name="_Toc4814"/>
      <w:r>
        <w:rPr>
          <w:rFonts w:hint="eastAsia" w:ascii="Times New Roman" w:cs="Times New Roman"/>
          <w:lang w:val="en-US" w:eastAsia="zh-CN"/>
        </w:rPr>
        <w:t>防尘、防污、附腐蚀、防毒</w:t>
      </w:r>
      <w:bookmarkEnd w:id="310"/>
      <w:bookmarkEnd w:id="311"/>
      <w:bookmarkEnd w:id="312"/>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（1）公路施工过程中产生的大量粉尘，宜采取防止尘埃扩散的措施。经常检查劳动保护用品，保证其有效性。严格管理，不允许在工作场所进食、吸烟。</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（2）易发生火灾的部位应设置事故排烟设备。</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（3）生产生活用房的建筑装修材料，一定要选择符合国家有关卫生标准规定的达标产品，防止散发有毒有害物质或放射性物质，危害人体健康。</w:t>
      </w:r>
    </w:p>
    <w:p>
      <w:pPr>
        <w:pStyle w:val="5"/>
        <w:bidi w:val="0"/>
        <w:ind w:left="720" w:leftChars="0" w:hanging="720" w:firstLineChars="0"/>
        <w:rPr>
          <w:rFonts w:hint="eastAsia" w:ascii="Times New Roman" w:cs="Times New Roman"/>
          <w:lang w:val="en-US" w:eastAsia="zh-CN"/>
        </w:rPr>
      </w:pPr>
      <w:bookmarkStart w:id="313" w:name="_Toc290388211"/>
      <w:bookmarkStart w:id="314" w:name="_Toc30312"/>
      <w:bookmarkStart w:id="315" w:name="_Toc24349"/>
      <w:r>
        <w:rPr>
          <w:rFonts w:hint="eastAsia" w:ascii="Times New Roman" w:cs="Times New Roman"/>
          <w:lang w:val="en-US" w:eastAsia="zh-CN"/>
        </w:rPr>
        <w:t>防电磁辐射</w:t>
      </w:r>
      <w:bookmarkEnd w:id="313"/>
      <w:bookmarkEnd w:id="314"/>
      <w:bookmarkEnd w:id="315"/>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变压器、配电装置等设备产生较强电磁场，在此作业场所工作人员的辐射防护要求应符合有关规定。</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按照电磁辐射防护三原则（屏蔽、防护距离和缩短照射时间）采取对策措施，使各区域工作人员受到的辐射照射不超过标准规定的个体剂量限值。</w:t>
      </w:r>
    </w:p>
    <w:p>
      <w:pPr>
        <w:pStyle w:val="6"/>
        <w:keepLines w:val="0"/>
        <w:pageBreakBefore w:val="0"/>
        <w:widowControl/>
        <w:kinsoku/>
        <w:wordWrap/>
        <w:overflowPunct/>
        <w:topLinePunct w:val="0"/>
        <w:autoSpaceDE/>
        <w:autoSpaceDN/>
        <w:bidi w:val="0"/>
        <w:adjustRightInd/>
        <w:snapToGrid/>
        <w:ind w:left="0" w:firstLine="0" w:firstLineChars="0"/>
        <w:textAlignment w:val="auto"/>
        <w:rPr>
          <w:rFonts w:hint="eastAsia"/>
          <w:lang w:val="en-US" w:eastAsia="zh-CN"/>
        </w:rPr>
      </w:pPr>
      <w:bookmarkStart w:id="316" w:name="_Toc290388212"/>
      <w:bookmarkStart w:id="317" w:name="_Toc275281294"/>
      <w:r>
        <w:rPr>
          <w:rFonts w:hint="eastAsia"/>
          <w:lang w:val="en-US" w:eastAsia="zh-CN"/>
        </w:rPr>
        <w:t>安全卫生设施</w:t>
      </w:r>
      <w:bookmarkEnd w:id="316"/>
      <w:bookmarkEnd w:id="317"/>
    </w:p>
    <w:p>
      <w:pPr>
        <w:pStyle w:val="7"/>
        <w:bidi w:val="0"/>
        <w:ind w:left="1008" w:leftChars="0" w:hanging="1008" w:firstLineChars="0"/>
        <w:rPr>
          <w:rFonts w:hint="eastAsia"/>
          <w:lang w:val="en-US" w:eastAsia="zh-CN"/>
        </w:rPr>
      </w:pPr>
      <w:bookmarkStart w:id="318" w:name="_Toc290388213"/>
      <w:r>
        <w:rPr>
          <w:rFonts w:hint="eastAsia"/>
          <w:lang w:val="en-US" w:eastAsia="zh-CN"/>
        </w:rPr>
        <w:t>辅助用室</w:t>
      </w:r>
      <w:bookmarkEnd w:id="318"/>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（1）工程管理区设有医疗室、生活区食堂等生活福利建筑。辅助用室要求符合《工业企业设计卫生标准》。</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（2）在工作场所附近，设置一定数量的淋浴室用于淋浴。</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（3）在工作场所附近，根据需要设置休息室。休息室可兼作学习、进餐等之用。并考虑生活垃圾的存放和清扫方便。</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（4）在休息室附近设置厕所，所有厕所污水，必须经过处理后才允许排入地面水体。</w:t>
      </w:r>
    </w:p>
    <w:p>
      <w:pPr>
        <w:pStyle w:val="5"/>
        <w:bidi w:val="0"/>
        <w:ind w:left="720" w:leftChars="0" w:hanging="720" w:firstLineChars="0"/>
        <w:rPr>
          <w:rFonts w:hint="eastAsia" w:ascii="Times New Roman" w:cs="Times New Roman"/>
          <w:lang w:val="en-US" w:eastAsia="zh-CN"/>
        </w:rPr>
      </w:pPr>
      <w:bookmarkStart w:id="319" w:name="_Toc15054"/>
      <w:bookmarkStart w:id="320" w:name="_Toc19554"/>
      <w:bookmarkStart w:id="321" w:name="_Toc290388214"/>
      <w:r>
        <w:rPr>
          <w:rFonts w:hint="eastAsia" w:ascii="Times New Roman" w:cs="Times New Roman"/>
          <w:lang w:val="en-US" w:eastAsia="zh-CN"/>
        </w:rPr>
        <w:t>安全卫生管理机构及配置</w:t>
      </w:r>
      <w:bookmarkEnd w:id="319"/>
      <w:bookmarkEnd w:id="320"/>
      <w:bookmarkEnd w:id="321"/>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项目部下设安全卫生管理机构，负责工程项目安全卫生方面的宣传教育和管理工作。</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安全生产是水利工程顺利运行的重要保证，需由主要领导主管该工作，并经常对职工进行安全生产方面的培训。</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卫生管理机构与生产、生活区的医务室统一考虑，管理人员由医务室医务人员兼任。</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为保证职工的卫生管理和生产安全，专职机构可配置一定数量的声级计、温度计、照度计、振动测量仪等监测仪器设备和必要的安全宣传设备和用品。</w:t>
      </w:r>
    </w:p>
    <w:p>
      <w:pPr>
        <w:rPr>
          <w:rFonts w:hint="eastAsia" w:ascii="Times New Roman" w:hAnsi="Times New Roman" w:cs="Times New Roman"/>
          <w:sz w:val="36"/>
          <w:szCs w:val="36"/>
          <w:lang w:val="en-US" w:eastAsia="zh-CN"/>
        </w:rPr>
      </w:pPr>
      <w:r>
        <w:rPr>
          <w:rFonts w:hint="eastAsia" w:ascii="Times New Roman" w:hAnsi="Times New Roman" w:cs="Times New Roman"/>
          <w:sz w:val="36"/>
          <w:szCs w:val="36"/>
          <w:lang w:val="en-US" w:eastAsia="zh-CN"/>
        </w:rPr>
        <w:br w:type="page"/>
      </w: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eastAsia" w:ascii="Times New Roman" w:hAnsi="Times New Roman" w:cs="Times New Roman"/>
          <w:b/>
          <w:bCs w:val="0"/>
          <w:sz w:val="36"/>
          <w:szCs w:val="36"/>
          <w:lang w:val="en-US" w:eastAsia="zh-CN"/>
        </w:rPr>
      </w:pPr>
      <w:bookmarkStart w:id="322" w:name="_Toc7279"/>
      <w:r>
        <w:rPr>
          <w:rFonts w:hint="eastAsia" w:ascii="Times New Roman" w:hAnsi="Times New Roman" w:cs="Times New Roman"/>
          <w:b/>
          <w:bCs w:val="0"/>
          <w:sz w:val="36"/>
          <w:szCs w:val="36"/>
          <w:lang w:val="en-US" w:eastAsia="zh-CN"/>
        </w:rPr>
        <w:t>节能评价</w:t>
      </w:r>
      <w:bookmarkEnd w:id="322"/>
    </w:p>
    <w:p>
      <w:pPr>
        <w:pStyle w:val="4"/>
        <w:bidi w:val="0"/>
        <w:ind w:left="575" w:leftChars="0" w:hanging="575" w:firstLineChars="0"/>
        <w:rPr>
          <w:rFonts w:hint="eastAsia" w:ascii="Times New Roman" w:hAnsi="Times New Roman" w:cs="Times New Roman"/>
          <w:lang w:val="en-US" w:eastAsia="zh-CN"/>
        </w:rPr>
      </w:pPr>
      <w:bookmarkStart w:id="323" w:name="_Toc13762"/>
      <w:bookmarkStart w:id="324" w:name="_Toc27962"/>
      <w:r>
        <w:rPr>
          <w:rFonts w:hint="eastAsia" w:ascii="Times New Roman" w:hAnsi="Times New Roman" w:cs="Times New Roman"/>
          <w:lang w:val="en-US" w:eastAsia="zh-CN"/>
        </w:rPr>
        <w:t>设计依据</w:t>
      </w:r>
      <w:bookmarkEnd w:id="323"/>
      <w:bookmarkEnd w:id="324"/>
    </w:p>
    <w:p>
      <w:pPr>
        <w:keepNext w:val="0"/>
        <w:keepLines w:val="0"/>
        <w:pageBreakBefore w:val="0"/>
        <w:widowControl/>
        <w:numPr>
          <w:ilvl w:val="0"/>
          <w:numId w:val="4"/>
        </w:numPr>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《中华人民共和国节约能源法》</w:t>
      </w:r>
    </w:p>
    <w:p>
      <w:pPr>
        <w:keepNext w:val="0"/>
        <w:keepLines w:val="0"/>
        <w:pageBreakBefore w:val="0"/>
        <w:widowControl/>
        <w:numPr>
          <w:ilvl w:val="0"/>
          <w:numId w:val="4"/>
        </w:numPr>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《中华人民共和国可再生能源法》</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（3）《中华人民共和国建筑法》</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（4）《中华人民共和国清洁生产促进法》</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（5）《国务院关于加强节能工作的决定（国发[2006]28号）》</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（6）《工业企业能源管理导则（GB/T15587-2008）》</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（7）《节电措施经济效益计算与评价（GB/T13471-2008）》</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（8）《公共建筑节能设计标准（GB50189-2015）》</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（9）《节能监测技术通则（GBl536-2009）》</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（10）《交体法发[1995]607号《关于交通行业基本建设和技术项目工程可行性研究报告增列“节能篇（章）”暂行规定》；</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（11）《交体法发[1996]354号《〈关于交通行业基本建设和技术项目工程可行性研究报告增列“节能篇（章）”暂行规定〉实施细则》；</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（12）《水运工程节能设计规定》JTS150-2007；</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（13）《交通行业实施节约能源法细则》（交体法发[2000]306号文）；</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（14）《港口基本建设（技术改造）工程项目设计能源综合单耗评估》；</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（15）国家颁发的有关节能政策、法规。</w:t>
      </w:r>
    </w:p>
    <w:p>
      <w:pPr>
        <w:pStyle w:val="4"/>
        <w:bidi w:val="0"/>
        <w:ind w:left="575" w:leftChars="0" w:hanging="575" w:firstLineChars="0"/>
        <w:rPr>
          <w:rFonts w:hint="eastAsia" w:ascii="Times New Roman" w:hAnsi="Times New Roman" w:cs="Times New Roman"/>
          <w:lang w:val="en-US" w:eastAsia="zh-CN"/>
        </w:rPr>
      </w:pPr>
      <w:bookmarkStart w:id="325" w:name="_Toc6410"/>
      <w:bookmarkStart w:id="326" w:name="_Toc3859"/>
      <w:r>
        <w:rPr>
          <w:rFonts w:hint="eastAsia" w:ascii="Times New Roman" w:hAnsi="Times New Roman" w:cs="Times New Roman"/>
          <w:lang w:val="en-US" w:eastAsia="zh-CN"/>
        </w:rPr>
        <w:t>能耗分析</w:t>
      </w:r>
      <w:bookmarkEnd w:id="325"/>
      <w:bookmarkEnd w:id="326"/>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设计应选用节能型产品，合理利用能源，积极采用国内外节约能源的新工艺、新技术、新设备，优先选用技术先进、安全可靠、操作灵活、能耗低、污染少、有节能措施的产品。</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排水泵运转间隔时间，以达到节约电能的目的。</w:t>
      </w:r>
    </w:p>
    <w:p>
      <w:pPr>
        <w:pStyle w:val="4"/>
        <w:bidi w:val="0"/>
        <w:ind w:left="575" w:leftChars="0" w:hanging="575" w:firstLineChars="0"/>
        <w:rPr>
          <w:rFonts w:hint="eastAsia" w:ascii="Times New Roman" w:hAnsi="Times New Roman" w:cs="Times New Roman"/>
          <w:lang w:val="en-US" w:eastAsia="zh-CN"/>
        </w:rPr>
      </w:pPr>
      <w:bookmarkStart w:id="327" w:name="_Toc13171"/>
      <w:bookmarkStart w:id="328" w:name="_Toc290388229"/>
      <w:bookmarkStart w:id="329" w:name="_Toc22512"/>
      <w:bookmarkStart w:id="330" w:name="_Toc275281302"/>
      <w:r>
        <w:rPr>
          <w:rFonts w:hint="eastAsia" w:ascii="Times New Roman" w:hAnsi="Times New Roman" w:cs="Times New Roman"/>
          <w:lang w:val="en-US" w:eastAsia="zh-CN"/>
        </w:rPr>
        <w:t>节能效果综合评价</w:t>
      </w:r>
      <w:bookmarkEnd w:id="327"/>
      <w:bookmarkEnd w:id="328"/>
      <w:bookmarkEnd w:id="329"/>
      <w:bookmarkEnd w:id="330"/>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工程工程实施后，提高了区域防洪排涝能力，是保证社会和谐，促进经济可持续发展的准公益性工程，在政治上和经济上均具有重大意义。本工程建成后，有利于促进当地社会经济及其它各项事业的可持续发展。工程建设符合国家、地方和行业的节能设计标准，工程总体布置、施工组织及机电设备选择充分进行方案比选并考虑节能原则，工程采取的节能措施合理可行。</w:t>
      </w:r>
    </w:p>
    <w:p>
      <w:pPr>
        <w:rPr>
          <w:rFonts w:hint="eastAsia" w:ascii="Times New Roman" w:hAnsi="Times New Roman" w:cs="Times New Roman"/>
          <w:sz w:val="36"/>
          <w:szCs w:val="36"/>
          <w:lang w:val="en-US" w:eastAsia="zh-CN"/>
        </w:rPr>
      </w:pPr>
      <w:r>
        <w:rPr>
          <w:rFonts w:hint="eastAsia" w:ascii="Times New Roman" w:hAnsi="Times New Roman" w:cs="Times New Roman"/>
          <w:sz w:val="36"/>
          <w:szCs w:val="36"/>
          <w:lang w:val="en-US" w:eastAsia="zh-CN"/>
        </w:rPr>
        <w:br w:type="page"/>
      </w: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eastAsia" w:ascii="Times New Roman" w:hAnsi="Times New Roman" w:cs="Times New Roman"/>
          <w:b/>
          <w:bCs w:val="0"/>
          <w:sz w:val="36"/>
          <w:szCs w:val="36"/>
          <w:lang w:val="en-US" w:eastAsia="zh-CN"/>
        </w:rPr>
      </w:pPr>
      <w:bookmarkStart w:id="331" w:name="_Toc5327"/>
      <w:r>
        <w:rPr>
          <w:rFonts w:hint="eastAsia" w:cs="Times New Roman"/>
          <w:b/>
          <w:bCs w:val="0"/>
          <w:sz w:val="36"/>
          <w:szCs w:val="36"/>
          <w:lang w:val="en-US" w:eastAsia="zh-CN"/>
        </w:rPr>
        <w:t>海绵城市建设</w:t>
      </w:r>
      <w:bookmarkEnd w:id="331"/>
    </w:p>
    <w:p>
      <w:pPr>
        <w:pStyle w:val="4"/>
        <w:bidi w:val="0"/>
      </w:pPr>
      <w:bookmarkStart w:id="332" w:name="_Toc9973"/>
      <w:bookmarkStart w:id="333" w:name="_Toc15721"/>
      <w:r>
        <w:rPr>
          <w:rFonts w:hint="eastAsia"/>
          <w:lang w:val="en-US" w:eastAsia="zh-CN"/>
        </w:rPr>
        <w:t>设计依据</w:t>
      </w:r>
      <w:bookmarkEnd w:id="332"/>
      <w:bookmarkEnd w:id="333"/>
      <w:r>
        <w:rPr>
          <w:lang w:val="en-US" w:eastAsia="zh-CN"/>
        </w:rPr>
        <w:t xml:space="preserve"> </w:t>
      </w:r>
    </w:p>
    <w:p>
      <w:pPr>
        <w:pStyle w:val="5"/>
        <w:bidi w:val="0"/>
        <w:ind w:left="720" w:leftChars="0" w:hanging="720" w:firstLineChars="0"/>
        <w:rPr>
          <w:rFonts w:hint="eastAsia" w:ascii="Times New Roman" w:cs="Times New Roman"/>
          <w:lang w:val="en-US" w:eastAsia="zh-CN"/>
        </w:rPr>
      </w:pPr>
      <w:bookmarkStart w:id="334" w:name="_Toc10436"/>
      <w:bookmarkStart w:id="335" w:name="_Toc3372"/>
      <w:r>
        <w:rPr>
          <w:rFonts w:hint="eastAsia" w:ascii="Times New Roman" w:cs="Times New Roman"/>
          <w:lang w:val="en-US" w:eastAsia="zh-CN"/>
        </w:rPr>
        <w:t>相关政策文件</w:t>
      </w:r>
      <w:bookmarkEnd w:id="334"/>
      <w:bookmarkEnd w:id="335"/>
      <w:r>
        <w:rPr>
          <w:rFonts w:hint="eastAsia" w:ascii="Times New Roman" w:cs="Times New Roman"/>
          <w:lang w:val="en-US" w:eastAsia="zh-CN"/>
        </w:rPr>
        <w:t xml:space="preserve"> </w:t>
      </w:r>
    </w:p>
    <w:p>
      <w:pPr>
        <w:keepNext w:val="0"/>
        <w:keepLines w:val="0"/>
        <w:pageBreakBefore w:val="0"/>
        <w:widowControl w:val="0"/>
        <w:numPr>
          <w:ilvl w:val="0"/>
          <w:numId w:val="5"/>
        </w:numPr>
        <w:kinsoku/>
        <w:wordWrap/>
        <w:overflowPunct/>
        <w:topLinePunct w:val="0"/>
        <w:autoSpaceDE/>
        <w:autoSpaceDN/>
        <w:bidi w:val="0"/>
        <w:adjustRightInd/>
        <w:snapToGrid/>
        <w:ind w:left="0" w:leftChars="0" w:firstLine="480" w:firstLineChars="200"/>
        <w:textAlignment w:val="auto"/>
      </w:pPr>
      <w:r>
        <w:t>《国务院办公厅关于推进海绵城市建设的指导意见》（国办发〔2015〕75号）；</w:t>
      </w:r>
    </w:p>
    <w:p>
      <w:pPr>
        <w:keepNext w:val="0"/>
        <w:keepLines w:val="0"/>
        <w:pageBreakBefore w:val="0"/>
        <w:widowControl w:val="0"/>
        <w:numPr>
          <w:ilvl w:val="0"/>
          <w:numId w:val="5"/>
        </w:numPr>
        <w:kinsoku/>
        <w:wordWrap/>
        <w:overflowPunct/>
        <w:topLinePunct w:val="0"/>
        <w:autoSpaceDE/>
        <w:autoSpaceDN/>
        <w:bidi w:val="0"/>
        <w:adjustRightInd/>
        <w:snapToGrid/>
        <w:ind w:left="0" w:leftChars="0" w:firstLine="480" w:firstLineChars="200"/>
        <w:textAlignment w:val="auto"/>
      </w:pPr>
      <w:r>
        <w:t>《住房城乡建设部关于印发海绵城市专项规划编制暂行规定的通知》；</w:t>
      </w:r>
    </w:p>
    <w:p>
      <w:pPr>
        <w:keepNext w:val="0"/>
        <w:keepLines w:val="0"/>
        <w:pageBreakBefore w:val="0"/>
        <w:widowControl w:val="0"/>
        <w:numPr>
          <w:ilvl w:val="0"/>
          <w:numId w:val="5"/>
        </w:numPr>
        <w:kinsoku/>
        <w:wordWrap/>
        <w:overflowPunct/>
        <w:topLinePunct w:val="0"/>
        <w:autoSpaceDE/>
        <w:autoSpaceDN/>
        <w:bidi w:val="0"/>
        <w:adjustRightInd/>
        <w:snapToGrid/>
        <w:ind w:left="0" w:leftChars="0" w:firstLine="480" w:firstLineChars="200"/>
        <w:textAlignment w:val="auto"/>
      </w:pPr>
      <w:r>
        <w:t>《住房城乡建设部办公厅关于印发海绵城市建设绩效评价与考核办法（试行）的通知》（建办城函〔2015〕635 号）；</w:t>
      </w:r>
    </w:p>
    <w:p>
      <w:pPr>
        <w:keepNext w:val="0"/>
        <w:keepLines w:val="0"/>
        <w:pageBreakBefore w:val="0"/>
        <w:widowControl w:val="0"/>
        <w:numPr>
          <w:ilvl w:val="0"/>
          <w:numId w:val="5"/>
        </w:numPr>
        <w:kinsoku/>
        <w:wordWrap/>
        <w:overflowPunct/>
        <w:topLinePunct w:val="0"/>
        <w:autoSpaceDE/>
        <w:autoSpaceDN/>
        <w:bidi w:val="0"/>
        <w:adjustRightInd/>
        <w:snapToGrid/>
        <w:ind w:left="0" w:leftChars="0" w:firstLine="480" w:firstLineChars="200"/>
        <w:textAlignment w:val="auto"/>
      </w:pPr>
      <w:r>
        <w:t>《广东省人民政府办公厅关于推进海绵城市建设的实施意见》（粤府办〔2016〕53 号）；</w:t>
      </w:r>
    </w:p>
    <w:p>
      <w:pPr>
        <w:keepNext w:val="0"/>
        <w:keepLines w:val="0"/>
        <w:pageBreakBefore w:val="0"/>
        <w:widowControl w:val="0"/>
        <w:numPr>
          <w:ilvl w:val="0"/>
          <w:numId w:val="5"/>
        </w:numPr>
        <w:kinsoku/>
        <w:wordWrap/>
        <w:overflowPunct/>
        <w:topLinePunct w:val="0"/>
        <w:autoSpaceDE/>
        <w:autoSpaceDN/>
        <w:bidi w:val="0"/>
        <w:adjustRightInd/>
        <w:snapToGrid/>
        <w:ind w:left="0" w:leftChars="0" w:firstLine="480" w:firstLineChars="200"/>
        <w:textAlignment w:val="auto"/>
      </w:pPr>
      <w:r>
        <w:t>《广州市住房和城乡建设委员会 广州市水务局广州市国土资源和规划委员会广州市林业和园林局关于印发实施广州市海绵城市建设工作方案的通知》（穗建督办〔2016〕1701 号）等法律法规文件；</w:t>
      </w:r>
    </w:p>
    <w:p>
      <w:pPr>
        <w:keepNext w:val="0"/>
        <w:keepLines w:val="0"/>
        <w:pageBreakBefore w:val="0"/>
        <w:widowControl w:val="0"/>
        <w:numPr>
          <w:ilvl w:val="0"/>
          <w:numId w:val="5"/>
        </w:numPr>
        <w:kinsoku/>
        <w:wordWrap/>
        <w:overflowPunct/>
        <w:topLinePunct w:val="0"/>
        <w:autoSpaceDE/>
        <w:autoSpaceDN/>
        <w:bidi w:val="0"/>
        <w:adjustRightInd/>
        <w:snapToGrid/>
        <w:ind w:left="0" w:leftChars="0" w:firstLine="480" w:firstLineChars="200"/>
        <w:textAlignment w:val="auto"/>
      </w:pPr>
      <w:r>
        <w:t>《广东省住房和城乡建设厅关于印发广东省海绵城市建设实施指引(2016-2020 年)的通知》（粤建城〔2017〕188号）；</w:t>
      </w:r>
    </w:p>
    <w:p>
      <w:pPr>
        <w:keepNext w:val="0"/>
        <w:keepLines w:val="0"/>
        <w:pageBreakBefore w:val="0"/>
        <w:widowControl w:val="0"/>
        <w:numPr>
          <w:ilvl w:val="0"/>
          <w:numId w:val="5"/>
        </w:numPr>
        <w:kinsoku/>
        <w:wordWrap/>
        <w:overflowPunct/>
        <w:topLinePunct w:val="0"/>
        <w:autoSpaceDE/>
        <w:autoSpaceDN/>
        <w:bidi w:val="0"/>
        <w:adjustRightInd/>
        <w:snapToGrid/>
        <w:ind w:left="0" w:leftChars="0" w:firstLine="480" w:firstLineChars="200"/>
        <w:textAlignment w:val="auto"/>
      </w:pPr>
      <w:r>
        <w:t>《广州市住房城乡建设委广州市水务局 广州市国土资源和规划委员会广州市林业和园林局关于印发广州市海绵城市规划建设管理暂行办法》的通知（穗建规字〔2017〕6号）；</w:t>
      </w:r>
    </w:p>
    <w:p>
      <w:pPr>
        <w:keepNext w:val="0"/>
        <w:keepLines w:val="0"/>
        <w:pageBreakBefore w:val="0"/>
        <w:widowControl w:val="0"/>
        <w:numPr>
          <w:ilvl w:val="0"/>
          <w:numId w:val="5"/>
        </w:numPr>
        <w:kinsoku/>
        <w:wordWrap/>
        <w:overflowPunct/>
        <w:topLinePunct w:val="0"/>
        <w:autoSpaceDE/>
        <w:autoSpaceDN/>
        <w:bidi w:val="0"/>
        <w:adjustRightInd/>
        <w:snapToGrid/>
        <w:ind w:left="0" w:leftChars="0" w:firstLine="480" w:firstLineChars="200"/>
        <w:textAlignment w:val="auto"/>
      </w:pPr>
      <w:r>
        <w:t>《广州市国土资源和规划委员会关于做好海绵城市规划编制深化有关工作的函》（穗国土规划函〔2018〕1506号）。</w:t>
      </w:r>
    </w:p>
    <w:p>
      <w:pPr>
        <w:pStyle w:val="5"/>
        <w:bidi w:val="0"/>
        <w:ind w:left="720" w:leftChars="0" w:hanging="720" w:firstLineChars="0"/>
        <w:rPr>
          <w:rFonts w:hint="eastAsia" w:ascii="Times New Roman" w:cs="Times New Roman"/>
          <w:lang w:val="en-US" w:eastAsia="zh-CN"/>
        </w:rPr>
      </w:pPr>
      <w:bookmarkStart w:id="336" w:name="_Toc10688"/>
      <w:bookmarkStart w:id="337" w:name="_Toc21458"/>
      <w:r>
        <w:rPr>
          <w:rFonts w:hint="eastAsia" w:ascii="Times New Roman" w:cs="Times New Roman"/>
          <w:lang w:val="en-US" w:eastAsia="zh-CN"/>
        </w:rPr>
        <w:t>采用的主要规范和标准</w:t>
      </w:r>
      <w:bookmarkEnd w:id="336"/>
      <w:bookmarkEnd w:id="337"/>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《海绵城市建设技术指南——低影响开发雨水系统构建（试行）》；</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《海绵城市建设绩效评价与考核办法（试行）》；</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《海绵城市专项规划编制暂行规定》（建规[2016]50号）；</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《海绵城市建设评价标准》（GB/T 51345-2018）；</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《海绵城市监测技术指南》；</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《广州市海绵城市规划建设管理暂行办法》；</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《广州市海绵城市规划建设管理暂行办法》（穗建规字〔2017〕6号）；</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《广州市海绵城工程施与质量验收标准》（试行）；</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《广州市海绵城建设技术指引及标准图集》（试行）；</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《广州市海绵城市绿地建设指导意见（试行）》</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《广东省海绵城市建设管理与评价细则》</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《广州市建设项目雨水径流控制办法》</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《广州市海绵城市规划设计导则》</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 xml:space="preserve">《广州市水务工程项目海绵城市建设技术指引》 </w:t>
      </w:r>
      <w:r>
        <w:rPr>
          <w:rFonts w:hint="eastAsia"/>
          <w:lang w:eastAsia="zh-CN"/>
        </w:rPr>
        <w:t>（</w:t>
      </w:r>
      <w:r>
        <w:rPr>
          <w:rFonts w:hint="eastAsia"/>
          <w:lang w:val="en-US" w:eastAsia="zh-CN"/>
        </w:rPr>
        <w:t>2019.11）</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《广州海绵城市建设工程施工与质量验收标准》</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《广州市海绵型道路建设技术指引》</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 xml:space="preserve">《广州市海绵城市建设指标体系（试行）》  </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《广州市建设项目雨水径流控制办法》</w:t>
      </w:r>
    </w:p>
    <w:p>
      <w:pPr>
        <w:keepNext w:val="0"/>
        <w:keepLines w:val="0"/>
        <w:pageBreakBefore w:val="0"/>
        <w:widowControl w:val="0"/>
        <w:numPr>
          <w:ilvl w:val="0"/>
          <w:numId w:val="6"/>
        </w:numPr>
        <w:kinsoku/>
        <w:wordWrap/>
        <w:overflowPunct/>
        <w:topLinePunct w:val="0"/>
        <w:autoSpaceDE/>
        <w:autoSpaceDN/>
        <w:bidi w:val="0"/>
        <w:adjustRightInd/>
        <w:snapToGrid/>
        <w:ind w:left="0" w:leftChars="0" w:firstLine="480" w:firstLineChars="200"/>
        <w:textAlignment w:val="auto"/>
      </w:pPr>
      <w:r>
        <w:t>《番禺区海绵城市专项规划》。</w:t>
      </w:r>
    </w:p>
    <w:p>
      <w:pPr>
        <w:pStyle w:val="4"/>
        <w:bidi w:val="0"/>
        <w:ind w:firstLine="0"/>
        <w:rPr>
          <w:rFonts w:hint="eastAsia" w:ascii="Times New Roman" w:hAnsi="Times New Roman"/>
          <w:lang w:val="en-US" w:eastAsia="zh-CN"/>
        </w:rPr>
      </w:pPr>
      <w:bookmarkStart w:id="338" w:name="_Toc5694"/>
      <w:bookmarkStart w:id="339" w:name="_Toc17920"/>
      <w:r>
        <w:rPr>
          <w:rFonts w:hint="eastAsia" w:ascii="Times New Roman" w:hAnsi="Times New Roman"/>
          <w:lang w:val="en-US" w:eastAsia="zh-CN"/>
        </w:rPr>
        <w:t>项目概况</w:t>
      </w:r>
      <w:bookmarkEnd w:id="338"/>
      <w:bookmarkEnd w:id="339"/>
      <w:r>
        <w:rPr>
          <w:rFonts w:hint="eastAsia" w:ascii="Times New Roman" w:hAnsi="Times New Roman"/>
          <w:lang w:val="en-US" w:eastAsia="zh-CN"/>
        </w:rPr>
        <w:t xml:space="preserve"> </w:t>
      </w:r>
    </w:p>
    <w:p>
      <w:pPr>
        <w:pStyle w:val="5"/>
        <w:bidi w:val="0"/>
        <w:ind w:left="720" w:leftChars="0" w:hanging="720" w:firstLineChars="0"/>
        <w:rPr>
          <w:rFonts w:hint="eastAsia" w:ascii="Times New Roman" w:cs="Times New Roman"/>
          <w:lang w:val="en-US" w:eastAsia="zh-CN"/>
        </w:rPr>
      </w:pPr>
      <w:bookmarkStart w:id="340" w:name="_Toc9038"/>
      <w:bookmarkStart w:id="341" w:name="_Toc15448"/>
      <w:r>
        <w:rPr>
          <w:rFonts w:hint="eastAsia" w:ascii="Times New Roman" w:cs="Times New Roman"/>
          <w:lang w:val="en-US" w:eastAsia="zh-CN"/>
        </w:rPr>
        <w:t>工程基本情况</w:t>
      </w:r>
      <w:bookmarkEnd w:id="340"/>
      <w:bookmarkEnd w:id="341"/>
    </w:p>
    <w:p>
      <w:pPr>
        <w:bidi w:val="0"/>
      </w:pPr>
      <w:r>
        <w:rPr>
          <w:rFonts w:hint="eastAsia"/>
          <w:lang w:val="en-US" w:eastAsia="zh-CN"/>
        </w:rPr>
        <w:t>桥南街大蕴涌排涝通道改造工程分二塱西街侧及二塱东街侧，</w:t>
      </w:r>
      <w:r>
        <w:rPr>
          <w:rFonts w:hint="default"/>
          <w:lang w:val="en-US" w:eastAsia="zh-CN"/>
        </w:rPr>
        <w:t>二塱西街侧改造范围位于二塱水闸上游约1</w:t>
      </w:r>
      <w:r>
        <w:rPr>
          <w:rFonts w:hint="eastAsia"/>
          <w:lang w:val="en-US" w:eastAsia="zh-CN"/>
        </w:rPr>
        <w:t>6</w:t>
      </w:r>
      <w:r>
        <w:rPr>
          <w:rFonts w:hint="default"/>
          <w:lang w:val="en-US" w:eastAsia="zh-CN"/>
        </w:rPr>
        <w:t>0~320m处，改造总长度为1</w:t>
      </w:r>
      <w:r>
        <w:rPr>
          <w:rFonts w:hint="eastAsia"/>
          <w:lang w:val="en-US" w:eastAsia="zh-CN"/>
        </w:rPr>
        <w:t>6</w:t>
      </w:r>
      <w:r>
        <w:rPr>
          <w:rFonts w:hint="default"/>
          <w:lang w:val="en-US" w:eastAsia="zh-CN"/>
        </w:rPr>
        <w:t>0m；二塱东街侧改造范围位于福愉东路以南约50~8</w:t>
      </w:r>
      <w:r>
        <w:rPr>
          <w:rFonts w:hint="eastAsia"/>
          <w:lang w:val="en-US" w:eastAsia="zh-CN"/>
        </w:rPr>
        <w:t>6</w:t>
      </w:r>
      <w:r>
        <w:rPr>
          <w:rFonts w:hint="default"/>
          <w:lang w:val="en-US" w:eastAsia="zh-CN"/>
        </w:rPr>
        <w:t>m处，改造总长度为3</w:t>
      </w:r>
      <w:r>
        <w:rPr>
          <w:rFonts w:hint="eastAsia"/>
          <w:lang w:val="en-US" w:eastAsia="zh-CN"/>
        </w:rPr>
        <w:t>6</w:t>
      </w:r>
      <w:r>
        <w:rPr>
          <w:rFonts w:hint="default"/>
          <w:lang w:val="en-US" w:eastAsia="zh-CN"/>
        </w:rPr>
        <w:t>m</w:t>
      </w:r>
      <w:r>
        <w:rPr>
          <w:rFonts w:hint="eastAsia"/>
          <w:lang w:val="en-US" w:eastAsia="zh-CN"/>
        </w:rPr>
        <w:t>。</w:t>
      </w:r>
    </w:p>
    <w:p>
      <w:pPr>
        <w:pStyle w:val="5"/>
        <w:bidi w:val="0"/>
        <w:ind w:left="720" w:leftChars="0" w:hanging="720" w:firstLineChars="0"/>
        <w:rPr>
          <w:rFonts w:hint="eastAsia" w:ascii="Times New Roman" w:cs="Times New Roman"/>
          <w:lang w:val="en-US" w:eastAsia="zh-CN"/>
        </w:rPr>
      </w:pPr>
      <w:bookmarkStart w:id="342" w:name="_Toc30935"/>
      <w:bookmarkStart w:id="343" w:name="_Toc15861"/>
      <w:r>
        <w:rPr>
          <w:rFonts w:hint="eastAsia" w:ascii="Times New Roman" w:cs="Times New Roman"/>
          <w:lang w:val="en-US" w:eastAsia="zh-CN"/>
        </w:rPr>
        <w:t>区域自然条件</w:t>
      </w:r>
      <w:bookmarkEnd w:id="342"/>
      <w:bookmarkEnd w:id="343"/>
    </w:p>
    <w:p>
      <w:pPr>
        <w:keepNext w:val="0"/>
        <w:keepLines w:val="0"/>
        <w:pageBreakBefore w:val="0"/>
        <w:widowControl w:val="0"/>
        <w:numPr>
          <w:ilvl w:val="0"/>
          <w:numId w:val="7"/>
        </w:numPr>
        <w:kinsoku/>
        <w:wordWrap/>
        <w:overflowPunct/>
        <w:topLinePunct w:val="0"/>
        <w:autoSpaceDE/>
        <w:autoSpaceDN/>
        <w:bidi w:val="0"/>
        <w:adjustRightInd/>
        <w:snapToGrid/>
        <w:ind w:left="0" w:leftChars="0" w:firstLine="480" w:firstLineChars="200"/>
        <w:textAlignment w:val="auto"/>
      </w:pPr>
      <w:r>
        <w:rPr>
          <w:rFonts w:hint="eastAsia"/>
          <w:lang w:val="en-US" w:eastAsia="zh-CN"/>
        </w:rPr>
        <w:t xml:space="preserve">降雨 </w:t>
      </w:r>
    </w:p>
    <w:p>
      <w:pPr>
        <w:bidi w:val="0"/>
      </w:pPr>
      <w:r>
        <w:rPr>
          <w:rFonts w:hint="eastAsia"/>
          <w:lang w:val="en-US" w:eastAsia="zh-CN"/>
        </w:rPr>
        <w:t>流域内多年平均降雨量 1633</w:t>
      </w:r>
      <w:r>
        <w:rPr>
          <w:rFonts w:hint="default"/>
          <w:lang w:val="en-US" w:eastAsia="zh-CN"/>
        </w:rPr>
        <w:t>mm</w:t>
      </w:r>
      <w:r>
        <w:rPr>
          <w:rFonts w:hint="eastAsia"/>
          <w:lang w:val="en-US" w:eastAsia="zh-CN"/>
        </w:rPr>
        <w:t>，最大年降雨量为2653</w:t>
      </w:r>
      <w:r>
        <w:rPr>
          <w:rFonts w:hint="default"/>
          <w:lang w:val="en-US" w:eastAsia="zh-CN"/>
        </w:rPr>
        <w:t>mm</w:t>
      </w:r>
      <w:r>
        <w:rPr>
          <w:rFonts w:hint="eastAsia"/>
          <w:lang w:val="en-US" w:eastAsia="zh-CN"/>
        </w:rPr>
        <w:t>，最小年降雨量为 1030</w:t>
      </w:r>
      <w:r>
        <w:rPr>
          <w:rFonts w:hint="default"/>
          <w:lang w:val="en-US" w:eastAsia="zh-CN"/>
        </w:rPr>
        <w:t>mm</w:t>
      </w:r>
      <w:r>
        <w:rPr>
          <w:rFonts w:hint="eastAsia"/>
          <w:lang w:val="en-US" w:eastAsia="zh-CN"/>
        </w:rPr>
        <w:t xml:space="preserve">。 </w:t>
      </w:r>
    </w:p>
    <w:p>
      <w:pPr>
        <w:keepNext w:val="0"/>
        <w:keepLines w:val="0"/>
        <w:pageBreakBefore w:val="0"/>
        <w:widowControl w:val="0"/>
        <w:numPr>
          <w:ilvl w:val="0"/>
          <w:numId w:val="7"/>
        </w:numPr>
        <w:kinsoku/>
        <w:wordWrap/>
        <w:overflowPunct/>
        <w:topLinePunct w:val="0"/>
        <w:autoSpaceDE/>
        <w:autoSpaceDN/>
        <w:bidi w:val="0"/>
        <w:adjustRightInd/>
        <w:snapToGrid/>
        <w:ind w:left="0" w:leftChars="0" w:firstLine="480" w:firstLineChars="200"/>
        <w:textAlignment w:val="auto"/>
      </w:pPr>
      <w:r>
        <w:rPr>
          <w:rFonts w:hint="eastAsia"/>
          <w:lang w:val="en-US" w:eastAsia="zh-CN"/>
        </w:rPr>
        <w:t xml:space="preserve">地表水 </w:t>
      </w:r>
    </w:p>
    <w:p>
      <w:pPr>
        <w:bidi w:val="0"/>
        <w:ind w:left="0" w:leftChars="0" w:firstLine="480" w:firstLineChars="200"/>
      </w:pPr>
      <w:r>
        <w:rPr>
          <w:rFonts w:hint="eastAsia"/>
          <w:lang w:val="en-US" w:eastAsia="zh-CN"/>
        </w:rPr>
        <w:t>场区内地表水主要为大蕴涌及沙湾水道，大蕴涌流域面积为0.7</w:t>
      </w:r>
      <w:r>
        <w:rPr>
          <w:rFonts w:hint="default"/>
          <w:lang w:val="en-US" w:eastAsia="zh-CN"/>
        </w:rPr>
        <w:t>km</w:t>
      </w:r>
      <w:r>
        <w:rPr>
          <w:rFonts w:hint="default"/>
          <w:vertAlign w:val="superscript"/>
          <w:lang w:val="en-US" w:eastAsia="zh-CN"/>
        </w:rPr>
        <w:t>2</w:t>
      </w:r>
    </w:p>
    <w:p>
      <w:pPr>
        <w:keepNext w:val="0"/>
        <w:keepLines w:val="0"/>
        <w:pageBreakBefore w:val="0"/>
        <w:widowControl w:val="0"/>
        <w:numPr>
          <w:ilvl w:val="0"/>
          <w:numId w:val="7"/>
        </w:numPr>
        <w:kinsoku/>
        <w:wordWrap/>
        <w:overflowPunct/>
        <w:topLinePunct w:val="0"/>
        <w:autoSpaceDE/>
        <w:autoSpaceDN/>
        <w:bidi w:val="0"/>
        <w:adjustRightInd/>
        <w:snapToGrid/>
        <w:ind w:left="0" w:leftChars="0" w:firstLine="480" w:firstLineChars="200"/>
        <w:textAlignment w:val="auto"/>
      </w:pPr>
      <w:r>
        <w:rPr>
          <w:rFonts w:hint="eastAsia"/>
          <w:lang w:val="en-US" w:eastAsia="zh-CN"/>
        </w:rPr>
        <w:t>地下水</w:t>
      </w:r>
    </w:p>
    <w:p>
      <w:r>
        <w:rPr>
          <w:rFonts w:hint="eastAsia" w:ascii="Times New Roman" w:hAnsi="Times New Roman" w:cs="Times New Roman" w:eastAsiaTheme="minorEastAsia"/>
          <w:sz w:val="24"/>
          <w:szCs w:val="24"/>
          <w:lang w:val="en-US" w:eastAsia="zh-CN"/>
        </w:rPr>
        <w:t>地下水埋深一般为</w:t>
      </w:r>
      <w:r>
        <w:rPr>
          <w:rFonts w:hint="eastAsia" w:cs="Times New Roman" w:eastAsiaTheme="minorEastAsia"/>
          <w:sz w:val="24"/>
          <w:szCs w:val="24"/>
          <w:lang w:val="en-US" w:eastAsia="zh-CN"/>
        </w:rPr>
        <w:t>0.50</w:t>
      </w:r>
      <w:r>
        <w:rPr>
          <w:rFonts w:hint="eastAsia" w:ascii="Times New Roman" w:hAnsi="Times New Roman" w:cs="Times New Roman" w:eastAsiaTheme="minorEastAsia"/>
          <w:sz w:val="24"/>
          <w:szCs w:val="24"/>
          <w:lang w:val="en-US" w:eastAsia="zh-CN"/>
        </w:rPr>
        <w:t>～</w:t>
      </w:r>
      <w:r>
        <w:rPr>
          <w:rFonts w:hint="eastAsia" w:cs="Times New Roman" w:eastAsiaTheme="minorEastAsia"/>
          <w:sz w:val="24"/>
          <w:szCs w:val="24"/>
          <w:lang w:val="en-US" w:eastAsia="zh-CN"/>
        </w:rPr>
        <w:t>2.50</w:t>
      </w:r>
      <w:r>
        <w:rPr>
          <w:rFonts w:hint="eastAsia" w:ascii="Times New Roman" w:hAnsi="Times New Roman" w:cs="Times New Roman" w:eastAsiaTheme="minorEastAsia"/>
          <w:sz w:val="24"/>
          <w:szCs w:val="24"/>
          <w:lang w:val="en-US" w:eastAsia="zh-CN"/>
        </w:rPr>
        <w:t>m不等，其主要补给来源为大气降水及河涌水。地下水的排泄以蒸发为主，其次为人工开采和侧向径流排入河涌。</w:t>
      </w:r>
    </w:p>
    <w:p>
      <w:pPr>
        <w:pStyle w:val="5"/>
        <w:bidi w:val="0"/>
        <w:ind w:left="720" w:leftChars="0" w:hanging="720" w:firstLineChars="0"/>
        <w:rPr>
          <w:rFonts w:hint="eastAsia" w:ascii="Times New Roman" w:cs="Times New Roman"/>
          <w:lang w:val="en-US" w:eastAsia="zh-CN"/>
        </w:rPr>
      </w:pPr>
      <w:bookmarkStart w:id="344" w:name="_Toc21762"/>
      <w:bookmarkStart w:id="345" w:name="_Toc31070"/>
      <w:r>
        <w:rPr>
          <w:rFonts w:hint="eastAsia" w:ascii="Times New Roman" w:cs="Times New Roman"/>
          <w:lang w:val="en-US" w:eastAsia="zh-CN"/>
        </w:rPr>
        <w:t>现状情况分析</w:t>
      </w:r>
      <w:bookmarkEnd w:id="344"/>
      <w:bookmarkEnd w:id="345"/>
      <w:r>
        <w:rPr>
          <w:rFonts w:hint="eastAsia" w:ascii="Times New Roman" w:cs="Times New Roman"/>
          <w:lang w:val="en-US" w:eastAsia="zh-CN"/>
        </w:rPr>
        <w:t xml:space="preserve"> </w:t>
      </w:r>
    </w:p>
    <w:p>
      <w:pPr>
        <w:keepNext w:val="0"/>
        <w:keepLines w:val="0"/>
        <w:pageBreakBefore w:val="0"/>
        <w:widowControl w:val="0"/>
        <w:numPr>
          <w:ilvl w:val="0"/>
          <w:numId w:val="8"/>
        </w:numPr>
        <w:kinsoku/>
        <w:wordWrap/>
        <w:overflowPunct/>
        <w:topLinePunct w:val="0"/>
        <w:autoSpaceDE/>
        <w:autoSpaceDN/>
        <w:bidi w:val="0"/>
        <w:adjustRightInd/>
        <w:snapToGrid/>
        <w:ind w:left="0" w:leftChars="0" w:firstLine="480" w:firstLineChars="200"/>
        <w:textAlignment w:val="auto"/>
      </w:pPr>
      <w:r>
        <w:rPr>
          <w:rFonts w:hint="eastAsia"/>
          <w:lang w:val="en-US" w:eastAsia="zh-CN"/>
        </w:rPr>
        <w:t xml:space="preserve">下垫面情况 </w:t>
      </w:r>
    </w:p>
    <w:p>
      <w:pPr>
        <w:bidi w:val="0"/>
      </w:pPr>
      <w:r>
        <w:rPr>
          <w:rFonts w:hint="eastAsia"/>
          <w:lang w:val="en-US" w:eastAsia="zh-CN"/>
        </w:rPr>
        <w:t xml:space="preserve">设计范围内下垫面现状为硬质铺装的透水砖和混凝土路面、下沉式绿地和植草护坡。 </w:t>
      </w:r>
    </w:p>
    <w:p>
      <w:pPr>
        <w:keepNext w:val="0"/>
        <w:keepLines w:val="0"/>
        <w:pageBreakBefore w:val="0"/>
        <w:widowControl w:val="0"/>
        <w:numPr>
          <w:ilvl w:val="0"/>
          <w:numId w:val="8"/>
        </w:numPr>
        <w:kinsoku/>
        <w:wordWrap/>
        <w:overflowPunct/>
        <w:topLinePunct w:val="0"/>
        <w:autoSpaceDE/>
        <w:autoSpaceDN/>
        <w:bidi w:val="0"/>
        <w:adjustRightInd/>
        <w:snapToGrid/>
        <w:ind w:left="0" w:leftChars="0" w:firstLine="480" w:firstLineChars="200"/>
        <w:textAlignment w:val="auto"/>
      </w:pPr>
      <w:r>
        <w:rPr>
          <w:rFonts w:hint="eastAsia"/>
          <w:lang w:val="en-US" w:eastAsia="zh-CN"/>
        </w:rPr>
        <w:t xml:space="preserve">水环境现状 </w:t>
      </w:r>
    </w:p>
    <w:p>
      <w:pPr>
        <w:bidi w:val="0"/>
      </w:pPr>
      <w:r>
        <w:rPr>
          <w:rFonts w:hint="eastAsia"/>
          <w:lang w:val="en-US" w:eastAsia="zh-CN"/>
        </w:rPr>
        <w:t xml:space="preserve">周边雨水散排入河涌。 </w:t>
      </w:r>
    </w:p>
    <w:p>
      <w:pPr>
        <w:pStyle w:val="4"/>
        <w:bidi w:val="0"/>
        <w:ind w:firstLine="0"/>
        <w:rPr>
          <w:rFonts w:hint="eastAsia" w:ascii="Times New Roman" w:hAnsi="Times New Roman"/>
          <w:lang w:val="en-US" w:eastAsia="zh-CN"/>
        </w:rPr>
      </w:pPr>
      <w:bookmarkStart w:id="346" w:name="_Toc31702"/>
      <w:bookmarkStart w:id="347" w:name="_Toc29017"/>
      <w:r>
        <w:rPr>
          <w:rFonts w:hint="eastAsia" w:ascii="Times New Roman" w:hAnsi="Times New Roman"/>
          <w:lang w:val="en-US" w:eastAsia="zh-CN"/>
        </w:rPr>
        <w:t>设计内容</w:t>
      </w:r>
      <w:bookmarkEnd w:id="346"/>
      <w:bookmarkEnd w:id="347"/>
    </w:p>
    <w:p>
      <w:pPr>
        <w:pStyle w:val="5"/>
        <w:bidi w:val="0"/>
        <w:ind w:left="720" w:leftChars="0" w:hanging="720" w:firstLineChars="0"/>
        <w:rPr>
          <w:rFonts w:hint="default" w:ascii="Times New Roman" w:cs="Times New Roman"/>
          <w:lang w:val="en-US" w:eastAsia="zh-CN"/>
        </w:rPr>
      </w:pPr>
      <w:bookmarkStart w:id="348" w:name="_Toc13826"/>
      <w:bookmarkStart w:id="349" w:name="_Toc29759"/>
      <w:r>
        <w:rPr>
          <w:rFonts w:hint="eastAsia" w:ascii="Times New Roman" w:cs="Times New Roman"/>
          <w:lang w:val="en-US" w:eastAsia="zh-CN"/>
        </w:rPr>
        <w:t>相关上位规划、规划设计条件要求</w:t>
      </w:r>
      <w:bookmarkEnd w:id="348"/>
      <w:bookmarkEnd w:id="349"/>
    </w:p>
    <w:p>
      <w:pPr>
        <w:bidi w:val="0"/>
      </w:pPr>
      <w:r>
        <w:t>广州市海绵城市建设旨在构建健康的区域水生态系统，为城市发展提供完善的水生态系统服务；综合采取“渗、滞、蓄、净、用、排”等措施，最大限度地减少城市开发建设对生态环境的影响，将70%的降雨就地消纳和利用。到2020年，城市建成区20%以上的面积达到目标要求;到2030年，城市建成区80%以上的面积达到目标要求。水安全方面，完善和提升地表、地下蓄排水系统，有效防范城市洪涝灾害，有效应对50年一遇暴雨，防洪标准达20～200年一遇。</w:t>
      </w:r>
    </w:p>
    <w:p>
      <w:pPr>
        <w:pStyle w:val="5"/>
        <w:bidi w:val="0"/>
        <w:ind w:left="720" w:leftChars="0" w:hanging="720" w:firstLineChars="0"/>
        <w:rPr>
          <w:rFonts w:hint="eastAsia" w:ascii="Times New Roman" w:cs="Times New Roman"/>
          <w:lang w:val="en-US" w:eastAsia="zh-CN"/>
        </w:rPr>
      </w:pPr>
      <w:bookmarkStart w:id="350" w:name="_Toc25525"/>
      <w:bookmarkStart w:id="351" w:name="_Toc25731"/>
      <w:r>
        <w:rPr>
          <w:rFonts w:hint="eastAsia" w:ascii="Times New Roman" w:cs="Times New Roman"/>
          <w:lang w:val="en-US" w:eastAsia="zh-CN"/>
        </w:rPr>
        <w:t>设计原则</w:t>
      </w:r>
      <w:bookmarkEnd w:id="350"/>
      <w:bookmarkEnd w:id="351"/>
      <w:r>
        <w:rPr>
          <w:rFonts w:hint="eastAsia" w:ascii="Times New Roman" w:cs="Times New Roman"/>
          <w:lang w:val="en-US" w:eastAsia="zh-CN"/>
        </w:rPr>
        <w:t xml:space="preserve"> </w:t>
      </w:r>
    </w:p>
    <w:p>
      <w:pPr>
        <w:keepNext w:val="0"/>
        <w:keepLines w:val="0"/>
        <w:pageBreakBefore w:val="0"/>
        <w:widowControl w:val="0"/>
        <w:numPr>
          <w:ilvl w:val="0"/>
          <w:numId w:val="9"/>
        </w:numPr>
        <w:kinsoku/>
        <w:wordWrap/>
        <w:overflowPunct/>
        <w:topLinePunct w:val="0"/>
        <w:autoSpaceDE/>
        <w:autoSpaceDN/>
        <w:bidi w:val="0"/>
        <w:adjustRightInd/>
        <w:snapToGrid/>
        <w:ind w:left="0" w:leftChars="0" w:firstLine="480" w:firstLineChars="200"/>
        <w:textAlignment w:val="auto"/>
      </w:pPr>
      <w:r>
        <w:t>安全为本。以保护人民生命财产安全和社会经济安全为出发点，综合采用工程和非工程措施，提高低影响开发设施的建设质量和管理水平，消除安全隐患，增强防灾减灾能力，保障城市水安全。</w:t>
      </w:r>
    </w:p>
    <w:p>
      <w:pPr>
        <w:keepNext w:val="0"/>
        <w:keepLines w:val="0"/>
        <w:pageBreakBefore w:val="0"/>
        <w:widowControl w:val="0"/>
        <w:numPr>
          <w:ilvl w:val="0"/>
          <w:numId w:val="9"/>
        </w:numPr>
        <w:kinsoku/>
        <w:wordWrap/>
        <w:overflowPunct/>
        <w:topLinePunct w:val="0"/>
        <w:autoSpaceDE/>
        <w:autoSpaceDN/>
        <w:bidi w:val="0"/>
        <w:adjustRightInd/>
        <w:snapToGrid/>
        <w:ind w:left="0" w:leftChars="0" w:firstLine="480" w:firstLineChars="200"/>
        <w:textAlignment w:val="auto"/>
      </w:pPr>
      <w:r>
        <w:t>生态优先。应遵循海绵城市建设的宗旨，保护山水林田湖草等自然生态格局，维系生态本底的渗透、滞蓄、蒸发（腾）、径流等水文特征，保护和恢复降雨径流的自然积存、自然渗透、自然净化。</w:t>
      </w:r>
    </w:p>
    <w:p>
      <w:pPr>
        <w:keepNext w:val="0"/>
        <w:keepLines w:val="0"/>
        <w:pageBreakBefore w:val="0"/>
        <w:widowControl w:val="0"/>
        <w:numPr>
          <w:ilvl w:val="0"/>
          <w:numId w:val="9"/>
        </w:numPr>
        <w:kinsoku/>
        <w:wordWrap/>
        <w:overflowPunct/>
        <w:topLinePunct w:val="0"/>
        <w:autoSpaceDE/>
        <w:autoSpaceDN/>
        <w:bidi w:val="0"/>
        <w:adjustRightInd/>
        <w:snapToGrid/>
        <w:ind w:left="0" w:leftChars="0" w:firstLine="480" w:firstLineChars="200"/>
        <w:textAlignment w:val="auto"/>
      </w:pPr>
      <w:r>
        <w:t>系统协调。应遵循海绵城市建设的技术路线与方法，目标与问题导向相结合，按照“源头减排、过程控制、系统治理”理念系统谋划，因地制宜，灰绿结合、蓝绿交融，采用“渗、滞、蓄、净、用、排”等方法综合施策。</w:t>
      </w:r>
    </w:p>
    <w:p>
      <w:pPr>
        <w:keepNext w:val="0"/>
        <w:keepLines w:val="0"/>
        <w:pageBreakBefore w:val="0"/>
        <w:widowControl w:val="0"/>
        <w:numPr>
          <w:ilvl w:val="0"/>
          <w:numId w:val="9"/>
        </w:numPr>
        <w:kinsoku/>
        <w:wordWrap/>
        <w:overflowPunct/>
        <w:topLinePunct w:val="0"/>
        <w:autoSpaceDE/>
        <w:autoSpaceDN/>
        <w:bidi w:val="0"/>
        <w:adjustRightInd/>
        <w:snapToGrid/>
        <w:ind w:left="0" w:leftChars="0" w:firstLine="480" w:firstLineChars="200"/>
        <w:textAlignment w:val="auto"/>
      </w:pPr>
      <w:r>
        <w:t>因地制宜。项目建设中应遵循因地制宜原则，结合本地气象、水文、地质特征等合理选用海绵措施，避免大拆大建，实现设施建设及后期管理维护成本的最优化。</w:t>
      </w:r>
    </w:p>
    <w:p>
      <w:pPr>
        <w:pStyle w:val="5"/>
        <w:bidi w:val="0"/>
        <w:ind w:left="720" w:leftChars="0" w:hanging="720" w:firstLineChars="0"/>
        <w:rPr>
          <w:rFonts w:hint="eastAsia" w:ascii="Times New Roman" w:cs="Times New Roman"/>
          <w:lang w:val="en-US" w:eastAsia="zh-CN"/>
        </w:rPr>
      </w:pPr>
      <w:bookmarkStart w:id="352" w:name="_Toc26305"/>
      <w:bookmarkStart w:id="353" w:name="_Toc9004"/>
      <w:r>
        <w:rPr>
          <w:rFonts w:hint="eastAsia" w:ascii="Times New Roman" w:cs="Times New Roman"/>
          <w:lang w:val="en-US" w:eastAsia="zh-CN"/>
        </w:rPr>
        <w:t>设计目标</w:t>
      </w:r>
      <w:bookmarkEnd w:id="352"/>
      <w:bookmarkEnd w:id="353"/>
    </w:p>
    <w:p>
      <w:pPr>
        <w:bidi w:val="0"/>
      </w:pPr>
      <w:r>
        <w:rPr>
          <w:rFonts w:hint="eastAsia"/>
        </w:rPr>
        <w:t>根据《广州市海绵城市专项规划》、《番禺区海绵城市建设工作专责小组办公室转发《关于海绵城市建设等有关工作的协调意见》的通知》、《番禺区海绵城市专项规划》等文件相关规定，番禺区共199个管理单元，划分出216个管控单元（二级分区），同时将年径流总量控制率目标分解到各216个规划管控单元（二级分区）。具体分区如图</w:t>
      </w:r>
      <w:r>
        <w:rPr>
          <w:rFonts w:hint="eastAsia"/>
          <w:lang w:val="en-US" w:eastAsia="zh-CN"/>
        </w:rPr>
        <w:t>17.3</w:t>
      </w:r>
      <w:r>
        <w:rPr>
          <w:rFonts w:hint="eastAsia"/>
        </w:rPr>
        <w:t>-1所示。</w:t>
      </w:r>
    </w:p>
    <w:p>
      <w:pPr>
        <w:bidi w:val="0"/>
      </w:pPr>
      <w:r>
        <w:rPr>
          <w:rFonts w:hint="eastAsia"/>
        </w:rPr>
        <w:drawing>
          <wp:inline distT="0" distB="0" distL="0" distR="0">
            <wp:extent cx="5543550" cy="3832225"/>
            <wp:effectExtent l="0" t="0" r="0" b="15875"/>
            <wp:docPr id="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8"/>
                    <pic:cNvPicPr>
                      <a:picLocks noChangeAspect="1" noChangeArrowheads="1"/>
                    </pic:cNvPicPr>
                  </pic:nvPicPr>
                  <pic:blipFill>
                    <a:blip r:embed="rId100"/>
                    <a:srcRect/>
                    <a:stretch>
                      <a:fillRect/>
                    </a:stretch>
                  </pic:blipFill>
                  <pic:spPr>
                    <a:xfrm>
                      <a:off x="0" y="0"/>
                      <a:ext cx="5543550" cy="3832859"/>
                    </a:xfrm>
                    <a:prstGeom prst="rect">
                      <a:avLst/>
                    </a:prstGeom>
                    <a:noFill/>
                    <a:ln w="9525">
                      <a:noFill/>
                      <a:miter lim="800000"/>
                      <a:headEnd/>
                      <a:tailEnd/>
                    </a:ln>
                  </pic:spPr>
                </pic:pic>
              </a:graphicData>
            </a:graphic>
          </wp:inline>
        </w:drawing>
      </w:r>
    </w:p>
    <w:p>
      <w:pPr>
        <w:pStyle w:val="250"/>
        <w:bidi w:val="0"/>
        <w:rPr>
          <w:rFonts w:hint="eastAsia" w:ascii="Times New Roman" w:hAnsi="Times New Roman" w:eastAsia="宋体"/>
          <w:lang w:val="en-US" w:eastAsia="zh-CN"/>
        </w:rPr>
      </w:pPr>
      <w:r>
        <w:rPr>
          <w:rFonts w:hint="eastAsia" w:ascii="Times New Roman" w:hAnsi="Times New Roman" w:eastAsia="宋体"/>
          <w:lang w:val="en-US" w:eastAsia="zh-CN"/>
        </w:rPr>
        <w:t>图1</w:t>
      </w:r>
      <w:r>
        <w:rPr>
          <w:rFonts w:hint="eastAsia" w:eastAsia="宋体"/>
          <w:lang w:val="en-US" w:eastAsia="zh-CN"/>
        </w:rPr>
        <w:t>3</w:t>
      </w:r>
      <w:r>
        <w:rPr>
          <w:rFonts w:hint="eastAsia" w:ascii="Times New Roman" w:hAnsi="Times New Roman" w:eastAsia="宋体"/>
          <w:lang w:val="en-US" w:eastAsia="zh-CN"/>
        </w:rPr>
        <w:t>.3-1  海绵管控分区总图</w:t>
      </w:r>
    </w:p>
    <w:p>
      <w:pPr>
        <w:pStyle w:val="250"/>
        <w:bidi w:val="0"/>
        <w:rPr>
          <w:rFonts w:hint="eastAsia" w:ascii="Times New Roman" w:hAnsi="Times New Roman" w:eastAsia="宋体"/>
          <w:lang w:val="en-US" w:eastAsia="zh-CN"/>
        </w:rPr>
      </w:pPr>
      <w:r>
        <w:rPr>
          <w:rFonts w:hint="eastAsia" w:ascii="Times New Roman" w:hAnsi="Times New Roman" w:eastAsia="宋体"/>
          <w:lang w:val="en-US" w:eastAsia="zh-CN"/>
        </w:rPr>
        <w:t>表1</w:t>
      </w:r>
      <w:r>
        <w:rPr>
          <w:rFonts w:hint="eastAsia" w:eastAsia="宋体"/>
          <w:lang w:val="en-US" w:eastAsia="zh-CN"/>
        </w:rPr>
        <w:t>3</w:t>
      </w:r>
      <w:r>
        <w:rPr>
          <w:rFonts w:hint="eastAsia" w:ascii="Times New Roman" w:hAnsi="Times New Roman" w:eastAsia="宋体"/>
          <w:lang w:val="en-US" w:eastAsia="zh-CN"/>
        </w:rPr>
        <w:t>.3-1  工程所在管控单元海绵指标表</w:t>
      </w:r>
    </w:p>
    <w:tbl>
      <w:tblPr>
        <w:tblStyle w:val="44"/>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046"/>
        <w:gridCol w:w="886"/>
        <w:gridCol w:w="1327"/>
        <w:gridCol w:w="1281"/>
        <w:gridCol w:w="1426"/>
        <w:gridCol w:w="1087"/>
        <w:gridCol w:w="1147"/>
        <w:gridCol w:w="1087"/>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70" w:hRule="atLeast"/>
        </w:trPr>
        <w:tc>
          <w:tcPr>
            <w:tcW w:w="563" w:type="pct"/>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一级分区名称</w:t>
            </w:r>
          </w:p>
        </w:tc>
        <w:tc>
          <w:tcPr>
            <w:tcW w:w="477" w:type="pct"/>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管控单元编号</w:t>
            </w:r>
          </w:p>
        </w:tc>
        <w:tc>
          <w:tcPr>
            <w:tcW w:w="714" w:type="pct"/>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管控单元对应管理单元编号</w:t>
            </w:r>
          </w:p>
        </w:tc>
        <w:tc>
          <w:tcPr>
            <w:tcW w:w="689" w:type="pct"/>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管控单元面积（hm</w:t>
            </w:r>
            <w:r>
              <w:rPr>
                <w:rFonts w:hint="eastAsia"/>
                <w:vertAlign w:val="superscript"/>
                <w:lang w:val="en-US" w:eastAsia="zh-CN"/>
              </w:rPr>
              <w:t>2</w:t>
            </w:r>
            <w:r>
              <w:rPr>
                <w:rFonts w:hint="eastAsia"/>
                <w:lang w:val="en-US" w:eastAsia="zh-CN"/>
              </w:rPr>
              <w:t>）</w:t>
            </w:r>
          </w:p>
        </w:tc>
        <w:tc>
          <w:tcPr>
            <w:tcW w:w="767" w:type="pct"/>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管控单元调蓄容积（m</w:t>
            </w:r>
            <w:r>
              <w:rPr>
                <w:rFonts w:hint="eastAsia"/>
                <w:vertAlign w:val="superscript"/>
                <w:lang w:val="en-US" w:eastAsia="zh-CN"/>
              </w:rPr>
              <w:t>3</w:t>
            </w:r>
            <w:r>
              <w:rPr>
                <w:rFonts w:hint="eastAsia"/>
                <w:lang w:val="en-US" w:eastAsia="zh-CN"/>
              </w:rPr>
              <w:t>）</w:t>
            </w:r>
          </w:p>
        </w:tc>
        <w:tc>
          <w:tcPr>
            <w:tcW w:w="585" w:type="pct"/>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年径流总量控制率</w:t>
            </w:r>
          </w:p>
        </w:tc>
        <w:tc>
          <w:tcPr>
            <w:tcW w:w="617" w:type="pct"/>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设计降雨量（mm）</w:t>
            </w:r>
          </w:p>
        </w:tc>
        <w:tc>
          <w:tcPr>
            <w:tcW w:w="585" w:type="pct"/>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年径流污染削减率</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70" w:hRule="atLeast"/>
        </w:trPr>
        <w:tc>
          <w:tcPr>
            <w:tcW w:w="563" w:type="pct"/>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陇枕围分区</w:t>
            </w:r>
          </w:p>
        </w:tc>
        <w:tc>
          <w:tcPr>
            <w:tcW w:w="477" w:type="pct"/>
            <w:shd w:val="clear" w:color="auto" w:fill="auto"/>
            <w:noWrap/>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YZ-095</w:t>
            </w:r>
          </w:p>
        </w:tc>
        <w:tc>
          <w:tcPr>
            <w:tcW w:w="714" w:type="pct"/>
            <w:shd w:val="clear" w:color="auto" w:fill="auto"/>
            <w:noWrap/>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B</w:t>
            </w:r>
            <w:r>
              <w:rPr>
                <w:rFonts w:hint="eastAsia"/>
                <w:lang w:val="en-US" w:eastAsia="zh-CN"/>
              </w:rPr>
              <w:t>C</w:t>
            </w:r>
            <w:r>
              <w:rPr>
                <w:rFonts w:hint="default"/>
                <w:lang w:val="en-US" w:eastAsia="zh-CN"/>
              </w:rPr>
              <w:t>0</w:t>
            </w:r>
            <w:r>
              <w:rPr>
                <w:rFonts w:hint="eastAsia"/>
                <w:lang w:val="en-US" w:eastAsia="zh-CN"/>
              </w:rPr>
              <w:t>911</w:t>
            </w:r>
          </w:p>
        </w:tc>
        <w:tc>
          <w:tcPr>
            <w:tcW w:w="689" w:type="pct"/>
            <w:shd w:val="clear" w:color="auto" w:fill="auto"/>
            <w:noWrap/>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133.42</w:t>
            </w:r>
          </w:p>
        </w:tc>
        <w:tc>
          <w:tcPr>
            <w:tcW w:w="767" w:type="pct"/>
            <w:shd w:val="clear" w:color="auto" w:fill="auto"/>
            <w:noWrap/>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21607.3</w:t>
            </w:r>
          </w:p>
        </w:tc>
        <w:tc>
          <w:tcPr>
            <w:tcW w:w="585" w:type="pct"/>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58.7%</w:t>
            </w:r>
          </w:p>
        </w:tc>
        <w:tc>
          <w:tcPr>
            <w:tcW w:w="617" w:type="pct"/>
            <w:shd w:val="clear" w:color="auto" w:fill="auto"/>
            <w:noWrap/>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18.74</w:t>
            </w:r>
          </w:p>
        </w:tc>
        <w:tc>
          <w:tcPr>
            <w:tcW w:w="585" w:type="pct"/>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43%</w:t>
            </w:r>
          </w:p>
        </w:tc>
      </w:tr>
    </w:tbl>
    <w:p>
      <w:pPr>
        <w:bidi w:val="0"/>
        <w:rPr>
          <w:rFonts w:hint="eastAsia"/>
          <w:lang w:eastAsia="zh-CN"/>
        </w:rPr>
      </w:pPr>
      <w:r>
        <w:t>建设项目海绵城市</w:t>
      </w:r>
      <w:r>
        <w:rPr>
          <w:rFonts w:hint="eastAsia"/>
        </w:rPr>
        <w:t>目标取值计算见本章附表1。</w:t>
      </w:r>
    </w:p>
    <w:p>
      <w:pPr>
        <w:bidi w:val="0"/>
      </w:pPr>
      <w:r>
        <w:t>根据《广州市海绵城市专项规划（2016-2030）》（广州市国土资源和规划委员会，2017.6），广州市海绵城市建设目标及指标如下：</w:t>
      </w:r>
    </w:p>
    <w:p>
      <w:pPr>
        <w:keepNext w:val="0"/>
        <w:keepLines w:val="0"/>
        <w:pageBreakBefore w:val="0"/>
        <w:widowControl w:val="0"/>
        <w:numPr>
          <w:ilvl w:val="0"/>
          <w:numId w:val="10"/>
        </w:numPr>
        <w:kinsoku/>
        <w:wordWrap/>
        <w:overflowPunct/>
        <w:topLinePunct w:val="0"/>
        <w:autoSpaceDE/>
        <w:autoSpaceDN/>
        <w:bidi w:val="0"/>
        <w:adjustRightInd/>
        <w:snapToGrid/>
        <w:ind w:left="0" w:leftChars="0" w:firstLine="480" w:firstLineChars="200"/>
        <w:textAlignment w:val="auto"/>
      </w:pPr>
      <w:r>
        <w:t>水生态目标与指标</w:t>
      </w:r>
    </w:p>
    <w:p>
      <w:pPr>
        <w:keepNext w:val="0"/>
        <w:keepLines w:val="0"/>
        <w:pageBreakBefore w:val="0"/>
        <w:widowControl w:val="0"/>
        <w:numPr>
          <w:ilvl w:val="0"/>
          <w:numId w:val="11"/>
        </w:numPr>
        <w:kinsoku/>
        <w:wordWrap/>
        <w:overflowPunct/>
        <w:topLinePunct w:val="0"/>
        <w:autoSpaceDE/>
        <w:autoSpaceDN/>
        <w:bidi w:val="0"/>
        <w:adjustRightInd/>
        <w:snapToGrid/>
        <w:ind w:left="0" w:leftChars="0" w:firstLine="480" w:firstLineChars="200"/>
        <w:textAlignment w:val="auto"/>
      </w:pPr>
      <w:r>
        <w:t>建成区年径流总量控制率70%，近期到2020年，20%建成区应达到目标要求，远期到2030年，80%建成区应达到目标要求；</w:t>
      </w:r>
    </w:p>
    <w:p>
      <w:pPr>
        <w:keepNext w:val="0"/>
        <w:keepLines w:val="0"/>
        <w:pageBreakBefore w:val="0"/>
        <w:widowControl w:val="0"/>
        <w:numPr>
          <w:ilvl w:val="0"/>
          <w:numId w:val="11"/>
        </w:numPr>
        <w:kinsoku/>
        <w:wordWrap/>
        <w:overflowPunct/>
        <w:topLinePunct w:val="0"/>
        <w:autoSpaceDE/>
        <w:autoSpaceDN/>
        <w:bidi w:val="0"/>
        <w:adjustRightInd/>
        <w:snapToGrid/>
        <w:ind w:left="0" w:leftChars="0" w:firstLine="480" w:firstLineChars="200"/>
        <w:textAlignment w:val="auto"/>
      </w:pPr>
      <w:r>
        <w:t>到2020年，生态岸线恢复率不低于80%；</w:t>
      </w:r>
    </w:p>
    <w:p>
      <w:pPr>
        <w:keepNext w:val="0"/>
        <w:keepLines w:val="0"/>
        <w:pageBreakBefore w:val="0"/>
        <w:widowControl w:val="0"/>
        <w:numPr>
          <w:ilvl w:val="0"/>
          <w:numId w:val="11"/>
        </w:numPr>
        <w:kinsoku/>
        <w:wordWrap/>
        <w:overflowPunct/>
        <w:topLinePunct w:val="0"/>
        <w:autoSpaceDE/>
        <w:autoSpaceDN/>
        <w:bidi w:val="0"/>
        <w:adjustRightInd/>
        <w:snapToGrid/>
        <w:ind w:left="0" w:leftChars="0" w:firstLine="480" w:firstLineChars="200"/>
        <w:textAlignment w:val="auto"/>
      </w:pPr>
      <w:r>
        <w:t>近期水域面积率应达到10.15%，远期水域面积率应达到11%。</w:t>
      </w:r>
    </w:p>
    <w:p>
      <w:pPr>
        <w:keepNext w:val="0"/>
        <w:keepLines w:val="0"/>
        <w:pageBreakBefore w:val="0"/>
        <w:widowControl w:val="0"/>
        <w:numPr>
          <w:ilvl w:val="0"/>
          <w:numId w:val="11"/>
        </w:numPr>
        <w:kinsoku/>
        <w:wordWrap/>
        <w:overflowPunct/>
        <w:topLinePunct w:val="0"/>
        <w:autoSpaceDE/>
        <w:autoSpaceDN/>
        <w:bidi w:val="0"/>
        <w:adjustRightInd/>
        <w:snapToGrid/>
        <w:ind w:left="0" w:leftChars="0" w:firstLine="480" w:firstLineChars="200"/>
        <w:textAlignment w:val="auto"/>
      </w:pPr>
      <w:r>
        <w:t>建设后城市平均热岛程度有所下降。</w:t>
      </w:r>
    </w:p>
    <w:p>
      <w:pPr>
        <w:keepNext w:val="0"/>
        <w:keepLines w:val="0"/>
        <w:pageBreakBefore w:val="0"/>
        <w:widowControl w:val="0"/>
        <w:numPr>
          <w:ilvl w:val="0"/>
          <w:numId w:val="10"/>
        </w:numPr>
        <w:kinsoku/>
        <w:wordWrap/>
        <w:overflowPunct/>
        <w:topLinePunct w:val="0"/>
        <w:autoSpaceDE/>
        <w:autoSpaceDN/>
        <w:bidi w:val="0"/>
        <w:adjustRightInd/>
        <w:snapToGrid/>
        <w:ind w:left="0" w:leftChars="0" w:firstLine="480" w:firstLineChars="200"/>
        <w:textAlignment w:val="auto"/>
      </w:pPr>
      <w:r>
        <w:t>水安全目标与指标</w:t>
      </w:r>
    </w:p>
    <w:p>
      <w:pPr>
        <w:keepNext w:val="0"/>
        <w:keepLines w:val="0"/>
        <w:pageBreakBefore w:val="0"/>
        <w:widowControl w:val="0"/>
        <w:numPr>
          <w:ilvl w:val="0"/>
          <w:numId w:val="12"/>
        </w:numPr>
        <w:kinsoku/>
        <w:wordWrap/>
        <w:overflowPunct/>
        <w:topLinePunct w:val="0"/>
        <w:autoSpaceDE/>
        <w:autoSpaceDN/>
        <w:bidi w:val="0"/>
        <w:adjustRightInd/>
        <w:snapToGrid/>
        <w:ind w:left="0" w:leftChars="0" w:firstLine="480" w:firstLineChars="200"/>
        <w:textAlignment w:val="auto"/>
      </w:pPr>
      <w:r>
        <w:t>广州市中心城区排水防涝标准有效应对不低于50年一遇暴雨；</w:t>
      </w:r>
    </w:p>
    <w:p>
      <w:pPr>
        <w:keepNext w:val="0"/>
        <w:keepLines w:val="0"/>
        <w:pageBreakBefore w:val="0"/>
        <w:widowControl w:val="0"/>
        <w:numPr>
          <w:ilvl w:val="0"/>
          <w:numId w:val="12"/>
        </w:numPr>
        <w:kinsoku/>
        <w:wordWrap/>
        <w:overflowPunct/>
        <w:topLinePunct w:val="0"/>
        <w:autoSpaceDE/>
        <w:autoSpaceDN/>
        <w:bidi w:val="0"/>
        <w:adjustRightInd/>
        <w:snapToGrid/>
        <w:ind w:left="0" w:leftChars="0" w:firstLine="480" w:firstLineChars="200"/>
        <w:textAlignment w:val="auto"/>
      </w:pPr>
      <w:r>
        <w:t>中心城区防洪标准达到200年一遇标准，外围城区及重要堤围达到50-100年一遇标准，重点地区中小河流的防洪标准提高到20-50年一遇标准；</w:t>
      </w:r>
    </w:p>
    <w:p>
      <w:pPr>
        <w:keepNext w:val="0"/>
        <w:keepLines w:val="0"/>
        <w:pageBreakBefore w:val="0"/>
        <w:widowControl w:val="0"/>
        <w:numPr>
          <w:ilvl w:val="0"/>
          <w:numId w:val="12"/>
        </w:numPr>
        <w:kinsoku/>
        <w:wordWrap/>
        <w:overflowPunct/>
        <w:topLinePunct w:val="0"/>
        <w:autoSpaceDE/>
        <w:autoSpaceDN/>
        <w:bidi w:val="0"/>
        <w:adjustRightInd/>
        <w:snapToGrid/>
        <w:ind w:left="0" w:leftChars="0" w:firstLine="480" w:firstLineChars="200"/>
        <w:textAlignment w:val="auto"/>
      </w:pPr>
      <w:r>
        <w:t>新建项目，新建、扩建和成片改造的区域设计重现期不小于5年，重要地区（含立交桥、下沉隧道）设计重现期不低于10年。己建城区中特别困难区域经论证后可按2～3年重现期标准改造，中心城区地下通道和下沉式广场等设计重现期30-50年。</w:t>
      </w:r>
    </w:p>
    <w:p>
      <w:pPr>
        <w:keepNext w:val="0"/>
        <w:keepLines w:val="0"/>
        <w:pageBreakBefore w:val="0"/>
        <w:widowControl w:val="0"/>
        <w:numPr>
          <w:ilvl w:val="0"/>
          <w:numId w:val="10"/>
        </w:numPr>
        <w:kinsoku/>
        <w:wordWrap/>
        <w:overflowPunct/>
        <w:topLinePunct w:val="0"/>
        <w:autoSpaceDE/>
        <w:autoSpaceDN/>
        <w:bidi w:val="0"/>
        <w:adjustRightInd/>
        <w:snapToGrid/>
        <w:ind w:left="0" w:leftChars="0" w:firstLine="480" w:firstLineChars="200"/>
        <w:textAlignment w:val="auto"/>
      </w:pPr>
      <w:r>
        <w:t>水环境目标与指标</w:t>
      </w:r>
    </w:p>
    <w:p>
      <w:pPr>
        <w:keepNext w:val="0"/>
        <w:keepLines w:val="0"/>
        <w:pageBreakBefore w:val="0"/>
        <w:widowControl w:val="0"/>
        <w:numPr>
          <w:ilvl w:val="0"/>
          <w:numId w:val="13"/>
        </w:numPr>
        <w:kinsoku/>
        <w:wordWrap/>
        <w:overflowPunct/>
        <w:topLinePunct w:val="0"/>
        <w:autoSpaceDE/>
        <w:autoSpaceDN/>
        <w:bidi w:val="0"/>
        <w:adjustRightInd/>
        <w:snapToGrid/>
        <w:ind w:left="0" w:leftChars="0" w:firstLine="480" w:firstLineChars="200"/>
        <w:textAlignment w:val="auto"/>
      </w:pPr>
      <w:r>
        <w:t>近期到2017年，城市建成区基本消除黑臭水体，到2020年，对于划定地表水环境功能区划的水体断面，消除劣V类，地表水水质优良（达到或优于II类）比例进一步提升。远期到2030年，海绵城市建设区域内的河湖水系水质不低于《地表水环境质量标准》Ⅳ类标准，且优于海绵城市建设前的水质；城市建成区黑臭水体总体得到消除，地表水水质优良比例进一步提升；</w:t>
      </w:r>
    </w:p>
    <w:p>
      <w:pPr>
        <w:keepNext w:val="0"/>
        <w:keepLines w:val="0"/>
        <w:pageBreakBefore w:val="0"/>
        <w:widowControl w:val="0"/>
        <w:numPr>
          <w:ilvl w:val="0"/>
          <w:numId w:val="13"/>
        </w:numPr>
        <w:kinsoku/>
        <w:wordWrap/>
        <w:overflowPunct/>
        <w:topLinePunct w:val="0"/>
        <w:autoSpaceDE/>
        <w:autoSpaceDN/>
        <w:bidi w:val="0"/>
        <w:adjustRightInd/>
        <w:snapToGrid/>
        <w:ind w:left="0" w:leftChars="0" w:firstLine="480" w:firstLineChars="200"/>
        <w:textAlignment w:val="auto"/>
      </w:pPr>
      <w:r>
        <w:t>以一年为周期，以固体悬浮物（SS）的削减量计算，新建项目年径流污染削减率不低于50%，改建项目年径流污染削减率不低于40%；</w:t>
      </w:r>
    </w:p>
    <w:p>
      <w:pPr>
        <w:keepNext w:val="0"/>
        <w:keepLines w:val="0"/>
        <w:pageBreakBefore w:val="0"/>
        <w:widowControl w:val="0"/>
        <w:numPr>
          <w:ilvl w:val="0"/>
          <w:numId w:val="13"/>
        </w:numPr>
        <w:kinsoku/>
        <w:wordWrap/>
        <w:overflowPunct/>
        <w:topLinePunct w:val="0"/>
        <w:autoSpaceDE/>
        <w:autoSpaceDN/>
        <w:bidi w:val="0"/>
        <w:adjustRightInd/>
        <w:snapToGrid/>
        <w:ind w:left="0" w:leftChars="0" w:firstLine="480" w:firstLineChars="200"/>
        <w:textAlignment w:val="auto"/>
      </w:pPr>
      <w:r>
        <w:t>近期到2020年，全市城镇污水处理率达到95%，中心城区污水处理率达到95%，农村生活污水处理率达到70%。到2030年广州全市城镇污水处理率应达到95%以上，中心城区污水处理率应达到100%，农村生活污水处理率达到80%以上。</w:t>
      </w:r>
    </w:p>
    <w:p>
      <w:pPr>
        <w:keepNext w:val="0"/>
        <w:keepLines w:val="0"/>
        <w:pageBreakBefore w:val="0"/>
        <w:widowControl w:val="0"/>
        <w:numPr>
          <w:ilvl w:val="0"/>
          <w:numId w:val="10"/>
        </w:numPr>
        <w:kinsoku/>
        <w:wordWrap/>
        <w:overflowPunct/>
        <w:topLinePunct w:val="0"/>
        <w:autoSpaceDE/>
        <w:autoSpaceDN/>
        <w:bidi w:val="0"/>
        <w:adjustRightInd/>
        <w:snapToGrid/>
        <w:ind w:left="0" w:leftChars="0" w:firstLine="480" w:firstLineChars="200"/>
        <w:textAlignment w:val="auto"/>
      </w:pPr>
      <w:r>
        <w:t>水资源目标与指标：</w:t>
      </w:r>
    </w:p>
    <w:p>
      <w:pPr>
        <w:keepNext w:val="0"/>
        <w:keepLines w:val="0"/>
        <w:pageBreakBefore w:val="0"/>
        <w:widowControl w:val="0"/>
        <w:numPr>
          <w:ilvl w:val="0"/>
          <w:numId w:val="14"/>
        </w:numPr>
        <w:kinsoku/>
        <w:wordWrap/>
        <w:overflowPunct/>
        <w:topLinePunct w:val="0"/>
        <w:autoSpaceDE/>
        <w:autoSpaceDN/>
        <w:bidi w:val="0"/>
        <w:adjustRightInd/>
        <w:snapToGrid/>
        <w:ind w:left="0" w:leftChars="0" w:firstLine="480" w:firstLineChars="200"/>
        <w:textAlignment w:val="auto"/>
      </w:pPr>
      <w:r>
        <w:t>城市污水再生利用率在包含生态补水的前提下不低于15%；</w:t>
      </w:r>
    </w:p>
    <w:p>
      <w:pPr>
        <w:keepNext w:val="0"/>
        <w:keepLines w:val="0"/>
        <w:pageBreakBefore w:val="0"/>
        <w:widowControl w:val="0"/>
        <w:numPr>
          <w:ilvl w:val="0"/>
          <w:numId w:val="14"/>
        </w:numPr>
        <w:kinsoku/>
        <w:wordWrap/>
        <w:overflowPunct/>
        <w:topLinePunct w:val="0"/>
        <w:autoSpaceDE/>
        <w:autoSpaceDN/>
        <w:bidi w:val="0"/>
        <w:adjustRightInd/>
        <w:snapToGrid/>
        <w:ind w:left="0" w:leftChars="0" w:firstLine="480" w:firstLineChars="200"/>
        <w:textAlignment w:val="auto"/>
      </w:pPr>
      <w:r>
        <w:t>广州市雨水资源利用率应不低于3%；</w:t>
      </w:r>
    </w:p>
    <w:p>
      <w:pPr>
        <w:keepNext w:val="0"/>
        <w:keepLines w:val="0"/>
        <w:pageBreakBefore w:val="0"/>
        <w:widowControl w:val="0"/>
        <w:numPr>
          <w:ilvl w:val="0"/>
          <w:numId w:val="14"/>
        </w:numPr>
        <w:kinsoku/>
        <w:wordWrap/>
        <w:overflowPunct/>
        <w:topLinePunct w:val="0"/>
        <w:autoSpaceDE/>
        <w:autoSpaceDN/>
        <w:bidi w:val="0"/>
        <w:adjustRightInd/>
        <w:snapToGrid/>
        <w:ind w:left="0" w:leftChars="0" w:firstLine="480" w:firstLineChars="200"/>
        <w:textAlignment w:val="auto"/>
      </w:pPr>
      <w:r>
        <w:t>公共供水管网漏损率控制在10%以下。</w:t>
      </w:r>
    </w:p>
    <w:p>
      <w:pPr>
        <w:bidi w:val="0"/>
      </w:pPr>
      <w:r>
        <w:t>广州市海绵城市建设指标见表</w:t>
      </w:r>
      <w:r>
        <w:rPr>
          <w:rFonts w:hint="eastAsia"/>
          <w:lang w:val="en-US" w:eastAsia="zh-CN"/>
        </w:rPr>
        <w:t>17.3-2</w:t>
      </w:r>
      <w:r>
        <w:t>。</w:t>
      </w:r>
    </w:p>
    <w:p>
      <w:pPr>
        <w:pStyle w:val="250"/>
        <w:bidi w:val="0"/>
        <w:rPr>
          <w:rFonts w:hint="eastAsia" w:ascii="Times New Roman" w:hAnsi="Times New Roman" w:eastAsia="宋体"/>
          <w:lang w:val="en-US" w:eastAsia="zh-CN"/>
        </w:rPr>
      </w:pPr>
      <w:r>
        <w:rPr>
          <w:rFonts w:hint="eastAsia" w:ascii="Times New Roman" w:hAnsi="Times New Roman" w:eastAsia="宋体"/>
          <w:lang w:val="en-US" w:eastAsia="zh-CN"/>
        </w:rPr>
        <w:t>表1</w:t>
      </w:r>
      <w:r>
        <w:rPr>
          <w:rFonts w:hint="eastAsia" w:eastAsia="宋体"/>
          <w:lang w:val="en-US" w:eastAsia="zh-CN"/>
        </w:rPr>
        <w:t>3</w:t>
      </w:r>
      <w:r>
        <w:rPr>
          <w:rFonts w:hint="eastAsia" w:ascii="Times New Roman" w:hAnsi="Times New Roman" w:eastAsia="宋体"/>
          <w:lang w:val="en-US" w:eastAsia="zh-CN"/>
        </w:rPr>
        <w:t>.3-2 广州市海绵城市建设指标体系表</w:t>
      </w:r>
    </w:p>
    <w:tbl>
      <w:tblPr>
        <w:tblStyle w:val="4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
        <w:gridCol w:w="487"/>
        <w:gridCol w:w="1805"/>
        <w:gridCol w:w="2489"/>
        <w:gridCol w:w="3035"/>
        <w:gridCol w:w="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restar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类别</w:t>
            </w:r>
          </w:p>
        </w:tc>
        <w:tc>
          <w:tcPr>
            <w:tcW w:w="262" w:type="pct"/>
            <w:vMerge w:val="restar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序号</w:t>
            </w:r>
          </w:p>
        </w:tc>
        <w:tc>
          <w:tcPr>
            <w:tcW w:w="972" w:type="pct"/>
            <w:vMerge w:val="restar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指标</w:t>
            </w:r>
          </w:p>
        </w:tc>
        <w:tc>
          <w:tcPr>
            <w:tcW w:w="2974" w:type="pct"/>
            <w:gridSpan w:val="2"/>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目标值</w:t>
            </w:r>
          </w:p>
        </w:tc>
        <w:tc>
          <w:tcPr>
            <w:tcW w:w="528" w:type="pct"/>
            <w:vMerge w:val="restar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约束性/鼓励性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262"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972"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1340"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近期（2020年）</w:t>
            </w:r>
          </w:p>
        </w:tc>
        <w:tc>
          <w:tcPr>
            <w:tcW w:w="1634"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远期（2030年）</w:t>
            </w:r>
          </w:p>
        </w:tc>
        <w:tc>
          <w:tcPr>
            <w:tcW w:w="528"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restar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水</w:t>
            </w:r>
          </w:p>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生</w:t>
            </w:r>
          </w:p>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态</w:t>
            </w: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年径流总量控制率</w:t>
            </w:r>
          </w:p>
        </w:tc>
        <w:tc>
          <w:tcPr>
            <w:tcW w:w="1340"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58.7%（20%建成区达到目标）</w:t>
            </w:r>
          </w:p>
        </w:tc>
        <w:tc>
          <w:tcPr>
            <w:tcW w:w="1634"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58.7%（80%建成区达到目标）</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强制性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生态岸线恢复</w:t>
            </w:r>
          </w:p>
        </w:tc>
        <w:tc>
          <w:tcPr>
            <w:tcW w:w="2974" w:type="pct"/>
            <w:gridSpan w:val="2"/>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80%</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强制性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3</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水域面积率</w:t>
            </w:r>
          </w:p>
        </w:tc>
        <w:tc>
          <w:tcPr>
            <w:tcW w:w="1340"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10.15%</w:t>
            </w:r>
          </w:p>
        </w:tc>
        <w:tc>
          <w:tcPr>
            <w:tcW w:w="1634"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11%</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强制性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4</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森林覆盖率</w:t>
            </w:r>
          </w:p>
        </w:tc>
        <w:tc>
          <w:tcPr>
            <w:tcW w:w="1340"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42.5%</w:t>
            </w:r>
          </w:p>
        </w:tc>
        <w:tc>
          <w:tcPr>
            <w:tcW w:w="1634"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44.15%</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强制性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5</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城市热岛效应</w:t>
            </w:r>
          </w:p>
        </w:tc>
        <w:tc>
          <w:tcPr>
            <w:tcW w:w="2974" w:type="pct"/>
            <w:gridSpan w:val="2"/>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平均热岛强度有所下降</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引导性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restar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水</w:t>
            </w:r>
          </w:p>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环</w:t>
            </w:r>
          </w:p>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境</w:t>
            </w: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水环境质量</w:t>
            </w:r>
          </w:p>
        </w:tc>
        <w:tc>
          <w:tcPr>
            <w:tcW w:w="1340"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对于规划地表水境功能区划的水体断面，消除劣Ⅴ类，城市建成区基本消除黑臭水体，地表水水质优良（达到或优于Ⅲ类）比例进一步提升</w:t>
            </w:r>
          </w:p>
        </w:tc>
        <w:tc>
          <w:tcPr>
            <w:tcW w:w="1634"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海绵城市建设区域内的河湖水系水质不低于（地表水环境质量标准）Ⅴ类标准，且优于海绵城市建设前的水质；城市建成区黑臭水体总体得到消除，地表水水质优良比例进一步提升</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7</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城市污水处理率</w:t>
            </w:r>
          </w:p>
        </w:tc>
        <w:tc>
          <w:tcPr>
            <w:tcW w:w="1340"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全市城镇95%，中心城区：95%，农村生活污水：70%</w:t>
            </w:r>
          </w:p>
        </w:tc>
        <w:tc>
          <w:tcPr>
            <w:tcW w:w="1634"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全市城镇95%，中心城区：100%，农村生活污水：80%</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强制性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8</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径流污染消减率</w:t>
            </w:r>
          </w:p>
        </w:tc>
        <w:tc>
          <w:tcPr>
            <w:tcW w:w="1340"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新建项目50%，改建项目40%，20%建成区达到目标</w:t>
            </w:r>
          </w:p>
        </w:tc>
        <w:tc>
          <w:tcPr>
            <w:tcW w:w="1634"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新建项目50%，改建项目40%，80%建成区达到目标</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强制性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restar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水</w:t>
            </w:r>
          </w:p>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资</w:t>
            </w:r>
          </w:p>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源</w:t>
            </w: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9</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污水再生利用</w:t>
            </w:r>
          </w:p>
        </w:tc>
        <w:tc>
          <w:tcPr>
            <w:tcW w:w="2974" w:type="pct"/>
            <w:gridSpan w:val="2"/>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≥15%</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强制性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10</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雨水资源利用</w:t>
            </w:r>
          </w:p>
        </w:tc>
        <w:tc>
          <w:tcPr>
            <w:tcW w:w="2974" w:type="pct"/>
            <w:gridSpan w:val="2"/>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≥3%</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11</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城市公共供水管网漏损率</w:t>
            </w:r>
          </w:p>
        </w:tc>
        <w:tc>
          <w:tcPr>
            <w:tcW w:w="2974" w:type="pct"/>
            <w:gridSpan w:val="2"/>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＜10%</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引导性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restar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水</w:t>
            </w:r>
          </w:p>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安</w:t>
            </w:r>
          </w:p>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全</w:t>
            </w: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12</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城市排水排涝标准</w:t>
            </w:r>
          </w:p>
        </w:tc>
        <w:tc>
          <w:tcPr>
            <w:tcW w:w="2974" w:type="pct"/>
            <w:gridSpan w:val="2"/>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中心城区有效应对不低于50年一遇暴雨</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强制性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13</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城市防洪（潮）标准</w:t>
            </w:r>
          </w:p>
        </w:tc>
        <w:tc>
          <w:tcPr>
            <w:tcW w:w="2974" w:type="pct"/>
            <w:gridSpan w:val="2"/>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中心城区200年一遇</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强制性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62" w:type="pct"/>
            <w:vMerge w:val="continue"/>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26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14</w:t>
            </w:r>
          </w:p>
        </w:tc>
        <w:tc>
          <w:tcPr>
            <w:tcW w:w="972"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雨水管渠设计标准</w:t>
            </w:r>
          </w:p>
        </w:tc>
        <w:tc>
          <w:tcPr>
            <w:tcW w:w="2974" w:type="pct"/>
            <w:gridSpan w:val="2"/>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新建、扩建和成片改造区域重现期不小于5年，重要地区重现期不低于10年</w:t>
            </w:r>
          </w:p>
        </w:tc>
        <w:tc>
          <w:tcPr>
            <w:tcW w:w="528" w:type="pct"/>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w:t>
            </w:r>
          </w:p>
        </w:tc>
      </w:tr>
    </w:tbl>
    <w:p>
      <w:pPr>
        <w:bidi w:val="0"/>
      </w:pPr>
      <w:r>
        <w:t>同时，《番禺区海绵城市专项规划》中还对番禺区各排水分区年径流总量控制率进行了划分，番禺区各排水分区年径流总量控制率见表</w:t>
      </w:r>
      <w:r>
        <w:rPr>
          <w:rFonts w:hint="eastAsia"/>
          <w:lang w:val="en-US" w:eastAsia="zh-CN"/>
        </w:rPr>
        <w:t>17.3-3</w:t>
      </w:r>
      <w:r>
        <w:t>。</w:t>
      </w:r>
    </w:p>
    <w:p>
      <w:pPr>
        <w:pStyle w:val="250"/>
        <w:bidi w:val="0"/>
        <w:rPr>
          <w:rFonts w:hint="eastAsia" w:ascii="Times New Roman" w:hAnsi="Times New Roman" w:eastAsia="宋体"/>
          <w:lang w:val="en-US" w:eastAsia="zh-CN"/>
        </w:rPr>
      </w:pPr>
      <w:r>
        <w:rPr>
          <w:rFonts w:hint="eastAsia" w:ascii="Times New Roman" w:hAnsi="Times New Roman" w:eastAsia="宋体"/>
          <w:lang w:val="en-US" w:eastAsia="zh-CN"/>
        </w:rPr>
        <w:t>表1</w:t>
      </w:r>
      <w:r>
        <w:rPr>
          <w:rFonts w:hint="eastAsia" w:eastAsia="宋体"/>
          <w:lang w:val="en-US" w:eastAsia="zh-CN"/>
        </w:rPr>
        <w:t>3</w:t>
      </w:r>
      <w:r>
        <w:rPr>
          <w:rFonts w:hint="eastAsia" w:ascii="Times New Roman" w:hAnsi="Times New Roman" w:eastAsia="宋体"/>
          <w:lang w:val="en-US" w:eastAsia="zh-CN"/>
        </w:rPr>
        <w:t>.3-3 番禺区各排水分区年径流总量控制率一览表</w:t>
      </w:r>
    </w:p>
    <w:tbl>
      <w:tblPr>
        <w:tblStyle w:val="44"/>
        <w:tblW w:w="4998" w:type="pct"/>
        <w:jc w:val="center"/>
        <w:tblLayout w:type="autofit"/>
        <w:tblCellMar>
          <w:top w:w="0" w:type="dxa"/>
          <w:left w:w="0" w:type="dxa"/>
          <w:bottom w:w="0" w:type="dxa"/>
          <w:right w:w="0" w:type="dxa"/>
        </w:tblCellMar>
      </w:tblPr>
      <w:tblGrid>
        <w:gridCol w:w="943"/>
        <w:gridCol w:w="1918"/>
        <w:gridCol w:w="1973"/>
        <w:gridCol w:w="2690"/>
        <w:gridCol w:w="1553"/>
      </w:tblGrid>
      <w:tr>
        <w:tblPrEx>
          <w:tblCellMar>
            <w:top w:w="0" w:type="dxa"/>
            <w:left w:w="0" w:type="dxa"/>
            <w:bottom w:w="0" w:type="dxa"/>
            <w:right w:w="0" w:type="dxa"/>
          </w:tblCellMar>
        </w:tblPrEx>
        <w:trPr>
          <w:trHeight w:val="482" w:hRule="atLeast"/>
          <w:tblHeader/>
          <w:jc w:val="center"/>
        </w:trPr>
        <w:tc>
          <w:tcPr>
            <w:tcW w:w="519"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编号</w:t>
            </w:r>
          </w:p>
        </w:tc>
        <w:tc>
          <w:tcPr>
            <w:tcW w:w="1056" w:type="pct"/>
            <w:tcBorders>
              <w:top w:val="single" w:color="auto" w:sz="4" w:space="0"/>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排水分区名称</w:t>
            </w:r>
          </w:p>
        </w:tc>
        <w:tc>
          <w:tcPr>
            <w:tcW w:w="1086" w:type="pct"/>
            <w:tcBorders>
              <w:top w:val="single" w:color="auto" w:sz="4" w:space="0"/>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设计降雨量（mm）</w:t>
            </w:r>
          </w:p>
        </w:tc>
        <w:tc>
          <w:tcPr>
            <w:tcW w:w="1481" w:type="pct"/>
            <w:tcBorders>
              <w:top w:val="single" w:color="auto" w:sz="4" w:space="0"/>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年径流总量控制率（%）</w:t>
            </w:r>
          </w:p>
        </w:tc>
        <w:tc>
          <w:tcPr>
            <w:tcW w:w="855" w:type="pct"/>
            <w:tcBorders>
              <w:top w:val="single" w:color="auto" w:sz="4" w:space="0"/>
              <w:left w:val="nil"/>
              <w:bottom w:val="single" w:color="auto" w:sz="4" w:space="0"/>
              <w:right w:val="single" w:color="auto" w:sz="4" w:space="0"/>
            </w:tcBorders>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建设用地</w:t>
            </w:r>
          </w:p>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综合径流系数</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南大围分区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24.35</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66.9</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石北围分区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27.48</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70.5</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3</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雁州水闸排涝区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24.00</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66.4</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4</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YZ-095</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18.74</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58.7</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5</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九如围分区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20.81</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62</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沙滘围分区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25.83</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68.7</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7</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大学城分区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20.57</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61.6</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8</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大涌围分区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27.51</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70.6</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9</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南村围分区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25.07</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67.8</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砺江河流域分区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24.80</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67.4</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11</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莲花围分区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25.28</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68</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12</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广州新城分区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23.06</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65.2</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13</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海鸥围分区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22.24</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64.1</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14</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大刀沙分区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18.67</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58.6</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r>
        <w:tblPrEx>
          <w:tblCellMar>
            <w:top w:w="0" w:type="dxa"/>
            <w:left w:w="0" w:type="dxa"/>
            <w:bottom w:w="0" w:type="dxa"/>
            <w:right w:w="0" w:type="dxa"/>
          </w:tblCellMar>
        </w:tblPrEx>
        <w:trPr>
          <w:trHeight w:val="482" w:hRule="atLeast"/>
          <w:jc w:val="center"/>
        </w:trPr>
        <w:tc>
          <w:tcPr>
            <w:tcW w:w="519" w:type="pct"/>
            <w:tcBorders>
              <w:top w:val="nil"/>
              <w:left w:val="single" w:color="auto" w:sz="4" w:space="0"/>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15</w:t>
            </w:r>
          </w:p>
        </w:tc>
        <w:tc>
          <w:tcPr>
            <w:tcW w:w="105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观音沙分区</w:t>
            </w:r>
          </w:p>
        </w:tc>
        <w:tc>
          <w:tcPr>
            <w:tcW w:w="1086"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22.60</w:t>
            </w:r>
          </w:p>
        </w:tc>
        <w:tc>
          <w:tcPr>
            <w:tcW w:w="1481" w:type="pct"/>
            <w:tcBorders>
              <w:top w:val="nil"/>
              <w:left w:val="nil"/>
              <w:bottom w:val="single" w:color="auto" w:sz="4" w:space="0"/>
              <w:right w:val="single" w:color="auto" w:sz="4"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64.6</w:t>
            </w:r>
          </w:p>
        </w:tc>
        <w:tc>
          <w:tcPr>
            <w:tcW w:w="855" w:type="pct"/>
            <w:tcBorders>
              <w:top w:val="nil"/>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r>
    </w:tbl>
    <w:p>
      <w:pPr>
        <w:bidi w:val="0"/>
      </w:pPr>
      <w:r>
        <w:t>根据《番禺区海绵城市专项规划》，番禺区主要海绵城市建设指标见表</w:t>
      </w:r>
      <w:r>
        <w:rPr>
          <w:rFonts w:hint="eastAsia"/>
          <w:lang w:val="en-US" w:eastAsia="zh-CN"/>
        </w:rPr>
        <w:t>17.3-4</w:t>
      </w:r>
      <w:r>
        <w:t>。</w:t>
      </w:r>
    </w:p>
    <w:p>
      <w:pPr>
        <w:pStyle w:val="250"/>
        <w:bidi w:val="0"/>
        <w:rPr>
          <w:rFonts w:hint="eastAsia" w:ascii="Times New Roman" w:hAnsi="Times New Roman" w:eastAsia="宋体"/>
          <w:lang w:val="en-US" w:eastAsia="zh-CN"/>
        </w:rPr>
      </w:pPr>
      <w:r>
        <w:rPr>
          <w:rFonts w:hint="eastAsia" w:ascii="Times New Roman" w:hAnsi="Times New Roman" w:eastAsia="宋体"/>
          <w:lang w:val="en-US" w:eastAsia="zh-CN"/>
        </w:rPr>
        <w:t>表1</w:t>
      </w:r>
      <w:r>
        <w:rPr>
          <w:rFonts w:hint="eastAsia" w:eastAsia="宋体"/>
          <w:lang w:val="en-US" w:eastAsia="zh-CN"/>
        </w:rPr>
        <w:t>3</w:t>
      </w:r>
      <w:r>
        <w:rPr>
          <w:rFonts w:hint="eastAsia" w:ascii="Times New Roman" w:hAnsi="Times New Roman" w:eastAsia="宋体"/>
          <w:lang w:val="en-US" w:eastAsia="zh-CN"/>
        </w:rPr>
        <w:t>.3-4  番禺区主要海绵建设指标一览表</w:t>
      </w:r>
    </w:p>
    <w:tbl>
      <w:tblPr>
        <w:tblStyle w:val="44"/>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47"/>
        <w:gridCol w:w="1547"/>
        <w:gridCol w:w="1547"/>
        <w:gridCol w:w="1547"/>
        <w:gridCol w:w="1547"/>
        <w:gridCol w:w="154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类别</w:t>
            </w:r>
          </w:p>
        </w:tc>
        <w:tc>
          <w:tcPr>
            <w:tcW w:w="83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序号</w:t>
            </w:r>
          </w:p>
        </w:tc>
        <w:tc>
          <w:tcPr>
            <w:tcW w:w="83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指标</w:t>
            </w:r>
          </w:p>
        </w:tc>
        <w:tc>
          <w:tcPr>
            <w:tcW w:w="1666" w:type="pct"/>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目标值</w:t>
            </w:r>
          </w:p>
        </w:tc>
        <w:tc>
          <w:tcPr>
            <w:tcW w:w="83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w:t>
            </w:r>
            <w:r>
              <w:rPr>
                <w:rFonts w:hint="default"/>
                <w:lang w:val="en-US" w:eastAsia="zh-CN"/>
              </w:rPr>
              <w:t>/</w:t>
            </w:r>
            <w:r>
              <w:rPr>
                <w:rFonts w:hint="eastAsia"/>
                <w:lang w:val="en-US" w:eastAsia="zh-CN"/>
              </w:rPr>
              <w:t>鼓励性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5" w:hRule="atLeast"/>
        </w:trPr>
        <w:tc>
          <w:tcPr>
            <w:tcW w:w="83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83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83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近期（</w:t>
            </w:r>
            <w:r>
              <w:rPr>
                <w:rFonts w:hint="default"/>
                <w:lang w:val="en-US" w:eastAsia="zh-CN"/>
              </w:rPr>
              <w:t>2020</w:t>
            </w:r>
            <w:r>
              <w:rPr>
                <w:rFonts w:hint="eastAsia"/>
                <w:lang w:val="en-US" w:eastAsia="zh-CN"/>
              </w:rPr>
              <w:t>年）</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远期（</w:t>
            </w:r>
            <w:r>
              <w:rPr>
                <w:rFonts w:hint="default"/>
                <w:lang w:val="en-US" w:eastAsia="zh-CN"/>
              </w:rPr>
              <w:t>2030</w:t>
            </w:r>
            <w:r>
              <w:rPr>
                <w:rFonts w:hint="eastAsia"/>
                <w:lang w:val="en-US" w:eastAsia="zh-CN"/>
              </w:rPr>
              <w:t>年）</w:t>
            </w:r>
          </w:p>
        </w:tc>
        <w:tc>
          <w:tcPr>
            <w:tcW w:w="83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5" w:hRule="atLeast"/>
        </w:trPr>
        <w:tc>
          <w:tcPr>
            <w:tcW w:w="833" w:type="pct"/>
            <w:tcBorders>
              <w:top w:val="nil"/>
              <w:left w:val="single" w:color="000000" w:sz="8" w:space="0"/>
              <w:bottom w:val="nil"/>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水</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1</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年径流总量控制率</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58.7</w:t>
            </w:r>
            <w:r>
              <w:rPr>
                <w:rFonts w:hint="default"/>
                <w:lang w:val="en-US" w:eastAsia="zh-CN"/>
              </w:rPr>
              <w:t>%</w:t>
            </w:r>
            <w:r>
              <w:rPr>
                <w:rFonts w:hint="eastAsia"/>
                <w:lang w:val="en-US" w:eastAsia="zh-CN"/>
              </w:rPr>
              <w:t>（</w:t>
            </w:r>
            <w:r>
              <w:rPr>
                <w:rFonts w:hint="default"/>
                <w:lang w:val="en-US" w:eastAsia="zh-CN"/>
              </w:rPr>
              <w:t>20%</w:t>
            </w:r>
            <w:r>
              <w:rPr>
                <w:rFonts w:hint="eastAsia"/>
                <w:lang w:val="en-US" w:eastAsia="zh-CN"/>
              </w:rPr>
              <w:t>建成区达到目标）</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58.7</w:t>
            </w:r>
            <w:r>
              <w:rPr>
                <w:rFonts w:hint="default"/>
                <w:lang w:val="en-US" w:eastAsia="zh-CN"/>
              </w:rPr>
              <w:t>%</w:t>
            </w:r>
            <w:r>
              <w:rPr>
                <w:rFonts w:hint="eastAsia"/>
                <w:lang w:val="en-US" w:eastAsia="zh-CN"/>
              </w:rPr>
              <w:t>（</w:t>
            </w:r>
            <w:r>
              <w:rPr>
                <w:rFonts w:hint="default"/>
                <w:lang w:val="en-US" w:eastAsia="zh-CN"/>
              </w:rPr>
              <w:t>80%</w:t>
            </w:r>
            <w:r>
              <w:rPr>
                <w:rFonts w:hint="eastAsia"/>
                <w:lang w:val="en-US" w:eastAsia="zh-CN"/>
              </w:rPr>
              <w:t>建成区达到目标）</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833" w:type="pct"/>
            <w:tcBorders>
              <w:top w:val="nil"/>
              <w:left w:val="single" w:color="000000" w:sz="8" w:space="0"/>
              <w:bottom w:val="nil"/>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生态</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2</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河道生态岸线比例</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50%</w:t>
            </w:r>
            <w:r>
              <w:rPr>
                <w:rFonts w:hint="eastAsia"/>
                <w:lang w:val="en-US" w:eastAsia="zh-CN"/>
              </w:rPr>
              <w:t>以上</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50%</w:t>
            </w:r>
            <w:r>
              <w:rPr>
                <w:rFonts w:hint="eastAsia"/>
                <w:lang w:val="en-US" w:eastAsia="zh-CN"/>
              </w:rPr>
              <w:t>以上</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833" w:type="pct"/>
            <w:tcBorders>
              <w:top w:val="nil"/>
              <w:left w:val="single" w:color="000000" w:sz="8" w:space="0"/>
              <w:bottom w:val="nil"/>
              <w:right w:val="single" w:color="000000" w:sz="8"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3</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水域面积率</w:t>
            </w:r>
          </w:p>
        </w:tc>
        <w:tc>
          <w:tcPr>
            <w:tcW w:w="1666" w:type="pct"/>
            <w:gridSpan w:val="2"/>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不低于现有水域面积率（</w:t>
            </w:r>
            <w:r>
              <w:rPr>
                <w:rFonts w:hint="default"/>
                <w:lang w:val="en-US" w:eastAsia="zh-CN"/>
              </w:rPr>
              <w:t>15.03%</w:t>
            </w:r>
            <w:r>
              <w:rPr>
                <w:rFonts w:hint="eastAsia"/>
                <w:lang w:val="en-US" w:eastAsia="zh-CN"/>
              </w:rPr>
              <w:t>）</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833" w:type="pct"/>
            <w:tcBorders>
              <w:top w:val="nil"/>
              <w:left w:val="single" w:color="000000" w:sz="8" w:space="0"/>
              <w:bottom w:val="nil"/>
              <w:right w:val="single" w:color="000000" w:sz="8"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4</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森林覆盖率</w:t>
            </w:r>
          </w:p>
        </w:tc>
        <w:tc>
          <w:tcPr>
            <w:tcW w:w="1666" w:type="pct"/>
            <w:gridSpan w:val="2"/>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不低于现状森林覆盖率（</w:t>
            </w:r>
            <w:r>
              <w:rPr>
                <w:rFonts w:hint="default"/>
                <w:lang w:val="en-US" w:eastAsia="zh-CN"/>
              </w:rPr>
              <w:t>7.9%</w:t>
            </w:r>
            <w:r>
              <w:rPr>
                <w:rFonts w:hint="eastAsia"/>
                <w:lang w:val="en-US" w:eastAsia="zh-CN"/>
              </w:rPr>
              <w:t>）</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833" w:type="pct"/>
            <w:tcBorders>
              <w:top w:val="nil"/>
              <w:left w:val="single" w:color="000000" w:sz="8" w:space="0"/>
              <w:bottom w:val="single" w:color="000000" w:sz="8" w:space="0"/>
              <w:right w:val="single" w:color="000000" w:sz="8"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5</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城市热岛效应</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缓解</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明显缓解</w:t>
            </w:r>
          </w:p>
        </w:tc>
        <w:tc>
          <w:tcPr>
            <w:tcW w:w="833" w:type="pct"/>
            <w:tcBorders>
              <w:top w:val="single" w:color="000000" w:sz="8" w:space="0"/>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鼓励性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5" w:hRule="atLeast"/>
        </w:trPr>
        <w:tc>
          <w:tcPr>
            <w:tcW w:w="833" w:type="pct"/>
            <w:tcBorders>
              <w:top w:val="nil"/>
              <w:left w:val="single" w:color="000000" w:sz="8" w:space="0"/>
              <w:bottom w:val="nil"/>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水</w:t>
            </w:r>
          </w:p>
        </w:tc>
        <w:tc>
          <w:tcPr>
            <w:tcW w:w="833" w:type="pct"/>
            <w:vMerge w:val="restar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6</w:t>
            </w:r>
          </w:p>
        </w:tc>
        <w:tc>
          <w:tcPr>
            <w:tcW w:w="833" w:type="pct"/>
            <w:vMerge w:val="restar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水环境质量</w:t>
            </w:r>
          </w:p>
        </w:tc>
        <w:tc>
          <w:tcPr>
            <w:tcW w:w="833" w:type="pct"/>
            <w:vMerge w:val="restar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对于规划地表水境功能区划的水体断面，消除劣Ⅴ类，城市建成区基本消除黑臭水体，地表水水质优良（达到或优于Ⅲ类）比例进一步提升</w:t>
            </w:r>
          </w:p>
        </w:tc>
        <w:tc>
          <w:tcPr>
            <w:tcW w:w="833" w:type="pct"/>
            <w:tcBorders>
              <w:top w:val="nil"/>
              <w:left w:val="single" w:color="000000" w:sz="8" w:space="0"/>
              <w:bottom w:val="nil"/>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1</w:t>
            </w:r>
            <w:r>
              <w:rPr>
                <w:rFonts w:hint="eastAsia"/>
                <w:lang w:val="en-US" w:eastAsia="zh-CN"/>
              </w:rPr>
              <w:t>、海绵城市建设区域内的河湖水系水质不低于（地表水环境质量标准）Ⅴ类标准，且优于海绵城市建设前的水质；</w:t>
            </w:r>
          </w:p>
        </w:tc>
        <w:tc>
          <w:tcPr>
            <w:tcW w:w="833" w:type="pct"/>
            <w:vMerge w:val="restar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70" w:hRule="atLeast"/>
        </w:trPr>
        <w:tc>
          <w:tcPr>
            <w:tcW w:w="833" w:type="pct"/>
            <w:tcBorders>
              <w:top w:val="nil"/>
              <w:left w:val="single" w:color="000000" w:sz="8" w:space="0"/>
              <w:bottom w:val="nil"/>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环境</w:t>
            </w:r>
          </w:p>
        </w:tc>
        <w:tc>
          <w:tcPr>
            <w:tcW w:w="833" w:type="pct"/>
            <w:vMerge w:val="continue"/>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p>
        </w:tc>
        <w:tc>
          <w:tcPr>
            <w:tcW w:w="833" w:type="pct"/>
            <w:vMerge w:val="continue"/>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833" w:type="pct"/>
            <w:vMerge w:val="continue"/>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2</w:t>
            </w:r>
            <w:r>
              <w:rPr>
                <w:rFonts w:hint="eastAsia"/>
                <w:lang w:val="en-US" w:eastAsia="zh-CN"/>
              </w:rPr>
              <w:t>、城市建成区黑臭水体总体得到消除，地表水水质优良比例进一步提升</w:t>
            </w:r>
          </w:p>
        </w:tc>
        <w:tc>
          <w:tcPr>
            <w:tcW w:w="833" w:type="pct"/>
            <w:vMerge w:val="continue"/>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833" w:type="pct"/>
            <w:tcBorders>
              <w:top w:val="nil"/>
              <w:left w:val="single" w:color="000000" w:sz="8" w:space="0"/>
              <w:bottom w:val="nil"/>
              <w:right w:val="single" w:color="000000" w:sz="8"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7</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城市污水处理率</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95%</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95%</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75" w:hRule="atLeast"/>
        </w:trPr>
        <w:tc>
          <w:tcPr>
            <w:tcW w:w="833" w:type="pct"/>
            <w:tcBorders>
              <w:top w:val="nil"/>
              <w:left w:val="single" w:color="000000" w:sz="8" w:space="0"/>
              <w:bottom w:val="single" w:color="000000" w:sz="8" w:space="0"/>
              <w:right w:val="single" w:color="000000" w:sz="8" w:space="0"/>
            </w:tcBorders>
            <w:shd w:val="clear" w:color="auto" w:fill="auto"/>
            <w:noWrap/>
            <w:vAlign w:val="center"/>
          </w:tcPr>
          <w:p>
            <w:pPr>
              <w:pStyle w:val="54"/>
              <w:keepNext w:val="0"/>
              <w:keepLines w:val="0"/>
              <w:suppressLineNumbers w:val="0"/>
              <w:bidi w:val="0"/>
              <w:spacing w:before="0" w:beforeAutospacing="0" w:after="0" w:afterAutospacing="0"/>
              <w:ind w:left="0" w:right="0"/>
              <w:rPr>
                <w:rFonts w:hint="eastAsia"/>
                <w:lang w:val="en-US" w:eastAsia="zh-CN"/>
              </w:rPr>
            </w:pP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8</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径流污染消减率</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新建项目</w:t>
            </w:r>
            <w:r>
              <w:rPr>
                <w:rFonts w:hint="default"/>
                <w:lang w:val="en-US" w:eastAsia="zh-CN"/>
              </w:rPr>
              <w:t>50%</w:t>
            </w:r>
            <w:r>
              <w:rPr>
                <w:rFonts w:hint="eastAsia"/>
                <w:lang w:val="en-US" w:eastAsia="zh-CN"/>
              </w:rPr>
              <w:t>，改建项目</w:t>
            </w:r>
            <w:r>
              <w:rPr>
                <w:rFonts w:hint="default"/>
                <w:lang w:val="en-US" w:eastAsia="zh-CN"/>
              </w:rPr>
              <w:t>40%</w:t>
            </w:r>
            <w:r>
              <w:rPr>
                <w:rFonts w:hint="eastAsia"/>
                <w:lang w:val="en-US" w:eastAsia="zh-CN"/>
              </w:rPr>
              <w:t>，</w:t>
            </w:r>
            <w:r>
              <w:rPr>
                <w:rFonts w:hint="default"/>
                <w:lang w:val="en-US" w:eastAsia="zh-CN"/>
              </w:rPr>
              <w:t>20%</w:t>
            </w:r>
            <w:r>
              <w:rPr>
                <w:rFonts w:hint="eastAsia"/>
                <w:lang w:val="en-US" w:eastAsia="zh-CN"/>
              </w:rPr>
              <w:t>建成区达到目标</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新建项目</w:t>
            </w:r>
            <w:r>
              <w:rPr>
                <w:rFonts w:hint="default"/>
                <w:lang w:val="en-US" w:eastAsia="zh-CN"/>
              </w:rPr>
              <w:t>50%</w:t>
            </w:r>
            <w:r>
              <w:rPr>
                <w:rFonts w:hint="eastAsia"/>
                <w:lang w:val="en-US" w:eastAsia="zh-CN"/>
              </w:rPr>
              <w:t>，改建项目</w:t>
            </w:r>
            <w:r>
              <w:rPr>
                <w:rFonts w:hint="default"/>
                <w:lang w:val="en-US" w:eastAsia="zh-CN"/>
              </w:rPr>
              <w:t>40%</w:t>
            </w:r>
            <w:r>
              <w:rPr>
                <w:rFonts w:hint="eastAsia"/>
                <w:lang w:val="en-US" w:eastAsia="zh-CN"/>
              </w:rPr>
              <w:t>，</w:t>
            </w:r>
            <w:r>
              <w:rPr>
                <w:rFonts w:hint="default"/>
                <w:lang w:val="en-US" w:eastAsia="zh-CN"/>
              </w:rPr>
              <w:t>80%</w:t>
            </w:r>
            <w:r>
              <w:rPr>
                <w:rFonts w:hint="eastAsia"/>
                <w:lang w:val="en-US" w:eastAsia="zh-CN"/>
              </w:rPr>
              <w:t>建成区达到目标</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5" w:hRule="atLeast"/>
        </w:trPr>
        <w:tc>
          <w:tcPr>
            <w:tcW w:w="833" w:type="pct"/>
            <w:tcBorders>
              <w:top w:val="nil"/>
              <w:left w:val="single" w:color="000000" w:sz="8" w:space="0"/>
              <w:bottom w:val="nil"/>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水</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9</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污水再生利用</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r>
              <w:rPr>
                <w:rFonts w:hint="default"/>
                <w:lang w:val="en-US" w:eastAsia="zh-CN"/>
              </w:rPr>
              <w:t>3%</w:t>
            </w:r>
            <w:r>
              <w:rPr>
                <w:rFonts w:hint="eastAsia"/>
                <w:lang w:val="en-US" w:eastAsia="zh-CN"/>
              </w:rPr>
              <w:t>（含生态补水）</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r>
              <w:rPr>
                <w:rFonts w:hint="default"/>
                <w:lang w:val="en-US" w:eastAsia="zh-CN"/>
              </w:rPr>
              <w:t>10%</w:t>
            </w:r>
            <w:r>
              <w:rPr>
                <w:rFonts w:hint="eastAsia"/>
                <w:lang w:val="en-US" w:eastAsia="zh-CN"/>
              </w:rPr>
              <w:t>（含生态补水）</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资源</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10</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雨水资源利用</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不低于</w:t>
            </w:r>
            <w:r>
              <w:rPr>
                <w:rFonts w:hint="default"/>
                <w:lang w:val="en-US" w:eastAsia="zh-CN"/>
              </w:rPr>
              <w:t>1.5%</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不低于</w:t>
            </w:r>
            <w:r>
              <w:rPr>
                <w:rFonts w:hint="default"/>
                <w:lang w:val="en-US" w:eastAsia="zh-CN"/>
              </w:rPr>
              <w:t>3%</w:t>
            </w:r>
          </w:p>
        </w:tc>
        <w:tc>
          <w:tcPr>
            <w:tcW w:w="833" w:type="pct"/>
            <w:tcBorders>
              <w:top w:val="nil"/>
              <w:left w:val="single" w:color="000000" w:sz="8" w:space="0"/>
              <w:bottom w:val="single" w:color="000000" w:sz="8" w:space="0"/>
              <w:right w:val="single" w:color="000000" w:sz="8" w:space="0"/>
            </w:tcBorders>
            <w:shd w:val="clear" w:color="auto" w:fill="auto"/>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约束性</w:t>
            </w:r>
          </w:p>
        </w:tc>
      </w:tr>
    </w:tbl>
    <w:p>
      <w:pPr>
        <w:pStyle w:val="5"/>
        <w:bidi w:val="0"/>
        <w:ind w:left="720" w:leftChars="0" w:hanging="720" w:firstLineChars="0"/>
        <w:rPr>
          <w:rFonts w:hint="eastAsia" w:ascii="Times New Roman" w:cs="Times New Roman"/>
          <w:lang w:val="en-US" w:eastAsia="zh-CN"/>
        </w:rPr>
      </w:pPr>
      <w:bookmarkStart w:id="354" w:name="_Toc13192"/>
      <w:bookmarkStart w:id="355" w:name="_Toc27925"/>
      <w:r>
        <w:rPr>
          <w:rFonts w:hint="eastAsia" w:ascii="Times New Roman" w:cs="Times New Roman"/>
          <w:lang w:val="en-US" w:eastAsia="zh-CN"/>
        </w:rPr>
        <w:t>设计参数</w:t>
      </w:r>
      <w:bookmarkEnd w:id="354"/>
      <w:bookmarkEnd w:id="355"/>
      <w:r>
        <w:rPr>
          <w:rFonts w:hint="eastAsia" w:ascii="Times New Roman" w:cs="Times New Roman"/>
          <w:lang w:val="en-US" w:eastAsia="zh-CN"/>
        </w:rPr>
        <w:t xml:space="preserve"> </w:t>
      </w:r>
    </w:p>
    <w:p>
      <w:pPr>
        <w:keepNext w:val="0"/>
        <w:keepLines w:val="0"/>
        <w:pageBreakBefore w:val="0"/>
        <w:widowControl w:val="0"/>
        <w:numPr>
          <w:ilvl w:val="0"/>
          <w:numId w:val="15"/>
        </w:numPr>
        <w:kinsoku/>
        <w:wordWrap/>
        <w:overflowPunct/>
        <w:topLinePunct w:val="0"/>
        <w:autoSpaceDE/>
        <w:autoSpaceDN/>
        <w:bidi w:val="0"/>
        <w:adjustRightInd/>
        <w:snapToGrid/>
        <w:ind w:left="0" w:leftChars="0" w:firstLine="480" w:firstLineChars="200"/>
        <w:textAlignment w:val="auto"/>
      </w:pPr>
      <w:r>
        <w:rPr>
          <w:rFonts w:hint="eastAsia"/>
        </w:rPr>
        <w:t>峰值径流系数计算</w:t>
      </w:r>
    </w:p>
    <w:p>
      <w:pPr>
        <w:keepNext w:val="0"/>
        <w:keepLines w:val="0"/>
        <w:pageBreakBefore w:val="0"/>
        <w:widowControl w:val="0"/>
        <w:numPr>
          <w:ilvl w:val="0"/>
          <w:numId w:val="15"/>
        </w:numPr>
        <w:kinsoku/>
        <w:wordWrap/>
        <w:overflowPunct/>
        <w:topLinePunct w:val="0"/>
        <w:autoSpaceDE/>
        <w:autoSpaceDN/>
        <w:bidi w:val="0"/>
        <w:adjustRightInd/>
        <w:snapToGrid/>
        <w:ind w:left="0" w:leftChars="0" w:firstLine="480" w:firstLineChars="200"/>
        <w:textAlignment w:val="auto"/>
      </w:pPr>
      <w:r>
        <w:t>年径流总量控制率</w:t>
      </w:r>
      <w:r>
        <w:rPr>
          <w:rFonts w:hint="eastAsia"/>
        </w:rPr>
        <w:t>计算</w:t>
      </w:r>
    </w:p>
    <w:p>
      <w:pPr>
        <w:keepNext w:val="0"/>
        <w:keepLines w:val="0"/>
        <w:pageBreakBefore w:val="0"/>
        <w:widowControl w:val="0"/>
        <w:numPr>
          <w:ilvl w:val="0"/>
          <w:numId w:val="15"/>
        </w:numPr>
        <w:kinsoku/>
        <w:wordWrap/>
        <w:overflowPunct/>
        <w:topLinePunct w:val="0"/>
        <w:autoSpaceDE/>
        <w:autoSpaceDN/>
        <w:bidi w:val="0"/>
        <w:adjustRightInd/>
        <w:snapToGrid/>
        <w:ind w:left="0" w:leftChars="0" w:firstLine="480" w:firstLineChars="200"/>
        <w:textAlignment w:val="auto"/>
      </w:pPr>
      <w:r>
        <w:rPr>
          <w:rFonts w:hint="eastAsia"/>
        </w:rPr>
        <w:t>海绵设施控制体积计算</w:t>
      </w:r>
    </w:p>
    <w:p>
      <w:pPr>
        <w:keepNext w:val="0"/>
        <w:keepLines w:val="0"/>
        <w:pageBreakBefore w:val="0"/>
        <w:widowControl w:val="0"/>
        <w:numPr>
          <w:ilvl w:val="0"/>
          <w:numId w:val="15"/>
        </w:numPr>
        <w:kinsoku/>
        <w:wordWrap/>
        <w:overflowPunct/>
        <w:topLinePunct w:val="0"/>
        <w:autoSpaceDE/>
        <w:autoSpaceDN/>
        <w:bidi w:val="0"/>
        <w:adjustRightInd/>
        <w:snapToGrid/>
        <w:ind w:left="0" w:leftChars="0" w:firstLine="480" w:firstLineChars="200"/>
        <w:textAlignment w:val="auto"/>
      </w:pPr>
      <w:r>
        <w:rPr>
          <w:rFonts w:hint="eastAsia"/>
        </w:rPr>
        <w:t>设计调蓄容积计算</w:t>
      </w:r>
    </w:p>
    <w:p>
      <w:pPr>
        <w:keepNext w:val="0"/>
        <w:keepLines w:val="0"/>
        <w:pageBreakBefore w:val="0"/>
        <w:widowControl w:val="0"/>
        <w:numPr>
          <w:ilvl w:val="0"/>
          <w:numId w:val="15"/>
        </w:numPr>
        <w:kinsoku/>
        <w:wordWrap/>
        <w:overflowPunct/>
        <w:topLinePunct w:val="0"/>
        <w:autoSpaceDE/>
        <w:autoSpaceDN/>
        <w:bidi w:val="0"/>
        <w:adjustRightInd/>
        <w:snapToGrid/>
        <w:ind w:left="0" w:leftChars="0" w:firstLine="480" w:firstLineChars="200"/>
        <w:textAlignment w:val="auto"/>
        <w:rPr>
          <w:rFonts w:hint="eastAsia"/>
        </w:rPr>
      </w:pPr>
      <w:r>
        <w:t>污染物削减率</w:t>
      </w:r>
      <w:r>
        <w:rPr>
          <w:rFonts w:hint="eastAsia"/>
        </w:rPr>
        <w:t>计算</w:t>
      </w:r>
    </w:p>
    <w:p>
      <w:pPr>
        <w:keepNext w:val="0"/>
        <w:keepLines w:val="0"/>
        <w:pageBreakBefore w:val="0"/>
        <w:widowControl w:val="0"/>
        <w:numPr>
          <w:ilvl w:val="0"/>
          <w:numId w:val="15"/>
        </w:numPr>
        <w:kinsoku/>
        <w:wordWrap/>
        <w:overflowPunct/>
        <w:topLinePunct w:val="0"/>
        <w:autoSpaceDE/>
        <w:autoSpaceDN/>
        <w:bidi w:val="0"/>
        <w:adjustRightInd/>
        <w:snapToGrid/>
        <w:ind w:left="0" w:leftChars="0" w:firstLine="480" w:firstLineChars="200"/>
        <w:textAlignment w:val="auto"/>
      </w:pPr>
      <w:r>
        <w:rPr>
          <w:rFonts w:hint="eastAsia"/>
        </w:rPr>
        <w:t>下沉式绿地</w:t>
      </w:r>
      <w:r>
        <w:t>率</w:t>
      </w:r>
      <w:r>
        <w:rPr>
          <w:rFonts w:hint="eastAsia"/>
        </w:rPr>
        <w:t>计算</w:t>
      </w:r>
    </w:p>
    <w:p>
      <w:pPr>
        <w:pStyle w:val="5"/>
        <w:bidi w:val="0"/>
        <w:ind w:left="720" w:leftChars="0" w:hanging="720" w:firstLineChars="0"/>
        <w:rPr>
          <w:rFonts w:hint="eastAsia" w:ascii="Times New Roman" w:cs="Times New Roman"/>
          <w:lang w:val="en-US" w:eastAsia="zh-CN"/>
        </w:rPr>
      </w:pPr>
      <w:bookmarkStart w:id="356" w:name="_Toc23772"/>
      <w:bookmarkStart w:id="357" w:name="_Toc24673"/>
      <w:r>
        <w:rPr>
          <w:rFonts w:hint="eastAsia" w:ascii="Times New Roman" w:cs="Times New Roman"/>
          <w:lang w:val="en-US" w:eastAsia="zh-CN"/>
        </w:rPr>
        <w:t>海绵城市设施方案</w:t>
      </w:r>
      <w:bookmarkEnd w:id="356"/>
      <w:bookmarkEnd w:id="357"/>
    </w:p>
    <w:p>
      <w:pPr>
        <w:bidi w:val="0"/>
      </w:pPr>
      <w:r>
        <w:t>一般来说，水利工程的海绵设计可通过河道两边的景观绿地和生态护坡、生态停车场等，共同组成滞、蓄、净一体的海绵生态绿廊。主要海绵设施包括雨水花园、下凹式绿地、透水砖铺装和生态碎石草沟等。</w:t>
      </w:r>
    </w:p>
    <w:p>
      <w:pPr>
        <w:pStyle w:val="5"/>
        <w:bidi w:val="0"/>
        <w:ind w:left="720" w:leftChars="0" w:hanging="720" w:firstLineChars="0"/>
        <w:rPr>
          <w:rFonts w:hint="eastAsia" w:ascii="Times New Roman" w:cs="Times New Roman"/>
          <w:lang w:val="en-US" w:eastAsia="zh-CN"/>
        </w:rPr>
      </w:pPr>
      <w:bookmarkStart w:id="358" w:name="_Toc15762"/>
      <w:bookmarkStart w:id="359" w:name="_Toc11088"/>
      <w:r>
        <w:rPr>
          <w:rFonts w:hint="eastAsia" w:ascii="Times New Roman" w:cs="Times New Roman"/>
          <w:lang w:val="en-US" w:eastAsia="zh-CN"/>
        </w:rPr>
        <w:t>海绵城市设计</w:t>
      </w:r>
      <w:bookmarkEnd w:id="358"/>
      <w:bookmarkEnd w:id="359"/>
    </w:p>
    <w:p>
      <w:pPr>
        <w:bidi w:val="0"/>
        <w:rPr>
          <w:rFonts w:hint="eastAsia"/>
          <w:lang w:eastAsia="zh-CN"/>
        </w:rPr>
      </w:pPr>
      <w:r>
        <w:rPr>
          <w:rFonts w:hint="eastAsia"/>
        </w:rPr>
        <w:t>根据本项目竖向地形特点和用地区域相关建设规划、水文径流特性和地块排水特点等因素综合考虑，以</w:t>
      </w:r>
      <w:r>
        <w:rPr>
          <w:rFonts w:hint="eastAsia"/>
          <w:lang w:val="en-US" w:eastAsia="zh-CN"/>
        </w:rPr>
        <w:t>大蕴涌</w:t>
      </w:r>
      <w:r>
        <w:rPr>
          <w:rFonts w:hint="eastAsia"/>
        </w:rPr>
        <w:t>为界将项目用地分为左岸</w:t>
      </w:r>
      <w:r>
        <w:rPr>
          <w:rFonts w:hint="eastAsia"/>
          <w:lang w:val="en-US" w:eastAsia="zh-CN"/>
        </w:rPr>
        <w:t>1</w:t>
      </w:r>
      <w:r>
        <w:rPr>
          <w:rFonts w:hint="eastAsia"/>
        </w:rPr>
        <w:t>个汇水分区，确保雨水在子汇水区控制。汇水分区见下图，其中，汇水面积为</w:t>
      </w:r>
      <w:r>
        <w:rPr>
          <w:rFonts w:hint="eastAsia"/>
          <w:lang w:val="en-US" w:eastAsia="zh-CN"/>
        </w:rPr>
        <w:t>1960.74</w:t>
      </w:r>
      <w:r>
        <w:rPr>
          <w:rFonts w:hint="eastAsia"/>
        </w:rPr>
        <w:t>m</w:t>
      </w:r>
      <w:r>
        <w:rPr>
          <w:rFonts w:hint="eastAsia"/>
          <w:vertAlign w:val="superscript"/>
        </w:rPr>
        <w:t>2</w:t>
      </w:r>
      <w:r>
        <w:rPr>
          <w:rFonts w:hint="eastAsia"/>
          <w:lang w:eastAsia="zh-CN"/>
        </w:rPr>
        <w:t>。</w:t>
      </w:r>
    </w:p>
    <w:p>
      <w:pPr>
        <w:pStyle w:val="2"/>
        <w:jc w:val="center"/>
        <w:rPr>
          <w:rFonts w:hint="eastAsia"/>
        </w:rPr>
      </w:pPr>
      <w:r>
        <w:drawing>
          <wp:inline distT="0" distB="0" distL="114300" distR="114300">
            <wp:extent cx="8081010" cy="4926330"/>
            <wp:effectExtent l="0" t="0" r="7620" b="15240"/>
            <wp:docPr id="5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9"/>
                    <pic:cNvPicPr>
                      <a:picLocks noChangeAspect="1"/>
                    </pic:cNvPicPr>
                  </pic:nvPicPr>
                  <pic:blipFill>
                    <a:blip r:embed="rId101"/>
                    <a:stretch>
                      <a:fillRect/>
                    </a:stretch>
                  </pic:blipFill>
                  <pic:spPr>
                    <a:xfrm rot="5400000">
                      <a:off x="0" y="0"/>
                      <a:ext cx="8081010" cy="4926330"/>
                    </a:xfrm>
                    <a:prstGeom prst="rect">
                      <a:avLst/>
                    </a:prstGeom>
                    <a:noFill/>
                    <a:ln>
                      <a:noFill/>
                    </a:ln>
                  </pic:spPr>
                </pic:pic>
              </a:graphicData>
            </a:graphic>
          </wp:inline>
        </w:drawing>
      </w:r>
    </w:p>
    <w:p>
      <w:pPr>
        <w:pStyle w:val="250"/>
        <w:bidi w:val="0"/>
        <w:rPr>
          <w:rFonts w:hint="eastAsia"/>
        </w:rPr>
      </w:pPr>
      <w:r>
        <w:rPr>
          <w:rFonts w:hint="eastAsia" w:ascii="Times New Roman" w:hAnsi="Times New Roman" w:eastAsia="宋体"/>
          <w:lang w:val="en-US" w:eastAsia="zh-CN"/>
        </w:rPr>
        <w:t>图1</w:t>
      </w:r>
      <w:r>
        <w:rPr>
          <w:rFonts w:hint="eastAsia" w:eastAsia="宋体"/>
          <w:lang w:val="en-US" w:eastAsia="zh-CN"/>
        </w:rPr>
        <w:t>3</w:t>
      </w:r>
      <w:r>
        <w:rPr>
          <w:rFonts w:hint="eastAsia" w:ascii="Times New Roman" w:hAnsi="Times New Roman" w:eastAsia="宋体"/>
          <w:lang w:val="en-US" w:eastAsia="zh-CN"/>
        </w:rPr>
        <w:t>.3-2  汇水分区图</w:t>
      </w:r>
    </w:p>
    <w:p>
      <w:pPr>
        <w:bidi w:val="0"/>
      </w:pPr>
      <w:r>
        <w:t>适合广州地区选用的各类海绵设施功能、控制目标、经济性和效果等比选情况见表1</w:t>
      </w:r>
      <w:r>
        <w:rPr>
          <w:rFonts w:hint="eastAsia"/>
          <w:lang w:val="en-US" w:eastAsia="zh-CN"/>
        </w:rPr>
        <w:t>9</w:t>
      </w:r>
      <w:r>
        <w:t>.5-1。考虑到本工程为</w:t>
      </w:r>
      <w:r>
        <w:rPr>
          <w:rFonts w:hint="eastAsia"/>
          <w:lang w:val="en-US" w:eastAsia="zh-CN"/>
        </w:rPr>
        <w:t>排涝通道改造</w:t>
      </w:r>
      <w:r>
        <w:t>工程，主要建筑物</w:t>
      </w:r>
      <w:r>
        <w:rPr>
          <w:rFonts w:hint="eastAsia"/>
          <w:lang w:val="en-US" w:eastAsia="zh-CN"/>
        </w:rPr>
        <w:t>为堤岸</w:t>
      </w:r>
      <w:r>
        <w:t>，用地范围较小，难以布置较大面积的海绵设计。故从工程实际出发，初步考虑在工程管理区及堤岸内涌侧护坡设置与空间和功能相适应的海绵设施，以实现滞、蓄、净等海绵功能，同时，根据海绵城市相关要求，对项目区域内的植物进行选型。植物选型应在遵循适地适树的原则上，以既耐水淹又能耐干旱耐瘠薄的本土植物品种为主，在充分保证植物能够应对各种生存条件的同时兼顾植物搭配所产生的美化功能。</w:t>
      </w:r>
    </w:p>
    <w:p>
      <w:pPr>
        <w:bidi w:val="0"/>
      </w:pPr>
      <w:r>
        <w:t>根据比选情况和项目实际情况，本阶段考虑</w:t>
      </w:r>
      <w:r>
        <w:rPr>
          <w:rFonts w:hint="eastAsia"/>
          <w:lang w:val="en-US" w:eastAsia="zh-CN"/>
        </w:rPr>
        <w:t>大蕴涌防洪排涝通道</w:t>
      </w:r>
      <w:r>
        <w:t>采用</w:t>
      </w:r>
      <w:r>
        <w:rPr>
          <w:rFonts w:hint="eastAsia"/>
          <w:lang w:val="en-US" w:eastAsia="zh-CN"/>
        </w:rPr>
        <w:t>透水混凝土路面</w:t>
      </w:r>
      <w:r>
        <w:t>和</w:t>
      </w:r>
      <w:r>
        <w:rPr>
          <w:rFonts w:hint="eastAsia"/>
          <w:lang w:val="en-US" w:eastAsia="zh-CN"/>
        </w:rPr>
        <w:t>下凹式绿地</w:t>
      </w:r>
      <w:r>
        <w:t>相搭配的海绵设计方案，断面结构设计见图</w:t>
      </w:r>
      <w:r>
        <w:rPr>
          <w:rFonts w:hint="eastAsia"/>
          <w:lang w:val="en-US" w:eastAsia="zh-CN"/>
        </w:rPr>
        <w:t>13.3-3</w:t>
      </w:r>
      <w:r>
        <w:t>、图</w:t>
      </w:r>
      <w:r>
        <w:rPr>
          <w:rFonts w:hint="eastAsia"/>
          <w:lang w:val="en-US" w:eastAsia="zh-CN"/>
        </w:rPr>
        <w:t>13.3-4</w:t>
      </w:r>
      <w:r>
        <w:t>。</w:t>
      </w:r>
    </w:p>
    <w:p>
      <w:pPr>
        <w:pStyle w:val="250"/>
        <w:bidi w:val="0"/>
        <w:rPr>
          <w:rFonts w:hint="eastAsia" w:ascii="Times New Roman" w:hAnsi="Times New Roman" w:eastAsia="宋体"/>
          <w:lang w:val="en-US" w:eastAsia="zh-CN"/>
        </w:rPr>
      </w:pPr>
      <w:r>
        <w:rPr>
          <w:rFonts w:hint="eastAsia" w:ascii="Times New Roman" w:hAnsi="Times New Roman" w:eastAsia="宋体"/>
          <w:lang w:val="en-US" w:eastAsia="zh-CN"/>
        </w:rPr>
        <w:t>表1</w:t>
      </w:r>
      <w:r>
        <w:rPr>
          <w:rFonts w:hint="eastAsia" w:eastAsia="宋体"/>
          <w:lang w:val="en-US" w:eastAsia="zh-CN"/>
        </w:rPr>
        <w:t>3</w:t>
      </w:r>
      <w:r>
        <w:rPr>
          <w:rFonts w:hint="eastAsia" w:ascii="Times New Roman" w:hAnsi="Times New Roman" w:eastAsia="宋体"/>
          <w:lang w:val="en-US" w:eastAsia="zh-CN"/>
        </w:rPr>
        <w:t>.3-6  海绵设施比选表</w:t>
      </w:r>
    </w:p>
    <w:p>
      <w:pPr>
        <w:keepNext w:val="0"/>
        <w:keepLines w:val="0"/>
        <w:pageBreakBefore w:val="0"/>
        <w:widowControl/>
        <w:kinsoku/>
        <w:wordWrap/>
        <w:overflowPunct/>
        <w:topLinePunct w:val="0"/>
        <w:autoSpaceDE/>
        <w:autoSpaceDN/>
        <w:bidi w:val="0"/>
        <w:adjustRightInd/>
        <w:snapToGrid/>
        <w:ind w:left="0" w:leftChars="0" w:firstLine="0" w:firstLineChars="0"/>
        <w:jc w:val="center"/>
        <w:textAlignment w:val="auto"/>
      </w:pPr>
      <w:r>
        <w:drawing>
          <wp:inline distT="0" distB="0" distL="114300" distR="114300">
            <wp:extent cx="5756275" cy="4045585"/>
            <wp:effectExtent l="0" t="0" r="0" b="0"/>
            <wp:docPr id="4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1"/>
                    <pic:cNvPicPr>
                      <a:picLocks noChangeAspect="1"/>
                    </pic:cNvPicPr>
                  </pic:nvPicPr>
                  <pic:blipFill>
                    <a:blip r:embed="rId102"/>
                    <a:srcRect t="4152" r="1392"/>
                    <a:stretch>
                      <a:fillRect/>
                    </a:stretch>
                  </pic:blipFill>
                  <pic:spPr>
                    <a:xfrm>
                      <a:off x="0" y="0"/>
                      <a:ext cx="5756275" cy="4045585"/>
                    </a:xfrm>
                    <a:prstGeom prst="rect">
                      <a:avLst/>
                    </a:prstGeom>
                    <a:noFill/>
                    <a:ln>
                      <a:noFill/>
                    </a:ln>
                  </pic:spPr>
                </pic:pic>
              </a:graphicData>
            </a:graphic>
          </wp:inline>
        </w:drawing>
      </w:r>
    </w:p>
    <w:p>
      <w:pPr>
        <w:bidi w:val="0"/>
      </w:pPr>
      <w:r>
        <w:rPr>
          <w:rFonts w:hint="eastAsia"/>
        </w:rPr>
        <w:t>海绵设施平面布置及方案设计海绵设施断面结构设计见图</w:t>
      </w:r>
      <w:r>
        <w:rPr>
          <w:rFonts w:hint="eastAsia"/>
          <w:lang w:val="en-US" w:eastAsia="zh-CN"/>
        </w:rPr>
        <w:t>13.3-4</w:t>
      </w:r>
      <w:r>
        <w:rPr>
          <w:rFonts w:hint="eastAsia"/>
        </w:rPr>
        <w:t xml:space="preserve">~ </w:t>
      </w:r>
      <w:r>
        <w:rPr>
          <w:rFonts w:hint="eastAsia"/>
          <w:lang w:val="en-US" w:eastAsia="zh-CN"/>
        </w:rPr>
        <w:t>13.3-5</w:t>
      </w:r>
      <w:r>
        <w:rPr>
          <w:rFonts w:hint="eastAsia"/>
        </w:rPr>
        <w:t>。</w:t>
      </w:r>
    </w:p>
    <w:p>
      <w:pPr>
        <w:bidi w:val="0"/>
      </w:pPr>
      <w:r>
        <w:drawing>
          <wp:inline distT="0" distB="0" distL="114300" distR="114300">
            <wp:extent cx="5753100" cy="2926080"/>
            <wp:effectExtent l="0" t="0" r="0" b="7620"/>
            <wp:docPr id="5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8"/>
                    <pic:cNvPicPr>
                      <a:picLocks noChangeAspect="1"/>
                    </pic:cNvPicPr>
                  </pic:nvPicPr>
                  <pic:blipFill>
                    <a:blip r:embed="rId103"/>
                    <a:stretch>
                      <a:fillRect/>
                    </a:stretch>
                  </pic:blipFill>
                  <pic:spPr>
                    <a:xfrm>
                      <a:off x="0" y="0"/>
                      <a:ext cx="5753100" cy="2926080"/>
                    </a:xfrm>
                    <a:prstGeom prst="rect">
                      <a:avLst/>
                    </a:prstGeom>
                    <a:noFill/>
                    <a:ln>
                      <a:noFill/>
                    </a:ln>
                  </pic:spPr>
                </pic:pic>
              </a:graphicData>
            </a:graphic>
          </wp:inline>
        </w:drawing>
      </w:r>
    </w:p>
    <w:p>
      <w:pPr>
        <w:pStyle w:val="250"/>
        <w:bidi w:val="0"/>
        <w:rPr>
          <w:rFonts w:hint="eastAsia" w:ascii="Times New Roman" w:hAnsi="Times New Roman" w:eastAsia="宋体"/>
          <w:lang w:val="en-US" w:eastAsia="zh-CN"/>
        </w:rPr>
      </w:pPr>
      <w:r>
        <w:rPr>
          <w:rFonts w:hint="eastAsia" w:ascii="Times New Roman" w:hAnsi="Times New Roman" w:eastAsia="宋体"/>
          <w:lang w:val="en-US" w:eastAsia="zh-CN"/>
        </w:rPr>
        <w:t>图17.3-4 透水</w:t>
      </w:r>
      <w:r>
        <w:rPr>
          <w:rFonts w:hint="eastAsia" w:eastAsia="宋体"/>
          <w:lang w:val="en-US" w:eastAsia="zh-CN"/>
        </w:rPr>
        <w:t>混凝土路面</w:t>
      </w:r>
      <w:r>
        <w:rPr>
          <w:rFonts w:hint="eastAsia" w:ascii="Times New Roman" w:hAnsi="Times New Roman" w:eastAsia="宋体"/>
          <w:lang w:val="en-US" w:eastAsia="zh-CN"/>
        </w:rPr>
        <w:t>断面结构图</w:t>
      </w:r>
    </w:p>
    <w:p>
      <w:pPr>
        <w:bidi w:val="0"/>
      </w:pPr>
      <w:r>
        <w:drawing>
          <wp:inline distT="0" distB="0" distL="114300" distR="114300">
            <wp:extent cx="4843780" cy="2964815"/>
            <wp:effectExtent l="0" t="0" r="13970" b="6985"/>
            <wp:docPr id="6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1"/>
                    <pic:cNvPicPr>
                      <a:picLocks noChangeAspect="1"/>
                    </pic:cNvPicPr>
                  </pic:nvPicPr>
                  <pic:blipFill>
                    <a:blip r:embed="rId104"/>
                    <a:srcRect l="1897" r="772" b="1639"/>
                    <a:stretch>
                      <a:fillRect/>
                    </a:stretch>
                  </pic:blipFill>
                  <pic:spPr>
                    <a:xfrm>
                      <a:off x="0" y="0"/>
                      <a:ext cx="4843780" cy="2964815"/>
                    </a:xfrm>
                    <a:prstGeom prst="rect">
                      <a:avLst/>
                    </a:prstGeom>
                    <a:noFill/>
                    <a:ln>
                      <a:noFill/>
                    </a:ln>
                  </pic:spPr>
                </pic:pic>
              </a:graphicData>
            </a:graphic>
          </wp:inline>
        </w:drawing>
      </w:r>
    </w:p>
    <w:p>
      <w:pPr>
        <w:pStyle w:val="250"/>
        <w:bidi w:val="0"/>
        <w:rPr>
          <w:rFonts w:hint="eastAsia" w:ascii="Times New Roman" w:hAnsi="Times New Roman" w:eastAsia="宋体"/>
          <w:lang w:val="en-US" w:eastAsia="zh-CN"/>
        </w:rPr>
      </w:pPr>
      <w:r>
        <w:rPr>
          <w:rFonts w:hint="eastAsia" w:ascii="Times New Roman" w:hAnsi="Times New Roman" w:eastAsia="宋体"/>
          <w:lang w:val="en-US" w:eastAsia="zh-CN"/>
        </w:rPr>
        <w:t>图1</w:t>
      </w:r>
      <w:r>
        <w:rPr>
          <w:rFonts w:hint="eastAsia" w:eastAsia="宋体"/>
          <w:lang w:val="en-US" w:eastAsia="zh-CN"/>
        </w:rPr>
        <w:t>3</w:t>
      </w:r>
      <w:r>
        <w:rPr>
          <w:rFonts w:hint="eastAsia" w:ascii="Times New Roman" w:hAnsi="Times New Roman" w:eastAsia="宋体"/>
          <w:lang w:val="en-US" w:eastAsia="zh-CN"/>
        </w:rPr>
        <w:t xml:space="preserve">.3-5  </w:t>
      </w:r>
      <w:r>
        <w:rPr>
          <w:rFonts w:hint="eastAsia" w:eastAsia="宋体"/>
          <w:lang w:val="en-US" w:eastAsia="zh-CN"/>
        </w:rPr>
        <w:t>下凹式绿地</w:t>
      </w:r>
      <w:r>
        <w:rPr>
          <w:rFonts w:hint="eastAsia" w:ascii="Times New Roman" w:hAnsi="Times New Roman" w:eastAsia="宋体"/>
          <w:lang w:val="en-US" w:eastAsia="zh-CN"/>
        </w:rPr>
        <w:t>断面结构图</w:t>
      </w:r>
    </w:p>
    <w:p>
      <w:pPr>
        <w:pStyle w:val="5"/>
        <w:bidi w:val="0"/>
        <w:ind w:left="720" w:leftChars="0" w:hanging="720" w:firstLineChars="0"/>
        <w:rPr>
          <w:rFonts w:hint="eastAsia" w:ascii="Times New Roman" w:cs="Times New Roman"/>
          <w:lang w:val="en-US" w:eastAsia="zh-CN"/>
        </w:rPr>
      </w:pPr>
      <w:bookmarkStart w:id="360" w:name="_Toc29952"/>
      <w:bookmarkStart w:id="361" w:name="_Toc398"/>
      <w:r>
        <w:rPr>
          <w:rFonts w:hint="eastAsia" w:ascii="Times New Roman" w:cs="Times New Roman"/>
          <w:lang w:val="en-US" w:eastAsia="zh-CN"/>
        </w:rPr>
        <w:t>年径流总量控制率计算与校核</w:t>
      </w:r>
      <w:bookmarkEnd w:id="360"/>
      <w:bookmarkEnd w:id="361"/>
    </w:p>
    <w:p>
      <w:pPr>
        <w:pStyle w:val="6"/>
        <w:bidi w:val="0"/>
        <w:rPr>
          <w:lang w:val="en-US" w:eastAsia="zh-CN"/>
        </w:rPr>
      </w:pPr>
      <w:r>
        <w:rPr>
          <w:lang w:val="en-US" w:eastAsia="zh-CN"/>
        </w:rPr>
        <w:t>下垫面分析与雨量径流系数计算</w:t>
      </w:r>
    </w:p>
    <w:p>
      <w:pPr>
        <w:bidi w:val="0"/>
        <w:rPr>
          <w:rFonts w:hint="eastAsia"/>
        </w:rPr>
      </w:pPr>
      <w:r>
        <w:rPr>
          <w:rFonts w:hint="eastAsia"/>
        </w:rPr>
        <w:t>通过自然与人工强化的渗透、滞蓄、净化等方式控制城市建设下垫面的降雨径流，是保证年径流总量控制和污染削减的基础。根据工程区水体、土壤、道路和植被的分布状况，得到下垫面总体布局和统计情况，工程区下垫面共计3类，包括机动车道路（堤顶路）、绿地和水面，下垫面分布及面积统计见下图和下表。</w:t>
      </w:r>
    </w:p>
    <w:p>
      <w:pPr>
        <w:jc w:val="center"/>
      </w:pPr>
      <w:r>
        <w:drawing>
          <wp:inline distT="0" distB="0" distL="114300" distR="114300">
            <wp:extent cx="8402320" cy="4488180"/>
            <wp:effectExtent l="0" t="0" r="7620" b="17780"/>
            <wp:docPr id="5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0"/>
                    <pic:cNvPicPr>
                      <a:picLocks noChangeAspect="1"/>
                    </pic:cNvPicPr>
                  </pic:nvPicPr>
                  <pic:blipFill>
                    <a:blip r:embed="rId105"/>
                    <a:stretch>
                      <a:fillRect/>
                    </a:stretch>
                  </pic:blipFill>
                  <pic:spPr>
                    <a:xfrm rot="5400000">
                      <a:off x="0" y="0"/>
                      <a:ext cx="8402320" cy="4488180"/>
                    </a:xfrm>
                    <a:prstGeom prst="rect">
                      <a:avLst/>
                    </a:prstGeom>
                    <a:noFill/>
                    <a:ln>
                      <a:noFill/>
                    </a:ln>
                  </pic:spPr>
                </pic:pic>
              </a:graphicData>
            </a:graphic>
          </wp:inline>
        </w:drawing>
      </w:r>
    </w:p>
    <w:p>
      <w:pPr>
        <w:pStyle w:val="250"/>
        <w:bidi w:val="0"/>
        <w:rPr>
          <w:rFonts w:hint="eastAsia" w:ascii="Times New Roman" w:hAnsi="Times New Roman" w:eastAsia="宋体"/>
          <w:lang w:val="en-US" w:eastAsia="zh-CN"/>
        </w:rPr>
      </w:pPr>
      <w:r>
        <w:rPr>
          <w:rFonts w:hint="eastAsia" w:ascii="Times New Roman" w:hAnsi="Times New Roman" w:eastAsia="宋体"/>
          <w:lang w:val="en-US" w:eastAsia="zh-CN"/>
        </w:rPr>
        <w:t>图1</w:t>
      </w:r>
      <w:r>
        <w:rPr>
          <w:rFonts w:hint="eastAsia" w:eastAsia="宋体"/>
          <w:lang w:val="en-US" w:eastAsia="zh-CN"/>
        </w:rPr>
        <w:t>3</w:t>
      </w:r>
      <w:r>
        <w:rPr>
          <w:rFonts w:hint="eastAsia" w:ascii="Times New Roman" w:hAnsi="Times New Roman" w:eastAsia="宋体"/>
          <w:lang w:val="en-US" w:eastAsia="zh-CN"/>
        </w:rPr>
        <w:t>.3-6  下垫面总体布局图</w:t>
      </w:r>
    </w:p>
    <w:p>
      <w:pPr>
        <w:pStyle w:val="250"/>
        <w:bidi w:val="0"/>
        <w:rPr>
          <w:rFonts w:hint="eastAsia" w:ascii="Times New Roman" w:hAnsi="Times New Roman" w:eastAsia="宋体"/>
          <w:lang w:val="en-US" w:eastAsia="zh-CN"/>
        </w:rPr>
      </w:pPr>
      <w:r>
        <w:rPr>
          <w:rFonts w:hint="eastAsia" w:ascii="Times New Roman" w:hAnsi="Times New Roman" w:eastAsia="宋体"/>
          <w:lang w:val="en-US" w:eastAsia="zh-CN"/>
        </w:rPr>
        <w:t>表1</w:t>
      </w:r>
      <w:r>
        <w:rPr>
          <w:rFonts w:hint="eastAsia" w:eastAsia="宋体"/>
          <w:lang w:val="en-US" w:eastAsia="zh-CN"/>
        </w:rPr>
        <w:t>3</w:t>
      </w:r>
      <w:r>
        <w:rPr>
          <w:rFonts w:hint="eastAsia" w:ascii="Times New Roman" w:hAnsi="Times New Roman" w:eastAsia="宋体"/>
          <w:lang w:val="en-US" w:eastAsia="zh-CN"/>
        </w:rPr>
        <w:t>.3-7  下垫面分类统计一览表</w:t>
      </w:r>
    </w:p>
    <w:tbl>
      <w:tblPr>
        <w:tblStyle w:val="45"/>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8"/>
        <w:gridCol w:w="2224"/>
        <w:gridCol w:w="3533"/>
        <w:gridCol w:w="26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9"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序号</w:t>
            </w:r>
          </w:p>
        </w:tc>
        <w:tc>
          <w:tcPr>
            <w:tcW w:w="3101" w:type="pct"/>
            <w:gridSpan w:val="2"/>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下垫面类别</w:t>
            </w:r>
          </w:p>
        </w:tc>
        <w:tc>
          <w:tcPr>
            <w:tcW w:w="1408"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面积（m</w:t>
            </w:r>
            <w:r>
              <w:rPr>
                <w:rFonts w:hint="eastAsia"/>
                <w:kern w:val="0"/>
                <w:vertAlign w:val="superscript"/>
                <w:lang w:val="en-US" w:eastAsia="zh-CN"/>
              </w:rPr>
              <w:t>2</w:t>
            </w:r>
            <w:r>
              <w:rPr>
                <w:rFonts w:hint="eastAsia"/>
                <w:kern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9" w:type="pct"/>
            <w:vMerge w:val="restar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1</w:t>
            </w:r>
          </w:p>
        </w:tc>
        <w:tc>
          <w:tcPr>
            <w:tcW w:w="1198" w:type="pct"/>
            <w:vMerge w:val="restar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道路</w:t>
            </w:r>
          </w:p>
        </w:tc>
        <w:tc>
          <w:tcPr>
            <w:tcW w:w="1903"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透水混凝土</w:t>
            </w:r>
          </w:p>
        </w:tc>
        <w:tc>
          <w:tcPr>
            <w:tcW w:w="1408" w:type="pct"/>
            <w:vAlign w:val="center"/>
          </w:tcPr>
          <w:p>
            <w:pPr>
              <w:pStyle w:val="54"/>
              <w:keepNext w:val="0"/>
              <w:keepLines w:val="0"/>
              <w:widowControl w:val="0"/>
              <w:suppressLineNumbers w:val="0"/>
              <w:bidi w:val="0"/>
              <w:spacing w:before="0" w:beforeAutospacing="0" w:after="0" w:afterAutospacing="0"/>
              <w:ind w:left="0" w:right="0"/>
              <w:rPr>
                <w:rFonts w:hint="default"/>
                <w:kern w:val="0"/>
                <w:lang w:val="en-US" w:eastAsia="zh-CN"/>
              </w:rPr>
            </w:pPr>
            <w:r>
              <w:rPr>
                <w:rFonts w:hint="eastAsia"/>
                <w:kern w:val="0"/>
                <w:lang w:val="en-US" w:eastAsia="zh-CN"/>
              </w:rPr>
              <w:t>623.25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9" w:type="pct"/>
            <w:vMerge w:val="continue"/>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p>
        </w:tc>
        <w:tc>
          <w:tcPr>
            <w:tcW w:w="1198" w:type="pct"/>
            <w:vMerge w:val="continue"/>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p>
        </w:tc>
        <w:tc>
          <w:tcPr>
            <w:tcW w:w="1903" w:type="pct"/>
            <w:vAlign w:val="center"/>
          </w:tcPr>
          <w:p>
            <w:pPr>
              <w:pStyle w:val="54"/>
              <w:keepNext w:val="0"/>
              <w:keepLines w:val="0"/>
              <w:widowControl w:val="0"/>
              <w:suppressLineNumbers w:val="0"/>
              <w:bidi w:val="0"/>
              <w:spacing w:before="0" w:beforeAutospacing="0" w:after="0" w:afterAutospacing="0"/>
              <w:ind w:left="0" w:right="0"/>
              <w:rPr>
                <w:rFonts w:hint="default"/>
                <w:kern w:val="0"/>
                <w:lang w:val="en-US" w:eastAsia="zh-CN"/>
              </w:rPr>
            </w:pPr>
            <w:r>
              <w:rPr>
                <w:rFonts w:hint="eastAsia"/>
                <w:kern w:val="0"/>
                <w:lang w:val="en-US" w:eastAsia="zh-CN"/>
              </w:rPr>
              <w:t>蘑菇石贴面</w:t>
            </w:r>
          </w:p>
        </w:tc>
        <w:tc>
          <w:tcPr>
            <w:tcW w:w="1408" w:type="pct"/>
            <w:vAlign w:val="center"/>
          </w:tcPr>
          <w:p>
            <w:pPr>
              <w:pStyle w:val="54"/>
              <w:keepNext w:val="0"/>
              <w:keepLines w:val="0"/>
              <w:widowControl w:val="0"/>
              <w:suppressLineNumbers w:val="0"/>
              <w:bidi w:val="0"/>
              <w:spacing w:before="0" w:beforeAutospacing="0" w:after="0" w:afterAutospacing="0"/>
              <w:ind w:left="0" w:right="0"/>
              <w:rPr>
                <w:rFonts w:hint="default"/>
                <w:kern w:val="0"/>
                <w:lang w:val="en-US" w:eastAsia="zh-CN"/>
              </w:rPr>
            </w:pPr>
            <w:r>
              <w:rPr>
                <w:rFonts w:hint="eastAsia"/>
                <w:kern w:val="0"/>
                <w:lang w:val="en-US" w:eastAsia="zh-CN"/>
              </w:rPr>
              <w:t>105.49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489"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2</w:t>
            </w:r>
          </w:p>
        </w:tc>
        <w:tc>
          <w:tcPr>
            <w:tcW w:w="1198"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绿地</w:t>
            </w:r>
          </w:p>
        </w:tc>
        <w:tc>
          <w:tcPr>
            <w:tcW w:w="1903"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下沉式绿地</w:t>
            </w:r>
          </w:p>
        </w:tc>
        <w:tc>
          <w:tcPr>
            <w:tcW w:w="1408" w:type="pct"/>
            <w:vAlign w:val="center"/>
          </w:tcPr>
          <w:p>
            <w:pPr>
              <w:pStyle w:val="54"/>
              <w:keepNext w:val="0"/>
              <w:keepLines w:val="0"/>
              <w:widowControl w:val="0"/>
              <w:suppressLineNumbers w:val="0"/>
              <w:bidi w:val="0"/>
              <w:spacing w:before="0" w:beforeAutospacing="0" w:after="0" w:afterAutospacing="0"/>
              <w:ind w:left="0" w:right="0"/>
              <w:rPr>
                <w:rFonts w:hint="default"/>
                <w:kern w:val="0"/>
                <w:lang w:val="en-US" w:eastAsia="zh-CN"/>
              </w:rPr>
            </w:pPr>
            <w:r>
              <w:rPr>
                <w:rFonts w:hint="eastAsia"/>
                <w:kern w:val="0"/>
                <w:lang w:val="en-US" w:eastAsia="zh-CN"/>
              </w:rPr>
              <w:t>323.15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9"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3</w:t>
            </w:r>
          </w:p>
        </w:tc>
        <w:tc>
          <w:tcPr>
            <w:tcW w:w="1198"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水面</w:t>
            </w:r>
          </w:p>
        </w:tc>
        <w:tc>
          <w:tcPr>
            <w:tcW w:w="1903"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水面</w:t>
            </w:r>
          </w:p>
        </w:tc>
        <w:tc>
          <w:tcPr>
            <w:tcW w:w="1408" w:type="pct"/>
            <w:vAlign w:val="center"/>
          </w:tcPr>
          <w:p>
            <w:pPr>
              <w:pStyle w:val="54"/>
              <w:keepNext w:val="0"/>
              <w:keepLines w:val="0"/>
              <w:widowControl w:val="0"/>
              <w:suppressLineNumbers w:val="0"/>
              <w:bidi w:val="0"/>
              <w:spacing w:before="0" w:beforeAutospacing="0" w:after="0" w:afterAutospacing="0"/>
              <w:ind w:left="0" w:right="0"/>
              <w:rPr>
                <w:rFonts w:hint="default"/>
                <w:kern w:val="0"/>
                <w:lang w:val="en-US" w:eastAsia="zh-CN"/>
              </w:rPr>
            </w:pPr>
            <w:r>
              <w:rPr>
                <w:rFonts w:hint="eastAsia"/>
                <w:kern w:val="0"/>
                <w:lang w:val="en-US" w:eastAsia="zh-CN"/>
              </w:rPr>
              <w:t>908.85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9"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p>
        </w:tc>
        <w:tc>
          <w:tcPr>
            <w:tcW w:w="3101" w:type="pct"/>
            <w:gridSpan w:val="2"/>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合计</w:t>
            </w:r>
          </w:p>
        </w:tc>
        <w:tc>
          <w:tcPr>
            <w:tcW w:w="1408" w:type="pct"/>
            <w:vAlign w:val="center"/>
          </w:tcPr>
          <w:p>
            <w:pPr>
              <w:pStyle w:val="54"/>
              <w:keepNext w:val="0"/>
              <w:keepLines w:val="0"/>
              <w:widowControl w:val="0"/>
              <w:suppressLineNumbers w:val="0"/>
              <w:bidi w:val="0"/>
              <w:spacing w:before="0" w:beforeAutospacing="0" w:after="0" w:afterAutospacing="0"/>
              <w:ind w:left="0" w:right="0"/>
              <w:rPr>
                <w:rFonts w:hint="default"/>
                <w:kern w:val="0"/>
                <w:lang w:val="en-US" w:eastAsia="zh-CN"/>
              </w:rPr>
            </w:pPr>
            <w:r>
              <w:rPr>
                <w:rFonts w:hint="eastAsia"/>
                <w:kern w:val="0"/>
                <w:lang w:val="en-US" w:eastAsia="zh-CN"/>
              </w:rPr>
              <w:t>1960.74</w:t>
            </w:r>
          </w:p>
        </w:tc>
      </w:tr>
    </w:tbl>
    <w:p>
      <w:pPr>
        <w:pStyle w:val="250"/>
        <w:bidi w:val="0"/>
        <w:rPr>
          <w:rFonts w:hint="eastAsia" w:ascii="Times New Roman" w:hAnsi="Times New Roman" w:eastAsia="宋体"/>
          <w:lang w:val="en-US" w:eastAsia="zh-CN"/>
        </w:rPr>
      </w:pPr>
      <w:r>
        <w:rPr>
          <w:rFonts w:hint="eastAsia" w:ascii="Times New Roman" w:hAnsi="Times New Roman" w:eastAsia="宋体"/>
          <w:lang w:val="en-US" w:eastAsia="zh-CN"/>
        </w:rPr>
        <w:t>表1</w:t>
      </w:r>
      <w:r>
        <w:rPr>
          <w:rFonts w:hint="eastAsia" w:eastAsia="宋体"/>
          <w:lang w:val="en-US" w:eastAsia="zh-CN"/>
        </w:rPr>
        <w:t>3</w:t>
      </w:r>
      <w:r>
        <w:rPr>
          <w:rFonts w:hint="eastAsia" w:ascii="Times New Roman" w:hAnsi="Times New Roman" w:eastAsia="宋体"/>
          <w:lang w:val="en-US" w:eastAsia="zh-CN"/>
        </w:rPr>
        <w:t>.3-8 下垫面组成及径流系数一栏</w:t>
      </w:r>
    </w:p>
    <w:tbl>
      <w:tblPr>
        <w:tblStyle w:val="44"/>
        <w:tblW w:w="499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shd w:val="clear" w:color="auto" w:fill="FFFFFF" w:themeFill="background1"/>
        <w:tblLayout w:type="autofit"/>
        <w:tblCellMar>
          <w:top w:w="0" w:type="dxa"/>
          <w:left w:w="0" w:type="dxa"/>
          <w:bottom w:w="0" w:type="dxa"/>
          <w:right w:w="0" w:type="dxa"/>
        </w:tblCellMar>
      </w:tblPr>
      <w:tblGrid>
        <w:gridCol w:w="2529"/>
        <w:gridCol w:w="2535"/>
        <w:gridCol w:w="2200"/>
        <w:gridCol w:w="183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390" w:type="pct"/>
            <w:shd w:val="clear" w:color="auto" w:fill="FFFFFF" w:themeFill="background1"/>
            <w:tcMar>
              <w:top w:w="15" w:type="dxa"/>
              <w:left w:w="15" w:type="dxa"/>
              <w:bottom w:w="0" w:type="dxa"/>
              <w:right w:w="15" w:type="dxa"/>
            </w:tcMar>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下垫面类型</w:t>
            </w:r>
          </w:p>
        </w:tc>
        <w:tc>
          <w:tcPr>
            <w:tcW w:w="1393" w:type="pct"/>
            <w:shd w:val="clear" w:color="auto" w:fill="FFFFFF" w:themeFill="background1"/>
            <w:tcMar>
              <w:top w:w="15" w:type="dxa"/>
              <w:left w:w="15" w:type="dxa"/>
              <w:bottom w:w="0" w:type="dxa"/>
              <w:right w:w="15" w:type="dxa"/>
            </w:tcMar>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面积（m</w:t>
            </w:r>
            <w:r>
              <w:rPr>
                <w:rFonts w:hint="eastAsia"/>
                <w:vertAlign w:val="superscript"/>
                <w:lang w:val="en-US" w:eastAsia="zh-CN"/>
              </w:rPr>
              <w:t>2</w:t>
            </w:r>
            <w:r>
              <w:rPr>
                <w:rFonts w:hint="eastAsia"/>
                <w:lang w:val="en-US" w:eastAsia="zh-CN"/>
              </w:rPr>
              <w:t>）</w:t>
            </w:r>
          </w:p>
        </w:tc>
        <w:tc>
          <w:tcPr>
            <w:tcW w:w="1209" w:type="pct"/>
            <w:shd w:val="clear" w:color="auto" w:fill="FFFFFF" w:themeFill="background1"/>
            <w:tcMar>
              <w:top w:w="15" w:type="dxa"/>
              <w:left w:w="15" w:type="dxa"/>
              <w:bottom w:w="0" w:type="dxa"/>
              <w:right w:w="15" w:type="dxa"/>
            </w:tcMar>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径流系数</w:t>
            </w:r>
          </w:p>
        </w:tc>
        <w:tc>
          <w:tcPr>
            <w:tcW w:w="1007" w:type="pct"/>
            <w:shd w:val="clear" w:color="auto" w:fill="FFFFFF" w:themeFill="background1"/>
            <w:tcMar>
              <w:top w:w="15" w:type="dxa"/>
              <w:left w:w="15" w:type="dxa"/>
              <w:bottom w:w="0" w:type="dxa"/>
              <w:right w:w="15" w:type="dxa"/>
            </w:tcMar>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权重</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shd w:val="clear" w:color="auto" w:fill="FFFFFF" w:themeFill="background1"/>
          <w:tblCellMar>
            <w:top w:w="0" w:type="dxa"/>
            <w:left w:w="0" w:type="dxa"/>
            <w:bottom w:w="0" w:type="dxa"/>
            <w:right w:w="0" w:type="dxa"/>
          </w:tblCellMar>
        </w:tblPrEx>
        <w:trPr>
          <w:trHeight w:val="340" w:hRule="atLeast"/>
          <w:jc w:val="center"/>
        </w:trPr>
        <w:tc>
          <w:tcPr>
            <w:tcW w:w="1390" w:type="pct"/>
            <w:shd w:val="clear" w:color="auto" w:fill="FFFFFF" w:themeFill="background1"/>
            <w:tcMar>
              <w:top w:w="15" w:type="dxa"/>
              <w:left w:w="15" w:type="dxa"/>
              <w:bottom w:w="0" w:type="dxa"/>
              <w:right w:w="15" w:type="dxa"/>
            </w:tcMar>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硬质路面</w:t>
            </w:r>
          </w:p>
        </w:tc>
        <w:tc>
          <w:tcPr>
            <w:tcW w:w="1393" w:type="pct"/>
            <w:shd w:val="clear" w:color="auto" w:fill="FFFFFF" w:themeFill="background1"/>
            <w:tcMar>
              <w:top w:w="15" w:type="dxa"/>
              <w:left w:w="15" w:type="dxa"/>
              <w:bottom w:w="0" w:type="dxa"/>
              <w:right w:w="15" w:type="dxa"/>
            </w:tcMar>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623.25</w:t>
            </w:r>
          </w:p>
        </w:tc>
        <w:tc>
          <w:tcPr>
            <w:tcW w:w="1209" w:type="pct"/>
            <w:shd w:val="clear" w:color="auto" w:fill="FFFFFF" w:themeFill="background1"/>
            <w:tcMar>
              <w:top w:w="15" w:type="dxa"/>
              <w:left w:w="15" w:type="dxa"/>
              <w:bottom w:w="0" w:type="dxa"/>
              <w:right w:w="15" w:type="dxa"/>
            </w:tcMar>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0.25</w:t>
            </w:r>
          </w:p>
        </w:tc>
        <w:tc>
          <w:tcPr>
            <w:tcW w:w="1007" w:type="pct"/>
            <w:shd w:val="clear" w:color="auto" w:fill="FFFFFF" w:themeFill="background1"/>
            <w:tcMar>
              <w:top w:w="15" w:type="dxa"/>
              <w:left w:w="15" w:type="dxa"/>
              <w:bottom w:w="0" w:type="dxa"/>
              <w:right w:w="15" w:type="dxa"/>
            </w:tcMar>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31.79%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shd w:val="clear" w:color="auto" w:fill="FFFFFF" w:themeFill="background1"/>
          <w:tblCellMar>
            <w:top w:w="0" w:type="dxa"/>
            <w:left w:w="0" w:type="dxa"/>
            <w:bottom w:w="0" w:type="dxa"/>
            <w:right w:w="0" w:type="dxa"/>
          </w:tblCellMar>
        </w:tblPrEx>
        <w:trPr>
          <w:trHeight w:val="340" w:hRule="atLeast"/>
          <w:jc w:val="center"/>
        </w:trPr>
        <w:tc>
          <w:tcPr>
            <w:tcW w:w="1390" w:type="pct"/>
            <w:shd w:val="clear" w:color="auto" w:fill="FFFFFF" w:themeFill="background1"/>
            <w:tcMar>
              <w:top w:w="15" w:type="dxa"/>
              <w:left w:w="15" w:type="dxa"/>
              <w:bottom w:w="0" w:type="dxa"/>
              <w:right w:w="15" w:type="dxa"/>
            </w:tcMar>
            <w:vAlign w:val="center"/>
          </w:tcPr>
          <w:p>
            <w:pPr>
              <w:pStyle w:val="5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亲水平台</w:t>
            </w:r>
          </w:p>
        </w:tc>
        <w:tc>
          <w:tcPr>
            <w:tcW w:w="1393" w:type="pct"/>
            <w:shd w:val="clear" w:color="auto" w:fill="FFFFFF" w:themeFill="background1"/>
            <w:tcMar>
              <w:top w:w="15" w:type="dxa"/>
              <w:left w:w="15" w:type="dxa"/>
              <w:bottom w:w="0" w:type="dxa"/>
              <w:right w:w="15" w:type="dxa"/>
            </w:tcMar>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105.49</w:t>
            </w:r>
          </w:p>
        </w:tc>
        <w:tc>
          <w:tcPr>
            <w:tcW w:w="1209" w:type="pct"/>
            <w:shd w:val="clear" w:color="auto" w:fill="FFFFFF" w:themeFill="background1"/>
            <w:tcMar>
              <w:top w:w="15" w:type="dxa"/>
              <w:left w:w="15" w:type="dxa"/>
              <w:bottom w:w="0" w:type="dxa"/>
              <w:right w:w="15" w:type="dxa"/>
            </w:tcMar>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0.25</w:t>
            </w:r>
          </w:p>
        </w:tc>
        <w:tc>
          <w:tcPr>
            <w:tcW w:w="1007" w:type="pct"/>
            <w:shd w:val="clear" w:color="auto" w:fill="FFFFFF" w:themeFill="background1"/>
            <w:tcMar>
              <w:top w:w="15" w:type="dxa"/>
              <w:left w:w="15" w:type="dxa"/>
              <w:bottom w:w="0" w:type="dxa"/>
              <w:right w:w="15" w:type="dxa"/>
            </w:tcMar>
            <w:vAlign w:val="center"/>
          </w:tcPr>
          <w:p>
            <w:pPr>
              <w:pStyle w:val="5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5.38%</w:t>
            </w:r>
          </w:p>
        </w:tc>
      </w:tr>
    </w:tbl>
    <w:p>
      <w:pPr>
        <w:pStyle w:val="6"/>
        <w:bidi w:val="0"/>
        <w:rPr>
          <w:lang w:val="en-US" w:eastAsia="zh-CN"/>
        </w:rPr>
      </w:pPr>
      <w:r>
        <w:rPr>
          <w:lang w:val="en-US" w:eastAsia="zh-CN"/>
        </w:rPr>
        <w:t xml:space="preserve">目标控制径流总量 </w:t>
      </w:r>
    </w:p>
    <w:p>
      <w:pPr>
        <w:keepNext w:val="0"/>
        <w:keepLines w:val="0"/>
        <w:pageBreakBefore w:val="0"/>
        <w:widowControl w:val="0"/>
        <w:numPr>
          <w:ilvl w:val="0"/>
          <w:numId w:val="16"/>
        </w:numPr>
        <w:kinsoku/>
        <w:wordWrap/>
        <w:overflowPunct/>
        <w:topLinePunct w:val="0"/>
        <w:autoSpaceDE/>
        <w:autoSpaceDN/>
        <w:bidi w:val="0"/>
        <w:adjustRightInd/>
        <w:snapToGrid/>
        <w:ind w:left="0" w:leftChars="0" w:firstLine="480" w:firstLineChars="200"/>
        <w:textAlignment w:val="auto"/>
      </w:pPr>
      <w:r>
        <w:rPr>
          <w:rFonts w:hint="eastAsia"/>
        </w:rPr>
        <w:t>海绵设施控制体积计算</w:t>
      </w:r>
    </w:p>
    <w:p>
      <w:pPr>
        <w:bidi w:val="0"/>
      </w:pPr>
      <w:r>
        <w:rPr>
          <w:rFonts w:hint="eastAsia"/>
        </w:rPr>
        <w:t>下沉式绿地的控制体积为断面蓄水部分的空间体积，根据蓄水深度、面积、植草沟和绿地横断面、下凹深度综合计算，本项目下沉式绿地控制体积为</w:t>
      </w:r>
      <w:r>
        <w:rPr>
          <w:rFonts w:hint="eastAsia"/>
          <w:highlight w:val="none"/>
          <w:lang w:val="en-US" w:eastAsia="zh-CN"/>
        </w:rPr>
        <w:t xml:space="preserve">0.275 </w:t>
      </w:r>
      <w:r>
        <w:rPr>
          <w:rFonts w:hint="eastAsia"/>
          <w:highlight w:val="none"/>
        </w:rPr>
        <w:t>m</w:t>
      </w:r>
      <w:r>
        <w:rPr>
          <w:rFonts w:hint="eastAsia"/>
          <w:highlight w:val="none"/>
          <w:vertAlign w:val="superscript"/>
        </w:rPr>
        <w:t>3</w:t>
      </w:r>
      <w:r>
        <w:rPr>
          <w:rFonts w:hint="eastAsia"/>
          <w:highlight w:val="none"/>
        </w:rPr>
        <w:t>/m</w:t>
      </w:r>
      <w:r>
        <w:rPr>
          <w:rFonts w:hint="eastAsia"/>
          <w:highlight w:val="none"/>
          <w:lang w:val="en-US" w:eastAsia="zh-CN"/>
        </w:rPr>
        <w:t>/</w:t>
      </w:r>
      <w:r>
        <w:rPr>
          <w:rFonts w:hint="eastAsia"/>
          <w:highlight w:val="none"/>
          <w:vertAlign w:val="superscript"/>
        </w:rPr>
        <w:t>2</w:t>
      </w:r>
      <w:r>
        <w:rPr>
          <w:rFonts w:hint="eastAsia"/>
        </w:rPr>
        <w:t>。</w:t>
      </w:r>
    </w:p>
    <w:p>
      <w:pPr>
        <w:keepNext w:val="0"/>
        <w:keepLines w:val="0"/>
        <w:pageBreakBefore w:val="0"/>
        <w:widowControl w:val="0"/>
        <w:numPr>
          <w:ilvl w:val="0"/>
          <w:numId w:val="16"/>
        </w:numPr>
        <w:kinsoku/>
        <w:wordWrap/>
        <w:overflowPunct/>
        <w:topLinePunct w:val="0"/>
        <w:autoSpaceDE/>
        <w:autoSpaceDN/>
        <w:bidi w:val="0"/>
        <w:adjustRightInd/>
        <w:snapToGrid/>
        <w:ind w:left="0" w:leftChars="0" w:firstLine="480" w:firstLineChars="200"/>
        <w:textAlignment w:val="auto"/>
      </w:pPr>
      <w:r>
        <w:rPr>
          <w:rFonts w:hint="eastAsia"/>
        </w:rPr>
        <w:t>设计调蓄容积计算</w:t>
      </w:r>
    </w:p>
    <w:p>
      <w:pPr>
        <w:bidi w:val="0"/>
      </w:pPr>
      <w:r>
        <w:rPr>
          <w:rFonts w:hint="eastAsia"/>
        </w:rPr>
        <w:t>根据海绵设施设计相关规定，设计调蓄容积采用容积法进行计算，如下式所示：</w:t>
      </w:r>
    </w:p>
    <w:p>
      <w:pPr>
        <w:bidi w:val="0"/>
      </w:pPr>
      <w:r>
        <w:t>V=10•H•φ•F</w:t>
      </w:r>
    </w:p>
    <w:p>
      <w:pPr>
        <w:bidi w:val="0"/>
      </w:pPr>
      <w:r>
        <w:rPr>
          <w:rFonts w:hint="eastAsia"/>
        </w:rPr>
        <w:t>式中：V——设计调蓄容积，m</w:t>
      </w:r>
      <w:r>
        <w:rPr>
          <w:rFonts w:hint="eastAsia"/>
          <w:vertAlign w:val="superscript"/>
        </w:rPr>
        <w:t>3</w:t>
      </w:r>
      <w:r>
        <w:rPr>
          <w:rFonts w:hint="eastAsia"/>
        </w:rPr>
        <w:t>；</w:t>
      </w:r>
    </w:p>
    <w:p>
      <w:pPr>
        <w:bidi w:val="0"/>
      </w:pPr>
      <w:r>
        <w:rPr>
          <w:rFonts w:hint="eastAsia"/>
        </w:rPr>
        <w:t>H——设计降雨量（mm）；</w:t>
      </w:r>
    </w:p>
    <w:p>
      <w:pPr>
        <w:bidi w:val="0"/>
      </w:pPr>
      <w:r>
        <w:t>φ</w:t>
      </w:r>
      <w:r>
        <w:rPr>
          <w:rFonts w:hint="eastAsia"/>
        </w:rPr>
        <w:t>——综合径流系数，各下垫面面积及对应径流系数的加权平均；</w:t>
      </w:r>
    </w:p>
    <w:p>
      <w:pPr>
        <w:bidi w:val="0"/>
      </w:pPr>
      <w:r>
        <w:rPr>
          <w:rFonts w:hint="eastAsia"/>
        </w:rPr>
        <w:t>F——汇水面积，hm</w:t>
      </w:r>
      <w:r>
        <w:rPr>
          <w:rFonts w:hint="eastAsia"/>
          <w:vertAlign w:val="superscript"/>
        </w:rPr>
        <w:t>2</w:t>
      </w:r>
      <w:r>
        <w:rPr>
          <w:rFonts w:hint="eastAsia"/>
        </w:rPr>
        <w:t>。</w:t>
      </w:r>
    </w:p>
    <w:p>
      <w:pPr>
        <w:bidi w:val="0"/>
      </w:pPr>
      <w:r>
        <w:rPr>
          <w:rFonts w:hint="eastAsia"/>
        </w:rPr>
        <w:t>计算得到，工程区所需调蓄容积为</w:t>
      </w:r>
      <w:r>
        <w:rPr>
          <w:rFonts w:hint="eastAsia"/>
          <w:lang w:val="en-US" w:eastAsia="zh-CN"/>
        </w:rPr>
        <w:t>20.94</w:t>
      </w:r>
      <w:r>
        <w:rPr>
          <w:rFonts w:hint="eastAsia"/>
        </w:rPr>
        <w:t>m</w:t>
      </w:r>
      <w:r>
        <w:rPr>
          <w:rFonts w:hint="eastAsia"/>
          <w:vertAlign w:val="superscript"/>
        </w:rPr>
        <w:t>3</w:t>
      </w:r>
      <w:r>
        <w:rPr>
          <w:rFonts w:hint="eastAsia"/>
        </w:rPr>
        <w:t>。</w:t>
      </w:r>
    </w:p>
    <w:p>
      <w:pPr>
        <w:bidi w:val="0"/>
        <w:rPr>
          <w:rFonts w:hint="eastAsia"/>
          <w:lang w:val="en-US" w:eastAsia="zh-CN"/>
        </w:rPr>
      </w:pPr>
      <w:r>
        <w:rPr>
          <w:rFonts w:hint="eastAsia"/>
        </w:rPr>
        <w:t>根据《番禺区海绵城市专项规划》中相应管控区规定的设计参数，采用插值法计算得到工程区年径流总量控制率为</w:t>
      </w:r>
      <w:r>
        <w:rPr>
          <w:rFonts w:hint="eastAsia"/>
          <w:lang w:val="en-US" w:eastAsia="zh-CN"/>
        </w:rPr>
        <w:t>58.7</w:t>
      </w:r>
      <w:r>
        <w:rPr>
          <w:rFonts w:hint="eastAsia"/>
        </w:rPr>
        <w:t>%对应的设计降雨量H为</w:t>
      </w:r>
      <w:r>
        <w:rPr>
          <w:rFonts w:hint="eastAsia"/>
          <w:lang w:val="en-US" w:eastAsia="zh-CN"/>
        </w:rPr>
        <w:t>18.74</w:t>
      </w:r>
      <w:r>
        <w:rPr>
          <w:rFonts w:hint="eastAsia"/>
        </w:rPr>
        <w:t>mm。番禺区年径流总量控制率与设计降雨对应表见下表。</w:t>
      </w:r>
    </w:p>
    <w:p>
      <w:pPr>
        <w:pStyle w:val="250"/>
        <w:bidi w:val="0"/>
        <w:rPr>
          <w:rFonts w:hint="eastAsia" w:ascii="Times New Roman" w:hAnsi="Times New Roman" w:eastAsia="宋体"/>
          <w:lang w:val="en-US" w:eastAsia="zh-CN"/>
        </w:rPr>
      </w:pPr>
      <w:r>
        <w:rPr>
          <w:rFonts w:hint="eastAsia" w:ascii="Times New Roman" w:hAnsi="Times New Roman" w:eastAsia="宋体"/>
          <w:lang w:val="en-US" w:eastAsia="zh-CN"/>
        </w:rPr>
        <w:t>表1</w:t>
      </w:r>
      <w:r>
        <w:rPr>
          <w:rFonts w:hint="eastAsia" w:eastAsia="宋体"/>
          <w:lang w:val="en-US" w:eastAsia="zh-CN"/>
        </w:rPr>
        <w:t>3</w:t>
      </w:r>
      <w:r>
        <w:rPr>
          <w:rFonts w:hint="eastAsia" w:ascii="Times New Roman" w:hAnsi="Times New Roman" w:eastAsia="宋体"/>
          <w:lang w:val="en-US" w:eastAsia="zh-CN"/>
        </w:rPr>
        <w:t>.3-9 番禺区年径流总量控制率与设计降雨对应表</w:t>
      </w:r>
    </w:p>
    <w:p>
      <w:pPr>
        <w:bidi w:val="0"/>
      </w:pPr>
      <w:r>
        <w:rPr>
          <w:rFonts w:hint="eastAsia"/>
        </w:rPr>
        <w:drawing>
          <wp:inline distT="0" distB="0" distL="0" distR="0">
            <wp:extent cx="4962525" cy="674370"/>
            <wp:effectExtent l="0" t="0" r="9525" b="1143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06"/>
                    <a:srcRect/>
                    <a:stretch>
                      <a:fillRect/>
                    </a:stretch>
                  </pic:blipFill>
                  <pic:spPr>
                    <a:xfrm>
                      <a:off x="0" y="0"/>
                      <a:ext cx="4962525" cy="674370"/>
                    </a:xfrm>
                    <a:prstGeom prst="rect">
                      <a:avLst/>
                    </a:prstGeom>
                    <a:noFill/>
                    <a:ln w="9525">
                      <a:noFill/>
                      <a:miter lim="800000"/>
                      <a:headEnd/>
                      <a:tailEnd/>
                    </a:ln>
                  </pic:spPr>
                </pic:pic>
              </a:graphicData>
            </a:graphic>
          </wp:inline>
        </w:drawing>
      </w:r>
    </w:p>
    <w:p>
      <w:pPr>
        <w:bidi w:val="0"/>
        <w:rPr>
          <w:rFonts w:hint="eastAsia"/>
        </w:rPr>
      </w:pPr>
      <w:r>
        <w:rPr>
          <w:rFonts w:hint="eastAsia"/>
        </w:rPr>
        <w:t>根据海绵设施布局统计，设计方案下沉式绿地面积为</w:t>
      </w:r>
      <w:r>
        <w:rPr>
          <w:rFonts w:hint="eastAsia"/>
          <w:lang w:val="en-US" w:eastAsia="zh-CN"/>
        </w:rPr>
        <w:t>323.15</w:t>
      </w:r>
      <w:r>
        <w:rPr>
          <w:rFonts w:hint="eastAsia"/>
        </w:rPr>
        <w:t>m</w:t>
      </w:r>
      <w:r>
        <w:rPr>
          <w:rFonts w:hint="eastAsia"/>
          <w:vertAlign w:val="superscript"/>
        </w:rPr>
        <w:t>2</w:t>
      </w:r>
      <w:r>
        <w:rPr>
          <w:rFonts w:hint="eastAsia"/>
        </w:rPr>
        <w:t>，故可实现雨水调蓄容积=</w:t>
      </w:r>
      <w:r>
        <w:rPr>
          <w:rFonts w:hint="eastAsia"/>
          <w:lang w:val="en-US" w:eastAsia="zh-CN"/>
        </w:rPr>
        <w:t>323.15</w:t>
      </w:r>
      <w:r>
        <w:rPr>
          <w:rFonts w:hint="eastAsia"/>
        </w:rPr>
        <w:t>*0.0</w:t>
      </w:r>
      <w:r>
        <w:rPr>
          <w:rFonts w:hint="eastAsia"/>
          <w:lang w:val="en-US" w:eastAsia="zh-CN"/>
        </w:rPr>
        <w:t>8</w:t>
      </w:r>
      <w:r>
        <w:rPr>
          <w:rFonts w:hint="eastAsia"/>
        </w:rPr>
        <w:t>=</w:t>
      </w:r>
      <w:r>
        <w:rPr>
          <w:rFonts w:hint="eastAsia"/>
          <w:lang w:val="en-US" w:eastAsia="zh-CN"/>
        </w:rPr>
        <w:t>25.85</w:t>
      </w:r>
      <w:r>
        <w:rPr>
          <w:rFonts w:hint="eastAsia"/>
        </w:rPr>
        <w:t>m</w:t>
      </w:r>
      <w:r>
        <w:rPr>
          <w:rFonts w:hint="eastAsia"/>
          <w:vertAlign w:val="superscript"/>
        </w:rPr>
        <w:t>3</w:t>
      </w:r>
      <w:r>
        <w:rPr>
          <w:rFonts w:hint="eastAsia"/>
        </w:rPr>
        <w:t>，根据</w:t>
      </w:r>
      <w:r>
        <w:t>V=10·H·φ·F</w:t>
      </w:r>
      <w:r>
        <w:rPr>
          <w:rFonts w:hint="eastAsia"/>
        </w:rPr>
        <w:t>反算，</w:t>
      </w:r>
      <w:r>
        <w:rPr>
          <w:rFonts w:hint="eastAsia"/>
          <w:lang w:eastAsia="zh-CN"/>
        </w:rPr>
        <w:t>可得</w:t>
      </w:r>
      <w:r>
        <w:rPr>
          <w:rFonts w:hint="eastAsia"/>
          <w:lang w:val="en-US" w:eastAsia="zh-CN"/>
        </w:rPr>
        <w:t>H=25.85mm。</w:t>
      </w:r>
      <w:r>
        <w:rPr>
          <w:rFonts w:hint="eastAsia"/>
        </w:rPr>
        <w:t>本项目通过LID设施调蓄后，实际可达到年径流总量控制率约为</w:t>
      </w:r>
      <w:r>
        <w:rPr>
          <w:rFonts w:hint="eastAsia"/>
          <w:lang w:val="en-US" w:eastAsia="zh-CN"/>
        </w:rPr>
        <w:t xml:space="preserve">66.26 </w:t>
      </w:r>
      <w:r>
        <w:rPr>
          <w:rFonts w:hint="eastAsia"/>
        </w:rPr>
        <w:t>%，调蓄容积富余</w:t>
      </w:r>
      <w:r>
        <w:rPr>
          <w:rFonts w:hint="eastAsia"/>
          <w:lang w:val="en-US" w:eastAsia="zh-CN"/>
        </w:rPr>
        <w:t>4.91</w:t>
      </w:r>
      <w:r>
        <w:rPr>
          <w:rFonts w:hint="eastAsia"/>
        </w:rPr>
        <w:t>m</w:t>
      </w:r>
      <w:r>
        <w:rPr>
          <w:rFonts w:hint="eastAsia"/>
          <w:vertAlign w:val="superscript"/>
        </w:rPr>
        <w:t>3</w:t>
      </w:r>
      <w:r>
        <w:rPr>
          <w:rFonts w:hint="eastAsia"/>
        </w:rPr>
        <w:t>，满足规划管控指标</w:t>
      </w:r>
      <w:r>
        <w:rPr>
          <w:rFonts w:hint="eastAsia"/>
          <w:lang w:val="en-US" w:eastAsia="zh-CN"/>
        </w:rPr>
        <w:t>58.7</w:t>
      </w:r>
      <w:r>
        <w:rPr>
          <w:rFonts w:hint="eastAsia"/>
        </w:rPr>
        <w:t>%的要求。</w:t>
      </w:r>
    </w:p>
    <w:p>
      <w:pPr>
        <w:pStyle w:val="6"/>
        <w:bidi w:val="0"/>
        <w:rPr>
          <w:lang w:val="en-US" w:eastAsia="zh-CN"/>
        </w:rPr>
      </w:pPr>
      <w:r>
        <w:rPr>
          <w:rFonts w:hint="eastAsia"/>
          <w:lang w:val="en-US" w:eastAsia="zh-CN"/>
        </w:rPr>
        <w:t>74</w:t>
      </w:r>
      <w:r>
        <w:rPr>
          <w:lang w:val="en-US" w:eastAsia="zh-CN"/>
        </w:rPr>
        <w:t xml:space="preserve">年径流污染削减率计算 </w:t>
      </w:r>
    </w:p>
    <w:p>
      <w:pPr>
        <w:bidi w:val="0"/>
      </w:pPr>
      <w:r>
        <w:t xml:space="preserve"> </w:t>
      </w:r>
      <w:r>
        <w:rPr>
          <w:rFonts w:hint="eastAsia"/>
        </w:rPr>
        <w:t>根据海绵设施设计相关规定，</w:t>
      </w:r>
      <w:r>
        <w:t>污染物削减率</w:t>
      </w:r>
      <w:r>
        <w:rPr>
          <w:rFonts w:hint="eastAsia"/>
        </w:rPr>
        <w:t>（</w:t>
      </w:r>
      <w:r>
        <w:t>以TSS计，%</w:t>
      </w:r>
      <w:r>
        <w:rPr>
          <w:rFonts w:hint="eastAsia"/>
        </w:rPr>
        <w:t>）根据海绵设施比选一览表中各设施对污染物去除率的取值，对本项目污染削减率进行计算，见下表。</w:t>
      </w:r>
    </w:p>
    <w:p>
      <w:pPr>
        <w:pStyle w:val="250"/>
        <w:bidi w:val="0"/>
        <w:rPr>
          <w:rFonts w:hint="eastAsia" w:ascii="Times New Roman" w:hAnsi="Times New Roman" w:eastAsia="宋体"/>
          <w:lang w:val="en-US" w:eastAsia="zh-CN"/>
        </w:rPr>
      </w:pPr>
      <w:r>
        <w:rPr>
          <w:rFonts w:hint="eastAsia" w:ascii="Times New Roman" w:hAnsi="Times New Roman" w:eastAsia="宋体"/>
          <w:lang w:val="en-US" w:eastAsia="zh-CN"/>
        </w:rPr>
        <w:t>表1</w:t>
      </w:r>
      <w:r>
        <w:rPr>
          <w:rFonts w:hint="eastAsia" w:eastAsia="宋体"/>
          <w:lang w:val="en-US" w:eastAsia="zh-CN"/>
        </w:rPr>
        <w:t>3</w:t>
      </w:r>
      <w:r>
        <w:rPr>
          <w:rFonts w:hint="eastAsia" w:ascii="Times New Roman" w:hAnsi="Times New Roman" w:eastAsia="宋体"/>
          <w:lang w:val="en-US" w:eastAsia="zh-CN"/>
        </w:rPr>
        <w:t>.3-10  污染物削减率计算表</w:t>
      </w:r>
    </w:p>
    <w:tbl>
      <w:tblPr>
        <w:tblStyle w:val="45"/>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9"/>
        <w:gridCol w:w="2887"/>
        <w:gridCol w:w="2739"/>
        <w:gridCol w:w="2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9"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序号</w:t>
            </w:r>
          </w:p>
        </w:tc>
        <w:tc>
          <w:tcPr>
            <w:tcW w:w="1555"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下垫面类别</w:t>
            </w:r>
          </w:p>
        </w:tc>
        <w:tc>
          <w:tcPr>
            <w:tcW w:w="1475"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面积（m</w:t>
            </w:r>
            <w:r>
              <w:rPr>
                <w:rFonts w:hint="eastAsia"/>
                <w:kern w:val="0"/>
                <w:vertAlign w:val="superscript"/>
                <w:lang w:val="en-US" w:eastAsia="zh-CN"/>
              </w:rPr>
              <w:t>2</w:t>
            </w:r>
            <w:r>
              <w:rPr>
                <w:rFonts w:hint="eastAsia"/>
                <w:kern w:val="0"/>
                <w:lang w:val="en-US" w:eastAsia="zh-CN"/>
              </w:rPr>
              <w:t>）</w:t>
            </w:r>
          </w:p>
        </w:tc>
        <w:tc>
          <w:tcPr>
            <w:tcW w:w="1419"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径流污染控制率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9"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1</w:t>
            </w:r>
          </w:p>
        </w:tc>
        <w:tc>
          <w:tcPr>
            <w:tcW w:w="1555"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下沉绿地</w:t>
            </w:r>
          </w:p>
        </w:tc>
        <w:tc>
          <w:tcPr>
            <w:tcW w:w="1475" w:type="pct"/>
            <w:vAlign w:val="center"/>
          </w:tcPr>
          <w:p>
            <w:pPr>
              <w:pStyle w:val="54"/>
              <w:keepNext w:val="0"/>
              <w:keepLines w:val="0"/>
              <w:widowControl w:val="0"/>
              <w:suppressLineNumbers w:val="0"/>
              <w:bidi w:val="0"/>
              <w:spacing w:before="0" w:beforeAutospacing="0" w:after="0" w:afterAutospacing="0"/>
              <w:ind w:left="0" w:right="0"/>
              <w:rPr>
                <w:rFonts w:hint="default"/>
                <w:kern w:val="0"/>
                <w:lang w:val="en-US" w:eastAsia="zh-CN"/>
              </w:rPr>
            </w:pPr>
            <w:r>
              <w:rPr>
                <w:rFonts w:hint="eastAsia"/>
                <w:kern w:val="0"/>
                <w:lang w:val="en-US" w:eastAsia="zh-CN"/>
              </w:rPr>
              <w:t>323.15</w:t>
            </w:r>
          </w:p>
        </w:tc>
        <w:tc>
          <w:tcPr>
            <w:tcW w:w="1419"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9"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2</w:t>
            </w:r>
          </w:p>
        </w:tc>
        <w:tc>
          <w:tcPr>
            <w:tcW w:w="1555" w:type="pct"/>
            <w:vAlign w:val="center"/>
          </w:tcPr>
          <w:p>
            <w:pPr>
              <w:pStyle w:val="54"/>
              <w:keepNext w:val="0"/>
              <w:keepLines w:val="0"/>
              <w:widowControl w:val="0"/>
              <w:suppressLineNumbers w:val="0"/>
              <w:bidi w:val="0"/>
              <w:spacing w:before="0" w:beforeAutospacing="0" w:after="0" w:afterAutospacing="0"/>
              <w:ind w:left="0" w:right="0"/>
              <w:rPr>
                <w:rFonts w:hint="default"/>
                <w:kern w:val="0"/>
                <w:lang w:val="en-US" w:eastAsia="zh-CN"/>
              </w:rPr>
            </w:pPr>
            <w:r>
              <w:rPr>
                <w:rFonts w:hint="eastAsia"/>
                <w:kern w:val="0"/>
                <w:lang w:val="en-US" w:eastAsia="zh-CN"/>
              </w:rPr>
              <w:t>绿植</w:t>
            </w:r>
          </w:p>
        </w:tc>
        <w:tc>
          <w:tcPr>
            <w:tcW w:w="1475" w:type="pct"/>
            <w:vAlign w:val="center"/>
          </w:tcPr>
          <w:p>
            <w:pPr>
              <w:pStyle w:val="54"/>
              <w:keepNext w:val="0"/>
              <w:keepLines w:val="0"/>
              <w:widowControl w:val="0"/>
              <w:suppressLineNumbers w:val="0"/>
              <w:bidi w:val="0"/>
              <w:spacing w:before="0" w:beforeAutospacing="0" w:after="0" w:afterAutospacing="0"/>
              <w:ind w:left="0" w:right="0"/>
              <w:rPr>
                <w:rFonts w:hint="default"/>
                <w:kern w:val="0"/>
                <w:lang w:val="en-US" w:eastAsia="zh-CN"/>
              </w:rPr>
            </w:pPr>
            <w:r>
              <w:rPr>
                <w:rFonts w:hint="eastAsia"/>
                <w:kern w:val="0"/>
                <w:lang w:val="en-US" w:eastAsia="zh-CN"/>
              </w:rPr>
              <w:t>0</w:t>
            </w:r>
          </w:p>
        </w:tc>
        <w:tc>
          <w:tcPr>
            <w:tcW w:w="1419"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9"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3</w:t>
            </w:r>
          </w:p>
        </w:tc>
        <w:tc>
          <w:tcPr>
            <w:tcW w:w="1555"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合计（平均）</w:t>
            </w:r>
          </w:p>
        </w:tc>
        <w:tc>
          <w:tcPr>
            <w:tcW w:w="1475" w:type="pct"/>
            <w:vAlign w:val="center"/>
          </w:tcPr>
          <w:p>
            <w:pPr>
              <w:pStyle w:val="54"/>
              <w:keepNext w:val="0"/>
              <w:keepLines w:val="0"/>
              <w:widowControl w:val="0"/>
              <w:suppressLineNumbers w:val="0"/>
              <w:bidi w:val="0"/>
              <w:spacing w:before="0" w:beforeAutospacing="0" w:after="0" w:afterAutospacing="0"/>
              <w:ind w:left="0" w:right="0"/>
              <w:rPr>
                <w:rFonts w:hint="default"/>
                <w:kern w:val="0"/>
                <w:lang w:val="en-US" w:eastAsia="zh-CN"/>
              </w:rPr>
            </w:pPr>
            <w:r>
              <w:rPr>
                <w:rFonts w:hint="eastAsia"/>
                <w:kern w:val="0"/>
                <w:lang w:val="en-US" w:eastAsia="zh-CN"/>
              </w:rPr>
              <w:t>323.15</w:t>
            </w:r>
          </w:p>
        </w:tc>
        <w:tc>
          <w:tcPr>
            <w:tcW w:w="1419" w:type="pct"/>
            <w:vAlign w:val="center"/>
          </w:tcPr>
          <w:p>
            <w:pPr>
              <w:pStyle w:val="54"/>
              <w:keepNext w:val="0"/>
              <w:keepLines w:val="0"/>
              <w:widowControl w:val="0"/>
              <w:suppressLineNumbers w:val="0"/>
              <w:bidi w:val="0"/>
              <w:spacing w:before="0" w:beforeAutospacing="0" w:after="0" w:afterAutospacing="0"/>
              <w:ind w:left="0" w:right="0"/>
              <w:rPr>
                <w:rFonts w:hint="eastAsia"/>
                <w:kern w:val="0"/>
                <w:lang w:val="en-US" w:eastAsia="zh-CN"/>
              </w:rPr>
            </w:pPr>
            <w:r>
              <w:rPr>
                <w:rFonts w:hint="eastAsia"/>
                <w:kern w:val="0"/>
                <w:lang w:val="en-US" w:eastAsia="zh-CN"/>
              </w:rPr>
              <w:t>80%</w:t>
            </w:r>
          </w:p>
        </w:tc>
      </w:tr>
    </w:tbl>
    <w:p>
      <w:pPr>
        <w:bidi w:val="0"/>
        <w:rPr>
          <w:rFonts w:hint="eastAsia"/>
        </w:rPr>
      </w:pPr>
      <w:r>
        <w:rPr>
          <w:rFonts w:hint="eastAsia"/>
        </w:rPr>
        <w:t>计算得到，本工程径流污染控制率平均值为</w:t>
      </w:r>
      <w:r>
        <w:rPr>
          <w:rFonts w:hint="eastAsia"/>
          <w:lang w:val="en-US" w:eastAsia="zh-CN"/>
        </w:rPr>
        <w:t>80</w:t>
      </w:r>
      <w:r>
        <w:rPr>
          <w:rFonts w:hint="eastAsia"/>
        </w:rPr>
        <w:t>%，故</w:t>
      </w:r>
      <w:r>
        <w:t>污染物削减率</w:t>
      </w:r>
      <w:r>
        <w:rPr>
          <w:rFonts w:hint="eastAsia"/>
        </w:rPr>
        <w:t>（</w:t>
      </w:r>
      <w:r>
        <w:t>以TSS计，%</w:t>
      </w:r>
      <w:r>
        <w:rPr>
          <w:rFonts w:hint="eastAsia"/>
        </w:rPr>
        <w:t>）=实际年径流总量控制率×低影响开发设施平均去除率=</w:t>
      </w:r>
      <w:r>
        <w:rPr>
          <w:rFonts w:hint="eastAsia"/>
          <w:lang w:val="en-US" w:eastAsia="zh-CN"/>
        </w:rPr>
        <w:t>53</w:t>
      </w:r>
      <w:r>
        <w:rPr>
          <w:rFonts w:hint="eastAsia"/>
        </w:rPr>
        <w:t>%，满足规划管控指标48%的要求。</w:t>
      </w:r>
    </w:p>
    <w:p>
      <w:pPr>
        <w:pStyle w:val="6"/>
        <w:bidi w:val="0"/>
        <w:rPr>
          <w:lang w:val="en-US" w:eastAsia="zh-CN"/>
        </w:rPr>
      </w:pPr>
      <w:r>
        <w:rPr>
          <w:rFonts w:hint="eastAsia"/>
          <w:lang w:val="en-US" w:eastAsia="zh-CN"/>
        </w:rPr>
        <w:t>下沉式绿地</w:t>
      </w:r>
      <w:r>
        <w:rPr>
          <w:lang w:val="en-US" w:eastAsia="zh-CN"/>
        </w:rPr>
        <w:t>率</w:t>
      </w:r>
      <w:r>
        <w:rPr>
          <w:rFonts w:hint="eastAsia"/>
          <w:lang w:val="en-US" w:eastAsia="zh-CN"/>
        </w:rPr>
        <w:t>计算</w:t>
      </w:r>
    </w:p>
    <w:p>
      <w:pPr>
        <w:bidi w:val="0"/>
      </w:pPr>
      <w:r>
        <w:rPr>
          <w:rFonts w:hint="eastAsia"/>
        </w:rPr>
        <w:t>本工程绿地总面积</w:t>
      </w:r>
      <w:r>
        <w:rPr>
          <w:rFonts w:hint="eastAsia"/>
          <w:lang w:val="en-US" w:eastAsia="zh-CN"/>
        </w:rPr>
        <w:t>323.15</w:t>
      </w:r>
      <w:r>
        <w:rPr>
          <w:rFonts w:hint="eastAsia"/>
        </w:rPr>
        <w:t>m</w:t>
      </w:r>
      <w:r>
        <w:rPr>
          <w:rFonts w:hint="eastAsia"/>
          <w:vertAlign w:val="superscript"/>
        </w:rPr>
        <w:t>2</w:t>
      </w:r>
      <w:r>
        <w:rPr>
          <w:rFonts w:hint="eastAsia"/>
        </w:rPr>
        <w:t>，其中下沉式绿地</w:t>
      </w:r>
      <w:r>
        <w:rPr>
          <w:rFonts w:hint="eastAsia"/>
          <w:lang w:val="en-US" w:eastAsia="zh-CN"/>
        </w:rPr>
        <w:t>323.15</w:t>
      </w:r>
      <w:r>
        <w:rPr>
          <w:rFonts w:hint="eastAsia"/>
        </w:rPr>
        <w:t>m</w:t>
      </w:r>
      <w:r>
        <w:rPr>
          <w:rFonts w:hint="eastAsia"/>
          <w:vertAlign w:val="superscript"/>
        </w:rPr>
        <w:t>2</w:t>
      </w:r>
      <w:r>
        <w:rPr>
          <w:rFonts w:hint="eastAsia"/>
        </w:rPr>
        <w:t>，因此，下沉式绿地率为</w:t>
      </w:r>
      <w:r>
        <w:rPr>
          <w:rFonts w:hint="eastAsia"/>
          <w:lang w:val="en-US" w:eastAsia="zh-CN"/>
        </w:rPr>
        <w:t>100</w:t>
      </w:r>
      <w:r>
        <w:rPr>
          <w:rFonts w:hint="eastAsia"/>
        </w:rPr>
        <w:t>%。</w:t>
      </w:r>
    </w:p>
    <w:p>
      <w:pPr>
        <w:pStyle w:val="6"/>
        <w:bidi w:val="0"/>
        <w:rPr>
          <w:lang w:val="en-US" w:eastAsia="zh-CN"/>
        </w:rPr>
      </w:pPr>
      <w:bookmarkStart w:id="362" w:name="_Toc27949"/>
      <w:r>
        <w:rPr>
          <w:rFonts w:hint="eastAsia"/>
          <w:lang w:val="en-US" w:eastAsia="zh-CN"/>
        </w:rPr>
        <w:t>海绵设施维护管理</w:t>
      </w:r>
      <w:bookmarkEnd w:id="362"/>
    </w:p>
    <w:p>
      <w:pPr>
        <w:keepNext w:val="0"/>
        <w:keepLines w:val="0"/>
        <w:pageBreakBefore w:val="0"/>
        <w:widowControl w:val="0"/>
        <w:numPr>
          <w:ilvl w:val="0"/>
          <w:numId w:val="17"/>
        </w:numPr>
        <w:kinsoku/>
        <w:wordWrap/>
        <w:overflowPunct/>
        <w:topLinePunct w:val="0"/>
        <w:autoSpaceDE/>
        <w:autoSpaceDN/>
        <w:bidi w:val="0"/>
        <w:adjustRightInd/>
        <w:snapToGrid/>
        <w:ind w:left="0" w:leftChars="0" w:firstLine="480" w:firstLineChars="200"/>
        <w:textAlignment w:val="auto"/>
      </w:pPr>
      <w:r>
        <w:rPr>
          <w:rFonts w:hint="eastAsia"/>
        </w:rPr>
        <w:t>应及时补种修剪植物、清除杂草；</w:t>
      </w:r>
    </w:p>
    <w:p>
      <w:pPr>
        <w:keepNext w:val="0"/>
        <w:keepLines w:val="0"/>
        <w:pageBreakBefore w:val="0"/>
        <w:widowControl w:val="0"/>
        <w:numPr>
          <w:ilvl w:val="0"/>
          <w:numId w:val="17"/>
        </w:numPr>
        <w:kinsoku/>
        <w:wordWrap/>
        <w:overflowPunct/>
        <w:topLinePunct w:val="0"/>
        <w:autoSpaceDE/>
        <w:autoSpaceDN/>
        <w:bidi w:val="0"/>
        <w:adjustRightInd/>
        <w:snapToGrid/>
        <w:ind w:left="0" w:leftChars="0" w:firstLine="480" w:firstLineChars="200"/>
        <w:textAlignment w:val="auto"/>
      </w:pPr>
      <w:r>
        <w:rPr>
          <w:rFonts w:hint="eastAsia"/>
        </w:rPr>
        <w:t>做好表面植草维护，防止因冲刷造成水土流失；</w:t>
      </w:r>
    </w:p>
    <w:p>
      <w:pPr>
        <w:keepNext w:val="0"/>
        <w:keepLines w:val="0"/>
        <w:pageBreakBefore w:val="0"/>
        <w:widowControl w:val="0"/>
        <w:numPr>
          <w:ilvl w:val="0"/>
          <w:numId w:val="17"/>
        </w:numPr>
        <w:kinsoku/>
        <w:wordWrap/>
        <w:overflowPunct/>
        <w:topLinePunct w:val="0"/>
        <w:autoSpaceDE/>
        <w:autoSpaceDN/>
        <w:bidi w:val="0"/>
        <w:adjustRightInd/>
        <w:snapToGrid/>
        <w:ind w:left="0" w:leftChars="0" w:firstLine="480" w:firstLineChars="200"/>
        <w:textAlignment w:val="auto"/>
      </w:pPr>
      <w:r>
        <w:rPr>
          <w:rFonts w:hint="eastAsia"/>
        </w:rPr>
        <w:t>进口堵塞或淤积导致汇水不畅时，应及时清理垃圾与沉积物；</w:t>
      </w:r>
    </w:p>
    <w:p>
      <w:pPr>
        <w:keepNext w:val="0"/>
        <w:keepLines w:val="0"/>
        <w:pageBreakBefore w:val="0"/>
        <w:widowControl w:val="0"/>
        <w:numPr>
          <w:ilvl w:val="0"/>
          <w:numId w:val="17"/>
        </w:numPr>
        <w:kinsoku/>
        <w:wordWrap/>
        <w:overflowPunct/>
        <w:topLinePunct w:val="0"/>
        <w:autoSpaceDE/>
        <w:autoSpaceDN/>
        <w:bidi w:val="0"/>
        <w:adjustRightInd/>
        <w:snapToGrid/>
        <w:ind w:left="0" w:leftChars="0" w:firstLine="480" w:firstLineChars="200"/>
        <w:textAlignment w:val="auto"/>
      </w:pPr>
      <w:r>
        <w:rPr>
          <w:rFonts w:hint="eastAsia"/>
        </w:rPr>
        <w:t>调蓄空间因沉积物淤积导致调蓄能力不足时，应及时清理沉积物；</w:t>
      </w:r>
    </w:p>
    <w:p>
      <w:pPr>
        <w:keepNext w:val="0"/>
        <w:keepLines w:val="0"/>
        <w:pageBreakBefore w:val="0"/>
        <w:widowControl w:val="0"/>
        <w:numPr>
          <w:ilvl w:val="0"/>
          <w:numId w:val="17"/>
        </w:numPr>
        <w:kinsoku/>
        <w:wordWrap/>
        <w:overflowPunct/>
        <w:topLinePunct w:val="0"/>
        <w:autoSpaceDE/>
        <w:autoSpaceDN/>
        <w:bidi w:val="0"/>
        <w:adjustRightInd/>
        <w:snapToGrid/>
        <w:ind w:left="0" w:leftChars="0" w:firstLine="480" w:firstLineChars="200"/>
        <w:textAlignment w:val="auto"/>
      </w:pPr>
      <w:r>
        <w:rPr>
          <w:rFonts w:hint="eastAsia"/>
        </w:rPr>
        <w:t>当调蓄空间雨水的排空时间超过36h时，应及时置换表层种植土。</w:t>
      </w:r>
    </w:p>
    <w:p>
      <w:pPr>
        <w:keepNext w:val="0"/>
        <w:keepLines w:val="0"/>
        <w:pageBreakBefore w:val="0"/>
        <w:widowControl w:val="0"/>
        <w:numPr>
          <w:ilvl w:val="0"/>
          <w:numId w:val="17"/>
        </w:numPr>
        <w:kinsoku/>
        <w:wordWrap/>
        <w:overflowPunct/>
        <w:topLinePunct w:val="0"/>
        <w:autoSpaceDE/>
        <w:autoSpaceDN/>
        <w:bidi w:val="0"/>
        <w:adjustRightInd/>
        <w:snapToGrid/>
        <w:ind w:left="0" w:leftChars="0" w:firstLine="480" w:firstLineChars="200"/>
        <w:textAlignment w:val="auto"/>
      </w:pPr>
      <w:r>
        <w:rPr>
          <w:rFonts w:hint="eastAsia"/>
        </w:rPr>
        <w:t>应建立健全低影响开发设施的维护管理制度和操作规程，配备专职管理人员和相应监测手段，并对管理人员和操作人员加强专业技术培训。</w:t>
      </w:r>
    </w:p>
    <w:p>
      <w:pPr>
        <w:keepNext w:val="0"/>
        <w:keepLines w:val="0"/>
        <w:pageBreakBefore w:val="0"/>
        <w:widowControl w:val="0"/>
        <w:numPr>
          <w:ilvl w:val="0"/>
          <w:numId w:val="17"/>
        </w:numPr>
        <w:kinsoku/>
        <w:wordWrap/>
        <w:overflowPunct/>
        <w:topLinePunct w:val="0"/>
        <w:autoSpaceDE/>
        <w:autoSpaceDN/>
        <w:bidi w:val="0"/>
        <w:adjustRightInd/>
        <w:snapToGrid/>
        <w:ind w:left="0" w:leftChars="0" w:firstLine="480" w:firstLineChars="200"/>
        <w:textAlignment w:val="auto"/>
      </w:pPr>
      <w:r>
        <w:rPr>
          <w:rFonts w:hint="eastAsia"/>
        </w:rPr>
        <w:t>海绵设施的维护管理部门应做好雨季来临前和雨季期间设施的检修和维护管理，保障设施正常、安全运行。</w:t>
      </w:r>
    </w:p>
    <w:p>
      <w:pPr>
        <w:keepNext w:val="0"/>
        <w:keepLines w:val="0"/>
        <w:pageBreakBefore w:val="0"/>
        <w:widowControl w:val="0"/>
        <w:numPr>
          <w:ilvl w:val="0"/>
          <w:numId w:val="17"/>
        </w:numPr>
        <w:kinsoku/>
        <w:wordWrap/>
        <w:overflowPunct/>
        <w:topLinePunct w:val="0"/>
        <w:autoSpaceDE/>
        <w:autoSpaceDN/>
        <w:bidi w:val="0"/>
        <w:adjustRightInd/>
        <w:snapToGrid/>
        <w:ind w:left="0" w:leftChars="0" w:firstLine="480" w:firstLineChars="200"/>
        <w:textAlignment w:val="auto"/>
        <w:rPr>
          <w:rFonts w:hint="eastAsia"/>
        </w:rPr>
      </w:pPr>
      <w:r>
        <w:rPr>
          <w:rFonts w:hint="eastAsia"/>
        </w:rPr>
        <w:t>应加强宣传教育和引导，提高公众对海绵城市建设、低影响开发、绿色建筑、城市节水、水生态修复、内涝防治等工作中雨水控制与利用重要性的认识，鼓励公众积极参与低影响开发设施的建设、运行与维护。</w:t>
      </w:r>
    </w:p>
    <w:p>
      <w:pPr>
        <w:rPr>
          <w:rFonts w:hint="eastAsia" w:ascii="Times New Roman" w:hAnsi="Times New Roman" w:cs="Times New Roman"/>
          <w:b/>
          <w:bCs w:val="0"/>
          <w:sz w:val="36"/>
          <w:szCs w:val="36"/>
          <w:lang w:val="en-US" w:eastAsia="zh-CN"/>
        </w:rPr>
      </w:pPr>
      <w:r>
        <w:rPr>
          <w:rFonts w:hint="eastAsia" w:ascii="Times New Roman" w:hAnsi="Times New Roman" w:cs="Times New Roman"/>
          <w:b/>
          <w:bCs w:val="0"/>
          <w:sz w:val="36"/>
          <w:szCs w:val="36"/>
          <w:lang w:val="en-US" w:eastAsia="zh-CN"/>
        </w:rPr>
        <w:br w:type="page"/>
      </w: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eastAsia" w:ascii="Times New Roman" w:hAnsi="Times New Roman" w:cs="Times New Roman"/>
          <w:b/>
          <w:bCs w:val="0"/>
          <w:sz w:val="36"/>
          <w:szCs w:val="36"/>
          <w:lang w:val="en-US" w:eastAsia="zh-CN"/>
        </w:rPr>
      </w:pPr>
      <w:bookmarkStart w:id="363" w:name="_Toc20149"/>
      <w:r>
        <w:rPr>
          <w:rFonts w:hint="eastAsia" w:ascii="Times New Roman" w:hAnsi="Times New Roman" w:cs="Times New Roman"/>
          <w:b/>
          <w:bCs w:val="0"/>
          <w:sz w:val="36"/>
          <w:szCs w:val="36"/>
          <w:lang w:val="en-US" w:eastAsia="zh-CN"/>
        </w:rPr>
        <w:t>工程管理</w:t>
      </w:r>
      <w:bookmarkEnd w:id="363"/>
    </w:p>
    <w:p>
      <w:pPr>
        <w:pStyle w:val="4"/>
        <w:bidi w:val="0"/>
        <w:ind w:left="575" w:leftChars="0" w:hanging="575" w:firstLineChars="0"/>
        <w:rPr>
          <w:rFonts w:hint="eastAsia" w:ascii="Times New Roman" w:hAnsi="Times New Roman" w:cs="Times New Roman"/>
          <w:lang w:val="en-US" w:eastAsia="zh-CN"/>
        </w:rPr>
      </w:pPr>
      <w:bookmarkStart w:id="364" w:name="_Toc31134"/>
      <w:r>
        <w:rPr>
          <w:rFonts w:hint="eastAsia" w:ascii="Times New Roman" w:hAnsi="Times New Roman" w:cs="Times New Roman"/>
          <w:lang w:val="en-US" w:eastAsia="zh-CN"/>
        </w:rPr>
        <w:t>设计依据</w:t>
      </w:r>
      <w:bookmarkEnd w:id="364"/>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0" w:firstLineChars="0"/>
        <w:textAlignment w:val="auto"/>
        <w:rPr>
          <w:rFonts w:hint="eastAsia"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bidi="ar-SA"/>
        </w:rPr>
        <w:t>（1）</w:t>
      </w:r>
      <w:r>
        <w:rPr>
          <w:rFonts w:hint="eastAsia"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中华人民共和国节约能源法</w:t>
      </w:r>
      <w:r>
        <w:rPr>
          <w:rFonts w:hint="eastAsia" w:cs="Times New Roman" w:eastAsiaTheme="minorEastAsia"/>
          <w:sz w:val="24"/>
          <w:szCs w:val="24"/>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bidi="ar-SA"/>
        </w:rPr>
        <w:t>（2）</w:t>
      </w:r>
      <w:r>
        <w:rPr>
          <w:rFonts w:hint="eastAsia" w:cs="Times New Roman" w:eastAsiaTheme="minorEastAsia"/>
          <w:sz w:val="24"/>
          <w:szCs w:val="24"/>
          <w:lang w:val="en-US" w:eastAsia="zh-CN" w:bidi="ar-SA"/>
        </w:rPr>
        <w:t>《</w:t>
      </w:r>
      <w:r>
        <w:rPr>
          <w:rFonts w:hint="eastAsia" w:ascii="Times New Roman" w:hAnsi="Times New Roman" w:cs="Times New Roman" w:eastAsiaTheme="minorEastAsia"/>
          <w:sz w:val="24"/>
          <w:szCs w:val="24"/>
          <w:lang w:val="en-US" w:eastAsia="zh-CN"/>
        </w:rPr>
        <w:t>中华人民共和国可再生能源法</w:t>
      </w:r>
      <w:r>
        <w:rPr>
          <w:rFonts w:hint="eastAsia"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w:t>
      </w:r>
      <w:r>
        <w:rPr>
          <w:rFonts w:hint="eastAsia"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中华人民共和国建筑法</w:t>
      </w:r>
      <w:r>
        <w:rPr>
          <w:rFonts w:hint="eastAsia"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（4）</w:t>
      </w:r>
      <w:r>
        <w:rPr>
          <w:rFonts w:hint="eastAsia"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中华人民共和国清洁生产促进法</w:t>
      </w:r>
      <w:r>
        <w:rPr>
          <w:rFonts w:hint="eastAsia"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（5）</w:t>
      </w:r>
      <w:r>
        <w:rPr>
          <w:rFonts w:hint="eastAsia"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国务院关于加强节能工作的决定（国发[2006]28号）</w:t>
      </w:r>
      <w:r>
        <w:rPr>
          <w:rFonts w:hint="eastAsia"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（6）</w:t>
      </w:r>
      <w:r>
        <w:rPr>
          <w:rFonts w:hint="eastAsia"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工业企业能源管理导则</w:t>
      </w:r>
      <w:r>
        <w:rPr>
          <w:rFonts w:hint="eastAsia"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GB/T15587-2008</w:t>
      </w:r>
      <w:r>
        <w:rPr>
          <w:rFonts w:hint="eastAsia"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（7）</w:t>
      </w:r>
      <w:r>
        <w:rPr>
          <w:rFonts w:hint="eastAsia"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节电措施经济效益计算与评价</w:t>
      </w:r>
      <w:r>
        <w:rPr>
          <w:rFonts w:hint="eastAsia"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GB/T13471-2008</w:t>
      </w:r>
      <w:r>
        <w:rPr>
          <w:rFonts w:hint="eastAsia"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（8）</w:t>
      </w:r>
      <w:r>
        <w:rPr>
          <w:rFonts w:hint="eastAsia"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公共建筑节能设计标准</w:t>
      </w:r>
      <w:r>
        <w:rPr>
          <w:rFonts w:hint="eastAsia"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GB50189-2015</w:t>
      </w:r>
      <w:r>
        <w:rPr>
          <w:rFonts w:hint="eastAsia"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（9）</w:t>
      </w:r>
      <w:r>
        <w:rPr>
          <w:rFonts w:hint="eastAsia"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节能监测技术通则</w:t>
      </w:r>
      <w:r>
        <w:rPr>
          <w:rFonts w:hint="eastAsia" w:cs="Times New Roman" w:eastAsiaTheme="minorEastAsia"/>
          <w:sz w:val="24"/>
          <w:szCs w:val="24"/>
          <w:lang w:val="en-US" w:eastAsia="zh-CN"/>
        </w:rPr>
        <w:t>（</w:t>
      </w:r>
      <w:r>
        <w:rPr>
          <w:rFonts w:hint="eastAsia" w:ascii="Times New Roman" w:hAnsi="Times New Roman" w:cs="Times New Roman" w:eastAsiaTheme="minorEastAsia"/>
          <w:sz w:val="24"/>
          <w:szCs w:val="24"/>
          <w:lang w:val="en-US" w:eastAsia="zh-CN"/>
        </w:rPr>
        <w:t>GBl536-2009</w:t>
      </w:r>
      <w:r>
        <w:rPr>
          <w:rFonts w:hint="eastAsia" w:cs="Times New Roman"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（10）交体法发[1995]607号《关于交通行业基本建设和技术项目工程可行性研究报告增列“节能篇（章）”暂行规定》；</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（11）交体法发[1996]354号《〈关于交通行业基本建设和技术项目工程可行性研究报告增列“节能篇（章）”暂行规定〉实施细则》；</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（12）《水运工程节能设计规定》JTS150-2007；</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（13）《交通行业实施节约能源法细则》（交体法发[2000]306号文）；</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（14）《港口基本建设（技术改造）工程项目设计能源综合单耗评估》；</w:t>
      </w:r>
    </w:p>
    <w:p>
      <w:pPr>
        <w:keepNext w:val="0"/>
        <w:keepLines w:val="0"/>
        <w:pageBreakBefore w:val="0"/>
        <w:widowControl/>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（15）国家颁发的有关节能政策、法规。</w:t>
      </w:r>
    </w:p>
    <w:p>
      <w:pPr>
        <w:pStyle w:val="4"/>
        <w:bidi w:val="0"/>
        <w:ind w:left="575" w:leftChars="0" w:hanging="575" w:firstLineChars="0"/>
        <w:rPr>
          <w:rFonts w:hint="eastAsia" w:ascii="Times New Roman" w:hAnsi="Times New Roman" w:cs="Times New Roman"/>
          <w:lang w:val="en-US" w:eastAsia="zh-CN"/>
        </w:rPr>
      </w:pPr>
      <w:bookmarkStart w:id="365" w:name="_Toc26811"/>
      <w:bookmarkStart w:id="366" w:name="_Toc27685"/>
      <w:r>
        <w:rPr>
          <w:rFonts w:hint="eastAsia" w:ascii="Times New Roman" w:hAnsi="Times New Roman" w:cs="Times New Roman"/>
          <w:lang w:val="en-US" w:eastAsia="zh-CN"/>
        </w:rPr>
        <w:t>管理机构</w:t>
      </w:r>
      <w:bookmarkEnd w:id="365"/>
      <w:bookmarkEnd w:id="366"/>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zh-CN" w:eastAsia="zh-CN"/>
        </w:rPr>
        <w:t>本工程日常管理工作拟由广州市番禺区水务设施运行中心所承担。广州市番禺区水务设施运行中心负责制定相关的工程管理制度，日常运行维护和工程保养，保障工程运行安全，使其充分发挥工程效益</w:t>
      </w:r>
      <w:r>
        <w:rPr>
          <w:rFonts w:hint="eastAsia" w:ascii="Times New Roman" w:hAnsi="Times New Roman" w:cs="Times New Roman" w:eastAsiaTheme="minorEastAsia"/>
          <w:sz w:val="24"/>
          <w:szCs w:val="24"/>
          <w:lang w:val="en-US" w:eastAsia="zh-CN"/>
        </w:rPr>
        <w:t>。</w:t>
      </w:r>
    </w:p>
    <w:p>
      <w:pPr>
        <w:pStyle w:val="4"/>
        <w:bidi w:val="0"/>
        <w:ind w:left="575" w:leftChars="0" w:hanging="575" w:firstLineChars="0"/>
        <w:rPr>
          <w:rFonts w:hint="eastAsia" w:ascii="Times New Roman" w:hAnsi="Times New Roman" w:cs="Times New Roman"/>
          <w:lang w:val="en-US" w:eastAsia="zh-CN"/>
        </w:rPr>
      </w:pPr>
      <w:bookmarkStart w:id="367" w:name="_Toc5896"/>
      <w:bookmarkStart w:id="368" w:name="_Toc22176"/>
      <w:r>
        <w:rPr>
          <w:rFonts w:hint="eastAsia" w:ascii="Times New Roman" w:hAnsi="Times New Roman" w:cs="Times New Roman"/>
          <w:lang w:val="en-US" w:eastAsia="zh-CN"/>
        </w:rPr>
        <w:t>管理任务和范围</w:t>
      </w:r>
      <w:bookmarkEnd w:id="367"/>
      <w:bookmarkEnd w:id="368"/>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管理单位的任务是对</w:t>
      </w:r>
      <w:r>
        <w:rPr>
          <w:rFonts w:hint="eastAsia" w:asciiTheme="minorEastAsia" w:hAnsiTheme="minorEastAsia" w:eastAsiaTheme="minorEastAsia" w:cstheme="minorEastAsia"/>
          <w:sz w:val="24"/>
          <w:szCs w:val="24"/>
          <w:lang w:val="en-US" w:eastAsia="zh-CN"/>
        </w:rPr>
        <w:t>桥南街大蕴涌</w:t>
      </w:r>
      <w:r>
        <w:rPr>
          <w:rFonts w:hint="eastAsia" w:ascii="Times New Roman" w:hAnsi="Times New Roman" w:cs="Times New Roman" w:eastAsiaTheme="minorEastAsia"/>
          <w:sz w:val="24"/>
          <w:szCs w:val="24"/>
          <w:lang w:val="zh-CN" w:eastAsia="zh-CN"/>
        </w:rPr>
        <w:t>进行科学运用管理，保证工程安全经济运行，维护环境质量，充分发挥工程效益，更好地为当地人民的生产、生活服务。</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根据广东省水利工程管理条例（2018修正），本工程管理范围为：</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工程区为主要建筑物占地范围及其周边从内、外坡堤脚算起每侧三十至五十米；</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任何单位和个人不得侵占水利工程管理范围内的土地和水域。国家建设需要征用管理范围内的土地，应当征得有管辖权的水行政主管部门同意。水利工程保护范围内的土地，其权属不变，但必须按本条例的规定限制使用。水利工程管理单位应当在水利工程管理范围和保护范围的边界埋设永久界桩，任何单位和个人不得移动和破坏所设界桩。</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管理单位的主要工作内容是：</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（1）贯彻执行国家有关方针政策和上级部门的指示；</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（2）根据本工程的规划、设计、施工、管理资料，编制工程运用管理制度和操作规程，并贯彻执行；</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（3）收集水情，编制来水调度运用计划，使抽水站安全经济运行；</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（4）进行工程巡视检查和安全监测，掌握工程动态，及时消除工程隐患和缺陷；</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（5）建立健全技术档案，及时分析整编资料，总结经验，改进工作，提高管理水平。</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管理单位应根据本流域水闸和抽水站的调度运行情况，收集水情，并结合本工程的运行管理，合理的制定工程运行方案。</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zh-CN" w:eastAsia="zh-CN"/>
        </w:rPr>
      </w:pPr>
      <w:r>
        <w:rPr>
          <w:rFonts w:hint="eastAsia" w:ascii="Times New Roman" w:hAnsi="Times New Roman" w:cs="Times New Roman" w:eastAsiaTheme="minorEastAsia"/>
          <w:sz w:val="24"/>
          <w:szCs w:val="24"/>
          <w:lang w:val="zh-CN" w:eastAsia="zh-CN"/>
        </w:rPr>
        <w:t>管理单位要建立健全劳动组织和各项规章制度，编制运行操作技术规程，实施全员劳动岗位培训，考试合格，持证上岗。搞好生产计划调度、建筑物安全监测、设备维护检修和环境保护等工作。密切注意水情，需及时采取措施排除污物，防止出现堵塞，危及建筑物安全。</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zh-CN" w:eastAsia="zh-CN"/>
        </w:rPr>
        <w:t>本工程按“无人值班，少人值守”的标准进行自动化工程管理，采用自动化监控可以提高工程运行安全性和管理水平，改善管理人员的工作条件。</w:t>
      </w:r>
    </w:p>
    <w:p>
      <w:pPr>
        <w:rPr>
          <w:rFonts w:hint="eastAsia" w:ascii="Times New Roman" w:hAnsi="Times New Roman" w:cs="Times New Roman"/>
          <w:sz w:val="36"/>
          <w:szCs w:val="36"/>
          <w:lang w:val="en-US" w:eastAsia="zh-CN"/>
        </w:rPr>
      </w:pPr>
      <w:r>
        <w:rPr>
          <w:rFonts w:hint="eastAsia" w:ascii="Times New Roman" w:hAnsi="Times New Roman" w:cs="Times New Roman"/>
          <w:sz w:val="36"/>
          <w:szCs w:val="36"/>
          <w:lang w:val="en-US" w:eastAsia="zh-CN"/>
        </w:rPr>
        <w:br w:type="page"/>
      </w: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eastAsia" w:ascii="Times New Roman" w:hAnsi="Times New Roman" w:cs="Times New Roman"/>
          <w:b/>
          <w:bCs w:val="0"/>
          <w:sz w:val="36"/>
          <w:szCs w:val="36"/>
          <w:lang w:val="en-US" w:eastAsia="zh-CN"/>
        </w:rPr>
      </w:pPr>
      <w:bookmarkStart w:id="369" w:name="_Toc30628"/>
      <w:r>
        <w:rPr>
          <w:rFonts w:hint="eastAsia" w:ascii="Times New Roman" w:hAnsi="Times New Roman" w:cs="Times New Roman"/>
          <w:b/>
          <w:bCs w:val="0"/>
          <w:sz w:val="36"/>
          <w:szCs w:val="36"/>
          <w:lang w:val="en-US" w:eastAsia="zh-CN"/>
        </w:rPr>
        <w:t>投资估算</w:t>
      </w:r>
      <w:bookmarkEnd w:id="369"/>
    </w:p>
    <w:p>
      <w:pPr>
        <w:pStyle w:val="4"/>
        <w:bidi w:val="0"/>
        <w:ind w:left="575" w:leftChars="0" w:hanging="575" w:firstLineChars="0"/>
        <w:rPr>
          <w:rFonts w:hint="eastAsia" w:ascii="Times New Roman" w:hAnsi="Times New Roman" w:cs="Times New Roman"/>
          <w:lang w:val="en-US" w:eastAsia="zh-CN"/>
        </w:rPr>
      </w:pPr>
      <w:bookmarkStart w:id="370" w:name="_Toc14330"/>
      <w:r>
        <w:rPr>
          <w:rFonts w:hint="eastAsia" w:ascii="Times New Roman" w:hAnsi="Times New Roman" w:cs="Times New Roman"/>
          <w:lang w:val="en-US" w:eastAsia="zh-CN"/>
        </w:rPr>
        <w:t>编制原则</w:t>
      </w:r>
      <w:bookmarkEnd w:id="370"/>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认真贯彻执行国家基本建设的有关规定和“厉行节约”、“勤俭建国”方针，坚持群众路线，深入调查研究，做到比较正确的反映建设成本，合理使用建设资金，充分发挥投资效益。</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（1）本工程投资估算套用广东省水利厅发布2017年07月《广东省水利水电建筑工程预算定额》，各项费用计算参照2017年07月《广东省水利水电工程设计概（估）算编制规定》。</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（2）投资估算中所用的材料价格参照《2022年8月佛山市建设工程常用材料综合价格》（除税价）及广东省水利厅公布的广东省地方水利水电工程次要材料价格（2022年）。</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（3）人工工资标准参照2017年07月《广东省水利水电工程设计概（估）算编制规定》表2-3-1。番禺区属一类地区，普工工资标准按83.00元/工日，技工工资标准按115.9元/工日。</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（4）基本预备费：本阶段按工程项目一至五部分投资合计数的10%计算。</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（5）工程量计算是根据可研设计图纸及有关文件规定进行。计算的有关参数参考了已建的类似工程的经验及有关建筑工程有关定额。</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（6）淤泥运弃15km,土方弃运（表土、未利用开挖土）采用5t自卸汽车运至10km外指定弃土场丢弃；</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（7）围堰用土可以使用开挖土方，但围堰用土完成后采用5t自卸汽车运至10km外指定弃土场丢弃；</w:t>
      </w:r>
    </w:p>
    <w:p>
      <w:pPr>
        <w:pStyle w:val="4"/>
        <w:bidi w:val="0"/>
        <w:ind w:left="575" w:leftChars="0" w:hanging="575" w:firstLineChars="0"/>
        <w:rPr>
          <w:rFonts w:hint="eastAsia" w:ascii="Times New Roman" w:hAnsi="Times New Roman" w:cs="Times New Roman"/>
          <w:lang w:val="en-US" w:eastAsia="zh-CN"/>
        </w:rPr>
      </w:pPr>
      <w:bookmarkStart w:id="371" w:name="_Toc1016"/>
      <w:bookmarkStart w:id="372" w:name="_Toc8806"/>
      <w:r>
        <w:rPr>
          <w:rFonts w:hint="eastAsia" w:ascii="Times New Roman" w:hAnsi="Times New Roman" w:cs="Times New Roman"/>
          <w:lang w:val="en-US" w:eastAsia="zh-CN"/>
        </w:rPr>
        <w:t>独立费用取费说明</w:t>
      </w:r>
      <w:bookmarkEnd w:id="371"/>
      <w:bookmarkEnd w:id="372"/>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建设单位人员经常费和项目管理费:根据《广东省水利水电工程设计概（估）算编制规定》（2017-07-01实施）规定中指出：建设单位人员常费和项目管理费按工程一～四部分建安工作量为基数计算，按差额定率累进法计算。由于本工程无需新组建建设单位，故费率乘以系数0.6。</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（2）招标代理服务费：按照“计价格[2002]1980号”关于印发《招标代理服务收费管理暂行办法》的通知计算，为工程招标业务费。</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（3）经济技术咨询费：根据《广东省水利水电工程设计概（估）算编制规定》（2017-07-01实施），以一～四部分投资合计为计算基数，按差额定率累进法计算，费率见《编规》表2-3-15。</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4）工程监理费：根据《建设工程监理与相关服务收费管理规定（发改价格[2007]670号）》中的计算公式：施工监理服务收费基准价＝施工监理服务收费基价×专业调整系数×工程复杂程度调整系数×高程调整系数；专业调整系数为0.90；工程复杂程度调整系数为1.00；高程附加调整系数：该工程海拔高程在2001m以下，取为1.00。</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（5）联合试运转费：根据《广东省水利水电工程设计概（估）算编制规定》(试行2017-07-01实施)规定中指出：泵站工程按总装机容量计算。费用指标见表2-3-16。</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6）勘察设计费：根据《工程勘察设计收费标准》（2002年修订本）计算本工程各期勘察设计费。其中测量和勘探部分以实物量为准，设计费按照收费标准相关系数分别为水利专业系数0.8、堤防等级为Ⅰ级复杂程度系数1.15、工程为构筑物附加调整系数1.3、预算编制费系数1.1、水工闸门按附表三：非标准设备设计费率表费率中间值14.5%。</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7）工程质量检测费：根据《广东省水利水电工程设计概（估）算编制规定》(试行2017-07-01实施)规定中指出：按工程一至四部分建安工作量的百分率计算。根据工程性质、规模、复杂程度以及需检测项目情况，费率取0.6%～1.0%。当基础处理检测项目较多时，取中高值。本次取0.6%。</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（8）工程保险费：根据《广东省水利水电工程设计概（估）算编制规定》(试行2006-02-09实施)规定中指出：工程保险费按工程第一至第四部分投资合计数的0.45％～0.5％计算。现取为0.45%。</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（9）工程造价咨询服务费：根据《广东省物价局关于调整我省建设工程造价咨询服务收费的复函》（粤价函[2011]742号），分为工程量清单编制费和预算编制费。</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（10）工程前期咨询编制费：根据国家发展改革委、建设部关于印发《水利、水电、电力建设项目前期工作工程勘察收费暂行规定》的通知（发改价格[2006]1352号）。</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（11）施工图技术审查费：根据《国家发展改革委关于降低部分建设项目收费标准规范收费行为等有关问题的通知》（发改价格〔2011〕534号），按工程勘察设计收费标准的6.5%计算。</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（12）本项目为城市基础设施建设项目，属于社会公益事业，工程建设所需资金由政府财政补贴。</w:t>
      </w:r>
    </w:p>
    <w:p>
      <w:pPr>
        <w:pStyle w:val="4"/>
        <w:bidi w:val="0"/>
        <w:ind w:left="575" w:leftChars="0" w:hanging="575" w:firstLineChars="0"/>
        <w:rPr>
          <w:rFonts w:hint="eastAsia" w:ascii="Times New Roman" w:hAnsi="Times New Roman" w:cs="Times New Roman"/>
          <w:highlight w:val="none"/>
          <w:lang w:val="en-US" w:eastAsia="zh-CN"/>
        </w:rPr>
      </w:pPr>
      <w:bookmarkStart w:id="373" w:name="_Toc14133"/>
      <w:bookmarkStart w:id="374" w:name="_Toc11019"/>
      <w:r>
        <w:rPr>
          <w:rFonts w:hint="eastAsia" w:ascii="Times New Roman" w:hAnsi="Times New Roman" w:cs="Times New Roman"/>
          <w:highlight w:val="none"/>
          <w:lang w:val="en-US" w:eastAsia="zh-CN"/>
        </w:rPr>
        <w:t>投资主要指标</w:t>
      </w:r>
      <w:bookmarkEnd w:id="373"/>
      <w:bookmarkEnd w:id="374"/>
    </w:p>
    <w:p>
      <w:pPr>
        <w:bidi w:val="0"/>
        <w:rPr>
          <w:rFonts w:hint="default" w:ascii="Times New Roman" w:hAnsi="Times New Roman" w:cs="Times New Roman" w:eastAsiaTheme="minorEastAsia"/>
          <w:color w:val="auto"/>
          <w:sz w:val="24"/>
          <w:szCs w:val="24"/>
          <w:highlight w:val="none"/>
          <w:lang w:val="en-US" w:eastAsia="zh-CN"/>
        </w:rPr>
      </w:pPr>
      <w:r>
        <w:rPr>
          <w:rFonts w:hint="default" w:ascii="Times New Roman" w:hAnsi="Times New Roman" w:cs="Times New Roman" w:eastAsiaTheme="minorEastAsia"/>
          <w:color w:val="auto"/>
          <w:sz w:val="24"/>
          <w:szCs w:val="24"/>
          <w:highlight w:val="none"/>
          <w:lang w:val="zh-CN" w:eastAsia="zh-CN"/>
        </w:rPr>
        <w:t>经测算，本工程投资主要指标：</w:t>
      </w:r>
      <w:r>
        <w:rPr>
          <w:rFonts w:hint="default" w:ascii="Times New Roman" w:hAnsi="Times New Roman" w:cs="Times New Roman" w:eastAsiaTheme="minorEastAsia"/>
          <w:sz w:val="24"/>
          <w:szCs w:val="24"/>
          <w:highlight w:val="none"/>
          <w:lang w:val="en-US" w:eastAsia="zh-CN"/>
        </w:rPr>
        <w:t>本工程投资主要指标：工程总投资</w:t>
      </w:r>
      <w:r>
        <w:rPr>
          <w:rFonts w:hint="eastAsia" w:cs="Times New Roman" w:eastAsiaTheme="minorEastAsia"/>
          <w:sz w:val="24"/>
          <w:szCs w:val="24"/>
          <w:highlight w:val="none"/>
          <w:lang w:val="en-US" w:eastAsia="zh-CN"/>
        </w:rPr>
        <w:t>279.25</w:t>
      </w:r>
      <w:r>
        <w:rPr>
          <w:rFonts w:hint="default" w:ascii="Times New Roman" w:hAnsi="Times New Roman" w:cs="Times New Roman" w:eastAsiaTheme="minorEastAsia"/>
          <w:sz w:val="24"/>
          <w:szCs w:val="24"/>
          <w:highlight w:val="none"/>
          <w:lang w:val="en-US" w:eastAsia="zh-CN"/>
        </w:rPr>
        <w:t>万元、建安费</w:t>
      </w:r>
      <w:r>
        <w:rPr>
          <w:rFonts w:hint="eastAsia" w:cs="Times New Roman" w:eastAsiaTheme="minorEastAsia"/>
          <w:sz w:val="24"/>
          <w:szCs w:val="24"/>
          <w:highlight w:val="none"/>
          <w:lang w:val="en-US" w:eastAsia="zh-CN"/>
        </w:rPr>
        <w:t>193.14</w:t>
      </w:r>
      <w:r>
        <w:rPr>
          <w:rFonts w:hint="default" w:ascii="Times New Roman" w:hAnsi="Times New Roman" w:cs="Times New Roman" w:eastAsiaTheme="minorEastAsia"/>
          <w:sz w:val="24"/>
          <w:szCs w:val="24"/>
          <w:highlight w:val="none"/>
          <w:lang w:val="en-US" w:eastAsia="zh-CN"/>
        </w:rPr>
        <w:t>万元、监理费6.</w:t>
      </w:r>
      <w:r>
        <w:rPr>
          <w:rFonts w:hint="eastAsia" w:cs="Times New Roman" w:eastAsiaTheme="minorEastAsia"/>
          <w:sz w:val="24"/>
          <w:szCs w:val="24"/>
          <w:highlight w:val="none"/>
          <w:lang w:val="en-US" w:eastAsia="zh-CN"/>
        </w:rPr>
        <w:t>88</w:t>
      </w:r>
      <w:r>
        <w:rPr>
          <w:rFonts w:hint="default" w:ascii="Times New Roman" w:hAnsi="Times New Roman" w:cs="Times New Roman" w:eastAsiaTheme="minorEastAsia"/>
          <w:sz w:val="24"/>
          <w:szCs w:val="24"/>
          <w:highlight w:val="none"/>
          <w:lang w:val="en-US" w:eastAsia="zh-CN"/>
        </w:rPr>
        <w:t>万元、设计费（含预算编制费）</w:t>
      </w:r>
      <w:r>
        <w:rPr>
          <w:rFonts w:hint="eastAsia" w:cs="Times New Roman" w:eastAsiaTheme="minorEastAsia"/>
          <w:sz w:val="24"/>
          <w:szCs w:val="24"/>
          <w:highlight w:val="none"/>
          <w:lang w:val="en-US" w:eastAsia="zh-CN"/>
        </w:rPr>
        <w:t>5</w:t>
      </w:r>
      <w:r>
        <w:rPr>
          <w:rFonts w:hint="default" w:ascii="Times New Roman" w:hAnsi="Times New Roman" w:cs="Times New Roman" w:eastAsiaTheme="minorEastAsia"/>
          <w:sz w:val="24"/>
          <w:szCs w:val="24"/>
          <w:highlight w:val="none"/>
          <w:lang w:val="en-US" w:eastAsia="zh-CN"/>
        </w:rPr>
        <w:t>万元、勘测费5万元、招标代理费1.</w:t>
      </w:r>
      <w:r>
        <w:rPr>
          <w:rFonts w:hint="eastAsia" w:cs="Times New Roman" w:eastAsiaTheme="minorEastAsia"/>
          <w:sz w:val="24"/>
          <w:szCs w:val="24"/>
          <w:highlight w:val="none"/>
          <w:lang w:val="en-US" w:eastAsia="zh-CN"/>
        </w:rPr>
        <w:t>92</w:t>
      </w:r>
      <w:r>
        <w:rPr>
          <w:rFonts w:hint="default" w:ascii="Times New Roman" w:hAnsi="Times New Roman" w:cs="Times New Roman" w:eastAsiaTheme="minorEastAsia"/>
          <w:sz w:val="24"/>
          <w:szCs w:val="24"/>
          <w:highlight w:val="none"/>
          <w:lang w:val="en-US" w:eastAsia="zh-CN"/>
        </w:rPr>
        <w:t>万元、其他费</w:t>
      </w:r>
      <w:r>
        <w:rPr>
          <w:rFonts w:hint="eastAsia" w:cs="Times New Roman" w:eastAsiaTheme="minorEastAsia"/>
          <w:sz w:val="24"/>
          <w:szCs w:val="24"/>
          <w:highlight w:val="none"/>
          <w:lang w:val="en-US" w:eastAsia="zh-CN"/>
        </w:rPr>
        <w:t>67.31</w:t>
      </w:r>
      <w:r>
        <w:rPr>
          <w:rFonts w:hint="default" w:ascii="Times New Roman" w:hAnsi="Times New Roman" w:cs="Times New Roman" w:eastAsiaTheme="minorEastAsia"/>
          <w:sz w:val="24"/>
          <w:szCs w:val="24"/>
          <w:highlight w:val="none"/>
          <w:lang w:val="en-US" w:eastAsia="zh-CN"/>
        </w:rPr>
        <w:t>万元。</w:t>
      </w:r>
    </w:p>
    <w:p>
      <w:pPr>
        <w:pStyle w:val="250"/>
        <w:bidi w:val="0"/>
        <w:rPr>
          <w:rFonts w:hint="default"/>
          <w:highlight w:val="none"/>
          <w:lang w:val="en-US" w:eastAsia="zh-CN"/>
        </w:rPr>
      </w:pPr>
      <w:r>
        <w:rPr>
          <w:rFonts w:hint="default"/>
          <w:highlight w:val="none"/>
          <w:lang w:val="en-US" w:eastAsia="zh-CN"/>
        </w:rPr>
        <w:t>表</w:t>
      </w:r>
      <w:r>
        <w:rPr>
          <w:rFonts w:hint="eastAsia"/>
          <w:highlight w:val="none"/>
          <w:lang w:val="en-US" w:eastAsia="zh-CN"/>
        </w:rPr>
        <w:t>15.3</w:t>
      </w:r>
      <w:r>
        <w:rPr>
          <w:rFonts w:hint="default"/>
          <w:highlight w:val="none"/>
          <w:lang w:val="en-US" w:eastAsia="zh-CN"/>
        </w:rPr>
        <w:t>-1</w:t>
      </w:r>
      <w:r>
        <w:rPr>
          <w:rFonts w:hint="eastAsia"/>
          <w:highlight w:val="none"/>
          <w:lang w:val="en-US" w:eastAsia="zh-CN"/>
        </w:rPr>
        <w:t xml:space="preserve">   </w:t>
      </w:r>
      <w:r>
        <w:rPr>
          <w:rFonts w:hint="default"/>
          <w:highlight w:val="none"/>
          <w:lang w:val="en-US" w:eastAsia="zh-CN"/>
        </w:rPr>
        <w:t>工程概算总表</w:t>
      </w:r>
    </w:p>
    <w:tbl>
      <w:tblPr>
        <w:tblStyle w:val="4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95"/>
        <w:gridCol w:w="3096"/>
        <w:gridCol w:w="3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序号</w:t>
            </w:r>
          </w:p>
        </w:tc>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项目名称</w:t>
            </w:r>
          </w:p>
        </w:tc>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投资/万元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1</w:t>
            </w:r>
          </w:p>
        </w:tc>
        <w:tc>
          <w:tcPr>
            <w:tcW w:w="1666" w:type="pct"/>
            <w:vAlign w:val="center"/>
          </w:tcPr>
          <w:p>
            <w:pPr>
              <w:pStyle w:val="54"/>
              <w:widowControl w:val="0"/>
              <w:bidi w:val="0"/>
              <w:rPr>
                <w:rFonts w:hint="default"/>
                <w:kern w:val="0"/>
                <w:highlight w:val="none"/>
                <w:lang w:val="en-US" w:eastAsia="zh-CN"/>
              </w:rPr>
            </w:pPr>
            <w:r>
              <w:rPr>
                <w:rFonts w:hint="default"/>
                <w:kern w:val="0"/>
                <w:highlight w:val="none"/>
                <w:lang w:val="en-US" w:eastAsia="zh-CN"/>
              </w:rPr>
              <w:t>建安费</w:t>
            </w:r>
          </w:p>
        </w:tc>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193.14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2</w:t>
            </w:r>
          </w:p>
        </w:tc>
        <w:tc>
          <w:tcPr>
            <w:tcW w:w="1666" w:type="pct"/>
            <w:vAlign w:val="center"/>
          </w:tcPr>
          <w:p>
            <w:pPr>
              <w:pStyle w:val="54"/>
              <w:widowControl w:val="0"/>
              <w:bidi w:val="0"/>
              <w:rPr>
                <w:rFonts w:hint="default"/>
                <w:kern w:val="0"/>
                <w:highlight w:val="none"/>
                <w:lang w:val="en-US" w:eastAsia="zh-CN"/>
              </w:rPr>
            </w:pPr>
            <w:r>
              <w:rPr>
                <w:rFonts w:hint="default"/>
                <w:kern w:val="0"/>
                <w:highlight w:val="none"/>
                <w:lang w:val="en-US" w:eastAsia="zh-CN"/>
              </w:rPr>
              <w:t>监理费</w:t>
            </w:r>
          </w:p>
        </w:tc>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6.88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3</w:t>
            </w:r>
          </w:p>
        </w:tc>
        <w:tc>
          <w:tcPr>
            <w:tcW w:w="1666" w:type="pct"/>
            <w:vAlign w:val="center"/>
          </w:tcPr>
          <w:p>
            <w:pPr>
              <w:pStyle w:val="54"/>
              <w:widowControl w:val="0"/>
              <w:bidi w:val="0"/>
              <w:rPr>
                <w:rFonts w:hint="default"/>
                <w:kern w:val="0"/>
                <w:highlight w:val="none"/>
                <w:lang w:val="en-US" w:eastAsia="zh-CN"/>
              </w:rPr>
            </w:pPr>
            <w:r>
              <w:rPr>
                <w:rFonts w:hint="default"/>
                <w:kern w:val="0"/>
                <w:highlight w:val="none"/>
                <w:lang w:val="en-US" w:eastAsia="zh-CN"/>
              </w:rPr>
              <w:t>设计费（含预算编制费</w:t>
            </w:r>
            <w:r>
              <w:rPr>
                <w:rFonts w:hint="eastAsia"/>
                <w:kern w:val="0"/>
                <w:highlight w:val="none"/>
                <w:lang w:val="en-US" w:eastAsia="zh-CN"/>
              </w:rPr>
              <w:t>）</w:t>
            </w:r>
          </w:p>
        </w:tc>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4</w:t>
            </w:r>
          </w:p>
        </w:tc>
        <w:tc>
          <w:tcPr>
            <w:tcW w:w="1666" w:type="pct"/>
            <w:vAlign w:val="center"/>
          </w:tcPr>
          <w:p>
            <w:pPr>
              <w:pStyle w:val="54"/>
              <w:widowControl w:val="0"/>
              <w:bidi w:val="0"/>
              <w:rPr>
                <w:rFonts w:hint="default"/>
                <w:kern w:val="0"/>
                <w:highlight w:val="none"/>
                <w:lang w:val="en-US" w:eastAsia="zh-CN"/>
              </w:rPr>
            </w:pPr>
            <w:r>
              <w:rPr>
                <w:rFonts w:hint="default"/>
                <w:kern w:val="0"/>
                <w:highlight w:val="none"/>
                <w:lang w:val="en-US" w:eastAsia="zh-CN"/>
              </w:rPr>
              <w:t>勘测费</w:t>
            </w:r>
          </w:p>
        </w:tc>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5</w:t>
            </w:r>
          </w:p>
        </w:tc>
        <w:tc>
          <w:tcPr>
            <w:tcW w:w="1666" w:type="pct"/>
            <w:vAlign w:val="center"/>
          </w:tcPr>
          <w:p>
            <w:pPr>
              <w:pStyle w:val="54"/>
              <w:widowControl w:val="0"/>
              <w:bidi w:val="0"/>
              <w:rPr>
                <w:rFonts w:hint="default"/>
                <w:kern w:val="0"/>
                <w:highlight w:val="none"/>
                <w:lang w:val="en-US" w:eastAsia="zh-CN"/>
              </w:rPr>
            </w:pPr>
            <w:r>
              <w:rPr>
                <w:rFonts w:hint="default"/>
                <w:kern w:val="0"/>
                <w:highlight w:val="none"/>
                <w:lang w:val="en-US" w:eastAsia="zh-CN"/>
              </w:rPr>
              <w:t>招标代理费</w:t>
            </w:r>
          </w:p>
        </w:tc>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1.92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6</w:t>
            </w:r>
          </w:p>
        </w:tc>
        <w:tc>
          <w:tcPr>
            <w:tcW w:w="1666" w:type="pct"/>
            <w:vAlign w:val="center"/>
          </w:tcPr>
          <w:p>
            <w:pPr>
              <w:pStyle w:val="54"/>
              <w:widowControl w:val="0"/>
              <w:bidi w:val="0"/>
              <w:rPr>
                <w:rFonts w:hint="default"/>
                <w:kern w:val="0"/>
                <w:highlight w:val="none"/>
                <w:lang w:val="en-US" w:eastAsia="zh-CN"/>
              </w:rPr>
            </w:pPr>
            <w:r>
              <w:rPr>
                <w:rFonts w:hint="default"/>
                <w:kern w:val="0"/>
                <w:highlight w:val="none"/>
                <w:lang w:val="en-US" w:eastAsia="zh-CN"/>
              </w:rPr>
              <w:t>其他费</w:t>
            </w:r>
          </w:p>
        </w:tc>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67.31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7</w:t>
            </w:r>
          </w:p>
        </w:tc>
        <w:tc>
          <w:tcPr>
            <w:tcW w:w="1666" w:type="pct"/>
            <w:vAlign w:val="center"/>
          </w:tcPr>
          <w:p>
            <w:pPr>
              <w:pStyle w:val="54"/>
              <w:widowControl w:val="0"/>
              <w:bidi w:val="0"/>
              <w:rPr>
                <w:rFonts w:hint="default"/>
                <w:kern w:val="0"/>
                <w:highlight w:val="none"/>
                <w:lang w:val="en-US" w:eastAsia="zh-CN"/>
              </w:rPr>
            </w:pPr>
            <w:r>
              <w:rPr>
                <w:rFonts w:hint="default"/>
                <w:kern w:val="0"/>
                <w:highlight w:val="none"/>
                <w:lang w:val="en-US" w:eastAsia="zh-CN"/>
              </w:rPr>
              <w:t>总投资</w:t>
            </w:r>
          </w:p>
        </w:tc>
        <w:tc>
          <w:tcPr>
            <w:tcW w:w="1666" w:type="pct"/>
            <w:vAlign w:val="center"/>
          </w:tcPr>
          <w:p>
            <w:pPr>
              <w:pStyle w:val="54"/>
              <w:widowControl w:val="0"/>
              <w:bidi w:val="0"/>
              <w:rPr>
                <w:rFonts w:hint="default"/>
                <w:kern w:val="0"/>
                <w:highlight w:val="none"/>
                <w:lang w:val="en-US" w:eastAsia="zh-CN"/>
              </w:rPr>
            </w:pPr>
            <w:r>
              <w:rPr>
                <w:rFonts w:hint="eastAsia"/>
                <w:kern w:val="0"/>
                <w:highlight w:val="none"/>
                <w:lang w:val="en-US" w:eastAsia="zh-CN"/>
              </w:rPr>
              <w:t>279.25</w:t>
            </w:r>
          </w:p>
        </w:tc>
      </w:tr>
    </w:tbl>
    <w:p>
      <w:pPr>
        <w:pStyle w:val="54"/>
        <w:bidi w:val="0"/>
        <w:rPr>
          <w:rFonts w:hint="eastAsia" w:ascii="Times New Roman" w:hAnsi="Times New Roman" w:eastAsia="黑体" w:cs="Times New Roman"/>
          <w:highlight w:val="none"/>
          <w:lang w:val="en-US" w:eastAsia="zh-CN"/>
        </w:rPr>
      </w:pPr>
    </w:p>
    <w:p>
      <w:pPr>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br w:type="page"/>
      </w: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eastAsia" w:ascii="Times New Roman" w:hAnsi="Times New Roman" w:cs="Times New Roman"/>
          <w:b/>
          <w:bCs w:val="0"/>
          <w:sz w:val="36"/>
          <w:szCs w:val="36"/>
          <w:lang w:val="en-US" w:eastAsia="zh-CN"/>
        </w:rPr>
      </w:pPr>
      <w:bookmarkStart w:id="375" w:name="_Toc6864"/>
      <w:r>
        <w:rPr>
          <w:rFonts w:hint="eastAsia" w:ascii="Times New Roman" w:hAnsi="Times New Roman" w:cs="Times New Roman"/>
          <w:b/>
          <w:bCs w:val="0"/>
          <w:sz w:val="36"/>
          <w:szCs w:val="36"/>
          <w:lang w:val="en-US" w:eastAsia="zh-CN"/>
        </w:rPr>
        <w:t>经济评价</w:t>
      </w:r>
      <w:bookmarkEnd w:id="375"/>
    </w:p>
    <w:p>
      <w:pPr>
        <w:pStyle w:val="4"/>
        <w:bidi w:val="0"/>
        <w:ind w:left="575" w:leftChars="0" w:hanging="575" w:firstLineChars="0"/>
        <w:rPr>
          <w:rFonts w:hint="eastAsia" w:ascii="Times New Roman" w:hAnsi="Times New Roman" w:cs="Times New Roman"/>
          <w:lang w:val="en-US" w:eastAsia="zh-CN"/>
        </w:rPr>
      </w:pPr>
      <w:bookmarkStart w:id="376" w:name="_Toc27243"/>
      <w:bookmarkStart w:id="377" w:name="_Toc6714"/>
      <w:bookmarkStart w:id="378" w:name="_Toc5380_WPSOffice_Level2"/>
      <w:bookmarkStart w:id="379" w:name="_Toc18966"/>
      <w:bookmarkStart w:id="380" w:name="_Toc21305_WPSOffice_Level2"/>
      <w:r>
        <w:rPr>
          <w:rFonts w:hint="eastAsia" w:ascii="Times New Roman" w:hAnsi="Times New Roman" w:cs="Times New Roman"/>
          <w:lang w:val="en-US" w:eastAsia="zh-CN"/>
        </w:rPr>
        <w:t>经济评价依据</w:t>
      </w:r>
      <w:bookmarkEnd w:id="376"/>
      <w:bookmarkEnd w:id="377"/>
      <w:bookmarkEnd w:id="378"/>
      <w:bookmarkEnd w:id="379"/>
      <w:bookmarkEnd w:id="380"/>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cs="Times New Roman" w:eastAsiaTheme="minorEastAsia"/>
          <w:sz w:val="24"/>
          <w:szCs w:val="24"/>
          <w:highlight w:val="none"/>
          <w:lang w:val="en-US" w:eastAsia="zh-CN"/>
        </w:rPr>
        <w:t>大蕴涌下游出口抢险加固工程</w:t>
      </w:r>
      <w:r>
        <w:rPr>
          <w:rFonts w:hint="eastAsia" w:ascii="Times New Roman" w:hAnsi="Times New Roman" w:cs="Times New Roman" w:eastAsiaTheme="minorEastAsia"/>
          <w:sz w:val="24"/>
          <w:szCs w:val="24"/>
          <w:lang w:val="en-US" w:eastAsia="zh-CN"/>
        </w:rPr>
        <w:t>的实施可以明显提高工程所在地区的排涝能力，对地区经济社会发展和保障人民生产生活和财产生命安全有重大作用。本项目主要的效益包括经济效益和社会效益，因此，本建设项目主要属社会公益型的水利建设项目，社会经济效益大。</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次经济评价的依据为国家计委《建设项目经济评价规程》1994年第二版以及《建设项目经济评价方法与参数（第三版）》、水利部颁布的《水利建设项目经济评价规范》（SL72-2013），从国家宏观的角度，研究工程建设在经济上的合理性与可行性，进行国民经济评价。</w:t>
      </w:r>
    </w:p>
    <w:p>
      <w:pPr>
        <w:pStyle w:val="4"/>
        <w:bidi w:val="0"/>
        <w:ind w:left="575" w:leftChars="0" w:hanging="575" w:firstLineChars="0"/>
        <w:rPr>
          <w:rFonts w:hint="eastAsia" w:ascii="Times New Roman" w:hAnsi="Times New Roman" w:cs="Times New Roman"/>
          <w:lang w:val="en-US" w:eastAsia="zh-CN"/>
        </w:rPr>
      </w:pPr>
      <w:bookmarkStart w:id="381" w:name="_Toc23473"/>
      <w:bookmarkStart w:id="382" w:name="_Toc3026_WPSOffice_Level2"/>
      <w:bookmarkStart w:id="383" w:name="_Toc11632"/>
      <w:bookmarkStart w:id="384" w:name="_Toc8235"/>
      <w:bookmarkStart w:id="385" w:name="_Toc13779_WPSOffice_Level2"/>
      <w:r>
        <w:rPr>
          <w:rFonts w:hint="eastAsia" w:ascii="Times New Roman" w:hAnsi="Times New Roman" w:cs="Times New Roman"/>
          <w:lang w:val="en-US" w:eastAsia="zh-CN"/>
        </w:rPr>
        <w:t>国民经济评价</w:t>
      </w:r>
      <w:bookmarkEnd w:id="381"/>
      <w:bookmarkEnd w:id="382"/>
      <w:bookmarkEnd w:id="383"/>
      <w:bookmarkEnd w:id="384"/>
      <w:bookmarkEnd w:id="385"/>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本次主要对本工程作国民经济评价。国民经济评价是从国家整体利益出发，计算项目的效益费用，考察工程对国民经济的贡献，衡量项目建设在经济上的合理性。</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bookmarkStart w:id="386" w:name="_Toc3574_WPSOffice_Level3"/>
      <w:r>
        <w:rPr>
          <w:rFonts w:hint="eastAsia" w:ascii="Times New Roman" w:hAnsi="Times New Roman" w:cs="Times New Roman" w:eastAsiaTheme="minorEastAsia"/>
          <w:sz w:val="24"/>
          <w:szCs w:val="24"/>
          <w:lang w:val="en-US" w:eastAsia="zh-CN"/>
        </w:rPr>
        <w:t>（1）社会折现率、计算期及基准年</w:t>
      </w:r>
      <w:bookmarkEnd w:id="386"/>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水利工程兼有社会公益性质，社会折现率采用8%进行评价，工程运行期为30年，施工期1年，计算期为31年（含施工期1年），计算基准年为工程开工第一年年初。</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bookmarkStart w:id="387" w:name="_Toc12569_WPSOffice_Level3"/>
      <w:r>
        <w:rPr>
          <w:rFonts w:hint="eastAsia" w:ascii="Times New Roman" w:hAnsi="Times New Roman" w:cs="Times New Roman" w:eastAsiaTheme="minorEastAsia"/>
          <w:sz w:val="24"/>
          <w:szCs w:val="24"/>
          <w:lang w:val="en-US" w:eastAsia="zh-CN"/>
        </w:rPr>
        <w:t>（2）影子投资</w:t>
      </w:r>
      <w:bookmarkEnd w:id="387"/>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本项目工程主要费用包括项目的固定资产投资和年运行费，工程总投资为</w:t>
      </w:r>
      <w:r>
        <w:rPr>
          <w:rFonts w:hint="eastAsia" w:cs="Times New Roman" w:eastAsiaTheme="minorEastAsia"/>
          <w:sz w:val="24"/>
          <w:szCs w:val="24"/>
          <w:lang w:val="en-US" w:eastAsia="zh-CN"/>
        </w:rPr>
        <w:t>267.5</w:t>
      </w:r>
      <w:r>
        <w:rPr>
          <w:rFonts w:hint="eastAsia" w:ascii="Times New Roman" w:hAnsi="Times New Roman" w:cs="Times New Roman" w:eastAsiaTheme="minorEastAsia"/>
          <w:sz w:val="24"/>
          <w:szCs w:val="24"/>
          <w:lang w:val="en-US" w:eastAsia="zh-CN"/>
        </w:rPr>
        <w:t>万元，剔除属于国民经济内部转移支付的计划利润、税金等作为工程的影子投资，得工程影子投资为</w:t>
      </w:r>
      <w:r>
        <w:rPr>
          <w:rFonts w:hint="eastAsia" w:cs="Times New Roman" w:eastAsiaTheme="minorEastAsia"/>
          <w:sz w:val="24"/>
          <w:szCs w:val="24"/>
          <w:lang w:val="en-US" w:eastAsia="zh-CN"/>
        </w:rPr>
        <w:t>191.23</w:t>
      </w:r>
      <w:r>
        <w:rPr>
          <w:rFonts w:hint="eastAsia" w:ascii="Times New Roman" w:hAnsi="Times New Roman" w:cs="Times New Roman" w:eastAsiaTheme="minorEastAsia"/>
          <w:sz w:val="24"/>
          <w:szCs w:val="24"/>
          <w:lang w:val="en-US" w:eastAsia="zh-CN"/>
        </w:rPr>
        <w:t>万元。</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bookmarkStart w:id="388" w:name="_Toc5149_WPSOffice_Level3"/>
      <w:r>
        <w:rPr>
          <w:rFonts w:hint="eastAsia" w:ascii="Times New Roman" w:hAnsi="Times New Roman" w:cs="Times New Roman" w:eastAsiaTheme="minorEastAsia"/>
          <w:sz w:val="24"/>
          <w:szCs w:val="24"/>
          <w:lang w:val="en-US" w:eastAsia="zh-CN"/>
        </w:rPr>
        <w:t>（3）年运行费</w:t>
      </w:r>
      <w:bookmarkEnd w:id="388"/>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①管理维护费用包括人工费、材料费、工程维护费、其它直接费等，每年约10万元。</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因此，本工程年运行费用为</w:t>
      </w:r>
      <w:r>
        <w:rPr>
          <w:rFonts w:hint="eastAsia" w:cs="Times New Roman" w:eastAsiaTheme="minorEastAsia"/>
          <w:sz w:val="24"/>
          <w:szCs w:val="24"/>
          <w:lang w:val="en-US" w:eastAsia="zh-CN"/>
        </w:rPr>
        <w:t>1</w:t>
      </w:r>
      <w:r>
        <w:rPr>
          <w:rFonts w:hint="eastAsia" w:ascii="Times New Roman" w:hAnsi="Times New Roman" w:cs="Times New Roman" w:eastAsiaTheme="minorEastAsia"/>
          <w:sz w:val="24"/>
          <w:szCs w:val="24"/>
          <w:lang w:val="en-US" w:eastAsia="zh-CN"/>
        </w:rPr>
        <w:t>万元。</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bookmarkStart w:id="389" w:name="_Toc19131_WPSOffice_Level3"/>
      <w:r>
        <w:rPr>
          <w:rFonts w:hint="eastAsia" w:ascii="Times New Roman" w:hAnsi="Times New Roman" w:cs="Times New Roman" w:eastAsiaTheme="minorEastAsia"/>
          <w:sz w:val="24"/>
          <w:szCs w:val="24"/>
          <w:lang w:val="en-US" w:eastAsia="zh-CN"/>
        </w:rPr>
        <w:t>（4）工程效益</w:t>
      </w:r>
      <w:bookmarkEnd w:id="389"/>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本建设项目主要属社会公益型的水利建设项目，社会经济效益大。经估算，工程建设完成后，明显提高了工程所在地区的排涝能力，改善了片区内群众、企业的生产生活条件，避免了洪涝灾害产生的经济损失。根据近年来</w:t>
      </w:r>
      <w:r>
        <w:rPr>
          <w:rFonts w:hint="eastAsia" w:cs="Times New Roman" w:eastAsiaTheme="minorEastAsia"/>
          <w:sz w:val="24"/>
          <w:szCs w:val="24"/>
          <w:lang w:val="en-US" w:eastAsia="zh-CN"/>
        </w:rPr>
        <w:t>大蕴</w:t>
      </w:r>
      <w:r>
        <w:rPr>
          <w:rFonts w:hint="eastAsia" w:ascii="Times New Roman" w:hAnsi="Times New Roman" w:cs="Times New Roman" w:eastAsiaTheme="minorEastAsia"/>
          <w:sz w:val="24"/>
          <w:szCs w:val="24"/>
          <w:lang w:val="en-US" w:eastAsia="zh-CN"/>
        </w:rPr>
        <w:t>涌流域内受洪涝灾害的损失情况，初步统计本项目的工程效益为15万元/年。</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bookmarkStart w:id="390" w:name="_Toc30992_WPSOffice_Level3"/>
      <w:r>
        <w:rPr>
          <w:rFonts w:hint="eastAsia" w:ascii="Times New Roman" w:hAnsi="Times New Roman" w:cs="Times New Roman" w:eastAsiaTheme="minorEastAsia"/>
          <w:sz w:val="24"/>
          <w:szCs w:val="24"/>
          <w:lang w:val="en-US" w:eastAsia="zh-CN"/>
        </w:rPr>
        <w:t>（5）经济评价计算</w:t>
      </w:r>
      <w:bookmarkEnd w:id="390"/>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①主要指标</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a.经济内部收益率（EIRR）</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drawing>
          <wp:inline distT="0" distB="0" distL="114300" distR="114300">
            <wp:extent cx="1685925" cy="457200"/>
            <wp:effectExtent l="0" t="0" r="0" b="0"/>
            <wp:docPr id="3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8"/>
                    <pic:cNvPicPr>
                      <a:picLocks noChangeAspect="1"/>
                    </pic:cNvPicPr>
                  </pic:nvPicPr>
                  <pic:blipFill>
                    <a:blip r:embed="rId107"/>
                    <a:stretch>
                      <a:fillRect/>
                    </a:stretch>
                  </pic:blipFill>
                  <pic:spPr>
                    <a:xfrm>
                      <a:off x="0" y="0"/>
                      <a:ext cx="1685925" cy="45720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式中B———年效益，万元</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C———年费用，万元</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n———计算期，年</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b.经济净现值（ENPV）</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drawing>
          <wp:inline distT="0" distB="0" distL="114300" distR="114300">
            <wp:extent cx="1828800" cy="457200"/>
            <wp:effectExtent l="0" t="0" r="0" b="0"/>
            <wp:docPr id="58"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9"/>
                    <pic:cNvPicPr>
                      <a:picLocks noChangeAspect="1"/>
                    </pic:cNvPicPr>
                  </pic:nvPicPr>
                  <pic:blipFill>
                    <a:blip r:embed="rId108"/>
                    <a:stretch>
                      <a:fillRect/>
                    </a:stretch>
                  </pic:blipFill>
                  <pic:spPr>
                    <a:xfrm>
                      <a:off x="0" y="0"/>
                      <a:ext cx="1828800" cy="45720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式中：is———社会折现率，8%。</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c.经济效益费用比（EBCR）</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drawing>
          <wp:inline distT="0" distB="0" distL="114300" distR="114300">
            <wp:extent cx="1438275" cy="847725"/>
            <wp:effectExtent l="0" t="0" r="9525" b="8890"/>
            <wp:docPr id="59"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10"/>
                    <pic:cNvPicPr>
                      <a:picLocks noChangeAspect="1"/>
                    </pic:cNvPicPr>
                  </pic:nvPicPr>
                  <pic:blipFill>
                    <a:blip r:embed="rId109"/>
                    <a:stretch>
                      <a:fillRect/>
                    </a:stretch>
                  </pic:blipFill>
                  <pic:spPr>
                    <a:xfrm>
                      <a:off x="0" y="0"/>
                      <a:ext cx="1438275" cy="84772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drawing>
          <wp:inline distT="0" distB="0" distL="114300" distR="114300">
            <wp:extent cx="1438275" cy="847725"/>
            <wp:effectExtent l="0" t="0" r="9525" b="8890"/>
            <wp:docPr id="60"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11"/>
                    <pic:cNvPicPr>
                      <a:picLocks noChangeAspect="1"/>
                    </pic:cNvPicPr>
                  </pic:nvPicPr>
                  <pic:blipFill>
                    <a:blip r:embed="rId109"/>
                    <a:stretch>
                      <a:fillRect/>
                    </a:stretch>
                  </pic:blipFill>
                  <pic:spPr>
                    <a:xfrm>
                      <a:off x="0" y="0"/>
                      <a:ext cx="1438275" cy="84772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color w:val="auto"/>
          <w:sz w:val="24"/>
          <w:szCs w:val="24"/>
          <w:highlight w:val="none"/>
          <w:lang w:val="en-US" w:eastAsia="zh-CN"/>
        </w:rPr>
      </w:pPr>
      <w:r>
        <w:rPr>
          <w:rFonts w:hint="eastAsia" w:ascii="Times New Roman" w:hAnsi="Times New Roman" w:cs="Times New Roman" w:eastAsiaTheme="minorEastAsia"/>
          <w:color w:val="auto"/>
          <w:sz w:val="24"/>
          <w:szCs w:val="24"/>
          <w:highlight w:val="none"/>
          <w:lang w:val="en-US" w:eastAsia="zh-CN"/>
        </w:rPr>
        <w:t>经测算，项目经济内部收益率EIRR=</w:t>
      </w:r>
      <w:r>
        <w:rPr>
          <w:rFonts w:hint="eastAsia" w:cs="Times New Roman" w:eastAsiaTheme="minorEastAsia"/>
          <w:color w:val="auto"/>
          <w:sz w:val="24"/>
          <w:szCs w:val="24"/>
          <w:highlight w:val="none"/>
          <w:lang w:val="en-US" w:eastAsia="zh-CN"/>
        </w:rPr>
        <w:t>2.86</w:t>
      </w:r>
      <w:r>
        <w:rPr>
          <w:rFonts w:hint="eastAsia" w:ascii="Times New Roman" w:hAnsi="Times New Roman" w:cs="Times New Roman" w:eastAsiaTheme="minorEastAsia"/>
          <w:color w:val="auto"/>
          <w:sz w:val="24"/>
          <w:szCs w:val="24"/>
          <w:highlight w:val="none"/>
          <w:lang w:val="en-US" w:eastAsia="zh-CN"/>
        </w:rPr>
        <w:t>%，按is=8%测算的经济效益费用比EBCR为1.</w:t>
      </w:r>
      <w:r>
        <w:rPr>
          <w:rFonts w:hint="eastAsia" w:cs="Times New Roman" w:eastAsiaTheme="minorEastAsia"/>
          <w:color w:val="auto"/>
          <w:sz w:val="24"/>
          <w:szCs w:val="24"/>
          <w:highlight w:val="none"/>
          <w:lang w:val="en-US" w:eastAsia="zh-CN"/>
        </w:rPr>
        <w:t>0</w:t>
      </w:r>
      <w:r>
        <w:rPr>
          <w:rFonts w:hint="eastAsia" w:ascii="Times New Roman" w:hAnsi="Times New Roman" w:cs="Times New Roman" w:eastAsiaTheme="minorEastAsia"/>
          <w:color w:val="auto"/>
          <w:sz w:val="24"/>
          <w:szCs w:val="24"/>
          <w:highlight w:val="none"/>
          <w:lang w:val="en-US" w:eastAsia="zh-CN"/>
        </w:rPr>
        <w:t>7，大于1；经济净现值ENPV为</w:t>
      </w:r>
      <w:r>
        <w:rPr>
          <w:rFonts w:hint="eastAsia" w:cs="Times New Roman" w:eastAsiaTheme="minorEastAsia"/>
          <w:color w:val="auto"/>
          <w:sz w:val="24"/>
          <w:szCs w:val="24"/>
          <w:highlight w:val="none"/>
          <w:lang w:val="en-US" w:eastAsia="zh-CN"/>
        </w:rPr>
        <w:t>33.23</w:t>
      </w:r>
      <w:r>
        <w:rPr>
          <w:rFonts w:hint="eastAsia" w:ascii="Times New Roman" w:hAnsi="Times New Roman" w:cs="Times New Roman" w:eastAsiaTheme="minorEastAsia"/>
          <w:color w:val="auto"/>
          <w:sz w:val="24"/>
          <w:szCs w:val="24"/>
          <w:highlight w:val="none"/>
          <w:lang w:val="en-US" w:eastAsia="zh-CN"/>
        </w:rPr>
        <w:t>万元，大于0。各项经济评价指标说明本项目有较好的经济效果，因此，本项目在经济上是可行的。</w:t>
      </w:r>
    </w:p>
    <w:p>
      <w:pPr>
        <w:rPr>
          <w:rFonts w:hint="eastAsia"/>
          <w:lang w:val="en-US" w:eastAsia="zh-CN"/>
        </w:rPr>
      </w:pPr>
      <w:r>
        <w:rPr>
          <w:rFonts w:hint="eastAsia" w:ascii="Times New Roman" w:hAnsi="Times New Roman" w:cs="Times New Roman"/>
          <w:b/>
          <w:bCs w:val="0"/>
          <w:sz w:val="36"/>
          <w:szCs w:val="36"/>
          <w:lang w:val="en-US" w:eastAsia="zh-CN"/>
        </w:rPr>
        <w:br w:type="page"/>
      </w:r>
    </w:p>
    <w:p>
      <w:pPr>
        <w:pStyle w:val="3"/>
        <w:keepNext w:val="0"/>
        <w:keepLines w:val="0"/>
        <w:pageBreakBefore w:val="0"/>
        <w:widowControl/>
        <w:kinsoku/>
        <w:wordWrap/>
        <w:overflowPunct/>
        <w:topLinePunct w:val="0"/>
        <w:autoSpaceDE/>
        <w:autoSpaceDN/>
        <w:bidi w:val="0"/>
        <w:adjustRightInd/>
        <w:snapToGrid/>
        <w:spacing w:before="0" w:beforeLines="0" w:after="0" w:line="360" w:lineRule="auto"/>
        <w:ind w:left="0" w:leftChars="0" w:firstLine="0" w:firstLineChars="0"/>
        <w:jc w:val="left"/>
        <w:textAlignment w:val="auto"/>
        <w:rPr>
          <w:rFonts w:hint="eastAsia" w:ascii="Times New Roman" w:hAnsi="Times New Roman" w:cs="Times New Roman"/>
          <w:b/>
          <w:bCs w:val="0"/>
          <w:sz w:val="36"/>
          <w:szCs w:val="36"/>
          <w:lang w:val="en-US" w:eastAsia="zh-CN"/>
        </w:rPr>
      </w:pPr>
      <w:bookmarkStart w:id="391" w:name="_Toc10510"/>
      <w:r>
        <w:rPr>
          <w:rFonts w:hint="eastAsia" w:ascii="Times New Roman" w:hAnsi="Times New Roman" w:cs="Times New Roman"/>
          <w:b/>
          <w:bCs w:val="0"/>
          <w:sz w:val="36"/>
          <w:szCs w:val="36"/>
          <w:lang w:val="en-US" w:eastAsia="zh-CN"/>
        </w:rPr>
        <w:t>结论与建议</w:t>
      </w:r>
      <w:bookmarkEnd w:id="391"/>
    </w:p>
    <w:p>
      <w:pPr>
        <w:pStyle w:val="4"/>
        <w:bidi w:val="0"/>
        <w:ind w:left="575" w:leftChars="0" w:hanging="575" w:firstLineChars="0"/>
        <w:rPr>
          <w:rFonts w:hint="eastAsia" w:ascii="Times New Roman" w:hAnsi="Times New Roman" w:cs="Times New Roman"/>
          <w:lang w:val="en-US" w:eastAsia="zh-CN"/>
        </w:rPr>
      </w:pPr>
      <w:bookmarkStart w:id="392" w:name="_Toc15186"/>
      <w:bookmarkStart w:id="393" w:name="_Toc6564"/>
      <w:r>
        <w:rPr>
          <w:rFonts w:hint="eastAsia" w:ascii="Times New Roman" w:hAnsi="Times New Roman" w:cs="Times New Roman"/>
          <w:lang w:val="en-US" w:eastAsia="zh-CN"/>
        </w:rPr>
        <w:t>结论</w:t>
      </w:r>
      <w:bookmarkEnd w:id="392"/>
      <w:bookmarkEnd w:id="393"/>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color w:val="auto"/>
          <w:sz w:val="24"/>
          <w:szCs w:val="24"/>
          <w:lang w:val="en-US" w:eastAsia="zh-CN"/>
        </w:rPr>
      </w:pPr>
      <w:r>
        <w:rPr>
          <w:rFonts w:hint="eastAsia" w:cs="Times New Roman" w:eastAsiaTheme="minorEastAsia"/>
          <w:color w:val="auto"/>
          <w:sz w:val="24"/>
          <w:szCs w:val="24"/>
          <w:lang w:val="en-US" w:eastAsia="zh-CN"/>
        </w:rPr>
        <w:t>大蕴涌河堤路面发生沉降开裂，局部挡墙发生位移变形，存在较大的安全隐患，对河堤岸顶的房屋可能存在影响，影响村民安全出入。</w:t>
      </w:r>
      <w:r>
        <w:rPr>
          <w:rFonts w:hint="eastAsia" w:ascii="Times New Roman" w:hAnsi="Times New Roman" w:cs="Times New Roman" w:eastAsiaTheme="minorEastAsia"/>
          <w:color w:val="auto"/>
          <w:sz w:val="24"/>
          <w:szCs w:val="24"/>
          <w:lang w:val="en-US" w:eastAsia="zh-CN"/>
        </w:rPr>
        <w:t>对当地居民群众生产生活产生较大不利影响。</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color w:val="auto"/>
          <w:sz w:val="24"/>
          <w:szCs w:val="24"/>
          <w:lang w:val="en-US" w:eastAsia="zh-CN"/>
        </w:rPr>
      </w:pPr>
      <w:r>
        <w:rPr>
          <w:rFonts w:hint="eastAsia" w:ascii="Times New Roman" w:hAnsi="Times New Roman" w:cs="Times New Roman" w:eastAsiaTheme="minorEastAsia"/>
          <w:color w:val="auto"/>
          <w:sz w:val="24"/>
          <w:szCs w:val="24"/>
          <w:lang w:val="en-US" w:eastAsia="zh-CN"/>
        </w:rPr>
        <w:t>工程建成后，将有效提高区域</w:t>
      </w:r>
      <w:r>
        <w:rPr>
          <w:rFonts w:hint="eastAsia" w:cs="Times New Roman" w:eastAsiaTheme="minorEastAsia"/>
          <w:color w:val="auto"/>
          <w:sz w:val="24"/>
          <w:szCs w:val="24"/>
          <w:lang w:val="en-US" w:eastAsia="zh-CN"/>
        </w:rPr>
        <w:t>边坡稳定性</w:t>
      </w:r>
      <w:r>
        <w:rPr>
          <w:rFonts w:hint="eastAsia" w:ascii="Times New Roman" w:hAnsi="Times New Roman" w:cs="Times New Roman" w:eastAsiaTheme="minorEastAsia"/>
          <w:color w:val="auto"/>
          <w:sz w:val="24"/>
          <w:szCs w:val="24"/>
          <w:lang w:val="en-US" w:eastAsia="zh-CN"/>
        </w:rPr>
        <w:t>，缓解区域洪涝灾害威胁，解决了城市发展的后顾之忧，保障了人民生命财产的安全，有利于促进区域经济和社会的可持续发展。</w:t>
      </w:r>
    </w:p>
    <w:p>
      <w:pPr>
        <w:pStyle w:val="4"/>
        <w:bidi w:val="0"/>
        <w:ind w:left="575" w:leftChars="0" w:hanging="575" w:firstLineChars="0"/>
        <w:rPr>
          <w:rFonts w:hint="eastAsia" w:ascii="Times New Roman" w:hAnsi="Times New Roman" w:cs="Times New Roman"/>
          <w:lang w:val="en-US" w:eastAsia="zh-CN"/>
        </w:rPr>
      </w:pPr>
      <w:bookmarkStart w:id="394" w:name="_Toc24640"/>
      <w:bookmarkStart w:id="395" w:name="_Toc4772"/>
      <w:r>
        <w:rPr>
          <w:rFonts w:hint="eastAsia" w:ascii="Times New Roman" w:hAnsi="Times New Roman" w:cs="Times New Roman"/>
          <w:lang w:val="en-US" w:eastAsia="zh-CN"/>
        </w:rPr>
        <w:t>建议</w:t>
      </w:r>
      <w:bookmarkEnd w:id="394"/>
      <w:bookmarkEnd w:id="395"/>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color w:val="auto"/>
          <w:sz w:val="24"/>
          <w:szCs w:val="24"/>
          <w:lang w:val="zh-CN" w:eastAsia="zh-CN"/>
        </w:rPr>
      </w:pPr>
      <w:r>
        <w:rPr>
          <w:rFonts w:hint="default" w:ascii="Times New Roman" w:hAnsi="Times New Roman" w:cs="Times New Roman" w:eastAsiaTheme="minorEastAsia"/>
          <w:color w:val="auto"/>
          <w:sz w:val="24"/>
          <w:szCs w:val="24"/>
          <w:lang w:val="zh-CN" w:eastAsia="zh-CN"/>
        </w:rPr>
        <w:t>建议提前开展工程清违、清障、占地补偿等前期准备工作，以便在初步设计批复后马上进行施工招投标，争取在枯水期开工建设，尽早发挥工程效益。</w:t>
      </w:r>
    </w:p>
    <w:p>
      <w:pPr>
        <w:rPr>
          <w:rFonts w:hint="default" w:ascii="Times New Roman" w:hAnsi="Times New Roman" w:cs="Times New Roman" w:eastAsiaTheme="minorEastAsia"/>
          <w:color w:val="auto"/>
          <w:sz w:val="24"/>
          <w:szCs w:val="24"/>
          <w:lang w:val="zh-CN" w:eastAsia="zh-CN"/>
        </w:rPr>
      </w:pPr>
      <w:r>
        <w:rPr>
          <w:rFonts w:hint="default" w:ascii="Times New Roman" w:hAnsi="Times New Roman" w:cs="Times New Roman" w:eastAsiaTheme="minorEastAsia"/>
          <w:color w:val="auto"/>
          <w:sz w:val="24"/>
          <w:szCs w:val="24"/>
          <w:lang w:val="zh-CN" w:eastAsia="zh-CN"/>
        </w:rPr>
        <w:br w:type="page"/>
      </w:r>
    </w:p>
    <w:p>
      <w:pPr>
        <w:pStyle w:val="3"/>
        <w:numPr>
          <w:ilvl w:val="0"/>
          <w:numId w:val="0"/>
        </w:numPr>
        <w:bidi w:val="0"/>
        <w:jc w:val="both"/>
        <w:rPr>
          <w:rFonts w:hint="default"/>
          <w:lang w:val="en-US" w:eastAsia="zh-CN"/>
        </w:rPr>
      </w:pPr>
      <w:bookmarkStart w:id="396" w:name="_Toc32660"/>
      <w:bookmarkStart w:id="397" w:name="_Toc15171"/>
      <w:bookmarkStart w:id="398" w:name="_Toc17835"/>
      <w:r>
        <w:rPr>
          <w:rFonts w:hint="eastAsia"/>
          <w:lang w:val="en-US" w:eastAsia="zh-CN"/>
        </w:rPr>
        <w:t>附件一 海绵城市图表</w:t>
      </w:r>
      <w:bookmarkEnd w:id="396"/>
      <w:bookmarkEnd w:id="397"/>
      <w:bookmarkEnd w:id="398"/>
    </w:p>
    <w:p>
      <w:pPr>
        <w:pStyle w:val="250"/>
        <w:bidi w:val="0"/>
      </w:pPr>
      <w:r>
        <w:t>附表1 建设项目海绵城市目标取值计算表</w:t>
      </w:r>
    </w:p>
    <w:tbl>
      <w:tblPr>
        <w:tblStyle w:val="4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603"/>
        <w:gridCol w:w="717"/>
        <w:gridCol w:w="1615"/>
        <w:gridCol w:w="2339"/>
        <w:gridCol w:w="998"/>
        <w:gridCol w:w="708"/>
        <w:gridCol w:w="1134"/>
        <w:gridCol w:w="9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6" w:hRule="atLeast"/>
        </w:trPr>
        <w:tc>
          <w:tcPr>
            <w:tcW w:w="331"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指标</w:t>
            </w:r>
          </w:p>
          <w:p>
            <w:pPr>
              <w:pStyle w:val="54"/>
              <w:keepNext w:val="0"/>
              <w:keepLines w:val="0"/>
              <w:suppressLineNumbers w:val="0"/>
              <w:bidi w:val="0"/>
              <w:spacing w:before="0" w:beforeAutospacing="0" w:after="0" w:afterAutospacing="0"/>
              <w:ind w:right="0"/>
              <w:rPr>
                <w:rFonts w:hint="eastAsia"/>
              </w:rPr>
            </w:pPr>
            <w:r>
              <w:rPr>
                <w:rFonts w:hint="eastAsia"/>
              </w:rPr>
              <w:t>类型</w:t>
            </w:r>
          </w:p>
        </w:tc>
        <w:tc>
          <w:tcPr>
            <w:tcW w:w="394"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序号</w:t>
            </w:r>
          </w:p>
        </w:tc>
        <w:tc>
          <w:tcPr>
            <w:tcW w:w="887"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指标名称</w:t>
            </w:r>
          </w:p>
        </w:tc>
        <w:tc>
          <w:tcPr>
            <w:tcW w:w="2845" w:type="pct"/>
            <w:gridSpan w:val="4"/>
            <w:vAlign w:val="center"/>
          </w:tcPr>
          <w:p>
            <w:pPr>
              <w:pStyle w:val="54"/>
              <w:keepNext w:val="0"/>
              <w:keepLines w:val="0"/>
              <w:suppressLineNumbers w:val="0"/>
              <w:bidi w:val="0"/>
              <w:spacing w:before="0" w:beforeAutospacing="0" w:after="0" w:afterAutospacing="0"/>
              <w:ind w:right="0"/>
              <w:rPr>
                <w:rFonts w:hint="eastAsia"/>
              </w:rPr>
            </w:pPr>
            <w:r>
              <w:rPr>
                <w:rFonts w:hint="eastAsia"/>
              </w:rPr>
              <w:t>影响因素</w:t>
            </w:r>
          </w:p>
        </w:tc>
        <w:tc>
          <w:tcPr>
            <w:tcW w:w="540"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目标值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14" w:hRule="atLeast"/>
        </w:trPr>
        <w:tc>
          <w:tcPr>
            <w:tcW w:w="331"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强</w:t>
            </w:r>
          </w:p>
          <w:p>
            <w:pPr>
              <w:pStyle w:val="54"/>
              <w:keepNext w:val="0"/>
              <w:keepLines w:val="0"/>
              <w:suppressLineNumbers w:val="0"/>
              <w:bidi w:val="0"/>
              <w:spacing w:before="0" w:beforeAutospacing="0" w:after="0" w:afterAutospacing="0"/>
              <w:ind w:right="0"/>
              <w:rPr>
                <w:rFonts w:hint="eastAsia"/>
              </w:rPr>
            </w:pPr>
            <w:r>
              <w:rPr>
                <w:rFonts w:hint="eastAsia"/>
              </w:rPr>
              <w:t>制</w:t>
            </w:r>
          </w:p>
          <w:p>
            <w:pPr>
              <w:pStyle w:val="54"/>
              <w:keepNext w:val="0"/>
              <w:keepLines w:val="0"/>
              <w:suppressLineNumbers w:val="0"/>
              <w:bidi w:val="0"/>
              <w:spacing w:before="0" w:beforeAutospacing="0" w:after="0" w:afterAutospacing="0"/>
              <w:ind w:right="0"/>
              <w:rPr>
                <w:rFonts w:hint="eastAsia"/>
              </w:rPr>
            </w:pPr>
            <w:r>
              <w:rPr>
                <w:rFonts w:hint="eastAsia"/>
              </w:rPr>
              <w:t>性</w:t>
            </w:r>
          </w:p>
        </w:tc>
        <w:tc>
          <w:tcPr>
            <w:tcW w:w="394"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1</w:t>
            </w:r>
          </w:p>
        </w:tc>
        <w:tc>
          <w:tcPr>
            <w:tcW w:w="887"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年径流总量控制率</w:t>
            </w:r>
          </w:p>
        </w:tc>
        <w:tc>
          <w:tcPr>
            <w:tcW w:w="1285"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用地</w:t>
            </w:r>
          </w:p>
          <w:p>
            <w:pPr>
              <w:pStyle w:val="54"/>
              <w:keepNext w:val="0"/>
              <w:keepLines w:val="0"/>
              <w:suppressLineNumbers w:val="0"/>
              <w:bidi w:val="0"/>
              <w:spacing w:before="0" w:beforeAutospacing="0" w:after="0" w:afterAutospacing="0"/>
              <w:ind w:right="0"/>
              <w:rPr>
                <w:rFonts w:hint="eastAsia"/>
              </w:rPr>
            </w:pPr>
            <w:r>
              <w:rPr>
                <w:rFonts w:hint="eastAsia"/>
              </w:rPr>
              <w:t>性质</w:t>
            </w:r>
          </w:p>
        </w:tc>
        <w:tc>
          <w:tcPr>
            <w:tcW w:w="548"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排水</w:t>
            </w:r>
          </w:p>
          <w:p>
            <w:pPr>
              <w:pStyle w:val="54"/>
              <w:keepNext w:val="0"/>
              <w:keepLines w:val="0"/>
              <w:suppressLineNumbers w:val="0"/>
              <w:bidi w:val="0"/>
              <w:spacing w:before="0" w:beforeAutospacing="0" w:after="0" w:afterAutospacing="0"/>
              <w:ind w:right="0"/>
              <w:rPr>
                <w:rFonts w:hint="eastAsia"/>
              </w:rPr>
            </w:pPr>
            <w:r>
              <w:rPr>
                <w:rFonts w:hint="eastAsia"/>
              </w:rPr>
              <w:t>分区</w:t>
            </w:r>
          </w:p>
        </w:tc>
        <w:tc>
          <w:tcPr>
            <w:tcW w:w="1011"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内涝风险</w:t>
            </w:r>
          </w:p>
          <w:p>
            <w:pPr>
              <w:pStyle w:val="54"/>
              <w:keepNext w:val="0"/>
              <w:keepLines w:val="0"/>
              <w:suppressLineNumbers w:val="0"/>
              <w:bidi w:val="0"/>
              <w:spacing w:before="0" w:beforeAutospacing="0" w:after="0" w:afterAutospacing="0"/>
              <w:ind w:right="0"/>
              <w:rPr>
                <w:rFonts w:hint="eastAsia"/>
              </w:rPr>
            </w:pPr>
            <w:r>
              <w:rPr>
                <w:rFonts w:hint="eastAsia"/>
              </w:rPr>
              <w:t>等级</w:t>
            </w:r>
          </w:p>
        </w:tc>
        <w:tc>
          <w:tcPr>
            <w:tcW w:w="540"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lang w:val="en-US" w:eastAsia="zh-CN"/>
              </w:rPr>
              <w:t>58.7</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702"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887"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1285"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公共设施类</w:t>
            </w:r>
          </w:p>
        </w:tc>
        <w:tc>
          <w:tcPr>
            <w:tcW w:w="548" w:type="pct"/>
            <w:vAlign w:val="center"/>
          </w:tcPr>
          <w:p>
            <w:pPr>
              <w:pStyle w:val="54"/>
              <w:keepNext w:val="0"/>
              <w:keepLines w:val="0"/>
              <w:suppressLineNumbers w:val="0"/>
              <w:bidi w:val="0"/>
              <w:spacing w:before="0" w:beforeAutospacing="0" w:after="0" w:afterAutospacing="0"/>
              <w:ind w:right="0"/>
              <w:rPr>
                <w:rFonts w:hint="eastAsia"/>
              </w:rPr>
            </w:pPr>
            <w:r>
              <w:rPr>
                <w:rFonts w:hint="eastAsia"/>
                <w:lang w:eastAsia="zh-CN"/>
              </w:rPr>
              <w:t>市桥河</w:t>
            </w:r>
            <w:r>
              <w:rPr>
                <w:rFonts w:hint="eastAsia"/>
              </w:rPr>
              <w:t>排涝区</w:t>
            </w:r>
          </w:p>
        </w:tc>
        <w:tc>
          <w:tcPr>
            <w:tcW w:w="388"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高 □</w:t>
            </w:r>
          </w:p>
          <w:p>
            <w:pPr>
              <w:pStyle w:val="54"/>
              <w:keepNext w:val="0"/>
              <w:keepLines w:val="0"/>
              <w:suppressLineNumbers w:val="0"/>
              <w:bidi w:val="0"/>
              <w:spacing w:before="0" w:beforeAutospacing="0" w:after="0" w:afterAutospacing="0"/>
              <w:ind w:right="0"/>
              <w:rPr>
                <w:rFonts w:hint="eastAsia"/>
              </w:rPr>
            </w:pPr>
            <w:r>
              <w:rPr>
                <w:rFonts w:hint="eastAsia"/>
              </w:rPr>
              <w:t>中 □</w:t>
            </w:r>
          </w:p>
          <w:p>
            <w:pPr>
              <w:pStyle w:val="54"/>
              <w:keepNext w:val="0"/>
              <w:keepLines w:val="0"/>
              <w:suppressLineNumbers w:val="0"/>
              <w:bidi w:val="0"/>
              <w:spacing w:before="0" w:beforeAutospacing="0" w:after="0" w:afterAutospacing="0"/>
              <w:ind w:right="0"/>
              <w:rPr>
                <w:rFonts w:hint="eastAsia"/>
              </w:rPr>
            </w:pPr>
            <w:r>
              <w:rPr>
                <w:rFonts w:hint="eastAsia"/>
              </w:rPr>
              <w:t xml:space="preserve">低 </w:t>
            </w:r>
            <w:r>
              <w:rPr>
                <w:rFonts w:hint="eastAsia"/>
              </w:rPr>
              <w:sym w:font="Wingdings 2" w:char="F052"/>
            </w:r>
          </w:p>
        </w:tc>
        <w:tc>
          <w:tcPr>
            <w:tcW w:w="622"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高 □</w:t>
            </w:r>
          </w:p>
          <w:p>
            <w:pPr>
              <w:pStyle w:val="54"/>
              <w:keepNext w:val="0"/>
              <w:keepLines w:val="0"/>
              <w:suppressLineNumbers w:val="0"/>
              <w:bidi w:val="0"/>
              <w:spacing w:before="0" w:beforeAutospacing="0" w:after="0" w:afterAutospacing="0"/>
              <w:ind w:right="0"/>
              <w:rPr>
                <w:rFonts w:hint="eastAsia"/>
              </w:rPr>
            </w:pPr>
            <w:r>
              <w:rPr>
                <w:rFonts w:hint="eastAsia"/>
              </w:rPr>
              <w:t>中 □</w:t>
            </w:r>
          </w:p>
          <w:p>
            <w:pPr>
              <w:pStyle w:val="54"/>
              <w:keepNext w:val="0"/>
              <w:keepLines w:val="0"/>
              <w:suppressLineNumbers w:val="0"/>
              <w:bidi w:val="0"/>
              <w:spacing w:before="0" w:beforeAutospacing="0" w:after="0" w:afterAutospacing="0"/>
              <w:ind w:right="0"/>
              <w:rPr>
                <w:rFonts w:hint="eastAsia"/>
              </w:rPr>
            </w:pPr>
            <w:r>
              <w:rPr>
                <w:rFonts w:hint="eastAsia"/>
              </w:rPr>
              <w:t xml:space="preserve">低 </w:t>
            </w:r>
            <w:r>
              <w:rPr>
                <w:rFonts w:hint="eastAsia"/>
              </w:rPr>
              <w:sym w:font="Wingdings 2" w:char="F052"/>
            </w:r>
          </w:p>
        </w:tc>
        <w:tc>
          <w:tcPr>
            <w:tcW w:w="540" w:type="pct"/>
            <w:vMerge w:val="continue"/>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716"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2</w:t>
            </w:r>
          </w:p>
        </w:tc>
        <w:tc>
          <w:tcPr>
            <w:tcW w:w="887"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雨水管网设计暴雨重现期（年）</w:t>
            </w:r>
          </w:p>
        </w:tc>
        <w:tc>
          <w:tcPr>
            <w:tcW w:w="2845" w:type="pct"/>
            <w:gridSpan w:val="4"/>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40"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6"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3</w:t>
            </w:r>
          </w:p>
        </w:tc>
        <w:tc>
          <w:tcPr>
            <w:tcW w:w="887"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峰值径流系数</w:t>
            </w:r>
          </w:p>
        </w:tc>
        <w:tc>
          <w:tcPr>
            <w:tcW w:w="2845" w:type="pct"/>
            <w:gridSpan w:val="4"/>
            <w:vAlign w:val="center"/>
          </w:tcPr>
          <w:p>
            <w:pPr>
              <w:pStyle w:val="54"/>
              <w:keepNext w:val="0"/>
              <w:keepLines w:val="0"/>
              <w:suppressLineNumbers w:val="0"/>
              <w:bidi w:val="0"/>
              <w:spacing w:before="0" w:beforeAutospacing="0" w:after="0" w:afterAutospacing="0"/>
              <w:ind w:right="0"/>
              <w:rPr>
                <w:rFonts w:hint="eastAsia"/>
              </w:rPr>
            </w:pPr>
            <w:r>
              <w:rPr>
                <w:rFonts w:hint="eastAsia"/>
              </w:rPr>
              <w:t>区位</w:t>
            </w:r>
          </w:p>
        </w:tc>
        <w:tc>
          <w:tcPr>
            <w:tcW w:w="540" w:type="pct"/>
            <w:vMerge w:val="restart"/>
            <w:vAlign w:val="center"/>
          </w:tcPr>
          <w:p>
            <w:pPr>
              <w:pStyle w:val="54"/>
              <w:keepNext w:val="0"/>
              <w:keepLines w:val="0"/>
              <w:suppressLineNumbers w:val="0"/>
              <w:bidi w:val="0"/>
              <w:spacing w:before="0" w:beforeAutospacing="0" w:after="0" w:afterAutospacing="0"/>
              <w:ind w:right="0"/>
              <w:rPr>
                <w:rFonts w:hint="default" w:eastAsia="宋体"/>
                <w:lang w:val="en-US" w:eastAsia="zh-CN"/>
              </w:rPr>
            </w:pPr>
            <w:r>
              <w:rPr>
                <w:rFonts w:hint="eastAsia"/>
              </w:rPr>
              <w:t>0.</w:t>
            </w:r>
            <w:r>
              <w:rPr>
                <w:rFonts w:hint="eastAsia"/>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13"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887"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22"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居住用地</w:t>
            </w:r>
          </w:p>
        </w:tc>
        <w:tc>
          <w:tcPr>
            <w:tcW w:w="622"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40" w:type="pct"/>
            <w:vMerge w:val="continue"/>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70"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887"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22"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公共管理与</w:t>
            </w:r>
          </w:p>
          <w:p>
            <w:pPr>
              <w:pStyle w:val="54"/>
              <w:keepNext w:val="0"/>
              <w:keepLines w:val="0"/>
              <w:suppressLineNumbers w:val="0"/>
              <w:bidi w:val="0"/>
              <w:spacing w:before="0" w:beforeAutospacing="0" w:after="0" w:afterAutospacing="0"/>
              <w:ind w:right="0"/>
              <w:rPr>
                <w:rFonts w:hint="eastAsia"/>
              </w:rPr>
            </w:pPr>
            <w:r>
              <w:rPr>
                <w:rFonts w:hint="eastAsia"/>
              </w:rPr>
              <w:t>公共服务用地</w:t>
            </w:r>
          </w:p>
        </w:tc>
        <w:tc>
          <w:tcPr>
            <w:tcW w:w="622"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40" w:type="pct"/>
            <w:vMerge w:val="continue"/>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887"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22"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商业服务业用地</w:t>
            </w:r>
          </w:p>
        </w:tc>
        <w:tc>
          <w:tcPr>
            <w:tcW w:w="622"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40" w:type="pct"/>
            <w:vMerge w:val="continue"/>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887"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22"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工业用地</w:t>
            </w:r>
          </w:p>
        </w:tc>
        <w:tc>
          <w:tcPr>
            <w:tcW w:w="622"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40" w:type="pct"/>
            <w:vMerge w:val="continue"/>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887"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22"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物流仓储用地</w:t>
            </w:r>
          </w:p>
        </w:tc>
        <w:tc>
          <w:tcPr>
            <w:tcW w:w="622"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40" w:type="pct"/>
            <w:vMerge w:val="continue"/>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77"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887"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22"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交通及公用设施用地</w:t>
            </w:r>
          </w:p>
        </w:tc>
        <w:tc>
          <w:tcPr>
            <w:tcW w:w="622"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40" w:type="pct"/>
            <w:vMerge w:val="continue"/>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38"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887"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22"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绿地</w:t>
            </w:r>
          </w:p>
        </w:tc>
        <w:tc>
          <w:tcPr>
            <w:tcW w:w="622"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40" w:type="pct"/>
            <w:vMerge w:val="continue"/>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9"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887"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22"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其他用地</w:t>
            </w:r>
          </w:p>
        </w:tc>
        <w:tc>
          <w:tcPr>
            <w:tcW w:w="622"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40" w:type="pct"/>
            <w:vMerge w:val="continue"/>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82"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4</w:t>
            </w:r>
          </w:p>
        </w:tc>
        <w:tc>
          <w:tcPr>
            <w:tcW w:w="887"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透水铺装率</w:t>
            </w:r>
          </w:p>
        </w:tc>
        <w:tc>
          <w:tcPr>
            <w:tcW w:w="2845" w:type="pct"/>
            <w:gridSpan w:val="4"/>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40"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73"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5</w:t>
            </w:r>
          </w:p>
        </w:tc>
        <w:tc>
          <w:tcPr>
            <w:tcW w:w="887"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面源污染削减率</w:t>
            </w:r>
          </w:p>
        </w:tc>
        <w:tc>
          <w:tcPr>
            <w:tcW w:w="2845" w:type="pct"/>
            <w:gridSpan w:val="4"/>
            <w:vAlign w:val="center"/>
          </w:tcPr>
          <w:p>
            <w:pPr>
              <w:pStyle w:val="54"/>
              <w:keepNext w:val="0"/>
              <w:keepLines w:val="0"/>
              <w:suppressLineNumbers w:val="0"/>
              <w:bidi w:val="0"/>
              <w:spacing w:before="0" w:beforeAutospacing="0" w:after="0" w:afterAutospacing="0"/>
              <w:ind w:right="0"/>
              <w:rPr>
                <w:rFonts w:hint="eastAsia"/>
              </w:rPr>
            </w:pPr>
            <w:r>
              <w:rPr>
                <w:rFonts w:hint="eastAsia"/>
              </w:rPr>
              <w:t>所在汇水区</w:t>
            </w:r>
          </w:p>
        </w:tc>
        <w:tc>
          <w:tcPr>
            <w:tcW w:w="540"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98"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887"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845" w:type="pct"/>
            <w:gridSpan w:val="4"/>
            <w:vAlign w:val="center"/>
          </w:tcPr>
          <w:p>
            <w:pPr>
              <w:pStyle w:val="54"/>
              <w:keepNext w:val="0"/>
              <w:keepLines w:val="0"/>
              <w:suppressLineNumbers w:val="0"/>
              <w:bidi w:val="0"/>
              <w:spacing w:before="0" w:beforeAutospacing="0" w:after="0" w:afterAutospacing="0"/>
              <w:ind w:right="0"/>
              <w:rPr>
                <w:rFonts w:hint="eastAsia"/>
              </w:rPr>
            </w:pPr>
            <w:r>
              <w:rPr>
                <w:rFonts w:hint="eastAsia"/>
              </w:rPr>
              <w:t>Ⅱ类、Ⅲ类湖泊汇水区  □</w:t>
            </w:r>
          </w:p>
          <w:p>
            <w:pPr>
              <w:pStyle w:val="54"/>
              <w:keepNext w:val="0"/>
              <w:keepLines w:val="0"/>
              <w:suppressLineNumbers w:val="0"/>
              <w:bidi w:val="0"/>
              <w:spacing w:before="0" w:beforeAutospacing="0" w:after="0" w:afterAutospacing="0"/>
              <w:ind w:right="0"/>
              <w:rPr>
                <w:rFonts w:hint="eastAsia"/>
              </w:rPr>
            </w:pPr>
            <w:r>
              <w:rPr>
                <w:rFonts w:hint="eastAsia"/>
              </w:rPr>
              <w:t>Ⅳ类湖泊汇水区        □</w:t>
            </w:r>
          </w:p>
          <w:p>
            <w:pPr>
              <w:pStyle w:val="54"/>
              <w:keepNext w:val="0"/>
              <w:keepLines w:val="0"/>
              <w:suppressLineNumbers w:val="0"/>
              <w:bidi w:val="0"/>
              <w:spacing w:before="0" w:beforeAutospacing="0" w:after="0" w:afterAutospacing="0"/>
              <w:ind w:right="0"/>
              <w:rPr>
                <w:rFonts w:hint="eastAsia"/>
              </w:rPr>
            </w:pPr>
            <w:r>
              <w:rPr>
                <w:rFonts w:hint="eastAsia"/>
              </w:rPr>
              <w:t xml:space="preserve">其他汇水区            </w:t>
            </w:r>
            <w:r>
              <w:rPr>
                <w:rFonts w:hint="eastAsia"/>
              </w:rPr>
              <w:sym w:font="Wingdings 2" w:char="F052"/>
            </w:r>
          </w:p>
        </w:tc>
        <w:tc>
          <w:tcPr>
            <w:tcW w:w="540" w:type="pct"/>
            <w:vMerge w:val="continue"/>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790" w:hRule="atLeast"/>
        </w:trPr>
        <w:tc>
          <w:tcPr>
            <w:tcW w:w="331" w:type="pct"/>
            <w:vAlign w:val="center"/>
          </w:tcPr>
          <w:p>
            <w:pPr>
              <w:pStyle w:val="54"/>
              <w:keepNext w:val="0"/>
              <w:keepLines w:val="0"/>
              <w:suppressLineNumbers w:val="0"/>
              <w:bidi w:val="0"/>
              <w:spacing w:before="0" w:beforeAutospacing="0" w:after="0" w:afterAutospacing="0"/>
              <w:ind w:right="0"/>
              <w:rPr>
                <w:rFonts w:hint="eastAsia"/>
              </w:rPr>
            </w:pPr>
          </w:p>
        </w:tc>
        <w:tc>
          <w:tcPr>
            <w:tcW w:w="394"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6</w:t>
            </w:r>
          </w:p>
        </w:tc>
        <w:tc>
          <w:tcPr>
            <w:tcW w:w="887"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下沉式绿地率</w:t>
            </w:r>
          </w:p>
        </w:tc>
        <w:tc>
          <w:tcPr>
            <w:tcW w:w="2845" w:type="pct"/>
            <w:gridSpan w:val="4"/>
            <w:vAlign w:val="center"/>
          </w:tcPr>
          <w:p>
            <w:pPr>
              <w:pStyle w:val="54"/>
              <w:keepNext w:val="0"/>
              <w:keepLines w:val="0"/>
              <w:suppressLineNumbers w:val="0"/>
              <w:bidi w:val="0"/>
              <w:spacing w:before="0" w:beforeAutospacing="0" w:after="0" w:afterAutospacing="0"/>
              <w:ind w:right="0"/>
              <w:rPr>
                <w:rFonts w:hint="eastAsia"/>
              </w:rPr>
            </w:pPr>
            <w:r>
              <w:rPr>
                <w:rFonts w:hint="eastAsia"/>
              </w:rPr>
              <w:t>新建建设项目为强制性指标</w:t>
            </w:r>
          </w:p>
          <w:p>
            <w:pPr>
              <w:pStyle w:val="54"/>
              <w:keepNext w:val="0"/>
              <w:keepLines w:val="0"/>
              <w:suppressLineNumbers w:val="0"/>
              <w:bidi w:val="0"/>
              <w:spacing w:before="0" w:beforeAutospacing="0" w:after="0" w:afterAutospacing="0"/>
              <w:ind w:right="0"/>
              <w:rPr>
                <w:rFonts w:hint="eastAsia"/>
              </w:rPr>
            </w:pPr>
            <w:r>
              <w:rPr>
                <w:rFonts w:hint="eastAsia"/>
              </w:rPr>
              <w:t>改造建设项目为引导性指标</w:t>
            </w:r>
          </w:p>
        </w:tc>
        <w:tc>
          <w:tcPr>
            <w:tcW w:w="540"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044" w:hRule="atLeast"/>
        </w:trPr>
        <w:tc>
          <w:tcPr>
            <w:tcW w:w="331"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引</w:t>
            </w:r>
          </w:p>
          <w:p>
            <w:pPr>
              <w:pStyle w:val="54"/>
              <w:keepNext w:val="0"/>
              <w:keepLines w:val="0"/>
              <w:suppressLineNumbers w:val="0"/>
              <w:bidi w:val="0"/>
              <w:spacing w:before="0" w:beforeAutospacing="0" w:after="0" w:afterAutospacing="0"/>
              <w:ind w:right="0"/>
              <w:rPr>
                <w:rFonts w:hint="eastAsia"/>
              </w:rPr>
            </w:pPr>
            <w:r>
              <w:rPr>
                <w:rFonts w:hint="eastAsia"/>
              </w:rPr>
              <w:t>导</w:t>
            </w:r>
          </w:p>
          <w:p>
            <w:pPr>
              <w:pStyle w:val="54"/>
              <w:keepNext w:val="0"/>
              <w:keepLines w:val="0"/>
              <w:suppressLineNumbers w:val="0"/>
              <w:bidi w:val="0"/>
              <w:spacing w:before="0" w:beforeAutospacing="0" w:after="0" w:afterAutospacing="0"/>
              <w:ind w:right="0"/>
              <w:rPr>
                <w:rFonts w:hint="eastAsia"/>
              </w:rPr>
            </w:pPr>
            <w:r>
              <w:rPr>
                <w:rFonts w:hint="eastAsia"/>
              </w:rPr>
              <w:t>性</w:t>
            </w:r>
          </w:p>
        </w:tc>
        <w:tc>
          <w:tcPr>
            <w:tcW w:w="394"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7</w:t>
            </w:r>
          </w:p>
        </w:tc>
        <w:tc>
          <w:tcPr>
            <w:tcW w:w="887"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雨水资源化利用量占其绿化浇洒、</w:t>
            </w:r>
          </w:p>
          <w:p>
            <w:pPr>
              <w:pStyle w:val="54"/>
              <w:keepNext w:val="0"/>
              <w:keepLines w:val="0"/>
              <w:suppressLineNumbers w:val="0"/>
              <w:bidi w:val="0"/>
              <w:spacing w:before="0" w:beforeAutospacing="0" w:after="0" w:afterAutospacing="0"/>
              <w:ind w:right="0"/>
              <w:rPr>
                <w:rFonts w:hint="eastAsia"/>
              </w:rPr>
            </w:pPr>
            <w:r>
              <w:rPr>
                <w:rFonts w:hint="eastAsia"/>
              </w:rPr>
              <w:t>道路冲洗和其他生态用水总量比</w:t>
            </w:r>
          </w:p>
        </w:tc>
        <w:tc>
          <w:tcPr>
            <w:tcW w:w="2845" w:type="pct"/>
            <w:gridSpan w:val="4"/>
            <w:vAlign w:val="center"/>
          </w:tcPr>
          <w:p>
            <w:pPr>
              <w:pStyle w:val="54"/>
              <w:keepNext w:val="0"/>
              <w:keepLines w:val="0"/>
              <w:suppressLineNumbers w:val="0"/>
              <w:bidi w:val="0"/>
              <w:spacing w:before="0" w:beforeAutospacing="0" w:after="0" w:afterAutospacing="0"/>
              <w:ind w:right="0"/>
              <w:rPr>
                <w:rFonts w:hint="eastAsia"/>
              </w:rPr>
            </w:pPr>
            <w:r>
              <w:rPr>
                <w:rFonts w:hint="eastAsia"/>
              </w:rPr>
              <w:t>项目类别：公共绿化   □</w:t>
            </w:r>
          </w:p>
          <w:p>
            <w:pPr>
              <w:pStyle w:val="54"/>
              <w:keepNext w:val="0"/>
              <w:keepLines w:val="0"/>
              <w:suppressLineNumbers w:val="0"/>
              <w:bidi w:val="0"/>
              <w:spacing w:before="0" w:beforeAutospacing="0" w:after="0" w:afterAutospacing="0"/>
              <w:ind w:right="0"/>
              <w:rPr>
                <w:rFonts w:hint="eastAsia"/>
              </w:rPr>
            </w:pPr>
            <w:r>
              <w:rPr>
                <w:rFonts w:hint="eastAsia"/>
              </w:rPr>
              <w:t xml:space="preserve">          建筑与小区 □</w:t>
            </w:r>
          </w:p>
          <w:p>
            <w:pPr>
              <w:pStyle w:val="54"/>
              <w:keepNext w:val="0"/>
              <w:keepLines w:val="0"/>
              <w:suppressLineNumbers w:val="0"/>
              <w:bidi w:val="0"/>
              <w:spacing w:before="0" w:beforeAutospacing="0" w:after="0" w:afterAutospacing="0"/>
              <w:ind w:right="0"/>
              <w:rPr>
                <w:rFonts w:hint="eastAsia"/>
              </w:rPr>
            </w:pPr>
            <w:r>
              <w:rPr>
                <w:rFonts w:hint="eastAsia"/>
                <w:lang w:val="en-US" w:eastAsia="zh-CN"/>
              </w:rPr>
              <w:t xml:space="preserve">          </w:t>
            </w:r>
            <w:r>
              <w:rPr>
                <w:rFonts w:hint="eastAsia"/>
              </w:rPr>
              <w:t>城市道路   □</w:t>
            </w:r>
          </w:p>
        </w:tc>
        <w:tc>
          <w:tcPr>
            <w:tcW w:w="540"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059" w:hRule="atLeast"/>
        </w:trPr>
        <w:tc>
          <w:tcPr>
            <w:tcW w:w="331"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394"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8</w:t>
            </w:r>
          </w:p>
        </w:tc>
        <w:tc>
          <w:tcPr>
            <w:tcW w:w="887"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绿色屋顶率</w:t>
            </w:r>
          </w:p>
          <w:p>
            <w:pPr>
              <w:pStyle w:val="54"/>
              <w:keepNext w:val="0"/>
              <w:keepLines w:val="0"/>
              <w:suppressLineNumbers w:val="0"/>
              <w:bidi w:val="0"/>
              <w:spacing w:before="0" w:beforeAutospacing="0" w:after="0" w:afterAutospacing="0"/>
              <w:ind w:right="0"/>
              <w:rPr>
                <w:rFonts w:hint="eastAsia"/>
              </w:rPr>
            </w:pPr>
            <w:r>
              <w:rPr>
                <w:rFonts w:hint="eastAsia"/>
              </w:rPr>
              <w:t>（仅建筑与小区项目需要）</w:t>
            </w:r>
          </w:p>
        </w:tc>
        <w:tc>
          <w:tcPr>
            <w:tcW w:w="2845" w:type="pct"/>
            <w:gridSpan w:val="4"/>
            <w:vAlign w:val="center"/>
          </w:tcPr>
          <w:p>
            <w:pPr>
              <w:pStyle w:val="54"/>
              <w:keepNext w:val="0"/>
              <w:keepLines w:val="0"/>
              <w:suppressLineNumbers w:val="0"/>
              <w:bidi w:val="0"/>
              <w:spacing w:before="0" w:beforeAutospacing="0" w:after="0" w:afterAutospacing="0"/>
              <w:ind w:right="0"/>
              <w:rPr>
                <w:rFonts w:hint="eastAsia"/>
              </w:rPr>
            </w:pPr>
          </w:p>
        </w:tc>
        <w:tc>
          <w:tcPr>
            <w:tcW w:w="540"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r>
    </w:tbl>
    <w:p>
      <w:r>
        <w:br w:type="page"/>
      </w:r>
    </w:p>
    <w:p>
      <w:pPr>
        <w:pStyle w:val="250"/>
        <w:bidi w:val="0"/>
      </w:pPr>
      <w:r>
        <w:t>附表</w:t>
      </w:r>
      <w:r>
        <w:rPr>
          <w:rFonts w:hint="eastAsia"/>
        </w:rPr>
        <w:t xml:space="preserve">2 </w:t>
      </w:r>
      <w:r>
        <w:t>建设项目海绵城市专项</w:t>
      </w:r>
      <w:r>
        <w:rPr>
          <w:rFonts w:hint="eastAsia"/>
        </w:rPr>
        <w:t>设计方案自评表</w:t>
      </w:r>
    </w:p>
    <w:tbl>
      <w:tblPr>
        <w:tblStyle w:val="44"/>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9"/>
        <w:gridCol w:w="1181"/>
        <w:gridCol w:w="514"/>
        <w:gridCol w:w="4087"/>
        <w:gridCol w:w="342"/>
        <w:gridCol w:w="1027"/>
        <w:gridCol w:w="509"/>
        <w:gridCol w:w="10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3" w:type="pct"/>
            <w:gridSpan w:val="6"/>
          </w:tcPr>
          <w:p>
            <w:pPr>
              <w:pStyle w:val="54"/>
              <w:keepNext w:val="0"/>
              <w:keepLines w:val="0"/>
              <w:suppressLineNumbers w:val="0"/>
              <w:bidi w:val="0"/>
              <w:spacing w:before="0" w:beforeAutospacing="0" w:after="0" w:afterAutospacing="0"/>
              <w:ind w:right="0"/>
              <w:rPr>
                <w:rFonts w:hint="eastAsia"/>
              </w:rPr>
            </w:pPr>
            <w:r>
              <w:rPr>
                <w:rFonts w:hint="eastAsia"/>
              </w:rPr>
              <w:t>指标</w:t>
            </w:r>
          </w:p>
        </w:tc>
        <w:tc>
          <w:tcPr>
            <w:tcW w:w="836" w:type="pct"/>
            <w:gridSpan w:val="2"/>
          </w:tcPr>
          <w:p>
            <w:pPr>
              <w:pStyle w:val="54"/>
              <w:keepNext w:val="0"/>
              <w:keepLines w:val="0"/>
              <w:suppressLineNumbers w:val="0"/>
              <w:bidi w:val="0"/>
              <w:spacing w:before="0" w:beforeAutospacing="0" w:after="0" w:afterAutospacing="0"/>
              <w:ind w:right="0"/>
              <w:rPr>
                <w:rFonts w:hint="eastAsia"/>
              </w:rPr>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下</w:t>
            </w:r>
          </w:p>
          <w:p>
            <w:pPr>
              <w:pStyle w:val="54"/>
              <w:keepNext w:val="0"/>
              <w:keepLines w:val="0"/>
              <w:suppressLineNumbers w:val="0"/>
              <w:bidi w:val="0"/>
              <w:spacing w:before="0" w:beforeAutospacing="0" w:after="0" w:afterAutospacing="0"/>
              <w:ind w:right="0"/>
              <w:rPr>
                <w:rFonts w:hint="eastAsia"/>
              </w:rPr>
            </w:pPr>
            <w:r>
              <w:rPr>
                <w:rFonts w:hint="eastAsia"/>
              </w:rPr>
              <w:t>垫</w:t>
            </w:r>
          </w:p>
          <w:p>
            <w:pPr>
              <w:pStyle w:val="54"/>
              <w:keepNext w:val="0"/>
              <w:keepLines w:val="0"/>
              <w:suppressLineNumbers w:val="0"/>
              <w:bidi w:val="0"/>
              <w:spacing w:before="0" w:beforeAutospacing="0" w:after="0" w:afterAutospacing="0"/>
              <w:ind w:right="0"/>
              <w:rPr>
                <w:rFonts w:hint="eastAsia"/>
              </w:rPr>
            </w:pPr>
            <w:r>
              <w:rPr>
                <w:rFonts w:hint="eastAsia"/>
              </w:rPr>
              <w:t>面</w:t>
            </w:r>
          </w:p>
          <w:p>
            <w:pPr>
              <w:pStyle w:val="54"/>
              <w:keepNext w:val="0"/>
              <w:keepLines w:val="0"/>
              <w:suppressLineNumbers w:val="0"/>
              <w:bidi w:val="0"/>
              <w:spacing w:before="0" w:beforeAutospacing="0" w:after="0" w:afterAutospacing="0"/>
              <w:ind w:right="0"/>
              <w:rPr>
                <w:rFonts w:hint="eastAsia"/>
              </w:rPr>
            </w:pPr>
            <w:r>
              <w:rPr>
                <w:rFonts w:hint="eastAsia"/>
              </w:rPr>
              <w:t>解</w:t>
            </w:r>
          </w:p>
          <w:p>
            <w:pPr>
              <w:pStyle w:val="54"/>
              <w:keepNext w:val="0"/>
              <w:keepLines w:val="0"/>
              <w:suppressLineNumbers w:val="0"/>
              <w:bidi w:val="0"/>
              <w:spacing w:before="0" w:beforeAutospacing="0" w:after="0" w:afterAutospacing="0"/>
              <w:ind w:right="0"/>
              <w:rPr>
                <w:rFonts w:hint="eastAsia"/>
              </w:rPr>
            </w:pPr>
            <w:r>
              <w:rPr>
                <w:rFonts w:hint="eastAsia"/>
              </w:rPr>
              <w:t>析</w:t>
            </w:r>
          </w:p>
          <w:p>
            <w:pPr>
              <w:pStyle w:val="54"/>
              <w:keepNext w:val="0"/>
              <w:keepLines w:val="0"/>
              <w:suppressLineNumbers w:val="0"/>
              <w:bidi w:val="0"/>
              <w:spacing w:before="0" w:beforeAutospacing="0" w:after="0" w:afterAutospacing="0"/>
              <w:ind w:right="0"/>
              <w:rPr>
                <w:rFonts w:hint="eastAsia"/>
              </w:rPr>
            </w:pPr>
          </w:p>
        </w:tc>
        <w:tc>
          <w:tcPr>
            <w:tcW w:w="3114" w:type="pct"/>
            <w:gridSpan w:val="3"/>
          </w:tcPr>
          <w:p>
            <w:pPr>
              <w:pStyle w:val="54"/>
              <w:keepNext w:val="0"/>
              <w:keepLines w:val="0"/>
              <w:suppressLineNumbers w:val="0"/>
              <w:bidi w:val="0"/>
              <w:spacing w:before="0" w:beforeAutospacing="0" w:after="0" w:afterAutospacing="0"/>
              <w:ind w:right="0"/>
              <w:rPr>
                <w:rFonts w:hint="eastAsia"/>
                <w:lang w:eastAsia="zh-CN"/>
              </w:rPr>
            </w:pPr>
            <w:r>
              <w:rPr>
                <w:rFonts w:hint="eastAsia"/>
              </w:rPr>
              <w:t>项目用地总面积（m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val="en-US" w:eastAsia="zh-CN"/>
              </w:rPr>
              <w:t>1960.74</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屋顶</w:t>
            </w: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总面积（m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val="en-US" w:eastAsia="zh-CN"/>
              </w:rPr>
              <w:t>0</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屋面绿化面积（m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lang w:val="en-US" w:eastAsia="zh-CN"/>
              </w:rPr>
              <w:t>0</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其他软化屋面面积（m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机动车道路</w:t>
            </w: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总面积（m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val="en-US" w:eastAsia="zh-CN"/>
              </w:rPr>
              <w:t>623.25</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可渗透道路面积（m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default" w:eastAsia="宋体"/>
                <w:lang w:val="en-US" w:eastAsia="zh-CN"/>
              </w:rPr>
            </w:pPr>
            <w:r>
              <w:rPr>
                <w:rFonts w:hint="eastAsia"/>
                <w:lang w:val="en-US" w:eastAsia="zh-CN"/>
              </w:rPr>
              <w:t>623.25</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铺装地面</w:t>
            </w: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总面积（m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default"/>
                <w:lang w:val="en-US"/>
              </w:rPr>
            </w:pPr>
            <w:r>
              <w:rPr>
                <w:rFonts w:hint="eastAsia"/>
                <w:lang w:val="en-US" w:eastAsia="zh-CN"/>
              </w:rPr>
              <w:t>105.49</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植草砖铺装面积（m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其他渗透铺装面积（m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default"/>
                <w:lang w:val="en-US"/>
              </w:rPr>
            </w:pPr>
            <w:r>
              <w:rPr>
                <w:rFonts w:hint="eastAsia"/>
                <w:lang w:val="en-US" w:eastAsia="zh-CN"/>
              </w:rPr>
              <w:t>105.49</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绿化</w:t>
            </w: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总面积（m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val="en-US" w:eastAsia="zh-CN"/>
              </w:rPr>
              <w:t>323.15</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continue"/>
          </w:tcPr>
          <w:p>
            <w:pPr>
              <w:pStyle w:val="54"/>
              <w:keepNext w:val="0"/>
              <w:keepLines w:val="0"/>
              <w:suppressLineNumbers w:val="0"/>
              <w:bidi w:val="0"/>
              <w:spacing w:before="0" w:beforeAutospacing="0" w:after="0" w:afterAutospacing="0"/>
              <w:ind w:right="0"/>
              <w:rPr>
                <w:rFonts w:hint="eastAsia"/>
              </w:rPr>
            </w:pP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水体面积（m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val="en-US" w:eastAsia="zh-CN"/>
              </w:rPr>
              <w:t>908.85</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continue"/>
          </w:tcPr>
          <w:p>
            <w:pPr>
              <w:pStyle w:val="54"/>
              <w:keepNext w:val="0"/>
              <w:keepLines w:val="0"/>
              <w:suppressLineNumbers w:val="0"/>
              <w:bidi w:val="0"/>
              <w:spacing w:before="0" w:beforeAutospacing="0" w:after="0" w:afterAutospacing="0"/>
              <w:ind w:right="0"/>
              <w:rPr>
                <w:rFonts w:hint="eastAsia"/>
              </w:rPr>
            </w:pP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生物滞留设施面积（m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val="en-US" w:eastAsia="zh-CN"/>
              </w:rPr>
              <w:t>0</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continue"/>
          </w:tcPr>
          <w:p>
            <w:pPr>
              <w:pStyle w:val="54"/>
              <w:keepNext w:val="0"/>
              <w:keepLines w:val="0"/>
              <w:suppressLineNumbers w:val="0"/>
              <w:bidi w:val="0"/>
              <w:spacing w:before="0" w:beforeAutospacing="0" w:after="0" w:afterAutospacing="0"/>
              <w:ind w:right="0"/>
              <w:rPr>
                <w:rFonts w:hint="eastAsia"/>
              </w:rPr>
            </w:pP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雨水花园面积（m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continue"/>
          </w:tcPr>
          <w:p>
            <w:pPr>
              <w:pStyle w:val="54"/>
              <w:keepNext w:val="0"/>
              <w:keepLines w:val="0"/>
              <w:suppressLineNumbers w:val="0"/>
              <w:bidi w:val="0"/>
              <w:spacing w:before="0" w:beforeAutospacing="0" w:after="0" w:afterAutospacing="0"/>
              <w:ind w:right="0"/>
              <w:rPr>
                <w:rFonts w:hint="eastAsia"/>
              </w:rPr>
            </w:pP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其他下沉绿化面积（m</w:t>
            </w:r>
            <w:r>
              <w:rPr>
                <w:rFonts w:hint="eastAsia"/>
                <w:vertAlign w:val="superscript"/>
              </w:rPr>
              <w:t>2</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val="en-US" w:eastAsia="zh-CN"/>
              </w:rPr>
              <w:t>323.15</w:t>
            </w:r>
          </w:p>
        </w:tc>
        <w:tc>
          <w:tcPr>
            <w:tcW w:w="836"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下沉式绿地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专门设施核算</w:t>
            </w:r>
          </w:p>
        </w:tc>
        <w:tc>
          <w:tcPr>
            <w:tcW w:w="913" w:type="pct"/>
            <w:gridSpan w:val="2"/>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蓄水设施</w:t>
            </w: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总容积（m</w:t>
            </w:r>
            <w:r>
              <w:rPr>
                <w:rFonts w:hint="eastAsia"/>
                <w:vertAlign w:val="superscript"/>
              </w:rPr>
              <w:t>3</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地下蓄水设施蓄水容积（m</w:t>
            </w:r>
            <w:r>
              <w:rPr>
                <w:rFonts w:hint="eastAsia"/>
                <w:vertAlign w:val="superscript"/>
              </w:rPr>
              <w:t>3</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雨水桶蓄水容积（m</w:t>
            </w:r>
            <w:r>
              <w:rPr>
                <w:rFonts w:hint="eastAsia"/>
                <w:vertAlign w:val="superscript"/>
              </w:rPr>
              <w:t>3</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下沉绿化可蓄水容积（m</w:t>
            </w:r>
            <w:r>
              <w:rPr>
                <w:rFonts w:hint="eastAsia"/>
                <w:vertAlign w:val="superscript"/>
              </w:rPr>
              <w:t>3</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val="en-US" w:eastAsia="zh-CN"/>
              </w:rPr>
              <w:t>25.85</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排水设施</w:t>
            </w:r>
          </w:p>
        </w:tc>
        <w:tc>
          <w:tcPr>
            <w:tcW w:w="2200" w:type="pct"/>
          </w:tcPr>
          <w:p>
            <w:pPr>
              <w:pStyle w:val="54"/>
              <w:keepNext w:val="0"/>
              <w:keepLines w:val="0"/>
              <w:suppressLineNumbers w:val="0"/>
              <w:bidi w:val="0"/>
              <w:spacing w:before="0" w:beforeAutospacing="0" w:after="0" w:afterAutospacing="0"/>
              <w:ind w:right="0"/>
              <w:rPr>
                <w:rFonts w:hint="eastAsia"/>
              </w:rPr>
            </w:pPr>
            <w:r>
              <w:rPr>
                <w:rFonts w:hint="eastAsia"/>
              </w:rPr>
              <w:t>雨水管网设计重现期（m</w:t>
            </w:r>
            <w:r>
              <w:rPr>
                <w:rFonts w:hint="eastAsia"/>
                <w:vertAlign w:val="superscript"/>
              </w:rPr>
              <w:t>3</w:t>
            </w:r>
            <w:r>
              <w:rPr>
                <w:rFonts w:hint="eastAsia"/>
              </w:rPr>
              <w:t>）</w:t>
            </w:r>
          </w:p>
        </w:tc>
        <w:tc>
          <w:tcPr>
            <w:tcW w:w="73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用地竖向控制</w:t>
            </w:r>
          </w:p>
        </w:tc>
        <w:tc>
          <w:tcPr>
            <w:tcW w:w="913"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地下建筑</w:t>
            </w:r>
          </w:p>
        </w:tc>
        <w:tc>
          <w:tcPr>
            <w:tcW w:w="2200"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户外出入口挡水设施高度（m）</w:t>
            </w:r>
          </w:p>
        </w:tc>
        <w:tc>
          <w:tcPr>
            <w:tcW w:w="73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内部场平</w:t>
            </w:r>
          </w:p>
        </w:tc>
        <w:tc>
          <w:tcPr>
            <w:tcW w:w="2200"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高于相临城市道路的高度（m）</w:t>
            </w:r>
          </w:p>
        </w:tc>
        <w:tc>
          <w:tcPr>
            <w:tcW w:w="73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913"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地面建筑</w:t>
            </w:r>
          </w:p>
        </w:tc>
        <w:tc>
          <w:tcPr>
            <w:tcW w:w="2200"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室内外正负零高差（m）</w:t>
            </w:r>
          </w:p>
        </w:tc>
        <w:tc>
          <w:tcPr>
            <w:tcW w:w="73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0.20</w:t>
            </w:r>
          </w:p>
        </w:tc>
        <w:tc>
          <w:tcPr>
            <w:tcW w:w="836" w:type="pct"/>
            <w:gridSpan w:val="2"/>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8"/>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综合评价</w:t>
            </w:r>
          </w:p>
        </w:tc>
        <w:tc>
          <w:tcPr>
            <w:tcW w:w="3298" w:type="pct"/>
            <w:gridSpan w:val="4"/>
          </w:tcPr>
          <w:p>
            <w:pPr>
              <w:pStyle w:val="54"/>
              <w:keepNext w:val="0"/>
              <w:keepLines w:val="0"/>
              <w:suppressLineNumbers w:val="0"/>
              <w:bidi w:val="0"/>
              <w:spacing w:before="0" w:beforeAutospacing="0" w:after="0" w:afterAutospacing="0"/>
              <w:ind w:right="0"/>
              <w:rPr>
                <w:rFonts w:hint="eastAsia"/>
              </w:rPr>
            </w:pPr>
            <w:r>
              <w:rPr>
                <w:rFonts w:hint="eastAsia"/>
              </w:rPr>
              <w:t>评价指标</w:t>
            </w:r>
          </w:p>
        </w:tc>
        <w:tc>
          <w:tcPr>
            <w:tcW w:w="827" w:type="pct"/>
            <w:gridSpan w:val="2"/>
          </w:tcPr>
          <w:p>
            <w:pPr>
              <w:pStyle w:val="54"/>
              <w:keepNext w:val="0"/>
              <w:keepLines w:val="0"/>
              <w:suppressLineNumbers w:val="0"/>
              <w:bidi w:val="0"/>
              <w:spacing w:before="0" w:beforeAutospacing="0" w:after="0" w:afterAutospacing="0"/>
              <w:ind w:right="0"/>
              <w:rPr>
                <w:rFonts w:hint="eastAsia"/>
              </w:rPr>
            </w:pPr>
            <w:r>
              <w:rPr>
                <w:rFonts w:hint="eastAsia"/>
              </w:rPr>
              <w:t>目标值</w:t>
            </w:r>
          </w:p>
        </w:tc>
        <w:tc>
          <w:tcPr>
            <w:tcW w:w="560" w:type="pct"/>
          </w:tcPr>
          <w:p>
            <w:pPr>
              <w:pStyle w:val="54"/>
              <w:keepNext w:val="0"/>
              <w:keepLines w:val="0"/>
              <w:suppressLineNumbers w:val="0"/>
              <w:bidi w:val="0"/>
              <w:spacing w:before="0" w:beforeAutospacing="0" w:after="0" w:afterAutospacing="0"/>
              <w:ind w:right="0"/>
              <w:rPr>
                <w:rFonts w:hint="eastAsia"/>
              </w:rPr>
            </w:pPr>
            <w:r>
              <w:rPr>
                <w:rFonts w:hint="eastAsia"/>
              </w:rPr>
              <w:t>完成值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636"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控制性</w:t>
            </w:r>
          </w:p>
        </w:tc>
        <w:tc>
          <w:tcPr>
            <w:tcW w:w="2661"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年径流总量控制率（%）</w:t>
            </w:r>
          </w:p>
        </w:tc>
        <w:tc>
          <w:tcPr>
            <w:tcW w:w="82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lang w:val="en-US" w:eastAsia="zh-CN"/>
              </w:rPr>
              <w:t>58.7</w:t>
            </w:r>
            <w:r>
              <w:rPr>
                <w:rFonts w:hint="eastAsia"/>
              </w:rPr>
              <w:t>%</w:t>
            </w:r>
          </w:p>
        </w:tc>
        <w:tc>
          <w:tcPr>
            <w:tcW w:w="560" w:type="pct"/>
            <w:vAlign w:val="center"/>
          </w:tcPr>
          <w:p>
            <w:pPr>
              <w:pStyle w:val="54"/>
              <w:keepNext w:val="0"/>
              <w:keepLines w:val="0"/>
              <w:suppressLineNumbers w:val="0"/>
              <w:bidi w:val="0"/>
              <w:spacing w:before="0" w:beforeAutospacing="0" w:after="0" w:afterAutospacing="0"/>
              <w:ind w:right="0"/>
              <w:rPr>
                <w:rFonts w:hint="eastAsia"/>
              </w:rPr>
            </w:pPr>
            <w:r>
              <w:rPr>
                <w:rFonts w:hint="eastAsia"/>
                <w:highlight w:val="none"/>
                <w:shd w:val="clear"/>
                <w:lang w:val="en-US" w:eastAsia="zh-CN"/>
              </w:rPr>
              <w:t>66.26</w:t>
            </w:r>
            <w:r>
              <w:rPr>
                <w:rFonts w:hint="eastAsia"/>
                <w:highlight w:val="none"/>
                <w:shd w:val="cle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636"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661"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峰值径流系数</w:t>
            </w:r>
          </w:p>
        </w:tc>
        <w:tc>
          <w:tcPr>
            <w:tcW w:w="827" w:type="pct"/>
            <w:gridSpan w:val="2"/>
            <w:vAlign w:val="center"/>
          </w:tcPr>
          <w:p>
            <w:pPr>
              <w:pStyle w:val="54"/>
              <w:keepNext w:val="0"/>
              <w:keepLines w:val="0"/>
              <w:suppressLineNumbers w:val="0"/>
              <w:bidi w:val="0"/>
              <w:spacing w:before="0" w:beforeAutospacing="0" w:after="0" w:afterAutospacing="0"/>
              <w:ind w:right="0"/>
              <w:rPr>
                <w:rFonts w:hint="default" w:eastAsia="宋体"/>
                <w:lang w:val="en-US" w:eastAsia="zh-CN"/>
              </w:rPr>
            </w:pPr>
            <w:r>
              <w:rPr>
                <w:rFonts w:hint="eastAsia"/>
              </w:rPr>
              <w:t>0.</w:t>
            </w:r>
            <w:r>
              <w:rPr>
                <w:rFonts w:hint="eastAsia"/>
                <w:lang w:val="en-US" w:eastAsia="zh-CN"/>
              </w:rPr>
              <w:t>80</w:t>
            </w:r>
          </w:p>
        </w:tc>
        <w:tc>
          <w:tcPr>
            <w:tcW w:w="560" w:type="pct"/>
            <w:vAlign w:val="center"/>
          </w:tcPr>
          <w:p>
            <w:pPr>
              <w:pStyle w:val="54"/>
              <w:keepNext w:val="0"/>
              <w:keepLines w:val="0"/>
              <w:suppressLineNumbers w:val="0"/>
              <w:bidi w:val="0"/>
              <w:spacing w:before="0" w:beforeAutospacing="0" w:after="0" w:afterAutospacing="0"/>
              <w:ind w:right="0"/>
              <w:rPr>
                <w:rFonts w:hint="default" w:eastAsia="宋体"/>
                <w:lang w:val="en-US" w:eastAsia="zh-CN"/>
              </w:rPr>
            </w:pPr>
            <w:r>
              <w:rPr>
                <w:rFonts w:hint="eastAsia"/>
                <w:lang w:val="en-US" w:eastAsia="zh-CN"/>
              </w:rPr>
              <w:t>0.57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636"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661"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硬化地面中可透水地面面积占比（%）</w:t>
            </w:r>
          </w:p>
        </w:tc>
        <w:tc>
          <w:tcPr>
            <w:tcW w:w="82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60"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636"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661"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污染物削减率（以TSS计，%)</w:t>
            </w:r>
          </w:p>
        </w:tc>
        <w:tc>
          <w:tcPr>
            <w:tcW w:w="82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48%</w:t>
            </w:r>
          </w:p>
        </w:tc>
        <w:tc>
          <w:tcPr>
            <w:tcW w:w="560" w:type="pct"/>
            <w:vAlign w:val="center"/>
          </w:tcPr>
          <w:p>
            <w:pPr>
              <w:pStyle w:val="54"/>
              <w:keepNext w:val="0"/>
              <w:keepLines w:val="0"/>
              <w:suppressLineNumbers w:val="0"/>
              <w:bidi w:val="0"/>
              <w:spacing w:before="0" w:beforeAutospacing="0" w:after="0" w:afterAutospacing="0"/>
              <w:ind w:right="0"/>
              <w:rPr>
                <w:rFonts w:hint="eastAsia"/>
              </w:rPr>
            </w:pPr>
            <w:r>
              <w:rPr>
                <w:rFonts w:hint="eastAsia"/>
                <w:highlight w:val="none"/>
                <w:lang w:val="en-US" w:eastAsia="zh-CN"/>
              </w:rPr>
              <w:t>53</w:t>
            </w:r>
            <w:r>
              <w:rPr>
                <w:rFonts w:hint="eastAsia"/>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636"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661"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雨水管网设计暴雨重现期（年）</w:t>
            </w:r>
          </w:p>
        </w:tc>
        <w:tc>
          <w:tcPr>
            <w:tcW w:w="82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60"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636" w:type="pct"/>
            <w:vMerge w:val="restart"/>
            <w:vAlign w:val="center"/>
          </w:tcPr>
          <w:p>
            <w:pPr>
              <w:pStyle w:val="54"/>
              <w:keepNext w:val="0"/>
              <w:keepLines w:val="0"/>
              <w:suppressLineNumbers w:val="0"/>
              <w:bidi w:val="0"/>
              <w:spacing w:before="0" w:beforeAutospacing="0" w:after="0" w:afterAutospacing="0"/>
              <w:ind w:right="0"/>
              <w:rPr>
                <w:rFonts w:hint="eastAsia"/>
              </w:rPr>
            </w:pPr>
            <w:r>
              <w:rPr>
                <w:rFonts w:hint="eastAsia"/>
              </w:rPr>
              <w:t>引导性</w:t>
            </w:r>
          </w:p>
        </w:tc>
        <w:tc>
          <w:tcPr>
            <w:tcW w:w="2661"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下沉式绿地率（%）</w:t>
            </w:r>
          </w:p>
        </w:tc>
        <w:tc>
          <w:tcPr>
            <w:tcW w:w="82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50%</w:t>
            </w:r>
          </w:p>
        </w:tc>
        <w:tc>
          <w:tcPr>
            <w:tcW w:w="560" w:type="pct"/>
            <w:vAlign w:val="center"/>
          </w:tcPr>
          <w:p>
            <w:pPr>
              <w:pStyle w:val="54"/>
              <w:keepNext w:val="0"/>
              <w:keepLines w:val="0"/>
              <w:suppressLineNumbers w:val="0"/>
              <w:bidi w:val="0"/>
              <w:spacing w:before="0" w:beforeAutospacing="0" w:after="0" w:afterAutospacing="0"/>
              <w:ind w:right="0"/>
              <w:rPr>
                <w:rFonts w:hint="eastAsia"/>
              </w:rPr>
            </w:pPr>
            <w:r>
              <w:rPr>
                <w:rFonts w:hint="eastAsia"/>
                <w:lang w:val="en-US" w:eastAsia="zh-CN"/>
              </w:rPr>
              <w:t>100</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636" w:type="pct"/>
            <w:vMerge w:val="continue"/>
            <w:vAlign w:val="center"/>
          </w:tcPr>
          <w:p>
            <w:pPr>
              <w:pStyle w:val="54"/>
              <w:keepNext w:val="0"/>
              <w:keepLines w:val="0"/>
              <w:suppressLineNumbers w:val="0"/>
              <w:bidi w:val="0"/>
              <w:spacing w:before="0" w:beforeAutospacing="0" w:after="0" w:afterAutospacing="0"/>
              <w:ind w:right="0"/>
              <w:rPr>
                <w:rFonts w:hint="eastAsia"/>
              </w:rPr>
            </w:pPr>
          </w:p>
        </w:tc>
        <w:tc>
          <w:tcPr>
            <w:tcW w:w="2661" w:type="pct"/>
            <w:gridSpan w:val="3"/>
            <w:vAlign w:val="center"/>
          </w:tcPr>
          <w:p>
            <w:pPr>
              <w:pStyle w:val="54"/>
              <w:keepNext w:val="0"/>
              <w:keepLines w:val="0"/>
              <w:suppressLineNumbers w:val="0"/>
              <w:bidi w:val="0"/>
              <w:spacing w:before="0" w:beforeAutospacing="0" w:after="0" w:afterAutospacing="0"/>
              <w:ind w:right="0"/>
              <w:rPr>
                <w:rFonts w:hint="eastAsia"/>
              </w:rPr>
            </w:pPr>
            <w:r>
              <w:rPr>
                <w:rFonts w:hint="eastAsia"/>
              </w:rPr>
              <w:t>雨水资源化利用率（%）</w:t>
            </w:r>
          </w:p>
        </w:tc>
        <w:tc>
          <w:tcPr>
            <w:tcW w:w="82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60"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Pr>
          <w:p>
            <w:pPr>
              <w:pStyle w:val="54"/>
              <w:keepNext w:val="0"/>
              <w:keepLines w:val="0"/>
              <w:suppressLineNumbers w:val="0"/>
              <w:bidi w:val="0"/>
              <w:spacing w:before="0" w:beforeAutospacing="0" w:after="0" w:afterAutospacing="0"/>
              <w:ind w:right="0"/>
              <w:rPr>
                <w:rFonts w:hint="eastAsia"/>
              </w:rPr>
            </w:pPr>
          </w:p>
        </w:tc>
        <w:tc>
          <w:tcPr>
            <w:tcW w:w="636" w:type="pct"/>
            <w:vMerge w:val="continue"/>
          </w:tcPr>
          <w:p>
            <w:pPr>
              <w:pStyle w:val="54"/>
              <w:keepNext w:val="0"/>
              <w:keepLines w:val="0"/>
              <w:suppressLineNumbers w:val="0"/>
              <w:bidi w:val="0"/>
              <w:spacing w:before="0" w:beforeAutospacing="0" w:after="0" w:afterAutospacing="0"/>
              <w:ind w:right="0"/>
              <w:rPr>
                <w:rFonts w:hint="eastAsia"/>
              </w:rPr>
            </w:pPr>
          </w:p>
        </w:tc>
        <w:tc>
          <w:tcPr>
            <w:tcW w:w="2661" w:type="pct"/>
            <w:gridSpan w:val="3"/>
          </w:tcPr>
          <w:p>
            <w:pPr>
              <w:pStyle w:val="54"/>
              <w:keepNext w:val="0"/>
              <w:keepLines w:val="0"/>
              <w:suppressLineNumbers w:val="0"/>
              <w:bidi w:val="0"/>
              <w:spacing w:before="0" w:beforeAutospacing="0" w:after="0" w:afterAutospacing="0"/>
              <w:ind w:right="0"/>
              <w:rPr>
                <w:rFonts w:hint="eastAsia"/>
              </w:rPr>
            </w:pPr>
            <w:r>
              <w:rPr>
                <w:rFonts w:hint="eastAsia"/>
              </w:rPr>
              <w:t>绿色屋顶率（%）</w:t>
            </w:r>
          </w:p>
        </w:tc>
        <w:tc>
          <w:tcPr>
            <w:tcW w:w="827" w:type="pct"/>
            <w:gridSpan w:val="2"/>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c>
          <w:tcPr>
            <w:tcW w:w="560" w:type="pct"/>
            <w:vAlign w:val="center"/>
          </w:tcPr>
          <w:p>
            <w:pPr>
              <w:pStyle w:val="54"/>
              <w:keepNext w:val="0"/>
              <w:keepLines w:val="0"/>
              <w:suppressLineNumbers w:val="0"/>
              <w:bidi w:val="0"/>
              <w:spacing w:before="0" w:beforeAutospacing="0" w:after="0" w:afterAutospacing="0"/>
              <w:ind w:right="0"/>
              <w:rPr>
                <w:rFonts w:hint="eastAsia"/>
              </w:rPr>
            </w:pPr>
            <w:r>
              <w:rPr>
                <w:rFonts w:hint="eastAsia"/>
              </w:rPr>
              <w:t>-</w:t>
            </w:r>
          </w:p>
        </w:tc>
      </w:tr>
    </w:tbl>
    <w:p>
      <w:pPr>
        <w:rPr>
          <w:rFonts w:hint="eastAsia"/>
          <w:b/>
          <w:bCs/>
          <w:sz w:val="28"/>
          <w:szCs w:val="28"/>
          <w:lang w:val="en-US" w:eastAsia="zh-CN"/>
        </w:rPr>
      </w:pPr>
      <w:r>
        <w:rPr>
          <w:rFonts w:hint="eastAsia"/>
          <w:b/>
          <w:bCs/>
          <w:sz w:val="28"/>
          <w:szCs w:val="28"/>
          <w:lang w:val="en-US" w:eastAsia="zh-CN"/>
        </w:rPr>
        <w:br w:type="page"/>
      </w:r>
    </w:p>
    <w:p>
      <w:pPr>
        <w:pStyle w:val="250"/>
        <w:bidi w:val="0"/>
        <w:rPr>
          <w:rFonts w:hint="eastAsia"/>
          <w:b/>
          <w:bCs/>
          <w:sz w:val="28"/>
          <w:szCs w:val="28"/>
          <w:lang w:val="en-US" w:eastAsia="zh-CN"/>
        </w:rPr>
      </w:pPr>
      <w:r>
        <w:rPr>
          <w:rFonts w:hint="eastAsia"/>
          <w:lang w:val="en-US" w:eastAsia="zh-CN"/>
        </w:rPr>
        <w:t>附表3 建设项目排水专项方案自评表</w:t>
      </w:r>
    </w:p>
    <w:tbl>
      <w:tblPr>
        <w:tblStyle w:val="44"/>
        <w:tblW w:w="0" w:type="auto"/>
        <w:jc w:val="center"/>
        <w:tblBorders>
          <w:top w:val="single" w:color="auto" w:sz="4" w:space="0"/>
          <w:left w:val="single" w:color="auto" w:sz="4" w:space="0"/>
          <w:bottom w:val="single" w:color="auto" w:sz="4" w:space="0"/>
          <w:right w:val="single" w:color="auto" w:sz="4" w:space="0"/>
          <w:insideH w:val="none" w:color="auto" w:sz="4" w:space="0"/>
          <w:insideV w:val="none" w:color="auto" w:sz="4" w:space="0"/>
        </w:tblBorders>
        <w:tblLayout w:type="fixed"/>
        <w:tblCellMar>
          <w:top w:w="0" w:type="dxa"/>
          <w:left w:w="108" w:type="dxa"/>
          <w:bottom w:w="0" w:type="dxa"/>
          <w:right w:w="108" w:type="dxa"/>
        </w:tblCellMar>
      </w:tblPr>
      <w:tblGrid>
        <w:gridCol w:w="713"/>
        <w:gridCol w:w="1227"/>
        <w:gridCol w:w="1138"/>
        <w:gridCol w:w="1512"/>
        <w:gridCol w:w="1209"/>
        <w:gridCol w:w="1156"/>
        <w:gridCol w:w="943"/>
        <w:gridCol w:w="1048"/>
      </w:tblGrid>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1095" w:hRule="atLeast"/>
          <w:jc w:val="center"/>
        </w:trPr>
        <w:tc>
          <w:tcPr>
            <w:tcW w:w="8946" w:type="dxa"/>
            <w:gridSpan w:val="8"/>
            <w:tcBorders>
              <w:bottom w:val="single" w:color="auto" w:sz="4" w:space="0"/>
            </w:tcBorders>
            <w:vAlign w:val="center"/>
          </w:tcPr>
          <w:p>
            <w:pPr>
              <w:pStyle w:val="54"/>
              <w:keepNext w:val="0"/>
              <w:keepLines w:val="0"/>
              <w:suppressLineNumbers w:val="0"/>
              <w:bidi w:val="0"/>
              <w:spacing w:before="0" w:beforeAutospacing="0" w:after="0" w:afterAutospacing="0"/>
              <w:ind w:right="0"/>
              <w:rPr>
                <w:rFonts w:hint="eastAsia"/>
                <w:b/>
                <w:bCs/>
                <w:sz w:val="30"/>
                <w:szCs w:val="30"/>
                <w:lang w:val="zh-CN"/>
              </w:rPr>
            </w:pPr>
            <w:bookmarkStart w:id="399" w:name="RANGE!A1:H22"/>
            <w:r>
              <w:rPr>
                <w:rFonts w:hint="eastAsia"/>
                <w:b/>
                <w:bCs/>
                <w:sz w:val="30"/>
                <w:szCs w:val="30"/>
                <w:lang w:val="zh-CN"/>
              </w:rPr>
              <w:t>建设项目排水专项方案自评表（房屋建筑、线性</w:t>
            </w:r>
          </w:p>
          <w:p>
            <w:pPr>
              <w:pStyle w:val="54"/>
              <w:keepNext w:val="0"/>
              <w:keepLines w:val="0"/>
              <w:suppressLineNumbers w:val="0"/>
              <w:bidi w:val="0"/>
              <w:spacing w:before="0" w:beforeAutospacing="0" w:after="0" w:afterAutospacing="0"/>
              <w:ind w:right="0"/>
              <w:rPr>
                <w:rFonts w:hint="eastAsia"/>
              </w:rPr>
            </w:pPr>
            <w:r>
              <w:rPr>
                <w:rFonts w:hint="eastAsia"/>
                <w:b/>
                <w:bCs/>
                <w:sz w:val="30"/>
                <w:szCs w:val="30"/>
                <w:lang w:val="zh-CN"/>
              </w:rPr>
              <w:t>工程类、园林绿化工程类和一般项目排水工程）</w:t>
            </w:r>
            <w:bookmarkEnd w:id="399"/>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377" w:hRule="atLeast"/>
          <w:jc w:val="center"/>
        </w:trPr>
        <w:tc>
          <w:tcPr>
            <w:tcW w:w="1940" w:type="dxa"/>
            <w:gridSpan w:val="2"/>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项目名称：</w:t>
            </w:r>
          </w:p>
        </w:tc>
        <w:tc>
          <w:tcPr>
            <w:tcW w:w="7006" w:type="dxa"/>
            <w:gridSpan w:val="6"/>
            <w:tcBorders>
              <w:top w:val="single" w:color="auto" w:sz="4" w:space="0"/>
              <w:left w:val="single" w:color="auto" w:sz="4" w:space="0"/>
              <w:bottom w:val="single" w:color="auto" w:sz="4" w:space="0"/>
            </w:tcBorders>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val="en-US" w:eastAsia="zh-CN"/>
              </w:rPr>
              <w:t>桥南街大蕴涌排涝通道改造工程</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373" w:hRule="atLeast"/>
          <w:jc w:val="center"/>
        </w:trPr>
        <w:tc>
          <w:tcPr>
            <w:tcW w:w="1940" w:type="dxa"/>
            <w:gridSpan w:val="2"/>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建设单位（盖章）</w:t>
            </w:r>
          </w:p>
        </w:tc>
        <w:tc>
          <w:tcPr>
            <w:tcW w:w="7006" w:type="dxa"/>
            <w:gridSpan w:val="6"/>
            <w:tcBorders>
              <w:top w:val="single" w:color="auto" w:sz="4" w:space="0"/>
              <w:left w:val="single" w:color="auto" w:sz="4" w:space="0"/>
              <w:bottom w:val="single" w:color="auto" w:sz="4" w:space="0"/>
            </w:tcBorders>
            <w:vAlign w:val="center"/>
          </w:tcPr>
          <w:p>
            <w:pPr>
              <w:pStyle w:val="54"/>
              <w:keepNext w:val="0"/>
              <w:keepLines w:val="0"/>
              <w:suppressLineNumbers w:val="0"/>
              <w:bidi w:val="0"/>
              <w:spacing w:before="0" w:beforeAutospacing="0" w:after="0" w:afterAutospacing="0"/>
              <w:ind w:right="0"/>
              <w:rPr>
                <w:rFonts w:hint="eastAsia"/>
                <w:lang w:eastAsia="zh-CN"/>
              </w:rPr>
            </w:pPr>
            <w:r>
              <w:rPr>
                <w:rFonts w:hint="eastAsia"/>
                <w:lang w:eastAsia="zh-CN"/>
              </w:rPr>
              <w:t>番禺区水务局及广州市番禺区水务设施运行中心</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392" w:hRule="atLeast"/>
          <w:jc w:val="center"/>
        </w:trPr>
        <w:tc>
          <w:tcPr>
            <w:tcW w:w="1940" w:type="dxa"/>
            <w:gridSpan w:val="2"/>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工程概况</w:t>
            </w:r>
          </w:p>
        </w:tc>
        <w:tc>
          <w:tcPr>
            <w:tcW w:w="7006" w:type="dxa"/>
            <w:gridSpan w:val="6"/>
            <w:tcBorders>
              <w:top w:val="single" w:color="auto" w:sz="4" w:space="0"/>
              <w:left w:val="nil"/>
              <w:bottom w:val="single" w:color="auto" w:sz="4" w:space="0"/>
            </w:tcBorders>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eastAsia="zh-CN"/>
              </w:rPr>
              <w:t>本工程分二塱西街侧及二塱东街侧，其中二塱西街侧改造范围位于二塱水闸上游约160~320m处，改造总长度为160m；二塱东街侧改造范围位于福愉东路以南约50~86m处，改造总长度为36m。</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459" w:hRule="atLeast"/>
          <w:jc w:val="center"/>
        </w:trPr>
        <w:tc>
          <w:tcPr>
            <w:tcW w:w="1940" w:type="dxa"/>
            <w:gridSpan w:val="2"/>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排水体制</w:t>
            </w:r>
          </w:p>
        </w:tc>
        <w:tc>
          <w:tcPr>
            <w:tcW w:w="2650" w:type="dxa"/>
            <w:gridSpan w:val="2"/>
            <w:tcBorders>
              <w:top w:val="single" w:color="auto" w:sz="4" w:space="0"/>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雨污分流制</w:t>
            </w:r>
          </w:p>
        </w:tc>
        <w:tc>
          <w:tcPr>
            <w:tcW w:w="2365" w:type="dxa"/>
            <w:gridSpan w:val="2"/>
            <w:tcBorders>
              <w:top w:val="single" w:color="auto" w:sz="4" w:space="0"/>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化粪池设置（勾选）</w:t>
            </w:r>
          </w:p>
        </w:tc>
        <w:tc>
          <w:tcPr>
            <w:tcW w:w="943" w:type="dxa"/>
            <w:tcBorders>
              <w:top w:val="single" w:color="auto" w:sz="4" w:space="0"/>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是</w:t>
            </w:r>
          </w:p>
        </w:tc>
        <w:tc>
          <w:tcPr>
            <w:tcW w:w="1048" w:type="dxa"/>
            <w:tcBorders>
              <w:top w:val="single" w:color="auto" w:sz="4" w:space="0"/>
              <w:left w:val="nil"/>
              <w:bottom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否√</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417" w:hRule="atLeast"/>
          <w:jc w:val="center"/>
        </w:trPr>
        <w:tc>
          <w:tcPr>
            <w:tcW w:w="1940" w:type="dxa"/>
            <w:gridSpan w:val="2"/>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主要污染物</w:t>
            </w:r>
          </w:p>
        </w:tc>
        <w:tc>
          <w:tcPr>
            <w:tcW w:w="7006" w:type="dxa"/>
            <w:gridSpan w:val="6"/>
            <w:tcBorders>
              <w:top w:val="single" w:color="auto" w:sz="4" w:space="0"/>
              <w:left w:val="nil"/>
              <w:bottom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无</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870" w:hRule="atLeast"/>
          <w:jc w:val="center"/>
        </w:trPr>
        <w:tc>
          <w:tcPr>
            <w:tcW w:w="713" w:type="dxa"/>
            <w:vMerge w:val="restart"/>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污水管道设计</w:t>
            </w:r>
          </w:p>
        </w:tc>
        <w:tc>
          <w:tcPr>
            <w:tcW w:w="1227"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污水排放出口位置</w:t>
            </w:r>
          </w:p>
        </w:tc>
        <w:tc>
          <w:tcPr>
            <w:tcW w:w="2650" w:type="dxa"/>
            <w:gridSpan w:val="2"/>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预测污水排放量（m</w:t>
            </w:r>
            <w:r>
              <w:rPr>
                <w:rFonts w:hint="eastAsia"/>
                <w:vertAlign w:val="superscript"/>
              </w:rPr>
              <w:t>3</w:t>
            </w:r>
            <w:r>
              <w:rPr>
                <w:rFonts w:hint="eastAsia"/>
              </w:rPr>
              <w:t>/d）</w:t>
            </w:r>
          </w:p>
        </w:tc>
        <w:tc>
          <w:tcPr>
            <w:tcW w:w="1209"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管径</w:t>
            </w:r>
          </w:p>
        </w:tc>
        <w:tc>
          <w:tcPr>
            <w:tcW w:w="1156"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拟接驳下游管道</w:t>
            </w:r>
          </w:p>
          <w:p>
            <w:pPr>
              <w:pStyle w:val="54"/>
              <w:keepNext w:val="0"/>
              <w:keepLines w:val="0"/>
              <w:suppressLineNumbers w:val="0"/>
              <w:bidi w:val="0"/>
              <w:spacing w:before="0" w:beforeAutospacing="0" w:after="0" w:afterAutospacing="0"/>
              <w:ind w:right="0"/>
              <w:rPr>
                <w:rFonts w:hint="eastAsia"/>
              </w:rPr>
            </w:pPr>
            <w:r>
              <w:rPr>
                <w:rFonts w:hint="eastAsia"/>
              </w:rPr>
              <w:t>管径</w:t>
            </w:r>
          </w:p>
        </w:tc>
        <w:tc>
          <w:tcPr>
            <w:tcW w:w="1991" w:type="dxa"/>
            <w:gridSpan w:val="2"/>
            <w:tcBorders>
              <w:top w:val="single" w:color="auto" w:sz="4" w:space="0"/>
              <w:left w:val="single" w:color="auto" w:sz="4" w:space="0"/>
              <w:bottom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备注</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369" w:hRule="atLeast"/>
          <w:jc w:val="center"/>
        </w:trPr>
        <w:tc>
          <w:tcPr>
            <w:tcW w:w="713" w:type="dxa"/>
            <w:vMerge w:val="continue"/>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27"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地块东侧</w:t>
            </w:r>
          </w:p>
        </w:tc>
        <w:tc>
          <w:tcPr>
            <w:tcW w:w="2650" w:type="dxa"/>
            <w:gridSpan w:val="2"/>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09"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156"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943" w:type="dxa"/>
            <w:tcBorders>
              <w:top w:val="single" w:color="auto" w:sz="4" w:space="0"/>
              <w:left w:val="single" w:color="auto" w:sz="4" w:space="0"/>
              <w:bottom w:val="single" w:color="auto" w:sz="4" w:space="0"/>
              <w:right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c>
          <w:tcPr>
            <w:tcW w:w="1048" w:type="dxa"/>
            <w:tcBorders>
              <w:top w:val="single" w:color="auto" w:sz="4" w:space="0"/>
              <w:left w:val="single" w:color="auto" w:sz="4" w:space="0"/>
              <w:bottom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369" w:hRule="atLeast"/>
          <w:jc w:val="center"/>
        </w:trPr>
        <w:tc>
          <w:tcPr>
            <w:tcW w:w="713" w:type="dxa"/>
            <w:vMerge w:val="continue"/>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27"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地块南侧</w:t>
            </w:r>
          </w:p>
        </w:tc>
        <w:tc>
          <w:tcPr>
            <w:tcW w:w="2650" w:type="dxa"/>
            <w:gridSpan w:val="2"/>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09"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156"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943" w:type="dxa"/>
            <w:tcBorders>
              <w:top w:val="single" w:color="auto" w:sz="4" w:space="0"/>
              <w:left w:val="single" w:color="auto" w:sz="4" w:space="0"/>
              <w:bottom w:val="single" w:color="auto" w:sz="4" w:space="0"/>
              <w:right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c>
          <w:tcPr>
            <w:tcW w:w="1048" w:type="dxa"/>
            <w:tcBorders>
              <w:top w:val="single" w:color="auto" w:sz="4" w:space="0"/>
              <w:left w:val="single" w:color="auto" w:sz="4" w:space="0"/>
              <w:bottom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369" w:hRule="atLeast"/>
          <w:jc w:val="center"/>
        </w:trPr>
        <w:tc>
          <w:tcPr>
            <w:tcW w:w="713" w:type="dxa"/>
            <w:vMerge w:val="continue"/>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27"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地块西侧</w:t>
            </w:r>
          </w:p>
        </w:tc>
        <w:tc>
          <w:tcPr>
            <w:tcW w:w="2650" w:type="dxa"/>
            <w:gridSpan w:val="2"/>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09"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156"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943" w:type="dxa"/>
            <w:tcBorders>
              <w:top w:val="single" w:color="auto" w:sz="4" w:space="0"/>
              <w:left w:val="single" w:color="auto" w:sz="4" w:space="0"/>
              <w:bottom w:val="single" w:color="auto" w:sz="4" w:space="0"/>
              <w:right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c>
          <w:tcPr>
            <w:tcW w:w="1048" w:type="dxa"/>
            <w:tcBorders>
              <w:top w:val="single" w:color="auto" w:sz="4" w:space="0"/>
              <w:left w:val="single" w:color="auto" w:sz="4" w:space="0"/>
              <w:bottom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369" w:hRule="atLeast"/>
          <w:jc w:val="center"/>
        </w:trPr>
        <w:tc>
          <w:tcPr>
            <w:tcW w:w="713" w:type="dxa"/>
            <w:vMerge w:val="continue"/>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27"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地块北侧</w:t>
            </w:r>
          </w:p>
        </w:tc>
        <w:tc>
          <w:tcPr>
            <w:tcW w:w="2650" w:type="dxa"/>
            <w:gridSpan w:val="2"/>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09"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156"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943" w:type="dxa"/>
            <w:tcBorders>
              <w:top w:val="single" w:color="auto" w:sz="4" w:space="0"/>
              <w:left w:val="single" w:color="auto" w:sz="4" w:space="0"/>
              <w:bottom w:val="single" w:color="auto" w:sz="4" w:space="0"/>
              <w:right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c>
          <w:tcPr>
            <w:tcW w:w="1048" w:type="dxa"/>
            <w:tcBorders>
              <w:top w:val="single" w:color="auto" w:sz="4" w:space="0"/>
              <w:left w:val="single" w:color="auto" w:sz="4" w:space="0"/>
              <w:bottom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608" w:hRule="atLeast"/>
          <w:jc w:val="center"/>
        </w:trPr>
        <w:tc>
          <w:tcPr>
            <w:tcW w:w="713" w:type="dxa"/>
            <w:vMerge w:val="restart"/>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雨水管道设计</w:t>
            </w:r>
          </w:p>
        </w:tc>
        <w:tc>
          <w:tcPr>
            <w:tcW w:w="2365" w:type="dxa"/>
            <w:gridSpan w:val="2"/>
            <w:tcBorders>
              <w:top w:val="single" w:color="auto" w:sz="4" w:space="0"/>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暴雨强度q（l/s.ha）</w:t>
            </w:r>
          </w:p>
        </w:tc>
        <w:tc>
          <w:tcPr>
            <w:tcW w:w="2721" w:type="dxa"/>
            <w:gridSpan w:val="2"/>
            <w:tcBorders>
              <w:top w:val="single" w:color="auto" w:sz="4" w:space="0"/>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default" w:eastAsia="宋体"/>
                <w:lang w:val="en-US" w:eastAsia="zh-CN"/>
              </w:rPr>
            </w:pPr>
            <w:r>
              <w:rPr>
                <w:rFonts w:hint="eastAsia"/>
                <w:lang w:val="en-US" w:eastAsia="zh-CN"/>
              </w:rPr>
              <w:t>654.015</w:t>
            </w:r>
          </w:p>
        </w:tc>
        <w:tc>
          <w:tcPr>
            <w:tcW w:w="2099" w:type="dxa"/>
            <w:gridSpan w:val="2"/>
            <w:tcBorders>
              <w:top w:val="single" w:color="auto" w:sz="4" w:space="0"/>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重现期P（年）</w:t>
            </w:r>
          </w:p>
        </w:tc>
        <w:tc>
          <w:tcPr>
            <w:tcW w:w="1048" w:type="dxa"/>
            <w:tcBorders>
              <w:top w:val="single" w:color="auto" w:sz="4" w:space="0"/>
              <w:left w:val="nil"/>
              <w:bottom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5</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600" w:hRule="atLeast"/>
          <w:jc w:val="center"/>
        </w:trPr>
        <w:tc>
          <w:tcPr>
            <w:tcW w:w="713" w:type="dxa"/>
            <w:vMerge w:val="continue"/>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2365" w:type="dxa"/>
            <w:gridSpan w:val="2"/>
            <w:tcBorders>
              <w:top w:val="single" w:color="auto" w:sz="4" w:space="0"/>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建设前综合径流系数</w:t>
            </w:r>
          </w:p>
        </w:tc>
        <w:tc>
          <w:tcPr>
            <w:tcW w:w="2721" w:type="dxa"/>
            <w:gridSpan w:val="2"/>
            <w:tcBorders>
              <w:top w:val="single" w:color="auto" w:sz="4" w:space="0"/>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val="en-US" w:eastAsia="zh-CN"/>
              </w:rPr>
              <w:t>0.8</w:t>
            </w:r>
          </w:p>
        </w:tc>
        <w:tc>
          <w:tcPr>
            <w:tcW w:w="2099" w:type="dxa"/>
            <w:gridSpan w:val="2"/>
            <w:tcBorders>
              <w:top w:val="single" w:color="auto" w:sz="4" w:space="0"/>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建设后综合</w:t>
            </w:r>
          </w:p>
          <w:p>
            <w:pPr>
              <w:pStyle w:val="54"/>
              <w:keepNext w:val="0"/>
              <w:keepLines w:val="0"/>
              <w:suppressLineNumbers w:val="0"/>
              <w:bidi w:val="0"/>
              <w:spacing w:before="0" w:beforeAutospacing="0" w:after="0" w:afterAutospacing="0"/>
              <w:ind w:right="0"/>
              <w:rPr>
                <w:rFonts w:hint="eastAsia"/>
              </w:rPr>
            </w:pPr>
            <w:r>
              <w:rPr>
                <w:rFonts w:hint="eastAsia"/>
              </w:rPr>
              <w:t>径流系数</w:t>
            </w:r>
          </w:p>
        </w:tc>
        <w:tc>
          <w:tcPr>
            <w:tcW w:w="1048" w:type="dxa"/>
            <w:tcBorders>
              <w:top w:val="single" w:color="auto" w:sz="4" w:space="0"/>
              <w:left w:val="nil"/>
              <w:bottom w:val="single" w:color="auto" w:sz="4" w:space="0"/>
            </w:tcBorders>
            <w:vAlign w:val="center"/>
          </w:tcPr>
          <w:p>
            <w:pPr>
              <w:pStyle w:val="54"/>
              <w:keepNext w:val="0"/>
              <w:keepLines w:val="0"/>
              <w:suppressLineNumbers w:val="0"/>
              <w:bidi w:val="0"/>
              <w:spacing w:before="0" w:beforeAutospacing="0" w:after="0" w:afterAutospacing="0"/>
              <w:ind w:right="0"/>
              <w:rPr>
                <w:rFonts w:hint="default" w:eastAsia="宋体"/>
                <w:lang w:val="en-US" w:eastAsia="zh-CN"/>
              </w:rPr>
            </w:pPr>
            <w:r>
              <w:rPr>
                <w:rFonts w:hint="eastAsia"/>
                <w:lang w:val="en-US" w:eastAsia="zh-CN"/>
              </w:rPr>
              <w:t>0.57</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70" w:hRule="atLeast"/>
          <w:jc w:val="center"/>
        </w:trPr>
        <w:tc>
          <w:tcPr>
            <w:tcW w:w="713" w:type="dxa"/>
            <w:vMerge w:val="continue"/>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2365" w:type="dxa"/>
            <w:gridSpan w:val="2"/>
            <w:tcBorders>
              <w:top w:val="single" w:color="auto" w:sz="4" w:space="0"/>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建设前总雨水径流量（l/s）</w:t>
            </w:r>
          </w:p>
        </w:tc>
        <w:tc>
          <w:tcPr>
            <w:tcW w:w="2721" w:type="dxa"/>
            <w:gridSpan w:val="2"/>
            <w:tcBorders>
              <w:top w:val="single" w:color="auto" w:sz="4" w:space="0"/>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val="en-US" w:eastAsia="zh-CN"/>
              </w:rPr>
              <w:t>102.59</w:t>
            </w:r>
          </w:p>
        </w:tc>
        <w:tc>
          <w:tcPr>
            <w:tcW w:w="2099" w:type="dxa"/>
            <w:gridSpan w:val="2"/>
            <w:tcBorders>
              <w:top w:val="single" w:color="auto" w:sz="4" w:space="0"/>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建设后总雨水</w:t>
            </w:r>
          </w:p>
          <w:p>
            <w:pPr>
              <w:pStyle w:val="54"/>
              <w:keepNext w:val="0"/>
              <w:keepLines w:val="0"/>
              <w:suppressLineNumbers w:val="0"/>
              <w:bidi w:val="0"/>
              <w:spacing w:before="0" w:beforeAutospacing="0" w:after="0" w:afterAutospacing="0"/>
              <w:ind w:right="0"/>
              <w:rPr>
                <w:rFonts w:hint="eastAsia"/>
              </w:rPr>
            </w:pPr>
            <w:r>
              <w:rPr>
                <w:rFonts w:hint="eastAsia"/>
              </w:rPr>
              <w:t>径流量（l/s）</w:t>
            </w:r>
          </w:p>
        </w:tc>
        <w:tc>
          <w:tcPr>
            <w:tcW w:w="1048" w:type="dxa"/>
            <w:tcBorders>
              <w:top w:val="single" w:color="auto" w:sz="4" w:space="0"/>
              <w:left w:val="nil"/>
              <w:bottom w:val="single" w:color="auto" w:sz="4" w:space="0"/>
            </w:tcBorders>
            <w:vAlign w:val="center"/>
          </w:tcPr>
          <w:p>
            <w:pPr>
              <w:pStyle w:val="54"/>
              <w:keepNext w:val="0"/>
              <w:keepLines w:val="0"/>
              <w:suppressLineNumbers w:val="0"/>
              <w:bidi w:val="0"/>
              <w:spacing w:before="0" w:beforeAutospacing="0" w:after="0" w:afterAutospacing="0"/>
              <w:ind w:right="0"/>
              <w:rPr>
                <w:rFonts w:hint="default"/>
                <w:highlight w:val="yellow"/>
                <w:lang w:val="en-US" w:eastAsia="zh-CN"/>
              </w:rPr>
            </w:pPr>
            <w:r>
              <w:rPr>
                <w:rFonts w:hint="eastAsia"/>
                <w:highlight w:val="none"/>
                <w:lang w:val="en-US" w:eastAsia="zh-CN"/>
              </w:rPr>
              <w:t>73.09</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452" w:hRule="atLeast"/>
          <w:jc w:val="center"/>
        </w:trPr>
        <w:tc>
          <w:tcPr>
            <w:tcW w:w="713" w:type="dxa"/>
            <w:vMerge w:val="continue"/>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3877" w:type="dxa"/>
            <w:gridSpan w:val="3"/>
            <w:tcBorders>
              <w:top w:val="single" w:color="auto" w:sz="4" w:space="0"/>
              <w:left w:val="nil"/>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红线范围内硬底化面积（m</w:t>
            </w:r>
            <w:r>
              <w:rPr>
                <w:rFonts w:hint="eastAsia"/>
                <w:vertAlign w:val="superscript"/>
              </w:rPr>
              <w:t>2</w:t>
            </w:r>
            <w:r>
              <w:rPr>
                <w:rFonts w:hint="eastAsia"/>
              </w:rPr>
              <w:t>）</w:t>
            </w:r>
          </w:p>
        </w:tc>
        <w:tc>
          <w:tcPr>
            <w:tcW w:w="4356" w:type="dxa"/>
            <w:gridSpan w:val="4"/>
            <w:tcBorders>
              <w:top w:val="single" w:color="auto" w:sz="4" w:space="0"/>
              <w:left w:val="nil"/>
              <w:bottom w:val="single" w:color="auto" w:sz="4" w:space="0"/>
            </w:tcBorders>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val="en-US" w:eastAsia="zh-CN"/>
              </w:rPr>
              <w:t>810.46</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70" w:hRule="atLeast"/>
          <w:jc w:val="center"/>
        </w:trPr>
        <w:tc>
          <w:tcPr>
            <w:tcW w:w="713" w:type="dxa"/>
            <w:vMerge w:val="continue"/>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2365" w:type="dxa"/>
            <w:gridSpan w:val="2"/>
            <w:vMerge w:val="restart"/>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配建雨水调蓄设施类型及其有效容积</w:t>
            </w:r>
          </w:p>
        </w:tc>
        <w:tc>
          <w:tcPr>
            <w:tcW w:w="1512"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调蓄设施</w:t>
            </w:r>
          </w:p>
          <w:p>
            <w:pPr>
              <w:pStyle w:val="54"/>
              <w:keepNext w:val="0"/>
              <w:keepLines w:val="0"/>
              <w:suppressLineNumbers w:val="0"/>
              <w:bidi w:val="0"/>
              <w:spacing w:before="0" w:beforeAutospacing="0" w:after="0" w:afterAutospacing="0"/>
              <w:ind w:right="0"/>
              <w:rPr>
                <w:rFonts w:hint="eastAsia"/>
              </w:rPr>
            </w:pPr>
            <w:r>
              <w:rPr>
                <w:rFonts w:hint="eastAsia"/>
              </w:rPr>
              <w:t>类型</w:t>
            </w:r>
          </w:p>
        </w:tc>
        <w:tc>
          <w:tcPr>
            <w:tcW w:w="2365" w:type="dxa"/>
            <w:gridSpan w:val="2"/>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下沉绿地</w:t>
            </w:r>
          </w:p>
        </w:tc>
        <w:tc>
          <w:tcPr>
            <w:tcW w:w="1991" w:type="dxa"/>
            <w:gridSpan w:val="2"/>
            <w:tcBorders>
              <w:top w:val="single" w:color="auto" w:sz="4" w:space="0"/>
              <w:left w:val="single" w:color="auto" w:sz="4" w:space="0"/>
              <w:bottom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备注</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697" w:hRule="atLeast"/>
          <w:jc w:val="center"/>
        </w:trPr>
        <w:tc>
          <w:tcPr>
            <w:tcW w:w="713" w:type="dxa"/>
            <w:vMerge w:val="continue"/>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2365" w:type="dxa"/>
            <w:gridSpan w:val="2"/>
            <w:vMerge w:val="continue"/>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512"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有效容积（m</w:t>
            </w:r>
            <w:r>
              <w:rPr>
                <w:rFonts w:hint="eastAsia"/>
                <w:vertAlign w:val="superscript"/>
              </w:rPr>
              <w:t>3</w:t>
            </w:r>
            <w:r>
              <w:rPr>
                <w:rFonts w:hint="eastAsia"/>
              </w:rPr>
              <w:t>）</w:t>
            </w:r>
          </w:p>
        </w:tc>
        <w:tc>
          <w:tcPr>
            <w:tcW w:w="2365" w:type="dxa"/>
            <w:gridSpan w:val="2"/>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default"/>
                <w:lang w:val="en-US" w:eastAsia="zh-CN"/>
              </w:rPr>
            </w:pPr>
            <w:r>
              <w:rPr>
                <w:rFonts w:hint="eastAsia"/>
                <w:lang w:val="en-US" w:eastAsia="zh-CN"/>
              </w:rPr>
              <w:t>25.85</w:t>
            </w:r>
          </w:p>
        </w:tc>
        <w:tc>
          <w:tcPr>
            <w:tcW w:w="943"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048" w:type="dxa"/>
            <w:tcBorders>
              <w:top w:val="single" w:color="auto" w:sz="4" w:space="0"/>
              <w:left w:val="single" w:color="auto" w:sz="4" w:space="0"/>
              <w:bottom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960" w:hRule="atLeast"/>
          <w:jc w:val="center"/>
        </w:trPr>
        <w:tc>
          <w:tcPr>
            <w:tcW w:w="713" w:type="dxa"/>
            <w:vMerge w:val="continue"/>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27"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雨水排放出口位置</w:t>
            </w:r>
          </w:p>
        </w:tc>
        <w:tc>
          <w:tcPr>
            <w:tcW w:w="2650" w:type="dxa"/>
            <w:gridSpan w:val="2"/>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预测雨水排放量（m</w:t>
            </w:r>
            <w:r>
              <w:rPr>
                <w:rFonts w:hint="eastAsia"/>
                <w:vertAlign w:val="superscript"/>
              </w:rPr>
              <w:t>3</w:t>
            </w:r>
            <w:r>
              <w:rPr>
                <w:rFonts w:hint="eastAsia"/>
              </w:rPr>
              <w:t>/d）</w:t>
            </w:r>
          </w:p>
        </w:tc>
        <w:tc>
          <w:tcPr>
            <w:tcW w:w="1209"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管径</w:t>
            </w:r>
          </w:p>
        </w:tc>
        <w:tc>
          <w:tcPr>
            <w:tcW w:w="1156"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拟接驳下游管道</w:t>
            </w:r>
          </w:p>
          <w:p>
            <w:pPr>
              <w:pStyle w:val="54"/>
              <w:keepNext w:val="0"/>
              <w:keepLines w:val="0"/>
              <w:suppressLineNumbers w:val="0"/>
              <w:bidi w:val="0"/>
              <w:spacing w:before="0" w:beforeAutospacing="0" w:after="0" w:afterAutospacing="0"/>
              <w:ind w:right="0"/>
              <w:rPr>
                <w:rFonts w:hint="eastAsia"/>
              </w:rPr>
            </w:pPr>
            <w:r>
              <w:rPr>
                <w:rFonts w:hint="eastAsia"/>
              </w:rPr>
              <w:t>管径</w:t>
            </w:r>
          </w:p>
        </w:tc>
        <w:tc>
          <w:tcPr>
            <w:tcW w:w="943" w:type="dxa"/>
            <w:tcBorders>
              <w:top w:val="single" w:color="auto" w:sz="4" w:space="0"/>
              <w:left w:val="single" w:color="auto" w:sz="4" w:space="0"/>
              <w:bottom w:val="single" w:color="auto" w:sz="4" w:space="0"/>
              <w:right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c>
          <w:tcPr>
            <w:tcW w:w="1048" w:type="dxa"/>
            <w:tcBorders>
              <w:top w:val="single" w:color="auto" w:sz="4" w:space="0"/>
              <w:left w:val="single" w:color="auto" w:sz="4" w:space="0"/>
              <w:bottom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369" w:hRule="atLeast"/>
          <w:jc w:val="center"/>
        </w:trPr>
        <w:tc>
          <w:tcPr>
            <w:tcW w:w="713" w:type="dxa"/>
            <w:vMerge w:val="continue"/>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27"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地块东侧</w:t>
            </w:r>
          </w:p>
        </w:tc>
        <w:tc>
          <w:tcPr>
            <w:tcW w:w="2650" w:type="dxa"/>
            <w:gridSpan w:val="2"/>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09"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156"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943" w:type="dxa"/>
            <w:tcBorders>
              <w:top w:val="single" w:color="auto" w:sz="4" w:space="0"/>
              <w:left w:val="single" w:color="auto" w:sz="4" w:space="0"/>
              <w:bottom w:val="single" w:color="auto" w:sz="4" w:space="0"/>
              <w:right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c>
          <w:tcPr>
            <w:tcW w:w="1048" w:type="dxa"/>
            <w:tcBorders>
              <w:top w:val="single" w:color="auto" w:sz="4" w:space="0"/>
              <w:left w:val="single" w:color="auto" w:sz="4" w:space="0"/>
              <w:bottom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369" w:hRule="atLeast"/>
          <w:jc w:val="center"/>
        </w:trPr>
        <w:tc>
          <w:tcPr>
            <w:tcW w:w="713" w:type="dxa"/>
            <w:vMerge w:val="continue"/>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27"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地块南侧</w:t>
            </w:r>
          </w:p>
        </w:tc>
        <w:tc>
          <w:tcPr>
            <w:tcW w:w="2650" w:type="dxa"/>
            <w:gridSpan w:val="2"/>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09"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156"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943" w:type="dxa"/>
            <w:tcBorders>
              <w:top w:val="single" w:color="auto" w:sz="4" w:space="0"/>
              <w:left w:val="single" w:color="auto" w:sz="4" w:space="0"/>
              <w:bottom w:val="single" w:color="auto" w:sz="4" w:space="0"/>
              <w:right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c>
          <w:tcPr>
            <w:tcW w:w="1048" w:type="dxa"/>
            <w:tcBorders>
              <w:top w:val="single" w:color="auto" w:sz="4" w:space="0"/>
              <w:left w:val="single" w:color="auto" w:sz="4" w:space="0"/>
              <w:bottom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369" w:hRule="atLeast"/>
          <w:jc w:val="center"/>
        </w:trPr>
        <w:tc>
          <w:tcPr>
            <w:tcW w:w="713" w:type="dxa"/>
            <w:vMerge w:val="continue"/>
            <w:tcBorders>
              <w:top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27"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地块西侧</w:t>
            </w:r>
          </w:p>
        </w:tc>
        <w:tc>
          <w:tcPr>
            <w:tcW w:w="2650" w:type="dxa"/>
            <w:gridSpan w:val="2"/>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09"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156" w:type="dxa"/>
            <w:tcBorders>
              <w:top w:val="single" w:color="auto" w:sz="4" w:space="0"/>
              <w:left w:val="single" w:color="auto" w:sz="4" w:space="0"/>
              <w:bottom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943" w:type="dxa"/>
            <w:tcBorders>
              <w:top w:val="single" w:color="auto" w:sz="4" w:space="0"/>
              <w:left w:val="single" w:color="auto" w:sz="4" w:space="0"/>
              <w:bottom w:val="single" w:color="auto" w:sz="4" w:space="0"/>
              <w:right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c>
          <w:tcPr>
            <w:tcW w:w="1048" w:type="dxa"/>
            <w:tcBorders>
              <w:top w:val="single" w:color="auto" w:sz="4" w:space="0"/>
              <w:left w:val="single" w:color="auto" w:sz="4" w:space="0"/>
              <w:bottom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369" w:hRule="atLeast"/>
          <w:jc w:val="center"/>
        </w:trPr>
        <w:tc>
          <w:tcPr>
            <w:tcW w:w="713" w:type="dxa"/>
            <w:vMerge w:val="continue"/>
            <w:tcBorders>
              <w:top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27" w:type="dxa"/>
            <w:tcBorders>
              <w:top w:val="single" w:color="auto" w:sz="4" w:space="0"/>
              <w:left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r>
              <w:rPr>
                <w:rFonts w:hint="eastAsia"/>
              </w:rPr>
              <w:t>地块北侧</w:t>
            </w:r>
          </w:p>
        </w:tc>
        <w:tc>
          <w:tcPr>
            <w:tcW w:w="2650" w:type="dxa"/>
            <w:gridSpan w:val="2"/>
            <w:tcBorders>
              <w:top w:val="single" w:color="auto" w:sz="4" w:space="0"/>
              <w:left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209" w:type="dxa"/>
            <w:tcBorders>
              <w:top w:val="single" w:color="auto" w:sz="4" w:space="0"/>
              <w:left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1156" w:type="dxa"/>
            <w:tcBorders>
              <w:top w:val="single" w:color="auto" w:sz="4" w:space="0"/>
              <w:left w:val="single" w:color="auto" w:sz="4" w:space="0"/>
              <w:right w:val="single" w:color="auto" w:sz="4" w:space="0"/>
            </w:tcBorders>
            <w:vAlign w:val="center"/>
          </w:tcPr>
          <w:p>
            <w:pPr>
              <w:pStyle w:val="54"/>
              <w:keepNext w:val="0"/>
              <w:keepLines w:val="0"/>
              <w:suppressLineNumbers w:val="0"/>
              <w:bidi w:val="0"/>
              <w:spacing w:before="0" w:beforeAutospacing="0" w:after="0" w:afterAutospacing="0"/>
              <w:ind w:right="0"/>
              <w:rPr>
                <w:rFonts w:hint="eastAsia"/>
              </w:rPr>
            </w:pPr>
          </w:p>
        </w:tc>
        <w:tc>
          <w:tcPr>
            <w:tcW w:w="943" w:type="dxa"/>
            <w:tcBorders>
              <w:top w:val="single" w:color="auto" w:sz="4" w:space="0"/>
              <w:left w:val="single" w:color="auto" w:sz="4" w:space="0"/>
              <w:right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c>
          <w:tcPr>
            <w:tcW w:w="1048" w:type="dxa"/>
            <w:tcBorders>
              <w:top w:val="single" w:color="auto" w:sz="4" w:space="0"/>
              <w:left w:val="single" w:color="auto" w:sz="4" w:space="0"/>
            </w:tcBorders>
            <w:noWrap/>
            <w:vAlign w:val="center"/>
          </w:tcPr>
          <w:p>
            <w:pPr>
              <w:pStyle w:val="54"/>
              <w:keepNext w:val="0"/>
              <w:keepLines w:val="0"/>
              <w:suppressLineNumbers w:val="0"/>
              <w:bidi w:val="0"/>
              <w:spacing w:before="0" w:beforeAutospacing="0" w:after="0" w:afterAutospacing="0"/>
              <w:ind w:right="0"/>
              <w:rPr>
                <w:rFonts w:hint="eastAsia"/>
              </w:rPr>
            </w:pPr>
          </w:p>
        </w:tc>
      </w:tr>
    </w:tbl>
    <w:p>
      <w:pPr>
        <w:rPr>
          <w:rFonts w:hint="eastAsia"/>
          <w:lang w:val="en-US" w:eastAsia="zh-CN"/>
        </w:rPr>
      </w:pPr>
      <w:r>
        <w:rPr>
          <w:rFonts w:hint="eastAsia"/>
          <w:lang w:val="en-US" w:eastAsia="zh-CN"/>
        </w:rPr>
        <w:br w:type="page"/>
      </w:r>
    </w:p>
    <w:p>
      <w:pPr>
        <w:pStyle w:val="56"/>
        <w:rPr>
          <w:rFonts w:hint="eastAsia"/>
          <w:lang w:val="en-US" w:eastAsia="zh-CN"/>
        </w:rPr>
      </w:pPr>
    </w:p>
    <w:p>
      <w:pPr>
        <w:pStyle w:val="56"/>
        <w:keepNext w:val="0"/>
        <w:keepLines w:val="0"/>
        <w:pageBreakBefore w:val="0"/>
        <w:widowControl w:val="0"/>
        <w:kinsoku/>
        <w:wordWrap/>
        <w:overflowPunct/>
        <w:topLinePunct w:val="0"/>
        <w:autoSpaceDE/>
        <w:autoSpaceDN/>
        <w:bidi w:val="0"/>
        <w:adjustRightInd/>
        <w:snapToGrid/>
        <w:ind w:firstLine="0" w:firstLineChars="0"/>
        <w:jc w:val="center"/>
        <w:textAlignment w:val="baseline"/>
      </w:pPr>
      <w:r>
        <w:drawing>
          <wp:inline distT="0" distB="0" distL="114300" distR="114300">
            <wp:extent cx="8256270" cy="5384800"/>
            <wp:effectExtent l="0" t="0" r="6350" b="11430"/>
            <wp:docPr id="4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4"/>
                    <pic:cNvPicPr>
                      <a:picLocks noChangeAspect="1"/>
                    </pic:cNvPicPr>
                  </pic:nvPicPr>
                  <pic:blipFill>
                    <a:blip r:embed="rId110"/>
                    <a:stretch>
                      <a:fillRect/>
                    </a:stretch>
                  </pic:blipFill>
                  <pic:spPr>
                    <a:xfrm rot="5400000">
                      <a:off x="0" y="0"/>
                      <a:ext cx="8256270" cy="5384800"/>
                    </a:xfrm>
                    <a:prstGeom prst="rect">
                      <a:avLst/>
                    </a:prstGeom>
                    <a:noFill/>
                    <a:ln>
                      <a:noFill/>
                    </a:ln>
                  </pic:spPr>
                </pic:pic>
              </a:graphicData>
            </a:graphic>
          </wp:inline>
        </w:drawing>
      </w:r>
    </w:p>
    <w:p>
      <w:pPr>
        <w:pStyle w:val="250"/>
        <w:bidi w:val="0"/>
        <w:rPr>
          <w:rFonts w:hint="eastAsia"/>
          <w:b/>
          <w:bCs/>
          <w:sz w:val="28"/>
          <w:szCs w:val="28"/>
          <w:lang w:val="en-US" w:eastAsia="zh-CN"/>
        </w:rPr>
      </w:pPr>
      <w:r>
        <w:rPr>
          <w:rFonts w:hint="eastAsia"/>
          <w:b/>
          <w:bCs/>
          <w:sz w:val="28"/>
          <w:szCs w:val="28"/>
          <w:lang w:val="en-US" w:eastAsia="zh-CN"/>
        </w:rPr>
        <w:t>附图1：海绵城市汇水分区图</w:t>
      </w:r>
    </w:p>
    <w:p>
      <w:pPr>
        <w:pStyle w:val="56"/>
        <w:keepNext w:val="0"/>
        <w:keepLines w:val="0"/>
        <w:pageBreakBefore w:val="0"/>
        <w:widowControl w:val="0"/>
        <w:kinsoku/>
        <w:wordWrap/>
        <w:overflowPunct/>
        <w:topLinePunct w:val="0"/>
        <w:autoSpaceDE/>
        <w:autoSpaceDN/>
        <w:bidi w:val="0"/>
        <w:adjustRightInd/>
        <w:snapToGrid/>
        <w:ind w:firstLine="0" w:firstLineChars="0"/>
        <w:jc w:val="center"/>
        <w:textAlignment w:val="baseline"/>
      </w:pPr>
      <w:r>
        <w:drawing>
          <wp:inline distT="0" distB="0" distL="114300" distR="114300">
            <wp:extent cx="8514715" cy="5589270"/>
            <wp:effectExtent l="0" t="0" r="11430" b="635"/>
            <wp:docPr id="5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6"/>
                    <pic:cNvPicPr>
                      <a:picLocks noChangeAspect="1"/>
                    </pic:cNvPicPr>
                  </pic:nvPicPr>
                  <pic:blipFill>
                    <a:blip r:embed="rId111"/>
                    <a:stretch>
                      <a:fillRect/>
                    </a:stretch>
                  </pic:blipFill>
                  <pic:spPr>
                    <a:xfrm rot="5400000">
                      <a:off x="0" y="0"/>
                      <a:ext cx="8514715" cy="5589270"/>
                    </a:xfrm>
                    <a:prstGeom prst="rect">
                      <a:avLst/>
                    </a:prstGeom>
                    <a:noFill/>
                    <a:ln>
                      <a:noFill/>
                    </a:ln>
                  </pic:spPr>
                </pic:pic>
              </a:graphicData>
            </a:graphic>
          </wp:inline>
        </w:drawing>
      </w:r>
    </w:p>
    <w:p>
      <w:pPr>
        <w:pStyle w:val="250"/>
        <w:bidi w:val="0"/>
        <w:rPr>
          <w:rFonts w:hint="eastAsia"/>
          <w:b/>
          <w:bCs/>
          <w:sz w:val="28"/>
          <w:szCs w:val="28"/>
          <w:lang w:val="en-US" w:eastAsia="zh-CN"/>
        </w:rPr>
      </w:pPr>
      <w:r>
        <w:rPr>
          <w:rFonts w:hint="eastAsia"/>
          <w:b/>
          <w:bCs/>
          <w:sz w:val="28"/>
          <w:szCs w:val="28"/>
          <w:lang w:val="en-US" w:eastAsia="zh-CN"/>
        </w:rPr>
        <w:t>附图2：海绵城市下垫层分类图</w:t>
      </w:r>
    </w:p>
    <w:p>
      <w:pPr>
        <w:pStyle w:val="56"/>
        <w:keepNext w:val="0"/>
        <w:keepLines w:val="0"/>
        <w:pageBreakBefore w:val="0"/>
        <w:widowControl w:val="0"/>
        <w:kinsoku/>
        <w:wordWrap/>
        <w:overflowPunct/>
        <w:topLinePunct w:val="0"/>
        <w:autoSpaceDE/>
        <w:autoSpaceDN/>
        <w:bidi w:val="0"/>
        <w:adjustRightInd/>
        <w:snapToGrid/>
        <w:ind w:firstLine="0" w:firstLineChars="0"/>
        <w:jc w:val="center"/>
        <w:textAlignment w:val="baseline"/>
      </w:pPr>
      <w:r>
        <w:drawing>
          <wp:inline distT="0" distB="0" distL="114300" distR="114300">
            <wp:extent cx="8537575" cy="5617210"/>
            <wp:effectExtent l="0" t="0" r="2540" b="15875"/>
            <wp:docPr id="5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7"/>
                    <pic:cNvPicPr>
                      <a:picLocks noChangeAspect="1"/>
                    </pic:cNvPicPr>
                  </pic:nvPicPr>
                  <pic:blipFill>
                    <a:blip r:embed="rId112"/>
                    <a:stretch>
                      <a:fillRect/>
                    </a:stretch>
                  </pic:blipFill>
                  <pic:spPr>
                    <a:xfrm rot="5400000">
                      <a:off x="0" y="0"/>
                      <a:ext cx="8537575" cy="5617210"/>
                    </a:xfrm>
                    <a:prstGeom prst="rect">
                      <a:avLst/>
                    </a:prstGeom>
                    <a:noFill/>
                    <a:ln>
                      <a:noFill/>
                    </a:ln>
                  </pic:spPr>
                </pic:pic>
              </a:graphicData>
            </a:graphic>
          </wp:inline>
        </w:drawing>
      </w:r>
    </w:p>
    <w:p>
      <w:pPr>
        <w:pStyle w:val="250"/>
        <w:bidi w:val="0"/>
        <w:rPr>
          <w:rFonts w:hint="eastAsia"/>
          <w:b/>
          <w:bCs/>
          <w:sz w:val="28"/>
          <w:szCs w:val="28"/>
          <w:lang w:val="en-US" w:eastAsia="zh-CN"/>
        </w:rPr>
      </w:pPr>
      <w:r>
        <w:rPr>
          <w:rFonts w:hint="eastAsia"/>
          <w:b/>
          <w:bCs/>
          <w:sz w:val="28"/>
          <w:szCs w:val="28"/>
          <w:lang w:val="en-US" w:eastAsia="zh-CN"/>
        </w:rPr>
        <w:t>附图3：海绵城市设施布置图</w:t>
      </w:r>
    </w:p>
    <w:p>
      <w:pPr>
        <w:pStyle w:val="56"/>
      </w:pPr>
    </w:p>
    <w:p>
      <w:pPr>
        <w:pStyle w:val="56"/>
        <w:keepNext w:val="0"/>
        <w:keepLines w:val="0"/>
        <w:pageBreakBefore w:val="0"/>
        <w:widowControl w:val="0"/>
        <w:kinsoku/>
        <w:wordWrap/>
        <w:overflowPunct/>
        <w:topLinePunct w:val="0"/>
        <w:autoSpaceDE/>
        <w:autoSpaceDN/>
        <w:bidi w:val="0"/>
        <w:adjustRightInd/>
        <w:snapToGrid/>
        <w:ind w:firstLine="0" w:firstLineChars="0"/>
        <w:jc w:val="center"/>
        <w:textAlignment w:val="baseline"/>
      </w:pPr>
    </w:p>
    <w:p>
      <w:pPr>
        <w:pStyle w:val="250"/>
        <w:bidi w:val="0"/>
        <w:rPr>
          <w:rFonts w:hint="eastAsia"/>
          <w:b/>
          <w:bCs/>
          <w:sz w:val="28"/>
          <w:szCs w:val="28"/>
          <w:lang w:val="en-US" w:eastAsia="zh-CN"/>
        </w:rPr>
      </w:pPr>
      <w:r>
        <w:drawing>
          <wp:inline distT="0" distB="0" distL="114300" distR="114300">
            <wp:extent cx="7911465" cy="5240655"/>
            <wp:effectExtent l="0" t="0" r="17145" b="13335"/>
            <wp:docPr id="5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8"/>
                    <pic:cNvPicPr>
                      <a:picLocks noChangeAspect="1"/>
                    </pic:cNvPicPr>
                  </pic:nvPicPr>
                  <pic:blipFill>
                    <a:blip r:embed="rId113"/>
                    <a:stretch>
                      <a:fillRect/>
                    </a:stretch>
                  </pic:blipFill>
                  <pic:spPr>
                    <a:xfrm rot="5400000">
                      <a:off x="0" y="0"/>
                      <a:ext cx="7911465" cy="5240655"/>
                    </a:xfrm>
                    <a:prstGeom prst="rect">
                      <a:avLst/>
                    </a:prstGeom>
                    <a:noFill/>
                    <a:ln>
                      <a:noFill/>
                    </a:ln>
                  </pic:spPr>
                </pic:pic>
              </a:graphicData>
            </a:graphic>
          </wp:inline>
        </w:drawing>
      </w:r>
    </w:p>
    <w:p>
      <w:pPr>
        <w:pStyle w:val="250"/>
        <w:bidi w:val="0"/>
        <w:rPr>
          <w:rFonts w:hint="eastAsia"/>
          <w:b/>
          <w:bCs/>
          <w:sz w:val="28"/>
          <w:szCs w:val="28"/>
          <w:lang w:val="en-US" w:eastAsia="zh-CN"/>
        </w:rPr>
      </w:pPr>
      <w:r>
        <w:rPr>
          <w:rFonts w:hint="eastAsia"/>
          <w:b/>
          <w:bCs/>
          <w:sz w:val="28"/>
          <w:szCs w:val="28"/>
          <w:lang w:val="en-US" w:eastAsia="zh-CN"/>
        </w:rPr>
        <w:t>附图4：海绵城市径流路径设计图</w:t>
      </w:r>
    </w:p>
    <w:p>
      <w:pPr>
        <w:pStyle w:val="3"/>
        <w:numPr>
          <w:ilvl w:val="0"/>
          <w:numId w:val="0"/>
        </w:numPr>
        <w:bidi w:val="0"/>
        <w:jc w:val="both"/>
        <w:rPr>
          <w:rFonts w:hint="eastAsia"/>
          <w:lang w:val="en-US" w:eastAsia="zh-CN"/>
        </w:rPr>
      </w:pPr>
      <w:bookmarkStart w:id="400" w:name="_Toc30177"/>
      <w:r>
        <w:rPr>
          <w:rFonts w:hint="eastAsia"/>
          <w:lang w:val="en-US" w:eastAsia="zh-CN"/>
        </w:rPr>
        <w:t>附件二 批复文件</w:t>
      </w:r>
      <w:bookmarkEnd w:id="400"/>
    </w:p>
    <w:p>
      <w:pPr>
        <w:pStyle w:val="250"/>
        <w:bidi w:val="0"/>
        <w:rPr>
          <w:rFonts w:hint="eastAsia"/>
          <w:sz w:val="28"/>
          <w:szCs w:val="28"/>
          <w:lang w:val="en-US" w:eastAsia="zh-CN"/>
        </w:rPr>
      </w:pPr>
      <w:r>
        <w:rPr>
          <w:rFonts w:hint="eastAsia"/>
          <w:b/>
          <w:bCs/>
          <w:sz w:val="28"/>
          <w:szCs w:val="28"/>
          <w:lang w:val="en-US" w:eastAsia="zh-CN"/>
        </w:rPr>
        <w:t xml:space="preserve">附件1  </w:t>
      </w:r>
      <w:r>
        <w:rPr>
          <w:sz w:val="28"/>
          <w:szCs w:val="28"/>
          <w:lang w:val="en-US" w:eastAsia="zh-CN"/>
        </w:rPr>
        <w:t>广州市番禺区</w:t>
      </w:r>
      <w:r>
        <w:rPr>
          <w:rFonts w:hint="eastAsia"/>
          <w:sz w:val="28"/>
          <w:szCs w:val="28"/>
          <w:lang w:val="en-US" w:eastAsia="zh-CN"/>
        </w:rPr>
        <w:t>水务局</w:t>
      </w:r>
    </w:p>
    <w:p>
      <w:pPr>
        <w:pStyle w:val="250"/>
        <w:bidi w:val="0"/>
        <w:rPr>
          <w:rFonts w:hint="eastAsia"/>
          <w:sz w:val="28"/>
          <w:szCs w:val="28"/>
          <w:lang w:val="en-US" w:eastAsia="zh-CN"/>
        </w:rPr>
      </w:pPr>
      <w:r>
        <w:rPr>
          <w:rFonts w:hint="eastAsia"/>
          <w:sz w:val="28"/>
          <w:szCs w:val="28"/>
          <w:lang w:val="en-US" w:eastAsia="zh-CN"/>
        </w:rPr>
        <w:t>关于桥南街大蕴涌排涝通道改造工程</w:t>
      </w:r>
    </w:p>
    <w:p>
      <w:pPr>
        <w:pStyle w:val="250"/>
        <w:bidi w:val="0"/>
        <w:rPr>
          <w:rFonts w:hint="eastAsia"/>
          <w:sz w:val="28"/>
          <w:szCs w:val="28"/>
          <w:lang w:val="en-US" w:eastAsia="zh-CN"/>
        </w:rPr>
      </w:pPr>
      <w:r>
        <w:rPr>
          <w:rFonts w:hint="eastAsia"/>
          <w:sz w:val="28"/>
          <w:szCs w:val="28"/>
          <w:lang w:val="en-US" w:eastAsia="zh-CN"/>
        </w:rPr>
        <w:t>初步设计的批复</w:t>
      </w:r>
    </w:p>
    <w:p>
      <w:pPr>
        <w:pStyle w:val="250"/>
        <w:bidi w:val="0"/>
        <w:rPr>
          <w:rFonts w:hint="default"/>
          <w:sz w:val="28"/>
          <w:szCs w:val="28"/>
          <w:lang w:val="en-US" w:eastAsia="zh-CN"/>
        </w:rPr>
      </w:pPr>
      <w:r>
        <w:drawing>
          <wp:inline distT="0" distB="0" distL="114300" distR="114300">
            <wp:extent cx="4836160" cy="6917055"/>
            <wp:effectExtent l="0" t="0" r="2540" b="17145"/>
            <wp:docPr id="4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1"/>
                    <pic:cNvPicPr>
                      <a:picLocks noChangeAspect="1"/>
                    </pic:cNvPicPr>
                  </pic:nvPicPr>
                  <pic:blipFill>
                    <a:blip r:embed="rId114"/>
                    <a:stretch>
                      <a:fillRect/>
                    </a:stretch>
                  </pic:blipFill>
                  <pic:spPr>
                    <a:xfrm>
                      <a:off x="0" y="0"/>
                      <a:ext cx="4836160" cy="691705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ind w:firstLine="0" w:firstLineChars="0"/>
        <w:jc w:val="center"/>
        <w:textAlignment w:val="auto"/>
      </w:pPr>
      <w:r>
        <w:drawing>
          <wp:inline distT="0" distB="0" distL="114300" distR="114300">
            <wp:extent cx="5379085" cy="7325360"/>
            <wp:effectExtent l="0" t="0" r="12065" b="8890"/>
            <wp:docPr id="4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2"/>
                    <pic:cNvPicPr>
                      <a:picLocks noChangeAspect="1"/>
                    </pic:cNvPicPr>
                  </pic:nvPicPr>
                  <pic:blipFill>
                    <a:blip r:embed="rId115"/>
                    <a:stretch>
                      <a:fillRect/>
                    </a:stretch>
                  </pic:blipFill>
                  <pic:spPr>
                    <a:xfrm>
                      <a:off x="0" y="0"/>
                      <a:ext cx="5379085" cy="7325360"/>
                    </a:xfrm>
                    <a:prstGeom prst="rect">
                      <a:avLst/>
                    </a:prstGeom>
                    <a:noFill/>
                    <a:ln>
                      <a:noFill/>
                    </a:ln>
                  </pic:spPr>
                </pic:pic>
              </a:graphicData>
            </a:graphic>
          </wp:inline>
        </w:drawing>
      </w:r>
    </w:p>
    <w:p>
      <w:pPr>
        <w:pStyle w:val="2"/>
        <w:keepNext w:val="0"/>
        <w:keepLines w:val="0"/>
        <w:pageBreakBefore w:val="0"/>
        <w:widowControl/>
        <w:kinsoku/>
        <w:wordWrap/>
        <w:overflowPunct/>
        <w:topLinePunct w:val="0"/>
        <w:autoSpaceDE/>
        <w:autoSpaceDN/>
        <w:bidi w:val="0"/>
        <w:adjustRightInd/>
        <w:snapToGrid/>
        <w:ind w:left="0" w:leftChars="0"/>
        <w:jc w:val="center"/>
        <w:textAlignment w:val="auto"/>
      </w:pPr>
      <w:r>
        <w:drawing>
          <wp:inline distT="0" distB="0" distL="114300" distR="114300">
            <wp:extent cx="5737860" cy="7974965"/>
            <wp:effectExtent l="0" t="0" r="15240" b="6985"/>
            <wp:docPr id="4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3"/>
                    <pic:cNvPicPr>
                      <a:picLocks noChangeAspect="1"/>
                    </pic:cNvPicPr>
                  </pic:nvPicPr>
                  <pic:blipFill>
                    <a:blip r:embed="rId116"/>
                    <a:stretch>
                      <a:fillRect/>
                    </a:stretch>
                  </pic:blipFill>
                  <pic:spPr>
                    <a:xfrm>
                      <a:off x="0" y="0"/>
                      <a:ext cx="5737860" cy="7974965"/>
                    </a:xfrm>
                    <a:prstGeom prst="rect">
                      <a:avLst/>
                    </a:prstGeom>
                    <a:noFill/>
                    <a:ln>
                      <a:noFill/>
                    </a:ln>
                  </pic:spPr>
                </pic:pic>
              </a:graphicData>
            </a:graphic>
          </wp:inline>
        </w:drawing>
      </w:r>
    </w:p>
    <w:p>
      <w:pPr>
        <w:ind w:left="0" w:leftChars="0" w:firstLine="0" w:firstLineChars="0"/>
        <w:rPr>
          <w:rFonts w:hint="default"/>
          <w:lang w:val="zh-CN" w:eastAsia="zh-CN"/>
        </w:rPr>
      </w:pPr>
    </w:p>
    <w:sectPr>
      <w:footerReference r:id="rId9" w:type="default"/>
      <w:pgSz w:w="11906" w:h="16838"/>
      <w:pgMar w:top="1418" w:right="1304" w:bottom="1418" w:left="1418" w:header="567" w:footer="284" w:gutter="113"/>
      <w:pgNumType w:fmt="decimal"/>
      <w:cols w:space="720" w:num="1"/>
      <w:docGrid w:linePitch="466" w:charSpace="85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仿宋_GB2312">
    <w:panose1 w:val="02010609030101010101"/>
    <w:charset w:val="86"/>
    <w:family w:val="modern"/>
    <w:pitch w:val="default"/>
    <w:sig w:usb0="00000001" w:usb1="080E0000" w:usb2="00000000" w:usb3="00000000" w:csb0="00040000" w:csb1="00000000"/>
  </w:font>
  <w:font w:name="方正书宋简体">
    <w:altName w:val="宋体"/>
    <w:panose1 w:val="02010601030101010101"/>
    <w:charset w:val="86"/>
    <w:family w:val="auto"/>
    <w:pitch w:val="default"/>
    <w:sig w:usb0="00000000" w:usb1="00000000" w:usb2="00000010" w:usb3="00000000" w:csb0="00040000" w:csb1="00000000"/>
  </w:font>
  <w:font w:name="Arial Unicode MS">
    <w:altName w:val="宋体"/>
    <w:panose1 w:val="020B0604020202020204"/>
    <w:charset w:val="86"/>
    <w:family w:val="swiss"/>
    <w:pitch w:val="default"/>
    <w:sig w:usb0="00000000" w:usb1="00000000" w:usb2="0000003F" w:usb3="00000000" w:csb0="603F01FF" w:csb1="FFFF0000"/>
  </w:font>
  <w:font w:name="Verdana">
    <w:panose1 w:val="020B0604030504040204"/>
    <w:charset w:val="00"/>
    <w:family w:val="swiss"/>
    <w:pitch w:val="default"/>
    <w:sig w:usb0="A00006FF" w:usb1="4000205B" w:usb2="00000010" w:usb3="00000000" w:csb0="2000019F" w:csb1="00000000"/>
  </w:font>
  <w:font w:name="楷体_GB2312">
    <w:panose1 w:val="02010609030101010101"/>
    <w:charset w:val="86"/>
    <w:family w:val="modern"/>
    <w:pitch w:val="default"/>
    <w:sig w:usb0="00000001" w:usb1="080E0000" w:usb2="00000000" w:usb3="00000000" w:csb0="00040000" w:csb1="00000000"/>
  </w:font>
  <w:font w:name="Tahoma">
    <w:panose1 w:val="020B0604030504040204"/>
    <w:charset w:val="00"/>
    <w:family w:val="swiss"/>
    <w:pitch w:val="default"/>
    <w:sig w:usb0="E1002EFF" w:usb1="C000605B" w:usb2="00000029" w:usb3="00000000" w:csb0="200101FF" w:csb1="20280000"/>
  </w:font>
  <w:font w:name="Calibri Light">
    <w:panose1 w:val="020F0302020204030204"/>
    <w:charset w:val="00"/>
    <w:family w:val="swiss"/>
    <w:pitch w:val="default"/>
    <w:sig w:usb0="E4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Wingdings 2">
    <w:altName w:val="Wingdings"/>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Kingsoft Symbol">
    <w:altName w:val="Symbol"/>
    <w:panose1 w:val="00000000000000000000"/>
    <w:charset w:val="00"/>
    <w:family w:val="auto"/>
    <w:pitch w:val="default"/>
    <w:sig w:usb0="00000000" w:usb1="00000000" w:usb2="00000000" w:usb3="00000000" w:csb0="00000000" w:csb1="00000000"/>
  </w:font>
  <w:font w:name="Symbol">
    <w:panose1 w:val="050501020107060205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8"/>
      <w:ind w:firstLine="37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8"/>
      <w:jc w:val="both"/>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pPr>
                      <w:pStyle w:val="2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7997015"/>
      <w:docPartObj>
        <w:docPartGallery w:val="autotext"/>
      </w:docPartObj>
    </w:sdtPr>
    <w:sdtContent>
      <w:p>
        <w:pPr>
          <w:pStyle w:val="28"/>
          <w:jc w:val="center"/>
        </w:pPr>
        <w:r>
          <w:fldChar w:fldCharType="begin"/>
        </w:r>
        <w:r>
          <w:instrText xml:space="preserve"> PAGE   \* MERGEFORMAT </w:instrText>
        </w:r>
        <w:r>
          <w:fldChar w:fldCharType="separate"/>
        </w:r>
        <w:r>
          <w:rPr>
            <w:lang w:val="zh-CN"/>
          </w:rPr>
          <w:t>219</w:t>
        </w:r>
        <w:r>
          <w:rPr>
            <w:lang w:val="zh-C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pBdr>
        <w:bottom w:val="none" w:color="auto" w:sz="0" w:space="1"/>
      </w:pBdr>
      <w:ind w:firstLine="420"/>
      <w:jc w:val="right"/>
      <w:rPr>
        <w:rFonts w:asciiTheme="majorHAnsi" w:hAnsiTheme="majorHAnsi" w:eastAsiaTheme="majorEastAsia" w:cstheme="majorBidi"/>
        <w:sz w:val="32"/>
        <w:szCs w:val="3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pBdr>
        <w:bottom w:val="thickThinSmallGap" w:color="622423" w:themeColor="accent2" w:themeShade="7F" w:sz="24" w:space="1"/>
      </w:pBdr>
      <w:ind w:firstLine="0" w:firstLineChars="0"/>
      <w:jc w:val="left"/>
    </w:pPr>
    <w:r>
      <w:rPr>
        <w:rFonts w:hint="eastAsia" w:ascii="黑体" w:hAnsi="黑体" w:eastAsia="黑体" w:cstheme="majorBidi"/>
        <w:sz w:val="21"/>
        <w:szCs w:val="21"/>
      </w:rPr>
      <w:t>4水文分析</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9D2081"/>
    <w:multiLevelType w:val="singleLevel"/>
    <w:tmpl w:val="849D2081"/>
    <w:lvl w:ilvl="0" w:tentative="0">
      <w:start w:val="1"/>
      <w:numFmt w:val="decimal"/>
      <w:suff w:val="nothing"/>
      <w:lvlText w:val="(%1)"/>
      <w:lvlJc w:val="left"/>
      <w:pPr>
        <w:ind w:left="425" w:hanging="425"/>
      </w:pPr>
      <w:rPr>
        <w:rFonts w:hint="default"/>
      </w:rPr>
    </w:lvl>
  </w:abstractNum>
  <w:abstractNum w:abstractNumId="1">
    <w:nsid w:val="8899A5C0"/>
    <w:multiLevelType w:val="singleLevel"/>
    <w:tmpl w:val="8899A5C0"/>
    <w:lvl w:ilvl="0" w:tentative="0">
      <w:start w:val="1"/>
      <w:numFmt w:val="decimal"/>
      <w:lvlText w:val="(%1)"/>
      <w:lvlJc w:val="left"/>
      <w:pPr>
        <w:ind w:left="425" w:hanging="425"/>
      </w:pPr>
      <w:rPr>
        <w:rFonts w:hint="default"/>
      </w:rPr>
    </w:lvl>
  </w:abstractNum>
  <w:abstractNum w:abstractNumId="2">
    <w:nsid w:val="8965EC3E"/>
    <w:multiLevelType w:val="multilevel"/>
    <w:tmpl w:val="8965EC3E"/>
    <w:lvl w:ilvl="0" w:tentative="0">
      <w:start w:val="1"/>
      <w:numFmt w:val="decimal"/>
      <w:pStyle w:val="3"/>
      <w:lvlText w:val="%1."/>
      <w:lvlJc w:val="left"/>
      <w:pPr>
        <w:ind w:left="432" w:hanging="432"/>
      </w:pPr>
      <w:rPr>
        <w:rFonts w:hint="default"/>
      </w:rPr>
    </w:lvl>
    <w:lvl w:ilvl="1" w:tentative="0">
      <w:start w:val="1"/>
      <w:numFmt w:val="decimal"/>
      <w:pStyle w:val="4"/>
      <w:lvlText w:val="%1.%2."/>
      <w:lvlJc w:val="left"/>
      <w:pPr>
        <w:ind w:left="575" w:hanging="575"/>
      </w:pPr>
      <w:rPr>
        <w:rFonts w:hint="default"/>
      </w:rPr>
    </w:lvl>
    <w:lvl w:ilvl="2" w:tentative="0">
      <w:start w:val="1"/>
      <w:numFmt w:val="decimal"/>
      <w:pStyle w:val="5"/>
      <w:lvlText w:val="%1.%2.%3."/>
      <w:lvlJc w:val="left"/>
      <w:pPr>
        <w:ind w:left="720" w:hanging="720"/>
      </w:pPr>
      <w:rPr>
        <w:rFonts w:hint="default"/>
      </w:rPr>
    </w:lvl>
    <w:lvl w:ilvl="3" w:tentative="0">
      <w:start w:val="1"/>
      <w:numFmt w:val="decimal"/>
      <w:pStyle w:val="6"/>
      <w:lvlText w:val="%1.%2.%3.%4."/>
      <w:lvlJc w:val="left"/>
      <w:pPr>
        <w:ind w:left="864" w:hanging="864"/>
      </w:pPr>
      <w:rPr>
        <w:rFonts w:hint="default"/>
      </w:rPr>
    </w:lvl>
    <w:lvl w:ilvl="4" w:tentative="0">
      <w:start w:val="1"/>
      <w:numFmt w:val="decimal"/>
      <w:pStyle w:val="7"/>
      <w:lvlText w:val="%1.%2.%3.%4.%5."/>
      <w:lvlJc w:val="left"/>
      <w:pPr>
        <w:ind w:left="1008" w:hanging="1008"/>
      </w:pPr>
      <w:rPr>
        <w:rFonts w:hint="default"/>
      </w:rPr>
    </w:lvl>
    <w:lvl w:ilvl="5" w:tentative="0">
      <w:start w:val="1"/>
      <w:numFmt w:val="decimal"/>
      <w:pStyle w:val="9"/>
      <w:lvlText w:val="%1.%2.%3.%4.%5.%6."/>
      <w:lvlJc w:val="left"/>
      <w:pPr>
        <w:ind w:left="1151" w:hanging="1151"/>
      </w:pPr>
      <w:rPr>
        <w:rFonts w:hint="default"/>
      </w:rPr>
    </w:lvl>
    <w:lvl w:ilvl="6" w:tentative="0">
      <w:start w:val="1"/>
      <w:numFmt w:val="decimal"/>
      <w:pStyle w:val="10"/>
      <w:lvlText w:val="%1.%2.%3.%4.%5.%6.%7."/>
      <w:lvlJc w:val="left"/>
      <w:pPr>
        <w:ind w:left="1296" w:hanging="1296"/>
      </w:pPr>
      <w:rPr>
        <w:rFonts w:hint="default"/>
      </w:rPr>
    </w:lvl>
    <w:lvl w:ilvl="7" w:tentative="0">
      <w:start w:val="1"/>
      <w:numFmt w:val="decimal"/>
      <w:pStyle w:val="11"/>
      <w:lvlText w:val="%1.%2.%3.%4.%5.%6.%7.%8."/>
      <w:lvlJc w:val="left"/>
      <w:pPr>
        <w:ind w:left="1440" w:hanging="1440"/>
      </w:pPr>
      <w:rPr>
        <w:rFonts w:hint="default"/>
      </w:rPr>
    </w:lvl>
    <w:lvl w:ilvl="8" w:tentative="0">
      <w:start w:val="1"/>
      <w:numFmt w:val="decimal"/>
      <w:pStyle w:val="12"/>
      <w:lvlText w:val="%1.%2.%3.%4.%5.%6.%7.%8.%9."/>
      <w:lvlJc w:val="left"/>
      <w:pPr>
        <w:ind w:left="1583" w:hanging="1583"/>
      </w:pPr>
      <w:rPr>
        <w:rFonts w:hint="default"/>
      </w:rPr>
    </w:lvl>
  </w:abstractNum>
  <w:abstractNum w:abstractNumId="3">
    <w:nsid w:val="A8FEBFD7"/>
    <w:multiLevelType w:val="singleLevel"/>
    <w:tmpl w:val="A8FEBFD7"/>
    <w:lvl w:ilvl="0" w:tentative="0">
      <w:start w:val="1"/>
      <w:numFmt w:val="decimal"/>
      <w:suff w:val="nothing"/>
      <w:lvlText w:val="(%1)"/>
      <w:lvlJc w:val="left"/>
      <w:pPr>
        <w:ind w:left="425" w:hanging="425"/>
      </w:pPr>
      <w:rPr>
        <w:rFonts w:hint="default"/>
      </w:rPr>
    </w:lvl>
  </w:abstractNum>
  <w:abstractNum w:abstractNumId="4">
    <w:nsid w:val="DAEEF359"/>
    <w:multiLevelType w:val="singleLevel"/>
    <w:tmpl w:val="DAEEF359"/>
    <w:lvl w:ilvl="0" w:tentative="0">
      <w:start w:val="1"/>
      <w:numFmt w:val="decimal"/>
      <w:lvlText w:val="(%1)"/>
      <w:lvlJc w:val="left"/>
      <w:pPr>
        <w:ind w:left="425" w:hanging="425"/>
      </w:pPr>
      <w:rPr>
        <w:rFonts w:hint="default"/>
      </w:rPr>
    </w:lvl>
  </w:abstractNum>
  <w:abstractNum w:abstractNumId="5">
    <w:nsid w:val="E7A2DE33"/>
    <w:multiLevelType w:val="singleLevel"/>
    <w:tmpl w:val="E7A2DE33"/>
    <w:lvl w:ilvl="0" w:tentative="0">
      <w:start w:val="1"/>
      <w:numFmt w:val="decimal"/>
      <w:suff w:val="nothing"/>
      <w:lvlText w:val="(%1)"/>
      <w:lvlJc w:val="left"/>
      <w:pPr>
        <w:ind w:left="425" w:hanging="425"/>
      </w:pPr>
      <w:rPr>
        <w:rFonts w:hint="default"/>
      </w:rPr>
    </w:lvl>
  </w:abstractNum>
  <w:abstractNum w:abstractNumId="6">
    <w:nsid w:val="F3B5EAAE"/>
    <w:multiLevelType w:val="singleLevel"/>
    <w:tmpl w:val="F3B5EAAE"/>
    <w:lvl w:ilvl="0" w:tentative="0">
      <w:start w:val="1"/>
      <w:numFmt w:val="decimal"/>
      <w:lvlText w:val="(%1)"/>
      <w:lvlJc w:val="left"/>
      <w:pPr>
        <w:ind w:left="425" w:hanging="425"/>
      </w:pPr>
      <w:rPr>
        <w:rFonts w:hint="default"/>
      </w:rPr>
    </w:lvl>
  </w:abstractNum>
  <w:abstractNum w:abstractNumId="7">
    <w:nsid w:val="FBBDCA2C"/>
    <w:multiLevelType w:val="singleLevel"/>
    <w:tmpl w:val="FBBDCA2C"/>
    <w:lvl w:ilvl="0" w:tentative="0">
      <w:start w:val="1"/>
      <w:numFmt w:val="decimal"/>
      <w:lvlText w:val="(%1)"/>
      <w:lvlJc w:val="left"/>
      <w:pPr>
        <w:ind w:left="425" w:hanging="425"/>
      </w:pPr>
      <w:rPr>
        <w:rFonts w:hint="default"/>
      </w:rPr>
    </w:lvl>
  </w:abstractNum>
  <w:abstractNum w:abstractNumId="8">
    <w:nsid w:val="01A1ABAA"/>
    <w:multiLevelType w:val="singleLevel"/>
    <w:tmpl w:val="01A1ABAA"/>
    <w:lvl w:ilvl="0" w:tentative="0">
      <w:start w:val="1"/>
      <w:numFmt w:val="decimal"/>
      <w:suff w:val="nothing"/>
      <w:lvlText w:val="（%1）"/>
      <w:lvlJc w:val="left"/>
    </w:lvl>
  </w:abstractNum>
  <w:abstractNum w:abstractNumId="9">
    <w:nsid w:val="07A68C3B"/>
    <w:multiLevelType w:val="singleLevel"/>
    <w:tmpl w:val="07A68C3B"/>
    <w:lvl w:ilvl="0" w:tentative="0">
      <w:start w:val="1"/>
      <w:numFmt w:val="decimal"/>
      <w:lvlText w:val="(%1)"/>
      <w:lvlJc w:val="left"/>
      <w:pPr>
        <w:ind w:left="425" w:hanging="425"/>
      </w:pPr>
      <w:rPr>
        <w:rFonts w:hint="default"/>
      </w:rPr>
    </w:lvl>
  </w:abstractNum>
  <w:abstractNum w:abstractNumId="10">
    <w:nsid w:val="307D2879"/>
    <w:multiLevelType w:val="singleLevel"/>
    <w:tmpl w:val="307D2879"/>
    <w:lvl w:ilvl="0" w:tentative="0">
      <w:start w:val="1"/>
      <w:numFmt w:val="decimal"/>
      <w:suff w:val="nothing"/>
      <w:lvlText w:val="(%1)"/>
      <w:lvlJc w:val="left"/>
      <w:pPr>
        <w:ind w:left="425" w:hanging="425"/>
      </w:pPr>
      <w:rPr>
        <w:rFonts w:hint="default"/>
      </w:rPr>
    </w:lvl>
  </w:abstractNum>
  <w:abstractNum w:abstractNumId="11">
    <w:nsid w:val="36C8FF78"/>
    <w:multiLevelType w:val="singleLevel"/>
    <w:tmpl w:val="36C8FF78"/>
    <w:lvl w:ilvl="0" w:tentative="0">
      <w:start w:val="1"/>
      <w:numFmt w:val="decimal"/>
      <w:suff w:val="nothing"/>
      <w:lvlText w:val="（%1）"/>
      <w:lvlJc w:val="left"/>
    </w:lvl>
  </w:abstractNum>
  <w:abstractNum w:abstractNumId="12">
    <w:nsid w:val="42877F4A"/>
    <w:multiLevelType w:val="singleLevel"/>
    <w:tmpl w:val="42877F4A"/>
    <w:lvl w:ilvl="0" w:tentative="0">
      <w:start w:val="1"/>
      <w:numFmt w:val="decimal"/>
      <w:lvlText w:val="(%1)"/>
      <w:lvlJc w:val="left"/>
      <w:pPr>
        <w:ind w:left="425" w:hanging="425"/>
      </w:pPr>
      <w:rPr>
        <w:rFonts w:hint="default"/>
      </w:rPr>
    </w:lvl>
  </w:abstractNum>
  <w:abstractNum w:abstractNumId="13">
    <w:nsid w:val="4B769C1E"/>
    <w:multiLevelType w:val="singleLevel"/>
    <w:tmpl w:val="4B769C1E"/>
    <w:lvl w:ilvl="0" w:tentative="0">
      <w:start w:val="1"/>
      <w:numFmt w:val="decimal"/>
      <w:lvlText w:val="%1."/>
      <w:lvlJc w:val="left"/>
      <w:pPr>
        <w:ind w:left="425" w:hanging="425"/>
      </w:pPr>
      <w:rPr>
        <w:rFonts w:hint="default"/>
      </w:rPr>
    </w:lvl>
  </w:abstractNum>
  <w:abstractNum w:abstractNumId="14">
    <w:nsid w:val="54A5D48B"/>
    <w:multiLevelType w:val="singleLevel"/>
    <w:tmpl w:val="54A5D48B"/>
    <w:lvl w:ilvl="0" w:tentative="0">
      <w:start w:val="2"/>
      <w:numFmt w:val="decimal"/>
      <w:suff w:val="nothing"/>
      <w:lvlText w:val="（%1）"/>
      <w:lvlJc w:val="left"/>
    </w:lvl>
  </w:abstractNum>
  <w:abstractNum w:abstractNumId="15">
    <w:nsid w:val="5B82D100"/>
    <w:multiLevelType w:val="singleLevel"/>
    <w:tmpl w:val="5B82D100"/>
    <w:lvl w:ilvl="0" w:tentative="0">
      <w:start w:val="1"/>
      <w:numFmt w:val="decimal"/>
      <w:lvlText w:val="(%1)"/>
      <w:lvlJc w:val="left"/>
      <w:pPr>
        <w:ind w:left="425" w:hanging="425"/>
      </w:pPr>
      <w:rPr>
        <w:rFonts w:hint="default"/>
      </w:rPr>
    </w:lvl>
  </w:abstractNum>
  <w:abstractNum w:abstractNumId="16">
    <w:nsid w:val="7FE1E40F"/>
    <w:multiLevelType w:val="singleLevel"/>
    <w:tmpl w:val="7FE1E40F"/>
    <w:lvl w:ilvl="0" w:tentative="0">
      <w:start w:val="1"/>
      <w:numFmt w:val="decimal"/>
      <w:lvlText w:val="(%1)"/>
      <w:lvlJc w:val="left"/>
      <w:pPr>
        <w:ind w:left="425" w:hanging="425"/>
      </w:pPr>
      <w:rPr>
        <w:rFonts w:hint="default"/>
      </w:rPr>
    </w:lvl>
  </w:abstractNum>
  <w:num w:numId="1">
    <w:abstractNumId w:val="2"/>
  </w:num>
  <w:num w:numId="2">
    <w:abstractNumId w:val="11"/>
  </w:num>
  <w:num w:numId="3">
    <w:abstractNumId w:val="14"/>
  </w:num>
  <w:num w:numId="4">
    <w:abstractNumId w:val="8"/>
  </w:num>
  <w:num w:numId="5">
    <w:abstractNumId w:val="10"/>
  </w:num>
  <w:num w:numId="6">
    <w:abstractNumId w:val="5"/>
  </w:num>
  <w:num w:numId="7">
    <w:abstractNumId w:val="6"/>
  </w:num>
  <w:num w:numId="8">
    <w:abstractNumId w:val="12"/>
  </w:num>
  <w:num w:numId="9">
    <w:abstractNumId w:val="1"/>
  </w:num>
  <w:num w:numId="10">
    <w:abstractNumId w:val="13"/>
  </w:num>
  <w:num w:numId="11">
    <w:abstractNumId w:val="7"/>
  </w:num>
  <w:num w:numId="12">
    <w:abstractNumId w:val="16"/>
  </w:num>
  <w:num w:numId="13">
    <w:abstractNumId w:val="15"/>
  </w:num>
  <w:num w:numId="14">
    <w:abstractNumId w:val="4"/>
  </w:num>
  <w:num w:numId="15">
    <w:abstractNumId w:val="3"/>
  </w:num>
  <w:num w:numId="16">
    <w:abstractNumId w:val="9"/>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hyphenationZone w:val="360"/>
  <w:drawingGridHorizontalSpacing w:val="140"/>
  <w:drawingGridVerticalSpacing w:val="233"/>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RkMWU5Y2U3OWQzMTI0ZDc3Mjg0ZjM4ODU4YTk2OTMifQ=="/>
  </w:docVars>
  <w:rsids>
    <w:rsidRoot w:val="00172A27"/>
    <w:rsid w:val="00000AF3"/>
    <w:rsid w:val="00000C19"/>
    <w:rsid w:val="00000D75"/>
    <w:rsid w:val="00000D7A"/>
    <w:rsid w:val="00000E4B"/>
    <w:rsid w:val="00002A96"/>
    <w:rsid w:val="00003042"/>
    <w:rsid w:val="00003DC5"/>
    <w:rsid w:val="00004240"/>
    <w:rsid w:val="000045B7"/>
    <w:rsid w:val="00006129"/>
    <w:rsid w:val="00006479"/>
    <w:rsid w:val="00006AAB"/>
    <w:rsid w:val="00006C88"/>
    <w:rsid w:val="0001057E"/>
    <w:rsid w:val="00010AD8"/>
    <w:rsid w:val="00011A26"/>
    <w:rsid w:val="00011C57"/>
    <w:rsid w:val="0001223D"/>
    <w:rsid w:val="0001443B"/>
    <w:rsid w:val="0001449F"/>
    <w:rsid w:val="000144F6"/>
    <w:rsid w:val="000152C6"/>
    <w:rsid w:val="00015537"/>
    <w:rsid w:val="00015669"/>
    <w:rsid w:val="000158D3"/>
    <w:rsid w:val="00015AA6"/>
    <w:rsid w:val="00015B83"/>
    <w:rsid w:val="00015D93"/>
    <w:rsid w:val="00016161"/>
    <w:rsid w:val="000161E3"/>
    <w:rsid w:val="000204A9"/>
    <w:rsid w:val="000204EC"/>
    <w:rsid w:val="0002079F"/>
    <w:rsid w:val="000209F9"/>
    <w:rsid w:val="00020FCA"/>
    <w:rsid w:val="000224B4"/>
    <w:rsid w:val="00023195"/>
    <w:rsid w:val="000231AC"/>
    <w:rsid w:val="00024552"/>
    <w:rsid w:val="00024739"/>
    <w:rsid w:val="00025A8A"/>
    <w:rsid w:val="00025FCE"/>
    <w:rsid w:val="000275DC"/>
    <w:rsid w:val="00027777"/>
    <w:rsid w:val="0003126E"/>
    <w:rsid w:val="000315B5"/>
    <w:rsid w:val="00032A34"/>
    <w:rsid w:val="000338F7"/>
    <w:rsid w:val="00033EF1"/>
    <w:rsid w:val="00034079"/>
    <w:rsid w:val="00034836"/>
    <w:rsid w:val="0003522C"/>
    <w:rsid w:val="0003676C"/>
    <w:rsid w:val="00040211"/>
    <w:rsid w:val="000404C4"/>
    <w:rsid w:val="0004051A"/>
    <w:rsid w:val="000405EF"/>
    <w:rsid w:val="00040F6E"/>
    <w:rsid w:val="000430C4"/>
    <w:rsid w:val="000447B1"/>
    <w:rsid w:val="00044E42"/>
    <w:rsid w:val="00045363"/>
    <w:rsid w:val="00046A12"/>
    <w:rsid w:val="00047507"/>
    <w:rsid w:val="000500AA"/>
    <w:rsid w:val="00050C9C"/>
    <w:rsid w:val="0005198A"/>
    <w:rsid w:val="000521AB"/>
    <w:rsid w:val="0005237B"/>
    <w:rsid w:val="00053854"/>
    <w:rsid w:val="00053A35"/>
    <w:rsid w:val="00054392"/>
    <w:rsid w:val="00054939"/>
    <w:rsid w:val="00054C1F"/>
    <w:rsid w:val="000551A1"/>
    <w:rsid w:val="00055FC8"/>
    <w:rsid w:val="00056E20"/>
    <w:rsid w:val="0005783B"/>
    <w:rsid w:val="00057CEF"/>
    <w:rsid w:val="00060170"/>
    <w:rsid w:val="00060561"/>
    <w:rsid w:val="000617C8"/>
    <w:rsid w:val="00061C69"/>
    <w:rsid w:val="0006459A"/>
    <w:rsid w:val="00065635"/>
    <w:rsid w:val="00065E23"/>
    <w:rsid w:val="00066880"/>
    <w:rsid w:val="0006738F"/>
    <w:rsid w:val="0006765B"/>
    <w:rsid w:val="0007014C"/>
    <w:rsid w:val="00070623"/>
    <w:rsid w:val="00071901"/>
    <w:rsid w:val="000720A9"/>
    <w:rsid w:val="000724D8"/>
    <w:rsid w:val="00073303"/>
    <w:rsid w:val="00073D2D"/>
    <w:rsid w:val="00075032"/>
    <w:rsid w:val="000752DD"/>
    <w:rsid w:val="000753A4"/>
    <w:rsid w:val="00075EE9"/>
    <w:rsid w:val="000760EB"/>
    <w:rsid w:val="00076140"/>
    <w:rsid w:val="000766E7"/>
    <w:rsid w:val="00077764"/>
    <w:rsid w:val="00080CDF"/>
    <w:rsid w:val="000815CE"/>
    <w:rsid w:val="0008205F"/>
    <w:rsid w:val="000820EF"/>
    <w:rsid w:val="0008420B"/>
    <w:rsid w:val="00084893"/>
    <w:rsid w:val="00085F2C"/>
    <w:rsid w:val="00086423"/>
    <w:rsid w:val="00086508"/>
    <w:rsid w:val="00086D48"/>
    <w:rsid w:val="000872E7"/>
    <w:rsid w:val="000872EA"/>
    <w:rsid w:val="00087705"/>
    <w:rsid w:val="000879F3"/>
    <w:rsid w:val="00087CE8"/>
    <w:rsid w:val="00087FFA"/>
    <w:rsid w:val="0009035D"/>
    <w:rsid w:val="000905FD"/>
    <w:rsid w:val="00090C9C"/>
    <w:rsid w:val="00091B19"/>
    <w:rsid w:val="000922B6"/>
    <w:rsid w:val="000934D5"/>
    <w:rsid w:val="000937CD"/>
    <w:rsid w:val="00094356"/>
    <w:rsid w:val="000945DE"/>
    <w:rsid w:val="00095B91"/>
    <w:rsid w:val="000961D3"/>
    <w:rsid w:val="000961FC"/>
    <w:rsid w:val="00096DBA"/>
    <w:rsid w:val="000979DC"/>
    <w:rsid w:val="000A0584"/>
    <w:rsid w:val="000A06E2"/>
    <w:rsid w:val="000A0C6F"/>
    <w:rsid w:val="000A1990"/>
    <w:rsid w:val="000A2587"/>
    <w:rsid w:val="000A28C3"/>
    <w:rsid w:val="000A35F2"/>
    <w:rsid w:val="000A400C"/>
    <w:rsid w:val="000A463B"/>
    <w:rsid w:val="000A5688"/>
    <w:rsid w:val="000A6FB8"/>
    <w:rsid w:val="000B28B7"/>
    <w:rsid w:val="000B31E7"/>
    <w:rsid w:val="000B3208"/>
    <w:rsid w:val="000B5108"/>
    <w:rsid w:val="000B5691"/>
    <w:rsid w:val="000B6C8E"/>
    <w:rsid w:val="000B6EC4"/>
    <w:rsid w:val="000B73CB"/>
    <w:rsid w:val="000C0316"/>
    <w:rsid w:val="000C173A"/>
    <w:rsid w:val="000C2417"/>
    <w:rsid w:val="000C2D4C"/>
    <w:rsid w:val="000C3034"/>
    <w:rsid w:val="000C3D9A"/>
    <w:rsid w:val="000C438B"/>
    <w:rsid w:val="000C4401"/>
    <w:rsid w:val="000C4FD1"/>
    <w:rsid w:val="000C503C"/>
    <w:rsid w:val="000C5237"/>
    <w:rsid w:val="000C54EE"/>
    <w:rsid w:val="000C5F08"/>
    <w:rsid w:val="000C5FD5"/>
    <w:rsid w:val="000C62CC"/>
    <w:rsid w:val="000C7789"/>
    <w:rsid w:val="000C7EEB"/>
    <w:rsid w:val="000D14DD"/>
    <w:rsid w:val="000D1929"/>
    <w:rsid w:val="000D309E"/>
    <w:rsid w:val="000D48D0"/>
    <w:rsid w:val="000D4FB5"/>
    <w:rsid w:val="000D5400"/>
    <w:rsid w:val="000D5A64"/>
    <w:rsid w:val="000D5B63"/>
    <w:rsid w:val="000D61B7"/>
    <w:rsid w:val="000D64AB"/>
    <w:rsid w:val="000D733C"/>
    <w:rsid w:val="000D7FBE"/>
    <w:rsid w:val="000E00BF"/>
    <w:rsid w:val="000E1991"/>
    <w:rsid w:val="000E2033"/>
    <w:rsid w:val="000E211F"/>
    <w:rsid w:val="000E326C"/>
    <w:rsid w:val="000E413E"/>
    <w:rsid w:val="000E45D0"/>
    <w:rsid w:val="000E4B97"/>
    <w:rsid w:val="000E69C7"/>
    <w:rsid w:val="000E70D6"/>
    <w:rsid w:val="000E7889"/>
    <w:rsid w:val="000E7D6B"/>
    <w:rsid w:val="000F0476"/>
    <w:rsid w:val="000F0D43"/>
    <w:rsid w:val="000F16C8"/>
    <w:rsid w:val="000F2236"/>
    <w:rsid w:val="000F279A"/>
    <w:rsid w:val="000F30BF"/>
    <w:rsid w:val="000F45A0"/>
    <w:rsid w:val="000F47D4"/>
    <w:rsid w:val="000F5322"/>
    <w:rsid w:val="000F57DD"/>
    <w:rsid w:val="000F66A4"/>
    <w:rsid w:val="000F72CB"/>
    <w:rsid w:val="000F755B"/>
    <w:rsid w:val="000F755E"/>
    <w:rsid w:val="000F772F"/>
    <w:rsid w:val="00100634"/>
    <w:rsid w:val="00100F9C"/>
    <w:rsid w:val="0010161B"/>
    <w:rsid w:val="00101C74"/>
    <w:rsid w:val="00101E61"/>
    <w:rsid w:val="001027A9"/>
    <w:rsid w:val="00104FD4"/>
    <w:rsid w:val="00105A93"/>
    <w:rsid w:val="00106749"/>
    <w:rsid w:val="001067E8"/>
    <w:rsid w:val="00106D0C"/>
    <w:rsid w:val="00107129"/>
    <w:rsid w:val="00107DD9"/>
    <w:rsid w:val="0011049C"/>
    <w:rsid w:val="0011064D"/>
    <w:rsid w:val="00110F31"/>
    <w:rsid w:val="0011103E"/>
    <w:rsid w:val="00111619"/>
    <w:rsid w:val="0011179F"/>
    <w:rsid w:val="00111B75"/>
    <w:rsid w:val="00112275"/>
    <w:rsid w:val="00112441"/>
    <w:rsid w:val="00112B44"/>
    <w:rsid w:val="0011369A"/>
    <w:rsid w:val="00113786"/>
    <w:rsid w:val="00113CED"/>
    <w:rsid w:val="00114949"/>
    <w:rsid w:val="0011528D"/>
    <w:rsid w:val="00115581"/>
    <w:rsid w:val="00115AB6"/>
    <w:rsid w:val="00115E62"/>
    <w:rsid w:val="001166D1"/>
    <w:rsid w:val="00116D64"/>
    <w:rsid w:val="00117EA7"/>
    <w:rsid w:val="00120AF8"/>
    <w:rsid w:val="00120DDD"/>
    <w:rsid w:val="0012169A"/>
    <w:rsid w:val="00121875"/>
    <w:rsid w:val="00121961"/>
    <w:rsid w:val="00121B46"/>
    <w:rsid w:val="00121C4F"/>
    <w:rsid w:val="00121F71"/>
    <w:rsid w:val="00122419"/>
    <w:rsid w:val="001224BE"/>
    <w:rsid w:val="00122C13"/>
    <w:rsid w:val="00123130"/>
    <w:rsid w:val="001234FB"/>
    <w:rsid w:val="00123653"/>
    <w:rsid w:val="001244BE"/>
    <w:rsid w:val="001247BE"/>
    <w:rsid w:val="00124DE5"/>
    <w:rsid w:val="00125212"/>
    <w:rsid w:val="00125AB9"/>
    <w:rsid w:val="001275E7"/>
    <w:rsid w:val="00127F92"/>
    <w:rsid w:val="00131E5E"/>
    <w:rsid w:val="00131ED4"/>
    <w:rsid w:val="00132106"/>
    <w:rsid w:val="00132D94"/>
    <w:rsid w:val="00133CE1"/>
    <w:rsid w:val="00134D41"/>
    <w:rsid w:val="00135182"/>
    <w:rsid w:val="00135428"/>
    <w:rsid w:val="001356DF"/>
    <w:rsid w:val="0013609B"/>
    <w:rsid w:val="00137394"/>
    <w:rsid w:val="00137AC3"/>
    <w:rsid w:val="001401A9"/>
    <w:rsid w:val="0014085F"/>
    <w:rsid w:val="001417F0"/>
    <w:rsid w:val="00141CCF"/>
    <w:rsid w:val="00142521"/>
    <w:rsid w:val="00142C8E"/>
    <w:rsid w:val="00142EC3"/>
    <w:rsid w:val="001448FE"/>
    <w:rsid w:val="00145A15"/>
    <w:rsid w:val="00146B94"/>
    <w:rsid w:val="00150B32"/>
    <w:rsid w:val="00150DAF"/>
    <w:rsid w:val="0015122C"/>
    <w:rsid w:val="00151237"/>
    <w:rsid w:val="00151823"/>
    <w:rsid w:val="001523C7"/>
    <w:rsid w:val="00152985"/>
    <w:rsid w:val="001535BD"/>
    <w:rsid w:val="00153A83"/>
    <w:rsid w:val="00153B9D"/>
    <w:rsid w:val="00153D27"/>
    <w:rsid w:val="00153F81"/>
    <w:rsid w:val="001541FE"/>
    <w:rsid w:val="00155FEF"/>
    <w:rsid w:val="00156004"/>
    <w:rsid w:val="0015631F"/>
    <w:rsid w:val="0015713E"/>
    <w:rsid w:val="00160CD7"/>
    <w:rsid w:val="00162036"/>
    <w:rsid w:val="00162AF4"/>
    <w:rsid w:val="00164862"/>
    <w:rsid w:val="00165964"/>
    <w:rsid w:val="0016743A"/>
    <w:rsid w:val="00167963"/>
    <w:rsid w:val="00170F50"/>
    <w:rsid w:val="001716BE"/>
    <w:rsid w:val="00171B94"/>
    <w:rsid w:val="00174DD3"/>
    <w:rsid w:val="00175732"/>
    <w:rsid w:val="00175F15"/>
    <w:rsid w:val="00176226"/>
    <w:rsid w:val="001765C0"/>
    <w:rsid w:val="00176A17"/>
    <w:rsid w:val="00176F69"/>
    <w:rsid w:val="001776A5"/>
    <w:rsid w:val="001776F7"/>
    <w:rsid w:val="00177CCE"/>
    <w:rsid w:val="00180819"/>
    <w:rsid w:val="00181833"/>
    <w:rsid w:val="0018192F"/>
    <w:rsid w:val="00181D6A"/>
    <w:rsid w:val="0018219C"/>
    <w:rsid w:val="00182DA7"/>
    <w:rsid w:val="00183F27"/>
    <w:rsid w:val="0018483F"/>
    <w:rsid w:val="00185EF2"/>
    <w:rsid w:val="00185FC4"/>
    <w:rsid w:val="00186A2D"/>
    <w:rsid w:val="001873EB"/>
    <w:rsid w:val="00187CC2"/>
    <w:rsid w:val="00187E1C"/>
    <w:rsid w:val="00193908"/>
    <w:rsid w:val="00194E72"/>
    <w:rsid w:val="001961F5"/>
    <w:rsid w:val="001975D3"/>
    <w:rsid w:val="00197F37"/>
    <w:rsid w:val="001A03FC"/>
    <w:rsid w:val="001A205E"/>
    <w:rsid w:val="001A38DB"/>
    <w:rsid w:val="001A3A1D"/>
    <w:rsid w:val="001A3D37"/>
    <w:rsid w:val="001A406F"/>
    <w:rsid w:val="001A5352"/>
    <w:rsid w:val="001A5739"/>
    <w:rsid w:val="001A5751"/>
    <w:rsid w:val="001A58BE"/>
    <w:rsid w:val="001A7739"/>
    <w:rsid w:val="001A7AB3"/>
    <w:rsid w:val="001B06CA"/>
    <w:rsid w:val="001B0EFE"/>
    <w:rsid w:val="001B0F82"/>
    <w:rsid w:val="001B13C4"/>
    <w:rsid w:val="001B1618"/>
    <w:rsid w:val="001B1653"/>
    <w:rsid w:val="001B1ADE"/>
    <w:rsid w:val="001B1EB2"/>
    <w:rsid w:val="001B3186"/>
    <w:rsid w:val="001B33C2"/>
    <w:rsid w:val="001B64AF"/>
    <w:rsid w:val="001B6779"/>
    <w:rsid w:val="001B7496"/>
    <w:rsid w:val="001C114C"/>
    <w:rsid w:val="001C1366"/>
    <w:rsid w:val="001C1E40"/>
    <w:rsid w:val="001C341B"/>
    <w:rsid w:val="001C4EB7"/>
    <w:rsid w:val="001C5C60"/>
    <w:rsid w:val="001C5DAD"/>
    <w:rsid w:val="001C7336"/>
    <w:rsid w:val="001D092E"/>
    <w:rsid w:val="001D1F3F"/>
    <w:rsid w:val="001D31ED"/>
    <w:rsid w:val="001D4093"/>
    <w:rsid w:val="001D50E8"/>
    <w:rsid w:val="001D5233"/>
    <w:rsid w:val="001D674C"/>
    <w:rsid w:val="001D6CE4"/>
    <w:rsid w:val="001D750C"/>
    <w:rsid w:val="001D7C5F"/>
    <w:rsid w:val="001D7FEB"/>
    <w:rsid w:val="001E0142"/>
    <w:rsid w:val="001E0581"/>
    <w:rsid w:val="001E07FD"/>
    <w:rsid w:val="001E0EA6"/>
    <w:rsid w:val="001E0F33"/>
    <w:rsid w:val="001E1134"/>
    <w:rsid w:val="001E1AAB"/>
    <w:rsid w:val="001E30CF"/>
    <w:rsid w:val="001E3FF8"/>
    <w:rsid w:val="001E42D3"/>
    <w:rsid w:val="001E4F6B"/>
    <w:rsid w:val="001E5673"/>
    <w:rsid w:val="001E5F92"/>
    <w:rsid w:val="001E64F2"/>
    <w:rsid w:val="001E6E44"/>
    <w:rsid w:val="001E746F"/>
    <w:rsid w:val="001E75B1"/>
    <w:rsid w:val="001F028E"/>
    <w:rsid w:val="001F072B"/>
    <w:rsid w:val="001F2E0E"/>
    <w:rsid w:val="001F3C11"/>
    <w:rsid w:val="001F421F"/>
    <w:rsid w:val="001F4278"/>
    <w:rsid w:val="001F5758"/>
    <w:rsid w:val="001F58C9"/>
    <w:rsid w:val="001F5F6B"/>
    <w:rsid w:val="001F698D"/>
    <w:rsid w:val="00200114"/>
    <w:rsid w:val="00201CEF"/>
    <w:rsid w:val="00201FA1"/>
    <w:rsid w:val="002048B3"/>
    <w:rsid w:val="00204900"/>
    <w:rsid w:val="00206EFD"/>
    <w:rsid w:val="00207FD7"/>
    <w:rsid w:val="002106CF"/>
    <w:rsid w:val="00210F31"/>
    <w:rsid w:val="00211596"/>
    <w:rsid w:val="002116FD"/>
    <w:rsid w:val="00212526"/>
    <w:rsid w:val="002129A4"/>
    <w:rsid w:val="00213968"/>
    <w:rsid w:val="00213A53"/>
    <w:rsid w:val="00214B30"/>
    <w:rsid w:val="002150AB"/>
    <w:rsid w:val="002156AC"/>
    <w:rsid w:val="002156F9"/>
    <w:rsid w:val="00216A1A"/>
    <w:rsid w:val="002170B9"/>
    <w:rsid w:val="002178A6"/>
    <w:rsid w:val="00220453"/>
    <w:rsid w:val="00220C1A"/>
    <w:rsid w:val="00220DE2"/>
    <w:rsid w:val="00221A54"/>
    <w:rsid w:val="00221D26"/>
    <w:rsid w:val="0022217A"/>
    <w:rsid w:val="002233BA"/>
    <w:rsid w:val="002242F7"/>
    <w:rsid w:val="002245B8"/>
    <w:rsid w:val="00224A79"/>
    <w:rsid w:val="00224F5C"/>
    <w:rsid w:val="00225323"/>
    <w:rsid w:val="00225513"/>
    <w:rsid w:val="00225CB9"/>
    <w:rsid w:val="00226E76"/>
    <w:rsid w:val="00230D40"/>
    <w:rsid w:val="00230D72"/>
    <w:rsid w:val="00230EED"/>
    <w:rsid w:val="00231AC7"/>
    <w:rsid w:val="00232F74"/>
    <w:rsid w:val="00233486"/>
    <w:rsid w:val="0023438E"/>
    <w:rsid w:val="00234673"/>
    <w:rsid w:val="00234881"/>
    <w:rsid w:val="0023503F"/>
    <w:rsid w:val="0023617F"/>
    <w:rsid w:val="00236A96"/>
    <w:rsid w:val="00236EFD"/>
    <w:rsid w:val="00237E99"/>
    <w:rsid w:val="00240D0A"/>
    <w:rsid w:val="00241C0F"/>
    <w:rsid w:val="0024261A"/>
    <w:rsid w:val="00242CBD"/>
    <w:rsid w:val="00243D37"/>
    <w:rsid w:val="002443EC"/>
    <w:rsid w:val="002445B6"/>
    <w:rsid w:val="0024511E"/>
    <w:rsid w:val="00245C11"/>
    <w:rsid w:val="00246344"/>
    <w:rsid w:val="00246442"/>
    <w:rsid w:val="002479BC"/>
    <w:rsid w:val="00247A83"/>
    <w:rsid w:val="00250659"/>
    <w:rsid w:val="0025122F"/>
    <w:rsid w:val="0025175C"/>
    <w:rsid w:val="00252900"/>
    <w:rsid w:val="002536F7"/>
    <w:rsid w:val="00254B02"/>
    <w:rsid w:val="00254F13"/>
    <w:rsid w:val="002562BF"/>
    <w:rsid w:val="00256A65"/>
    <w:rsid w:val="00256AAA"/>
    <w:rsid w:val="002601D6"/>
    <w:rsid w:val="002605F4"/>
    <w:rsid w:val="002626A4"/>
    <w:rsid w:val="00263251"/>
    <w:rsid w:val="0026570A"/>
    <w:rsid w:val="00265B27"/>
    <w:rsid w:val="00267B60"/>
    <w:rsid w:val="00270346"/>
    <w:rsid w:val="00270F95"/>
    <w:rsid w:val="00272BD8"/>
    <w:rsid w:val="00272E51"/>
    <w:rsid w:val="00274205"/>
    <w:rsid w:val="002743DE"/>
    <w:rsid w:val="00274416"/>
    <w:rsid w:val="00276B1B"/>
    <w:rsid w:val="00277441"/>
    <w:rsid w:val="002777EF"/>
    <w:rsid w:val="002802D5"/>
    <w:rsid w:val="0028031F"/>
    <w:rsid w:val="00280A36"/>
    <w:rsid w:val="00280E2C"/>
    <w:rsid w:val="00281914"/>
    <w:rsid w:val="002823C1"/>
    <w:rsid w:val="00282C8C"/>
    <w:rsid w:val="00283DC7"/>
    <w:rsid w:val="0028408D"/>
    <w:rsid w:val="002848E3"/>
    <w:rsid w:val="00284C52"/>
    <w:rsid w:val="00285DEA"/>
    <w:rsid w:val="00286634"/>
    <w:rsid w:val="00287C57"/>
    <w:rsid w:val="00291054"/>
    <w:rsid w:val="002913F5"/>
    <w:rsid w:val="00292A28"/>
    <w:rsid w:val="002934B1"/>
    <w:rsid w:val="00293722"/>
    <w:rsid w:val="00294F3A"/>
    <w:rsid w:val="00295464"/>
    <w:rsid w:val="00295F7F"/>
    <w:rsid w:val="00296A90"/>
    <w:rsid w:val="00297D02"/>
    <w:rsid w:val="00297D70"/>
    <w:rsid w:val="002A0129"/>
    <w:rsid w:val="002A0287"/>
    <w:rsid w:val="002A0CD8"/>
    <w:rsid w:val="002A0D0A"/>
    <w:rsid w:val="002A0D50"/>
    <w:rsid w:val="002A11DC"/>
    <w:rsid w:val="002A1619"/>
    <w:rsid w:val="002A1745"/>
    <w:rsid w:val="002A2AB0"/>
    <w:rsid w:val="002A32D8"/>
    <w:rsid w:val="002A4C73"/>
    <w:rsid w:val="002A56BE"/>
    <w:rsid w:val="002A6107"/>
    <w:rsid w:val="002A619B"/>
    <w:rsid w:val="002A6390"/>
    <w:rsid w:val="002A6518"/>
    <w:rsid w:val="002A7A4D"/>
    <w:rsid w:val="002A7C28"/>
    <w:rsid w:val="002A7E44"/>
    <w:rsid w:val="002A7FB3"/>
    <w:rsid w:val="002B0ADA"/>
    <w:rsid w:val="002B0ECD"/>
    <w:rsid w:val="002B149F"/>
    <w:rsid w:val="002B2FE5"/>
    <w:rsid w:val="002B45CA"/>
    <w:rsid w:val="002B48D0"/>
    <w:rsid w:val="002B5214"/>
    <w:rsid w:val="002B55BA"/>
    <w:rsid w:val="002B5CF5"/>
    <w:rsid w:val="002B66EB"/>
    <w:rsid w:val="002B7FC9"/>
    <w:rsid w:val="002C0911"/>
    <w:rsid w:val="002C0CDF"/>
    <w:rsid w:val="002C15E5"/>
    <w:rsid w:val="002C27E3"/>
    <w:rsid w:val="002C28FD"/>
    <w:rsid w:val="002C41C7"/>
    <w:rsid w:val="002C4B8B"/>
    <w:rsid w:val="002C52A2"/>
    <w:rsid w:val="002C52BB"/>
    <w:rsid w:val="002C5606"/>
    <w:rsid w:val="002C582B"/>
    <w:rsid w:val="002C5B1F"/>
    <w:rsid w:val="002C6B01"/>
    <w:rsid w:val="002C6C8A"/>
    <w:rsid w:val="002C7620"/>
    <w:rsid w:val="002C7FA6"/>
    <w:rsid w:val="002D03FD"/>
    <w:rsid w:val="002D076B"/>
    <w:rsid w:val="002D1F2B"/>
    <w:rsid w:val="002D217D"/>
    <w:rsid w:val="002D2B90"/>
    <w:rsid w:val="002D2EA8"/>
    <w:rsid w:val="002D38E7"/>
    <w:rsid w:val="002D5553"/>
    <w:rsid w:val="002D6B0E"/>
    <w:rsid w:val="002D6B20"/>
    <w:rsid w:val="002D7025"/>
    <w:rsid w:val="002D704E"/>
    <w:rsid w:val="002E0BB7"/>
    <w:rsid w:val="002E0FEE"/>
    <w:rsid w:val="002E1518"/>
    <w:rsid w:val="002E1ED5"/>
    <w:rsid w:val="002E2FC7"/>
    <w:rsid w:val="002E306F"/>
    <w:rsid w:val="002E3965"/>
    <w:rsid w:val="002E4056"/>
    <w:rsid w:val="002E587F"/>
    <w:rsid w:val="002E5C44"/>
    <w:rsid w:val="002E6251"/>
    <w:rsid w:val="002E71BE"/>
    <w:rsid w:val="002E781B"/>
    <w:rsid w:val="002F1147"/>
    <w:rsid w:val="002F183A"/>
    <w:rsid w:val="002F1A85"/>
    <w:rsid w:val="002F1AD5"/>
    <w:rsid w:val="002F1B22"/>
    <w:rsid w:val="002F21C4"/>
    <w:rsid w:val="002F2493"/>
    <w:rsid w:val="002F24AB"/>
    <w:rsid w:val="002F2CA9"/>
    <w:rsid w:val="002F33D1"/>
    <w:rsid w:val="002F55A4"/>
    <w:rsid w:val="002F580B"/>
    <w:rsid w:val="002F5D37"/>
    <w:rsid w:val="002F5F9E"/>
    <w:rsid w:val="002F7359"/>
    <w:rsid w:val="0030014A"/>
    <w:rsid w:val="0030017B"/>
    <w:rsid w:val="00300E68"/>
    <w:rsid w:val="003015E7"/>
    <w:rsid w:val="00302085"/>
    <w:rsid w:val="00302FAD"/>
    <w:rsid w:val="00303C6C"/>
    <w:rsid w:val="00303DAC"/>
    <w:rsid w:val="00303F01"/>
    <w:rsid w:val="00305652"/>
    <w:rsid w:val="00305DE7"/>
    <w:rsid w:val="00306752"/>
    <w:rsid w:val="0030765E"/>
    <w:rsid w:val="00310708"/>
    <w:rsid w:val="00310B9E"/>
    <w:rsid w:val="00311521"/>
    <w:rsid w:val="00311AC8"/>
    <w:rsid w:val="00311B7C"/>
    <w:rsid w:val="00311D78"/>
    <w:rsid w:val="00312A85"/>
    <w:rsid w:val="003146DF"/>
    <w:rsid w:val="00314A92"/>
    <w:rsid w:val="003156F2"/>
    <w:rsid w:val="00315EA9"/>
    <w:rsid w:val="0031626E"/>
    <w:rsid w:val="003172CE"/>
    <w:rsid w:val="00317E82"/>
    <w:rsid w:val="0032149A"/>
    <w:rsid w:val="003220AD"/>
    <w:rsid w:val="0032218B"/>
    <w:rsid w:val="003221F9"/>
    <w:rsid w:val="003223B1"/>
    <w:rsid w:val="0032248A"/>
    <w:rsid w:val="00323291"/>
    <w:rsid w:val="00323EB2"/>
    <w:rsid w:val="0032482C"/>
    <w:rsid w:val="00325D0E"/>
    <w:rsid w:val="00326375"/>
    <w:rsid w:val="00326EDF"/>
    <w:rsid w:val="00326FDF"/>
    <w:rsid w:val="003270ED"/>
    <w:rsid w:val="003279C4"/>
    <w:rsid w:val="0033030C"/>
    <w:rsid w:val="00330D11"/>
    <w:rsid w:val="0033104D"/>
    <w:rsid w:val="003314F6"/>
    <w:rsid w:val="003319FF"/>
    <w:rsid w:val="00331DF7"/>
    <w:rsid w:val="00333903"/>
    <w:rsid w:val="00334723"/>
    <w:rsid w:val="00335999"/>
    <w:rsid w:val="0033646E"/>
    <w:rsid w:val="0033686B"/>
    <w:rsid w:val="00337EF0"/>
    <w:rsid w:val="0034070E"/>
    <w:rsid w:val="00340D62"/>
    <w:rsid w:val="00340D73"/>
    <w:rsid w:val="00340DB9"/>
    <w:rsid w:val="00340EF2"/>
    <w:rsid w:val="003417C8"/>
    <w:rsid w:val="003418F6"/>
    <w:rsid w:val="003423EC"/>
    <w:rsid w:val="00342563"/>
    <w:rsid w:val="003447C8"/>
    <w:rsid w:val="003452E7"/>
    <w:rsid w:val="003466F2"/>
    <w:rsid w:val="00346926"/>
    <w:rsid w:val="00346E15"/>
    <w:rsid w:val="00347306"/>
    <w:rsid w:val="00347439"/>
    <w:rsid w:val="0034788F"/>
    <w:rsid w:val="00347AAD"/>
    <w:rsid w:val="00350887"/>
    <w:rsid w:val="00351CAD"/>
    <w:rsid w:val="00352A0C"/>
    <w:rsid w:val="00353FA9"/>
    <w:rsid w:val="00355143"/>
    <w:rsid w:val="003555C1"/>
    <w:rsid w:val="0035627B"/>
    <w:rsid w:val="00356402"/>
    <w:rsid w:val="003573E0"/>
    <w:rsid w:val="003609E6"/>
    <w:rsid w:val="00360B14"/>
    <w:rsid w:val="00360F48"/>
    <w:rsid w:val="00361EDF"/>
    <w:rsid w:val="003620FB"/>
    <w:rsid w:val="00362629"/>
    <w:rsid w:val="00362A42"/>
    <w:rsid w:val="00363518"/>
    <w:rsid w:val="0036354A"/>
    <w:rsid w:val="00363568"/>
    <w:rsid w:val="00363935"/>
    <w:rsid w:val="00363D51"/>
    <w:rsid w:val="00364525"/>
    <w:rsid w:val="00364FCB"/>
    <w:rsid w:val="00365021"/>
    <w:rsid w:val="00366A3C"/>
    <w:rsid w:val="003679B8"/>
    <w:rsid w:val="00367BDC"/>
    <w:rsid w:val="003704DF"/>
    <w:rsid w:val="00371411"/>
    <w:rsid w:val="0037156A"/>
    <w:rsid w:val="0037177D"/>
    <w:rsid w:val="003722F8"/>
    <w:rsid w:val="00372F7D"/>
    <w:rsid w:val="00374195"/>
    <w:rsid w:val="0037628B"/>
    <w:rsid w:val="00376B8F"/>
    <w:rsid w:val="00377091"/>
    <w:rsid w:val="003770AB"/>
    <w:rsid w:val="0038094A"/>
    <w:rsid w:val="00381BC1"/>
    <w:rsid w:val="00381D9F"/>
    <w:rsid w:val="00382889"/>
    <w:rsid w:val="00383253"/>
    <w:rsid w:val="00383716"/>
    <w:rsid w:val="00384E63"/>
    <w:rsid w:val="0038506C"/>
    <w:rsid w:val="003857B4"/>
    <w:rsid w:val="00385A3A"/>
    <w:rsid w:val="00385D52"/>
    <w:rsid w:val="0038609C"/>
    <w:rsid w:val="003860A1"/>
    <w:rsid w:val="003865D1"/>
    <w:rsid w:val="00387019"/>
    <w:rsid w:val="00390695"/>
    <w:rsid w:val="0039126C"/>
    <w:rsid w:val="003912F4"/>
    <w:rsid w:val="0039141C"/>
    <w:rsid w:val="00391E67"/>
    <w:rsid w:val="00392B12"/>
    <w:rsid w:val="00392CE5"/>
    <w:rsid w:val="00394A31"/>
    <w:rsid w:val="00395423"/>
    <w:rsid w:val="0039560A"/>
    <w:rsid w:val="00395C87"/>
    <w:rsid w:val="00396BD4"/>
    <w:rsid w:val="00396D9A"/>
    <w:rsid w:val="00396E91"/>
    <w:rsid w:val="00396ED0"/>
    <w:rsid w:val="003A1407"/>
    <w:rsid w:val="003A187A"/>
    <w:rsid w:val="003A1E1B"/>
    <w:rsid w:val="003A2765"/>
    <w:rsid w:val="003A2FA9"/>
    <w:rsid w:val="003A34E2"/>
    <w:rsid w:val="003A35ED"/>
    <w:rsid w:val="003A3FE6"/>
    <w:rsid w:val="003A41AF"/>
    <w:rsid w:val="003A42CB"/>
    <w:rsid w:val="003A5348"/>
    <w:rsid w:val="003A5C9A"/>
    <w:rsid w:val="003A5E4D"/>
    <w:rsid w:val="003A5E64"/>
    <w:rsid w:val="003A6888"/>
    <w:rsid w:val="003A6946"/>
    <w:rsid w:val="003A7178"/>
    <w:rsid w:val="003A7C26"/>
    <w:rsid w:val="003B06E5"/>
    <w:rsid w:val="003B085E"/>
    <w:rsid w:val="003B0EB4"/>
    <w:rsid w:val="003B10BB"/>
    <w:rsid w:val="003B18BA"/>
    <w:rsid w:val="003B1A54"/>
    <w:rsid w:val="003B242D"/>
    <w:rsid w:val="003B2E68"/>
    <w:rsid w:val="003B30C7"/>
    <w:rsid w:val="003B3BB6"/>
    <w:rsid w:val="003B45EF"/>
    <w:rsid w:val="003B5005"/>
    <w:rsid w:val="003B54F6"/>
    <w:rsid w:val="003B599A"/>
    <w:rsid w:val="003B7150"/>
    <w:rsid w:val="003B7FCF"/>
    <w:rsid w:val="003C2330"/>
    <w:rsid w:val="003C525E"/>
    <w:rsid w:val="003C54B7"/>
    <w:rsid w:val="003D29C4"/>
    <w:rsid w:val="003D3B57"/>
    <w:rsid w:val="003D3E5B"/>
    <w:rsid w:val="003D4A67"/>
    <w:rsid w:val="003D4D0B"/>
    <w:rsid w:val="003D4EB0"/>
    <w:rsid w:val="003D52C5"/>
    <w:rsid w:val="003D5C43"/>
    <w:rsid w:val="003D629A"/>
    <w:rsid w:val="003D631D"/>
    <w:rsid w:val="003D6A03"/>
    <w:rsid w:val="003D6C23"/>
    <w:rsid w:val="003E17CC"/>
    <w:rsid w:val="003E1AE9"/>
    <w:rsid w:val="003E233D"/>
    <w:rsid w:val="003E2AFE"/>
    <w:rsid w:val="003E2E9C"/>
    <w:rsid w:val="003E3D90"/>
    <w:rsid w:val="003E3F3F"/>
    <w:rsid w:val="003E487F"/>
    <w:rsid w:val="003E4A79"/>
    <w:rsid w:val="003E4EC7"/>
    <w:rsid w:val="003E5A27"/>
    <w:rsid w:val="003E6654"/>
    <w:rsid w:val="003E6FC6"/>
    <w:rsid w:val="003F055D"/>
    <w:rsid w:val="003F09F2"/>
    <w:rsid w:val="003F3613"/>
    <w:rsid w:val="003F3CE9"/>
    <w:rsid w:val="003F3EB0"/>
    <w:rsid w:val="003F6C6A"/>
    <w:rsid w:val="003F7136"/>
    <w:rsid w:val="003F7869"/>
    <w:rsid w:val="003F7D6B"/>
    <w:rsid w:val="004014CD"/>
    <w:rsid w:val="0040230F"/>
    <w:rsid w:val="00402DE8"/>
    <w:rsid w:val="004032CB"/>
    <w:rsid w:val="0040350A"/>
    <w:rsid w:val="004035F5"/>
    <w:rsid w:val="0040378D"/>
    <w:rsid w:val="00404128"/>
    <w:rsid w:val="00404568"/>
    <w:rsid w:val="004049ED"/>
    <w:rsid w:val="004050C7"/>
    <w:rsid w:val="00405155"/>
    <w:rsid w:val="00406C97"/>
    <w:rsid w:val="004072F9"/>
    <w:rsid w:val="00407A23"/>
    <w:rsid w:val="00407A80"/>
    <w:rsid w:val="00410FC1"/>
    <w:rsid w:val="00411262"/>
    <w:rsid w:val="00412582"/>
    <w:rsid w:val="0041265F"/>
    <w:rsid w:val="004128F5"/>
    <w:rsid w:val="0041383F"/>
    <w:rsid w:val="004141FE"/>
    <w:rsid w:val="0041430F"/>
    <w:rsid w:val="004149E5"/>
    <w:rsid w:val="004152A5"/>
    <w:rsid w:val="0041675A"/>
    <w:rsid w:val="0041678F"/>
    <w:rsid w:val="004172D3"/>
    <w:rsid w:val="00417A07"/>
    <w:rsid w:val="00417A60"/>
    <w:rsid w:val="00417D46"/>
    <w:rsid w:val="004208C0"/>
    <w:rsid w:val="00421EE9"/>
    <w:rsid w:val="0042275B"/>
    <w:rsid w:val="00423203"/>
    <w:rsid w:val="004233F5"/>
    <w:rsid w:val="0042373E"/>
    <w:rsid w:val="00423FB9"/>
    <w:rsid w:val="004246A9"/>
    <w:rsid w:val="00424BD1"/>
    <w:rsid w:val="00424D9A"/>
    <w:rsid w:val="004259F0"/>
    <w:rsid w:val="004275B2"/>
    <w:rsid w:val="004275EB"/>
    <w:rsid w:val="00427F24"/>
    <w:rsid w:val="004303F5"/>
    <w:rsid w:val="00431498"/>
    <w:rsid w:val="00433BE8"/>
    <w:rsid w:val="004348BC"/>
    <w:rsid w:val="004348E0"/>
    <w:rsid w:val="00435216"/>
    <w:rsid w:val="004357D8"/>
    <w:rsid w:val="00436187"/>
    <w:rsid w:val="00436233"/>
    <w:rsid w:val="00436923"/>
    <w:rsid w:val="00436E1F"/>
    <w:rsid w:val="0043719D"/>
    <w:rsid w:val="0043725D"/>
    <w:rsid w:val="00437ACA"/>
    <w:rsid w:val="00440178"/>
    <w:rsid w:val="00442093"/>
    <w:rsid w:val="0044224C"/>
    <w:rsid w:val="004433A4"/>
    <w:rsid w:val="00443446"/>
    <w:rsid w:val="00444817"/>
    <w:rsid w:val="004448D9"/>
    <w:rsid w:val="00444C12"/>
    <w:rsid w:val="00445B40"/>
    <w:rsid w:val="00446E24"/>
    <w:rsid w:val="00447AD6"/>
    <w:rsid w:val="004507C4"/>
    <w:rsid w:val="004507FF"/>
    <w:rsid w:val="00450BE7"/>
    <w:rsid w:val="0045159B"/>
    <w:rsid w:val="00451607"/>
    <w:rsid w:val="004517DE"/>
    <w:rsid w:val="00451910"/>
    <w:rsid w:val="00452038"/>
    <w:rsid w:val="00452B52"/>
    <w:rsid w:val="00452E6F"/>
    <w:rsid w:val="00454480"/>
    <w:rsid w:val="0045477E"/>
    <w:rsid w:val="00454794"/>
    <w:rsid w:val="00456604"/>
    <w:rsid w:val="00456E4E"/>
    <w:rsid w:val="00457BBA"/>
    <w:rsid w:val="00457E5E"/>
    <w:rsid w:val="00460E52"/>
    <w:rsid w:val="00461266"/>
    <w:rsid w:val="004615F2"/>
    <w:rsid w:val="00461D02"/>
    <w:rsid w:val="00462644"/>
    <w:rsid w:val="00463802"/>
    <w:rsid w:val="00464420"/>
    <w:rsid w:val="00464FAC"/>
    <w:rsid w:val="004665A4"/>
    <w:rsid w:val="00467490"/>
    <w:rsid w:val="0046756F"/>
    <w:rsid w:val="00467A88"/>
    <w:rsid w:val="0047128D"/>
    <w:rsid w:val="004716C3"/>
    <w:rsid w:val="0047182A"/>
    <w:rsid w:val="004729A3"/>
    <w:rsid w:val="00473F4F"/>
    <w:rsid w:val="00474A38"/>
    <w:rsid w:val="0047553F"/>
    <w:rsid w:val="004757CD"/>
    <w:rsid w:val="00475F4D"/>
    <w:rsid w:val="00476264"/>
    <w:rsid w:val="004764A8"/>
    <w:rsid w:val="00476580"/>
    <w:rsid w:val="00476882"/>
    <w:rsid w:val="004778C3"/>
    <w:rsid w:val="00477F9D"/>
    <w:rsid w:val="004816A8"/>
    <w:rsid w:val="00482901"/>
    <w:rsid w:val="00484511"/>
    <w:rsid w:val="00484521"/>
    <w:rsid w:val="004845D5"/>
    <w:rsid w:val="00484F80"/>
    <w:rsid w:val="00485BDD"/>
    <w:rsid w:val="00486740"/>
    <w:rsid w:val="00486CCB"/>
    <w:rsid w:val="004871D2"/>
    <w:rsid w:val="004873CA"/>
    <w:rsid w:val="004878B8"/>
    <w:rsid w:val="0048791A"/>
    <w:rsid w:val="00487F0B"/>
    <w:rsid w:val="00490F01"/>
    <w:rsid w:val="004913A9"/>
    <w:rsid w:val="0049146D"/>
    <w:rsid w:val="0049149A"/>
    <w:rsid w:val="004916A1"/>
    <w:rsid w:val="00493059"/>
    <w:rsid w:val="004940B9"/>
    <w:rsid w:val="00494D31"/>
    <w:rsid w:val="00495342"/>
    <w:rsid w:val="00495584"/>
    <w:rsid w:val="004955C7"/>
    <w:rsid w:val="004962D1"/>
    <w:rsid w:val="00496CD4"/>
    <w:rsid w:val="00496E31"/>
    <w:rsid w:val="00497348"/>
    <w:rsid w:val="004979DC"/>
    <w:rsid w:val="004A00C8"/>
    <w:rsid w:val="004A0851"/>
    <w:rsid w:val="004A1320"/>
    <w:rsid w:val="004A1648"/>
    <w:rsid w:val="004A18C9"/>
    <w:rsid w:val="004A1FE3"/>
    <w:rsid w:val="004A253F"/>
    <w:rsid w:val="004A2800"/>
    <w:rsid w:val="004A307F"/>
    <w:rsid w:val="004A34FA"/>
    <w:rsid w:val="004A4BD4"/>
    <w:rsid w:val="004A5C0A"/>
    <w:rsid w:val="004A693F"/>
    <w:rsid w:val="004B049D"/>
    <w:rsid w:val="004B1D09"/>
    <w:rsid w:val="004B2BE0"/>
    <w:rsid w:val="004B3368"/>
    <w:rsid w:val="004B3E08"/>
    <w:rsid w:val="004B4570"/>
    <w:rsid w:val="004B46DA"/>
    <w:rsid w:val="004B5CA5"/>
    <w:rsid w:val="004B72C4"/>
    <w:rsid w:val="004B7F39"/>
    <w:rsid w:val="004C044F"/>
    <w:rsid w:val="004C21E5"/>
    <w:rsid w:val="004C2575"/>
    <w:rsid w:val="004C31CD"/>
    <w:rsid w:val="004C389D"/>
    <w:rsid w:val="004C38C9"/>
    <w:rsid w:val="004C3F31"/>
    <w:rsid w:val="004C4578"/>
    <w:rsid w:val="004C4DA6"/>
    <w:rsid w:val="004C5DE1"/>
    <w:rsid w:val="004C70A2"/>
    <w:rsid w:val="004C7890"/>
    <w:rsid w:val="004C7EB7"/>
    <w:rsid w:val="004D058D"/>
    <w:rsid w:val="004D0FA1"/>
    <w:rsid w:val="004D11B2"/>
    <w:rsid w:val="004D24D1"/>
    <w:rsid w:val="004D269E"/>
    <w:rsid w:val="004D295A"/>
    <w:rsid w:val="004D4771"/>
    <w:rsid w:val="004D4C71"/>
    <w:rsid w:val="004D5310"/>
    <w:rsid w:val="004D5335"/>
    <w:rsid w:val="004D55A3"/>
    <w:rsid w:val="004D5683"/>
    <w:rsid w:val="004D568C"/>
    <w:rsid w:val="004D61B9"/>
    <w:rsid w:val="004D6A7B"/>
    <w:rsid w:val="004D6CA2"/>
    <w:rsid w:val="004D6DB9"/>
    <w:rsid w:val="004D6FE5"/>
    <w:rsid w:val="004D7187"/>
    <w:rsid w:val="004E06BA"/>
    <w:rsid w:val="004E0B3B"/>
    <w:rsid w:val="004E1B96"/>
    <w:rsid w:val="004E1CB5"/>
    <w:rsid w:val="004E20A3"/>
    <w:rsid w:val="004E3BFD"/>
    <w:rsid w:val="004E436C"/>
    <w:rsid w:val="004E445C"/>
    <w:rsid w:val="004E685A"/>
    <w:rsid w:val="004E6CDB"/>
    <w:rsid w:val="004E7E12"/>
    <w:rsid w:val="004F07FC"/>
    <w:rsid w:val="004F0836"/>
    <w:rsid w:val="004F0EC4"/>
    <w:rsid w:val="004F12C7"/>
    <w:rsid w:val="004F22D2"/>
    <w:rsid w:val="004F2AAB"/>
    <w:rsid w:val="004F308C"/>
    <w:rsid w:val="004F3537"/>
    <w:rsid w:val="004F36FE"/>
    <w:rsid w:val="004F4A65"/>
    <w:rsid w:val="004F5140"/>
    <w:rsid w:val="004F5564"/>
    <w:rsid w:val="004F6547"/>
    <w:rsid w:val="004F66A3"/>
    <w:rsid w:val="004F732E"/>
    <w:rsid w:val="005013BF"/>
    <w:rsid w:val="00501B3B"/>
    <w:rsid w:val="00501B60"/>
    <w:rsid w:val="00502252"/>
    <w:rsid w:val="00503C7F"/>
    <w:rsid w:val="00504456"/>
    <w:rsid w:val="00504A3C"/>
    <w:rsid w:val="0050507B"/>
    <w:rsid w:val="00505A65"/>
    <w:rsid w:val="005060C2"/>
    <w:rsid w:val="00506A1B"/>
    <w:rsid w:val="00510F2F"/>
    <w:rsid w:val="0051220A"/>
    <w:rsid w:val="005124B8"/>
    <w:rsid w:val="00512A1D"/>
    <w:rsid w:val="005136F2"/>
    <w:rsid w:val="00513E85"/>
    <w:rsid w:val="005143CC"/>
    <w:rsid w:val="00514875"/>
    <w:rsid w:val="00514A0A"/>
    <w:rsid w:val="00514D07"/>
    <w:rsid w:val="005156AE"/>
    <w:rsid w:val="00515834"/>
    <w:rsid w:val="00515C81"/>
    <w:rsid w:val="005169B5"/>
    <w:rsid w:val="00517D49"/>
    <w:rsid w:val="005200BD"/>
    <w:rsid w:val="005206BD"/>
    <w:rsid w:val="00520766"/>
    <w:rsid w:val="0052089D"/>
    <w:rsid w:val="00520BC2"/>
    <w:rsid w:val="0052132B"/>
    <w:rsid w:val="00523857"/>
    <w:rsid w:val="00523E52"/>
    <w:rsid w:val="00524533"/>
    <w:rsid w:val="0052465F"/>
    <w:rsid w:val="005247CB"/>
    <w:rsid w:val="0052481C"/>
    <w:rsid w:val="0052491A"/>
    <w:rsid w:val="00526A9E"/>
    <w:rsid w:val="00527309"/>
    <w:rsid w:val="00527C3B"/>
    <w:rsid w:val="00532934"/>
    <w:rsid w:val="00532DA8"/>
    <w:rsid w:val="00532E73"/>
    <w:rsid w:val="005330C4"/>
    <w:rsid w:val="00533147"/>
    <w:rsid w:val="00533A9E"/>
    <w:rsid w:val="00533C67"/>
    <w:rsid w:val="00533CD1"/>
    <w:rsid w:val="00533ECB"/>
    <w:rsid w:val="005363C1"/>
    <w:rsid w:val="00537599"/>
    <w:rsid w:val="005401BD"/>
    <w:rsid w:val="00540273"/>
    <w:rsid w:val="00540D29"/>
    <w:rsid w:val="005410C7"/>
    <w:rsid w:val="005417CB"/>
    <w:rsid w:val="00541ECC"/>
    <w:rsid w:val="00542A1E"/>
    <w:rsid w:val="00543950"/>
    <w:rsid w:val="00543E6B"/>
    <w:rsid w:val="00544D6B"/>
    <w:rsid w:val="00545C36"/>
    <w:rsid w:val="0055091E"/>
    <w:rsid w:val="00551251"/>
    <w:rsid w:val="00554659"/>
    <w:rsid w:val="00555594"/>
    <w:rsid w:val="005565D7"/>
    <w:rsid w:val="00556852"/>
    <w:rsid w:val="00556A0F"/>
    <w:rsid w:val="00560C09"/>
    <w:rsid w:val="005610B8"/>
    <w:rsid w:val="00561504"/>
    <w:rsid w:val="00561D18"/>
    <w:rsid w:val="0056244E"/>
    <w:rsid w:val="00562828"/>
    <w:rsid w:val="00562D30"/>
    <w:rsid w:val="00562DEF"/>
    <w:rsid w:val="00562ED5"/>
    <w:rsid w:val="00563B32"/>
    <w:rsid w:val="005644F9"/>
    <w:rsid w:val="00564E15"/>
    <w:rsid w:val="005650A2"/>
    <w:rsid w:val="005655F6"/>
    <w:rsid w:val="00565B9C"/>
    <w:rsid w:val="0056683A"/>
    <w:rsid w:val="00566F59"/>
    <w:rsid w:val="00570523"/>
    <w:rsid w:val="005705E2"/>
    <w:rsid w:val="00572297"/>
    <w:rsid w:val="00572AC2"/>
    <w:rsid w:val="00574098"/>
    <w:rsid w:val="00574458"/>
    <w:rsid w:val="00574793"/>
    <w:rsid w:val="00574991"/>
    <w:rsid w:val="00575426"/>
    <w:rsid w:val="00576576"/>
    <w:rsid w:val="005771B2"/>
    <w:rsid w:val="00577CCC"/>
    <w:rsid w:val="00580069"/>
    <w:rsid w:val="00581413"/>
    <w:rsid w:val="00581D64"/>
    <w:rsid w:val="00582257"/>
    <w:rsid w:val="00582632"/>
    <w:rsid w:val="0058269B"/>
    <w:rsid w:val="005826B8"/>
    <w:rsid w:val="005827C4"/>
    <w:rsid w:val="005837AC"/>
    <w:rsid w:val="00584808"/>
    <w:rsid w:val="00584836"/>
    <w:rsid w:val="00586ECC"/>
    <w:rsid w:val="0058702F"/>
    <w:rsid w:val="00587138"/>
    <w:rsid w:val="00587373"/>
    <w:rsid w:val="005874CA"/>
    <w:rsid w:val="0058770A"/>
    <w:rsid w:val="00587769"/>
    <w:rsid w:val="00587EB1"/>
    <w:rsid w:val="00587EBC"/>
    <w:rsid w:val="005901D0"/>
    <w:rsid w:val="00590569"/>
    <w:rsid w:val="0059158F"/>
    <w:rsid w:val="00593551"/>
    <w:rsid w:val="00593772"/>
    <w:rsid w:val="00593B91"/>
    <w:rsid w:val="005947DA"/>
    <w:rsid w:val="00596733"/>
    <w:rsid w:val="00596CAC"/>
    <w:rsid w:val="005974E9"/>
    <w:rsid w:val="00597823"/>
    <w:rsid w:val="0059786C"/>
    <w:rsid w:val="00597AAE"/>
    <w:rsid w:val="005A08BF"/>
    <w:rsid w:val="005A0BB4"/>
    <w:rsid w:val="005A2740"/>
    <w:rsid w:val="005A31CE"/>
    <w:rsid w:val="005A368D"/>
    <w:rsid w:val="005A3C54"/>
    <w:rsid w:val="005A3D9B"/>
    <w:rsid w:val="005A4000"/>
    <w:rsid w:val="005A4570"/>
    <w:rsid w:val="005A46BD"/>
    <w:rsid w:val="005A4BCC"/>
    <w:rsid w:val="005A4F95"/>
    <w:rsid w:val="005A53C7"/>
    <w:rsid w:val="005A544F"/>
    <w:rsid w:val="005A690D"/>
    <w:rsid w:val="005A6A16"/>
    <w:rsid w:val="005A6AF6"/>
    <w:rsid w:val="005A7850"/>
    <w:rsid w:val="005A7944"/>
    <w:rsid w:val="005B06DA"/>
    <w:rsid w:val="005B0837"/>
    <w:rsid w:val="005B1573"/>
    <w:rsid w:val="005B1E28"/>
    <w:rsid w:val="005B2AAF"/>
    <w:rsid w:val="005B3072"/>
    <w:rsid w:val="005B3A25"/>
    <w:rsid w:val="005B40C2"/>
    <w:rsid w:val="005B4A5F"/>
    <w:rsid w:val="005B4B05"/>
    <w:rsid w:val="005B500C"/>
    <w:rsid w:val="005B572E"/>
    <w:rsid w:val="005B574C"/>
    <w:rsid w:val="005B5F45"/>
    <w:rsid w:val="005C0700"/>
    <w:rsid w:val="005C13E6"/>
    <w:rsid w:val="005C1612"/>
    <w:rsid w:val="005C2B35"/>
    <w:rsid w:val="005C2B4D"/>
    <w:rsid w:val="005C4253"/>
    <w:rsid w:val="005C4E2A"/>
    <w:rsid w:val="005C759F"/>
    <w:rsid w:val="005C778A"/>
    <w:rsid w:val="005C79ED"/>
    <w:rsid w:val="005C7D8E"/>
    <w:rsid w:val="005D01F9"/>
    <w:rsid w:val="005D0A5F"/>
    <w:rsid w:val="005D1E53"/>
    <w:rsid w:val="005D1EF9"/>
    <w:rsid w:val="005D23DE"/>
    <w:rsid w:val="005D29EA"/>
    <w:rsid w:val="005D2B63"/>
    <w:rsid w:val="005D373A"/>
    <w:rsid w:val="005D3A1D"/>
    <w:rsid w:val="005D44D6"/>
    <w:rsid w:val="005D452E"/>
    <w:rsid w:val="005D580D"/>
    <w:rsid w:val="005D5946"/>
    <w:rsid w:val="005D61F6"/>
    <w:rsid w:val="005D69D4"/>
    <w:rsid w:val="005D6C5A"/>
    <w:rsid w:val="005D7874"/>
    <w:rsid w:val="005D7CB7"/>
    <w:rsid w:val="005E1012"/>
    <w:rsid w:val="005E1C64"/>
    <w:rsid w:val="005E23E9"/>
    <w:rsid w:val="005E2B69"/>
    <w:rsid w:val="005E3050"/>
    <w:rsid w:val="005E49AC"/>
    <w:rsid w:val="005E5480"/>
    <w:rsid w:val="005E5891"/>
    <w:rsid w:val="005E58FB"/>
    <w:rsid w:val="005E6975"/>
    <w:rsid w:val="005E7D3A"/>
    <w:rsid w:val="005E7FEB"/>
    <w:rsid w:val="005F1050"/>
    <w:rsid w:val="005F11FC"/>
    <w:rsid w:val="005F1D2A"/>
    <w:rsid w:val="005F231D"/>
    <w:rsid w:val="005F3131"/>
    <w:rsid w:val="005F3724"/>
    <w:rsid w:val="005F47C4"/>
    <w:rsid w:val="005F48AB"/>
    <w:rsid w:val="005F4B02"/>
    <w:rsid w:val="005F4B5D"/>
    <w:rsid w:val="005F4C13"/>
    <w:rsid w:val="005F5774"/>
    <w:rsid w:val="005F6344"/>
    <w:rsid w:val="005F6BD6"/>
    <w:rsid w:val="005F6F79"/>
    <w:rsid w:val="005F73A8"/>
    <w:rsid w:val="005F7E07"/>
    <w:rsid w:val="00600226"/>
    <w:rsid w:val="00600CE6"/>
    <w:rsid w:val="00600D72"/>
    <w:rsid w:val="00602070"/>
    <w:rsid w:val="00602F8B"/>
    <w:rsid w:val="00603D70"/>
    <w:rsid w:val="00604748"/>
    <w:rsid w:val="0060487F"/>
    <w:rsid w:val="00605298"/>
    <w:rsid w:val="00605315"/>
    <w:rsid w:val="00605919"/>
    <w:rsid w:val="0060631E"/>
    <w:rsid w:val="0060783B"/>
    <w:rsid w:val="006103F4"/>
    <w:rsid w:val="00610684"/>
    <w:rsid w:val="00611210"/>
    <w:rsid w:val="00611712"/>
    <w:rsid w:val="00611D24"/>
    <w:rsid w:val="006120A0"/>
    <w:rsid w:val="00612BF9"/>
    <w:rsid w:val="00612E9B"/>
    <w:rsid w:val="006133DA"/>
    <w:rsid w:val="006134D0"/>
    <w:rsid w:val="006136B2"/>
    <w:rsid w:val="00613D7B"/>
    <w:rsid w:val="0061455D"/>
    <w:rsid w:val="006148DD"/>
    <w:rsid w:val="00614B8C"/>
    <w:rsid w:val="006150EA"/>
    <w:rsid w:val="0061512F"/>
    <w:rsid w:val="00615364"/>
    <w:rsid w:val="00616C72"/>
    <w:rsid w:val="00616D9C"/>
    <w:rsid w:val="00616FFA"/>
    <w:rsid w:val="0061714A"/>
    <w:rsid w:val="006202B7"/>
    <w:rsid w:val="00620A18"/>
    <w:rsid w:val="00621269"/>
    <w:rsid w:val="006218B8"/>
    <w:rsid w:val="00622125"/>
    <w:rsid w:val="00622559"/>
    <w:rsid w:val="00622CD7"/>
    <w:rsid w:val="00622D90"/>
    <w:rsid w:val="00622D9D"/>
    <w:rsid w:val="00622ED8"/>
    <w:rsid w:val="00625B0A"/>
    <w:rsid w:val="00625F2E"/>
    <w:rsid w:val="006268C1"/>
    <w:rsid w:val="00627C59"/>
    <w:rsid w:val="00627DB2"/>
    <w:rsid w:val="00630B72"/>
    <w:rsid w:val="00630BA4"/>
    <w:rsid w:val="00631051"/>
    <w:rsid w:val="0063170A"/>
    <w:rsid w:val="0063176A"/>
    <w:rsid w:val="00632678"/>
    <w:rsid w:val="00632A8E"/>
    <w:rsid w:val="00633972"/>
    <w:rsid w:val="00633B86"/>
    <w:rsid w:val="00633CEE"/>
    <w:rsid w:val="00633D03"/>
    <w:rsid w:val="006346D3"/>
    <w:rsid w:val="00634755"/>
    <w:rsid w:val="00636736"/>
    <w:rsid w:val="00636C8A"/>
    <w:rsid w:val="006372C9"/>
    <w:rsid w:val="00637655"/>
    <w:rsid w:val="00637C97"/>
    <w:rsid w:val="00637EE2"/>
    <w:rsid w:val="0064013E"/>
    <w:rsid w:val="006406DC"/>
    <w:rsid w:val="00641EB3"/>
    <w:rsid w:val="00641EFB"/>
    <w:rsid w:val="0064217D"/>
    <w:rsid w:val="00642582"/>
    <w:rsid w:val="006436BA"/>
    <w:rsid w:val="00643ABB"/>
    <w:rsid w:val="006444E4"/>
    <w:rsid w:val="00646107"/>
    <w:rsid w:val="006470BA"/>
    <w:rsid w:val="0064792F"/>
    <w:rsid w:val="00651255"/>
    <w:rsid w:val="0065132C"/>
    <w:rsid w:val="0065340B"/>
    <w:rsid w:val="006535B3"/>
    <w:rsid w:val="006551EE"/>
    <w:rsid w:val="006556A9"/>
    <w:rsid w:val="00655CD2"/>
    <w:rsid w:val="00656AE2"/>
    <w:rsid w:val="0065790C"/>
    <w:rsid w:val="00657DAE"/>
    <w:rsid w:val="00657E1E"/>
    <w:rsid w:val="00660166"/>
    <w:rsid w:val="00660173"/>
    <w:rsid w:val="00661907"/>
    <w:rsid w:val="00662599"/>
    <w:rsid w:val="006626D2"/>
    <w:rsid w:val="00663BF0"/>
    <w:rsid w:val="00664A8B"/>
    <w:rsid w:val="00664B56"/>
    <w:rsid w:val="00664C10"/>
    <w:rsid w:val="00664C41"/>
    <w:rsid w:val="00665BCD"/>
    <w:rsid w:val="00665DA4"/>
    <w:rsid w:val="0066615A"/>
    <w:rsid w:val="00666252"/>
    <w:rsid w:val="0066737C"/>
    <w:rsid w:val="0066748A"/>
    <w:rsid w:val="0067017C"/>
    <w:rsid w:val="006703E0"/>
    <w:rsid w:val="006709EC"/>
    <w:rsid w:val="00671370"/>
    <w:rsid w:val="00671E0F"/>
    <w:rsid w:val="00672304"/>
    <w:rsid w:val="00672609"/>
    <w:rsid w:val="00672836"/>
    <w:rsid w:val="006732F0"/>
    <w:rsid w:val="006740E6"/>
    <w:rsid w:val="00674769"/>
    <w:rsid w:val="00674804"/>
    <w:rsid w:val="0067504B"/>
    <w:rsid w:val="00676AEB"/>
    <w:rsid w:val="006777AC"/>
    <w:rsid w:val="006816CC"/>
    <w:rsid w:val="00682397"/>
    <w:rsid w:val="006824C6"/>
    <w:rsid w:val="006839C7"/>
    <w:rsid w:val="00683F2A"/>
    <w:rsid w:val="00684041"/>
    <w:rsid w:val="0068468B"/>
    <w:rsid w:val="006848E4"/>
    <w:rsid w:val="00684978"/>
    <w:rsid w:val="00685044"/>
    <w:rsid w:val="006852F3"/>
    <w:rsid w:val="00685E63"/>
    <w:rsid w:val="00685F8D"/>
    <w:rsid w:val="00686CA6"/>
    <w:rsid w:val="00686EF7"/>
    <w:rsid w:val="00687270"/>
    <w:rsid w:val="00687D12"/>
    <w:rsid w:val="00687ECB"/>
    <w:rsid w:val="0069060F"/>
    <w:rsid w:val="00690E87"/>
    <w:rsid w:val="00691CC3"/>
    <w:rsid w:val="00692368"/>
    <w:rsid w:val="0069433F"/>
    <w:rsid w:val="006943BB"/>
    <w:rsid w:val="006957AC"/>
    <w:rsid w:val="00695CA6"/>
    <w:rsid w:val="00696610"/>
    <w:rsid w:val="006969DB"/>
    <w:rsid w:val="00696B68"/>
    <w:rsid w:val="00697AB4"/>
    <w:rsid w:val="006A1390"/>
    <w:rsid w:val="006A15F3"/>
    <w:rsid w:val="006A1A2A"/>
    <w:rsid w:val="006A259F"/>
    <w:rsid w:val="006A2CF9"/>
    <w:rsid w:val="006A35EF"/>
    <w:rsid w:val="006A3C56"/>
    <w:rsid w:val="006A3DE3"/>
    <w:rsid w:val="006A4191"/>
    <w:rsid w:val="006A4E36"/>
    <w:rsid w:val="006A576D"/>
    <w:rsid w:val="006A5CCD"/>
    <w:rsid w:val="006A6BF5"/>
    <w:rsid w:val="006A7FBF"/>
    <w:rsid w:val="006B06BF"/>
    <w:rsid w:val="006B15F2"/>
    <w:rsid w:val="006B168B"/>
    <w:rsid w:val="006B1BAF"/>
    <w:rsid w:val="006B22B8"/>
    <w:rsid w:val="006B2411"/>
    <w:rsid w:val="006B25BB"/>
    <w:rsid w:val="006B2714"/>
    <w:rsid w:val="006B2B29"/>
    <w:rsid w:val="006B343F"/>
    <w:rsid w:val="006B3823"/>
    <w:rsid w:val="006B462E"/>
    <w:rsid w:val="006B4FA7"/>
    <w:rsid w:val="006B56AA"/>
    <w:rsid w:val="006B5DA8"/>
    <w:rsid w:val="006B5F5C"/>
    <w:rsid w:val="006B646C"/>
    <w:rsid w:val="006B6A68"/>
    <w:rsid w:val="006B6DA5"/>
    <w:rsid w:val="006B7385"/>
    <w:rsid w:val="006B7532"/>
    <w:rsid w:val="006C09AF"/>
    <w:rsid w:val="006C1810"/>
    <w:rsid w:val="006C2033"/>
    <w:rsid w:val="006C253B"/>
    <w:rsid w:val="006C3AD6"/>
    <w:rsid w:val="006C4B1C"/>
    <w:rsid w:val="006C4D63"/>
    <w:rsid w:val="006C7053"/>
    <w:rsid w:val="006C710D"/>
    <w:rsid w:val="006C71A6"/>
    <w:rsid w:val="006C7ADC"/>
    <w:rsid w:val="006C7B0D"/>
    <w:rsid w:val="006C7C23"/>
    <w:rsid w:val="006D06AE"/>
    <w:rsid w:val="006D0F06"/>
    <w:rsid w:val="006D1C2D"/>
    <w:rsid w:val="006D226D"/>
    <w:rsid w:val="006D2279"/>
    <w:rsid w:val="006D37B4"/>
    <w:rsid w:val="006D4ACC"/>
    <w:rsid w:val="006D5161"/>
    <w:rsid w:val="006D6A85"/>
    <w:rsid w:val="006D716E"/>
    <w:rsid w:val="006D7AA2"/>
    <w:rsid w:val="006E01AE"/>
    <w:rsid w:val="006E03E6"/>
    <w:rsid w:val="006E1172"/>
    <w:rsid w:val="006E26DA"/>
    <w:rsid w:val="006E29D1"/>
    <w:rsid w:val="006E2B9C"/>
    <w:rsid w:val="006E32A1"/>
    <w:rsid w:val="006E3964"/>
    <w:rsid w:val="006E3ADE"/>
    <w:rsid w:val="006E3DD5"/>
    <w:rsid w:val="006E41E4"/>
    <w:rsid w:val="006E4CA3"/>
    <w:rsid w:val="006E4EE1"/>
    <w:rsid w:val="006E6365"/>
    <w:rsid w:val="006F1729"/>
    <w:rsid w:val="006F2766"/>
    <w:rsid w:val="006F3082"/>
    <w:rsid w:val="006F4155"/>
    <w:rsid w:val="006F5C52"/>
    <w:rsid w:val="006F6069"/>
    <w:rsid w:val="006F75CC"/>
    <w:rsid w:val="006F7796"/>
    <w:rsid w:val="006F7CDA"/>
    <w:rsid w:val="00700268"/>
    <w:rsid w:val="00701132"/>
    <w:rsid w:val="00701773"/>
    <w:rsid w:val="007037C1"/>
    <w:rsid w:val="00703EA1"/>
    <w:rsid w:val="00703FA7"/>
    <w:rsid w:val="0070515D"/>
    <w:rsid w:val="007055EF"/>
    <w:rsid w:val="00705C92"/>
    <w:rsid w:val="00706051"/>
    <w:rsid w:val="00706440"/>
    <w:rsid w:val="00707E99"/>
    <w:rsid w:val="00707ED8"/>
    <w:rsid w:val="007108FE"/>
    <w:rsid w:val="00711284"/>
    <w:rsid w:val="007121B4"/>
    <w:rsid w:val="00712DE0"/>
    <w:rsid w:val="00713755"/>
    <w:rsid w:val="007143CB"/>
    <w:rsid w:val="00715074"/>
    <w:rsid w:val="0071605D"/>
    <w:rsid w:val="007167AC"/>
    <w:rsid w:val="00716BC5"/>
    <w:rsid w:val="00717423"/>
    <w:rsid w:val="0071747A"/>
    <w:rsid w:val="007174CF"/>
    <w:rsid w:val="00717627"/>
    <w:rsid w:val="007204EE"/>
    <w:rsid w:val="00720A57"/>
    <w:rsid w:val="00722CB3"/>
    <w:rsid w:val="00722F9C"/>
    <w:rsid w:val="007250AC"/>
    <w:rsid w:val="007255C2"/>
    <w:rsid w:val="00726E9F"/>
    <w:rsid w:val="00727B48"/>
    <w:rsid w:val="00730D41"/>
    <w:rsid w:val="00731749"/>
    <w:rsid w:val="00732C29"/>
    <w:rsid w:val="0073364B"/>
    <w:rsid w:val="00733F1E"/>
    <w:rsid w:val="00734B6B"/>
    <w:rsid w:val="00736649"/>
    <w:rsid w:val="00736678"/>
    <w:rsid w:val="00736C05"/>
    <w:rsid w:val="00736EC4"/>
    <w:rsid w:val="0073787B"/>
    <w:rsid w:val="007378A6"/>
    <w:rsid w:val="00740CED"/>
    <w:rsid w:val="00741241"/>
    <w:rsid w:val="00741EB3"/>
    <w:rsid w:val="0074258A"/>
    <w:rsid w:val="00743539"/>
    <w:rsid w:val="00744CBA"/>
    <w:rsid w:val="00745631"/>
    <w:rsid w:val="00746715"/>
    <w:rsid w:val="00746829"/>
    <w:rsid w:val="00746DD2"/>
    <w:rsid w:val="007477EB"/>
    <w:rsid w:val="0074793D"/>
    <w:rsid w:val="00747B16"/>
    <w:rsid w:val="00747CA3"/>
    <w:rsid w:val="0075234C"/>
    <w:rsid w:val="00752F4B"/>
    <w:rsid w:val="00753514"/>
    <w:rsid w:val="00753560"/>
    <w:rsid w:val="007537E4"/>
    <w:rsid w:val="00753F3B"/>
    <w:rsid w:val="00754377"/>
    <w:rsid w:val="007550CF"/>
    <w:rsid w:val="00755AF9"/>
    <w:rsid w:val="00755D4D"/>
    <w:rsid w:val="00756C70"/>
    <w:rsid w:val="007577E7"/>
    <w:rsid w:val="00757CBD"/>
    <w:rsid w:val="00760459"/>
    <w:rsid w:val="007623B5"/>
    <w:rsid w:val="00762D15"/>
    <w:rsid w:val="00764919"/>
    <w:rsid w:val="0076516F"/>
    <w:rsid w:val="007654D0"/>
    <w:rsid w:val="00765990"/>
    <w:rsid w:val="007666E1"/>
    <w:rsid w:val="0076681E"/>
    <w:rsid w:val="0076690A"/>
    <w:rsid w:val="007705CD"/>
    <w:rsid w:val="0077166C"/>
    <w:rsid w:val="00771B35"/>
    <w:rsid w:val="007724F4"/>
    <w:rsid w:val="00772BC0"/>
    <w:rsid w:val="007730CE"/>
    <w:rsid w:val="00773A61"/>
    <w:rsid w:val="00773BC5"/>
    <w:rsid w:val="007741CC"/>
    <w:rsid w:val="007741D2"/>
    <w:rsid w:val="00774A86"/>
    <w:rsid w:val="00774D24"/>
    <w:rsid w:val="0077593A"/>
    <w:rsid w:val="00775E3F"/>
    <w:rsid w:val="0077790C"/>
    <w:rsid w:val="007804F1"/>
    <w:rsid w:val="00780DB0"/>
    <w:rsid w:val="0078185F"/>
    <w:rsid w:val="00782F8D"/>
    <w:rsid w:val="00783A6E"/>
    <w:rsid w:val="00784A79"/>
    <w:rsid w:val="0078510E"/>
    <w:rsid w:val="007855AC"/>
    <w:rsid w:val="00786A86"/>
    <w:rsid w:val="00786D5F"/>
    <w:rsid w:val="00786E15"/>
    <w:rsid w:val="00790464"/>
    <w:rsid w:val="007904C8"/>
    <w:rsid w:val="007904ED"/>
    <w:rsid w:val="0079094F"/>
    <w:rsid w:val="00790E14"/>
    <w:rsid w:val="007911A2"/>
    <w:rsid w:val="007912E1"/>
    <w:rsid w:val="00791DF6"/>
    <w:rsid w:val="007923E4"/>
    <w:rsid w:val="00793A89"/>
    <w:rsid w:val="00793D13"/>
    <w:rsid w:val="007940EE"/>
    <w:rsid w:val="00794236"/>
    <w:rsid w:val="0079449F"/>
    <w:rsid w:val="00794E94"/>
    <w:rsid w:val="00795E15"/>
    <w:rsid w:val="0079707E"/>
    <w:rsid w:val="007A0008"/>
    <w:rsid w:val="007A120A"/>
    <w:rsid w:val="007A1B83"/>
    <w:rsid w:val="007A31C3"/>
    <w:rsid w:val="007A347F"/>
    <w:rsid w:val="007A3649"/>
    <w:rsid w:val="007A3E14"/>
    <w:rsid w:val="007A40EF"/>
    <w:rsid w:val="007A4996"/>
    <w:rsid w:val="007A5711"/>
    <w:rsid w:val="007A57E7"/>
    <w:rsid w:val="007A58A3"/>
    <w:rsid w:val="007A5AA0"/>
    <w:rsid w:val="007A6469"/>
    <w:rsid w:val="007B0FD6"/>
    <w:rsid w:val="007B10BF"/>
    <w:rsid w:val="007B13F9"/>
    <w:rsid w:val="007B15F4"/>
    <w:rsid w:val="007B1659"/>
    <w:rsid w:val="007B2C3A"/>
    <w:rsid w:val="007B3F5A"/>
    <w:rsid w:val="007B5B35"/>
    <w:rsid w:val="007C0041"/>
    <w:rsid w:val="007C0C80"/>
    <w:rsid w:val="007C1687"/>
    <w:rsid w:val="007C1B11"/>
    <w:rsid w:val="007C20D4"/>
    <w:rsid w:val="007C2A4D"/>
    <w:rsid w:val="007C354F"/>
    <w:rsid w:val="007C3810"/>
    <w:rsid w:val="007C4319"/>
    <w:rsid w:val="007C47E7"/>
    <w:rsid w:val="007C5098"/>
    <w:rsid w:val="007C5C43"/>
    <w:rsid w:val="007C6303"/>
    <w:rsid w:val="007C75CC"/>
    <w:rsid w:val="007D0402"/>
    <w:rsid w:val="007D0A6F"/>
    <w:rsid w:val="007D0E29"/>
    <w:rsid w:val="007D1335"/>
    <w:rsid w:val="007D1F78"/>
    <w:rsid w:val="007D34C0"/>
    <w:rsid w:val="007D4A3D"/>
    <w:rsid w:val="007D5473"/>
    <w:rsid w:val="007D574C"/>
    <w:rsid w:val="007D6520"/>
    <w:rsid w:val="007D7266"/>
    <w:rsid w:val="007D72E8"/>
    <w:rsid w:val="007D77E0"/>
    <w:rsid w:val="007E0366"/>
    <w:rsid w:val="007E0C2A"/>
    <w:rsid w:val="007E12F7"/>
    <w:rsid w:val="007E1435"/>
    <w:rsid w:val="007E21FF"/>
    <w:rsid w:val="007E2714"/>
    <w:rsid w:val="007E387F"/>
    <w:rsid w:val="007E676E"/>
    <w:rsid w:val="007F15BA"/>
    <w:rsid w:val="007F26AC"/>
    <w:rsid w:val="007F2A4D"/>
    <w:rsid w:val="007F33EE"/>
    <w:rsid w:val="007F3B63"/>
    <w:rsid w:val="007F4D41"/>
    <w:rsid w:val="007F5914"/>
    <w:rsid w:val="007F5F5E"/>
    <w:rsid w:val="007F63A0"/>
    <w:rsid w:val="00801240"/>
    <w:rsid w:val="0080137A"/>
    <w:rsid w:val="0080140B"/>
    <w:rsid w:val="00801A39"/>
    <w:rsid w:val="008024FA"/>
    <w:rsid w:val="00802F78"/>
    <w:rsid w:val="00804147"/>
    <w:rsid w:val="008044CB"/>
    <w:rsid w:val="00804575"/>
    <w:rsid w:val="00804EC0"/>
    <w:rsid w:val="00807830"/>
    <w:rsid w:val="00807C57"/>
    <w:rsid w:val="00811264"/>
    <w:rsid w:val="00812117"/>
    <w:rsid w:val="00813DBA"/>
    <w:rsid w:val="0081449D"/>
    <w:rsid w:val="00814980"/>
    <w:rsid w:val="008157C6"/>
    <w:rsid w:val="00815A5D"/>
    <w:rsid w:val="00815B0D"/>
    <w:rsid w:val="00815EC3"/>
    <w:rsid w:val="00817D75"/>
    <w:rsid w:val="0082049D"/>
    <w:rsid w:val="0082120F"/>
    <w:rsid w:val="008217F4"/>
    <w:rsid w:val="00821DDA"/>
    <w:rsid w:val="00822AFB"/>
    <w:rsid w:val="00822CD3"/>
    <w:rsid w:val="00823C7B"/>
    <w:rsid w:val="0082425C"/>
    <w:rsid w:val="00825881"/>
    <w:rsid w:val="00825AF0"/>
    <w:rsid w:val="00827864"/>
    <w:rsid w:val="00827986"/>
    <w:rsid w:val="00827E87"/>
    <w:rsid w:val="00827F25"/>
    <w:rsid w:val="008311BD"/>
    <w:rsid w:val="00831635"/>
    <w:rsid w:val="008319A7"/>
    <w:rsid w:val="00832A82"/>
    <w:rsid w:val="00833768"/>
    <w:rsid w:val="008339C7"/>
    <w:rsid w:val="00833BD4"/>
    <w:rsid w:val="00833FA3"/>
    <w:rsid w:val="0083406C"/>
    <w:rsid w:val="0083478D"/>
    <w:rsid w:val="00835964"/>
    <w:rsid w:val="00836415"/>
    <w:rsid w:val="008364EF"/>
    <w:rsid w:val="0083651F"/>
    <w:rsid w:val="008370E6"/>
    <w:rsid w:val="008410A2"/>
    <w:rsid w:val="008423A2"/>
    <w:rsid w:val="008425E6"/>
    <w:rsid w:val="008426D3"/>
    <w:rsid w:val="00843009"/>
    <w:rsid w:val="0084473D"/>
    <w:rsid w:val="00846AC4"/>
    <w:rsid w:val="00846C5F"/>
    <w:rsid w:val="008507BD"/>
    <w:rsid w:val="00850CA3"/>
    <w:rsid w:val="008511AE"/>
    <w:rsid w:val="00852A70"/>
    <w:rsid w:val="00853332"/>
    <w:rsid w:val="00855330"/>
    <w:rsid w:val="008557A6"/>
    <w:rsid w:val="008563D1"/>
    <w:rsid w:val="0085653C"/>
    <w:rsid w:val="008600F6"/>
    <w:rsid w:val="00860138"/>
    <w:rsid w:val="00860513"/>
    <w:rsid w:val="008609B2"/>
    <w:rsid w:val="00860D25"/>
    <w:rsid w:val="0086251C"/>
    <w:rsid w:val="00864889"/>
    <w:rsid w:val="00865358"/>
    <w:rsid w:val="00865884"/>
    <w:rsid w:val="008659A5"/>
    <w:rsid w:val="00865D46"/>
    <w:rsid w:val="00865ED0"/>
    <w:rsid w:val="00866566"/>
    <w:rsid w:val="00867061"/>
    <w:rsid w:val="00867245"/>
    <w:rsid w:val="00867E4D"/>
    <w:rsid w:val="00870474"/>
    <w:rsid w:val="00870913"/>
    <w:rsid w:val="00870B39"/>
    <w:rsid w:val="008719DE"/>
    <w:rsid w:val="00872101"/>
    <w:rsid w:val="00872FED"/>
    <w:rsid w:val="00873503"/>
    <w:rsid w:val="008736FB"/>
    <w:rsid w:val="0087528F"/>
    <w:rsid w:val="00875368"/>
    <w:rsid w:val="008767C0"/>
    <w:rsid w:val="008771B6"/>
    <w:rsid w:val="00877682"/>
    <w:rsid w:val="00877CAE"/>
    <w:rsid w:val="00880033"/>
    <w:rsid w:val="0088055E"/>
    <w:rsid w:val="00880FE3"/>
    <w:rsid w:val="00881156"/>
    <w:rsid w:val="0088142D"/>
    <w:rsid w:val="00881781"/>
    <w:rsid w:val="00882C1A"/>
    <w:rsid w:val="00883194"/>
    <w:rsid w:val="00883461"/>
    <w:rsid w:val="00883765"/>
    <w:rsid w:val="008859DA"/>
    <w:rsid w:val="00885EBE"/>
    <w:rsid w:val="008861D2"/>
    <w:rsid w:val="00886E63"/>
    <w:rsid w:val="0088721A"/>
    <w:rsid w:val="008876D9"/>
    <w:rsid w:val="00890B73"/>
    <w:rsid w:val="00891028"/>
    <w:rsid w:val="00891D35"/>
    <w:rsid w:val="00892611"/>
    <w:rsid w:val="00892ED9"/>
    <w:rsid w:val="008939E2"/>
    <w:rsid w:val="00893B0E"/>
    <w:rsid w:val="00894CED"/>
    <w:rsid w:val="00894E73"/>
    <w:rsid w:val="00895085"/>
    <w:rsid w:val="00895CFE"/>
    <w:rsid w:val="0089615D"/>
    <w:rsid w:val="0089644B"/>
    <w:rsid w:val="00896BB3"/>
    <w:rsid w:val="008978B9"/>
    <w:rsid w:val="00897C8A"/>
    <w:rsid w:val="008A14D8"/>
    <w:rsid w:val="008A1926"/>
    <w:rsid w:val="008A1AF4"/>
    <w:rsid w:val="008A23BE"/>
    <w:rsid w:val="008A360C"/>
    <w:rsid w:val="008A3BC4"/>
    <w:rsid w:val="008A6232"/>
    <w:rsid w:val="008A691A"/>
    <w:rsid w:val="008A70DA"/>
    <w:rsid w:val="008A7632"/>
    <w:rsid w:val="008B05CE"/>
    <w:rsid w:val="008B316C"/>
    <w:rsid w:val="008B3BD4"/>
    <w:rsid w:val="008B4319"/>
    <w:rsid w:val="008B53D6"/>
    <w:rsid w:val="008B6A0E"/>
    <w:rsid w:val="008B7837"/>
    <w:rsid w:val="008B7EDB"/>
    <w:rsid w:val="008C016E"/>
    <w:rsid w:val="008C0A19"/>
    <w:rsid w:val="008C0E00"/>
    <w:rsid w:val="008C1D60"/>
    <w:rsid w:val="008C2157"/>
    <w:rsid w:val="008C24E3"/>
    <w:rsid w:val="008C2993"/>
    <w:rsid w:val="008C2CAC"/>
    <w:rsid w:val="008C31E5"/>
    <w:rsid w:val="008C4855"/>
    <w:rsid w:val="008C5467"/>
    <w:rsid w:val="008C6DF6"/>
    <w:rsid w:val="008C730B"/>
    <w:rsid w:val="008D0253"/>
    <w:rsid w:val="008D037E"/>
    <w:rsid w:val="008D16C9"/>
    <w:rsid w:val="008D175F"/>
    <w:rsid w:val="008D1B78"/>
    <w:rsid w:val="008D2241"/>
    <w:rsid w:val="008D2AC0"/>
    <w:rsid w:val="008D2ED3"/>
    <w:rsid w:val="008D35A5"/>
    <w:rsid w:val="008D3E6F"/>
    <w:rsid w:val="008D5F44"/>
    <w:rsid w:val="008D68BA"/>
    <w:rsid w:val="008D74A1"/>
    <w:rsid w:val="008E17AB"/>
    <w:rsid w:val="008E268E"/>
    <w:rsid w:val="008E2F10"/>
    <w:rsid w:val="008E2F31"/>
    <w:rsid w:val="008E30AC"/>
    <w:rsid w:val="008E342A"/>
    <w:rsid w:val="008E382F"/>
    <w:rsid w:val="008E3B65"/>
    <w:rsid w:val="008E3EFD"/>
    <w:rsid w:val="008E4E73"/>
    <w:rsid w:val="008E563D"/>
    <w:rsid w:val="008E5B64"/>
    <w:rsid w:val="008E6857"/>
    <w:rsid w:val="008E6D8E"/>
    <w:rsid w:val="008E76CE"/>
    <w:rsid w:val="008E772E"/>
    <w:rsid w:val="008E7A9B"/>
    <w:rsid w:val="008E7CB4"/>
    <w:rsid w:val="008F00CC"/>
    <w:rsid w:val="008F0174"/>
    <w:rsid w:val="008F0904"/>
    <w:rsid w:val="008F2026"/>
    <w:rsid w:val="008F2561"/>
    <w:rsid w:val="008F2B23"/>
    <w:rsid w:val="008F2EC1"/>
    <w:rsid w:val="008F385E"/>
    <w:rsid w:val="008F3D1A"/>
    <w:rsid w:val="008F4368"/>
    <w:rsid w:val="008F4E29"/>
    <w:rsid w:val="008F54E3"/>
    <w:rsid w:val="008F57B6"/>
    <w:rsid w:val="008F5CAC"/>
    <w:rsid w:val="008F602F"/>
    <w:rsid w:val="008F6B15"/>
    <w:rsid w:val="00900C35"/>
    <w:rsid w:val="009014C6"/>
    <w:rsid w:val="00901542"/>
    <w:rsid w:val="009040B4"/>
    <w:rsid w:val="009043B5"/>
    <w:rsid w:val="009047A3"/>
    <w:rsid w:val="00905158"/>
    <w:rsid w:val="009053E3"/>
    <w:rsid w:val="00905E2A"/>
    <w:rsid w:val="00911DC3"/>
    <w:rsid w:val="009125C4"/>
    <w:rsid w:val="0091347A"/>
    <w:rsid w:val="00914876"/>
    <w:rsid w:val="009149FB"/>
    <w:rsid w:val="009151B5"/>
    <w:rsid w:val="00915725"/>
    <w:rsid w:val="00915869"/>
    <w:rsid w:val="009158AE"/>
    <w:rsid w:val="00916050"/>
    <w:rsid w:val="00916196"/>
    <w:rsid w:val="00916523"/>
    <w:rsid w:val="009200B6"/>
    <w:rsid w:val="00920B0F"/>
    <w:rsid w:val="00920EB9"/>
    <w:rsid w:val="009215BA"/>
    <w:rsid w:val="00921D17"/>
    <w:rsid w:val="009229E3"/>
    <w:rsid w:val="00923036"/>
    <w:rsid w:val="00923634"/>
    <w:rsid w:val="00923911"/>
    <w:rsid w:val="009246B6"/>
    <w:rsid w:val="00924F0B"/>
    <w:rsid w:val="00925E46"/>
    <w:rsid w:val="00927AA6"/>
    <w:rsid w:val="009300EC"/>
    <w:rsid w:val="00930517"/>
    <w:rsid w:val="00930818"/>
    <w:rsid w:val="00930F9F"/>
    <w:rsid w:val="00931B86"/>
    <w:rsid w:val="00931DE9"/>
    <w:rsid w:val="00932E20"/>
    <w:rsid w:val="009341FE"/>
    <w:rsid w:val="00935235"/>
    <w:rsid w:val="009359F2"/>
    <w:rsid w:val="00937376"/>
    <w:rsid w:val="00937F3A"/>
    <w:rsid w:val="00937FC6"/>
    <w:rsid w:val="009403AD"/>
    <w:rsid w:val="0094095D"/>
    <w:rsid w:val="00940F2C"/>
    <w:rsid w:val="00940F8D"/>
    <w:rsid w:val="0094103A"/>
    <w:rsid w:val="00941064"/>
    <w:rsid w:val="00941154"/>
    <w:rsid w:val="009417A9"/>
    <w:rsid w:val="00941A39"/>
    <w:rsid w:val="00941DBC"/>
    <w:rsid w:val="0094359D"/>
    <w:rsid w:val="009444F6"/>
    <w:rsid w:val="00945EAC"/>
    <w:rsid w:val="0094606D"/>
    <w:rsid w:val="00946614"/>
    <w:rsid w:val="009468A0"/>
    <w:rsid w:val="00946D6F"/>
    <w:rsid w:val="00947139"/>
    <w:rsid w:val="00947BD3"/>
    <w:rsid w:val="00947C5B"/>
    <w:rsid w:val="00950ADF"/>
    <w:rsid w:val="00950C6B"/>
    <w:rsid w:val="009511A4"/>
    <w:rsid w:val="00951CD0"/>
    <w:rsid w:val="00951D38"/>
    <w:rsid w:val="0095346E"/>
    <w:rsid w:val="0095359C"/>
    <w:rsid w:val="009536F8"/>
    <w:rsid w:val="00953D10"/>
    <w:rsid w:val="0095450E"/>
    <w:rsid w:val="009547F1"/>
    <w:rsid w:val="00954B6C"/>
    <w:rsid w:val="00954DDE"/>
    <w:rsid w:val="009608C2"/>
    <w:rsid w:val="00960EF5"/>
    <w:rsid w:val="00961255"/>
    <w:rsid w:val="009639F8"/>
    <w:rsid w:val="00963CAC"/>
    <w:rsid w:val="00963E18"/>
    <w:rsid w:val="00964E0A"/>
    <w:rsid w:val="00965201"/>
    <w:rsid w:val="00965811"/>
    <w:rsid w:val="0096600A"/>
    <w:rsid w:val="009662B8"/>
    <w:rsid w:val="0096651F"/>
    <w:rsid w:val="009665AA"/>
    <w:rsid w:val="00967048"/>
    <w:rsid w:val="00967E97"/>
    <w:rsid w:val="00970570"/>
    <w:rsid w:val="009712C4"/>
    <w:rsid w:val="00971430"/>
    <w:rsid w:val="009722C5"/>
    <w:rsid w:val="00973EA1"/>
    <w:rsid w:val="009749FB"/>
    <w:rsid w:val="00975E7E"/>
    <w:rsid w:val="009761FE"/>
    <w:rsid w:val="00977C75"/>
    <w:rsid w:val="00982F39"/>
    <w:rsid w:val="0098412E"/>
    <w:rsid w:val="009847E9"/>
    <w:rsid w:val="00984818"/>
    <w:rsid w:val="00984F45"/>
    <w:rsid w:val="00985309"/>
    <w:rsid w:val="00985E17"/>
    <w:rsid w:val="0098752E"/>
    <w:rsid w:val="00987B5D"/>
    <w:rsid w:val="00987C68"/>
    <w:rsid w:val="00990380"/>
    <w:rsid w:val="00991CC3"/>
    <w:rsid w:val="0099240A"/>
    <w:rsid w:val="00992977"/>
    <w:rsid w:val="00993049"/>
    <w:rsid w:val="00993952"/>
    <w:rsid w:val="009939D4"/>
    <w:rsid w:val="009941AB"/>
    <w:rsid w:val="0099420B"/>
    <w:rsid w:val="009942C0"/>
    <w:rsid w:val="009966FC"/>
    <w:rsid w:val="00996A82"/>
    <w:rsid w:val="009970D6"/>
    <w:rsid w:val="009A109A"/>
    <w:rsid w:val="009A1FFF"/>
    <w:rsid w:val="009A2106"/>
    <w:rsid w:val="009A2234"/>
    <w:rsid w:val="009A4E32"/>
    <w:rsid w:val="009A5209"/>
    <w:rsid w:val="009A554D"/>
    <w:rsid w:val="009A612F"/>
    <w:rsid w:val="009A6966"/>
    <w:rsid w:val="009A795D"/>
    <w:rsid w:val="009A7DF3"/>
    <w:rsid w:val="009A7EDF"/>
    <w:rsid w:val="009B0884"/>
    <w:rsid w:val="009B16A8"/>
    <w:rsid w:val="009B21ED"/>
    <w:rsid w:val="009B344C"/>
    <w:rsid w:val="009B39FF"/>
    <w:rsid w:val="009B4E6D"/>
    <w:rsid w:val="009B5327"/>
    <w:rsid w:val="009B79B6"/>
    <w:rsid w:val="009C09FD"/>
    <w:rsid w:val="009C0BBF"/>
    <w:rsid w:val="009C0EB5"/>
    <w:rsid w:val="009C1775"/>
    <w:rsid w:val="009C1A51"/>
    <w:rsid w:val="009C2DAE"/>
    <w:rsid w:val="009C37AD"/>
    <w:rsid w:val="009C39BB"/>
    <w:rsid w:val="009C431C"/>
    <w:rsid w:val="009C45BA"/>
    <w:rsid w:val="009C592B"/>
    <w:rsid w:val="009C6125"/>
    <w:rsid w:val="009C6CE4"/>
    <w:rsid w:val="009C7090"/>
    <w:rsid w:val="009C743A"/>
    <w:rsid w:val="009C7CEA"/>
    <w:rsid w:val="009D0B7B"/>
    <w:rsid w:val="009D1984"/>
    <w:rsid w:val="009D1A2A"/>
    <w:rsid w:val="009D21F5"/>
    <w:rsid w:val="009D288C"/>
    <w:rsid w:val="009D30A8"/>
    <w:rsid w:val="009D3118"/>
    <w:rsid w:val="009D356F"/>
    <w:rsid w:val="009D3941"/>
    <w:rsid w:val="009D3FAF"/>
    <w:rsid w:val="009D4214"/>
    <w:rsid w:val="009D468E"/>
    <w:rsid w:val="009D46BE"/>
    <w:rsid w:val="009D6AD5"/>
    <w:rsid w:val="009D6E91"/>
    <w:rsid w:val="009D7039"/>
    <w:rsid w:val="009D7700"/>
    <w:rsid w:val="009D7D94"/>
    <w:rsid w:val="009E0068"/>
    <w:rsid w:val="009E0116"/>
    <w:rsid w:val="009E1833"/>
    <w:rsid w:val="009E1B46"/>
    <w:rsid w:val="009E34DA"/>
    <w:rsid w:val="009E3683"/>
    <w:rsid w:val="009E4967"/>
    <w:rsid w:val="009E4EBB"/>
    <w:rsid w:val="009E6EAF"/>
    <w:rsid w:val="009E70AF"/>
    <w:rsid w:val="009E70F5"/>
    <w:rsid w:val="009E71CE"/>
    <w:rsid w:val="009E7987"/>
    <w:rsid w:val="009E7D09"/>
    <w:rsid w:val="009E7D55"/>
    <w:rsid w:val="009F1E1D"/>
    <w:rsid w:val="009F274A"/>
    <w:rsid w:val="009F2C82"/>
    <w:rsid w:val="009F39DC"/>
    <w:rsid w:val="009F470D"/>
    <w:rsid w:val="009F60BE"/>
    <w:rsid w:val="009F6B78"/>
    <w:rsid w:val="009F6CE0"/>
    <w:rsid w:val="009F6F90"/>
    <w:rsid w:val="009F754D"/>
    <w:rsid w:val="00A002B4"/>
    <w:rsid w:val="00A00821"/>
    <w:rsid w:val="00A01163"/>
    <w:rsid w:val="00A01AA6"/>
    <w:rsid w:val="00A01EFC"/>
    <w:rsid w:val="00A02D17"/>
    <w:rsid w:val="00A02E76"/>
    <w:rsid w:val="00A03AD5"/>
    <w:rsid w:val="00A04DCF"/>
    <w:rsid w:val="00A05435"/>
    <w:rsid w:val="00A057E4"/>
    <w:rsid w:val="00A06ACB"/>
    <w:rsid w:val="00A0751C"/>
    <w:rsid w:val="00A07A93"/>
    <w:rsid w:val="00A10161"/>
    <w:rsid w:val="00A1075F"/>
    <w:rsid w:val="00A10A78"/>
    <w:rsid w:val="00A122C7"/>
    <w:rsid w:val="00A130D7"/>
    <w:rsid w:val="00A13893"/>
    <w:rsid w:val="00A13FF6"/>
    <w:rsid w:val="00A14700"/>
    <w:rsid w:val="00A147E4"/>
    <w:rsid w:val="00A14B50"/>
    <w:rsid w:val="00A14C58"/>
    <w:rsid w:val="00A14CC6"/>
    <w:rsid w:val="00A155BA"/>
    <w:rsid w:val="00A15F84"/>
    <w:rsid w:val="00A1610E"/>
    <w:rsid w:val="00A16339"/>
    <w:rsid w:val="00A16A39"/>
    <w:rsid w:val="00A17899"/>
    <w:rsid w:val="00A17C10"/>
    <w:rsid w:val="00A20349"/>
    <w:rsid w:val="00A20BC6"/>
    <w:rsid w:val="00A20D8B"/>
    <w:rsid w:val="00A21577"/>
    <w:rsid w:val="00A21798"/>
    <w:rsid w:val="00A21F61"/>
    <w:rsid w:val="00A22D6E"/>
    <w:rsid w:val="00A236D9"/>
    <w:rsid w:val="00A23A80"/>
    <w:rsid w:val="00A27A54"/>
    <w:rsid w:val="00A27AEB"/>
    <w:rsid w:val="00A30142"/>
    <w:rsid w:val="00A3029C"/>
    <w:rsid w:val="00A306CC"/>
    <w:rsid w:val="00A30AEA"/>
    <w:rsid w:val="00A30B72"/>
    <w:rsid w:val="00A312A8"/>
    <w:rsid w:val="00A3198E"/>
    <w:rsid w:val="00A31B38"/>
    <w:rsid w:val="00A31CA9"/>
    <w:rsid w:val="00A31F3F"/>
    <w:rsid w:val="00A346DF"/>
    <w:rsid w:val="00A34F62"/>
    <w:rsid w:val="00A35F63"/>
    <w:rsid w:val="00A37669"/>
    <w:rsid w:val="00A37C27"/>
    <w:rsid w:val="00A37FB8"/>
    <w:rsid w:val="00A42EB0"/>
    <w:rsid w:val="00A43979"/>
    <w:rsid w:val="00A43FDE"/>
    <w:rsid w:val="00A44596"/>
    <w:rsid w:val="00A44F3F"/>
    <w:rsid w:val="00A460DE"/>
    <w:rsid w:val="00A460F0"/>
    <w:rsid w:val="00A47190"/>
    <w:rsid w:val="00A471D1"/>
    <w:rsid w:val="00A47C5F"/>
    <w:rsid w:val="00A51C70"/>
    <w:rsid w:val="00A52078"/>
    <w:rsid w:val="00A52296"/>
    <w:rsid w:val="00A5281B"/>
    <w:rsid w:val="00A5297D"/>
    <w:rsid w:val="00A52982"/>
    <w:rsid w:val="00A52D89"/>
    <w:rsid w:val="00A5352E"/>
    <w:rsid w:val="00A53823"/>
    <w:rsid w:val="00A54A3B"/>
    <w:rsid w:val="00A55829"/>
    <w:rsid w:val="00A55CBF"/>
    <w:rsid w:val="00A55F69"/>
    <w:rsid w:val="00A56F70"/>
    <w:rsid w:val="00A57254"/>
    <w:rsid w:val="00A617F5"/>
    <w:rsid w:val="00A61902"/>
    <w:rsid w:val="00A6268F"/>
    <w:rsid w:val="00A62903"/>
    <w:rsid w:val="00A62A04"/>
    <w:rsid w:val="00A62C39"/>
    <w:rsid w:val="00A63195"/>
    <w:rsid w:val="00A63706"/>
    <w:rsid w:val="00A63742"/>
    <w:rsid w:val="00A664B7"/>
    <w:rsid w:val="00A66C5F"/>
    <w:rsid w:val="00A6703E"/>
    <w:rsid w:val="00A675C7"/>
    <w:rsid w:val="00A67E21"/>
    <w:rsid w:val="00A7103F"/>
    <w:rsid w:val="00A71B35"/>
    <w:rsid w:val="00A720C8"/>
    <w:rsid w:val="00A72FF6"/>
    <w:rsid w:val="00A73058"/>
    <w:rsid w:val="00A733BD"/>
    <w:rsid w:val="00A744CC"/>
    <w:rsid w:val="00A74D3B"/>
    <w:rsid w:val="00A756C7"/>
    <w:rsid w:val="00A75F1B"/>
    <w:rsid w:val="00A76F0F"/>
    <w:rsid w:val="00A771C8"/>
    <w:rsid w:val="00A80734"/>
    <w:rsid w:val="00A8137D"/>
    <w:rsid w:val="00A81F93"/>
    <w:rsid w:val="00A8211C"/>
    <w:rsid w:val="00A82515"/>
    <w:rsid w:val="00A82978"/>
    <w:rsid w:val="00A83640"/>
    <w:rsid w:val="00A83D21"/>
    <w:rsid w:val="00A8415D"/>
    <w:rsid w:val="00A843AC"/>
    <w:rsid w:val="00A860C7"/>
    <w:rsid w:val="00A869E4"/>
    <w:rsid w:val="00A86DAC"/>
    <w:rsid w:val="00A9001C"/>
    <w:rsid w:val="00A901FF"/>
    <w:rsid w:val="00A9098D"/>
    <w:rsid w:val="00A919A9"/>
    <w:rsid w:val="00A92303"/>
    <w:rsid w:val="00A92D99"/>
    <w:rsid w:val="00A92FC2"/>
    <w:rsid w:val="00A93891"/>
    <w:rsid w:val="00A94330"/>
    <w:rsid w:val="00A944D2"/>
    <w:rsid w:val="00A945B1"/>
    <w:rsid w:val="00A95577"/>
    <w:rsid w:val="00A9564D"/>
    <w:rsid w:val="00A95D8C"/>
    <w:rsid w:val="00A95E68"/>
    <w:rsid w:val="00A96099"/>
    <w:rsid w:val="00A96775"/>
    <w:rsid w:val="00A96A1D"/>
    <w:rsid w:val="00A96FBB"/>
    <w:rsid w:val="00A97004"/>
    <w:rsid w:val="00A97626"/>
    <w:rsid w:val="00AA09D2"/>
    <w:rsid w:val="00AA10B3"/>
    <w:rsid w:val="00AA12D4"/>
    <w:rsid w:val="00AA2540"/>
    <w:rsid w:val="00AA2A5A"/>
    <w:rsid w:val="00AA2C1E"/>
    <w:rsid w:val="00AA34F6"/>
    <w:rsid w:val="00AA5316"/>
    <w:rsid w:val="00AA5793"/>
    <w:rsid w:val="00AA5814"/>
    <w:rsid w:val="00AA5854"/>
    <w:rsid w:val="00AA6BFA"/>
    <w:rsid w:val="00AB036F"/>
    <w:rsid w:val="00AB05EE"/>
    <w:rsid w:val="00AB074D"/>
    <w:rsid w:val="00AB0A86"/>
    <w:rsid w:val="00AB0D8D"/>
    <w:rsid w:val="00AB1324"/>
    <w:rsid w:val="00AB1E55"/>
    <w:rsid w:val="00AB293C"/>
    <w:rsid w:val="00AB39A9"/>
    <w:rsid w:val="00AB5225"/>
    <w:rsid w:val="00AB5FA1"/>
    <w:rsid w:val="00AB6548"/>
    <w:rsid w:val="00AB758E"/>
    <w:rsid w:val="00AC0CDD"/>
    <w:rsid w:val="00AC2DA6"/>
    <w:rsid w:val="00AC340A"/>
    <w:rsid w:val="00AC4656"/>
    <w:rsid w:val="00AC4B7E"/>
    <w:rsid w:val="00AC4CE1"/>
    <w:rsid w:val="00AC5BED"/>
    <w:rsid w:val="00AC5C95"/>
    <w:rsid w:val="00AC64A2"/>
    <w:rsid w:val="00AC6A1F"/>
    <w:rsid w:val="00AC7087"/>
    <w:rsid w:val="00AD0A15"/>
    <w:rsid w:val="00AD1359"/>
    <w:rsid w:val="00AD165D"/>
    <w:rsid w:val="00AD4813"/>
    <w:rsid w:val="00AD4C07"/>
    <w:rsid w:val="00AD5321"/>
    <w:rsid w:val="00AD54EB"/>
    <w:rsid w:val="00AD54FA"/>
    <w:rsid w:val="00AD5F62"/>
    <w:rsid w:val="00AD6289"/>
    <w:rsid w:val="00AD69F8"/>
    <w:rsid w:val="00AD702A"/>
    <w:rsid w:val="00AD759E"/>
    <w:rsid w:val="00AD7DDB"/>
    <w:rsid w:val="00AE0030"/>
    <w:rsid w:val="00AE1D79"/>
    <w:rsid w:val="00AE2081"/>
    <w:rsid w:val="00AE29B8"/>
    <w:rsid w:val="00AE44B1"/>
    <w:rsid w:val="00AE4C12"/>
    <w:rsid w:val="00AE4D4C"/>
    <w:rsid w:val="00AE60A4"/>
    <w:rsid w:val="00AE6160"/>
    <w:rsid w:val="00AE66B4"/>
    <w:rsid w:val="00AE6AF3"/>
    <w:rsid w:val="00AF069B"/>
    <w:rsid w:val="00AF0E16"/>
    <w:rsid w:val="00AF1802"/>
    <w:rsid w:val="00AF1B98"/>
    <w:rsid w:val="00AF3D00"/>
    <w:rsid w:val="00AF3E77"/>
    <w:rsid w:val="00AF418C"/>
    <w:rsid w:val="00AF4D0D"/>
    <w:rsid w:val="00AF5CA6"/>
    <w:rsid w:val="00AF5F2E"/>
    <w:rsid w:val="00AF5F83"/>
    <w:rsid w:val="00AF76D4"/>
    <w:rsid w:val="00AF7ED6"/>
    <w:rsid w:val="00B00110"/>
    <w:rsid w:val="00B00659"/>
    <w:rsid w:val="00B009DF"/>
    <w:rsid w:val="00B01C06"/>
    <w:rsid w:val="00B02151"/>
    <w:rsid w:val="00B0259D"/>
    <w:rsid w:val="00B02B95"/>
    <w:rsid w:val="00B02D0B"/>
    <w:rsid w:val="00B0330E"/>
    <w:rsid w:val="00B044A8"/>
    <w:rsid w:val="00B04A4F"/>
    <w:rsid w:val="00B054B9"/>
    <w:rsid w:val="00B05529"/>
    <w:rsid w:val="00B0570F"/>
    <w:rsid w:val="00B05973"/>
    <w:rsid w:val="00B0617C"/>
    <w:rsid w:val="00B0640B"/>
    <w:rsid w:val="00B06A2A"/>
    <w:rsid w:val="00B06C42"/>
    <w:rsid w:val="00B0728A"/>
    <w:rsid w:val="00B07932"/>
    <w:rsid w:val="00B07CA4"/>
    <w:rsid w:val="00B07ED3"/>
    <w:rsid w:val="00B107A7"/>
    <w:rsid w:val="00B109DE"/>
    <w:rsid w:val="00B11820"/>
    <w:rsid w:val="00B119ED"/>
    <w:rsid w:val="00B11DF5"/>
    <w:rsid w:val="00B122F1"/>
    <w:rsid w:val="00B12836"/>
    <w:rsid w:val="00B138F5"/>
    <w:rsid w:val="00B14AAD"/>
    <w:rsid w:val="00B15D00"/>
    <w:rsid w:val="00B168DB"/>
    <w:rsid w:val="00B16B33"/>
    <w:rsid w:val="00B1718F"/>
    <w:rsid w:val="00B20034"/>
    <w:rsid w:val="00B209BB"/>
    <w:rsid w:val="00B212DA"/>
    <w:rsid w:val="00B21786"/>
    <w:rsid w:val="00B21918"/>
    <w:rsid w:val="00B226B7"/>
    <w:rsid w:val="00B22832"/>
    <w:rsid w:val="00B22C89"/>
    <w:rsid w:val="00B2450B"/>
    <w:rsid w:val="00B24905"/>
    <w:rsid w:val="00B260A3"/>
    <w:rsid w:val="00B26384"/>
    <w:rsid w:val="00B265B5"/>
    <w:rsid w:val="00B26665"/>
    <w:rsid w:val="00B27307"/>
    <w:rsid w:val="00B27B9E"/>
    <w:rsid w:val="00B27DBE"/>
    <w:rsid w:val="00B3059B"/>
    <w:rsid w:val="00B30799"/>
    <w:rsid w:val="00B311D2"/>
    <w:rsid w:val="00B313A5"/>
    <w:rsid w:val="00B31A1C"/>
    <w:rsid w:val="00B31D67"/>
    <w:rsid w:val="00B31D69"/>
    <w:rsid w:val="00B32461"/>
    <w:rsid w:val="00B32A18"/>
    <w:rsid w:val="00B333BB"/>
    <w:rsid w:val="00B35BC3"/>
    <w:rsid w:val="00B36B62"/>
    <w:rsid w:val="00B37572"/>
    <w:rsid w:val="00B43004"/>
    <w:rsid w:val="00B45FB1"/>
    <w:rsid w:val="00B4629F"/>
    <w:rsid w:val="00B4676A"/>
    <w:rsid w:val="00B46E1A"/>
    <w:rsid w:val="00B475DF"/>
    <w:rsid w:val="00B4776D"/>
    <w:rsid w:val="00B47CD1"/>
    <w:rsid w:val="00B47E3B"/>
    <w:rsid w:val="00B516B1"/>
    <w:rsid w:val="00B518AB"/>
    <w:rsid w:val="00B51D00"/>
    <w:rsid w:val="00B52CB2"/>
    <w:rsid w:val="00B5313B"/>
    <w:rsid w:val="00B54BB5"/>
    <w:rsid w:val="00B54D24"/>
    <w:rsid w:val="00B55120"/>
    <w:rsid w:val="00B551E4"/>
    <w:rsid w:val="00B56364"/>
    <w:rsid w:val="00B56615"/>
    <w:rsid w:val="00B61DFE"/>
    <w:rsid w:val="00B61FE9"/>
    <w:rsid w:val="00B63F9A"/>
    <w:rsid w:val="00B64DCD"/>
    <w:rsid w:val="00B66178"/>
    <w:rsid w:val="00B66B5A"/>
    <w:rsid w:val="00B676E1"/>
    <w:rsid w:val="00B679AF"/>
    <w:rsid w:val="00B67B06"/>
    <w:rsid w:val="00B67EBE"/>
    <w:rsid w:val="00B71BF0"/>
    <w:rsid w:val="00B73208"/>
    <w:rsid w:val="00B74558"/>
    <w:rsid w:val="00B74D31"/>
    <w:rsid w:val="00B74E5C"/>
    <w:rsid w:val="00B74EB7"/>
    <w:rsid w:val="00B7560E"/>
    <w:rsid w:val="00B757B5"/>
    <w:rsid w:val="00B75E0B"/>
    <w:rsid w:val="00B75F54"/>
    <w:rsid w:val="00B75F98"/>
    <w:rsid w:val="00B76E15"/>
    <w:rsid w:val="00B777DF"/>
    <w:rsid w:val="00B801F5"/>
    <w:rsid w:val="00B8051F"/>
    <w:rsid w:val="00B81F15"/>
    <w:rsid w:val="00B82C04"/>
    <w:rsid w:val="00B83B54"/>
    <w:rsid w:val="00B84622"/>
    <w:rsid w:val="00B84BC6"/>
    <w:rsid w:val="00B84C17"/>
    <w:rsid w:val="00B84F41"/>
    <w:rsid w:val="00B84F4B"/>
    <w:rsid w:val="00B85F6C"/>
    <w:rsid w:val="00B8627F"/>
    <w:rsid w:val="00B863EF"/>
    <w:rsid w:val="00B8692E"/>
    <w:rsid w:val="00B86C4B"/>
    <w:rsid w:val="00B86CD9"/>
    <w:rsid w:val="00B87B17"/>
    <w:rsid w:val="00B87C0F"/>
    <w:rsid w:val="00B9109B"/>
    <w:rsid w:val="00B913BD"/>
    <w:rsid w:val="00B918E2"/>
    <w:rsid w:val="00B9276A"/>
    <w:rsid w:val="00B92C06"/>
    <w:rsid w:val="00B92EC8"/>
    <w:rsid w:val="00B9466F"/>
    <w:rsid w:val="00B957BF"/>
    <w:rsid w:val="00B97278"/>
    <w:rsid w:val="00B97B70"/>
    <w:rsid w:val="00B97F02"/>
    <w:rsid w:val="00BA0F80"/>
    <w:rsid w:val="00BA163B"/>
    <w:rsid w:val="00BA1C01"/>
    <w:rsid w:val="00BA222D"/>
    <w:rsid w:val="00BA26A3"/>
    <w:rsid w:val="00BA2DCA"/>
    <w:rsid w:val="00BA5D16"/>
    <w:rsid w:val="00BA5F1F"/>
    <w:rsid w:val="00BA5F8F"/>
    <w:rsid w:val="00BA65F3"/>
    <w:rsid w:val="00BA6976"/>
    <w:rsid w:val="00BA7396"/>
    <w:rsid w:val="00BA75A7"/>
    <w:rsid w:val="00BB04BC"/>
    <w:rsid w:val="00BB0D0F"/>
    <w:rsid w:val="00BB1A16"/>
    <w:rsid w:val="00BB378A"/>
    <w:rsid w:val="00BB3E52"/>
    <w:rsid w:val="00BB452B"/>
    <w:rsid w:val="00BB4559"/>
    <w:rsid w:val="00BB5556"/>
    <w:rsid w:val="00BB5A24"/>
    <w:rsid w:val="00BB5C13"/>
    <w:rsid w:val="00BB5FDE"/>
    <w:rsid w:val="00BB6176"/>
    <w:rsid w:val="00BB6D4B"/>
    <w:rsid w:val="00BB725A"/>
    <w:rsid w:val="00BB7561"/>
    <w:rsid w:val="00BB7B7F"/>
    <w:rsid w:val="00BB7BA2"/>
    <w:rsid w:val="00BC0A3A"/>
    <w:rsid w:val="00BC3872"/>
    <w:rsid w:val="00BC38DD"/>
    <w:rsid w:val="00BC53BC"/>
    <w:rsid w:val="00BC574F"/>
    <w:rsid w:val="00BC7EBD"/>
    <w:rsid w:val="00BD1DEA"/>
    <w:rsid w:val="00BD20E0"/>
    <w:rsid w:val="00BD4DC0"/>
    <w:rsid w:val="00BD5663"/>
    <w:rsid w:val="00BD77D7"/>
    <w:rsid w:val="00BE0707"/>
    <w:rsid w:val="00BE2212"/>
    <w:rsid w:val="00BE26F8"/>
    <w:rsid w:val="00BE2C22"/>
    <w:rsid w:val="00BE3093"/>
    <w:rsid w:val="00BE44A1"/>
    <w:rsid w:val="00BE468F"/>
    <w:rsid w:val="00BE4752"/>
    <w:rsid w:val="00BE4C22"/>
    <w:rsid w:val="00BE4FB3"/>
    <w:rsid w:val="00BE5CA4"/>
    <w:rsid w:val="00BE6B23"/>
    <w:rsid w:val="00BE77CD"/>
    <w:rsid w:val="00BE7C1F"/>
    <w:rsid w:val="00BE7CD5"/>
    <w:rsid w:val="00BF0226"/>
    <w:rsid w:val="00BF1E55"/>
    <w:rsid w:val="00BF2652"/>
    <w:rsid w:val="00BF29CC"/>
    <w:rsid w:val="00BF32F8"/>
    <w:rsid w:val="00BF3F3B"/>
    <w:rsid w:val="00BF589B"/>
    <w:rsid w:val="00BF62DF"/>
    <w:rsid w:val="00BF6F3F"/>
    <w:rsid w:val="00C0038D"/>
    <w:rsid w:val="00C00809"/>
    <w:rsid w:val="00C018C3"/>
    <w:rsid w:val="00C03634"/>
    <w:rsid w:val="00C04238"/>
    <w:rsid w:val="00C0474A"/>
    <w:rsid w:val="00C04A9A"/>
    <w:rsid w:val="00C04B1D"/>
    <w:rsid w:val="00C04DC7"/>
    <w:rsid w:val="00C054CC"/>
    <w:rsid w:val="00C05EC7"/>
    <w:rsid w:val="00C07355"/>
    <w:rsid w:val="00C07F87"/>
    <w:rsid w:val="00C1134E"/>
    <w:rsid w:val="00C11FE4"/>
    <w:rsid w:val="00C136B0"/>
    <w:rsid w:val="00C13C3F"/>
    <w:rsid w:val="00C14486"/>
    <w:rsid w:val="00C14575"/>
    <w:rsid w:val="00C14B44"/>
    <w:rsid w:val="00C14DE5"/>
    <w:rsid w:val="00C1538D"/>
    <w:rsid w:val="00C1579D"/>
    <w:rsid w:val="00C166BF"/>
    <w:rsid w:val="00C16D81"/>
    <w:rsid w:val="00C207CC"/>
    <w:rsid w:val="00C213FD"/>
    <w:rsid w:val="00C21954"/>
    <w:rsid w:val="00C22ECD"/>
    <w:rsid w:val="00C25330"/>
    <w:rsid w:val="00C25579"/>
    <w:rsid w:val="00C25816"/>
    <w:rsid w:val="00C25E46"/>
    <w:rsid w:val="00C260DE"/>
    <w:rsid w:val="00C26DD3"/>
    <w:rsid w:val="00C27FD8"/>
    <w:rsid w:val="00C300BF"/>
    <w:rsid w:val="00C30284"/>
    <w:rsid w:val="00C30FFE"/>
    <w:rsid w:val="00C312C3"/>
    <w:rsid w:val="00C3281B"/>
    <w:rsid w:val="00C32CF7"/>
    <w:rsid w:val="00C33156"/>
    <w:rsid w:val="00C333E8"/>
    <w:rsid w:val="00C35598"/>
    <w:rsid w:val="00C36A30"/>
    <w:rsid w:val="00C36AA0"/>
    <w:rsid w:val="00C36CCE"/>
    <w:rsid w:val="00C3762C"/>
    <w:rsid w:val="00C3789B"/>
    <w:rsid w:val="00C37B8C"/>
    <w:rsid w:val="00C37E92"/>
    <w:rsid w:val="00C40D63"/>
    <w:rsid w:val="00C41FA2"/>
    <w:rsid w:val="00C4325B"/>
    <w:rsid w:val="00C45266"/>
    <w:rsid w:val="00C45E72"/>
    <w:rsid w:val="00C46209"/>
    <w:rsid w:val="00C46461"/>
    <w:rsid w:val="00C464B1"/>
    <w:rsid w:val="00C46660"/>
    <w:rsid w:val="00C473FA"/>
    <w:rsid w:val="00C51DBA"/>
    <w:rsid w:val="00C52DA6"/>
    <w:rsid w:val="00C533E5"/>
    <w:rsid w:val="00C54E2E"/>
    <w:rsid w:val="00C5569B"/>
    <w:rsid w:val="00C55730"/>
    <w:rsid w:val="00C56470"/>
    <w:rsid w:val="00C57691"/>
    <w:rsid w:val="00C57705"/>
    <w:rsid w:val="00C57F7F"/>
    <w:rsid w:val="00C611B2"/>
    <w:rsid w:val="00C6173E"/>
    <w:rsid w:val="00C62743"/>
    <w:rsid w:val="00C6293C"/>
    <w:rsid w:val="00C630E9"/>
    <w:rsid w:val="00C636A4"/>
    <w:rsid w:val="00C638E4"/>
    <w:rsid w:val="00C63C74"/>
    <w:rsid w:val="00C6547D"/>
    <w:rsid w:val="00C65564"/>
    <w:rsid w:val="00C669D7"/>
    <w:rsid w:val="00C67A98"/>
    <w:rsid w:val="00C70758"/>
    <w:rsid w:val="00C70997"/>
    <w:rsid w:val="00C71154"/>
    <w:rsid w:val="00C719D2"/>
    <w:rsid w:val="00C72332"/>
    <w:rsid w:val="00C725D2"/>
    <w:rsid w:val="00C730B3"/>
    <w:rsid w:val="00C73C1C"/>
    <w:rsid w:val="00C73C65"/>
    <w:rsid w:val="00C73F3A"/>
    <w:rsid w:val="00C74BA9"/>
    <w:rsid w:val="00C74CA6"/>
    <w:rsid w:val="00C74E1E"/>
    <w:rsid w:val="00C752A0"/>
    <w:rsid w:val="00C77B92"/>
    <w:rsid w:val="00C77DC6"/>
    <w:rsid w:val="00C801DC"/>
    <w:rsid w:val="00C809E4"/>
    <w:rsid w:val="00C81026"/>
    <w:rsid w:val="00C8165B"/>
    <w:rsid w:val="00C822FC"/>
    <w:rsid w:val="00C824AD"/>
    <w:rsid w:val="00C82584"/>
    <w:rsid w:val="00C8378D"/>
    <w:rsid w:val="00C83AB5"/>
    <w:rsid w:val="00C843F4"/>
    <w:rsid w:val="00C84C97"/>
    <w:rsid w:val="00C85082"/>
    <w:rsid w:val="00C85515"/>
    <w:rsid w:val="00C85AB5"/>
    <w:rsid w:val="00C87BDF"/>
    <w:rsid w:val="00C91566"/>
    <w:rsid w:val="00C91992"/>
    <w:rsid w:val="00C93EF5"/>
    <w:rsid w:val="00C94025"/>
    <w:rsid w:val="00C949F4"/>
    <w:rsid w:val="00C9640A"/>
    <w:rsid w:val="00CA12CF"/>
    <w:rsid w:val="00CA1795"/>
    <w:rsid w:val="00CA1C57"/>
    <w:rsid w:val="00CA2958"/>
    <w:rsid w:val="00CA2A1E"/>
    <w:rsid w:val="00CA2A5B"/>
    <w:rsid w:val="00CA3280"/>
    <w:rsid w:val="00CA3B94"/>
    <w:rsid w:val="00CA429C"/>
    <w:rsid w:val="00CA449F"/>
    <w:rsid w:val="00CA559D"/>
    <w:rsid w:val="00CA5B06"/>
    <w:rsid w:val="00CA5FF0"/>
    <w:rsid w:val="00CA64F7"/>
    <w:rsid w:val="00CA766B"/>
    <w:rsid w:val="00CB27BA"/>
    <w:rsid w:val="00CB2AC0"/>
    <w:rsid w:val="00CB314D"/>
    <w:rsid w:val="00CB3560"/>
    <w:rsid w:val="00CB450B"/>
    <w:rsid w:val="00CB4D8A"/>
    <w:rsid w:val="00CB6769"/>
    <w:rsid w:val="00CC0517"/>
    <w:rsid w:val="00CC186A"/>
    <w:rsid w:val="00CC1A67"/>
    <w:rsid w:val="00CC2306"/>
    <w:rsid w:val="00CC3837"/>
    <w:rsid w:val="00CC38F5"/>
    <w:rsid w:val="00CC3F22"/>
    <w:rsid w:val="00CC504F"/>
    <w:rsid w:val="00CC509D"/>
    <w:rsid w:val="00CC5BEC"/>
    <w:rsid w:val="00CC632A"/>
    <w:rsid w:val="00CC7193"/>
    <w:rsid w:val="00CD0CAC"/>
    <w:rsid w:val="00CD12AD"/>
    <w:rsid w:val="00CD31DE"/>
    <w:rsid w:val="00CD438C"/>
    <w:rsid w:val="00CD46C3"/>
    <w:rsid w:val="00CD4AF7"/>
    <w:rsid w:val="00CD4D3F"/>
    <w:rsid w:val="00CD56BB"/>
    <w:rsid w:val="00CD6F99"/>
    <w:rsid w:val="00CD6FA8"/>
    <w:rsid w:val="00CD7A2D"/>
    <w:rsid w:val="00CD7B41"/>
    <w:rsid w:val="00CE03BE"/>
    <w:rsid w:val="00CE066B"/>
    <w:rsid w:val="00CE0C02"/>
    <w:rsid w:val="00CE19FC"/>
    <w:rsid w:val="00CE2E41"/>
    <w:rsid w:val="00CE340F"/>
    <w:rsid w:val="00CE365B"/>
    <w:rsid w:val="00CE3696"/>
    <w:rsid w:val="00CE3866"/>
    <w:rsid w:val="00CE49EB"/>
    <w:rsid w:val="00CE4C4F"/>
    <w:rsid w:val="00CE5B2C"/>
    <w:rsid w:val="00CE5E09"/>
    <w:rsid w:val="00CE620A"/>
    <w:rsid w:val="00CE6B5A"/>
    <w:rsid w:val="00CE6DC4"/>
    <w:rsid w:val="00CE71F1"/>
    <w:rsid w:val="00CF0714"/>
    <w:rsid w:val="00CF099D"/>
    <w:rsid w:val="00CF225D"/>
    <w:rsid w:val="00CF22B3"/>
    <w:rsid w:val="00CF308A"/>
    <w:rsid w:val="00CF3366"/>
    <w:rsid w:val="00CF3DA0"/>
    <w:rsid w:val="00CF4401"/>
    <w:rsid w:val="00CF4B9C"/>
    <w:rsid w:val="00CF4D3B"/>
    <w:rsid w:val="00CF54F3"/>
    <w:rsid w:val="00CF5618"/>
    <w:rsid w:val="00CF5828"/>
    <w:rsid w:val="00D00482"/>
    <w:rsid w:val="00D00B84"/>
    <w:rsid w:val="00D01E8B"/>
    <w:rsid w:val="00D023A6"/>
    <w:rsid w:val="00D0241E"/>
    <w:rsid w:val="00D02E21"/>
    <w:rsid w:val="00D02E86"/>
    <w:rsid w:val="00D03048"/>
    <w:rsid w:val="00D03748"/>
    <w:rsid w:val="00D038B5"/>
    <w:rsid w:val="00D0422C"/>
    <w:rsid w:val="00D05847"/>
    <w:rsid w:val="00D06726"/>
    <w:rsid w:val="00D07FB4"/>
    <w:rsid w:val="00D10561"/>
    <w:rsid w:val="00D1099A"/>
    <w:rsid w:val="00D10CB6"/>
    <w:rsid w:val="00D1139C"/>
    <w:rsid w:val="00D1161E"/>
    <w:rsid w:val="00D11FF4"/>
    <w:rsid w:val="00D12D1C"/>
    <w:rsid w:val="00D13138"/>
    <w:rsid w:val="00D13E26"/>
    <w:rsid w:val="00D1428C"/>
    <w:rsid w:val="00D14396"/>
    <w:rsid w:val="00D14A01"/>
    <w:rsid w:val="00D151B1"/>
    <w:rsid w:val="00D15733"/>
    <w:rsid w:val="00D15D74"/>
    <w:rsid w:val="00D15F30"/>
    <w:rsid w:val="00D16633"/>
    <w:rsid w:val="00D16753"/>
    <w:rsid w:val="00D16B86"/>
    <w:rsid w:val="00D1776A"/>
    <w:rsid w:val="00D177D5"/>
    <w:rsid w:val="00D201C5"/>
    <w:rsid w:val="00D20BE3"/>
    <w:rsid w:val="00D21FC2"/>
    <w:rsid w:val="00D23379"/>
    <w:rsid w:val="00D23E12"/>
    <w:rsid w:val="00D2496B"/>
    <w:rsid w:val="00D25823"/>
    <w:rsid w:val="00D259FF"/>
    <w:rsid w:val="00D25EBD"/>
    <w:rsid w:val="00D27784"/>
    <w:rsid w:val="00D277BC"/>
    <w:rsid w:val="00D3076C"/>
    <w:rsid w:val="00D3169A"/>
    <w:rsid w:val="00D31BEA"/>
    <w:rsid w:val="00D31DBA"/>
    <w:rsid w:val="00D32000"/>
    <w:rsid w:val="00D3206C"/>
    <w:rsid w:val="00D320A8"/>
    <w:rsid w:val="00D32AA8"/>
    <w:rsid w:val="00D33312"/>
    <w:rsid w:val="00D340EE"/>
    <w:rsid w:val="00D34A83"/>
    <w:rsid w:val="00D34FF3"/>
    <w:rsid w:val="00D36C59"/>
    <w:rsid w:val="00D373C5"/>
    <w:rsid w:val="00D37B12"/>
    <w:rsid w:val="00D37DB5"/>
    <w:rsid w:val="00D412F0"/>
    <w:rsid w:val="00D41C09"/>
    <w:rsid w:val="00D41C50"/>
    <w:rsid w:val="00D4326E"/>
    <w:rsid w:val="00D440E9"/>
    <w:rsid w:val="00D440FE"/>
    <w:rsid w:val="00D446FB"/>
    <w:rsid w:val="00D44A73"/>
    <w:rsid w:val="00D4764B"/>
    <w:rsid w:val="00D477FB"/>
    <w:rsid w:val="00D504AF"/>
    <w:rsid w:val="00D5056A"/>
    <w:rsid w:val="00D526AF"/>
    <w:rsid w:val="00D529C4"/>
    <w:rsid w:val="00D55317"/>
    <w:rsid w:val="00D553B8"/>
    <w:rsid w:val="00D56317"/>
    <w:rsid w:val="00D56361"/>
    <w:rsid w:val="00D56771"/>
    <w:rsid w:val="00D569D1"/>
    <w:rsid w:val="00D57380"/>
    <w:rsid w:val="00D57C33"/>
    <w:rsid w:val="00D57E3D"/>
    <w:rsid w:val="00D619D3"/>
    <w:rsid w:val="00D6244C"/>
    <w:rsid w:val="00D62B96"/>
    <w:rsid w:val="00D63749"/>
    <w:rsid w:val="00D65C6C"/>
    <w:rsid w:val="00D66138"/>
    <w:rsid w:val="00D66406"/>
    <w:rsid w:val="00D66B47"/>
    <w:rsid w:val="00D7012F"/>
    <w:rsid w:val="00D701D0"/>
    <w:rsid w:val="00D705E2"/>
    <w:rsid w:val="00D715E3"/>
    <w:rsid w:val="00D71A8E"/>
    <w:rsid w:val="00D71AE5"/>
    <w:rsid w:val="00D72B39"/>
    <w:rsid w:val="00D731C2"/>
    <w:rsid w:val="00D7373E"/>
    <w:rsid w:val="00D76062"/>
    <w:rsid w:val="00D77039"/>
    <w:rsid w:val="00D77BE2"/>
    <w:rsid w:val="00D804DA"/>
    <w:rsid w:val="00D809FF"/>
    <w:rsid w:val="00D810B4"/>
    <w:rsid w:val="00D81644"/>
    <w:rsid w:val="00D81A84"/>
    <w:rsid w:val="00D81CE5"/>
    <w:rsid w:val="00D82684"/>
    <w:rsid w:val="00D8277F"/>
    <w:rsid w:val="00D82E42"/>
    <w:rsid w:val="00D83275"/>
    <w:rsid w:val="00D84AD8"/>
    <w:rsid w:val="00D84C65"/>
    <w:rsid w:val="00D84C74"/>
    <w:rsid w:val="00D859C8"/>
    <w:rsid w:val="00D86B0E"/>
    <w:rsid w:val="00D9198C"/>
    <w:rsid w:val="00D922D1"/>
    <w:rsid w:val="00D92630"/>
    <w:rsid w:val="00D9290C"/>
    <w:rsid w:val="00D92CB9"/>
    <w:rsid w:val="00D92F44"/>
    <w:rsid w:val="00D93386"/>
    <w:rsid w:val="00D94206"/>
    <w:rsid w:val="00D95333"/>
    <w:rsid w:val="00D9556D"/>
    <w:rsid w:val="00D96CB0"/>
    <w:rsid w:val="00D976FC"/>
    <w:rsid w:val="00D97738"/>
    <w:rsid w:val="00DA0CE2"/>
    <w:rsid w:val="00DA177A"/>
    <w:rsid w:val="00DA17F6"/>
    <w:rsid w:val="00DA1D20"/>
    <w:rsid w:val="00DA3644"/>
    <w:rsid w:val="00DA48BC"/>
    <w:rsid w:val="00DA4F37"/>
    <w:rsid w:val="00DA50FF"/>
    <w:rsid w:val="00DA5961"/>
    <w:rsid w:val="00DA6CFD"/>
    <w:rsid w:val="00DA6FD8"/>
    <w:rsid w:val="00DA7015"/>
    <w:rsid w:val="00DA76B8"/>
    <w:rsid w:val="00DA7B22"/>
    <w:rsid w:val="00DB0661"/>
    <w:rsid w:val="00DB07D9"/>
    <w:rsid w:val="00DB1E91"/>
    <w:rsid w:val="00DB2CEC"/>
    <w:rsid w:val="00DB36FF"/>
    <w:rsid w:val="00DB3886"/>
    <w:rsid w:val="00DB4046"/>
    <w:rsid w:val="00DB4251"/>
    <w:rsid w:val="00DB4BC1"/>
    <w:rsid w:val="00DB53F1"/>
    <w:rsid w:val="00DB5BD2"/>
    <w:rsid w:val="00DB5C87"/>
    <w:rsid w:val="00DC02EE"/>
    <w:rsid w:val="00DC06B1"/>
    <w:rsid w:val="00DC1073"/>
    <w:rsid w:val="00DC110C"/>
    <w:rsid w:val="00DC13D9"/>
    <w:rsid w:val="00DC14DA"/>
    <w:rsid w:val="00DC1BF2"/>
    <w:rsid w:val="00DC1C7F"/>
    <w:rsid w:val="00DC344A"/>
    <w:rsid w:val="00DC3EEC"/>
    <w:rsid w:val="00DC4F91"/>
    <w:rsid w:val="00DC5CA9"/>
    <w:rsid w:val="00DC78AE"/>
    <w:rsid w:val="00DD3736"/>
    <w:rsid w:val="00DD388D"/>
    <w:rsid w:val="00DD3B65"/>
    <w:rsid w:val="00DD48DB"/>
    <w:rsid w:val="00DD4E04"/>
    <w:rsid w:val="00DD533E"/>
    <w:rsid w:val="00DD551B"/>
    <w:rsid w:val="00DD5FBA"/>
    <w:rsid w:val="00DD77F7"/>
    <w:rsid w:val="00DD7C61"/>
    <w:rsid w:val="00DE0A23"/>
    <w:rsid w:val="00DE21B2"/>
    <w:rsid w:val="00DE2A3E"/>
    <w:rsid w:val="00DE3116"/>
    <w:rsid w:val="00DE363B"/>
    <w:rsid w:val="00DE3BD6"/>
    <w:rsid w:val="00DE47CE"/>
    <w:rsid w:val="00DE4DB7"/>
    <w:rsid w:val="00DE5D11"/>
    <w:rsid w:val="00DF0544"/>
    <w:rsid w:val="00DF07D0"/>
    <w:rsid w:val="00DF111A"/>
    <w:rsid w:val="00DF1BE0"/>
    <w:rsid w:val="00DF1D89"/>
    <w:rsid w:val="00DF1E5A"/>
    <w:rsid w:val="00DF2092"/>
    <w:rsid w:val="00DF2DFE"/>
    <w:rsid w:val="00DF4186"/>
    <w:rsid w:val="00DF47A7"/>
    <w:rsid w:val="00DF49E6"/>
    <w:rsid w:val="00DF5191"/>
    <w:rsid w:val="00DF52AC"/>
    <w:rsid w:val="00DF572E"/>
    <w:rsid w:val="00DF7A67"/>
    <w:rsid w:val="00E0057E"/>
    <w:rsid w:val="00E00A95"/>
    <w:rsid w:val="00E01279"/>
    <w:rsid w:val="00E026A9"/>
    <w:rsid w:val="00E04370"/>
    <w:rsid w:val="00E05A9E"/>
    <w:rsid w:val="00E05FD9"/>
    <w:rsid w:val="00E0606A"/>
    <w:rsid w:val="00E07A48"/>
    <w:rsid w:val="00E1031D"/>
    <w:rsid w:val="00E10BB9"/>
    <w:rsid w:val="00E11106"/>
    <w:rsid w:val="00E11685"/>
    <w:rsid w:val="00E117A1"/>
    <w:rsid w:val="00E12007"/>
    <w:rsid w:val="00E12694"/>
    <w:rsid w:val="00E13BEF"/>
    <w:rsid w:val="00E14BC3"/>
    <w:rsid w:val="00E14E11"/>
    <w:rsid w:val="00E154B8"/>
    <w:rsid w:val="00E15DFD"/>
    <w:rsid w:val="00E163A5"/>
    <w:rsid w:val="00E1799B"/>
    <w:rsid w:val="00E210ED"/>
    <w:rsid w:val="00E213FF"/>
    <w:rsid w:val="00E218CF"/>
    <w:rsid w:val="00E233C8"/>
    <w:rsid w:val="00E2452E"/>
    <w:rsid w:val="00E249BE"/>
    <w:rsid w:val="00E24BEA"/>
    <w:rsid w:val="00E2578D"/>
    <w:rsid w:val="00E25B89"/>
    <w:rsid w:val="00E260E5"/>
    <w:rsid w:val="00E2620E"/>
    <w:rsid w:val="00E26441"/>
    <w:rsid w:val="00E2651B"/>
    <w:rsid w:val="00E27DE9"/>
    <w:rsid w:val="00E30285"/>
    <w:rsid w:val="00E30D5A"/>
    <w:rsid w:val="00E318CA"/>
    <w:rsid w:val="00E325DF"/>
    <w:rsid w:val="00E326D9"/>
    <w:rsid w:val="00E332A7"/>
    <w:rsid w:val="00E35B76"/>
    <w:rsid w:val="00E36211"/>
    <w:rsid w:val="00E36C43"/>
    <w:rsid w:val="00E37854"/>
    <w:rsid w:val="00E400EB"/>
    <w:rsid w:val="00E41AAC"/>
    <w:rsid w:val="00E41D77"/>
    <w:rsid w:val="00E42677"/>
    <w:rsid w:val="00E426AB"/>
    <w:rsid w:val="00E43390"/>
    <w:rsid w:val="00E43BFE"/>
    <w:rsid w:val="00E43BFF"/>
    <w:rsid w:val="00E441C1"/>
    <w:rsid w:val="00E442F2"/>
    <w:rsid w:val="00E452C6"/>
    <w:rsid w:val="00E45F6A"/>
    <w:rsid w:val="00E46643"/>
    <w:rsid w:val="00E46C87"/>
    <w:rsid w:val="00E46E15"/>
    <w:rsid w:val="00E47235"/>
    <w:rsid w:val="00E47453"/>
    <w:rsid w:val="00E47994"/>
    <w:rsid w:val="00E47D0F"/>
    <w:rsid w:val="00E51AAB"/>
    <w:rsid w:val="00E51C91"/>
    <w:rsid w:val="00E52902"/>
    <w:rsid w:val="00E53C34"/>
    <w:rsid w:val="00E5571D"/>
    <w:rsid w:val="00E55BA7"/>
    <w:rsid w:val="00E56699"/>
    <w:rsid w:val="00E569FD"/>
    <w:rsid w:val="00E60861"/>
    <w:rsid w:val="00E60C1F"/>
    <w:rsid w:val="00E61141"/>
    <w:rsid w:val="00E61959"/>
    <w:rsid w:val="00E61C24"/>
    <w:rsid w:val="00E6390B"/>
    <w:rsid w:val="00E63A1A"/>
    <w:rsid w:val="00E6458C"/>
    <w:rsid w:val="00E64FF2"/>
    <w:rsid w:val="00E65BA0"/>
    <w:rsid w:val="00E6626C"/>
    <w:rsid w:val="00E667E0"/>
    <w:rsid w:val="00E66E18"/>
    <w:rsid w:val="00E67946"/>
    <w:rsid w:val="00E67A07"/>
    <w:rsid w:val="00E72810"/>
    <w:rsid w:val="00E74428"/>
    <w:rsid w:val="00E74F68"/>
    <w:rsid w:val="00E7525C"/>
    <w:rsid w:val="00E75280"/>
    <w:rsid w:val="00E75CA0"/>
    <w:rsid w:val="00E761A1"/>
    <w:rsid w:val="00E762AA"/>
    <w:rsid w:val="00E76711"/>
    <w:rsid w:val="00E802D9"/>
    <w:rsid w:val="00E80352"/>
    <w:rsid w:val="00E8252E"/>
    <w:rsid w:val="00E82A9B"/>
    <w:rsid w:val="00E8315E"/>
    <w:rsid w:val="00E83417"/>
    <w:rsid w:val="00E83CB7"/>
    <w:rsid w:val="00E847E4"/>
    <w:rsid w:val="00E84A87"/>
    <w:rsid w:val="00E84FE1"/>
    <w:rsid w:val="00E85736"/>
    <w:rsid w:val="00E867E1"/>
    <w:rsid w:val="00E86889"/>
    <w:rsid w:val="00E8715D"/>
    <w:rsid w:val="00E87169"/>
    <w:rsid w:val="00E87942"/>
    <w:rsid w:val="00E87BFD"/>
    <w:rsid w:val="00E87C6A"/>
    <w:rsid w:val="00E87D12"/>
    <w:rsid w:val="00E90653"/>
    <w:rsid w:val="00E90A57"/>
    <w:rsid w:val="00E90C85"/>
    <w:rsid w:val="00E91665"/>
    <w:rsid w:val="00E91C4D"/>
    <w:rsid w:val="00E91FE2"/>
    <w:rsid w:val="00E926F8"/>
    <w:rsid w:val="00E932EA"/>
    <w:rsid w:val="00E9440B"/>
    <w:rsid w:val="00E94618"/>
    <w:rsid w:val="00E948D6"/>
    <w:rsid w:val="00E949A6"/>
    <w:rsid w:val="00E94D15"/>
    <w:rsid w:val="00E9559A"/>
    <w:rsid w:val="00E95FF2"/>
    <w:rsid w:val="00E97049"/>
    <w:rsid w:val="00E974DE"/>
    <w:rsid w:val="00EA2909"/>
    <w:rsid w:val="00EA2ABE"/>
    <w:rsid w:val="00EA2B61"/>
    <w:rsid w:val="00EA2BBD"/>
    <w:rsid w:val="00EA321D"/>
    <w:rsid w:val="00EA4B0E"/>
    <w:rsid w:val="00EA6071"/>
    <w:rsid w:val="00EA6335"/>
    <w:rsid w:val="00EA6E90"/>
    <w:rsid w:val="00EA747C"/>
    <w:rsid w:val="00EA7560"/>
    <w:rsid w:val="00EA770D"/>
    <w:rsid w:val="00EB00FC"/>
    <w:rsid w:val="00EB0A37"/>
    <w:rsid w:val="00EB12FA"/>
    <w:rsid w:val="00EB1501"/>
    <w:rsid w:val="00EB1895"/>
    <w:rsid w:val="00EB1FBB"/>
    <w:rsid w:val="00EB3D6C"/>
    <w:rsid w:val="00EB4528"/>
    <w:rsid w:val="00EB4603"/>
    <w:rsid w:val="00EB4E72"/>
    <w:rsid w:val="00EB627E"/>
    <w:rsid w:val="00EC0FC6"/>
    <w:rsid w:val="00EC1775"/>
    <w:rsid w:val="00EC3B0E"/>
    <w:rsid w:val="00EC449E"/>
    <w:rsid w:val="00EC4B28"/>
    <w:rsid w:val="00EC54D8"/>
    <w:rsid w:val="00EC64D1"/>
    <w:rsid w:val="00EC7D4A"/>
    <w:rsid w:val="00EC7D5A"/>
    <w:rsid w:val="00ED0483"/>
    <w:rsid w:val="00ED097A"/>
    <w:rsid w:val="00ED0B5F"/>
    <w:rsid w:val="00ED0FA6"/>
    <w:rsid w:val="00ED1292"/>
    <w:rsid w:val="00ED1873"/>
    <w:rsid w:val="00ED1BBA"/>
    <w:rsid w:val="00ED2A23"/>
    <w:rsid w:val="00ED3002"/>
    <w:rsid w:val="00ED6715"/>
    <w:rsid w:val="00ED7158"/>
    <w:rsid w:val="00EE2A14"/>
    <w:rsid w:val="00EE30CC"/>
    <w:rsid w:val="00EE35D2"/>
    <w:rsid w:val="00EE3F62"/>
    <w:rsid w:val="00EE443B"/>
    <w:rsid w:val="00EE4A3E"/>
    <w:rsid w:val="00EE4E3D"/>
    <w:rsid w:val="00EE6A4F"/>
    <w:rsid w:val="00EE6FCA"/>
    <w:rsid w:val="00EE6FDE"/>
    <w:rsid w:val="00EE7E33"/>
    <w:rsid w:val="00EF1342"/>
    <w:rsid w:val="00EF1B29"/>
    <w:rsid w:val="00EF1C47"/>
    <w:rsid w:val="00EF3154"/>
    <w:rsid w:val="00F011E0"/>
    <w:rsid w:val="00F012FB"/>
    <w:rsid w:val="00F01D2C"/>
    <w:rsid w:val="00F03159"/>
    <w:rsid w:val="00F0497B"/>
    <w:rsid w:val="00F04CD9"/>
    <w:rsid w:val="00F066DF"/>
    <w:rsid w:val="00F067F1"/>
    <w:rsid w:val="00F11CA0"/>
    <w:rsid w:val="00F12015"/>
    <w:rsid w:val="00F12756"/>
    <w:rsid w:val="00F12C38"/>
    <w:rsid w:val="00F1305E"/>
    <w:rsid w:val="00F130A4"/>
    <w:rsid w:val="00F14175"/>
    <w:rsid w:val="00F14DE9"/>
    <w:rsid w:val="00F150B9"/>
    <w:rsid w:val="00F16193"/>
    <w:rsid w:val="00F16D2B"/>
    <w:rsid w:val="00F175BC"/>
    <w:rsid w:val="00F2119F"/>
    <w:rsid w:val="00F2145A"/>
    <w:rsid w:val="00F21B23"/>
    <w:rsid w:val="00F22A60"/>
    <w:rsid w:val="00F2313F"/>
    <w:rsid w:val="00F23BF5"/>
    <w:rsid w:val="00F24154"/>
    <w:rsid w:val="00F256A5"/>
    <w:rsid w:val="00F269AF"/>
    <w:rsid w:val="00F300E6"/>
    <w:rsid w:val="00F30DA9"/>
    <w:rsid w:val="00F3146E"/>
    <w:rsid w:val="00F314D6"/>
    <w:rsid w:val="00F31A02"/>
    <w:rsid w:val="00F3235F"/>
    <w:rsid w:val="00F323CD"/>
    <w:rsid w:val="00F3269D"/>
    <w:rsid w:val="00F32804"/>
    <w:rsid w:val="00F32EC2"/>
    <w:rsid w:val="00F34B04"/>
    <w:rsid w:val="00F34EFE"/>
    <w:rsid w:val="00F36E13"/>
    <w:rsid w:val="00F37F94"/>
    <w:rsid w:val="00F400DF"/>
    <w:rsid w:val="00F40182"/>
    <w:rsid w:val="00F402E1"/>
    <w:rsid w:val="00F405A6"/>
    <w:rsid w:val="00F425CF"/>
    <w:rsid w:val="00F427DF"/>
    <w:rsid w:val="00F43B12"/>
    <w:rsid w:val="00F45096"/>
    <w:rsid w:val="00F4525D"/>
    <w:rsid w:val="00F46181"/>
    <w:rsid w:val="00F46CD1"/>
    <w:rsid w:val="00F474F0"/>
    <w:rsid w:val="00F478B3"/>
    <w:rsid w:val="00F47FF1"/>
    <w:rsid w:val="00F50109"/>
    <w:rsid w:val="00F505FA"/>
    <w:rsid w:val="00F50996"/>
    <w:rsid w:val="00F50A1D"/>
    <w:rsid w:val="00F52271"/>
    <w:rsid w:val="00F52FEE"/>
    <w:rsid w:val="00F5382C"/>
    <w:rsid w:val="00F54AFE"/>
    <w:rsid w:val="00F54F21"/>
    <w:rsid w:val="00F55DA6"/>
    <w:rsid w:val="00F56E77"/>
    <w:rsid w:val="00F56EBC"/>
    <w:rsid w:val="00F57F2F"/>
    <w:rsid w:val="00F60988"/>
    <w:rsid w:val="00F61464"/>
    <w:rsid w:val="00F62C2A"/>
    <w:rsid w:val="00F6339F"/>
    <w:rsid w:val="00F637CB"/>
    <w:rsid w:val="00F645CB"/>
    <w:rsid w:val="00F64FE5"/>
    <w:rsid w:val="00F654B6"/>
    <w:rsid w:val="00F663F0"/>
    <w:rsid w:val="00F66598"/>
    <w:rsid w:val="00F669EC"/>
    <w:rsid w:val="00F66D25"/>
    <w:rsid w:val="00F671CC"/>
    <w:rsid w:val="00F67ADD"/>
    <w:rsid w:val="00F7088E"/>
    <w:rsid w:val="00F71BA2"/>
    <w:rsid w:val="00F7234F"/>
    <w:rsid w:val="00F72639"/>
    <w:rsid w:val="00F742D6"/>
    <w:rsid w:val="00F7465D"/>
    <w:rsid w:val="00F74C59"/>
    <w:rsid w:val="00F76352"/>
    <w:rsid w:val="00F76C98"/>
    <w:rsid w:val="00F770CC"/>
    <w:rsid w:val="00F77E6C"/>
    <w:rsid w:val="00F805E7"/>
    <w:rsid w:val="00F80A3C"/>
    <w:rsid w:val="00F80E27"/>
    <w:rsid w:val="00F80F7D"/>
    <w:rsid w:val="00F81C64"/>
    <w:rsid w:val="00F82EBE"/>
    <w:rsid w:val="00F8368F"/>
    <w:rsid w:val="00F84333"/>
    <w:rsid w:val="00F84DCE"/>
    <w:rsid w:val="00F85549"/>
    <w:rsid w:val="00F85673"/>
    <w:rsid w:val="00F85882"/>
    <w:rsid w:val="00F85CC6"/>
    <w:rsid w:val="00F870D7"/>
    <w:rsid w:val="00F9008E"/>
    <w:rsid w:val="00F90402"/>
    <w:rsid w:val="00F90816"/>
    <w:rsid w:val="00F921A4"/>
    <w:rsid w:val="00F9293A"/>
    <w:rsid w:val="00F931BF"/>
    <w:rsid w:val="00F945DF"/>
    <w:rsid w:val="00F95193"/>
    <w:rsid w:val="00F959CC"/>
    <w:rsid w:val="00F96137"/>
    <w:rsid w:val="00F966B8"/>
    <w:rsid w:val="00F970B1"/>
    <w:rsid w:val="00FA08FC"/>
    <w:rsid w:val="00FA1436"/>
    <w:rsid w:val="00FA1C1E"/>
    <w:rsid w:val="00FA1ED3"/>
    <w:rsid w:val="00FA24D2"/>
    <w:rsid w:val="00FA26D9"/>
    <w:rsid w:val="00FA292A"/>
    <w:rsid w:val="00FA294D"/>
    <w:rsid w:val="00FA2D83"/>
    <w:rsid w:val="00FA3FC9"/>
    <w:rsid w:val="00FA423E"/>
    <w:rsid w:val="00FA6DD6"/>
    <w:rsid w:val="00FB0527"/>
    <w:rsid w:val="00FB095E"/>
    <w:rsid w:val="00FB0EAC"/>
    <w:rsid w:val="00FB191D"/>
    <w:rsid w:val="00FB1F95"/>
    <w:rsid w:val="00FB2028"/>
    <w:rsid w:val="00FB29F7"/>
    <w:rsid w:val="00FB38F2"/>
    <w:rsid w:val="00FB3C2D"/>
    <w:rsid w:val="00FB3FE9"/>
    <w:rsid w:val="00FB527B"/>
    <w:rsid w:val="00FB61B9"/>
    <w:rsid w:val="00FB6A0A"/>
    <w:rsid w:val="00FB6CE6"/>
    <w:rsid w:val="00FB746A"/>
    <w:rsid w:val="00FB76E4"/>
    <w:rsid w:val="00FB7772"/>
    <w:rsid w:val="00FC06E0"/>
    <w:rsid w:val="00FC0A4C"/>
    <w:rsid w:val="00FC0D9F"/>
    <w:rsid w:val="00FC134D"/>
    <w:rsid w:val="00FC1368"/>
    <w:rsid w:val="00FC152D"/>
    <w:rsid w:val="00FC1CB8"/>
    <w:rsid w:val="00FC20A2"/>
    <w:rsid w:val="00FC239E"/>
    <w:rsid w:val="00FC3012"/>
    <w:rsid w:val="00FC30EA"/>
    <w:rsid w:val="00FC4466"/>
    <w:rsid w:val="00FC47BA"/>
    <w:rsid w:val="00FC4CB6"/>
    <w:rsid w:val="00FC4F7D"/>
    <w:rsid w:val="00FC546A"/>
    <w:rsid w:val="00FC63A7"/>
    <w:rsid w:val="00FC6A98"/>
    <w:rsid w:val="00FC6AF8"/>
    <w:rsid w:val="00FC6FC7"/>
    <w:rsid w:val="00FD0679"/>
    <w:rsid w:val="00FD0788"/>
    <w:rsid w:val="00FD0ACF"/>
    <w:rsid w:val="00FD0C6C"/>
    <w:rsid w:val="00FD232D"/>
    <w:rsid w:val="00FD24C5"/>
    <w:rsid w:val="00FD2610"/>
    <w:rsid w:val="00FD4A38"/>
    <w:rsid w:val="00FD57CC"/>
    <w:rsid w:val="00FD67A5"/>
    <w:rsid w:val="00FD7C2A"/>
    <w:rsid w:val="00FE0995"/>
    <w:rsid w:val="00FE14DD"/>
    <w:rsid w:val="00FE225C"/>
    <w:rsid w:val="00FE2A92"/>
    <w:rsid w:val="00FE3786"/>
    <w:rsid w:val="00FE38C5"/>
    <w:rsid w:val="00FE404B"/>
    <w:rsid w:val="00FE484A"/>
    <w:rsid w:val="00FE55DA"/>
    <w:rsid w:val="00FE6069"/>
    <w:rsid w:val="00FE7165"/>
    <w:rsid w:val="00FE7ED8"/>
    <w:rsid w:val="00FF0F29"/>
    <w:rsid w:val="00FF13BE"/>
    <w:rsid w:val="00FF18B4"/>
    <w:rsid w:val="00FF2120"/>
    <w:rsid w:val="00FF2B50"/>
    <w:rsid w:val="00FF2B6E"/>
    <w:rsid w:val="00FF3D49"/>
    <w:rsid w:val="00FF4344"/>
    <w:rsid w:val="00FF474B"/>
    <w:rsid w:val="00FF7227"/>
    <w:rsid w:val="00FF767A"/>
    <w:rsid w:val="00FF7839"/>
    <w:rsid w:val="014A582D"/>
    <w:rsid w:val="01995BAA"/>
    <w:rsid w:val="01C2082B"/>
    <w:rsid w:val="03B26CE6"/>
    <w:rsid w:val="03E84FE9"/>
    <w:rsid w:val="04463D2B"/>
    <w:rsid w:val="04DE21B6"/>
    <w:rsid w:val="0564369A"/>
    <w:rsid w:val="06C340E0"/>
    <w:rsid w:val="07212897"/>
    <w:rsid w:val="07354728"/>
    <w:rsid w:val="07426476"/>
    <w:rsid w:val="076B3E26"/>
    <w:rsid w:val="079D7363"/>
    <w:rsid w:val="07AB5C6A"/>
    <w:rsid w:val="08533966"/>
    <w:rsid w:val="088F1900"/>
    <w:rsid w:val="08CF4EFE"/>
    <w:rsid w:val="08FE4D0F"/>
    <w:rsid w:val="09E0188D"/>
    <w:rsid w:val="0AFD4780"/>
    <w:rsid w:val="0BB50EC3"/>
    <w:rsid w:val="0BFD6B61"/>
    <w:rsid w:val="0CC658BD"/>
    <w:rsid w:val="0DD2645A"/>
    <w:rsid w:val="0ECF1A76"/>
    <w:rsid w:val="0EEC7FCE"/>
    <w:rsid w:val="0F3B6A6C"/>
    <w:rsid w:val="0F7A35B3"/>
    <w:rsid w:val="0F9A41FC"/>
    <w:rsid w:val="102C4D62"/>
    <w:rsid w:val="13697265"/>
    <w:rsid w:val="144846D5"/>
    <w:rsid w:val="14742458"/>
    <w:rsid w:val="14AB6978"/>
    <w:rsid w:val="14B53546"/>
    <w:rsid w:val="14DE0976"/>
    <w:rsid w:val="15B465FF"/>
    <w:rsid w:val="16962CDD"/>
    <w:rsid w:val="171112E5"/>
    <w:rsid w:val="17A81508"/>
    <w:rsid w:val="17D744E6"/>
    <w:rsid w:val="18BA663E"/>
    <w:rsid w:val="19A950AC"/>
    <w:rsid w:val="19CB37C8"/>
    <w:rsid w:val="1A58080E"/>
    <w:rsid w:val="1BE65347"/>
    <w:rsid w:val="1CBD750B"/>
    <w:rsid w:val="1DF03C6A"/>
    <w:rsid w:val="1E9A1802"/>
    <w:rsid w:val="1ECD6C78"/>
    <w:rsid w:val="202408C8"/>
    <w:rsid w:val="20BF4A8B"/>
    <w:rsid w:val="20E2405C"/>
    <w:rsid w:val="21492C29"/>
    <w:rsid w:val="215D514D"/>
    <w:rsid w:val="222D3D5B"/>
    <w:rsid w:val="227533FE"/>
    <w:rsid w:val="22941CAE"/>
    <w:rsid w:val="22AE39BD"/>
    <w:rsid w:val="235002CB"/>
    <w:rsid w:val="23602F2E"/>
    <w:rsid w:val="23B86BD7"/>
    <w:rsid w:val="23C43B14"/>
    <w:rsid w:val="23CE0F3D"/>
    <w:rsid w:val="23D112C3"/>
    <w:rsid w:val="24194FC5"/>
    <w:rsid w:val="24F02DFC"/>
    <w:rsid w:val="250671CD"/>
    <w:rsid w:val="254B0214"/>
    <w:rsid w:val="260948A1"/>
    <w:rsid w:val="277A487B"/>
    <w:rsid w:val="27891D30"/>
    <w:rsid w:val="282F1F59"/>
    <w:rsid w:val="28945ED9"/>
    <w:rsid w:val="28F64442"/>
    <w:rsid w:val="294A30C6"/>
    <w:rsid w:val="2A0131ED"/>
    <w:rsid w:val="2AB22C1B"/>
    <w:rsid w:val="2B26428C"/>
    <w:rsid w:val="2B964228"/>
    <w:rsid w:val="2C300C99"/>
    <w:rsid w:val="2C9C7616"/>
    <w:rsid w:val="2CE21FA0"/>
    <w:rsid w:val="2D3E2C00"/>
    <w:rsid w:val="2DD90D65"/>
    <w:rsid w:val="2E1253AA"/>
    <w:rsid w:val="2ECA71C5"/>
    <w:rsid w:val="2FAC3343"/>
    <w:rsid w:val="2FB305F8"/>
    <w:rsid w:val="303C1FE3"/>
    <w:rsid w:val="306E1D90"/>
    <w:rsid w:val="31042744"/>
    <w:rsid w:val="314C4491"/>
    <w:rsid w:val="31914EC5"/>
    <w:rsid w:val="32021299"/>
    <w:rsid w:val="32B026B6"/>
    <w:rsid w:val="32B27137"/>
    <w:rsid w:val="32F604EC"/>
    <w:rsid w:val="361154EA"/>
    <w:rsid w:val="36CA590D"/>
    <w:rsid w:val="37796AF5"/>
    <w:rsid w:val="37825CD7"/>
    <w:rsid w:val="39430981"/>
    <w:rsid w:val="39472321"/>
    <w:rsid w:val="3992621C"/>
    <w:rsid w:val="39DF5AAD"/>
    <w:rsid w:val="3A690764"/>
    <w:rsid w:val="3A981174"/>
    <w:rsid w:val="3ACE3452"/>
    <w:rsid w:val="3B15796E"/>
    <w:rsid w:val="3B2E4C3B"/>
    <w:rsid w:val="3B4249D4"/>
    <w:rsid w:val="3B9009E3"/>
    <w:rsid w:val="3BA77740"/>
    <w:rsid w:val="3C0865C0"/>
    <w:rsid w:val="3C095063"/>
    <w:rsid w:val="3C224480"/>
    <w:rsid w:val="3C25141A"/>
    <w:rsid w:val="3C3B0E04"/>
    <w:rsid w:val="3DA525A5"/>
    <w:rsid w:val="3E134E2D"/>
    <w:rsid w:val="3EE23135"/>
    <w:rsid w:val="3F554932"/>
    <w:rsid w:val="3FA86276"/>
    <w:rsid w:val="3FAC4683"/>
    <w:rsid w:val="3FED29C3"/>
    <w:rsid w:val="40240F49"/>
    <w:rsid w:val="4048305C"/>
    <w:rsid w:val="409029B7"/>
    <w:rsid w:val="409150CB"/>
    <w:rsid w:val="411617D6"/>
    <w:rsid w:val="41682F60"/>
    <w:rsid w:val="41BE25CF"/>
    <w:rsid w:val="41EF011A"/>
    <w:rsid w:val="437313C1"/>
    <w:rsid w:val="43BC1913"/>
    <w:rsid w:val="442B201A"/>
    <w:rsid w:val="445556D1"/>
    <w:rsid w:val="44653BD9"/>
    <w:rsid w:val="44A05753"/>
    <w:rsid w:val="44D06A61"/>
    <w:rsid w:val="453A5418"/>
    <w:rsid w:val="468834F3"/>
    <w:rsid w:val="46F17CDF"/>
    <w:rsid w:val="46F47B3A"/>
    <w:rsid w:val="473B5154"/>
    <w:rsid w:val="479F390E"/>
    <w:rsid w:val="47DF7AB1"/>
    <w:rsid w:val="47E47482"/>
    <w:rsid w:val="487C6E25"/>
    <w:rsid w:val="48FB5B7B"/>
    <w:rsid w:val="491149D5"/>
    <w:rsid w:val="49973A49"/>
    <w:rsid w:val="49AB5360"/>
    <w:rsid w:val="4AE8103A"/>
    <w:rsid w:val="4B04311B"/>
    <w:rsid w:val="4BBF0465"/>
    <w:rsid w:val="4BEA27BB"/>
    <w:rsid w:val="4C950767"/>
    <w:rsid w:val="4D4871F1"/>
    <w:rsid w:val="4D8E7D41"/>
    <w:rsid w:val="4EEC2C77"/>
    <w:rsid w:val="4EFF5FC1"/>
    <w:rsid w:val="4F6D5DAC"/>
    <w:rsid w:val="4F792179"/>
    <w:rsid w:val="508D5E0B"/>
    <w:rsid w:val="509219F1"/>
    <w:rsid w:val="50C67064"/>
    <w:rsid w:val="51826DFB"/>
    <w:rsid w:val="51F03DCD"/>
    <w:rsid w:val="53145187"/>
    <w:rsid w:val="531B5372"/>
    <w:rsid w:val="54100BC5"/>
    <w:rsid w:val="543A1794"/>
    <w:rsid w:val="55434EEF"/>
    <w:rsid w:val="559304F1"/>
    <w:rsid w:val="569A32A2"/>
    <w:rsid w:val="56A11A4C"/>
    <w:rsid w:val="57651DAA"/>
    <w:rsid w:val="57664CC0"/>
    <w:rsid w:val="585A2A77"/>
    <w:rsid w:val="58933C43"/>
    <w:rsid w:val="58A42D03"/>
    <w:rsid w:val="591C41D0"/>
    <w:rsid w:val="592E180D"/>
    <w:rsid w:val="596B1DDC"/>
    <w:rsid w:val="59B57AB7"/>
    <w:rsid w:val="59D8013F"/>
    <w:rsid w:val="5A5A4320"/>
    <w:rsid w:val="5BD06FC1"/>
    <w:rsid w:val="5C196030"/>
    <w:rsid w:val="5C2E213C"/>
    <w:rsid w:val="5DE25BFD"/>
    <w:rsid w:val="5E6D509C"/>
    <w:rsid w:val="5E83409D"/>
    <w:rsid w:val="5EF43D7A"/>
    <w:rsid w:val="5F074FDA"/>
    <w:rsid w:val="5F9A5907"/>
    <w:rsid w:val="60F90189"/>
    <w:rsid w:val="622F1D05"/>
    <w:rsid w:val="62E056E4"/>
    <w:rsid w:val="62F048E9"/>
    <w:rsid w:val="633B30CB"/>
    <w:rsid w:val="63465126"/>
    <w:rsid w:val="64B370B5"/>
    <w:rsid w:val="6535120C"/>
    <w:rsid w:val="66326B60"/>
    <w:rsid w:val="67874F0A"/>
    <w:rsid w:val="68F172BD"/>
    <w:rsid w:val="6A7A3556"/>
    <w:rsid w:val="6B163BB3"/>
    <w:rsid w:val="6D7246BA"/>
    <w:rsid w:val="6DAC56CB"/>
    <w:rsid w:val="6E577AE6"/>
    <w:rsid w:val="6F545E0A"/>
    <w:rsid w:val="6F667AFB"/>
    <w:rsid w:val="6FA51E48"/>
    <w:rsid w:val="6FA559AB"/>
    <w:rsid w:val="704E0953"/>
    <w:rsid w:val="7156627F"/>
    <w:rsid w:val="71725E1C"/>
    <w:rsid w:val="71E90D5B"/>
    <w:rsid w:val="725325B9"/>
    <w:rsid w:val="735E2ED2"/>
    <w:rsid w:val="736D3206"/>
    <w:rsid w:val="738B621F"/>
    <w:rsid w:val="73B3431D"/>
    <w:rsid w:val="73FC2569"/>
    <w:rsid w:val="74237F6F"/>
    <w:rsid w:val="752A2D45"/>
    <w:rsid w:val="75B77AAE"/>
    <w:rsid w:val="761B518A"/>
    <w:rsid w:val="77A66451"/>
    <w:rsid w:val="77C23D3A"/>
    <w:rsid w:val="77DD7433"/>
    <w:rsid w:val="78105B5D"/>
    <w:rsid w:val="787471D0"/>
    <w:rsid w:val="78DB0A11"/>
    <w:rsid w:val="794E780F"/>
    <w:rsid w:val="7CB34BA8"/>
    <w:rsid w:val="7D086B83"/>
    <w:rsid w:val="7D651C73"/>
    <w:rsid w:val="7DD722F0"/>
    <w:rsid w:val="7DDF7744"/>
    <w:rsid w:val="7E142F18"/>
    <w:rsid w:val="7E2C493A"/>
    <w:rsid w:val="7E9A6154"/>
    <w:rsid w:val="7EB2555F"/>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qFormat="1" w:unhideWhenUsed="0"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nhideWhenUsed="0" w:uiPriority="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nhideWhenUsed="0" w:uiPriority="0" w:name="annotation subject"/>
    <w:lsdException w:qFormat="1" w:unhideWhenUsed="0" w:uiPriority="0" w:semiHidden="0"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spacing w:line="360" w:lineRule="auto"/>
      <w:ind w:firstLine="562" w:firstLineChars="200"/>
    </w:pPr>
    <w:rPr>
      <w:rFonts w:ascii="Times New Roman" w:hAnsi="Times New Roman" w:eastAsia="宋体" w:cs="Times New Roman"/>
      <w:sz w:val="24"/>
      <w:szCs w:val="28"/>
      <w:lang w:val="en-US" w:eastAsia="zh-CN" w:bidi="ar-SA"/>
    </w:rPr>
  </w:style>
  <w:style w:type="paragraph" w:styleId="3">
    <w:name w:val="heading 1"/>
    <w:basedOn w:val="1"/>
    <w:next w:val="1"/>
    <w:link w:val="59"/>
    <w:autoRedefine/>
    <w:qFormat/>
    <w:uiPriority w:val="0"/>
    <w:pPr>
      <w:numPr>
        <w:ilvl w:val="0"/>
        <w:numId w:val="1"/>
      </w:numPr>
      <w:tabs>
        <w:tab w:val="left" w:pos="180"/>
      </w:tabs>
      <w:spacing w:before="100" w:beforeLines="100" w:after="240" w:line="600" w:lineRule="exact"/>
      <w:ind w:left="432" w:hanging="432" w:firstLineChars="0"/>
      <w:jc w:val="center"/>
      <w:outlineLvl w:val="0"/>
    </w:pPr>
    <w:rPr>
      <w:rFonts w:eastAsia="黑体"/>
      <w:b/>
      <w:bCs/>
      <w:kern w:val="44"/>
      <w:sz w:val="32"/>
      <w:szCs w:val="32"/>
    </w:rPr>
  </w:style>
  <w:style w:type="paragraph" w:styleId="4">
    <w:name w:val="heading 2"/>
    <w:basedOn w:val="1"/>
    <w:next w:val="1"/>
    <w:link w:val="55"/>
    <w:autoRedefine/>
    <w:qFormat/>
    <w:uiPriority w:val="0"/>
    <w:pPr>
      <w:numPr>
        <w:ilvl w:val="1"/>
        <w:numId w:val="1"/>
      </w:numPr>
      <w:spacing w:before="50" w:beforeLines="50" w:after="50" w:afterLines="50"/>
      <w:ind w:left="0" w:firstLine="0" w:firstLineChars="0"/>
      <w:outlineLvl w:val="1"/>
    </w:pPr>
    <w:rPr>
      <w:rFonts w:ascii="Times New Roman" w:hAnsi="Times New Roman" w:eastAsia="黑体"/>
      <w:b/>
      <w:bCs/>
      <w:color w:val="000000"/>
      <w:kern w:val="44"/>
      <w:sz w:val="32"/>
      <w:szCs w:val="32"/>
    </w:rPr>
  </w:style>
  <w:style w:type="paragraph" w:styleId="5">
    <w:name w:val="heading 3"/>
    <w:basedOn w:val="1"/>
    <w:next w:val="1"/>
    <w:link w:val="60"/>
    <w:autoRedefine/>
    <w:qFormat/>
    <w:uiPriority w:val="0"/>
    <w:pPr>
      <w:numPr>
        <w:ilvl w:val="2"/>
        <w:numId w:val="1"/>
      </w:numPr>
      <w:spacing w:before="0"/>
      <w:ind w:left="720" w:hanging="720" w:firstLineChars="0"/>
      <w:outlineLvl w:val="2"/>
    </w:pPr>
    <w:rPr>
      <w:rFonts w:eastAsia="黑体"/>
      <w:b/>
      <w:bCs/>
      <w:sz w:val="28"/>
    </w:rPr>
  </w:style>
  <w:style w:type="paragraph" w:styleId="6">
    <w:name w:val="heading 4"/>
    <w:basedOn w:val="1"/>
    <w:next w:val="1"/>
    <w:link w:val="61"/>
    <w:autoRedefine/>
    <w:qFormat/>
    <w:uiPriority w:val="0"/>
    <w:pPr>
      <w:numPr>
        <w:ilvl w:val="3"/>
        <w:numId w:val="1"/>
      </w:numPr>
      <w:spacing w:before="0"/>
      <w:ind w:left="864" w:hanging="864" w:firstLineChars="0"/>
      <w:outlineLvl w:val="3"/>
    </w:pPr>
    <w:rPr>
      <w:rFonts w:ascii="Times New Roman" w:hAnsi="Times New Roman" w:eastAsia="黑体"/>
      <w:b/>
      <w:bCs/>
    </w:rPr>
  </w:style>
  <w:style w:type="paragraph" w:styleId="7">
    <w:name w:val="heading 5"/>
    <w:basedOn w:val="1"/>
    <w:next w:val="8"/>
    <w:link w:val="62"/>
    <w:autoRedefine/>
    <w:qFormat/>
    <w:uiPriority w:val="0"/>
    <w:pPr>
      <w:keepNext/>
      <w:numPr>
        <w:ilvl w:val="4"/>
        <w:numId w:val="1"/>
      </w:numPr>
      <w:tabs>
        <w:tab w:val="left" w:pos="345"/>
      </w:tabs>
      <w:spacing w:line="360" w:lineRule="auto"/>
      <w:ind w:left="1008" w:hanging="1008"/>
      <w:outlineLvl w:val="4"/>
    </w:pPr>
    <w:rPr>
      <w:rFonts w:ascii="Times New Roman" w:hAnsi="Times New Roman" w:eastAsia="黑体"/>
      <w:b/>
      <w:sz w:val="21"/>
    </w:rPr>
  </w:style>
  <w:style w:type="paragraph" w:styleId="9">
    <w:name w:val="heading 6"/>
    <w:basedOn w:val="1"/>
    <w:next w:val="1"/>
    <w:link w:val="64"/>
    <w:autoRedefine/>
    <w:qFormat/>
    <w:uiPriority w:val="0"/>
    <w:pPr>
      <w:keepNext/>
      <w:keepLines/>
      <w:numPr>
        <w:ilvl w:val="5"/>
        <w:numId w:val="1"/>
      </w:numPr>
      <w:tabs>
        <w:tab w:val="left" w:pos="1152"/>
      </w:tabs>
      <w:spacing w:before="240" w:after="64" w:line="320" w:lineRule="auto"/>
      <w:ind w:left="1151" w:hanging="1151"/>
      <w:outlineLvl w:val="5"/>
    </w:pPr>
    <w:rPr>
      <w:rFonts w:ascii="Arial" w:hAnsi="Arial" w:eastAsia="黑体"/>
      <w:b/>
      <w:bCs/>
    </w:rPr>
  </w:style>
  <w:style w:type="paragraph" w:styleId="10">
    <w:name w:val="heading 7"/>
    <w:basedOn w:val="1"/>
    <w:next w:val="8"/>
    <w:link w:val="65"/>
    <w:autoRedefine/>
    <w:qFormat/>
    <w:uiPriority w:val="0"/>
    <w:pPr>
      <w:numPr>
        <w:ilvl w:val="6"/>
        <w:numId w:val="1"/>
      </w:numPr>
      <w:tabs>
        <w:tab w:val="left" w:pos="360"/>
      </w:tabs>
      <w:ind w:left="1296" w:hanging="1296"/>
      <w:outlineLvl w:val="6"/>
    </w:pPr>
  </w:style>
  <w:style w:type="paragraph" w:styleId="11">
    <w:name w:val="heading 8"/>
    <w:basedOn w:val="1"/>
    <w:next w:val="8"/>
    <w:link w:val="66"/>
    <w:autoRedefine/>
    <w:qFormat/>
    <w:uiPriority w:val="0"/>
    <w:pPr>
      <w:numPr>
        <w:ilvl w:val="7"/>
        <w:numId w:val="1"/>
      </w:numPr>
      <w:tabs>
        <w:tab w:val="left" w:pos="360"/>
      </w:tabs>
      <w:ind w:left="1440" w:hanging="1440"/>
      <w:outlineLvl w:val="7"/>
    </w:pPr>
  </w:style>
  <w:style w:type="paragraph" w:styleId="12">
    <w:name w:val="heading 9"/>
    <w:basedOn w:val="1"/>
    <w:next w:val="8"/>
    <w:link w:val="67"/>
    <w:autoRedefine/>
    <w:qFormat/>
    <w:uiPriority w:val="0"/>
    <w:pPr>
      <w:numPr>
        <w:ilvl w:val="8"/>
        <w:numId w:val="1"/>
      </w:numPr>
      <w:tabs>
        <w:tab w:val="left" w:pos="360"/>
      </w:tabs>
      <w:ind w:left="1583" w:hanging="1583"/>
      <w:outlineLvl w:val="8"/>
    </w:pPr>
  </w:style>
  <w:style w:type="character" w:default="1" w:styleId="47">
    <w:name w:val="Default Paragraph Font"/>
    <w:autoRedefine/>
    <w:unhideWhenUsed/>
    <w:qFormat/>
    <w:uiPriority w:val="1"/>
  </w:style>
  <w:style w:type="table" w:default="1" w:styleId="44">
    <w:name w:val="Normal Table"/>
    <w:autoRedefine/>
    <w:unhideWhenUsed/>
    <w:qFormat/>
    <w:uiPriority w:val="99"/>
    <w:tblPr>
      <w:tblCellMar>
        <w:top w:w="0" w:type="dxa"/>
        <w:left w:w="108" w:type="dxa"/>
        <w:bottom w:w="0" w:type="dxa"/>
        <w:right w:w="108" w:type="dxa"/>
      </w:tblCellMar>
    </w:tblPr>
  </w:style>
  <w:style w:type="paragraph" w:styleId="2">
    <w:name w:val="toc 2"/>
    <w:basedOn w:val="1"/>
    <w:next w:val="1"/>
    <w:autoRedefine/>
    <w:qFormat/>
    <w:uiPriority w:val="39"/>
    <w:pPr>
      <w:tabs>
        <w:tab w:val="right" w:leader="dot" w:pos="9061"/>
      </w:tabs>
      <w:spacing w:line="360" w:lineRule="auto"/>
      <w:ind w:left="280" w:leftChars="100" w:firstLine="0" w:firstLineChars="0"/>
      <w:jc w:val="left"/>
    </w:pPr>
    <w:rPr>
      <w:rFonts w:ascii="Times New Roman" w:hAnsi="Times New Roman" w:eastAsia="宋体"/>
      <w:smallCaps/>
    </w:rPr>
  </w:style>
  <w:style w:type="paragraph" w:styleId="8">
    <w:name w:val="Normal Indent"/>
    <w:basedOn w:val="1"/>
    <w:link w:val="63"/>
    <w:autoRedefine/>
    <w:qFormat/>
    <w:uiPriority w:val="0"/>
    <w:pPr>
      <w:ind w:firstLine="420"/>
    </w:pPr>
  </w:style>
  <w:style w:type="paragraph" w:styleId="13">
    <w:name w:val="toc 7"/>
    <w:basedOn w:val="1"/>
    <w:next w:val="1"/>
    <w:autoRedefine/>
    <w:qFormat/>
    <w:uiPriority w:val="39"/>
    <w:pPr>
      <w:ind w:left="1440"/>
      <w:jc w:val="left"/>
    </w:pPr>
    <w:rPr>
      <w:rFonts w:ascii="Calibri" w:hAnsi="Calibri"/>
      <w:sz w:val="18"/>
      <w:szCs w:val="18"/>
    </w:rPr>
  </w:style>
  <w:style w:type="paragraph" w:styleId="14">
    <w:name w:val="caption"/>
    <w:basedOn w:val="1"/>
    <w:next w:val="1"/>
    <w:autoRedefine/>
    <w:unhideWhenUsed/>
    <w:qFormat/>
    <w:uiPriority w:val="35"/>
    <w:pPr>
      <w:ind w:firstLine="0" w:firstLineChars="0"/>
      <w:jc w:val="center"/>
    </w:pPr>
    <w:rPr>
      <w:rFonts w:ascii="黑体" w:eastAsia="黑体" w:hAnsiTheme="majorHAnsi" w:cstheme="majorBidi"/>
      <w:b/>
      <w:szCs w:val="20"/>
    </w:rPr>
  </w:style>
  <w:style w:type="paragraph" w:styleId="15">
    <w:name w:val="Document Map"/>
    <w:basedOn w:val="1"/>
    <w:link w:val="68"/>
    <w:autoRedefine/>
    <w:semiHidden/>
    <w:qFormat/>
    <w:uiPriority w:val="0"/>
    <w:pPr>
      <w:shd w:val="clear" w:color="auto" w:fill="000080"/>
    </w:pPr>
  </w:style>
  <w:style w:type="paragraph" w:styleId="16">
    <w:name w:val="annotation text"/>
    <w:basedOn w:val="1"/>
    <w:autoRedefine/>
    <w:semiHidden/>
    <w:qFormat/>
    <w:uiPriority w:val="0"/>
    <w:pPr>
      <w:overflowPunct/>
      <w:topLinePunct w:val="0"/>
      <w:adjustRightInd/>
      <w:snapToGrid/>
      <w:spacing w:before="0" w:line="240" w:lineRule="auto"/>
      <w:ind w:firstLine="0" w:firstLineChars="0"/>
      <w:jc w:val="left"/>
    </w:pPr>
    <w:rPr>
      <w:rFonts w:hAnsi="Times New Roman"/>
      <w:kern w:val="2"/>
      <w:sz w:val="21"/>
      <w:szCs w:val="24"/>
    </w:rPr>
  </w:style>
  <w:style w:type="paragraph" w:styleId="17">
    <w:name w:val="Body Text 3"/>
    <w:basedOn w:val="1"/>
    <w:link w:val="69"/>
    <w:autoRedefine/>
    <w:qFormat/>
    <w:uiPriority w:val="0"/>
    <w:pPr>
      <w:jc w:val="center"/>
    </w:pPr>
    <w:rPr>
      <w:rFonts w:ascii="宋体" w:hAnsi="宋体"/>
      <w:szCs w:val="20"/>
    </w:rPr>
  </w:style>
  <w:style w:type="paragraph" w:styleId="18">
    <w:name w:val="Body Text"/>
    <w:basedOn w:val="1"/>
    <w:link w:val="70"/>
    <w:autoRedefine/>
    <w:qFormat/>
    <w:uiPriority w:val="0"/>
    <w:rPr>
      <w:rFonts w:ascii="宋体" w:hAnsi="宋体"/>
      <w:sz w:val="28"/>
    </w:rPr>
  </w:style>
  <w:style w:type="paragraph" w:styleId="19">
    <w:name w:val="Body Text Indent"/>
    <w:basedOn w:val="1"/>
    <w:link w:val="71"/>
    <w:autoRedefine/>
    <w:qFormat/>
    <w:uiPriority w:val="0"/>
    <w:pPr>
      <w:ind w:firstLine="600"/>
    </w:pPr>
    <w:rPr>
      <w:sz w:val="28"/>
    </w:rPr>
  </w:style>
  <w:style w:type="paragraph" w:styleId="20">
    <w:name w:val="Block Text"/>
    <w:basedOn w:val="1"/>
    <w:autoRedefine/>
    <w:semiHidden/>
    <w:qFormat/>
    <w:uiPriority w:val="0"/>
    <w:pPr>
      <w:spacing w:after="120"/>
      <w:ind w:left="1440" w:leftChars="700" w:right="1440" w:rightChars="700"/>
    </w:pPr>
  </w:style>
  <w:style w:type="paragraph" w:styleId="21">
    <w:name w:val="toc 5"/>
    <w:basedOn w:val="1"/>
    <w:next w:val="1"/>
    <w:autoRedefine/>
    <w:qFormat/>
    <w:uiPriority w:val="39"/>
    <w:pPr>
      <w:ind w:left="960"/>
      <w:jc w:val="left"/>
    </w:pPr>
    <w:rPr>
      <w:rFonts w:ascii="Calibri" w:hAnsi="Calibri"/>
      <w:sz w:val="18"/>
      <w:szCs w:val="18"/>
    </w:rPr>
  </w:style>
  <w:style w:type="paragraph" w:styleId="22">
    <w:name w:val="toc 3"/>
    <w:basedOn w:val="1"/>
    <w:next w:val="1"/>
    <w:autoRedefine/>
    <w:qFormat/>
    <w:uiPriority w:val="39"/>
    <w:pPr>
      <w:spacing w:line="360" w:lineRule="auto"/>
      <w:ind w:left="560" w:leftChars="200"/>
      <w:jc w:val="left"/>
    </w:pPr>
    <w:rPr>
      <w:rFonts w:ascii="Times New Roman" w:hAnsi="Times New Roman" w:eastAsia="宋体"/>
    </w:rPr>
  </w:style>
  <w:style w:type="paragraph" w:styleId="23">
    <w:name w:val="Plain Text"/>
    <w:basedOn w:val="1"/>
    <w:link w:val="72"/>
    <w:autoRedefine/>
    <w:qFormat/>
    <w:uiPriority w:val="0"/>
    <w:rPr>
      <w:rFonts w:ascii="宋体" w:hAnsi="Courier New" w:cs="Courier New"/>
      <w:szCs w:val="21"/>
    </w:rPr>
  </w:style>
  <w:style w:type="paragraph" w:styleId="24">
    <w:name w:val="toc 8"/>
    <w:basedOn w:val="1"/>
    <w:next w:val="1"/>
    <w:autoRedefine/>
    <w:qFormat/>
    <w:uiPriority w:val="39"/>
    <w:pPr>
      <w:ind w:left="1680"/>
      <w:jc w:val="left"/>
    </w:pPr>
    <w:rPr>
      <w:rFonts w:ascii="Calibri" w:hAnsi="Calibri"/>
      <w:sz w:val="18"/>
      <w:szCs w:val="18"/>
    </w:rPr>
  </w:style>
  <w:style w:type="paragraph" w:styleId="25">
    <w:name w:val="Date"/>
    <w:basedOn w:val="1"/>
    <w:next w:val="1"/>
    <w:link w:val="73"/>
    <w:autoRedefine/>
    <w:qFormat/>
    <w:uiPriority w:val="0"/>
    <w:pPr>
      <w:widowControl/>
      <w:ind w:left="100" w:leftChars="2500"/>
      <w:jc w:val="left"/>
    </w:pPr>
    <w:rPr>
      <w:sz w:val="28"/>
      <w:szCs w:val="20"/>
    </w:rPr>
  </w:style>
  <w:style w:type="paragraph" w:styleId="26">
    <w:name w:val="Body Text Indent 2"/>
    <w:basedOn w:val="1"/>
    <w:link w:val="74"/>
    <w:autoRedefine/>
    <w:qFormat/>
    <w:uiPriority w:val="0"/>
    <w:pPr>
      <w:ind w:firstLine="594"/>
    </w:pPr>
    <w:rPr>
      <w:sz w:val="28"/>
      <w:shd w:val="pct10" w:color="auto" w:fill="FFFFFF"/>
    </w:rPr>
  </w:style>
  <w:style w:type="paragraph" w:styleId="27">
    <w:name w:val="Balloon Text"/>
    <w:basedOn w:val="1"/>
    <w:link w:val="75"/>
    <w:autoRedefine/>
    <w:semiHidden/>
    <w:qFormat/>
    <w:uiPriority w:val="0"/>
    <w:rPr>
      <w:sz w:val="18"/>
      <w:szCs w:val="18"/>
    </w:rPr>
  </w:style>
  <w:style w:type="paragraph" w:styleId="28">
    <w:name w:val="footer"/>
    <w:basedOn w:val="1"/>
    <w:link w:val="76"/>
    <w:autoRedefine/>
    <w:qFormat/>
    <w:uiPriority w:val="99"/>
    <w:pPr>
      <w:tabs>
        <w:tab w:val="center" w:pos="4153"/>
        <w:tab w:val="right" w:pos="8306"/>
      </w:tabs>
      <w:jc w:val="left"/>
    </w:pPr>
    <w:rPr>
      <w:sz w:val="18"/>
      <w:szCs w:val="18"/>
    </w:rPr>
  </w:style>
  <w:style w:type="paragraph" w:styleId="29">
    <w:name w:val="header"/>
    <w:basedOn w:val="1"/>
    <w:link w:val="77"/>
    <w:autoRedefine/>
    <w:qFormat/>
    <w:uiPriority w:val="0"/>
    <w:pPr>
      <w:pBdr>
        <w:bottom w:val="single" w:color="auto" w:sz="6" w:space="1"/>
      </w:pBdr>
      <w:tabs>
        <w:tab w:val="center" w:pos="4153"/>
        <w:tab w:val="right" w:pos="8306"/>
      </w:tabs>
      <w:jc w:val="center"/>
    </w:pPr>
    <w:rPr>
      <w:sz w:val="18"/>
      <w:szCs w:val="18"/>
    </w:rPr>
  </w:style>
  <w:style w:type="paragraph" w:styleId="30">
    <w:name w:val="toc 1"/>
    <w:basedOn w:val="1"/>
    <w:next w:val="1"/>
    <w:autoRedefine/>
    <w:qFormat/>
    <w:uiPriority w:val="39"/>
    <w:pPr>
      <w:tabs>
        <w:tab w:val="right" w:leader="dot" w:pos="9061"/>
      </w:tabs>
      <w:spacing w:line="360" w:lineRule="auto"/>
      <w:ind w:firstLine="0" w:firstLineChars="0"/>
      <w:jc w:val="left"/>
    </w:pPr>
    <w:rPr>
      <w:rFonts w:ascii="Calibri" w:hAnsi="Calibri" w:eastAsia="宋体"/>
      <w:b/>
      <w:bCs/>
      <w:caps/>
    </w:rPr>
  </w:style>
  <w:style w:type="paragraph" w:styleId="31">
    <w:name w:val="toc 4"/>
    <w:basedOn w:val="1"/>
    <w:next w:val="1"/>
    <w:autoRedefine/>
    <w:qFormat/>
    <w:uiPriority w:val="39"/>
    <w:pPr>
      <w:ind w:left="720"/>
      <w:jc w:val="left"/>
    </w:pPr>
    <w:rPr>
      <w:rFonts w:ascii="Calibri" w:hAnsi="Calibri"/>
      <w:sz w:val="18"/>
      <w:szCs w:val="18"/>
    </w:rPr>
  </w:style>
  <w:style w:type="paragraph" w:styleId="32">
    <w:name w:val="footnote text"/>
    <w:basedOn w:val="1"/>
    <w:link w:val="78"/>
    <w:autoRedefine/>
    <w:semiHidden/>
    <w:qFormat/>
    <w:uiPriority w:val="0"/>
    <w:pPr>
      <w:adjustRightInd/>
      <w:spacing w:line="240" w:lineRule="auto"/>
      <w:ind w:firstLine="0" w:firstLineChars="0"/>
      <w:jc w:val="left"/>
    </w:pPr>
    <w:rPr>
      <w:rFonts w:ascii="Times New Roman" w:eastAsia="宋体"/>
      <w:kern w:val="2"/>
      <w:sz w:val="18"/>
      <w:szCs w:val="18"/>
    </w:rPr>
  </w:style>
  <w:style w:type="paragraph" w:styleId="33">
    <w:name w:val="toc 6"/>
    <w:basedOn w:val="1"/>
    <w:next w:val="1"/>
    <w:autoRedefine/>
    <w:qFormat/>
    <w:uiPriority w:val="39"/>
    <w:pPr>
      <w:ind w:left="1200"/>
      <w:jc w:val="left"/>
    </w:pPr>
    <w:rPr>
      <w:rFonts w:ascii="Calibri" w:hAnsi="Calibri"/>
      <w:sz w:val="18"/>
      <w:szCs w:val="18"/>
    </w:rPr>
  </w:style>
  <w:style w:type="paragraph" w:styleId="34">
    <w:name w:val="Body Text Indent 3"/>
    <w:basedOn w:val="1"/>
    <w:link w:val="79"/>
    <w:autoRedefine/>
    <w:qFormat/>
    <w:uiPriority w:val="0"/>
    <w:pPr>
      <w:ind w:left="2942" w:leftChars="261" w:hanging="2350" w:hangingChars="792"/>
    </w:pPr>
    <w:rPr>
      <w:rFonts w:ascii="宋体" w:hAnsi="宋体"/>
      <w:sz w:val="28"/>
    </w:rPr>
  </w:style>
  <w:style w:type="paragraph" w:styleId="35">
    <w:name w:val="index 9"/>
    <w:basedOn w:val="1"/>
    <w:next w:val="1"/>
    <w:autoRedefine/>
    <w:semiHidden/>
    <w:qFormat/>
    <w:uiPriority w:val="0"/>
    <w:pPr>
      <w:ind w:left="1600" w:leftChars="1600"/>
    </w:pPr>
    <w:rPr>
      <w:sz w:val="21"/>
    </w:rPr>
  </w:style>
  <w:style w:type="paragraph" w:styleId="36">
    <w:name w:val="toc 9"/>
    <w:basedOn w:val="1"/>
    <w:next w:val="1"/>
    <w:autoRedefine/>
    <w:qFormat/>
    <w:uiPriority w:val="39"/>
    <w:pPr>
      <w:ind w:left="1920"/>
      <w:jc w:val="left"/>
    </w:pPr>
    <w:rPr>
      <w:rFonts w:ascii="Calibri" w:hAnsi="Calibri"/>
      <w:sz w:val="18"/>
      <w:szCs w:val="18"/>
    </w:rPr>
  </w:style>
  <w:style w:type="paragraph" w:styleId="37">
    <w:name w:val="Body Text 2"/>
    <w:basedOn w:val="1"/>
    <w:link w:val="80"/>
    <w:autoRedefine/>
    <w:semiHidden/>
    <w:qFormat/>
    <w:uiPriority w:val="0"/>
    <w:pPr>
      <w:spacing w:after="120" w:line="480" w:lineRule="auto"/>
    </w:pPr>
    <w:rPr>
      <w:szCs w:val="21"/>
    </w:rPr>
  </w:style>
  <w:style w:type="paragraph" w:styleId="38">
    <w:name w:val="Normal (Web)"/>
    <w:basedOn w:val="1"/>
    <w:autoRedefine/>
    <w:qFormat/>
    <w:uiPriority w:val="99"/>
    <w:pPr>
      <w:widowControl/>
      <w:spacing w:before="100" w:beforeAutospacing="1" w:after="100" w:afterAutospacing="1"/>
      <w:jc w:val="left"/>
    </w:pPr>
    <w:rPr>
      <w:rFonts w:ascii="宋体" w:hAnsi="宋体"/>
    </w:rPr>
  </w:style>
  <w:style w:type="paragraph" w:styleId="39">
    <w:name w:val="index 1"/>
    <w:basedOn w:val="1"/>
    <w:next w:val="1"/>
    <w:autoRedefine/>
    <w:semiHidden/>
    <w:qFormat/>
    <w:uiPriority w:val="0"/>
    <w:pPr>
      <w:ind w:left="210" w:hanging="210"/>
      <w:jc w:val="left"/>
    </w:pPr>
    <w:rPr>
      <w:sz w:val="20"/>
      <w:szCs w:val="20"/>
    </w:rPr>
  </w:style>
  <w:style w:type="paragraph" w:styleId="40">
    <w:name w:val="Title"/>
    <w:basedOn w:val="1"/>
    <w:link w:val="81"/>
    <w:autoRedefine/>
    <w:qFormat/>
    <w:uiPriority w:val="0"/>
    <w:pPr>
      <w:adjustRightInd/>
      <w:snapToGrid/>
      <w:spacing w:before="240" w:after="60" w:line="240" w:lineRule="auto"/>
      <w:ind w:firstLine="510" w:firstLineChars="0"/>
      <w:jc w:val="center"/>
      <w:outlineLvl w:val="0"/>
    </w:pPr>
    <w:rPr>
      <w:rFonts w:ascii="Arial" w:hAnsi="Arial" w:eastAsia="宋体"/>
      <w:b/>
      <w:kern w:val="2"/>
      <w:sz w:val="32"/>
      <w:szCs w:val="20"/>
    </w:rPr>
  </w:style>
  <w:style w:type="paragraph" w:styleId="41">
    <w:name w:val="annotation subject"/>
    <w:basedOn w:val="16"/>
    <w:next w:val="16"/>
    <w:autoRedefine/>
    <w:semiHidden/>
    <w:qFormat/>
    <w:uiPriority w:val="0"/>
    <w:rPr>
      <w:b/>
      <w:bCs/>
    </w:rPr>
  </w:style>
  <w:style w:type="paragraph" w:styleId="42">
    <w:name w:val="Body Text First Indent"/>
    <w:basedOn w:val="18"/>
    <w:link w:val="82"/>
    <w:autoRedefine/>
    <w:qFormat/>
    <w:uiPriority w:val="0"/>
    <w:pPr>
      <w:adjustRightInd/>
      <w:snapToGrid/>
      <w:spacing w:after="120" w:line="240" w:lineRule="auto"/>
      <w:ind w:firstLine="420" w:firstLineChars="100"/>
    </w:pPr>
    <w:rPr>
      <w:rFonts w:ascii="Times New Roman" w:hAnsi="Times New Roman" w:eastAsia="宋体"/>
      <w:kern w:val="2"/>
      <w:szCs w:val="20"/>
    </w:rPr>
  </w:style>
  <w:style w:type="paragraph" w:styleId="43">
    <w:name w:val="Body Text First Indent 2"/>
    <w:basedOn w:val="1"/>
    <w:link w:val="83"/>
    <w:autoRedefine/>
    <w:qFormat/>
    <w:uiPriority w:val="0"/>
    <w:pPr>
      <w:spacing w:after="120"/>
      <w:ind w:left="420" w:leftChars="200" w:firstLine="420"/>
    </w:pPr>
    <w:rPr>
      <w:sz w:val="21"/>
    </w:rPr>
  </w:style>
  <w:style w:type="table" w:styleId="45">
    <w:name w:val="Table Grid"/>
    <w:basedOn w:val="44"/>
    <w:autoRedefine/>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46">
    <w:name w:val="Table Simple 1"/>
    <w:basedOn w:val="44"/>
    <w:autoRedefine/>
    <w:qFormat/>
    <w:uiPriority w:val="0"/>
    <w:pPr>
      <w:widowControl w:val="0"/>
      <w:jc w:val="both"/>
    </w:pPr>
    <w:rPr>
      <w:rFonts w:ascii="Times New Roman" w:hAnsi="Times New Roman" w:eastAsia="宋体" w:cs="Times New Roman"/>
      <w:kern w:val="0"/>
      <w:sz w:val="20"/>
      <w:szCs w:val="20"/>
    </w:rPr>
    <w:tblPr>
      <w:tblBorders>
        <w:top w:val="single" w:color="008000" w:sz="12" w:space="0"/>
        <w:bottom w:val="single" w:color="008000" w:sz="12" w:space="0"/>
      </w:tblBorders>
    </w:tblPr>
    <w:tcPr>
      <w:shd w:val="clear" w:color="auto" w:fill="auto"/>
    </w:tcPr>
    <w:tblStylePr w:type="firstRow">
      <w:tblPr/>
      <w:tcPr>
        <w:tcBorders>
          <w:top w:val="nil"/>
          <w:left w:val="single" w:color="008000" w:sz="6" w:space="0"/>
          <w:bottom w:val="nil"/>
          <w:right w:val="nil"/>
          <w:insideH w:val="nil"/>
          <w:insideV w:val="nil"/>
          <w:tl2br w:val="nil"/>
          <w:tr2bl w:val="nil"/>
        </w:tcBorders>
      </w:tcPr>
    </w:tblStylePr>
    <w:tblStylePr w:type="lastRow">
      <w:tblPr/>
      <w:tcPr>
        <w:tcBorders>
          <w:top w:val="single" w:color="008000" w:sz="6" w:space="0"/>
          <w:left w:val="nil"/>
          <w:bottom w:val="nil"/>
          <w:right w:val="nil"/>
          <w:insideH w:val="nil"/>
          <w:insideV w:val="nil"/>
          <w:tl2br w:val="nil"/>
          <w:tr2bl w:val="nil"/>
        </w:tcBorders>
      </w:tcPr>
    </w:tblStylePr>
  </w:style>
  <w:style w:type="character" w:styleId="48">
    <w:name w:val="Strong"/>
    <w:autoRedefine/>
    <w:qFormat/>
    <w:uiPriority w:val="0"/>
    <w:rPr>
      <w:b/>
      <w:bCs/>
    </w:rPr>
  </w:style>
  <w:style w:type="character" w:styleId="49">
    <w:name w:val="page number"/>
    <w:autoRedefine/>
    <w:qFormat/>
    <w:uiPriority w:val="0"/>
    <w:rPr>
      <w:rFonts w:ascii="ˎ̥" w:hAnsi="ˎ̥" w:eastAsia="宋体" w:cs="宋体"/>
      <w:b/>
      <w:sz w:val="24"/>
      <w:lang w:val="en-US" w:eastAsia="zh-CN" w:bidi="ar-SA"/>
    </w:rPr>
  </w:style>
  <w:style w:type="character" w:styleId="50">
    <w:name w:val="FollowedHyperlink"/>
    <w:autoRedefine/>
    <w:qFormat/>
    <w:uiPriority w:val="0"/>
    <w:rPr>
      <w:color w:val="800080"/>
      <w:u w:val="single"/>
    </w:rPr>
  </w:style>
  <w:style w:type="character" w:styleId="51">
    <w:name w:val="Hyperlink"/>
    <w:basedOn w:val="47"/>
    <w:autoRedefine/>
    <w:qFormat/>
    <w:uiPriority w:val="99"/>
    <w:rPr>
      <w:rFonts w:ascii="ˎ̥" w:hAnsi="ˎ̥" w:eastAsia="宋体" w:cs="宋体"/>
      <w:b/>
      <w:color w:val="0000FF"/>
      <w:sz w:val="24"/>
      <w:u w:val="single"/>
      <w:lang w:val="en-US" w:eastAsia="zh-CN" w:bidi="ar-SA"/>
    </w:rPr>
  </w:style>
  <w:style w:type="character" w:styleId="52">
    <w:name w:val="annotation reference"/>
    <w:autoRedefine/>
    <w:semiHidden/>
    <w:qFormat/>
    <w:uiPriority w:val="0"/>
    <w:rPr>
      <w:sz w:val="21"/>
      <w:szCs w:val="21"/>
    </w:rPr>
  </w:style>
  <w:style w:type="character" w:styleId="53">
    <w:name w:val="footnote reference"/>
    <w:autoRedefine/>
    <w:semiHidden/>
    <w:qFormat/>
    <w:uiPriority w:val="0"/>
    <w:rPr>
      <w:vertAlign w:val="superscript"/>
    </w:rPr>
  </w:style>
  <w:style w:type="paragraph" w:customStyle="1" w:styleId="54">
    <w:name w:val="表格内容"/>
    <w:basedOn w:val="1"/>
    <w:autoRedefine/>
    <w:qFormat/>
    <w:uiPriority w:val="0"/>
    <w:pPr>
      <w:spacing w:line="240" w:lineRule="auto"/>
      <w:ind w:firstLine="0" w:firstLineChars="0"/>
      <w:jc w:val="center"/>
    </w:pPr>
    <w:rPr>
      <w:color w:val="auto"/>
      <w:sz w:val="21"/>
      <w:szCs w:val="20"/>
    </w:rPr>
  </w:style>
  <w:style w:type="character" w:customStyle="1" w:styleId="55">
    <w:name w:val="标题 2 Char1"/>
    <w:link w:val="4"/>
    <w:autoRedefine/>
    <w:qFormat/>
    <w:uiPriority w:val="0"/>
    <w:rPr>
      <w:rFonts w:ascii="Times New Roman" w:hAnsi="Times New Roman" w:eastAsia="黑体"/>
      <w:b/>
      <w:bCs/>
      <w:color w:val="000000"/>
      <w:kern w:val="44"/>
      <w:sz w:val="32"/>
      <w:szCs w:val="32"/>
    </w:rPr>
  </w:style>
  <w:style w:type="paragraph" w:customStyle="1" w:styleId="56">
    <w:name w:val="Body Text First Indent 21"/>
    <w:basedOn w:val="57"/>
    <w:autoRedefine/>
    <w:qFormat/>
    <w:uiPriority w:val="0"/>
    <w:pPr>
      <w:widowControl w:val="0"/>
      <w:spacing w:line="360" w:lineRule="auto"/>
      <w:ind w:firstLine="200" w:firstLineChars="200"/>
      <w:jc w:val="both"/>
    </w:pPr>
    <w:rPr>
      <w:rFonts w:ascii="Times New Roman" w:hAnsi="Times New Roman" w:eastAsia="宋体" w:cs="Times New Roman"/>
      <w:spacing w:val="4"/>
      <w:kern w:val="2"/>
      <w:sz w:val="24"/>
      <w:szCs w:val="28"/>
      <w:lang w:val="en-US" w:eastAsia="zh-CN" w:bidi="ar-SA"/>
    </w:rPr>
  </w:style>
  <w:style w:type="paragraph" w:customStyle="1" w:styleId="57">
    <w:name w:val="Body Text Indent1"/>
    <w:basedOn w:val="1"/>
    <w:autoRedefine/>
    <w:qFormat/>
    <w:uiPriority w:val="0"/>
    <w:pPr>
      <w:spacing w:line="150" w:lineRule="atLeast"/>
      <w:ind w:firstLine="420" w:firstLineChars="200"/>
      <w:textAlignment w:val="baseline"/>
    </w:pPr>
    <w:rPr>
      <w:rFonts w:ascii="Times New Roman" w:hAnsi="Times New Roman" w:cs="Times New Roman"/>
    </w:rPr>
  </w:style>
  <w:style w:type="paragraph" w:customStyle="1" w:styleId="58">
    <w:name w:val="样式 首行缩进:  2 字符"/>
    <w:basedOn w:val="1"/>
    <w:link w:val="95"/>
    <w:autoRedefine/>
    <w:qFormat/>
    <w:uiPriority w:val="0"/>
    <w:pPr>
      <w:spacing w:line="360" w:lineRule="auto"/>
      <w:ind w:firstLine="588"/>
      <w:jc w:val="center"/>
    </w:pPr>
    <w:rPr>
      <w:rFonts w:ascii="宋体" w:cs="宋体"/>
    </w:rPr>
  </w:style>
  <w:style w:type="character" w:customStyle="1" w:styleId="59">
    <w:name w:val="标题 1 Char"/>
    <w:link w:val="3"/>
    <w:autoRedefine/>
    <w:qFormat/>
    <w:uiPriority w:val="0"/>
    <w:rPr>
      <w:rFonts w:ascii="Times New Roman" w:hAnsi="Times New Roman" w:eastAsia="黑体"/>
      <w:b/>
      <w:bCs/>
      <w:kern w:val="44"/>
      <w:sz w:val="32"/>
      <w:szCs w:val="32"/>
    </w:rPr>
  </w:style>
  <w:style w:type="character" w:customStyle="1" w:styleId="60">
    <w:name w:val="标题 3 Char"/>
    <w:link w:val="5"/>
    <w:autoRedefine/>
    <w:qFormat/>
    <w:uiPriority w:val="0"/>
    <w:rPr>
      <w:rFonts w:ascii="Times New Roman" w:hAnsi="宋体" w:eastAsia="黑体"/>
      <w:b/>
      <w:bCs/>
      <w:sz w:val="28"/>
      <w:szCs w:val="28"/>
    </w:rPr>
  </w:style>
  <w:style w:type="character" w:customStyle="1" w:styleId="61">
    <w:name w:val="标题 4 Char"/>
    <w:link w:val="6"/>
    <w:autoRedefine/>
    <w:qFormat/>
    <w:uiPriority w:val="0"/>
    <w:rPr>
      <w:rFonts w:ascii="Times New Roman" w:hAnsi="Times New Roman" w:eastAsia="黑体"/>
      <w:b/>
      <w:bCs/>
      <w:sz w:val="28"/>
      <w:szCs w:val="28"/>
    </w:rPr>
  </w:style>
  <w:style w:type="character" w:customStyle="1" w:styleId="62">
    <w:name w:val="标题 5 Char"/>
    <w:link w:val="7"/>
    <w:autoRedefine/>
    <w:qFormat/>
    <w:uiPriority w:val="0"/>
    <w:rPr>
      <w:rFonts w:ascii="Times New Roman" w:hAnsi="Times New Roman" w:eastAsia="黑体"/>
      <w:b/>
      <w:sz w:val="21"/>
      <w:szCs w:val="28"/>
      <w:lang w:val="en-US" w:eastAsia="zh-CN" w:bidi="ar-SA"/>
    </w:rPr>
  </w:style>
  <w:style w:type="character" w:customStyle="1" w:styleId="63">
    <w:name w:val="正文缩进 Char"/>
    <w:link w:val="8"/>
    <w:autoRedefine/>
    <w:qFormat/>
    <w:uiPriority w:val="0"/>
    <w:rPr>
      <w:rFonts w:ascii="仿宋_GB2312" w:hAnsi="Times New Roman" w:eastAsia="仿宋_GB2312" w:cs="Times New Roman"/>
      <w:kern w:val="0"/>
      <w:sz w:val="24"/>
      <w:szCs w:val="24"/>
    </w:rPr>
  </w:style>
  <w:style w:type="character" w:customStyle="1" w:styleId="64">
    <w:name w:val="标题 6 Char"/>
    <w:link w:val="9"/>
    <w:autoRedefine/>
    <w:qFormat/>
    <w:uiPriority w:val="0"/>
    <w:rPr>
      <w:rFonts w:ascii="Arial" w:hAnsi="Arial" w:eastAsia="黑体"/>
      <w:b/>
      <w:bCs/>
      <w:sz w:val="28"/>
      <w:szCs w:val="28"/>
      <w:lang w:val="en-US" w:eastAsia="zh-CN" w:bidi="ar-SA"/>
    </w:rPr>
  </w:style>
  <w:style w:type="character" w:customStyle="1" w:styleId="65">
    <w:name w:val="标题 7 Char"/>
    <w:link w:val="10"/>
    <w:autoRedefine/>
    <w:qFormat/>
    <w:uiPriority w:val="0"/>
    <w:rPr>
      <w:rFonts w:hAnsi="宋体" w:eastAsia="宋体"/>
      <w:sz w:val="28"/>
      <w:szCs w:val="28"/>
      <w:lang w:val="en-US" w:eastAsia="zh-CN" w:bidi="ar-SA"/>
    </w:rPr>
  </w:style>
  <w:style w:type="character" w:customStyle="1" w:styleId="66">
    <w:name w:val="标题 8 Char"/>
    <w:link w:val="11"/>
    <w:autoRedefine/>
    <w:qFormat/>
    <w:uiPriority w:val="0"/>
    <w:rPr>
      <w:rFonts w:hAnsi="宋体" w:eastAsia="宋体"/>
      <w:sz w:val="28"/>
      <w:szCs w:val="28"/>
      <w:lang w:val="en-US" w:eastAsia="zh-CN" w:bidi="ar-SA"/>
    </w:rPr>
  </w:style>
  <w:style w:type="character" w:customStyle="1" w:styleId="67">
    <w:name w:val="标题 9 Char"/>
    <w:link w:val="12"/>
    <w:autoRedefine/>
    <w:qFormat/>
    <w:uiPriority w:val="0"/>
    <w:rPr>
      <w:rFonts w:hAnsi="宋体" w:eastAsia="宋体"/>
      <w:sz w:val="28"/>
      <w:szCs w:val="28"/>
      <w:lang w:val="en-US" w:eastAsia="zh-CN" w:bidi="ar-SA"/>
    </w:rPr>
  </w:style>
  <w:style w:type="character" w:customStyle="1" w:styleId="68">
    <w:name w:val="文档结构图 Char"/>
    <w:link w:val="15"/>
    <w:autoRedefine/>
    <w:semiHidden/>
    <w:qFormat/>
    <w:uiPriority w:val="0"/>
    <w:rPr>
      <w:rFonts w:ascii="Times New Roman" w:hAnsi="Times New Roman" w:eastAsia="宋体" w:cs="Times New Roman"/>
      <w:b/>
      <w:sz w:val="24"/>
      <w:szCs w:val="24"/>
      <w:shd w:val="clear" w:color="auto" w:fill="000080"/>
    </w:rPr>
  </w:style>
  <w:style w:type="character" w:customStyle="1" w:styleId="69">
    <w:name w:val="正文文本 3 Char"/>
    <w:link w:val="17"/>
    <w:autoRedefine/>
    <w:qFormat/>
    <w:uiPriority w:val="0"/>
    <w:rPr>
      <w:rFonts w:ascii="宋体" w:hAnsi="宋体" w:eastAsia="宋体" w:cs="Times New Roman"/>
      <w:b/>
      <w:sz w:val="24"/>
      <w:szCs w:val="20"/>
    </w:rPr>
  </w:style>
  <w:style w:type="character" w:customStyle="1" w:styleId="70">
    <w:name w:val="正文文本 Char"/>
    <w:link w:val="18"/>
    <w:autoRedefine/>
    <w:qFormat/>
    <w:uiPriority w:val="0"/>
    <w:rPr>
      <w:rFonts w:ascii="宋体" w:hAnsi="宋体" w:eastAsia="宋体" w:cs="Times New Roman"/>
      <w:b/>
      <w:sz w:val="28"/>
      <w:szCs w:val="24"/>
    </w:rPr>
  </w:style>
  <w:style w:type="character" w:customStyle="1" w:styleId="71">
    <w:name w:val="正文文本缩进 Char"/>
    <w:link w:val="19"/>
    <w:autoRedefine/>
    <w:qFormat/>
    <w:uiPriority w:val="0"/>
    <w:rPr>
      <w:rFonts w:ascii="Times New Roman" w:hAnsi="Times New Roman" w:eastAsia="宋体" w:cs="Times New Roman"/>
      <w:b/>
      <w:sz w:val="28"/>
      <w:szCs w:val="24"/>
    </w:rPr>
  </w:style>
  <w:style w:type="character" w:customStyle="1" w:styleId="72">
    <w:name w:val="纯文本 Char"/>
    <w:link w:val="23"/>
    <w:autoRedefine/>
    <w:qFormat/>
    <w:uiPriority w:val="0"/>
    <w:rPr>
      <w:rFonts w:ascii="宋体" w:hAnsi="Courier New" w:eastAsia="宋体" w:cs="Courier New"/>
      <w:b/>
      <w:sz w:val="24"/>
      <w:szCs w:val="21"/>
    </w:rPr>
  </w:style>
  <w:style w:type="character" w:customStyle="1" w:styleId="73">
    <w:name w:val="日期 Char"/>
    <w:link w:val="25"/>
    <w:autoRedefine/>
    <w:qFormat/>
    <w:uiPriority w:val="0"/>
    <w:rPr>
      <w:rFonts w:ascii="Times New Roman" w:hAnsi="Times New Roman" w:eastAsia="宋体" w:cs="Times New Roman"/>
      <w:b/>
      <w:kern w:val="0"/>
      <w:sz w:val="28"/>
      <w:szCs w:val="20"/>
    </w:rPr>
  </w:style>
  <w:style w:type="character" w:customStyle="1" w:styleId="74">
    <w:name w:val="正文文本缩进 2 Char"/>
    <w:link w:val="26"/>
    <w:autoRedefine/>
    <w:qFormat/>
    <w:uiPriority w:val="0"/>
    <w:rPr>
      <w:rFonts w:ascii="Times New Roman" w:hAnsi="Times New Roman" w:eastAsia="宋体" w:cs="Times New Roman"/>
      <w:b/>
      <w:sz w:val="28"/>
      <w:szCs w:val="24"/>
    </w:rPr>
  </w:style>
  <w:style w:type="character" w:customStyle="1" w:styleId="75">
    <w:name w:val="批注框文本 Char"/>
    <w:link w:val="27"/>
    <w:autoRedefine/>
    <w:semiHidden/>
    <w:qFormat/>
    <w:uiPriority w:val="0"/>
    <w:rPr>
      <w:rFonts w:ascii="Times New Roman" w:hAnsi="Times New Roman" w:eastAsia="宋体" w:cs="Times New Roman"/>
      <w:b/>
      <w:sz w:val="18"/>
      <w:szCs w:val="18"/>
    </w:rPr>
  </w:style>
  <w:style w:type="character" w:customStyle="1" w:styleId="76">
    <w:name w:val="页脚 Char"/>
    <w:link w:val="28"/>
    <w:autoRedefine/>
    <w:qFormat/>
    <w:uiPriority w:val="99"/>
    <w:rPr>
      <w:rFonts w:ascii="Times New Roman" w:hAnsi="Times New Roman" w:eastAsia="宋体" w:cs="Times New Roman"/>
      <w:b/>
      <w:sz w:val="18"/>
      <w:szCs w:val="18"/>
    </w:rPr>
  </w:style>
  <w:style w:type="character" w:customStyle="1" w:styleId="77">
    <w:name w:val="页眉 Char"/>
    <w:link w:val="29"/>
    <w:autoRedefine/>
    <w:qFormat/>
    <w:uiPriority w:val="99"/>
    <w:rPr>
      <w:rFonts w:ascii="Times New Roman" w:hAnsi="Times New Roman" w:eastAsia="宋体" w:cs="Times New Roman"/>
      <w:b/>
      <w:sz w:val="18"/>
      <w:szCs w:val="18"/>
    </w:rPr>
  </w:style>
  <w:style w:type="character" w:customStyle="1" w:styleId="78">
    <w:name w:val="脚注文本 Char"/>
    <w:link w:val="32"/>
    <w:autoRedefine/>
    <w:semiHidden/>
    <w:qFormat/>
    <w:uiPriority w:val="0"/>
    <w:rPr>
      <w:rFonts w:ascii="Times New Roman" w:hAnsi="Times New Roman" w:eastAsia="宋体" w:cs="Times New Roman"/>
      <w:sz w:val="18"/>
      <w:szCs w:val="18"/>
    </w:rPr>
  </w:style>
  <w:style w:type="character" w:customStyle="1" w:styleId="79">
    <w:name w:val="正文文本缩进 3 Char"/>
    <w:link w:val="34"/>
    <w:autoRedefine/>
    <w:qFormat/>
    <w:uiPriority w:val="0"/>
    <w:rPr>
      <w:rFonts w:ascii="宋体" w:hAnsi="宋体" w:eastAsia="宋体" w:cs="Times New Roman"/>
      <w:b/>
      <w:sz w:val="28"/>
      <w:szCs w:val="24"/>
    </w:rPr>
  </w:style>
  <w:style w:type="character" w:customStyle="1" w:styleId="80">
    <w:name w:val="正文文本 2 Char"/>
    <w:link w:val="37"/>
    <w:autoRedefine/>
    <w:semiHidden/>
    <w:qFormat/>
    <w:uiPriority w:val="0"/>
    <w:rPr>
      <w:rFonts w:ascii="Times New Roman" w:hAnsi="Times New Roman" w:eastAsia="宋体" w:cs="Times New Roman"/>
      <w:b/>
      <w:sz w:val="24"/>
      <w:szCs w:val="21"/>
    </w:rPr>
  </w:style>
  <w:style w:type="character" w:customStyle="1" w:styleId="81">
    <w:name w:val="标题 Char"/>
    <w:link w:val="40"/>
    <w:autoRedefine/>
    <w:qFormat/>
    <w:uiPriority w:val="0"/>
    <w:rPr>
      <w:rFonts w:ascii="Arial" w:hAnsi="Arial" w:eastAsia="宋体" w:cs="Times New Roman"/>
      <w:b/>
      <w:sz w:val="32"/>
      <w:szCs w:val="20"/>
    </w:rPr>
  </w:style>
  <w:style w:type="character" w:customStyle="1" w:styleId="82">
    <w:name w:val="正文首行缩进 Char1"/>
    <w:link w:val="42"/>
    <w:autoRedefine/>
    <w:qFormat/>
    <w:uiPriority w:val="0"/>
    <w:rPr>
      <w:rFonts w:ascii="Times New Roman" w:hAnsi="Times New Roman" w:eastAsia="宋体" w:cs="Times New Roman"/>
      <w:b/>
      <w:sz w:val="28"/>
      <w:szCs w:val="20"/>
    </w:rPr>
  </w:style>
  <w:style w:type="character" w:customStyle="1" w:styleId="83">
    <w:name w:val="正文首行缩进 2 Char"/>
    <w:basedOn w:val="71"/>
    <w:link w:val="43"/>
    <w:autoRedefine/>
    <w:qFormat/>
    <w:uiPriority w:val="0"/>
  </w:style>
  <w:style w:type="character" w:customStyle="1" w:styleId="84">
    <w:name w:val="表格 Char"/>
    <w:link w:val="85"/>
    <w:autoRedefine/>
    <w:qFormat/>
    <w:uiPriority w:val="0"/>
    <w:rPr>
      <w:rFonts w:ascii="宋体" w:hAnsi="宋体" w:cs="宋体"/>
      <w:bCs/>
      <w:color w:val="FF0000"/>
      <w:kern w:val="2"/>
      <w:sz w:val="24"/>
      <w:szCs w:val="24"/>
      <w:lang w:val="en-US" w:eastAsia="zh-CN" w:bidi="ar-SA"/>
    </w:rPr>
  </w:style>
  <w:style w:type="paragraph" w:customStyle="1" w:styleId="85">
    <w:name w:val="表格"/>
    <w:link w:val="84"/>
    <w:autoRedefine/>
    <w:qFormat/>
    <w:uiPriority w:val="0"/>
    <w:pPr>
      <w:widowControl w:val="0"/>
      <w:adjustRightInd w:val="0"/>
      <w:snapToGrid w:val="0"/>
      <w:jc w:val="center"/>
    </w:pPr>
    <w:rPr>
      <w:rFonts w:ascii="宋体" w:hAnsi="宋体" w:eastAsia="宋体" w:cs="Times New Roman"/>
      <w:bCs/>
      <w:color w:val="FF0000"/>
      <w:kern w:val="2"/>
      <w:sz w:val="24"/>
      <w:szCs w:val="24"/>
      <w:lang w:val="en-US" w:eastAsia="zh-CN" w:bidi="ar-SA"/>
    </w:rPr>
  </w:style>
  <w:style w:type="character" w:customStyle="1" w:styleId="86">
    <w:name w:val="zw Char"/>
    <w:link w:val="87"/>
    <w:autoRedefine/>
    <w:qFormat/>
    <w:uiPriority w:val="0"/>
    <w:rPr>
      <w:rFonts w:ascii="Times New Roman" w:hAnsi="Times New Roman"/>
      <w:kern w:val="2"/>
      <w:sz w:val="24"/>
      <w:szCs w:val="28"/>
    </w:rPr>
  </w:style>
  <w:style w:type="paragraph" w:customStyle="1" w:styleId="87">
    <w:name w:val="zw"/>
    <w:basedOn w:val="1"/>
    <w:link w:val="86"/>
    <w:autoRedefine/>
    <w:qFormat/>
    <w:uiPriority w:val="0"/>
    <w:pPr>
      <w:spacing w:line="360" w:lineRule="auto"/>
      <w:ind w:firstLine="200" w:firstLineChars="200"/>
      <w:jc w:val="both"/>
    </w:pPr>
    <w:rPr>
      <w:rFonts w:hAnsi="Times New Roman"/>
      <w:kern w:val="2"/>
      <w:sz w:val="24"/>
    </w:rPr>
  </w:style>
  <w:style w:type="character" w:customStyle="1" w:styleId="88">
    <w:name w:val="样式 表头 + 黑色1 Char"/>
    <w:autoRedefine/>
    <w:qFormat/>
    <w:uiPriority w:val="0"/>
    <w:rPr>
      <w:rFonts w:ascii="黑体" w:eastAsia="黑体" w:cs="宋体"/>
      <w:b/>
      <w:color w:val="000000"/>
      <w:kern w:val="2"/>
      <w:sz w:val="24"/>
      <w:szCs w:val="24"/>
      <w:lang w:val="en-US" w:eastAsia="zh-CN" w:bidi="ar-SA"/>
    </w:rPr>
  </w:style>
  <w:style w:type="character" w:customStyle="1" w:styleId="89">
    <w:name w:val="标题 2 Char"/>
    <w:autoRedefine/>
    <w:qFormat/>
    <w:uiPriority w:val="0"/>
    <w:rPr>
      <w:rFonts w:ascii="Arial" w:hAnsi="Arial" w:eastAsia="黑体"/>
      <w:b/>
      <w:bCs/>
      <w:kern w:val="2"/>
      <w:sz w:val="32"/>
      <w:szCs w:val="32"/>
      <w:lang w:val="en-US" w:eastAsia="zh-CN" w:bidi="ar-SA"/>
    </w:rPr>
  </w:style>
  <w:style w:type="character" w:customStyle="1" w:styleId="90">
    <w:name w:val="样式 样式 样式 正文文本正文文字 Char + 首行缩进:  2 字符1 Char + Times New Roman + 黑色 Char"/>
    <w:autoRedefine/>
    <w:qFormat/>
    <w:uiPriority w:val="0"/>
    <w:rPr>
      <w:rFonts w:ascii="仿宋_GB2312" w:hAnsi="宋体" w:eastAsia="仿宋_GB2312"/>
      <w:color w:val="auto"/>
      <w:kern w:val="2"/>
      <w:sz w:val="28"/>
      <w:szCs w:val="28"/>
      <w:lang w:val="en-US" w:eastAsia="zh-CN" w:bidi="ar-SA"/>
    </w:rPr>
  </w:style>
  <w:style w:type="character" w:customStyle="1" w:styleId="91">
    <w:name w:val="普通段落 Char"/>
    <w:link w:val="92"/>
    <w:autoRedefine/>
    <w:qFormat/>
    <w:uiPriority w:val="0"/>
    <w:rPr>
      <w:rFonts w:ascii="Times New Roman" w:hAnsi="Times New Roman" w:cs="宋体"/>
      <w:kern w:val="2"/>
      <w:sz w:val="28"/>
    </w:rPr>
  </w:style>
  <w:style w:type="paragraph" w:customStyle="1" w:styleId="92">
    <w:name w:val="普通段落"/>
    <w:basedOn w:val="1"/>
    <w:link w:val="91"/>
    <w:autoRedefine/>
    <w:qFormat/>
    <w:uiPriority w:val="0"/>
    <w:pPr>
      <w:overflowPunct/>
      <w:topLinePunct w:val="0"/>
      <w:adjustRightInd/>
      <w:snapToGrid/>
      <w:spacing w:before="0" w:line="240" w:lineRule="auto"/>
      <w:ind w:firstLine="560" w:firstLineChars="0"/>
    </w:pPr>
    <w:rPr>
      <w:rFonts w:hAnsi="Times New Roman" w:cs="宋体"/>
      <w:kern w:val="2"/>
      <w:szCs w:val="20"/>
    </w:rPr>
  </w:style>
  <w:style w:type="character" w:customStyle="1" w:styleId="93">
    <w:name w:val="标题 3 Char Char"/>
    <w:autoRedefine/>
    <w:qFormat/>
    <w:uiPriority w:val="0"/>
    <w:rPr>
      <w:rFonts w:ascii="黑体" w:hAnsi="宋体" w:eastAsia="黑体" w:cs="黑体"/>
      <w:b/>
      <w:bCs/>
      <w:sz w:val="28"/>
      <w:szCs w:val="28"/>
      <w:lang w:val="en-US" w:eastAsia="zh-CN" w:bidi="ar-SA"/>
    </w:rPr>
  </w:style>
  <w:style w:type="character" w:customStyle="1" w:styleId="94">
    <w:name w:val="正文2 Char Char Char"/>
    <w:autoRedefine/>
    <w:qFormat/>
    <w:uiPriority w:val="0"/>
    <w:rPr>
      <w:rFonts w:ascii="宋体" w:hAnsi="Courier New" w:eastAsia="方正书宋简体" w:cs="宋体"/>
      <w:b/>
      <w:kern w:val="2"/>
      <w:sz w:val="24"/>
      <w:szCs w:val="24"/>
      <w:lang w:val="en-US" w:eastAsia="zh-CN" w:bidi="ar-SA"/>
    </w:rPr>
  </w:style>
  <w:style w:type="character" w:customStyle="1" w:styleId="95">
    <w:name w:val="样式 首行缩进:  2 字符 Char"/>
    <w:link w:val="58"/>
    <w:autoRedefine/>
    <w:qFormat/>
    <w:uiPriority w:val="0"/>
    <w:rPr>
      <w:rFonts w:ascii="宋体" w:hAnsi="宋体" w:cs="宋体"/>
      <w:sz w:val="28"/>
      <w:szCs w:val="28"/>
    </w:rPr>
  </w:style>
  <w:style w:type="character" w:customStyle="1" w:styleId="96">
    <w:name w:val="表格标题 Char"/>
    <w:link w:val="97"/>
    <w:autoRedefine/>
    <w:qFormat/>
    <w:uiPriority w:val="0"/>
    <w:rPr>
      <w:rFonts w:ascii="Times New Roman" w:hAnsi="Times New Roman" w:eastAsia="黑体"/>
      <w:kern w:val="2"/>
      <w:sz w:val="18"/>
      <w:szCs w:val="18"/>
      <w:lang w:val="en-US" w:eastAsia="zh-CN" w:bidi="ar-SA"/>
    </w:rPr>
  </w:style>
  <w:style w:type="paragraph" w:customStyle="1" w:styleId="97">
    <w:name w:val="表格标题"/>
    <w:link w:val="96"/>
    <w:autoRedefine/>
    <w:qFormat/>
    <w:uiPriority w:val="0"/>
    <w:pPr>
      <w:adjustRightInd w:val="0"/>
      <w:ind w:firstLine="368" w:firstLineChars="200"/>
      <w:jc w:val="both"/>
    </w:pPr>
    <w:rPr>
      <w:rFonts w:ascii="Times New Roman" w:hAnsi="Times New Roman" w:eastAsia="黑体" w:cs="Times New Roman"/>
      <w:kern w:val="2"/>
      <w:sz w:val="18"/>
      <w:szCs w:val="18"/>
      <w:lang w:val="en-US" w:eastAsia="zh-CN" w:bidi="ar-SA"/>
    </w:rPr>
  </w:style>
  <w:style w:type="character" w:customStyle="1" w:styleId="98">
    <w:name w:val="样式1 Char"/>
    <w:link w:val="99"/>
    <w:autoRedefine/>
    <w:qFormat/>
    <w:uiPriority w:val="0"/>
    <w:rPr>
      <w:rFonts w:ascii="宋体" w:hAnsi="宋体" w:eastAsia="宋体" w:cs="Times New Roman"/>
      <w:b/>
      <w:bCs/>
      <w:kern w:val="0"/>
      <w:sz w:val="28"/>
      <w:szCs w:val="28"/>
    </w:rPr>
  </w:style>
  <w:style w:type="paragraph" w:customStyle="1" w:styleId="99">
    <w:name w:val="样式1"/>
    <w:basedOn w:val="6"/>
    <w:link w:val="98"/>
    <w:autoRedefine/>
    <w:qFormat/>
    <w:uiPriority w:val="0"/>
    <w:pPr>
      <w:spacing w:before="60" w:after="60"/>
    </w:pPr>
    <w:rPr>
      <w:rFonts w:ascii="宋体" w:hAnsi="宋体" w:eastAsia="宋体"/>
    </w:rPr>
  </w:style>
  <w:style w:type="character" w:customStyle="1" w:styleId="100">
    <w:name w:val="标题 2 Char Char"/>
    <w:autoRedefine/>
    <w:qFormat/>
    <w:uiPriority w:val="0"/>
    <w:rPr>
      <w:rFonts w:ascii="黑体" w:hAnsi="Arial" w:eastAsia="黑体" w:cs="黑体"/>
      <w:b/>
      <w:bCs/>
      <w:kern w:val="2"/>
      <w:sz w:val="30"/>
      <w:szCs w:val="30"/>
      <w:lang w:val="en-US" w:eastAsia="zh-CN" w:bidi="ar-SA"/>
    </w:rPr>
  </w:style>
  <w:style w:type="character" w:customStyle="1" w:styleId="101">
    <w:name w:val="普通正文 Char"/>
    <w:autoRedefine/>
    <w:qFormat/>
    <w:uiPriority w:val="0"/>
    <w:rPr>
      <w:rFonts w:ascii="宋体" w:hAnsi="宋体" w:eastAsia="宋体" w:cs="宋体"/>
      <w:b/>
      <w:kern w:val="2"/>
      <w:sz w:val="24"/>
      <w:szCs w:val="24"/>
      <w:lang w:val="en-US" w:eastAsia="zh-CN" w:bidi="ar-SA"/>
    </w:rPr>
  </w:style>
  <w:style w:type="character" w:customStyle="1" w:styleId="102">
    <w:name w:val="普通正文 Char Char"/>
    <w:autoRedefine/>
    <w:qFormat/>
    <w:uiPriority w:val="0"/>
    <w:rPr>
      <w:rFonts w:ascii="黑体" w:hAnsi="宋体" w:eastAsia="黑体" w:cs="黑体"/>
      <w:b/>
      <w:color w:val="000000"/>
      <w:kern w:val="2"/>
      <w:sz w:val="21"/>
      <w:szCs w:val="21"/>
      <w:lang w:val="en-US" w:eastAsia="zh-CN" w:bidi="ar-SA"/>
    </w:rPr>
  </w:style>
  <w:style w:type="character" w:customStyle="1" w:styleId="103">
    <w:name w:val="正文2 Char Char"/>
    <w:autoRedefine/>
    <w:qFormat/>
    <w:uiPriority w:val="0"/>
    <w:rPr>
      <w:rFonts w:ascii="宋体" w:hAnsi="Courier New" w:eastAsia="方正书宋简体" w:cs="宋体"/>
      <w:b/>
      <w:kern w:val="2"/>
      <w:sz w:val="24"/>
      <w:szCs w:val="24"/>
      <w:lang w:val="en-US" w:eastAsia="zh-CN" w:bidi="ar-SA"/>
    </w:rPr>
  </w:style>
  <w:style w:type="character" w:customStyle="1" w:styleId="104">
    <w:name w:val="样式 公正文 + 首行缩进:  2 字符1 Char"/>
    <w:link w:val="105"/>
    <w:autoRedefine/>
    <w:qFormat/>
    <w:uiPriority w:val="0"/>
    <w:rPr>
      <w:rFonts w:ascii="宋体" w:hAnsi="宋体" w:eastAsia="仿宋_GB2312" w:cs="宋体"/>
      <w:kern w:val="2"/>
      <w:sz w:val="28"/>
      <w:lang w:val="en-US" w:eastAsia="zh-CN" w:bidi="ar-SA"/>
    </w:rPr>
  </w:style>
  <w:style w:type="paragraph" w:customStyle="1" w:styleId="105">
    <w:name w:val="样式 公正文 + 首行缩进:  2 字符1"/>
    <w:basedOn w:val="1"/>
    <w:link w:val="104"/>
    <w:autoRedefine/>
    <w:qFormat/>
    <w:uiPriority w:val="0"/>
    <w:pPr>
      <w:overflowPunct/>
      <w:topLinePunct w:val="0"/>
      <w:autoSpaceDE w:val="0"/>
      <w:autoSpaceDN w:val="0"/>
      <w:spacing w:before="0" w:line="480" w:lineRule="atLeast"/>
      <w:ind w:firstLine="560" w:firstLineChars="200"/>
    </w:pPr>
    <w:rPr>
      <w:rFonts w:ascii="宋体" w:eastAsia="仿宋_GB2312" w:cs="宋体"/>
      <w:kern w:val="2"/>
      <w:szCs w:val="20"/>
    </w:rPr>
  </w:style>
  <w:style w:type="character" w:customStyle="1" w:styleId="106">
    <w:name w:val="样式2 Char"/>
    <w:autoRedefine/>
    <w:qFormat/>
    <w:uiPriority w:val="0"/>
    <w:rPr>
      <w:rFonts w:ascii="ˎ̥" w:hAnsi="ˎ̥" w:eastAsia="宋体" w:cs="宋体"/>
      <w:b/>
      <w:kern w:val="2"/>
      <w:sz w:val="21"/>
      <w:szCs w:val="21"/>
      <w:lang w:val="en-US" w:eastAsia="zh-CN" w:bidi="ar-SA"/>
    </w:rPr>
  </w:style>
  <w:style w:type="character" w:styleId="107">
    <w:name w:val="Placeholder Text"/>
    <w:autoRedefine/>
    <w:semiHidden/>
    <w:qFormat/>
    <w:uiPriority w:val="99"/>
    <w:rPr>
      <w:color w:val="808080"/>
    </w:rPr>
  </w:style>
  <w:style w:type="character" w:customStyle="1" w:styleId="108">
    <w:name w:val="普通正文 Char1"/>
    <w:autoRedefine/>
    <w:qFormat/>
    <w:uiPriority w:val="0"/>
    <w:rPr>
      <w:rFonts w:ascii="宋体" w:hAnsi="宋体" w:eastAsia="宋体" w:cs="宋体"/>
      <w:b/>
      <w:kern w:val="2"/>
      <w:sz w:val="24"/>
      <w:szCs w:val="24"/>
      <w:lang w:val="en-US" w:eastAsia="zh-CN" w:bidi="ar-SA"/>
    </w:rPr>
  </w:style>
  <w:style w:type="character" w:customStyle="1" w:styleId="109">
    <w:name w:val="纯文本 Char1"/>
    <w:autoRedefine/>
    <w:qFormat/>
    <w:uiPriority w:val="0"/>
    <w:rPr>
      <w:rFonts w:ascii="宋体" w:hAnsi="Courier New" w:eastAsia="宋体" w:cs="黑体"/>
      <w:kern w:val="2"/>
      <w:sz w:val="21"/>
      <w:szCs w:val="21"/>
      <w:lang w:val="en-US" w:eastAsia="zh-CN" w:bidi="ar-SA"/>
    </w:rPr>
  </w:style>
  <w:style w:type="character" w:customStyle="1" w:styleId="110">
    <w:name w:val="HTML Markup"/>
    <w:autoRedefine/>
    <w:qFormat/>
    <w:uiPriority w:val="0"/>
    <w:rPr>
      <w:vanish/>
      <w:color w:val="FF0000"/>
    </w:rPr>
  </w:style>
  <w:style w:type="character" w:customStyle="1" w:styleId="111">
    <w:name w:val="正文首行缩进 Char"/>
    <w:autoRedefine/>
    <w:qFormat/>
    <w:uiPriority w:val="0"/>
    <w:rPr>
      <w:rFonts w:ascii="宋体" w:hAnsi="宋体" w:eastAsia="宋体" w:cs="宋体"/>
      <w:b/>
      <w:kern w:val="2"/>
      <w:sz w:val="28"/>
      <w:szCs w:val="21"/>
      <w:lang w:val="en-US" w:eastAsia="zh-CN" w:bidi="ar-SA"/>
    </w:rPr>
  </w:style>
  <w:style w:type="character" w:customStyle="1" w:styleId="112">
    <w:name w:val="MTEquationSection"/>
    <w:autoRedefine/>
    <w:qFormat/>
    <w:uiPriority w:val="0"/>
    <w:rPr>
      <w:vanish/>
      <w:color w:val="FF0000"/>
    </w:rPr>
  </w:style>
  <w:style w:type="paragraph" w:customStyle="1" w:styleId="113">
    <w:name w:val="xl68"/>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pPr>
    <w:rPr>
      <w:rFonts w:ascii="宋体" w:hAnsi="宋体"/>
      <w:color w:val="FF0000"/>
      <w:sz w:val="12"/>
      <w:szCs w:val="20"/>
    </w:rPr>
  </w:style>
  <w:style w:type="paragraph" w:customStyle="1" w:styleId="114">
    <w:name w:val="xl3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sz w:val="18"/>
      <w:szCs w:val="18"/>
    </w:rPr>
  </w:style>
  <w:style w:type="paragraph" w:customStyle="1" w:styleId="115">
    <w:name w:val="xl122"/>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hint="eastAsia" w:ascii="宋体" w:hAnsi="宋体"/>
      <w:color w:val="000000"/>
    </w:rPr>
  </w:style>
  <w:style w:type="paragraph" w:customStyle="1" w:styleId="116">
    <w:name w:val="样式 标题 3 + 左侧:  2 字符 右侧:  1 字符"/>
    <w:basedOn w:val="5"/>
    <w:autoRedefine/>
    <w:qFormat/>
    <w:uiPriority w:val="0"/>
    <w:pPr>
      <w:keepNext/>
      <w:overflowPunct/>
      <w:topLinePunct w:val="0"/>
      <w:adjustRightInd/>
      <w:snapToGrid/>
      <w:spacing w:before="120" w:after="120" w:line="360" w:lineRule="auto"/>
      <w:ind w:left="200" w:leftChars="200" w:right="100" w:rightChars="100"/>
      <w:jc w:val="left"/>
    </w:pPr>
    <w:rPr>
      <w:rFonts w:hAnsi="Times New Roman" w:eastAsia="宋体" w:cs="宋体"/>
      <w:kern w:val="2"/>
      <w:szCs w:val="20"/>
    </w:rPr>
  </w:style>
  <w:style w:type="paragraph" w:customStyle="1" w:styleId="117">
    <w:name w:val="符号"/>
    <w:basedOn w:val="1"/>
    <w:autoRedefine/>
    <w:qFormat/>
    <w:uiPriority w:val="0"/>
    <w:pPr>
      <w:spacing w:line="440" w:lineRule="exact"/>
      <w:ind w:firstLine="500" w:firstLineChars="500"/>
    </w:pPr>
    <w:rPr>
      <w:szCs w:val="20"/>
    </w:rPr>
  </w:style>
  <w:style w:type="paragraph" w:customStyle="1" w:styleId="118">
    <w:name w:val="样式 标题 3 + 左侧:  2 字符 右侧:  1 字符1"/>
    <w:basedOn w:val="5"/>
    <w:autoRedefine/>
    <w:qFormat/>
    <w:uiPriority w:val="0"/>
    <w:pPr>
      <w:keepNext/>
      <w:overflowPunct/>
      <w:topLinePunct w:val="0"/>
      <w:adjustRightInd/>
      <w:snapToGrid/>
      <w:spacing w:before="120" w:after="120" w:line="360" w:lineRule="auto"/>
      <w:ind w:left="200" w:leftChars="200" w:right="100" w:rightChars="100"/>
      <w:jc w:val="left"/>
    </w:pPr>
    <w:rPr>
      <w:rFonts w:hAnsi="Times New Roman" w:eastAsia="宋体" w:cs="宋体"/>
      <w:kern w:val="2"/>
      <w:szCs w:val="20"/>
    </w:rPr>
  </w:style>
  <w:style w:type="paragraph" w:customStyle="1" w:styleId="119">
    <w:name w:val="12 Char"/>
    <w:basedOn w:val="1"/>
    <w:autoRedefine/>
    <w:qFormat/>
    <w:uiPriority w:val="0"/>
    <w:rPr>
      <w:rFonts w:ascii="ˎ̥" w:hAnsi="ˎ̥" w:cs="宋体"/>
      <w:sz w:val="28"/>
    </w:rPr>
  </w:style>
  <w:style w:type="paragraph" w:customStyle="1" w:styleId="120">
    <w:name w:val="样式3"/>
    <w:basedOn w:val="1"/>
    <w:autoRedefine/>
    <w:qFormat/>
    <w:uiPriority w:val="0"/>
    <w:pPr>
      <w:spacing w:line="360" w:lineRule="auto"/>
    </w:pPr>
    <w:rPr>
      <w:rFonts w:ascii="宋体" w:hAnsi="宋体"/>
      <w:color w:val="000000"/>
    </w:rPr>
  </w:style>
  <w:style w:type="paragraph" w:customStyle="1" w:styleId="121">
    <w:name w:val="xl54"/>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pPr>
    <w:rPr>
      <w:rFonts w:ascii="宋体" w:hAnsi="宋体"/>
      <w:sz w:val="12"/>
      <w:szCs w:val="20"/>
    </w:rPr>
  </w:style>
  <w:style w:type="paragraph" w:customStyle="1" w:styleId="122">
    <w:name w:val="xl131"/>
    <w:basedOn w:val="1"/>
    <w:autoRedefine/>
    <w:qFormat/>
    <w:uiPriority w:val="0"/>
    <w:pPr>
      <w:widowControl/>
      <w:pBdr>
        <w:left w:val="single" w:color="auto" w:sz="4" w:space="0"/>
        <w:bottom w:val="single" w:color="000000" w:sz="4" w:space="0"/>
        <w:right w:val="single" w:color="auto" w:sz="4" w:space="0"/>
      </w:pBdr>
      <w:shd w:val="clear" w:color="auto" w:fill="FFFFFF"/>
      <w:spacing w:before="100" w:beforeAutospacing="1" w:after="100" w:afterAutospacing="1"/>
      <w:jc w:val="center"/>
    </w:pPr>
    <w:rPr>
      <w:rFonts w:ascii="宋体" w:hAnsi="宋体"/>
      <w:color w:val="000000"/>
      <w:sz w:val="20"/>
      <w:szCs w:val="20"/>
    </w:rPr>
  </w:style>
  <w:style w:type="paragraph" w:customStyle="1" w:styleId="123">
    <w:name w:val="样式 正文缩进 + 左侧:  -0.5 字符 首行缩进:  0.65 厘米"/>
    <w:basedOn w:val="8"/>
    <w:autoRedefine/>
    <w:qFormat/>
    <w:uiPriority w:val="0"/>
    <w:pPr>
      <w:spacing w:line="300" w:lineRule="auto"/>
      <w:ind w:left="-50" w:leftChars="-50" w:firstLine="198" w:firstLineChars="0"/>
      <w:jc w:val="left"/>
    </w:pPr>
    <w:rPr>
      <w:rFonts w:cs="宋体"/>
      <w:sz w:val="21"/>
      <w:szCs w:val="20"/>
    </w:rPr>
  </w:style>
  <w:style w:type="paragraph" w:customStyle="1" w:styleId="124">
    <w:name w:val="1 Char Char Char Char"/>
    <w:basedOn w:val="1"/>
    <w:autoRedefine/>
    <w:qFormat/>
    <w:uiPriority w:val="0"/>
    <w:pPr>
      <w:spacing w:line="360" w:lineRule="auto"/>
      <w:ind w:firstLine="200"/>
    </w:pPr>
  </w:style>
  <w:style w:type="paragraph" w:customStyle="1" w:styleId="125">
    <w:name w:val="文档正文"/>
    <w:basedOn w:val="1"/>
    <w:autoRedefine/>
    <w:qFormat/>
    <w:uiPriority w:val="0"/>
    <w:pPr>
      <w:spacing w:line="480" w:lineRule="atLeast"/>
      <w:ind w:firstLine="567"/>
      <w:textAlignment w:val="baseline"/>
    </w:pPr>
    <w:rPr>
      <w:sz w:val="28"/>
      <w:szCs w:val="20"/>
    </w:rPr>
  </w:style>
  <w:style w:type="paragraph" w:customStyle="1" w:styleId="126">
    <w:name w:val="xl64"/>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pPr>
    <w:rPr>
      <w:rFonts w:ascii="宋体" w:hAnsi="宋体"/>
      <w:color w:val="FF0000"/>
      <w:sz w:val="12"/>
      <w:szCs w:val="20"/>
    </w:rPr>
  </w:style>
  <w:style w:type="paragraph" w:customStyle="1" w:styleId="127">
    <w:name w:val="xl95"/>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hint="eastAsia" w:ascii="宋体" w:hAnsi="宋体"/>
      <w:b/>
      <w:bCs/>
      <w:color w:val="000000"/>
      <w:sz w:val="16"/>
      <w:szCs w:val="16"/>
    </w:rPr>
  </w:style>
  <w:style w:type="paragraph" w:customStyle="1" w:styleId="128">
    <w:name w:val="xl2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sz w:val="16"/>
      <w:szCs w:val="16"/>
    </w:rPr>
  </w:style>
  <w:style w:type="paragraph" w:customStyle="1" w:styleId="129">
    <w:name w:val="xl134"/>
    <w:basedOn w:val="1"/>
    <w:autoRedefine/>
    <w:qFormat/>
    <w:uiPriority w:val="0"/>
    <w:pPr>
      <w:widowControl/>
      <w:pBdr>
        <w:top w:val="single" w:color="auto" w:sz="4" w:space="0"/>
        <w:left w:val="single" w:color="auto" w:sz="4" w:space="0"/>
        <w:bottom w:val="single" w:color="auto" w:sz="4" w:space="0"/>
      </w:pBdr>
      <w:shd w:val="clear" w:color="auto" w:fill="FFFFFF"/>
      <w:spacing w:before="100" w:beforeAutospacing="1" w:after="100" w:afterAutospacing="1"/>
      <w:jc w:val="center"/>
    </w:pPr>
    <w:rPr>
      <w:rFonts w:ascii="宋体" w:hAnsi="宋体"/>
      <w:color w:val="000000"/>
      <w:sz w:val="20"/>
      <w:szCs w:val="20"/>
    </w:rPr>
  </w:style>
  <w:style w:type="paragraph" w:customStyle="1" w:styleId="130">
    <w:name w:val="样式 样式 正文 + + 首行缩进:  2 字符"/>
    <w:basedOn w:val="1"/>
    <w:autoRedefine/>
    <w:qFormat/>
    <w:uiPriority w:val="0"/>
    <w:rPr>
      <w:rFonts w:cs="宋体"/>
      <w:sz w:val="21"/>
    </w:rPr>
  </w:style>
  <w:style w:type="paragraph" w:customStyle="1" w:styleId="131">
    <w:name w:val="font8"/>
    <w:basedOn w:val="1"/>
    <w:autoRedefine/>
    <w:qFormat/>
    <w:uiPriority w:val="0"/>
    <w:pPr>
      <w:widowControl/>
      <w:spacing w:before="100" w:beforeAutospacing="1" w:after="100" w:afterAutospacing="1"/>
      <w:jc w:val="left"/>
    </w:pPr>
    <w:rPr>
      <w:sz w:val="16"/>
      <w:szCs w:val="16"/>
    </w:rPr>
  </w:style>
  <w:style w:type="paragraph" w:customStyle="1" w:styleId="132">
    <w:name w:val="样式 (西文) 仿宋_GB2312 黑色2"/>
    <w:basedOn w:val="1"/>
    <w:autoRedefine/>
    <w:qFormat/>
    <w:uiPriority w:val="0"/>
    <w:pPr>
      <w:ind w:firstLine="245" w:firstLineChars="245"/>
    </w:pPr>
    <w:rPr>
      <w:rFonts w:cs="宋体"/>
      <w:color w:val="000000"/>
      <w:sz w:val="21"/>
      <w:szCs w:val="20"/>
    </w:rPr>
  </w:style>
  <w:style w:type="paragraph" w:customStyle="1" w:styleId="133">
    <w:name w:val="xl121"/>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hint="eastAsia" w:ascii="宋体" w:hAnsi="宋体"/>
      <w:color w:val="000000"/>
    </w:rPr>
  </w:style>
  <w:style w:type="paragraph" w:customStyle="1" w:styleId="134">
    <w:name w:val="xl5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left"/>
    </w:pPr>
    <w:rPr>
      <w:rFonts w:ascii="宋体" w:hAnsi="宋体"/>
      <w:sz w:val="12"/>
      <w:szCs w:val="20"/>
    </w:rPr>
  </w:style>
  <w:style w:type="paragraph" w:customStyle="1" w:styleId="135">
    <w:name w:val="xl2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sz w:val="20"/>
      <w:szCs w:val="20"/>
    </w:rPr>
  </w:style>
  <w:style w:type="paragraph" w:customStyle="1" w:styleId="136">
    <w:name w:val="帮助_表格_标题"/>
    <w:basedOn w:val="1"/>
    <w:autoRedefine/>
    <w:qFormat/>
    <w:uiPriority w:val="0"/>
    <w:pPr>
      <w:widowControl/>
      <w:adjustRightInd/>
      <w:snapToGrid/>
      <w:spacing w:before="100" w:beforeAutospacing="1" w:after="100" w:afterAutospacing="1" w:line="240" w:lineRule="auto"/>
      <w:ind w:firstLine="0" w:firstLineChars="0"/>
      <w:jc w:val="left"/>
    </w:pPr>
    <w:rPr>
      <w:rFonts w:ascii="宋体" w:hAnsi="宋体" w:eastAsia="宋体" w:cs="宋体"/>
    </w:rPr>
  </w:style>
  <w:style w:type="paragraph" w:customStyle="1" w:styleId="137">
    <w:name w:val="样式 宋体 四号 居中 行距: 固定值 26 磅"/>
    <w:basedOn w:val="1"/>
    <w:autoRedefine/>
    <w:qFormat/>
    <w:uiPriority w:val="0"/>
    <w:pPr>
      <w:jc w:val="center"/>
    </w:pPr>
    <w:rPr>
      <w:rFonts w:cs="宋体"/>
      <w:sz w:val="21"/>
      <w:szCs w:val="21"/>
    </w:rPr>
  </w:style>
  <w:style w:type="paragraph" w:customStyle="1" w:styleId="138">
    <w:name w:val="Char"/>
    <w:basedOn w:val="1"/>
    <w:autoRedefine/>
    <w:qFormat/>
    <w:uiPriority w:val="0"/>
    <w:pPr>
      <w:widowControl/>
      <w:spacing w:before="60" w:after="160" w:line="240" w:lineRule="exact"/>
      <w:ind w:firstLine="200"/>
      <w:jc w:val="left"/>
    </w:pPr>
    <w:rPr>
      <w:rFonts w:ascii="Verdana" w:hAnsi="Verdana" w:eastAsia="楷体_GB2312"/>
      <w:b/>
      <w:i/>
      <w:iCs/>
      <w:color w:val="000000"/>
      <w:sz w:val="20"/>
      <w:szCs w:val="20"/>
      <w:lang w:eastAsia="en-US"/>
    </w:rPr>
  </w:style>
  <w:style w:type="paragraph" w:customStyle="1" w:styleId="139">
    <w:name w:val="样式 宋体 四号 首行缩进:  1.01 厘米 行距: 固定值 26 磅"/>
    <w:basedOn w:val="1"/>
    <w:autoRedefine/>
    <w:qFormat/>
    <w:uiPriority w:val="0"/>
    <w:pPr>
      <w:ind w:firstLine="573"/>
    </w:pPr>
    <w:rPr>
      <w:rFonts w:cs="宋体"/>
    </w:rPr>
  </w:style>
  <w:style w:type="paragraph" w:customStyle="1" w:styleId="140">
    <w:name w:val="公表文"/>
    <w:basedOn w:val="141"/>
    <w:autoRedefine/>
    <w:qFormat/>
    <w:uiPriority w:val="0"/>
    <w:pPr>
      <w:spacing w:beforeLines="30" w:afterLines="30"/>
      <w:ind w:firstLine="0" w:firstLineChars="0"/>
      <w:jc w:val="center"/>
    </w:pPr>
  </w:style>
  <w:style w:type="paragraph" w:customStyle="1" w:styleId="141">
    <w:name w:val="公表注"/>
    <w:basedOn w:val="1"/>
    <w:autoRedefine/>
    <w:qFormat/>
    <w:uiPriority w:val="0"/>
    <w:pPr>
      <w:ind w:firstLine="200"/>
    </w:pPr>
    <w:rPr>
      <w:rFonts w:ascii="宋体" w:hAnsi="宋体" w:eastAsia="楷体_GB2312"/>
    </w:rPr>
  </w:style>
  <w:style w:type="paragraph" w:customStyle="1" w:styleId="142">
    <w:name w:val="font10"/>
    <w:basedOn w:val="1"/>
    <w:autoRedefine/>
    <w:qFormat/>
    <w:uiPriority w:val="0"/>
    <w:pPr>
      <w:widowControl/>
      <w:spacing w:before="100" w:beforeAutospacing="1" w:after="100" w:afterAutospacing="1"/>
      <w:jc w:val="left"/>
    </w:pPr>
    <w:rPr>
      <w:rFonts w:hint="eastAsia" w:ascii="宋体" w:hAnsi="宋体"/>
      <w:b/>
      <w:bCs/>
      <w:sz w:val="18"/>
      <w:szCs w:val="18"/>
    </w:rPr>
  </w:style>
  <w:style w:type="paragraph" w:customStyle="1" w:styleId="143">
    <w:name w:val="样式 样式 加粗 行距: 多倍行距 1.43 字行 + 加粗 首行缩进:  1.96 字符"/>
    <w:basedOn w:val="1"/>
    <w:autoRedefine/>
    <w:qFormat/>
    <w:uiPriority w:val="0"/>
    <w:pPr>
      <w:spacing w:line="343" w:lineRule="auto"/>
      <w:ind w:firstLine="472" w:firstLineChars="196"/>
    </w:pPr>
    <w:rPr>
      <w:rFonts w:cs="宋体"/>
      <w:bCs/>
      <w:sz w:val="21"/>
    </w:rPr>
  </w:style>
  <w:style w:type="paragraph" w:customStyle="1" w:styleId="144">
    <w:name w:val="xl47"/>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Arial Unicode MS" w:hAnsi="Arial Unicode MS"/>
    </w:rPr>
  </w:style>
  <w:style w:type="paragraph" w:customStyle="1" w:styleId="145">
    <w:name w:val="xl7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000000"/>
      <w:sz w:val="16"/>
      <w:szCs w:val="16"/>
    </w:rPr>
  </w:style>
  <w:style w:type="paragraph" w:customStyle="1" w:styleId="146">
    <w:name w:val="样式 行距: 多倍行距 1.25 字行"/>
    <w:basedOn w:val="1"/>
    <w:autoRedefine/>
    <w:qFormat/>
    <w:uiPriority w:val="0"/>
    <w:pPr>
      <w:ind w:firstLine="196" w:firstLineChars="196"/>
    </w:pPr>
    <w:rPr>
      <w:rFonts w:ascii="宋体" w:hAnsi="宋体" w:cs="宋体"/>
      <w:sz w:val="21"/>
      <w:szCs w:val="20"/>
    </w:rPr>
  </w:style>
  <w:style w:type="paragraph" w:customStyle="1" w:styleId="147">
    <w:name w:val="样式 样式 左侧:  -0.25 厘米 + 首行缩进:  2 字符"/>
    <w:basedOn w:val="1"/>
    <w:next w:val="1"/>
    <w:autoRedefine/>
    <w:qFormat/>
    <w:uiPriority w:val="0"/>
    <w:pPr>
      <w:ind w:firstLine="480"/>
    </w:pPr>
    <w:rPr>
      <w:sz w:val="21"/>
    </w:rPr>
  </w:style>
  <w:style w:type="paragraph" w:customStyle="1" w:styleId="148">
    <w:name w:val="样式 宋体 四号"/>
    <w:basedOn w:val="1"/>
    <w:autoRedefine/>
    <w:qFormat/>
    <w:uiPriority w:val="0"/>
    <w:pPr>
      <w:ind w:firstLine="560"/>
    </w:pPr>
    <w:rPr>
      <w:rFonts w:ascii="宋体" w:hAnsi="宋体" w:cs="宋体"/>
      <w:sz w:val="21"/>
    </w:rPr>
  </w:style>
  <w:style w:type="paragraph" w:customStyle="1" w:styleId="149">
    <w:name w:val="封底"/>
    <w:basedOn w:val="1"/>
    <w:autoRedefine/>
    <w:qFormat/>
    <w:uiPriority w:val="0"/>
    <w:pPr>
      <w:jc w:val="center"/>
    </w:pPr>
    <w:rPr>
      <w:rFonts w:ascii="黑体" w:eastAsia="黑体" w:cs="宋体"/>
      <w:bCs/>
      <w:sz w:val="32"/>
      <w:szCs w:val="20"/>
    </w:rPr>
  </w:style>
  <w:style w:type="paragraph" w:customStyle="1" w:styleId="150">
    <w:name w:val="Char Char Char11"/>
    <w:basedOn w:val="1"/>
    <w:autoRedefine/>
    <w:qFormat/>
    <w:uiPriority w:val="0"/>
    <w:pPr>
      <w:adjustRightInd/>
      <w:spacing w:line="240" w:lineRule="auto"/>
      <w:ind w:firstLine="0" w:firstLineChars="0"/>
    </w:pPr>
    <w:rPr>
      <w:rFonts w:ascii="黑体" w:eastAsia="宋体"/>
      <w:kern w:val="2"/>
      <w:sz w:val="21"/>
    </w:rPr>
  </w:style>
  <w:style w:type="paragraph" w:customStyle="1" w:styleId="151">
    <w:name w:val="样式6"/>
    <w:basedOn w:val="1"/>
    <w:next w:val="38"/>
    <w:autoRedefine/>
    <w:qFormat/>
    <w:uiPriority w:val="0"/>
    <w:pPr>
      <w:widowControl/>
      <w:spacing w:before="100" w:beforeAutospacing="1" w:after="100" w:afterAutospacing="1"/>
      <w:jc w:val="left"/>
    </w:pPr>
    <w:rPr>
      <w:rFonts w:ascii="Arial" w:hAnsi="Arial" w:cs="Arial"/>
      <w:sz w:val="22"/>
      <w:szCs w:val="22"/>
    </w:rPr>
  </w:style>
  <w:style w:type="paragraph" w:customStyle="1" w:styleId="152">
    <w:name w:val="xl67"/>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pPr>
    <w:rPr>
      <w:rFonts w:ascii="宋体" w:hAnsi="宋体"/>
      <w:color w:val="FF0000"/>
      <w:sz w:val="12"/>
      <w:szCs w:val="20"/>
    </w:rPr>
  </w:style>
  <w:style w:type="paragraph" w:customStyle="1" w:styleId="153">
    <w:name w:val="xl112"/>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left"/>
    </w:pPr>
    <w:rPr>
      <w:rFonts w:hint="eastAsia" w:ascii="宋体" w:hAnsi="宋体"/>
      <w:color w:val="000000"/>
    </w:rPr>
  </w:style>
  <w:style w:type="paragraph" w:customStyle="1" w:styleId="154">
    <w:name w:val="xl123"/>
    <w:basedOn w:val="1"/>
    <w:autoRedefine/>
    <w:qFormat/>
    <w:uiPriority w:val="0"/>
    <w:pPr>
      <w:widowControl/>
      <w:pBdr>
        <w:top w:val="single" w:color="auto" w:sz="4" w:space="0"/>
        <w:right w:val="single" w:color="auto" w:sz="4" w:space="0"/>
      </w:pBdr>
      <w:shd w:val="clear" w:color="auto" w:fill="FFFFFF"/>
      <w:spacing w:before="100" w:beforeAutospacing="1" w:after="100" w:afterAutospacing="1"/>
      <w:jc w:val="center"/>
      <w:textAlignment w:val="center"/>
    </w:pPr>
    <w:rPr>
      <w:rFonts w:hint="eastAsia" w:ascii="宋体" w:hAnsi="宋体"/>
      <w:color w:val="000000"/>
    </w:rPr>
  </w:style>
  <w:style w:type="paragraph" w:customStyle="1" w:styleId="155">
    <w:name w:val="1"/>
    <w:basedOn w:val="1"/>
    <w:next w:val="20"/>
    <w:autoRedefine/>
    <w:qFormat/>
    <w:uiPriority w:val="0"/>
    <w:pPr>
      <w:spacing w:line="360" w:lineRule="auto"/>
      <w:ind w:left="480" w:right="6"/>
    </w:pPr>
    <w:rPr>
      <w:sz w:val="28"/>
      <w:szCs w:val="20"/>
    </w:rPr>
  </w:style>
  <w:style w:type="paragraph" w:customStyle="1" w:styleId="156">
    <w:name w:val="Char Char Char Char Char Char Char Char Char Char Char Char Char Char Char Char Char Char Char Char Char Char Char Char2 Char"/>
    <w:basedOn w:val="1"/>
    <w:autoRedefine/>
    <w:qFormat/>
    <w:uiPriority w:val="0"/>
    <w:pPr>
      <w:widowControl/>
      <w:adjustRightInd/>
      <w:snapToGrid/>
      <w:spacing w:after="160" w:line="240" w:lineRule="exact"/>
      <w:ind w:firstLine="0" w:firstLineChars="0"/>
      <w:jc w:val="center"/>
    </w:pPr>
    <w:rPr>
      <w:rFonts w:ascii="黑体" w:hAnsi="Verdana" w:eastAsia="黑体"/>
      <w:sz w:val="32"/>
      <w:szCs w:val="32"/>
      <w:lang w:eastAsia="en-US"/>
    </w:rPr>
  </w:style>
  <w:style w:type="paragraph" w:customStyle="1" w:styleId="157">
    <w:name w:val="式样1"/>
    <w:basedOn w:val="99"/>
    <w:autoRedefine/>
    <w:qFormat/>
    <w:uiPriority w:val="0"/>
    <w:pPr>
      <w:overflowPunct/>
      <w:topLinePunct w:val="0"/>
      <w:adjustRightInd/>
      <w:snapToGrid/>
      <w:spacing w:before="0" w:after="0" w:line="480" w:lineRule="atLeast"/>
      <w:ind w:firstLine="560" w:firstLineChars="200"/>
      <w:outlineLvl w:val="9"/>
    </w:pPr>
    <w:rPr>
      <w:rFonts w:ascii="仿宋_GB2312" w:hAnsi="Times New Roman" w:eastAsia="仿宋_GB2312"/>
      <w:b w:val="0"/>
      <w:bCs w:val="0"/>
      <w:kern w:val="2"/>
    </w:rPr>
  </w:style>
  <w:style w:type="paragraph" w:customStyle="1" w:styleId="158">
    <w:name w:val="样式 宋体 四号 行距: 固定值 26 磅"/>
    <w:basedOn w:val="1"/>
    <w:autoRedefine/>
    <w:qFormat/>
    <w:uiPriority w:val="0"/>
    <w:rPr>
      <w:rFonts w:ascii="宋体" w:hAnsi="宋体" w:cs="宋体"/>
      <w:sz w:val="21"/>
    </w:rPr>
  </w:style>
  <w:style w:type="paragraph" w:customStyle="1" w:styleId="159">
    <w:name w:val="_Style 155"/>
    <w:autoRedefine/>
    <w:semiHidden/>
    <w:qFormat/>
    <w:uiPriority w:val="0"/>
    <w:rPr>
      <w:rFonts w:ascii="Times New Roman" w:hAnsi="Times New Roman" w:eastAsia="宋体" w:cs="Times New Roman"/>
      <w:kern w:val="2"/>
      <w:sz w:val="21"/>
      <w:szCs w:val="24"/>
      <w:lang w:val="en-US" w:eastAsia="zh-CN" w:bidi="ar-SA"/>
    </w:rPr>
  </w:style>
  <w:style w:type="paragraph" w:customStyle="1" w:styleId="160">
    <w:name w:val="font12"/>
    <w:basedOn w:val="1"/>
    <w:autoRedefine/>
    <w:qFormat/>
    <w:uiPriority w:val="0"/>
    <w:pPr>
      <w:widowControl/>
      <w:spacing w:before="100" w:beforeAutospacing="1" w:after="100" w:afterAutospacing="1"/>
      <w:jc w:val="left"/>
    </w:pPr>
    <w:rPr>
      <w:sz w:val="18"/>
      <w:szCs w:val="18"/>
    </w:rPr>
  </w:style>
  <w:style w:type="paragraph" w:customStyle="1" w:styleId="161">
    <w:name w:val="样式 (西文) 仿宋_GB2312 黑色 左侧:  0.95 厘米"/>
    <w:basedOn w:val="1"/>
    <w:autoRedefine/>
    <w:qFormat/>
    <w:uiPriority w:val="0"/>
    <w:pPr>
      <w:ind w:left="539"/>
    </w:pPr>
    <w:rPr>
      <w:rFonts w:cs="宋体"/>
      <w:color w:val="000000"/>
      <w:sz w:val="21"/>
      <w:szCs w:val="20"/>
    </w:rPr>
  </w:style>
  <w:style w:type="paragraph" w:customStyle="1" w:styleId="162">
    <w:name w:val="表格注"/>
    <w:basedOn w:val="92"/>
    <w:autoRedefine/>
    <w:qFormat/>
    <w:uiPriority w:val="0"/>
    <w:rPr>
      <w:sz w:val="21"/>
    </w:rPr>
  </w:style>
  <w:style w:type="paragraph" w:customStyle="1" w:styleId="163">
    <w:name w:val="xl66"/>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pPr>
    <w:rPr>
      <w:rFonts w:ascii="宋体" w:hAnsi="宋体"/>
      <w:color w:val="FF0000"/>
      <w:sz w:val="12"/>
      <w:szCs w:val="20"/>
    </w:rPr>
  </w:style>
  <w:style w:type="paragraph" w:customStyle="1" w:styleId="164">
    <w:name w:val="样式 pp仿宋_GB2312 四号 + 首行缩进:  2 字符"/>
    <w:basedOn w:val="1"/>
    <w:autoRedefine/>
    <w:qFormat/>
    <w:uiPriority w:val="0"/>
    <w:pPr>
      <w:spacing w:line="360" w:lineRule="auto"/>
      <w:ind w:firstLine="425" w:firstLineChars="177"/>
      <w:jc w:val="left"/>
    </w:pPr>
  </w:style>
  <w:style w:type="paragraph" w:customStyle="1" w:styleId="165">
    <w:name w:val="公表序"/>
    <w:basedOn w:val="1"/>
    <w:autoRedefine/>
    <w:qFormat/>
    <w:uiPriority w:val="0"/>
    <w:pPr>
      <w:spacing w:line="300" w:lineRule="auto"/>
      <w:ind w:firstLine="150" w:firstLineChars="150"/>
    </w:pPr>
    <w:rPr>
      <w:rFonts w:ascii="黑体" w:hAnsi="宋体" w:eastAsia="黑体"/>
    </w:rPr>
  </w:style>
  <w:style w:type="paragraph" w:customStyle="1" w:styleId="166">
    <w:name w:val="Char2 Char Char Char2"/>
    <w:basedOn w:val="1"/>
    <w:autoRedefine/>
    <w:semiHidden/>
    <w:qFormat/>
    <w:uiPriority w:val="0"/>
    <w:pPr>
      <w:spacing w:line="360" w:lineRule="auto"/>
      <w:ind w:firstLine="200"/>
    </w:pPr>
    <w:rPr>
      <w:rFonts w:ascii="ˎ̥" w:hAnsi="ˎ̥" w:cs="宋体"/>
      <w:b/>
      <w:szCs w:val="20"/>
    </w:rPr>
  </w:style>
  <w:style w:type="paragraph" w:customStyle="1" w:styleId="167">
    <w:name w:val=" Char Char Char Char Char Char Char Char Char Char Char Char Char Char Char Char"/>
    <w:basedOn w:val="1"/>
    <w:autoRedefine/>
    <w:qFormat/>
    <w:uiPriority w:val="0"/>
    <w:pPr>
      <w:widowControl/>
      <w:overflowPunct/>
      <w:topLinePunct w:val="0"/>
      <w:adjustRightInd/>
      <w:snapToGrid/>
      <w:spacing w:before="0" w:line="240" w:lineRule="auto"/>
      <w:ind w:firstLine="0" w:firstLineChars="0"/>
      <w:jc w:val="left"/>
    </w:pPr>
    <w:rPr>
      <w:rFonts w:ascii="Tahoma" w:hAnsi="Tahoma" w:cs="宋体"/>
      <w:sz w:val="24"/>
      <w:szCs w:val="20"/>
    </w:rPr>
  </w:style>
  <w:style w:type="paragraph" w:customStyle="1" w:styleId="168">
    <w:name w:val="xl61"/>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pPr>
    <w:rPr>
      <w:rFonts w:ascii="宋体" w:hAnsi="宋体"/>
      <w:sz w:val="12"/>
      <w:szCs w:val="20"/>
    </w:rPr>
  </w:style>
  <w:style w:type="paragraph" w:customStyle="1" w:styleId="169">
    <w:name w:val="xl11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hint="eastAsia" w:ascii="宋体" w:hAnsi="宋体"/>
      <w:b/>
      <w:bCs/>
      <w:color w:val="000000"/>
    </w:rPr>
  </w:style>
  <w:style w:type="paragraph" w:customStyle="1" w:styleId="170">
    <w:name w:val="font11"/>
    <w:basedOn w:val="1"/>
    <w:autoRedefine/>
    <w:qFormat/>
    <w:uiPriority w:val="0"/>
    <w:pPr>
      <w:widowControl/>
      <w:spacing w:before="100" w:beforeAutospacing="1" w:after="100" w:afterAutospacing="1"/>
      <w:jc w:val="left"/>
    </w:pPr>
    <w:rPr>
      <w:b/>
      <w:bCs/>
      <w:sz w:val="18"/>
      <w:szCs w:val="18"/>
    </w:rPr>
  </w:style>
  <w:style w:type="paragraph" w:customStyle="1" w:styleId="171">
    <w:name w:val="xl128"/>
    <w:basedOn w:val="1"/>
    <w:autoRedefine/>
    <w:qFormat/>
    <w:uiPriority w:val="0"/>
    <w:pPr>
      <w:widowControl/>
      <w:pBdr>
        <w:top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rFonts w:hint="eastAsia" w:ascii="宋体" w:hAnsi="宋体"/>
      <w:color w:val="000000"/>
    </w:rPr>
  </w:style>
  <w:style w:type="paragraph" w:customStyle="1" w:styleId="172">
    <w:name w:val="xl104"/>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00FF00"/>
      <w:spacing w:before="100" w:beforeAutospacing="1" w:after="100" w:afterAutospacing="1"/>
      <w:jc w:val="left"/>
    </w:pPr>
    <w:rPr>
      <w:rFonts w:hint="eastAsia" w:ascii="宋体" w:hAnsi="宋体"/>
      <w:color w:val="000000"/>
      <w:sz w:val="16"/>
      <w:szCs w:val="16"/>
    </w:rPr>
  </w:style>
  <w:style w:type="paragraph" w:customStyle="1" w:styleId="173">
    <w:name w:val="Char Char Char Char Char Char Char Char Char Char Char Char Char Char Char"/>
    <w:basedOn w:val="1"/>
    <w:autoRedefine/>
    <w:qFormat/>
    <w:uiPriority w:val="0"/>
    <w:rPr>
      <w:sz w:val="21"/>
    </w:rPr>
  </w:style>
  <w:style w:type="paragraph" w:customStyle="1" w:styleId="174">
    <w:name w:val="新标4"/>
    <w:basedOn w:val="1"/>
    <w:autoRedefine/>
    <w:qFormat/>
    <w:uiPriority w:val="0"/>
    <w:pPr>
      <w:overflowPunct/>
      <w:topLinePunct w:val="0"/>
      <w:adjustRightInd/>
      <w:snapToGrid/>
      <w:spacing w:before="0" w:line="240" w:lineRule="auto"/>
      <w:ind w:firstLine="0" w:firstLineChars="0"/>
      <w:outlineLvl w:val="3"/>
    </w:pPr>
    <w:rPr>
      <w:rFonts w:hAnsi="Times New Roman" w:eastAsia="仿宋_GB2312"/>
      <w:b/>
      <w:kern w:val="2"/>
    </w:rPr>
  </w:style>
  <w:style w:type="paragraph" w:customStyle="1" w:styleId="175">
    <w:name w:val="xl139"/>
    <w:basedOn w:val="1"/>
    <w:autoRedefine/>
    <w:qFormat/>
    <w:uiPriority w:val="0"/>
    <w:pPr>
      <w:widowControl/>
      <w:pBdr>
        <w:top w:val="single" w:color="auto" w:sz="4" w:space="0"/>
        <w:bottom w:val="single" w:color="auto" w:sz="4" w:space="0"/>
      </w:pBdr>
      <w:shd w:val="clear" w:color="auto" w:fill="FFFFFF"/>
      <w:spacing w:before="100" w:beforeAutospacing="1" w:after="100" w:afterAutospacing="1"/>
      <w:jc w:val="center"/>
    </w:pPr>
    <w:rPr>
      <w:color w:val="000000"/>
      <w:sz w:val="20"/>
      <w:szCs w:val="20"/>
    </w:rPr>
  </w:style>
  <w:style w:type="paragraph" w:customStyle="1" w:styleId="176">
    <w:name w:val="样式 四号 首行缩进:  0.74 厘米"/>
    <w:basedOn w:val="1"/>
    <w:autoRedefine/>
    <w:qFormat/>
    <w:uiPriority w:val="0"/>
    <w:pPr>
      <w:spacing w:line="360" w:lineRule="auto"/>
    </w:pPr>
    <w:rPr>
      <w:rFonts w:ascii="宋体" w:hAnsi="宋体"/>
      <w:color w:val="000000"/>
    </w:rPr>
  </w:style>
  <w:style w:type="paragraph" w:customStyle="1" w:styleId="177">
    <w:name w:val="xl49"/>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rPr>
  </w:style>
  <w:style w:type="paragraph" w:customStyle="1" w:styleId="178">
    <w:name w:val="普通正文"/>
    <w:basedOn w:val="1"/>
    <w:autoRedefine/>
    <w:qFormat/>
    <w:uiPriority w:val="0"/>
    <w:pPr>
      <w:spacing w:line="360" w:lineRule="auto"/>
      <w:ind w:firstLine="480"/>
    </w:pPr>
    <w:rPr>
      <w:rFonts w:ascii="宋体" w:hAnsi="宋体"/>
    </w:rPr>
  </w:style>
  <w:style w:type="paragraph" w:customStyle="1" w:styleId="179">
    <w:name w:val="样式 标题 3 + 小四"/>
    <w:basedOn w:val="5"/>
    <w:autoRedefine/>
    <w:qFormat/>
    <w:uiPriority w:val="0"/>
    <w:pPr>
      <w:spacing w:before="0" w:after="0" w:line="360" w:lineRule="auto"/>
    </w:pPr>
    <w:rPr>
      <w:rFonts w:ascii="宋体" w:hAnsi="宋体"/>
    </w:rPr>
  </w:style>
  <w:style w:type="paragraph" w:customStyle="1" w:styleId="180">
    <w:name w:val="Char2 Char Char Char Char Char Char Char Char Char Char Char Char Char Char Char Char Char Char"/>
    <w:basedOn w:val="1"/>
    <w:autoRedefine/>
    <w:semiHidden/>
    <w:qFormat/>
    <w:uiPriority w:val="0"/>
    <w:pPr>
      <w:ind w:firstLine="200"/>
    </w:pPr>
    <w:rPr>
      <w:rFonts w:cs="宋体"/>
      <w:szCs w:val="20"/>
    </w:rPr>
  </w:style>
  <w:style w:type="paragraph" w:customStyle="1" w:styleId="181">
    <w:name w:val="xl34"/>
    <w:basedOn w:val="1"/>
    <w:autoRedefine/>
    <w:qFormat/>
    <w:uiPriority w:val="0"/>
    <w:pPr>
      <w:widowControl/>
      <w:pBdr>
        <w:bottom w:val="single" w:color="auto" w:sz="4" w:space="0"/>
      </w:pBdr>
      <w:spacing w:before="100" w:beforeAutospacing="1" w:after="100" w:afterAutospacing="1"/>
      <w:jc w:val="center"/>
    </w:pPr>
    <w:rPr>
      <w:rFonts w:ascii="Arial Unicode MS" w:hAnsi="Arial Unicode MS"/>
    </w:rPr>
  </w:style>
  <w:style w:type="paragraph" w:customStyle="1" w:styleId="182">
    <w:name w:val="xl86"/>
    <w:basedOn w:val="1"/>
    <w:autoRedefine/>
    <w:qFormat/>
    <w:uiPriority w:val="0"/>
    <w:pPr>
      <w:widowControl/>
      <w:pBdr>
        <w:top w:val="single" w:color="auto" w:sz="4" w:space="0"/>
      </w:pBdr>
      <w:spacing w:before="100" w:beforeAutospacing="1" w:after="100" w:afterAutospacing="1"/>
      <w:jc w:val="center"/>
    </w:pPr>
    <w:rPr>
      <w:color w:val="000000"/>
      <w:sz w:val="16"/>
      <w:szCs w:val="16"/>
    </w:rPr>
  </w:style>
  <w:style w:type="paragraph" w:customStyle="1" w:styleId="183">
    <w:name w:val="样式 宋体 四号 左侧:  0.04 厘米 首行缩进:  1.13 厘米 右侧:  0.01 厘米 行距: 固定值 2..."/>
    <w:basedOn w:val="1"/>
    <w:autoRedefine/>
    <w:qFormat/>
    <w:uiPriority w:val="0"/>
    <w:pPr>
      <w:ind w:left="23" w:right="6" w:firstLine="641"/>
    </w:pPr>
    <w:rPr>
      <w:rFonts w:ascii="宋体" w:hAnsi="宋体" w:cs="宋体"/>
      <w:sz w:val="21"/>
    </w:rPr>
  </w:style>
  <w:style w:type="paragraph" w:customStyle="1" w:styleId="184">
    <w:name w:val=" Char1 Char Char Char Char Char1 Char Char Char Char Char Char Char Char Char Char Char Char1 Char"/>
    <w:basedOn w:val="1"/>
    <w:autoRedefine/>
    <w:qFormat/>
    <w:uiPriority w:val="0"/>
    <w:pPr>
      <w:overflowPunct/>
      <w:topLinePunct w:val="0"/>
      <w:adjustRightInd/>
      <w:snapToGrid/>
      <w:spacing w:before="0" w:line="240" w:lineRule="auto"/>
      <w:ind w:firstLine="0" w:firstLineChars="0"/>
    </w:pPr>
    <w:rPr>
      <w:rFonts w:ascii="宋体" w:hAnsi="Times New Roman" w:eastAsia="仿宋_GB2312"/>
      <w:kern w:val="2"/>
      <w:szCs w:val="24"/>
    </w:rPr>
  </w:style>
  <w:style w:type="paragraph" w:customStyle="1" w:styleId="185">
    <w:name w:val="标题一"/>
    <w:basedOn w:val="1"/>
    <w:autoRedefine/>
    <w:qFormat/>
    <w:uiPriority w:val="0"/>
    <w:pPr>
      <w:tabs>
        <w:tab w:val="left" w:pos="1260"/>
      </w:tabs>
      <w:jc w:val="center"/>
    </w:pPr>
    <w:rPr>
      <w:rFonts w:eastAsia="黑体"/>
      <w:sz w:val="28"/>
      <w:szCs w:val="28"/>
    </w:rPr>
  </w:style>
  <w:style w:type="paragraph" w:customStyle="1" w:styleId="186">
    <w:name w:val="xl7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hint="eastAsia" w:ascii="宋体" w:hAnsi="宋体"/>
      <w:b/>
      <w:bCs/>
      <w:color w:val="000000"/>
      <w:sz w:val="16"/>
      <w:szCs w:val="16"/>
    </w:rPr>
  </w:style>
  <w:style w:type="paragraph" w:customStyle="1" w:styleId="187">
    <w:name w:val="xl43"/>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Arial Unicode MS" w:hAnsi="Arial Unicode MS"/>
    </w:rPr>
  </w:style>
  <w:style w:type="paragraph" w:customStyle="1" w:styleId="188">
    <w:name w:val="样式 (西文) 仿宋_GB2312 黑色1"/>
    <w:basedOn w:val="1"/>
    <w:autoRedefine/>
    <w:qFormat/>
    <w:uiPriority w:val="0"/>
    <w:pPr>
      <w:ind w:firstLine="196" w:firstLineChars="196"/>
    </w:pPr>
    <w:rPr>
      <w:rFonts w:cs="宋体"/>
      <w:color w:val="000000"/>
      <w:sz w:val="21"/>
      <w:szCs w:val="20"/>
    </w:rPr>
  </w:style>
  <w:style w:type="paragraph" w:customStyle="1" w:styleId="189">
    <w:name w:val="样式 宋体 四号 行距: 固定值 26 磅 首行缩进:  1.92 字符"/>
    <w:basedOn w:val="1"/>
    <w:autoRedefine/>
    <w:qFormat/>
    <w:uiPriority w:val="0"/>
    <w:pPr>
      <w:ind w:firstLine="538" w:firstLineChars="192"/>
    </w:pPr>
    <w:rPr>
      <w:rFonts w:cs="宋体"/>
    </w:rPr>
  </w:style>
  <w:style w:type="paragraph" w:customStyle="1" w:styleId="190">
    <w:name w:val="Char2 Char Char Char"/>
    <w:basedOn w:val="1"/>
    <w:autoRedefine/>
    <w:semiHidden/>
    <w:qFormat/>
    <w:uiPriority w:val="0"/>
    <w:pPr>
      <w:ind w:firstLine="200"/>
    </w:pPr>
    <w:rPr>
      <w:rFonts w:cs="宋体"/>
      <w:b/>
      <w:szCs w:val="20"/>
    </w:rPr>
  </w:style>
  <w:style w:type="paragraph" w:customStyle="1" w:styleId="191">
    <w:name w:val="font0"/>
    <w:basedOn w:val="1"/>
    <w:autoRedefine/>
    <w:qFormat/>
    <w:uiPriority w:val="0"/>
    <w:pPr>
      <w:widowControl/>
      <w:spacing w:before="100" w:beforeAutospacing="1" w:after="100" w:afterAutospacing="1"/>
      <w:jc w:val="left"/>
    </w:pPr>
    <w:rPr>
      <w:rFonts w:hint="eastAsia" w:ascii="宋体" w:hAnsi="宋体"/>
    </w:rPr>
  </w:style>
  <w:style w:type="paragraph" w:customStyle="1" w:styleId="192">
    <w:name w:val="xl8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hint="eastAsia" w:ascii="宋体" w:hAnsi="宋体"/>
      <w:color w:val="FF0000"/>
      <w:sz w:val="16"/>
      <w:szCs w:val="16"/>
    </w:rPr>
  </w:style>
  <w:style w:type="paragraph" w:customStyle="1" w:styleId="193">
    <w:name w:val="样式 首行缩进:  0.85 厘米"/>
    <w:basedOn w:val="1"/>
    <w:autoRedefine/>
    <w:qFormat/>
    <w:uiPriority w:val="0"/>
    <w:pPr>
      <w:ind w:firstLine="482"/>
    </w:pPr>
    <w:rPr>
      <w:rFonts w:cs="宋体"/>
      <w:sz w:val="21"/>
      <w:szCs w:val="20"/>
    </w:rPr>
  </w:style>
  <w:style w:type="paragraph" w:customStyle="1" w:styleId="194">
    <w:name w:val="样式 标题 3 + 左侧:  0 厘米 首行缩进:  0 厘米"/>
    <w:basedOn w:val="5"/>
    <w:autoRedefine/>
    <w:qFormat/>
    <w:uiPriority w:val="0"/>
    <w:pPr>
      <w:spacing w:line="360" w:lineRule="auto"/>
    </w:pPr>
    <w:rPr>
      <w:rFonts w:cs="宋体"/>
      <w:szCs w:val="20"/>
    </w:rPr>
  </w:style>
  <w:style w:type="paragraph" w:customStyle="1" w:styleId="195">
    <w:name w:val="xl120"/>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hint="eastAsia" w:ascii="宋体" w:hAnsi="宋体"/>
      <w:b/>
      <w:bCs/>
      <w:color w:val="000000"/>
    </w:rPr>
  </w:style>
  <w:style w:type="paragraph" w:customStyle="1" w:styleId="196">
    <w:name w:val="Char Char Char12"/>
    <w:basedOn w:val="1"/>
    <w:autoRedefine/>
    <w:qFormat/>
    <w:uiPriority w:val="0"/>
    <w:rPr>
      <w:rFonts w:ascii="黑体"/>
      <w:b/>
      <w:sz w:val="21"/>
    </w:rPr>
  </w:style>
  <w:style w:type="paragraph" w:customStyle="1" w:styleId="197">
    <w:name w:val="图表"/>
    <w:basedOn w:val="1"/>
    <w:autoRedefine/>
    <w:qFormat/>
    <w:uiPriority w:val="0"/>
    <w:pPr>
      <w:spacing w:before="0"/>
      <w:ind w:firstLine="568" w:firstLineChars="200"/>
    </w:pPr>
    <w:rPr>
      <w:rFonts w:eastAsia="黑体"/>
    </w:rPr>
  </w:style>
  <w:style w:type="paragraph" w:customStyle="1" w:styleId="198">
    <w:name w:val="xl7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hint="eastAsia" w:ascii="宋体" w:hAnsi="宋体"/>
      <w:color w:val="FF0000"/>
      <w:sz w:val="16"/>
      <w:szCs w:val="16"/>
    </w:rPr>
  </w:style>
  <w:style w:type="paragraph" w:customStyle="1" w:styleId="199">
    <w:name w:val="样式 标题3 + 首行缩进:  2 字符"/>
    <w:basedOn w:val="200"/>
    <w:autoRedefine/>
    <w:qFormat/>
    <w:uiPriority w:val="0"/>
    <w:pPr>
      <w:adjustRightInd/>
      <w:outlineLvl w:val="9"/>
    </w:pPr>
    <w:rPr>
      <w:rFonts w:cs="宋体"/>
      <w:bCs w:val="0"/>
      <w:szCs w:val="20"/>
    </w:rPr>
  </w:style>
  <w:style w:type="paragraph" w:customStyle="1" w:styleId="200">
    <w:name w:val="标题3"/>
    <w:basedOn w:val="4"/>
    <w:autoRedefine/>
    <w:qFormat/>
    <w:uiPriority w:val="0"/>
    <w:pPr>
      <w:spacing w:line="360" w:lineRule="auto"/>
      <w:outlineLvl w:val="2"/>
    </w:pPr>
    <w:rPr>
      <w:rFonts w:ascii="宋体" w:hAnsi="宋体"/>
      <w:shd w:val="clear" w:color="auto" w:fill="FFFFFF"/>
    </w:rPr>
  </w:style>
  <w:style w:type="paragraph" w:customStyle="1" w:styleId="201">
    <w:name w:val="Char1"/>
    <w:basedOn w:val="1"/>
    <w:autoRedefine/>
    <w:qFormat/>
    <w:uiPriority w:val="0"/>
    <w:pPr>
      <w:widowControl/>
      <w:spacing w:after="160" w:line="240" w:lineRule="exact"/>
      <w:ind w:firstLine="200"/>
      <w:jc w:val="left"/>
    </w:pPr>
    <w:rPr>
      <w:rFonts w:ascii="Verdana" w:hAnsi="Verdana" w:eastAsia="楷体_GB2312"/>
      <w:b/>
      <w:i/>
      <w:iCs/>
      <w:color w:val="000000"/>
      <w:sz w:val="20"/>
      <w:szCs w:val="20"/>
      <w:lang w:eastAsia="en-US"/>
    </w:rPr>
  </w:style>
  <w:style w:type="paragraph" w:customStyle="1" w:styleId="202">
    <w:name w:val="xl55"/>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textAlignment w:val="center"/>
    </w:pPr>
    <w:rPr>
      <w:rFonts w:ascii="宋体" w:hAnsi="宋体"/>
      <w:sz w:val="12"/>
      <w:szCs w:val="20"/>
    </w:rPr>
  </w:style>
  <w:style w:type="paragraph" w:customStyle="1" w:styleId="203">
    <w:name w:val="xl70"/>
    <w:basedOn w:val="1"/>
    <w:autoRedefine/>
    <w:qFormat/>
    <w:uiPriority w:val="0"/>
    <w:pPr>
      <w:widowControl/>
      <w:pBdr>
        <w:right w:val="single" w:color="auto" w:sz="4" w:space="0"/>
      </w:pBdr>
      <w:spacing w:before="100" w:beforeAutospacing="1" w:after="100" w:afterAutospacing="1"/>
      <w:jc w:val="left"/>
    </w:pPr>
    <w:rPr>
      <w:rFonts w:hint="eastAsia" w:ascii="宋体" w:hAnsi="宋体"/>
      <w:color w:val="000000"/>
      <w:sz w:val="16"/>
      <w:szCs w:val="16"/>
    </w:rPr>
  </w:style>
  <w:style w:type="paragraph" w:customStyle="1" w:styleId="204">
    <w:name w:val="xl130"/>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宋体" w:hAnsi="宋体"/>
      <w:color w:val="000000"/>
    </w:rPr>
  </w:style>
  <w:style w:type="paragraph" w:customStyle="1" w:styleId="205">
    <w:name w:val="帮助_表格_正文"/>
    <w:basedOn w:val="1"/>
    <w:autoRedefine/>
    <w:qFormat/>
    <w:uiPriority w:val="0"/>
    <w:pPr>
      <w:widowControl/>
      <w:adjustRightInd/>
      <w:snapToGrid/>
      <w:spacing w:before="100" w:beforeAutospacing="1" w:after="100" w:afterAutospacing="1" w:line="240" w:lineRule="auto"/>
      <w:ind w:firstLine="0" w:firstLineChars="0"/>
      <w:jc w:val="left"/>
    </w:pPr>
    <w:rPr>
      <w:rFonts w:ascii="宋体" w:hAnsi="宋体" w:eastAsia="宋体" w:cs="宋体"/>
    </w:rPr>
  </w:style>
  <w:style w:type="paragraph" w:customStyle="1" w:styleId="206">
    <w:name w:val="xl51"/>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Arial Unicode MS" w:hAnsi="Arial Unicode MS"/>
    </w:rPr>
  </w:style>
  <w:style w:type="paragraph" w:customStyle="1" w:styleId="207">
    <w:name w:val="样式 表格 + 首行缩进:  2 字符"/>
    <w:basedOn w:val="85"/>
    <w:autoRedefine/>
    <w:qFormat/>
    <w:uiPriority w:val="0"/>
    <w:pPr>
      <w:adjustRightInd w:val="0"/>
      <w:snapToGrid w:val="0"/>
      <w:spacing w:line="240" w:lineRule="auto"/>
      <w:ind w:left="0" w:leftChars="0" w:firstLine="0" w:firstLineChars="0"/>
    </w:pPr>
    <w:rPr>
      <w:rFonts w:ascii="黑体" w:eastAsia="黑体"/>
      <w:bCs w:val="0"/>
      <w:color w:val="000000"/>
      <w:kern w:val="0"/>
      <w:sz w:val="18"/>
      <w:szCs w:val="20"/>
    </w:rPr>
  </w:style>
  <w:style w:type="paragraph" w:customStyle="1" w:styleId="208">
    <w:name w:val="Char Char Char1"/>
    <w:basedOn w:val="1"/>
    <w:autoRedefine/>
    <w:qFormat/>
    <w:uiPriority w:val="0"/>
    <w:pPr>
      <w:spacing w:line="360" w:lineRule="auto"/>
    </w:pPr>
    <w:rPr>
      <w:sz w:val="21"/>
    </w:rPr>
  </w:style>
  <w:style w:type="paragraph" w:customStyle="1" w:styleId="209">
    <w:name w:val="xl8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hint="eastAsia" w:ascii="宋体" w:hAnsi="宋体"/>
      <w:sz w:val="16"/>
      <w:szCs w:val="16"/>
    </w:rPr>
  </w:style>
  <w:style w:type="paragraph" w:customStyle="1" w:styleId="210">
    <w:name w:val="样式 宋体 四号 段前: 0.1 磅 行距: 固定值 26 磅"/>
    <w:basedOn w:val="1"/>
    <w:autoRedefine/>
    <w:qFormat/>
    <w:uiPriority w:val="0"/>
    <w:pPr>
      <w:spacing w:before="2"/>
      <w:ind w:left="2" w:leftChars="2"/>
    </w:pPr>
    <w:rPr>
      <w:rFonts w:ascii="宋体" w:hAnsi="宋体" w:cs="宋体"/>
      <w:sz w:val="21"/>
    </w:rPr>
  </w:style>
  <w:style w:type="paragraph" w:customStyle="1" w:styleId="211">
    <w:name w:val="xl50"/>
    <w:basedOn w:val="1"/>
    <w:autoRedefine/>
    <w:qFormat/>
    <w:uiPriority w:val="0"/>
    <w:pPr>
      <w:widowControl/>
      <w:spacing w:before="100" w:beforeAutospacing="1" w:after="100" w:afterAutospacing="1"/>
      <w:jc w:val="left"/>
      <w:textAlignment w:val="center"/>
    </w:pPr>
    <w:rPr>
      <w:rFonts w:ascii="Arial Unicode MS" w:hAnsi="Arial Unicode MS"/>
      <w:sz w:val="28"/>
      <w:szCs w:val="28"/>
    </w:rPr>
  </w:style>
  <w:style w:type="paragraph" w:customStyle="1" w:styleId="212">
    <w:name w:val="样式 标题 2标题 21标题 2 Char Char Char Char标题 2 Char Char CharH2He..."/>
    <w:basedOn w:val="4"/>
    <w:autoRedefine/>
    <w:qFormat/>
    <w:uiPriority w:val="0"/>
    <w:pPr>
      <w:spacing w:line="360" w:lineRule="auto"/>
    </w:pPr>
    <w:rPr>
      <w:szCs w:val="20"/>
    </w:rPr>
  </w:style>
  <w:style w:type="paragraph" w:customStyle="1" w:styleId="213">
    <w:name w:val="Char2 Char Char Char1 Char Char Char"/>
    <w:basedOn w:val="1"/>
    <w:autoRedefine/>
    <w:semiHidden/>
    <w:qFormat/>
    <w:uiPriority w:val="0"/>
    <w:pPr>
      <w:spacing w:line="360" w:lineRule="auto"/>
      <w:ind w:firstLine="200"/>
    </w:pPr>
    <w:rPr>
      <w:rFonts w:ascii="ˎ̥" w:hAnsi="ˎ̥" w:cs="宋体"/>
      <w:b/>
      <w:szCs w:val="20"/>
    </w:rPr>
  </w:style>
  <w:style w:type="paragraph" w:customStyle="1" w:styleId="214">
    <w:name w:val="xl132"/>
    <w:basedOn w:val="1"/>
    <w:autoRedefine/>
    <w:qFormat/>
    <w:uiPriority w:val="0"/>
    <w:pPr>
      <w:widowControl/>
      <w:pBdr>
        <w:top w:val="single" w:color="auto" w:sz="4" w:space="0"/>
        <w:left w:val="single" w:color="auto" w:sz="4" w:space="0"/>
        <w:right w:val="single" w:color="auto" w:sz="4" w:space="0"/>
      </w:pBdr>
      <w:shd w:val="clear" w:color="auto" w:fill="FFFFFF"/>
      <w:spacing w:before="100" w:beforeAutospacing="1" w:after="100" w:afterAutospacing="1"/>
      <w:jc w:val="center"/>
    </w:pPr>
    <w:rPr>
      <w:rFonts w:ascii="宋体" w:hAnsi="宋体"/>
      <w:color w:val="000000"/>
      <w:sz w:val="20"/>
      <w:szCs w:val="20"/>
    </w:rPr>
  </w:style>
  <w:style w:type="paragraph" w:customStyle="1" w:styleId="215">
    <w:name w:val="xl72"/>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hint="eastAsia" w:ascii="宋体" w:hAnsi="宋体"/>
      <w:sz w:val="16"/>
      <w:szCs w:val="16"/>
    </w:rPr>
  </w:style>
  <w:style w:type="paragraph" w:customStyle="1" w:styleId="216">
    <w:name w:val="Char Char Char Char"/>
    <w:basedOn w:val="1"/>
    <w:autoRedefine/>
    <w:qFormat/>
    <w:uiPriority w:val="0"/>
    <w:rPr>
      <w:rFonts w:ascii="黑体" w:hAnsi="宋体"/>
      <w:b/>
      <w:sz w:val="28"/>
      <w:szCs w:val="28"/>
    </w:rPr>
  </w:style>
  <w:style w:type="paragraph" w:customStyle="1" w:styleId="217">
    <w:name w:val="xl33"/>
    <w:basedOn w:val="1"/>
    <w:autoRedefine/>
    <w:qFormat/>
    <w:uiPriority w:val="0"/>
    <w:pPr>
      <w:widowControl/>
      <w:spacing w:before="100" w:beforeAutospacing="1" w:after="100" w:afterAutospacing="1"/>
      <w:jc w:val="center"/>
    </w:pPr>
    <w:rPr>
      <w:rFonts w:hint="eastAsia" w:ascii="黑体" w:hAnsi="宋体" w:eastAsia="黑体"/>
    </w:rPr>
  </w:style>
  <w:style w:type="paragraph" w:customStyle="1" w:styleId="218">
    <w:name w:val="样式 标题 3 + 黑体 小四 非加粗"/>
    <w:basedOn w:val="5"/>
    <w:autoRedefine/>
    <w:qFormat/>
    <w:uiPriority w:val="0"/>
    <w:pPr>
      <w:spacing w:before="0" w:after="0" w:line="360" w:lineRule="auto"/>
    </w:pPr>
    <w:rPr>
      <w:rFonts w:hAnsi="黑体"/>
      <w:bCs w:val="0"/>
    </w:rPr>
  </w:style>
  <w:style w:type="paragraph" w:customStyle="1" w:styleId="219">
    <w:name w:val="font14"/>
    <w:basedOn w:val="1"/>
    <w:autoRedefine/>
    <w:qFormat/>
    <w:uiPriority w:val="0"/>
    <w:pPr>
      <w:widowControl/>
      <w:spacing w:before="100" w:beforeAutospacing="1" w:after="100" w:afterAutospacing="1"/>
      <w:jc w:val="left"/>
    </w:pPr>
    <w:rPr>
      <w:b/>
      <w:bCs/>
      <w:color w:val="000000"/>
      <w:sz w:val="16"/>
      <w:szCs w:val="16"/>
    </w:rPr>
  </w:style>
  <w:style w:type="paragraph" w:customStyle="1" w:styleId="220">
    <w:name w:val="xl3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sz w:val="20"/>
      <w:szCs w:val="20"/>
    </w:rPr>
  </w:style>
  <w:style w:type="paragraph" w:customStyle="1" w:styleId="221">
    <w:name w:val="Char Char Char1 Char Char Char Char Char Char Char Char Char Char Char Char Char"/>
    <w:basedOn w:val="1"/>
    <w:autoRedefine/>
    <w:qFormat/>
    <w:uiPriority w:val="0"/>
    <w:pPr>
      <w:overflowPunct/>
      <w:topLinePunct w:val="0"/>
      <w:adjustRightInd/>
      <w:snapToGrid/>
      <w:spacing w:before="0" w:line="360" w:lineRule="auto"/>
      <w:ind w:firstLine="200" w:firstLineChars="200"/>
    </w:pPr>
    <w:rPr>
      <w:rFonts w:hAnsi="Times New Roman" w:cs="宋体"/>
      <w:b/>
      <w:sz w:val="24"/>
      <w:szCs w:val="20"/>
    </w:rPr>
  </w:style>
  <w:style w:type="paragraph" w:customStyle="1" w:styleId="222">
    <w:name w:val="font5"/>
    <w:basedOn w:val="1"/>
    <w:autoRedefine/>
    <w:qFormat/>
    <w:uiPriority w:val="0"/>
    <w:pPr>
      <w:widowControl/>
      <w:spacing w:before="100" w:beforeAutospacing="1" w:after="100" w:afterAutospacing="1"/>
      <w:jc w:val="left"/>
    </w:pPr>
    <w:rPr>
      <w:rFonts w:hint="eastAsia" w:ascii="宋体" w:hAnsi="宋体"/>
      <w:sz w:val="18"/>
      <w:szCs w:val="18"/>
    </w:rPr>
  </w:style>
  <w:style w:type="paragraph" w:customStyle="1" w:styleId="223">
    <w:name w:val="样式 宋体 四号 首行缩进:  1.13 厘米 行距: 固定值 26 磅"/>
    <w:basedOn w:val="1"/>
    <w:autoRedefine/>
    <w:qFormat/>
    <w:uiPriority w:val="0"/>
    <w:pPr>
      <w:ind w:firstLine="641"/>
    </w:pPr>
    <w:rPr>
      <w:rFonts w:ascii="宋体" w:hAnsi="宋体" w:cs="宋体"/>
      <w:sz w:val="21"/>
    </w:rPr>
  </w:style>
  <w:style w:type="paragraph" w:customStyle="1" w:styleId="224">
    <w:name w:val="样式 四号 行距: 固定值 26 磅 首行缩进:  1.92 字符"/>
    <w:basedOn w:val="1"/>
    <w:autoRedefine/>
    <w:qFormat/>
    <w:uiPriority w:val="0"/>
    <w:pPr>
      <w:spacing w:line="360" w:lineRule="auto"/>
      <w:ind w:firstLine="192" w:firstLineChars="192"/>
    </w:pPr>
    <w:rPr>
      <w:rFonts w:cs="宋体"/>
    </w:rPr>
  </w:style>
  <w:style w:type="paragraph" w:customStyle="1" w:styleId="225">
    <w:name w:val="xl11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hint="eastAsia" w:ascii="宋体" w:hAnsi="宋体"/>
      <w:color w:val="000000"/>
    </w:rPr>
  </w:style>
  <w:style w:type="paragraph" w:customStyle="1" w:styleId="226">
    <w:name w:val="样式 目录 1 + 段前: 0 磅 段后: 0 磅 行距: 多倍行距 1.25 字行1"/>
    <w:basedOn w:val="30"/>
    <w:autoRedefine/>
    <w:qFormat/>
    <w:uiPriority w:val="0"/>
    <w:pPr>
      <w:spacing w:line="300" w:lineRule="auto"/>
      <w:jc w:val="both"/>
    </w:pPr>
    <w:rPr>
      <w:rFonts w:cs="宋体"/>
    </w:rPr>
  </w:style>
  <w:style w:type="paragraph" w:customStyle="1" w:styleId="227">
    <w:name w:val="样式 标题 1 + 首行缩进:  2 字符"/>
    <w:basedOn w:val="3"/>
    <w:autoRedefine/>
    <w:qFormat/>
    <w:uiPriority w:val="0"/>
    <w:pPr>
      <w:keepLines/>
      <w:spacing w:line="360" w:lineRule="auto"/>
      <w:ind w:firstLine="200" w:firstLineChars="200"/>
      <w:jc w:val="both"/>
    </w:pPr>
    <w:rPr>
      <w:rFonts w:cs="宋体"/>
      <w:sz w:val="28"/>
      <w:szCs w:val="20"/>
    </w:rPr>
  </w:style>
  <w:style w:type="paragraph" w:customStyle="1" w:styleId="228">
    <w:name w:val="xl85"/>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hint="eastAsia" w:ascii="宋体" w:hAnsi="宋体"/>
      <w:color w:val="000000"/>
      <w:sz w:val="16"/>
      <w:szCs w:val="16"/>
    </w:rPr>
  </w:style>
  <w:style w:type="paragraph" w:customStyle="1" w:styleId="229">
    <w:name w:val="样式 标题 2 + 小四"/>
    <w:basedOn w:val="4"/>
    <w:autoRedefine/>
    <w:qFormat/>
    <w:uiPriority w:val="0"/>
    <w:pPr>
      <w:spacing w:line="360" w:lineRule="auto"/>
    </w:pPr>
    <w:rPr>
      <w:sz w:val="24"/>
      <w:shd w:val="clear" w:color="auto" w:fill="FFFFFF"/>
    </w:rPr>
  </w:style>
  <w:style w:type="paragraph" w:customStyle="1" w:styleId="230">
    <w:name w:val="xl124"/>
    <w:basedOn w:val="1"/>
    <w:autoRedefine/>
    <w:qFormat/>
    <w:uiPriority w:val="0"/>
    <w:pPr>
      <w:widowControl/>
      <w:pBdr>
        <w:bottom w:val="single" w:color="auto" w:sz="4" w:space="0"/>
        <w:right w:val="single" w:color="auto" w:sz="4" w:space="0"/>
      </w:pBdr>
      <w:shd w:val="clear" w:color="auto" w:fill="FFFFFF"/>
      <w:spacing w:before="100" w:beforeAutospacing="1" w:after="100" w:afterAutospacing="1"/>
      <w:jc w:val="left"/>
      <w:textAlignment w:val="center"/>
    </w:pPr>
    <w:rPr>
      <w:rFonts w:hint="eastAsia" w:ascii="宋体" w:hAnsi="宋体"/>
      <w:color w:val="000000"/>
    </w:rPr>
  </w:style>
  <w:style w:type="paragraph" w:customStyle="1" w:styleId="231">
    <w:name w:val="样式 标题 1 + 加粗 行距: 1.5 倍行距"/>
    <w:basedOn w:val="3"/>
    <w:autoRedefine/>
    <w:qFormat/>
    <w:uiPriority w:val="0"/>
    <w:pPr>
      <w:jc w:val="both"/>
    </w:pPr>
    <w:rPr>
      <w:rFonts w:ascii="黑体" w:hAnsi="宋体" w:cs="宋体"/>
      <w:szCs w:val="20"/>
    </w:rPr>
  </w:style>
  <w:style w:type="paragraph" w:customStyle="1" w:styleId="232">
    <w:name w:val="font9"/>
    <w:basedOn w:val="1"/>
    <w:autoRedefine/>
    <w:qFormat/>
    <w:uiPriority w:val="0"/>
    <w:pPr>
      <w:widowControl/>
      <w:spacing w:before="100" w:beforeAutospacing="1" w:after="100" w:afterAutospacing="1"/>
      <w:jc w:val="left"/>
    </w:pPr>
    <w:rPr>
      <w:rFonts w:hint="eastAsia" w:ascii="宋体" w:hAnsi="宋体"/>
      <w:sz w:val="16"/>
      <w:szCs w:val="16"/>
    </w:rPr>
  </w:style>
  <w:style w:type="paragraph" w:customStyle="1" w:styleId="233">
    <w:name w:val="2"/>
    <w:basedOn w:val="1"/>
    <w:next w:val="18"/>
    <w:autoRedefine/>
    <w:qFormat/>
    <w:uiPriority w:val="0"/>
    <w:rPr>
      <w:color w:val="000000"/>
    </w:rPr>
  </w:style>
  <w:style w:type="paragraph" w:customStyle="1" w:styleId="234">
    <w:name w:val="样式 黑色 行距: 1.5 倍行距"/>
    <w:basedOn w:val="1"/>
    <w:autoRedefine/>
    <w:qFormat/>
    <w:uiPriority w:val="0"/>
    <w:rPr>
      <w:rFonts w:cs="宋体"/>
      <w:color w:val="000000"/>
      <w:sz w:val="21"/>
    </w:rPr>
  </w:style>
  <w:style w:type="paragraph" w:customStyle="1" w:styleId="235">
    <w:name w:val="编写校核等"/>
    <w:basedOn w:val="1"/>
    <w:autoRedefine/>
    <w:qFormat/>
    <w:uiPriority w:val="0"/>
    <w:pPr>
      <w:adjustRightInd/>
      <w:snapToGrid/>
      <w:spacing w:line="240" w:lineRule="auto"/>
      <w:ind w:firstLine="1799" w:firstLineChars="640"/>
    </w:pPr>
    <w:rPr>
      <w:rFonts w:ascii="Times New Roman" w:eastAsia="宋体" w:cs="宋体"/>
      <w:b/>
      <w:bCs/>
      <w:kern w:val="2"/>
      <w:sz w:val="28"/>
      <w:szCs w:val="20"/>
    </w:rPr>
  </w:style>
  <w:style w:type="paragraph" w:customStyle="1" w:styleId="236">
    <w:name w:val="xl74"/>
    <w:basedOn w:val="1"/>
    <w:autoRedefine/>
    <w:qFormat/>
    <w:uiPriority w:val="0"/>
    <w:pPr>
      <w:widowControl/>
      <w:pBdr>
        <w:top w:val="single" w:color="auto" w:sz="4" w:space="0"/>
        <w:left w:val="single" w:color="auto" w:sz="4" w:space="20"/>
        <w:bottom w:val="single" w:color="auto" w:sz="4" w:space="0"/>
        <w:right w:val="single" w:color="auto" w:sz="4" w:space="0"/>
      </w:pBdr>
      <w:spacing w:before="100" w:beforeAutospacing="1" w:after="100" w:afterAutospacing="1"/>
      <w:ind w:firstLine="100" w:firstLineChars="100"/>
      <w:jc w:val="left"/>
    </w:pPr>
    <w:rPr>
      <w:rFonts w:hint="eastAsia" w:ascii="宋体" w:hAnsi="宋体"/>
      <w:color w:val="000000"/>
      <w:sz w:val="16"/>
      <w:szCs w:val="16"/>
    </w:rPr>
  </w:style>
  <w:style w:type="paragraph" w:customStyle="1" w:styleId="237">
    <w:name w:val="xl3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sz w:val="18"/>
      <w:szCs w:val="18"/>
    </w:rPr>
  </w:style>
  <w:style w:type="paragraph" w:customStyle="1" w:styleId="238">
    <w:name w:val="样式 标题 3 + 加粗 黑色"/>
    <w:basedOn w:val="5"/>
    <w:autoRedefine/>
    <w:qFormat/>
    <w:uiPriority w:val="0"/>
    <w:pPr>
      <w:spacing w:before="0" w:after="0" w:line="360" w:lineRule="auto"/>
    </w:pPr>
    <w:rPr>
      <w:rFonts w:ascii="宋体" w:hAnsi="宋体"/>
      <w:color w:val="000000"/>
    </w:rPr>
  </w:style>
  <w:style w:type="paragraph" w:customStyle="1" w:styleId="239">
    <w:name w:val="公式"/>
    <w:basedOn w:val="1"/>
    <w:autoRedefine/>
    <w:qFormat/>
    <w:uiPriority w:val="0"/>
    <w:pPr>
      <w:spacing w:line="440" w:lineRule="exact"/>
      <w:ind w:firstLine="800" w:firstLineChars="800"/>
    </w:pPr>
    <w:rPr>
      <w:szCs w:val="20"/>
    </w:rPr>
  </w:style>
  <w:style w:type="paragraph" w:customStyle="1" w:styleId="240">
    <w:name w:val="xl80"/>
    <w:basedOn w:val="1"/>
    <w:autoRedefine/>
    <w:qFormat/>
    <w:uiPriority w:val="0"/>
    <w:pPr>
      <w:widowControl/>
      <w:pBdr>
        <w:top w:val="single" w:color="auto" w:sz="4" w:space="0"/>
      </w:pBdr>
      <w:spacing w:before="100" w:beforeAutospacing="1" w:after="100" w:afterAutospacing="1"/>
      <w:jc w:val="center"/>
    </w:pPr>
    <w:rPr>
      <w:color w:val="000000"/>
      <w:sz w:val="16"/>
      <w:szCs w:val="16"/>
    </w:rPr>
  </w:style>
  <w:style w:type="paragraph" w:customStyle="1" w:styleId="241">
    <w:name w:val="公图名"/>
    <w:basedOn w:val="1"/>
    <w:autoRedefine/>
    <w:qFormat/>
    <w:uiPriority w:val="0"/>
    <w:pPr>
      <w:spacing w:beforeLines="50"/>
      <w:jc w:val="center"/>
    </w:pPr>
    <w:rPr>
      <w:rFonts w:ascii="黑体" w:hAnsi="宋体" w:eastAsia="黑体"/>
      <w:szCs w:val="16"/>
    </w:rPr>
  </w:style>
  <w:style w:type="paragraph" w:customStyle="1" w:styleId="242">
    <w:name w:val="样式 四号 首行缩进:  1.05 厘米"/>
    <w:basedOn w:val="1"/>
    <w:autoRedefine/>
    <w:qFormat/>
    <w:uiPriority w:val="0"/>
    <w:pPr>
      <w:spacing w:line="360" w:lineRule="auto"/>
      <w:ind w:firstLine="595"/>
    </w:pPr>
    <w:rPr>
      <w:rFonts w:cs="宋体"/>
      <w:szCs w:val="20"/>
    </w:rPr>
  </w:style>
  <w:style w:type="paragraph" w:customStyle="1" w:styleId="243">
    <w:name w:val="xl8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000000"/>
      <w:sz w:val="16"/>
      <w:szCs w:val="16"/>
    </w:rPr>
  </w:style>
  <w:style w:type="paragraph" w:customStyle="1" w:styleId="244">
    <w:name w:val="xl73"/>
    <w:basedOn w:val="1"/>
    <w:autoRedefine/>
    <w:qFormat/>
    <w:uiPriority w:val="0"/>
    <w:pPr>
      <w:widowControl/>
      <w:pBdr>
        <w:bottom w:val="single" w:color="auto" w:sz="4" w:space="0"/>
      </w:pBdr>
      <w:shd w:val="clear" w:color="auto" w:fill="FFFFFF"/>
      <w:spacing w:before="100" w:beforeAutospacing="1" w:after="100" w:afterAutospacing="1"/>
      <w:jc w:val="center"/>
    </w:pPr>
    <w:rPr>
      <w:rFonts w:hint="eastAsia" w:ascii="宋体" w:hAnsi="宋体"/>
      <w:sz w:val="16"/>
      <w:szCs w:val="16"/>
    </w:rPr>
  </w:style>
  <w:style w:type="paragraph" w:customStyle="1" w:styleId="245">
    <w:name w:val="Char12"/>
    <w:basedOn w:val="1"/>
    <w:autoRedefine/>
    <w:qFormat/>
    <w:uiPriority w:val="0"/>
    <w:pPr>
      <w:widowControl/>
      <w:spacing w:after="160" w:line="240" w:lineRule="exact"/>
      <w:ind w:firstLine="200"/>
      <w:jc w:val="left"/>
    </w:pPr>
    <w:rPr>
      <w:rFonts w:ascii="Verdana" w:hAnsi="Verdana" w:eastAsia="楷体_GB2312"/>
      <w:b/>
      <w:i/>
      <w:iCs/>
      <w:color w:val="000000"/>
      <w:sz w:val="20"/>
      <w:szCs w:val="20"/>
      <w:lang w:eastAsia="en-US"/>
    </w:rPr>
  </w:style>
  <w:style w:type="paragraph" w:customStyle="1" w:styleId="246">
    <w:name w:val="font6"/>
    <w:basedOn w:val="1"/>
    <w:autoRedefine/>
    <w:qFormat/>
    <w:uiPriority w:val="0"/>
    <w:pPr>
      <w:widowControl/>
      <w:spacing w:before="100" w:beforeAutospacing="1" w:after="100" w:afterAutospacing="1"/>
      <w:jc w:val="left"/>
    </w:pPr>
    <w:rPr>
      <w:rFonts w:hint="eastAsia" w:ascii="宋体" w:hAnsi="宋体"/>
      <w:sz w:val="20"/>
      <w:szCs w:val="20"/>
    </w:rPr>
  </w:style>
  <w:style w:type="paragraph" w:customStyle="1" w:styleId="247">
    <w:name w:val="表文1"/>
    <w:basedOn w:val="1"/>
    <w:autoRedefine/>
    <w:qFormat/>
    <w:uiPriority w:val="0"/>
    <w:pPr>
      <w:overflowPunct/>
      <w:topLinePunct w:val="0"/>
      <w:spacing w:before="20" w:beforeLines="20" w:after="20" w:afterLines="20" w:line="240" w:lineRule="auto"/>
      <w:ind w:firstLine="100" w:firstLineChars="100"/>
    </w:pPr>
    <w:rPr>
      <w:rFonts w:hAnsi="Times New Roman"/>
      <w:sz w:val="18"/>
      <w:szCs w:val="24"/>
    </w:rPr>
  </w:style>
  <w:style w:type="paragraph" w:customStyle="1" w:styleId="248">
    <w:name w:val="正常段落"/>
    <w:basedOn w:val="1"/>
    <w:autoRedefine/>
    <w:qFormat/>
    <w:uiPriority w:val="0"/>
    <w:pPr>
      <w:spacing w:line="360" w:lineRule="auto"/>
      <w:ind w:firstLine="200"/>
    </w:pPr>
    <w:rPr>
      <w:rFonts w:ascii="宋体" w:hAnsi="宋体" w:cs="宋体"/>
      <w:szCs w:val="20"/>
    </w:rPr>
  </w:style>
  <w:style w:type="paragraph" w:customStyle="1" w:styleId="249">
    <w:name w:val="xl3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sz w:val="18"/>
      <w:szCs w:val="18"/>
    </w:rPr>
  </w:style>
  <w:style w:type="paragraph" w:customStyle="1" w:styleId="250">
    <w:name w:val="表头"/>
    <w:basedOn w:val="8"/>
    <w:link w:val="393"/>
    <w:autoRedefine/>
    <w:qFormat/>
    <w:uiPriority w:val="0"/>
    <w:pPr>
      <w:spacing w:line="360" w:lineRule="auto"/>
      <w:ind w:firstLine="0" w:firstLineChars="0"/>
      <w:jc w:val="center"/>
    </w:pPr>
    <w:rPr>
      <w:rFonts w:ascii="Times New Roman" w:hAnsi="Times New Roman" w:eastAsia="黑体"/>
      <w:b/>
      <w:color w:val="000000"/>
      <w:kern w:val="44"/>
      <w:sz w:val="24"/>
      <w:szCs w:val="24"/>
    </w:rPr>
  </w:style>
  <w:style w:type="paragraph" w:customStyle="1" w:styleId="251">
    <w:name w:val="Char11"/>
    <w:basedOn w:val="1"/>
    <w:autoRedefine/>
    <w:qFormat/>
    <w:uiPriority w:val="0"/>
    <w:pPr>
      <w:widowControl/>
      <w:adjustRightInd/>
      <w:snapToGrid/>
      <w:spacing w:after="160" w:line="240" w:lineRule="exact"/>
      <w:ind w:firstLine="200" w:firstLineChars="0"/>
      <w:jc w:val="left"/>
    </w:pPr>
    <w:rPr>
      <w:rFonts w:ascii="Verdana" w:hAnsi="Verdana" w:eastAsia="楷体_GB2312"/>
      <w:i/>
      <w:iCs/>
      <w:color w:val="000000"/>
      <w:sz w:val="20"/>
      <w:szCs w:val="20"/>
      <w:lang w:eastAsia="en-US"/>
    </w:rPr>
  </w:style>
  <w:style w:type="paragraph" w:customStyle="1" w:styleId="252">
    <w:name w:val="Char Char"/>
    <w:basedOn w:val="1"/>
    <w:autoRedefine/>
    <w:qFormat/>
    <w:uiPriority w:val="0"/>
    <w:pPr>
      <w:widowControl/>
      <w:spacing w:line="360" w:lineRule="auto"/>
      <w:ind w:firstLine="200"/>
      <w:jc w:val="left"/>
    </w:pPr>
    <w:rPr>
      <w:rFonts w:ascii="黑体"/>
      <w:sz w:val="28"/>
      <w:szCs w:val="28"/>
    </w:rPr>
  </w:style>
  <w:style w:type="paragraph" w:customStyle="1" w:styleId="253">
    <w:name w:val="标题三"/>
    <w:basedOn w:val="1"/>
    <w:autoRedefine/>
    <w:qFormat/>
    <w:uiPriority w:val="0"/>
    <w:rPr>
      <w:sz w:val="28"/>
      <w:szCs w:val="28"/>
    </w:rPr>
  </w:style>
  <w:style w:type="paragraph" w:customStyle="1" w:styleId="254">
    <w:name w:val="样式 标题 3 + 首行缩进:  2 字符 段前: 0 磅 段后: 0 磅 行距: 1.5 倍行距"/>
    <w:basedOn w:val="5"/>
    <w:autoRedefine/>
    <w:qFormat/>
    <w:uiPriority w:val="0"/>
    <w:pPr>
      <w:spacing w:beforeLines="50" w:after="0" w:line="360" w:lineRule="auto"/>
    </w:pPr>
    <w:rPr>
      <w:snapToGrid w:val="0"/>
      <w:color w:val="000000"/>
      <w:szCs w:val="20"/>
    </w:rPr>
  </w:style>
  <w:style w:type="paragraph" w:customStyle="1" w:styleId="255">
    <w:name w:val="xl44"/>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rPr>
  </w:style>
  <w:style w:type="paragraph" w:customStyle="1" w:styleId="256">
    <w:name w:val=" Char"/>
    <w:basedOn w:val="1"/>
    <w:autoRedefine/>
    <w:qFormat/>
    <w:uiPriority w:val="0"/>
    <w:pPr>
      <w:overflowPunct/>
      <w:topLinePunct w:val="0"/>
      <w:adjustRightInd/>
      <w:spacing w:before="0" w:line="360" w:lineRule="auto"/>
      <w:ind w:firstLine="200" w:firstLineChars="200"/>
    </w:pPr>
    <w:rPr>
      <w:rFonts w:ascii="黑体" w:hAnsi="Times New Roman"/>
      <w:kern w:val="2"/>
      <w:sz w:val="24"/>
      <w:szCs w:val="24"/>
    </w:rPr>
  </w:style>
  <w:style w:type="paragraph" w:customStyle="1" w:styleId="257">
    <w:name w:val="帮助_表格_大标题"/>
    <w:basedOn w:val="1"/>
    <w:autoRedefine/>
    <w:qFormat/>
    <w:uiPriority w:val="0"/>
    <w:pPr>
      <w:widowControl/>
      <w:adjustRightInd/>
      <w:snapToGrid/>
      <w:spacing w:before="100" w:beforeAutospacing="1" w:after="100" w:afterAutospacing="1" w:line="240" w:lineRule="auto"/>
      <w:ind w:firstLine="0" w:firstLineChars="0"/>
      <w:jc w:val="left"/>
    </w:pPr>
    <w:rPr>
      <w:rFonts w:ascii="宋体" w:hAnsi="宋体" w:eastAsia="宋体" w:cs="宋体"/>
    </w:rPr>
  </w:style>
  <w:style w:type="paragraph" w:customStyle="1" w:styleId="258">
    <w:name w:val="xl4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sz w:val="16"/>
      <w:szCs w:val="16"/>
    </w:rPr>
  </w:style>
  <w:style w:type="paragraph" w:customStyle="1" w:styleId="259">
    <w:name w:val="样式 标题 1 + 加粗 黑色"/>
    <w:basedOn w:val="3"/>
    <w:autoRedefine/>
    <w:qFormat/>
    <w:uiPriority w:val="0"/>
    <w:pPr>
      <w:jc w:val="both"/>
    </w:pPr>
    <w:rPr>
      <w:rFonts w:ascii="黑体" w:hAnsi="宋体"/>
      <w:szCs w:val="44"/>
    </w:rPr>
  </w:style>
  <w:style w:type="paragraph" w:customStyle="1" w:styleId="260">
    <w:name w:val="Char Char Char Char1"/>
    <w:basedOn w:val="1"/>
    <w:autoRedefine/>
    <w:qFormat/>
    <w:uiPriority w:val="0"/>
    <w:pPr>
      <w:adjustRightInd/>
      <w:spacing w:line="240" w:lineRule="auto"/>
      <w:ind w:firstLine="0" w:firstLineChars="0"/>
    </w:pPr>
    <w:rPr>
      <w:rFonts w:ascii="黑体" w:hAnsi="宋体" w:eastAsia="宋体"/>
      <w:kern w:val="2"/>
      <w:sz w:val="28"/>
      <w:szCs w:val="28"/>
    </w:rPr>
  </w:style>
  <w:style w:type="paragraph" w:customStyle="1" w:styleId="261">
    <w:name w:val="样式 样式 宋体 四号 行距: 固定值 26 磅 首行缩进:  1.92 字符 + 首行缩进:  1.92 字符"/>
    <w:basedOn w:val="189"/>
    <w:autoRedefine/>
    <w:qFormat/>
    <w:uiPriority w:val="0"/>
    <w:pPr>
      <w:spacing w:line="360" w:lineRule="auto"/>
      <w:ind w:firstLine="192"/>
    </w:pPr>
    <w:rPr>
      <w:szCs w:val="20"/>
    </w:rPr>
  </w:style>
  <w:style w:type="paragraph" w:customStyle="1" w:styleId="262">
    <w:name w:val="xl2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sz w:val="16"/>
      <w:szCs w:val="16"/>
    </w:rPr>
  </w:style>
  <w:style w:type="paragraph" w:customStyle="1" w:styleId="263">
    <w:name w:val="样式"/>
    <w:basedOn w:val="1"/>
    <w:next w:val="38"/>
    <w:autoRedefine/>
    <w:qFormat/>
    <w:uiPriority w:val="0"/>
    <w:pPr>
      <w:widowControl/>
      <w:spacing w:before="100" w:beforeAutospacing="1" w:after="100" w:afterAutospacing="1"/>
      <w:jc w:val="left"/>
    </w:pPr>
    <w:rPr>
      <w:rFonts w:ascii="Arial" w:hAnsi="Arial" w:cs="Arial"/>
      <w:sz w:val="22"/>
      <w:szCs w:val="22"/>
    </w:rPr>
  </w:style>
  <w:style w:type="paragraph" w:customStyle="1" w:styleId="264">
    <w:name w:val="xl58"/>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pPr>
    <w:rPr>
      <w:rFonts w:ascii="宋体" w:hAnsi="宋体"/>
      <w:sz w:val="12"/>
      <w:szCs w:val="20"/>
    </w:rPr>
  </w:style>
  <w:style w:type="paragraph" w:customStyle="1" w:styleId="265">
    <w:name w:val="xl7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hint="eastAsia" w:ascii="宋体" w:hAnsi="宋体"/>
      <w:b/>
      <w:bCs/>
      <w:color w:val="000000"/>
      <w:sz w:val="16"/>
      <w:szCs w:val="16"/>
    </w:rPr>
  </w:style>
  <w:style w:type="paragraph" w:customStyle="1" w:styleId="266">
    <w:name w:val="xl136"/>
    <w:basedOn w:val="1"/>
    <w:autoRedefine/>
    <w:qFormat/>
    <w:uiPriority w:val="0"/>
    <w:pPr>
      <w:widowControl/>
      <w:pBdr>
        <w:top w:val="single" w:color="auto" w:sz="4" w:space="0"/>
        <w:left w:val="single" w:color="000000" w:sz="4" w:space="0"/>
        <w:bottom w:val="single" w:color="auto" w:sz="4" w:space="0"/>
      </w:pBdr>
      <w:shd w:val="clear" w:color="auto" w:fill="FFFFFF"/>
      <w:spacing w:before="100" w:beforeAutospacing="1" w:after="100" w:afterAutospacing="1"/>
      <w:jc w:val="center"/>
    </w:pPr>
    <w:rPr>
      <w:rFonts w:ascii="宋体" w:hAnsi="宋体"/>
      <w:color w:val="000000"/>
      <w:sz w:val="20"/>
      <w:szCs w:val="20"/>
    </w:rPr>
  </w:style>
  <w:style w:type="paragraph" w:customStyle="1" w:styleId="267">
    <w:name w:val="font7"/>
    <w:basedOn w:val="1"/>
    <w:autoRedefine/>
    <w:qFormat/>
    <w:uiPriority w:val="0"/>
    <w:pPr>
      <w:widowControl/>
      <w:spacing w:before="100" w:beforeAutospacing="1" w:after="100" w:afterAutospacing="1"/>
      <w:jc w:val="left"/>
    </w:pPr>
    <w:rPr>
      <w:sz w:val="20"/>
      <w:szCs w:val="20"/>
    </w:rPr>
  </w:style>
  <w:style w:type="paragraph" w:customStyle="1" w:styleId="268">
    <w:name w:val="样式 标题 3 + 行距: 1.5 倍行距"/>
    <w:basedOn w:val="5"/>
    <w:autoRedefine/>
    <w:qFormat/>
    <w:uiPriority w:val="0"/>
    <w:pPr>
      <w:spacing w:before="0" w:after="0" w:line="360" w:lineRule="auto"/>
    </w:pPr>
    <w:rPr>
      <w:rFonts w:ascii="宋体" w:hAnsi="宋体" w:cs="宋体"/>
      <w:szCs w:val="20"/>
    </w:rPr>
  </w:style>
  <w:style w:type="paragraph" w:customStyle="1" w:styleId="269">
    <w:name w:val="xl3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sz w:val="18"/>
      <w:szCs w:val="18"/>
    </w:rPr>
  </w:style>
  <w:style w:type="paragraph" w:customStyle="1" w:styleId="270">
    <w:name w:val="Char3"/>
    <w:basedOn w:val="1"/>
    <w:autoRedefine/>
    <w:qFormat/>
    <w:uiPriority w:val="0"/>
    <w:pPr>
      <w:widowControl/>
      <w:spacing w:before="60" w:after="160" w:line="240" w:lineRule="exact"/>
      <w:ind w:firstLine="200"/>
      <w:jc w:val="left"/>
    </w:pPr>
    <w:rPr>
      <w:rFonts w:ascii="Verdana" w:hAnsi="Verdana" w:eastAsia="楷体_GB2312"/>
      <w:b/>
      <w:i/>
      <w:iCs/>
      <w:color w:val="000000"/>
      <w:sz w:val="20"/>
      <w:szCs w:val="20"/>
      <w:lang w:eastAsia="en-US"/>
    </w:rPr>
  </w:style>
  <w:style w:type="paragraph" w:customStyle="1" w:styleId="271">
    <w:name w:val=".."/>
    <w:basedOn w:val="1"/>
    <w:next w:val="1"/>
    <w:autoRedefine/>
    <w:qFormat/>
    <w:uiPriority w:val="0"/>
    <w:pPr>
      <w:autoSpaceDE w:val="0"/>
      <w:autoSpaceDN w:val="0"/>
      <w:jc w:val="left"/>
    </w:pPr>
  </w:style>
  <w:style w:type="paragraph" w:customStyle="1" w:styleId="272">
    <w:name w:val="样式 宋体 四号 右侧:  0.57 厘米 行距: 固定值 26 磅"/>
    <w:basedOn w:val="1"/>
    <w:autoRedefine/>
    <w:qFormat/>
    <w:uiPriority w:val="0"/>
    <w:pPr>
      <w:ind w:right="323"/>
    </w:pPr>
    <w:rPr>
      <w:rFonts w:ascii="宋体" w:hAnsi="宋体" w:cs="宋体"/>
      <w:sz w:val="21"/>
    </w:rPr>
  </w:style>
  <w:style w:type="paragraph" w:customStyle="1" w:styleId="273">
    <w:name w:val="xl119"/>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hint="eastAsia" w:ascii="宋体" w:hAnsi="宋体"/>
      <w:b/>
      <w:bCs/>
      <w:color w:val="000000"/>
    </w:rPr>
  </w:style>
  <w:style w:type="paragraph" w:customStyle="1" w:styleId="274">
    <w:name w:val="xl126"/>
    <w:basedOn w:val="1"/>
    <w:autoRedefine/>
    <w:qFormat/>
    <w:uiPriority w:val="0"/>
    <w:pPr>
      <w:widowControl/>
      <w:pBdr>
        <w:left w:val="single" w:color="auto" w:sz="4" w:space="0"/>
        <w:bottom w:val="single" w:color="auto" w:sz="4" w:space="0"/>
        <w:right w:val="single" w:color="auto" w:sz="4" w:space="0"/>
      </w:pBdr>
      <w:shd w:val="clear" w:color="auto" w:fill="FFFFFF"/>
      <w:spacing w:before="100" w:beforeAutospacing="1" w:after="100" w:afterAutospacing="1"/>
      <w:jc w:val="left"/>
      <w:textAlignment w:val="center"/>
    </w:pPr>
    <w:rPr>
      <w:rFonts w:hint="eastAsia" w:ascii="宋体" w:hAnsi="宋体"/>
      <w:color w:val="000000"/>
    </w:rPr>
  </w:style>
  <w:style w:type="paragraph" w:customStyle="1" w:styleId="275">
    <w:name w:val="xl62"/>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pPr>
    <w:rPr>
      <w:rFonts w:ascii="宋体" w:hAnsi="宋体"/>
      <w:sz w:val="12"/>
      <w:szCs w:val="20"/>
    </w:rPr>
  </w:style>
  <w:style w:type="paragraph" w:customStyle="1" w:styleId="276">
    <w:name w:val="xl52"/>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Arial Unicode MS" w:hAnsi="Arial Unicode MS"/>
      <w:sz w:val="28"/>
      <w:szCs w:val="28"/>
    </w:rPr>
  </w:style>
  <w:style w:type="paragraph" w:customStyle="1" w:styleId="277">
    <w:name w:val="xl114"/>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hint="eastAsia" w:ascii="宋体" w:hAnsi="宋体"/>
      <w:color w:val="000000"/>
    </w:rPr>
  </w:style>
  <w:style w:type="paragraph" w:customStyle="1" w:styleId="278">
    <w:name w:val="样式 宋体 四号 左侧:  0.01 厘米 行距: 固定值 26 磅"/>
    <w:basedOn w:val="1"/>
    <w:autoRedefine/>
    <w:qFormat/>
    <w:uiPriority w:val="0"/>
    <w:pPr>
      <w:ind w:left="6"/>
    </w:pPr>
    <w:rPr>
      <w:rFonts w:ascii="宋体" w:hAnsi="宋体" w:cs="宋体"/>
      <w:sz w:val="21"/>
    </w:rPr>
  </w:style>
  <w:style w:type="paragraph" w:customStyle="1" w:styleId="279">
    <w:name w:val="样式 (西文) 仿宋_GB2312 黑色"/>
    <w:basedOn w:val="1"/>
    <w:autoRedefine/>
    <w:qFormat/>
    <w:uiPriority w:val="0"/>
    <w:rPr>
      <w:rFonts w:cs="宋体"/>
      <w:color w:val="000000"/>
      <w:sz w:val="21"/>
      <w:szCs w:val="20"/>
    </w:rPr>
  </w:style>
  <w:style w:type="paragraph" w:customStyle="1" w:styleId="280">
    <w:name w:val="xl46"/>
    <w:basedOn w:val="1"/>
    <w:autoRedefine/>
    <w:qFormat/>
    <w:uiPriority w:val="0"/>
    <w:pPr>
      <w:widowControl/>
      <w:pBdr>
        <w:bottom w:val="single" w:color="auto" w:sz="4" w:space="0"/>
      </w:pBdr>
      <w:spacing w:before="100" w:beforeAutospacing="1" w:after="100" w:afterAutospacing="1"/>
      <w:jc w:val="left"/>
      <w:textAlignment w:val="center"/>
    </w:pPr>
    <w:rPr>
      <w:rFonts w:ascii="Arial Unicode MS" w:hAnsi="Arial Unicode MS"/>
    </w:rPr>
  </w:style>
  <w:style w:type="paragraph" w:customStyle="1" w:styleId="281">
    <w:name w:val="公正文"/>
    <w:basedOn w:val="8"/>
    <w:autoRedefine/>
    <w:qFormat/>
    <w:uiPriority w:val="0"/>
    <w:pPr>
      <w:spacing w:line="352" w:lineRule="auto"/>
      <w:ind w:firstLine="200"/>
    </w:pPr>
    <w:rPr>
      <w:rFonts w:ascii="宋体" w:hAnsi="宋体"/>
      <w:sz w:val="28"/>
    </w:rPr>
  </w:style>
  <w:style w:type="paragraph" w:customStyle="1" w:styleId="282">
    <w:name w:val="样式 标题 3Sottoparagrafo条标题1.1.13h33rd levelH3l3CT标题 3-4 +..."/>
    <w:basedOn w:val="5"/>
    <w:autoRedefine/>
    <w:qFormat/>
    <w:uiPriority w:val="0"/>
    <w:pPr>
      <w:keepNext/>
      <w:keepLines/>
      <w:overflowPunct/>
      <w:topLinePunct w:val="0"/>
      <w:spacing w:beforeLines="50" w:afterLines="50" w:line="360" w:lineRule="auto"/>
    </w:pPr>
    <w:rPr>
      <w:rFonts w:cs="宋体"/>
      <w:kern w:val="2"/>
    </w:rPr>
  </w:style>
  <w:style w:type="paragraph" w:customStyle="1" w:styleId="283">
    <w:name w:val="样式 加粗 首行缩进:  0.85 厘米 行距: 多倍行距 1.43 字行"/>
    <w:basedOn w:val="1"/>
    <w:autoRedefine/>
    <w:qFormat/>
    <w:uiPriority w:val="0"/>
    <w:pPr>
      <w:spacing w:line="343" w:lineRule="auto"/>
      <w:ind w:firstLine="480"/>
    </w:pPr>
    <w:rPr>
      <w:rFonts w:cs="宋体"/>
      <w:bCs/>
      <w:sz w:val="21"/>
    </w:rPr>
  </w:style>
  <w:style w:type="paragraph" w:customStyle="1" w:styleId="284">
    <w:name w:val="公标题2"/>
    <w:basedOn w:val="1"/>
    <w:autoRedefine/>
    <w:qFormat/>
    <w:uiPriority w:val="0"/>
    <w:pPr>
      <w:spacing w:beforeLines="50" w:afterLines="50" w:line="355" w:lineRule="auto"/>
      <w:outlineLvl w:val="1"/>
    </w:pPr>
    <w:rPr>
      <w:rFonts w:ascii="黑体" w:hAnsi="宋体" w:eastAsia="黑体"/>
      <w:sz w:val="32"/>
    </w:rPr>
  </w:style>
  <w:style w:type="paragraph" w:customStyle="1" w:styleId="285">
    <w:name w:val="xl29"/>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left"/>
    </w:pPr>
    <w:rPr>
      <w:sz w:val="16"/>
      <w:szCs w:val="16"/>
    </w:rPr>
  </w:style>
  <w:style w:type="paragraph" w:customStyle="1" w:styleId="286">
    <w:name w:val="xl8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hint="eastAsia" w:ascii="宋体" w:hAnsi="宋体"/>
      <w:color w:val="000000"/>
      <w:sz w:val="16"/>
      <w:szCs w:val="16"/>
    </w:rPr>
  </w:style>
  <w:style w:type="paragraph" w:customStyle="1" w:styleId="287">
    <w:name w:val="样式5"/>
    <w:basedOn w:val="1"/>
    <w:next w:val="23"/>
    <w:autoRedefine/>
    <w:qFormat/>
    <w:uiPriority w:val="0"/>
    <w:pPr>
      <w:spacing w:line="360" w:lineRule="auto"/>
      <w:ind w:firstLine="480"/>
    </w:pPr>
    <w:rPr>
      <w:rFonts w:ascii="宋体" w:hAnsi="Courier New"/>
    </w:rPr>
  </w:style>
  <w:style w:type="paragraph" w:customStyle="1" w:styleId="288">
    <w:name w:val="xl91"/>
    <w:basedOn w:val="1"/>
    <w:autoRedefine/>
    <w:qFormat/>
    <w:uiPriority w:val="0"/>
    <w:pPr>
      <w:widowControl/>
      <w:pBdr>
        <w:top w:val="single" w:color="auto" w:sz="4" w:space="0"/>
      </w:pBdr>
      <w:shd w:val="clear" w:color="auto" w:fill="FFFFFF"/>
      <w:spacing w:before="100" w:beforeAutospacing="1" w:after="100" w:afterAutospacing="1"/>
      <w:jc w:val="center"/>
    </w:pPr>
    <w:rPr>
      <w:rFonts w:hint="eastAsia" w:ascii="宋体" w:hAnsi="宋体"/>
      <w:color w:val="000000"/>
      <w:sz w:val="16"/>
      <w:szCs w:val="16"/>
    </w:rPr>
  </w:style>
  <w:style w:type="paragraph" w:customStyle="1" w:styleId="289">
    <w:name w:val="Char Char Char3"/>
    <w:basedOn w:val="1"/>
    <w:autoRedefine/>
    <w:qFormat/>
    <w:uiPriority w:val="0"/>
    <w:pPr>
      <w:spacing w:line="360" w:lineRule="auto"/>
      <w:ind w:firstLine="200"/>
    </w:pPr>
    <w:rPr>
      <w:sz w:val="21"/>
    </w:rPr>
  </w:style>
  <w:style w:type="paragraph" w:customStyle="1" w:styleId="290">
    <w:name w:val="样式 目录 1 + 行距: 多倍行距 1.25 字行1"/>
    <w:basedOn w:val="30"/>
    <w:autoRedefine/>
    <w:qFormat/>
    <w:uiPriority w:val="0"/>
    <w:pPr>
      <w:spacing w:line="300" w:lineRule="auto"/>
      <w:jc w:val="both"/>
    </w:pPr>
    <w:rPr>
      <w:rFonts w:cs="宋体"/>
      <w:snapToGrid w:val="0"/>
      <w:sz w:val="21"/>
    </w:rPr>
  </w:style>
  <w:style w:type="paragraph" w:customStyle="1" w:styleId="291">
    <w:name w:val="xl63"/>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pPr>
    <w:rPr>
      <w:sz w:val="12"/>
      <w:szCs w:val="20"/>
    </w:rPr>
  </w:style>
  <w:style w:type="paragraph" w:customStyle="1" w:styleId="292">
    <w:name w:val="xl137"/>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olor w:val="000000"/>
      <w:sz w:val="20"/>
      <w:szCs w:val="20"/>
    </w:rPr>
  </w:style>
  <w:style w:type="paragraph" w:customStyle="1" w:styleId="293">
    <w:name w:val="font13"/>
    <w:basedOn w:val="1"/>
    <w:autoRedefine/>
    <w:qFormat/>
    <w:uiPriority w:val="0"/>
    <w:pPr>
      <w:widowControl/>
      <w:spacing w:before="100" w:beforeAutospacing="1" w:after="100" w:afterAutospacing="1"/>
      <w:jc w:val="left"/>
    </w:pPr>
    <w:rPr>
      <w:sz w:val="28"/>
      <w:szCs w:val="28"/>
    </w:rPr>
  </w:style>
  <w:style w:type="paragraph" w:customStyle="1" w:styleId="294">
    <w:name w:val="xl115"/>
    <w:basedOn w:val="1"/>
    <w:autoRedefine/>
    <w:qFormat/>
    <w:uiPriority w:val="0"/>
    <w:pPr>
      <w:widowControl/>
      <w:pBdr>
        <w:top w:val="single" w:color="auto" w:sz="4" w:space="0"/>
      </w:pBdr>
      <w:shd w:val="clear" w:color="auto" w:fill="FFFFFF"/>
      <w:spacing w:before="100" w:beforeAutospacing="1" w:after="100" w:afterAutospacing="1"/>
      <w:jc w:val="center"/>
    </w:pPr>
    <w:rPr>
      <w:rFonts w:hint="eastAsia" w:ascii="宋体" w:hAnsi="宋体"/>
    </w:rPr>
  </w:style>
  <w:style w:type="paragraph" w:customStyle="1" w:styleId="295">
    <w:name w:val="样式 样式 宋体 四号 + 首行缩进:  2 字符"/>
    <w:basedOn w:val="148"/>
    <w:autoRedefine/>
    <w:qFormat/>
    <w:uiPriority w:val="0"/>
    <w:pPr>
      <w:spacing w:line="360" w:lineRule="auto"/>
      <w:ind w:firstLine="200"/>
    </w:pPr>
    <w:rPr>
      <w:szCs w:val="20"/>
    </w:rPr>
  </w:style>
  <w:style w:type="paragraph" w:customStyle="1" w:styleId="296">
    <w:name w:val="样式 标题 2 + 紫罗兰"/>
    <w:basedOn w:val="4"/>
    <w:autoRedefine/>
    <w:qFormat/>
    <w:uiPriority w:val="0"/>
    <w:pPr>
      <w:spacing w:before="240" w:after="240"/>
    </w:pPr>
    <w:rPr>
      <w:rFonts w:ascii="宋体" w:hAnsi="宋体"/>
      <w:bCs w:val="0"/>
      <w:shd w:val="clear" w:color="auto" w:fill="FFFFFF"/>
    </w:rPr>
  </w:style>
  <w:style w:type="paragraph" w:customStyle="1" w:styleId="297">
    <w:name w:val="xl98"/>
    <w:basedOn w:val="1"/>
    <w:autoRedefine/>
    <w:qFormat/>
    <w:uiPriority w:val="0"/>
    <w:pPr>
      <w:widowControl/>
      <w:pBdr>
        <w:top w:val="single" w:color="auto" w:sz="4" w:space="0"/>
        <w:left w:val="single" w:color="auto" w:sz="4" w:space="20"/>
        <w:bottom w:val="single" w:color="auto" w:sz="4" w:space="0"/>
        <w:right w:val="single" w:color="auto" w:sz="4" w:space="0"/>
      </w:pBdr>
      <w:shd w:val="clear" w:color="auto" w:fill="FFFF00"/>
      <w:spacing w:before="100" w:beforeAutospacing="1" w:after="100" w:afterAutospacing="1"/>
      <w:ind w:firstLine="100" w:firstLineChars="100"/>
      <w:jc w:val="left"/>
    </w:pPr>
    <w:rPr>
      <w:rFonts w:hint="eastAsia" w:ascii="宋体" w:hAnsi="宋体"/>
      <w:sz w:val="16"/>
      <w:szCs w:val="16"/>
    </w:rPr>
  </w:style>
  <w:style w:type="paragraph" w:customStyle="1" w:styleId="298">
    <w:name w:val="xl113"/>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jc w:val="center"/>
    </w:pPr>
    <w:rPr>
      <w:rFonts w:hint="eastAsia" w:ascii="宋体" w:hAnsi="宋体"/>
      <w:color w:val="000000"/>
    </w:rPr>
  </w:style>
  <w:style w:type="paragraph" w:customStyle="1" w:styleId="299">
    <w:name w:val="xl92"/>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left"/>
    </w:pPr>
    <w:rPr>
      <w:rFonts w:hint="eastAsia" w:ascii="宋体" w:hAnsi="宋体"/>
      <w:color w:val="000000"/>
      <w:sz w:val="16"/>
      <w:szCs w:val="16"/>
    </w:rPr>
  </w:style>
  <w:style w:type="paragraph" w:customStyle="1" w:styleId="300">
    <w:name w:val="xl125"/>
    <w:basedOn w:val="1"/>
    <w:autoRedefine/>
    <w:qFormat/>
    <w:uiPriority w:val="0"/>
    <w:pPr>
      <w:widowControl/>
      <w:pBdr>
        <w:top w:val="single" w:color="auto" w:sz="4" w:space="0"/>
        <w:left w:val="single" w:color="auto" w:sz="4" w:space="0"/>
        <w:right w:val="single" w:color="auto" w:sz="4" w:space="0"/>
      </w:pBdr>
      <w:shd w:val="clear" w:color="auto" w:fill="FFFFFF"/>
      <w:spacing w:before="100" w:beforeAutospacing="1" w:after="100" w:afterAutospacing="1"/>
      <w:jc w:val="center"/>
      <w:textAlignment w:val="center"/>
    </w:pPr>
    <w:rPr>
      <w:rFonts w:hint="eastAsia" w:ascii="宋体" w:hAnsi="宋体"/>
      <w:color w:val="000000"/>
    </w:rPr>
  </w:style>
  <w:style w:type="paragraph" w:customStyle="1" w:styleId="301">
    <w:name w:val="xl32"/>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Arial Unicode MS" w:hAnsi="Arial Unicode MS"/>
      <w:b/>
      <w:bCs/>
      <w:sz w:val="18"/>
      <w:szCs w:val="18"/>
    </w:rPr>
  </w:style>
  <w:style w:type="paragraph" w:customStyle="1" w:styleId="302">
    <w:name w:val="font15"/>
    <w:basedOn w:val="1"/>
    <w:autoRedefine/>
    <w:qFormat/>
    <w:uiPriority w:val="0"/>
    <w:pPr>
      <w:widowControl/>
      <w:spacing w:before="100" w:beforeAutospacing="1" w:after="100" w:afterAutospacing="1"/>
      <w:jc w:val="left"/>
    </w:pPr>
    <w:rPr>
      <w:sz w:val="20"/>
      <w:szCs w:val="20"/>
    </w:rPr>
  </w:style>
  <w:style w:type="paragraph" w:customStyle="1" w:styleId="303">
    <w:name w:val="Char Char Char Char Char Char Char Char Char Char Char Char"/>
    <w:basedOn w:val="1"/>
    <w:autoRedefine/>
    <w:qFormat/>
    <w:uiPriority w:val="0"/>
    <w:pPr>
      <w:spacing w:line="360" w:lineRule="auto"/>
      <w:ind w:firstLine="200"/>
    </w:pPr>
  </w:style>
  <w:style w:type="paragraph" w:customStyle="1" w:styleId="304">
    <w:name w:val="xl3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sz w:val="16"/>
      <w:szCs w:val="16"/>
    </w:rPr>
  </w:style>
  <w:style w:type="paragraph" w:customStyle="1" w:styleId="305">
    <w:name w:val="font1"/>
    <w:basedOn w:val="1"/>
    <w:autoRedefine/>
    <w:qFormat/>
    <w:uiPriority w:val="0"/>
    <w:pPr>
      <w:widowControl/>
      <w:spacing w:before="100" w:beforeAutospacing="1" w:after="100" w:afterAutospacing="1"/>
      <w:jc w:val="left"/>
    </w:pPr>
    <w:rPr>
      <w:rFonts w:hint="eastAsia" w:ascii="宋体" w:hAnsi="宋体"/>
    </w:rPr>
  </w:style>
  <w:style w:type="paragraph" w:customStyle="1" w:styleId="306">
    <w:name w:val="样式 正文文本缩进 + 左侧:  2 字符"/>
    <w:basedOn w:val="19"/>
    <w:autoRedefine/>
    <w:qFormat/>
    <w:uiPriority w:val="0"/>
    <w:pPr>
      <w:ind w:left="200" w:leftChars="200" w:firstLine="0"/>
    </w:pPr>
    <w:rPr>
      <w:rFonts w:ascii="宋体" w:hAnsi="宋体" w:cs="宋体"/>
      <w:sz w:val="21"/>
      <w:szCs w:val="20"/>
    </w:rPr>
  </w:style>
  <w:style w:type="paragraph" w:customStyle="1" w:styleId="307">
    <w:name w:val="xl133"/>
    <w:basedOn w:val="1"/>
    <w:autoRedefine/>
    <w:qFormat/>
    <w:uiPriority w:val="0"/>
    <w:pPr>
      <w:widowControl/>
      <w:pBdr>
        <w:left w:val="single" w:color="auto" w:sz="4" w:space="0"/>
        <w:bottom w:val="single" w:color="000000" w:sz="4" w:space="0"/>
        <w:right w:val="single" w:color="auto" w:sz="4" w:space="0"/>
      </w:pBdr>
      <w:spacing w:before="100" w:beforeAutospacing="1" w:after="100" w:afterAutospacing="1"/>
      <w:jc w:val="center"/>
    </w:pPr>
    <w:rPr>
      <w:rFonts w:ascii="宋体" w:hAnsi="宋体"/>
      <w:color w:val="000000"/>
      <w:sz w:val="20"/>
      <w:szCs w:val="20"/>
    </w:rPr>
  </w:style>
  <w:style w:type="paragraph" w:customStyle="1" w:styleId="308">
    <w:name w:val="样式 标题 1标书标题 1H1123321h1PIM 11.H11H12H111H13H112Huvud..."/>
    <w:basedOn w:val="3"/>
    <w:autoRedefine/>
    <w:qFormat/>
    <w:uiPriority w:val="0"/>
    <w:rPr>
      <w:kern w:val="0"/>
    </w:rPr>
  </w:style>
  <w:style w:type="paragraph" w:customStyle="1" w:styleId="309">
    <w:name w:val="xl9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hint="eastAsia" w:ascii="宋体" w:hAnsi="宋体"/>
      <w:color w:val="000000"/>
      <w:sz w:val="16"/>
      <w:szCs w:val="16"/>
    </w:rPr>
  </w:style>
  <w:style w:type="paragraph" w:customStyle="1" w:styleId="310">
    <w:name w:val="标题二"/>
    <w:basedOn w:val="1"/>
    <w:autoRedefine/>
    <w:qFormat/>
    <w:uiPriority w:val="0"/>
    <w:pPr>
      <w:tabs>
        <w:tab w:val="left" w:pos="1260"/>
      </w:tabs>
    </w:pPr>
    <w:rPr>
      <w:rFonts w:eastAsia="黑体"/>
      <w:sz w:val="21"/>
    </w:rPr>
  </w:style>
  <w:style w:type="paragraph" w:customStyle="1" w:styleId="311">
    <w:name w:val="样式 公表文长 + 首行缩进:  1 字符 段前: 0.1 行 段后: 0.1 行1"/>
    <w:basedOn w:val="1"/>
    <w:autoRedefine/>
    <w:qFormat/>
    <w:uiPriority w:val="0"/>
    <w:pPr>
      <w:spacing w:beforeLines="10" w:afterLines="10"/>
    </w:pPr>
    <w:rPr>
      <w:rFonts w:ascii="宋体" w:hAnsi="宋体" w:eastAsia="楷体_GB2312" w:cs="宋体"/>
      <w:szCs w:val="20"/>
    </w:rPr>
  </w:style>
  <w:style w:type="paragraph" w:customStyle="1" w:styleId="312">
    <w:name w:val="xl10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left"/>
    </w:pPr>
    <w:rPr>
      <w:color w:val="000000"/>
    </w:rPr>
  </w:style>
  <w:style w:type="paragraph" w:customStyle="1" w:styleId="313">
    <w:name w:val=" Char Char Char Char Char Char Char Char Char Char Char Char Char Char Char Char Char Char Char Char Char Char Char Char2 Char"/>
    <w:basedOn w:val="1"/>
    <w:autoRedefine/>
    <w:qFormat/>
    <w:uiPriority w:val="0"/>
    <w:pPr>
      <w:widowControl/>
      <w:adjustRightInd/>
      <w:snapToGrid/>
      <w:spacing w:after="160" w:line="240" w:lineRule="exact"/>
      <w:ind w:firstLine="0" w:firstLineChars="0"/>
      <w:jc w:val="center"/>
    </w:pPr>
    <w:rPr>
      <w:rFonts w:ascii="黑体" w:hAnsi="Verdana" w:eastAsia="黑体"/>
      <w:sz w:val="32"/>
      <w:szCs w:val="32"/>
      <w:lang w:eastAsia="en-US"/>
    </w:rPr>
  </w:style>
  <w:style w:type="paragraph" w:customStyle="1" w:styleId="314">
    <w:name w:val="xl65"/>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left"/>
    </w:pPr>
    <w:rPr>
      <w:rFonts w:ascii="宋体" w:hAnsi="宋体"/>
      <w:color w:val="FF0000"/>
      <w:sz w:val="12"/>
      <w:szCs w:val="20"/>
    </w:rPr>
  </w:style>
  <w:style w:type="paragraph" w:customStyle="1" w:styleId="315">
    <w:name w:val="样式 标题 2 + 黑色"/>
    <w:basedOn w:val="4"/>
    <w:autoRedefine/>
    <w:qFormat/>
    <w:uiPriority w:val="0"/>
    <w:pPr>
      <w:spacing w:line="360" w:lineRule="auto"/>
    </w:pPr>
    <w:rPr>
      <w:rFonts w:ascii="宋体" w:hAnsi="宋体"/>
      <w:bCs w:val="0"/>
      <w:shd w:val="clear" w:color="auto" w:fill="FFFFFF"/>
    </w:rPr>
  </w:style>
  <w:style w:type="paragraph" w:customStyle="1" w:styleId="316">
    <w:name w:val="样式 行距: 多倍行距 1.25 字行1"/>
    <w:basedOn w:val="1"/>
    <w:autoRedefine/>
    <w:qFormat/>
    <w:uiPriority w:val="0"/>
    <w:rPr>
      <w:rFonts w:ascii="宋体" w:hAnsi="宋体" w:cs="宋体"/>
      <w:sz w:val="21"/>
      <w:szCs w:val="20"/>
    </w:rPr>
  </w:style>
  <w:style w:type="paragraph" w:customStyle="1" w:styleId="317">
    <w:name w:val="xl94"/>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hint="eastAsia" w:ascii="宋体" w:hAnsi="宋体"/>
      <w:b/>
      <w:bCs/>
      <w:color w:val="000000"/>
      <w:sz w:val="16"/>
      <w:szCs w:val="16"/>
    </w:rPr>
  </w:style>
  <w:style w:type="paragraph" w:customStyle="1" w:styleId="318">
    <w:name w:val="xl2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sz w:val="20"/>
      <w:szCs w:val="20"/>
    </w:rPr>
  </w:style>
  <w:style w:type="paragraph" w:customStyle="1" w:styleId="319">
    <w:name w:val="表文字"/>
    <w:basedOn w:val="1"/>
    <w:autoRedefine/>
    <w:qFormat/>
    <w:uiPriority w:val="0"/>
    <w:pPr>
      <w:jc w:val="center"/>
    </w:pPr>
    <w:rPr>
      <w:rFonts w:ascii="宋体" w:hAnsi="宋体"/>
      <w:sz w:val="21"/>
      <w:szCs w:val="21"/>
    </w:rPr>
  </w:style>
  <w:style w:type="paragraph" w:customStyle="1" w:styleId="320">
    <w:name w:val="样式 首行缩进:  2 字符1"/>
    <w:basedOn w:val="1"/>
    <w:autoRedefine/>
    <w:qFormat/>
    <w:uiPriority w:val="0"/>
    <w:pPr>
      <w:adjustRightInd/>
      <w:snapToGrid/>
      <w:spacing w:line="560" w:lineRule="exact"/>
      <w:ind w:firstLine="560"/>
    </w:pPr>
    <w:rPr>
      <w:rFonts w:cs="宋体"/>
      <w:kern w:val="2"/>
      <w:sz w:val="28"/>
      <w:szCs w:val="20"/>
    </w:rPr>
  </w:style>
  <w:style w:type="paragraph" w:customStyle="1" w:styleId="321">
    <w:name w:val="xl129"/>
    <w:basedOn w:val="1"/>
    <w:autoRedefine/>
    <w:qFormat/>
    <w:uiPriority w:val="0"/>
    <w:pPr>
      <w:widowControl/>
      <w:shd w:val="clear" w:color="auto" w:fill="FFFFFF"/>
      <w:spacing w:before="100" w:beforeAutospacing="1" w:after="100" w:afterAutospacing="1"/>
      <w:jc w:val="center"/>
      <w:textAlignment w:val="center"/>
    </w:pPr>
    <w:rPr>
      <w:rFonts w:hint="eastAsia" w:ascii="宋体" w:hAnsi="宋体"/>
      <w:color w:val="000000"/>
      <w:sz w:val="28"/>
      <w:szCs w:val="28"/>
    </w:rPr>
  </w:style>
  <w:style w:type="paragraph" w:customStyle="1" w:styleId="322">
    <w:name w:val="xl48"/>
    <w:basedOn w:val="1"/>
    <w:autoRedefine/>
    <w:qFormat/>
    <w:uiPriority w:val="0"/>
    <w:pPr>
      <w:widowControl/>
      <w:pBdr>
        <w:top w:val="single" w:color="auto" w:sz="4" w:space="0"/>
        <w:bottom w:val="single" w:color="auto" w:sz="4" w:space="0"/>
      </w:pBdr>
      <w:spacing w:before="100" w:beforeAutospacing="1" w:after="100" w:afterAutospacing="1"/>
      <w:jc w:val="center"/>
      <w:textAlignment w:val="center"/>
    </w:pPr>
    <w:rPr>
      <w:rFonts w:ascii="Arial Unicode MS" w:hAnsi="Arial Unicode MS"/>
    </w:rPr>
  </w:style>
  <w:style w:type="paragraph" w:customStyle="1" w:styleId="323">
    <w:name w:val="样式 黑色1"/>
    <w:basedOn w:val="1"/>
    <w:autoRedefine/>
    <w:qFormat/>
    <w:uiPriority w:val="0"/>
    <w:rPr>
      <w:rFonts w:cs="宋体"/>
      <w:color w:val="000000"/>
      <w:sz w:val="21"/>
      <w:szCs w:val="20"/>
    </w:rPr>
  </w:style>
  <w:style w:type="paragraph" w:customStyle="1" w:styleId="324">
    <w:name w:val="xl90"/>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left"/>
    </w:pPr>
    <w:rPr>
      <w:rFonts w:hint="eastAsia" w:ascii="宋体" w:hAnsi="宋体"/>
      <w:color w:val="000000"/>
      <w:sz w:val="16"/>
      <w:szCs w:val="16"/>
    </w:rPr>
  </w:style>
  <w:style w:type="paragraph" w:customStyle="1" w:styleId="325">
    <w:name w:val="xl60"/>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pPr>
    <w:rPr>
      <w:sz w:val="12"/>
      <w:szCs w:val="20"/>
    </w:rPr>
  </w:style>
  <w:style w:type="paragraph" w:customStyle="1" w:styleId="326">
    <w:name w:val="xl138"/>
    <w:basedOn w:val="1"/>
    <w:autoRedefine/>
    <w:qFormat/>
    <w:uiPriority w:val="0"/>
    <w:pPr>
      <w:widowControl/>
      <w:pBdr>
        <w:left w:val="single" w:color="auto" w:sz="4" w:space="0"/>
        <w:bottom w:val="single" w:color="000000" w:sz="4" w:space="0"/>
        <w:right w:val="single" w:color="auto" w:sz="4" w:space="0"/>
      </w:pBdr>
      <w:spacing w:before="100" w:beforeAutospacing="1" w:after="100" w:afterAutospacing="1"/>
      <w:jc w:val="center"/>
    </w:pPr>
    <w:rPr>
      <w:rFonts w:ascii="宋体" w:hAnsi="宋体"/>
      <w:color w:val="000000"/>
      <w:sz w:val="20"/>
      <w:szCs w:val="20"/>
    </w:rPr>
  </w:style>
  <w:style w:type="paragraph" w:customStyle="1" w:styleId="327">
    <w:name w:val="xl42"/>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Arial Unicode MS" w:hAnsi="Arial Unicode MS"/>
    </w:rPr>
  </w:style>
  <w:style w:type="paragraph" w:customStyle="1" w:styleId="328">
    <w:name w:val="xl100"/>
    <w:basedOn w:val="1"/>
    <w:autoRedefine/>
    <w:qFormat/>
    <w:uiPriority w:val="0"/>
    <w:pPr>
      <w:widowControl/>
      <w:pBdr>
        <w:top w:val="single" w:color="auto" w:sz="4" w:space="0"/>
        <w:left w:val="single" w:color="auto" w:sz="4" w:space="20"/>
        <w:bottom w:val="single" w:color="auto" w:sz="4" w:space="0"/>
      </w:pBdr>
      <w:shd w:val="clear" w:color="auto" w:fill="FFFFFF"/>
      <w:spacing w:before="100" w:beforeAutospacing="1" w:after="100" w:afterAutospacing="1"/>
      <w:ind w:firstLine="100" w:firstLineChars="100"/>
      <w:jc w:val="left"/>
    </w:pPr>
    <w:rPr>
      <w:rFonts w:hint="eastAsia" w:ascii="宋体" w:hAnsi="宋体"/>
      <w:sz w:val="16"/>
      <w:szCs w:val="16"/>
    </w:rPr>
  </w:style>
  <w:style w:type="paragraph" w:customStyle="1" w:styleId="329">
    <w:name w:val="标题4"/>
    <w:basedOn w:val="5"/>
    <w:autoRedefine/>
    <w:qFormat/>
    <w:uiPriority w:val="0"/>
    <w:pPr>
      <w:spacing w:before="0" w:after="0" w:line="360" w:lineRule="auto"/>
    </w:pPr>
    <w:rPr>
      <w:bCs w:val="0"/>
    </w:rPr>
  </w:style>
  <w:style w:type="paragraph" w:customStyle="1" w:styleId="330">
    <w:name w:val="xl105"/>
    <w:basedOn w:val="1"/>
    <w:autoRedefine/>
    <w:qFormat/>
    <w:uiPriority w:val="0"/>
    <w:pPr>
      <w:widowControl/>
      <w:pBdr>
        <w:top w:val="single" w:color="auto" w:sz="4" w:space="0"/>
      </w:pBdr>
      <w:shd w:val="clear" w:color="auto" w:fill="00FF00"/>
      <w:spacing w:before="100" w:beforeAutospacing="1" w:after="100" w:afterAutospacing="1"/>
      <w:jc w:val="center"/>
    </w:pPr>
    <w:rPr>
      <w:rFonts w:hint="eastAsia" w:ascii="宋体" w:hAnsi="宋体"/>
      <w:color w:val="000000"/>
      <w:sz w:val="16"/>
      <w:szCs w:val="16"/>
    </w:rPr>
  </w:style>
  <w:style w:type="paragraph" w:customStyle="1" w:styleId="331">
    <w:name w:val="xl53"/>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textAlignment w:val="center"/>
    </w:pPr>
    <w:rPr>
      <w:rFonts w:ascii="宋体" w:hAnsi="宋体"/>
      <w:color w:val="000000"/>
      <w:sz w:val="12"/>
      <w:szCs w:val="20"/>
    </w:rPr>
  </w:style>
  <w:style w:type="paragraph" w:customStyle="1" w:styleId="332">
    <w:name w:val="xl2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sz w:val="16"/>
      <w:szCs w:val="16"/>
    </w:rPr>
  </w:style>
  <w:style w:type="paragraph" w:customStyle="1" w:styleId="333">
    <w:name w:val="xl9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jc w:val="left"/>
    </w:pPr>
    <w:rPr>
      <w:rFonts w:hint="eastAsia" w:ascii="宋体" w:hAnsi="宋体"/>
      <w:color w:val="000000"/>
      <w:sz w:val="16"/>
      <w:szCs w:val="16"/>
    </w:rPr>
  </w:style>
  <w:style w:type="paragraph" w:customStyle="1" w:styleId="334">
    <w:name w:val="xl22"/>
    <w:basedOn w:val="1"/>
    <w:autoRedefine/>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Arial Unicode MS" w:cs="Arial Unicode MS"/>
      <w:szCs w:val="21"/>
    </w:rPr>
  </w:style>
  <w:style w:type="paragraph" w:customStyle="1" w:styleId="335">
    <w:name w:val="Char2"/>
    <w:basedOn w:val="1"/>
    <w:autoRedefine/>
    <w:qFormat/>
    <w:uiPriority w:val="0"/>
    <w:pPr>
      <w:widowControl/>
      <w:spacing w:before="60" w:after="160" w:line="240" w:lineRule="exact"/>
      <w:ind w:firstLine="200"/>
      <w:jc w:val="left"/>
    </w:pPr>
    <w:rPr>
      <w:rFonts w:ascii="Verdana" w:hAnsi="Verdana" w:eastAsia="楷体_GB2312"/>
      <w:i/>
      <w:iCs/>
      <w:color w:val="000000"/>
      <w:sz w:val="20"/>
      <w:szCs w:val="20"/>
      <w:lang w:eastAsia="en-US"/>
    </w:rPr>
  </w:style>
  <w:style w:type="paragraph" w:customStyle="1" w:styleId="336">
    <w:name w:val="表名"/>
    <w:basedOn w:val="1"/>
    <w:autoRedefine/>
    <w:qFormat/>
    <w:uiPriority w:val="0"/>
    <w:pPr>
      <w:spacing w:afterLines="50" w:line="420" w:lineRule="atLeast"/>
      <w:jc w:val="center"/>
    </w:pPr>
    <w:rPr>
      <w:szCs w:val="20"/>
    </w:rPr>
  </w:style>
  <w:style w:type="paragraph" w:customStyle="1" w:styleId="337">
    <w:name w:val="样式4"/>
    <w:basedOn w:val="1"/>
    <w:next w:val="37"/>
    <w:autoRedefine/>
    <w:qFormat/>
    <w:uiPriority w:val="0"/>
    <w:rPr>
      <w:sz w:val="28"/>
      <w:szCs w:val="28"/>
    </w:rPr>
  </w:style>
  <w:style w:type="paragraph" w:customStyle="1" w:styleId="338">
    <w:name w:val="xl57"/>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pPr>
    <w:rPr>
      <w:rFonts w:ascii="宋体" w:hAnsi="宋体"/>
      <w:sz w:val="12"/>
      <w:szCs w:val="20"/>
    </w:rPr>
  </w:style>
  <w:style w:type="paragraph" w:customStyle="1" w:styleId="339">
    <w:name w:val="xl101"/>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jc w:val="center"/>
    </w:pPr>
    <w:rPr>
      <w:rFonts w:hint="eastAsia" w:ascii="宋体" w:hAnsi="宋体"/>
      <w:color w:val="000000"/>
      <w:sz w:val="16"/>
      <w:szCs w:val="16"/>
    </w:rPr>
  </w:style>
  <w:style w:type="paragraph" w:customStyle="1" w:styleId="340">
    <w:name w:val="xl111"/>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hint="eastAsia" w:ascii="宋体" w:hAnsi="宋体"/>
      <w:color w:val="000000"/>
    </w:rPr>
  </w:style>
  <w:style w:type="paragraph" w:customStyle="1" w:styleId="341">
    <w:name w:val="xl56"/>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after="100"/>
      <w:jc w:val="center"/>
    </w:pPr>
    <w:rPr>
      <w:rFonts w:ascii="宋体" w:hAnsi="宋体"/>
      <w:sz w:val="12"/>
      <w:szCs w:val="20"/>
    </w:rPr>
  </w:style>
  <w:style w:type="paragraph" w:customStyle="1" w:styleId="342">
    <w:name w:val="xl45"/>
    <w:basedOn w:val="1"/>
    <w:autoRedefine/>
    <w:qFormat/>
    <w:uiPriority w:val="0"/>
    <w:pPr>
      <w:widowControl/>
      <w:pBdr>
        <w:bottom w:val="single" w:color="auto" w:sz="4" w:space="0"/>
      </w:pBdr>
      <w:spacing w:before="100" w:beforeAutospacing="1" w:after="100" w:afterAutospacing="1"/>
      <w:jc w:val="left"/>
      <w:textAlignment w:val="center"/>
    </w:pPr>
    <w:rPr>
      <w:rFonts w:ascii="Arial Unicode MS" w:hAnsi="Arial Unicode MS"/>
      <w:b/>
      <w:bCs/>
      <w:sz w:val="32"/>
      <w:szCs w:val="32"/>
    </w:rPr>
  </w:style>
  <w:style w:type="paragraph" w:customStyle="1" w:styleId="343">
    <w:name w:val="xl102"/>
    <w:basedOn w:val="1"/>
    <w:autoRedefine/>
    <w:qFormat/>
    <w:uiPriority w:val="0"/>
    <w:pPr>
      <w:widowControl/>
      <w:pBdr>
        <w:top w:val="single" w:color="auto" w:sz="4" w:space="0"/>
        <w:bottom w:val="single" w:color="auto" w:sz="4" w:space="0"/>
        <w:right w:val="single" w:color="auto" w:sz="4" w:space="0"/>
      </w:pBdr>
      <w:shd w:val="clear" w:color="auto" w:fill="FFFF00"/>
      <w:spacing w:before="100" w:beforeAutospacing="1" w:after="100" w:afterAutospacing="1"/>
      <w:jc w:val="left"/>
    </w:pPr>
    <w:rPr>
      <w:rFonts w:hint="eastAsia" w:ascii="宋体" w:hAnsi="宋体"/>
      <w:color w:val="000000"/>
      <w:sz w:val="16"/>
      <w:szCs w:val="16"/>
    </w:rPr>
  </w:style>
  <w:style w:type="paragraph" w:customStyle="1" w:styleId="344">
    <w:name w:val="样式2"/>
    <w:autoRedefine/>
    <w:qFormat/>
    <w:uiPriority w:val="0"/>
    <w:rPr>
      <w:rFonts w:ascii="Times New Roman" w:hAnsi="Times New Roman" w:eastAsia="宋体" w:cs="Times New Roman"/>
      <w:kern w:val="2"/>
      <w:sz w:val="21"/>
      <w:szCs w:val="21"/>
      <w:lang w:val="en-US" w:eastAsia="zh-CN" w:bidi="ar-SA"/>
    </w:rPr>
  </w:style>
  <w:style w:type="paragraph" w:customStyle="1" w:styleId="345">
    <w:name w:val="样式 宋体 四号 居中"/>
    <w:basedOn w:val="1"/>
    <w:autoRedefine/>
    <w:qFormat/>
    <w:uiPriority w:val="0"/>
    <w:pPr>
      <w:jc w:val="center"/>
    </w:pPr>
    <w:rPr>
      <w:rFonts w:ascii="宋体" w:hAnsi="宋体" w:cs="宋体"/>
      <w:sz w:val="21"/>
      <w:szCs w:val="21"/>
    </w:rPr>
  </w:style>
  <w:style w:type="paragraph" w:customStyle="1" w:styleId="346">
    <w:name w:val="表"/>
    <w:basedOn w:val="1"/>
    <w:autoRedefine/>
    <w:qFormat/>
    <w:uiPriority w:val="0"/>
    <w:pPr>
      <w:spacing w:line="400" w:lineRule="exact"/>
      <w:jc w:val="center"/>
    </w:pPr>
  </w:style>
  <w:style w:type="paragraph" w:customStyle="1" w:styleId="347">
    <w:name w:val="xl4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sz w:val="16"/>
      <w:szCs w:val="16"/>
    </w:rPr>
  </w:style>
  <w:style w:type="paragraph" w:customStyle="1" w:styleId="348">
    <w:name w:val="样式 左侧:  -0.25 厘米"/>
    <w:basedOn w:val="1"/>
    <w:autoRedefine/>
    <w:qFormat/>
    <w:uiPriority w:val="0"/>
    <w:rPr>
      <w:rFonts w:cs="宋体"/>
      <w:sz w:val="21"/>
      <w:szCs w:val="20"/>
    </w:rPr>
  </w:style>
  <w:style w:type="paragraph" w:customStyle="1" w:styleId="349">
    <w:name w:val="xl116"/>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hint="eastAsia" w:ascii="宋体" w:hAnsi="宋体"/>
      <w:color w:val="000000"/>
    </w:rPr>
  </w:style>
  <w:style w:type="paragraph" w:customStyle="1" w:styleId="350">
    <w:name w:val="xl140"/>
    <w:basedOn w:val="1"/>
    <w:autoRedefine/>
    <w:qFormat/>
    <w:uiPriority w:val="0"/>
    <w:pPr>
      <w:widowControl/>
      <w:pBdr>
        <w:top w:val="single" w:color="auto" w:sz="4" w:space="0"/>
        <w:bottom w:val="single" w:color="auto" w:sz="4" w:space="0"/>
        <w:right w:val="single" w:color="auto" w:sz="4" w:space="0"/>
      </w:pBdr>
      <w:shd w:val="clear" w:color="auto" w:fill="FFFFFF"/>
      <w:spacing w:before="100" w:beforeAutospacing="1" w:after="100" w:afterAutospacing="1"/>
      <w:jc w:val="right"/>
    </w:pPr>
    <w:rPr>
      <w:color w:val="000000"/>
      <w:sz w:val="20"/>
      <w:szCs w:val="20"/>
    </w:rPr>
  </w:style>
  <w:style w:type="paragraph" w:customStyle="1" w:styleId="351">
    <w:name w:val="font16"/>
    <w:basedOn w:val="1"/>
    <w:autoRedefine/>
    <w:qFormat/>
    <w:uiPriority w:val="0"/>
    <w:pPr>
      <w:widowControl/>
      <w:spacing w:before="100" w:beforeAutospacing="1" w:after="100" w:afterAutospacing="1"/>
      <w:jc w:val="left"/>
    </w:pPr>
    <w:rPr>
      <w:rFonts w:hint="eastAsia" w:ascii="宋体" w:hAnsi="宋体"/>
      <w:color w:val="000000"/>
      <w:sz w:val="20"/>
      <w:szCs w:val="20"/>
    </w:rPr>
  </w:style>
  <w:style w:type="paragraph" w:customStyle="1" w:styleId="352">
    <w:name w:val="样式 标题 3 + 宋体 小四"/>
    <w:basedOn w:val="5"/>
    <w:autoRedefine/>
    <w:qFormat/>
    <w:uiPriority w:val="0"/>
    <w:pPr>
      <w:spacing w:before="0" w:after="0" w:line="360" w:lineRule="auto"/>
    </w:pPr>
    <w:rPr>
      <w:rFonts w:ascii="宋体" w:hAnsi="宋体"/>
    </w:rPr>
  </w:style>
  <w:style w:type="paragraph" w:customStyle="1" w:styleId="353">
    <w:name w:val="xl8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left"/>
    </w:pPr>
    <w:rPr>
      <w:rFonts w:hint="eastAsia" w:ascii="宋体" w:hAnsi="宋体"/>
      <w:color w:val="000000"/>
      <w:sz w:val="16"/>
      <w:szCs w:val="16"/>
    </w:rPr>
  </w:style>
  <w:style w:type="paragraph" w:customStyle="1" w:styleId="354">
    <w:name w:val="xl71"/>
    <w:basedOn w:val="1"/>
    <w:autoRedefine/>
    <w:qFormat/>
    <w:uiPriority w:val="0"/>
    <w:pPr>
      <w:widowControl/>
      <w:pBdr>
        <w:top w:val="single" w:color="auto" w:sz="4" w:space="0"/>
        <w:left w:val="single" w:color="auto" w:sz="4" w:space="20"/>
        <w:bottom w:val="single" w:color="auto" w:sz="4" w:space="0"/>
        <w:right w:val="single" w:color="auto" w:sz="4" w:space="0"/>
      </w:pBdr>
      <w:shd w:val="clear" w:color="auto" w:fill="FFFFFF"/>
      <w:spacing w:before="100" w:beforeAutospacing="1" w:after="100" w:afterAutospacing="1"/>
      <w:ind w:firstLine="100" w:firstLineChars="100"/>
      <w:jc w:val="left"/>
    </w:pPr>
    <w:rPr>
      <w:rFonts w:hint="eastAsia" w:ascii="宋体" w:hAnsi="宋体"/>
      <w:sz w:val="16"/>
      <w:szCs w:val="16"/>
    </w:rPr>
  </w:style>
  <w:style w:type="paragraph" w:customStyle="1" w:styleId="355">
    <w:name w:val="样式 标题 4 + 段前: 0 磅 段后: 0 磅 行距: 1.5 倍行距"/>
    <w:basedOn w:val="6"/>
    <w:autoRedefine/>
    <w:qFormat/>
    <w:uiPriority w:val="0"/>
    <w:rPr>
      <w:rFonts w:eastAsia="宋体"/>
      <w:color w:val="000000"/>
      <w:kern w:val="44"/>
    </w:rPr>
  </w:style>
  <w:style w:type="paragraph" w:customStyle="1" w:styleId="356">
    <w:name w:val="Char Char Char"/>
    <w:basedOn w:val="1"/>
    <w:autoRedefine/>
    <w:qFormat/>
    <w:uiPriority w:val="0"/>
    <w:pPr>
      <w:spacing w:line="360" w:lineRule="auto"/>
      <w:ind w:firstLine="200"/>
    </w:pPr>
  </w:style>
  <w:style w:type="paragraph" w:customStyle="1" w:styleId="357">
    <w:name w:val="xl8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000000"/>
      <w:sz w:val="16"/>
      <w:szCs w:val="16"/>
    </w:rPr>
  </w:style>
  <w:style w:type="paragraph" w:customStyle="1" w:styleId="358">
    <w:name w:val="xl93"/>
    <w:basedOn w:val="1"/>
    <w:autoRedefine/>
    <w:qFormat/>
    <w:uiPriority w:val="0"/>
    <w:pPr>
      <w:widowControl/>
      <w:shd w:val="clear" w:color="auto" w:fill="FFFFFF"/>
      <w:spacing w:before="100" w:beforeAutospacing="1" w:after="100" w:afterAutospacing="1"/>
      <w:jc w:val="left"/>
    </w:pPr>
    <w:rPr>
      <w:rFonts w:hint="eastAsia" w:ascii="宋体" w:hAnsi="宋体"/>
      <w:color w:val="000000"/>
      <w:sz w:val="16"/>
      <w:szCs w:val="16"/>
    </w:rPr>
  </w:style>
  <w:style w:type="paragraph" w:customStyle="1" w:styleId="359">
    <w:name w:val="xl30"/>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left"/>
    </w:pPr>
    <w:rPr>
      <w:sz w:val="16"/>
      <w:szCs w:val="16"/>
    </w:rPr>
  </w:style>
  <w:style w:type="paragraph" w:customStyle="1" w:styleId="360">
    <w:name w:val="xl84"/>
    <w:basedOn w:val="1"/>
    <w:autoRedefine/>
    <w:qFormat/>
    <w:uiPriority w:val="0"/>
    <w:pPr>
      <w:widowControl/>
      <w:pBdr>
        <w:top w:val="single" w:color="auto" w:sz="4" w:space="0"/>
        <w:bottom w:val="single" w:color="auto" w:sz="4" w:space="0"/>
      </w:pBdr>
      <w:shd w:val="clear" w:color="auto" w:fill="FFFFFF"/>
      <w:spacing w:before="100" w:beforeAutospacing="1" w:after="100" w:afterAutospacing="1"/>
      <w:jc w:val="center"/>
    </w:pPr>
    <w:rPr>
      <w:rFonts w:hint="eastAsia" w:ascii="宋体" w:hAnsi="宋体"/>
      <w:sz w:val="16"/>
      <w:szCs w:val="16"/>
    </w:rPr>
  </w:style>
  <w:style w:type="paragraph" w:customStyle="1" w:styleId="361">
    <w:name w:val="xl127"/>
    <w:basedOn w:val="1"/>
    <w:autoRedefine/>
    <w:qFormat/>
    <w:uiPriority w:val="0"/>
    <w:pPr>
      <w:widowControl/>
      <w:pBdr>
        <w:top w:val="single" w:color="auto" w:sz="4" w:space="0"/>
        <w:left w:val="single" w:color="auto" w:sz="4" w:space="0"/>
        <w:bottom w:val="single" w:color="auto" w:sz="4" w:space="0"/>
      </w:pBdr>
      <w:shd w:val="clear" w:color="auto" w:fill="FFFFFF"/>
      <w:spacing w:before="100" w:beforeAutospacing="1" w:after="100" w:afterAutospacing="1"/>
      <w:jc w:val="center"/>
      <w:textAlignment w:val="center"/>
    </w:pPr>
    <w:rPr>
      <w:rFonts w:hint="eastAsia" w:ascii="宋体" w:hAnsi="宋体"/>
      <w:color w:val="000000"/>
    </w:rPr>
  </w:style>
  <w:style w:type="paragraph" w:customStyle="1" w:styleId="362">
    <w:name w:val="xl69"/>
    <w:basedOn w:val="1"/>
    <w:autoRedefine/>
    <w:qFormat/>
    <w:uiPriority w:val="0"/>
    <w:pPr>
      <w:widowControl/>
      <w:pBdr>
        <w:bottom w:val="single" w:color="auto" w:sz="4" w:space="0"/>
      </w:pBdr>
      <w:spacing w:before="100" w:beforeAutospacing="1" w:after="100" w:afterAutospacing="1"/>
      <w:jc w:val="left"/>
    </w:pPr>
    <w:rPr>
      <w:rFonts w:hint="eastAsia" w:ascii="宋体" w:hAnsi="宋体"/>
      <w:color w:val="000000"/>
      <w:sz w:val="16"/>
      <w:szCs w:val="16"/>
    </w:rPr>
  </w:style>
  <w:style w:type="paragraph" w:customStyle="1" w:styleId="363">
    <w:name w:val="xl7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FF0000"/>
      <w:sz w:val="16"/>
      <w:szCs w:val="16"/>
    </w:rPr>
  </w:style>
  <w:style w:type="paragraph" w:customStyle="1" w:styleId="364">
    <w:name w:val=" Char Char Char2 Char"/>
    <w:basedOn w:val="1"/>
    <w:autoRedefine/>
    <w:qFormat/>
    <w:uiPriority w:val="0"/>
    <w:pPr>
      <w:overflowPunct/>
      <w:topLinePunct w:val="0"/>
      <w:adjustRightInd/>
      <w:snapToGrid/>
      <w:spacing w:before="0" w:line="240" w:lineRule="auto"/>
      <w:ind w:firstLine="0" w:firstLineChars="0"/>
    </w:pPr>
    <w:rPr>
      <w:rFonts w:hAnsi="Times New Roman"/>
      <w:kern w:val="2"/>
      <w:sz w:val="21"/>
      <w:szCs w:val="21"/>
    </w:rPr>
  </w:style>
  <w:style w:type="paragraph" w:customStyle="1" w:styleId="365">
    <w:name w:val="HCH正文"/>
    <w:autoRedefine/>
    <w:qFormat/>
    <w:uiPriority w:val="0"/>
    <w:pPr>
      <w:spacing w:line="360" w:lineRule="auto"/>
      <w:ind w:firstLine="200" w:firstLineChars="200"/>
    </w:pPr>
    <w:rPr>
      <w:rFonts w:ascii="Times New Roman" w:hAnsi="Times New Roman" w:eastAsia="宋体" w:cs="Times New Roman"/>
      <w:bCs/>
      <w:kern w:val="2"/>
      <w:sz w:val="24"/>
      <w:szCs w:val="24"/>
      <w:lang w:val="en-US" w:eastAsia="zh-CN" w:bidi="ar-SA"/>
    </w:rPr>
  </w:style>
  <w:style w:type="paragraph" w:customStyle="1" w:styleId="366">
    <w:name w:val="xl97"/>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jc w:val="center"/>
    </w:pPr>
    <w:rPr>
      <w:rFonts w:hint="eastAsia" w:ascii="宋体" w:hAnsi="宋体"/>
      <w:color w:val="000000"/>
      <w:sz w:val="16"/>
      <w:szCs w:val="16"/>
    </w:rPr>
  </w:style>
  <w:style w:type="paragraph" w:customStyle="1" w:styleId="367">
    <w:name w:val="Char Char Char Char Char Char Char Char Char Char Char Char1"/>
    <w:basedOn w:val="1"/>
    <w:autoRedefine/>
    <w:qFormat/>
    <w:uiPriority w:val="0"/>
    <w:pPr>
      <w:adjustRightInd/>
      <w:spacing w:line="360" w:lineRule="auto"/>
      <w:ind w:firstLine="200"/>
    </w:pPr>
    <w:rPr>
      <w:rFonts w:ascii="Times New Roman"/>
      <w:b/>
      <w:kern w:val="2"/>
    </w:rPr>
  </w:style>
  <w:style w:type="paragraph" w:customStyle="1" w:styleId="368">
    <w:name w:val="xl141"/>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pPr>
    <w:rPr>
      <w:rFonts w:ascii="宋体" w:hAnsi="宋体"/>
      <w:color w:val="000000"/>
      <w:sz w:val="20"/>
      <w:szCs w:val="20"/>
    </w:rPr>
  </w:style>
  <w:style w:type="paragraph" w:customStyle="1" w:styleId="369">
    <w:name w:val="xl103"/>
    <w:basedOn w:val="1"/>
    <w:autoRedefine/>
    <w:qFormat/>
    <w:uiPriority w:val="0"/>
    <w:pPr>
      <w:widowControl/>
      <w:shd w:val="clear" w:color="auto" w:fill="00FF00"/>
      <w:spacing w:before="100" w:beforeAutospacing="1" w:after="100" w:afterAutospacing="1"/>
      <w:jc w:val="center"/>
    </w:pPr>
    <w:rPr>
      <w:rFonts w:hint="eastAsia" w:ascii="宋体" w:hAnsi="宋体"/>
      <w:color w:val="000000"/>
      <w:sz w:val="16"/>
      <w:szCs w:val="16"/>
    </w:rPr>
  </w:style>
  <w:style w:type="paragraph" w:customStyle="1" w:styleId="370">
    <w:name w:val="Char Char Char2"/>
    <w:basedOn w:val="1"/>
    <w:autoRedefine/>
    <w:qFormat/>
    <w:uiPriority w:val="0"/>
    <w:pPr>
      <w:adjustRightInd/>
      <w:spacing w:line="360" w:lineRule="auto"/>
      <w:ind w:firstLine="200"/>
    </w:pPr>
    <w:rPr>
      <w:rFonts w:ascii="Times New Roman"/>
      <w:b/>
      <w:kern w:val="2"/>
    </w:rPr>
  </w:style>
  <w:style w:type="paragraph" w:customStyle="1" w:styleId="371">
    <w:name w:val="xl106"/>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00FF00"/>
      <w:spacing w:before="100" w:beforeAutospacing="1" w:after="100" w:afterAutospacing="1"/>
      <w:jc w:val="left"/>
    </w:pPr>
    <w:rPr>
      <w:rFonts w:hint="eastAsia" w:ascii="宋体" w:hAnsi="宋体"/>
      <w:color w:val="000000"/>
      <w:sz w:val="16"/>
      <w:szCs w:val="16"/>
    </w:rPr>
  </w:style>
  <w:style w:type="paragraph" w:customStyle="1" w:styleId="372">
    <w:name w:val="xl107"/>
    <w:basedOn w:val="1"/>
    <w:autoRedefine/>
    <w:qFormat/>
    <w:uiPriority w:val="0"/>
    <w:pPr>
      <w:widowControl/>
      <w:spacing w:before="100" w:beforeAutospacing="1" w:after="100" w:afterAutospacing="1"/>
      <w:jc w:val="center"/>
    </w:pPr>
    <w:rPr>
      <w:rFonts w:hint="eastAsia" w:ascii="宋体" w:hAnsi="宋体"/>
      <w:color w:val="000000"/>
      <w:sz w:val="16"/>
      <w:szCs w:val="16"/>
    </w:rPr>
  </w:style>
  <w:style w:type="paragraph" w:customStyle="1" w:styleId="373">
    <w:name w:val="xl108"/>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jc w:val="left"/>
    </w:pPr>
    <w:rPr>
      <w:rFonts w:hint="eastAsia" w:ascii="宋体" w:hAnsi="宋体"/>
      <w:color w:val="000000"/>
    </w:rPr>
  </w:style>
  <w:style w:type="paragraph" w:customStyle="1" w:styleId="374">
    <w:name w:val="样式 黑色2"/>
    <w:basedOn w:val="1"/>
    <w:autoRedefine/>
    <w:qFormat/>
    <w:uiPriority w:val="0"/>
    <w:pPr>
      <w:ind w:firstLine="147" w:firstLineChars="147"/>
    </w:pPr>
    <w:rPr>
      <w:rFonts w:cs="宋体"/>
      <w:color w:val="000000"/>
      <w:sz w:val="21"/>
      <w:szCs w:val="20"/>
    </w:rPr>
  </w:style>
  <w:style w:type="paragraph" w:customStyle="1" w:styleId="375">
    <w:name w:val="xl118"/>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rFonts w:hint="eastAsia" w:ascii="宋体" w:hAnsi="宋体"/>
      <w:color w:val="000000"/>
    </w:rPr>
  </w:style>
  <w:style w:type="paragraph" w:customStyle="1" w:styleId="376">
    <w:name w:val="xl135"/>
    <w:basedOn w:val="1"/>
    <w:autoRedefine/>
    <w:qFormat/>
    <w:uiPriority w:val="0"/>
    <w:pPr>
      <w:widowControl/>
      <w:pBdr>
        <w:top w:val="single" w:color="auto" w:sz="4" w:space="0"/>
        <w:bottom w:val="single" w:color="auto" w:sz="4" w:space="0"/>
        <w:right w:val="single" w:color="000000" w:sz="4" w:space="0"/>
      </w:pBdr>
      <w:shd w:val="clear" w:color="auto" w:fill="FFFFFF"/>
      <w:spacing w:before="100" w:beforeAutospacing="1" w:after="100" w:afterAutospacing="1"/>
      <w:jc w:val="center"/>
    </w:pPr>
    <w:rPr>
      <w:rFonts w:ascii="宋体" w:hAnsi="宋体"/>
      <w:color w:val="000000"/>
      <w:sz w:val="20"/>
      <w:szCs w:val="20"/>
    </w:rPr>
  </w:style>
  <w:style w:type="paragraph" w:customStyle="1" w:styleId="377">
    <w:name w:val="封面英文"/>
    <w:basedOn w:val="1"/>
    <w:autoRedefine/>
    <w:qFormat/>
    <w:uiPriority w:val="0"/>
    <w:pPr>
      <w:spacing w:line="360" w:lineRule="auto"/>
      <w:ind w:firstLine="200"/>
      <w:jc w:val="center"/>
    </w:pPr>
    <w:rPr>
      <w:rFonts w:eastAsia="黑体"/>
      <w:kern w:val="44"/>
      <w:sz w:val="36"/>
      <w:szCs w:val="36"/>
    </w:rPr>
  </w:style>
  <w:style w:type="paragraph" w:styleId="378">
    <w:name w:val="List Paragraph"/>
    <w:basedOn w:val="1"/>
    <w:autoRedefine/>
    <w:qFormat/>
    <w:uiPriority w:val="34"/>
    <w:pPr>
      <w:ind w:firstLine="420"/>
    </w:pPr>
  </w:style>
  <w:style w:type="paragraph" w:customStyle="1" w:styleId="379">
    <w:name w:val="报告名称"/>
    <w:basedOn w:val="1"/>
    <w:autoRedefine/>
    <w:qFormat/>
    <w:uiPriority w:val="0"/>
    <w:pPr>
      <w:overflowPunct/>
      <w:topLinePunct w:val="0"/>
      <w:adjustRightInd/>
      <w:snapToGrid/>
      <w:spacing w:before="0" w:line="240" w:lineRule="auto"/>
      <w:ind w:firstLine="0" w:firstLineChars="0"/>
      <w:jc w:val="center"/>
    </w:pPr>
    <w:rPr>
      <w:rFonts w:ascii="黑体" w:hAnsi="Times New Roman" w:eastAsia="黑体" w:cs="宋体"/>
      <w:b/>
      <w:kern w:val="2"/>
      <w:sz w:val="72"/>
      <w:szCs w:val="48"/>
    </w:rPr>
  </w:style>
  <w:style w:type="paragraph" w:customStyle="1" w:styleId="380">
    <w:name w:val=" Char Char Char Char"/>
    <w:basedOn w:val="1"/>
    <w:autoRedefine/>
    <w:qFormat/>
    <w:uiPriority w:val="0"/>
    <w:pPr>
      <w:overflowPunct/>
      <w:topLinePunct w:val="0"/>
      <w:adjustRightInd/>
      <w:snapToGrid/>
      <w:spacing w:before="0" w:line="240" w:lineRule="auto"/>
      <w:ind w:firstLine="0" w:firstLineChars="0"/>
    </w:pPr>
    <w:rPr>
      <w:rFonts w:ascii="Tahoma" w:hAnsi="Tahoma"/>
      <w:snapToGrid w:val="0"/>
      <w:sz w:val="24"/>
      <w:szCs w:val="20"/>
    </w:rPr>
  </w:style>
  <w:style w:type="paragraph" w:customStyle="1" w:styleId="381">
    <w:name w:val="Char2 Char Char Char1"/>
    <w:basedOn w:val="1"/>
    <w:autoRedefine/>
    <w:semiHidden/>
    <w:qFormat/>
    <w:uiPriority w:val="0"/>
    <w:pPr>
      <w:adjustRightInd/>
      <w:snapToGrid/>
      <w:spacing w:line="240" w:lineRule="auto"/>
      <w:ind w:firstLine="200"/>
    </w:pPr>
    <w:rPr>
      <w:rFonts w:ascii="Times New Roman" w:eastAsia="宋体" w:cs="宋体"/>
      <w:szCs w:val="20"/>
    </w:rPr>
  </w:style>
  <w:style w:type="paragraph" w:customStyle="1" w:styleId="382">
    <w:name w:val="Char2 Char Char Char1 Char Char Char1"/>
    <w:basedOn w:val="1"/>
    <w:autoRedefine/>
    <w:semiHidden/>
    <w:qFormat/>
    <w:uiPriority w:val="0"/>
    <w:pPr>
      <w:adjustRightInd/>
      <w:snapToGrid/>
      <w:spacing w:line="360" w:lineRule="auto"/>
      <w:ind w:firstLine="200"/>
    </w:pPr>
    <w:rPr>
      <w:rFonts w:ascii="ˎ̥" w:hAnsi="ˎ̥" w:eastAsia="宋体" w:cs="宋体"/>
      <w:szCs w:val="20"/>
    </w:rPr>
  </w:style>
  <w:style w:type="paragraph" w:customStyle="1" w:styleId="383">
    <w:name w:val="样式10"/>
    <w:basedOn w:val="1"/>
    <w:autoRedefine/>
    <w:qFormat/>
    <w:uiPriority w:val="0"/>
    <w:pPr>
      <w:overflowPunct/>
      <w:topLinePunct w:val="0"/>
      <w:spacing w:before="20" w:beforeLines="20" w:after="20" w:afterLines="20" w:line="240" w:lineRule="auto"/>
      <w:ind w:firstLine="0" w:firstLineChars="0"/>
      <w:jc w:val="center"/>
    </w:pPr>
    <w:rPr>
      <w:rFonts w:ascii="宋体" w:eastAsia="楷体_GB2312"/>
      <w:kern w:val="2"/>
      <w:sz w:val="21"/>
      <w:szCs w:val="21"/>
    </w:rPr>
  </w:style>
  <w:style w:type="paragraph" w:customStyle="1" w:styleId="384">
    <w:name w:val="新标3"/>
    <w:basedOn w:val="5"/>
    <w:autoRedefine/>
    <w:qFormat/>
    <w:uiPriority w:val="0"/>
    <w:pPr>
      <w:keepNext/>
      <w:keepLines/>
      <w:overflowPunct/>
      <w:topLinePunct w:val="0"/>
      <w:adjustRightInd/>
      <w:snapToGrid/>
      <w:spacing w:before="260" w:after="260" w:line="416" w:lineRule="auto"/>
    </w:pPr>
    <w:rPr>
      <w:rFonts w:hAnsi="Times New Roman" w:eastAsia="宋体"/>
      <w:kern w:val="2"/>
      <w:sz w:val="30"/>
      <w:szCs w:val="32"/>
    </w:rPr>
  </w:style>
  <w:style w:type="paragraph" w:customStyle="1" w:styleId="385">
    <w:name w:val="_Style 381"/>
    <w:basedOn w:val="3"/>
    <w:next w:val="1"/>
    <w:autoRedefine/>
    <w:qFormat/>
    <w:uiPriority w:val="39"/>
    <w:pPr>
      <w:keepNext/>
      <w:keepLines/>
      <w:tabs>
        <w:tab w:val="clear" w:pos="180"/>
      </w:tabs>
      <w:spacing w:beforeLines="0" w:after="0" w:line="259" w:lineRule="auto"/>
      <w:jc w:val="left"/>
      <w:outlineLvl w:val="9"/>
    </w:pPr>
    <w:rPr>
      <w:rFonts w:ascii="Calibri Light" w:hAnsi="Calibri Light" w:eastAsia="宋体" w:cs="Times New Roman"/>
      <w:bCs w:val="0"/>
      <w:color w:val="2E74B5"/>
      <w:kern w:val="0"/>
    </w:rPr>
  </w:style>
  <w:style w:type="paragraph" w:customStyle="1" w:styleId="386">
    <w:name w:val="gyy正文"/>
    <w:basedOn w:val="1"/>
    <w:autoRedefine/>
    <w:qFormat/>
    <w:uiPriority w:val="0"/>
    <w:pPr>
      <w:ind w:firstLine="480" w:firstLineChars="200"/>
      <w:jc w:val="left"/>
    </w:pPr>
    <w:rPr>
      <w:rFonts w:hAnsi="Times New Roman" w:eastAsia="宋体"/>
      <w:color w:val="auto"/>
      <w:szCs w:val="20"/>
    </w:rPr>
  </w:style>
  <w:style w:type="paragraph" w:customStyle="1" w:styleId="387">
    <w:name w:val="报告正文"/>
    <w:basedOn w:val="1"/>
    <w:autoRedefine/>
    <w:qFormat/>
    <w:uiPriority w:val="0"/>
    <w:pPr>
      <w:ind w:firstLine="200" w:firstLineChars="200"/>
    </w:pPr>
    <w:rPr>
      <w:color w:val="auto"/>
      <w:szCs w:val="20"/>
    </w:rPr>
  </w:style>
  <w:style w:type="paragraph" w:customStyle="1" w:styleId="388">
    <w:name w:val="WPSOffice手动目录 1"/>
    <w:autoRedefine/>
    <w:qFormat/>
    <w:uiPriority w:val="0"/>
    <w:pPr>
      <w:ind w:leftChars="0"/>
    </w:pPr>
    <w:rPr>
      <w:rFonts w:ascii="Times New Roman" w:hAnsi="Times New Roman" w:eastAsia="宋体" w:cs="Times New Roman"/>
      <w:sz w:val="20"/>
      <w:szCs w:val="20"/>
    </w:rPr>
  </w:style>
  <w:style w:type="paragraph" w:customStyle="1" w:styleId="389">
    <w:name w:val="WPSOffice手动目录 2"/>
    <w:autoRedefine/>
    <w:qFormat/>
    <w:uiPriority w:val="0"/>
    <w:pPr>
      <w:ind w:leftChars="200"/>
    </w:pPr>
    <w:rPr>
      <w:rFonts w:ascii="Times New Roman" w:hAnsi="Times New Roman" w:eastAsia="宋体" w:cs="Times New Roman"/>
      <w:sz w:val="20"/>
      <w:szCs w:val="20"/>
    </w:rPr>
  </w:style>
  <w:style w:type="paragraph" w:customStyle="1" w:styleId="390">
    <w:name w:val="WPSOffice手动目录 3"/>
    <w:autoRedefine/>
    <w:qFormat/>
    <w:uiPriority w:val="0"/>
    <w:pPr>
      <w:ind w:leftChars="400"/>
    </w:pPr>
    <w:rPr>
      <w:rFonts w:ascii="Times New Roman" w:hAnsi="Times New Roman" w:eastAsia="宋体" w:cs="Times New Roman"/>
      <w:sz w:val="20"/>
      <w:szCs w:val="20"/>
    </w:rPr>
  </w:style>
  <w:style w:type="character" w:customStyle="1" w:styleId="391">
    <w:name w:val="font41"/>
    <w:basedOn w:val="47"/>
    <w:autoRedefine/>
    <w:qFormat/>
    <w:uiPriority w:val="0"/>
    <w:rPr>
      <w:rFonts w:hint="eastAsia" w:ascii="宋体" w:hAnsi="宋体" w:eastAsia="宋体" w:cs="宋体"/>
      <w:b/>
      <w:bCs/>
      <w:color w:val="FF0000"/>
      <w:sz w:val="24"/>
      <w:szCs w:val="24"/>
      <w:u w:val="none"/>
    </w:rPr>
  </w:style>
  <w:style w:type="character" w:customStyle="1" w:styleId="392">
    <w:name w:val="font61"/>
    <w:basedOn w:val="47"/>
    <w:autoRedefine/>
    <w:qFormat/>
    <w:uiPriority w:val="0"/>
    <w:rPr>
      <w:rFonts w:hint="default" w:ascii="Times New Roman" w:hAnsi="Times New Roman" w:cs="Times New Roman"/>
      <w:b/>
      <w:bCs/>
      <w:color w:val="FF0000"/>
      <w:sz w:val="24"/>
      <w:szCs w:val="24"/>
      <w:u w:val="none"/>
    </w:rPr>
  </w:style>
  <w:style w:type="character" w:customStyle="1" w:styleId="393">
    <w:name w:val="表头 Char"/>
    <w:link w:val="250"/>
    <w:autoRedefine/>
    <w:qFormat/>
    <w:uiPriority w:val="0"/>
    <w:rPr>
      <w:rFonts w:ascii="Times New Roman" w:hAnsi="Times New Roman" w:eastAsia="黑体"/>
      <w:b/>
      <w:color w:val="000000"/>
      <w:kern w:val="44"/>
      <w:sz w:val="24"/>
      <w:szCs w:val="24"/>
    </w:rPr>
  </w:style>
  <w:style w:type="paragraph" w:customStyle="1" w:styleId="394">
    <w:name w:val="Table Paragraph"/>
    <w:basedOn w:val="1"/>
    <w:autoRedefine/>
    <w:qFormat/>
    <w:uiPriority w:val="1"/>
    <w:rPr>
      <w:rFonts w:ascii="Times New Roman" w:hAnsi="Times New Roman" w:eastAsia="Times New Roman" w:cs="Times New Roman"/>
      <w:lang w:val="en-US" w:eastAsia="zh-CN" w:bidi="ar-SA"/>
    </w:rPr>
  </w:style>
  <w:style w:type="character" w:customStyle="1" w:styleId="395">
    <w:name w:val="表格文字 Char"/>
    <w:link w:val="396"/>
    <w:autoRedefine/>
    <w:qFormat/>
    <w:uiPriority w:val="0"/>
    <w:rPr>
      <w:rFonts w:ascii="Times New Roman" w:hAnsi="Times New Roman"/>
      <w:sz w:val="21"/>
      <w:szCs w:val="21"/>
    </w:rPr>
  </w:style>
  <w:style w:type="paragraph" w:customStyle="1" w:styleId="396">
    <w:name w:val="表格文字"/>
    <w:basedOn w:val="23"/>
    <w:link w:val="395"/>
    <w:autoRedefine/>
    <w:qFormat/>
    <w:uiPriority w:val="0"/>
    <w:pPr>
      <w:spacing w:line="240" w:lineRule="auto"/>
      <w:ind w:firstLine="0" w:firstLineChars="0"/>
      <w:jc w:val="center"/>
    </w:pPr>
    <w:rPr>
      <w:rFonts w:ascii="Times New Roman" w:hAnsi="Times New Roman"/>
      <w:sz w:val="21"/>
      <w:szCs w:val="21"/>
    </w:rPr>
  </w:style>
  <w:style w:type="paragraph" w:customStyle="1" w:styleId="397">
    <w:name w:val="样式 宋体 首行缩进:  2 字符"/>
    <w:basedOn w:val="1"/>
    <w:autoRedefine/>
    <w:qFormat/>
    <w:uiPriority w:val="0"/>
    <w:pPr>
      <w:spacing w:line="360" w:lineRule="auto"/>
      <w:ind w:firstLine="200"/>
    </w:pPr>
    <w:rPr>
      <w:rFonts w:cs="宋体"/>
      <w:szCs w:val="20"/>
    </w:rPr>
  </w:style>
  <w:style w:type="character" w:customStyle="1" w:styleId="398">
    <w:name w:val="font01"/>
    <w:basedOn w:val="47"/>
    <w:autoRedefine/>
    <w:qFormat/>
    <w:uiPriority w:val="0"/>
    <w:rPr>
      <w:rFonts w:hint="eastAsia" w:ascii="宋体" w:hAnsi="宋体" w:eastAsia="宋体" w:cs="宋体"/>
      <w:color w:val="000000"/>
      <w:sz w:val="24"/>
      <w:szCs w:val="24"/>
      <w:u w:val="none"/>
    </w:rPr>
  </w:style>
  <w:style w:type="character" w:customStyle="1" w:styleId="399">
    <w:name w:val="font31"/>
    <w:basedOn w:val="47"/>
    <w:autoRedefine/>
    <w:qFormat/>
    <w:uiPriority w:val="0"/>
    <w:rPr>
      <w:rFonts w:hint="eastAsia" w:ascii="宋体" w:hAnsi="宋体" w:eastAsia="宋体" w:cs="宋体"/>
      <w:b/>
      <w:bCs/>
      <w:color w:val="000000"/>
      <w:sz w:val="24"/>
      <w:szCs w:val="24"/>
      <w:u w:val="none"/>
    </w:rPr>
  </w:style>
  <w:style w:type="character" w:customStyle="1" w:styleId="400">
    <w:name w:val="font21"/>
    <w:basedOn w:val="47"/>
    <w:autoRedefine/>
    <w:qFormat/>
    <w:uiPriority w:val="0"/>
    <w:rPr>
      <w:rFonts w:hint="default" w:ascii="Times New Roman" w:hAnsi="Times New Roman" w:cs="Times New Roman"/>
      <w:b/>
      <w:bCs/>
      <w:color w:val="000000"/>
      <w:sz w:val="24"/>
      <w:szCs w:val="24"/>
      <w:u w:val="none"/>
    </w:rPr>
  </w:style>
  <w:style w:type="character" w:customStyle="1" w:styleId="401">
    <w:name w:val="font51"/>
    <w:basedOn w:val="47"/>
    <w:autoRedefine/>
    <w:qFormat/>
    <w:uiPriority w:val="0"/>
    <w:rPr>
      <w:rFonts w:hint="eastAsia" w:ascii="宋体" w:hAnsi="宋体" w:eastAsia="宋体" w:cs="宋体"/>
      <w:color w:val="000000"/>
      <w:sz w:val="23"/>
      <w:szCs w:val="23"/>
      <w:u w:val="none"/>
    </w:rPr>
  </w:style>
  <w:style w:type="paragraph" w:customStyle="1" w:styleId="402">
    <w:name w:val="表格表头"/>
    <w:basedOn w:val="23"/>
    <w:autoRedefine/>
    <w:qFormat/>
    <w:uiPriority w:val="0"/>
    <w:pPr>
      <w:ind w:firstLine="0" w:firstLineChars="0"/>
    </w:pPr>
    <w:rPr>
      <w:rFonts w:ascii="Times New Roman" w:hAnsi="Times New Roman" w:eastAsia="黑体"/>
      <w:sz w:val="24"/>
      <w:szCs w:val="24"/>
    </w:rPr>
  </w:style>
  <w:style w:type="paragraph" w:customStyle="1" w:styleId="403">
    <w:name w:val="表内文字"/>
    <w:basedOn w:val="404"/>
    <w:autoRedefine/>
    <w:qFormat/>
    <w:uiPriority w:val="0"/>
    <w:pPr>
      <w:spacing w:line="240" w:lineRule="auto"/>
    </w:pPr>
  </w:style>
  <w:style w:type="paragraph" w:customStyle="1" w:styleId="404">
    <w:name w:val="图、表标题"/>
    <w:basedOn w:val="1"/>
    <w:autoRedefine/>
    <w:qFormat/>
    <w:uiPriority w:val="0"/>
    <w:pPr>
      <w:ind w:firstLine="0" w:firstLineChars="0"/>
      <w:jc w:val="center"/>
    </w:pPr>
    <w:rPr>
      <w:kern w:val="0"/>
    </w:rPr>
  </w:style>
  <w:style w:type="paragraph" w:styleId="405">
    <w:name w:val="No Spacing"/>
    <w:autoRedefine/>
    <w:qFormat/>
    <w:uiPriority w:val="1"/>
    <w:pPr>
      <w:widowControl w:val="0"/>
      <w:adjustRightInd w:val="0"/>
      <w:snapToGrid w:val="0"/>
      <w:jc w:val="both"/>
    </w:pPr>
    <w:rPr>
      <w:rFonts w:ascii="Times New Roman" w:hAnsi="Times New Roman"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57.png"/><Relationship Id="rId98" Type="http://schemas.openxmlformats.org/officeDocument/2006/relationships/image" Target="media/image56.png"/><Relationship Id="rId97" Type="http://schemas.openxmlformats.org/officeDocument/2006/relationships/image" Target="media/image55.wmf"/><Relationship Id="rId96" Type="http://schemas.openxmlformats.org/officeDocument/2006/relationships/image" Target="media/image54.wmf"/><Relationship Id="rId95" Type="http://schemas.openxmlformats.org/officeDocument/2006/relationships/oleObject" Target="embeddings/oleObject30.bin"/><Relationship Id="rId94" Type="http://schemas.openxmlformats.org/officeDocument/2006/relationships/image" Target="media/image53.png"/><Relationship Id="rId93" Type="http://schemas.openxmlformats.org/officeDocument/2006/relationships/image" Target="media/image52.png"/><Relationship Id="rId92" Type="http://schemas.openxmlformats.org/officeDocument/2006/relationships/image" Target="media/image51.png"/><Relationship Id="rId91" Type="http://schemas.openxmlformats.org/officeDocument/2006/relationships/image" Target="media/image50.png"/><Relationship Id="rId90" Type="http://schemas.openxmlformats.org/officeDocument/2006/relationships/image" Target="media/image49.png"/><Relationship Id="rId9" Type="http://schemas.openxmlformats.org/officeDocument/2006/relationships/footer" Target="footer3.xml"/><Relationship Id="rId89" Type="http://schemas.openxmlformats.org/officeDocument/2006/relationships/image" Target="media/image48.jpeg"/><Relationship Id="rId88" Type="http://schemas.openxmlformats.org/officeDocument/2006/relationships/image" Target="media/image47.jpeg"/><Relationship Id="rId87" Type="http://schemas.openxmlformats.org/officeDocument/2006/relationships/image" Target="media/image46.jpeg"/><Relationship Id="rId86" Type="http://schemas.openxmlformats.org/officeDocument/2006/relationships/image" Target="media/image45.jpeg"/><Relationship Id="rId85" Type="http://schemas.openxmlformats.org/officeDocument/2006/relationships/image" Target="media/image44.wmf"/><Relationship Id="rId84" Type="http://schemas.openxmlformats.org/officeDocument/2006/relationships/oleObject" Target="embeddings/oleObject29.bin"/><Relationship Id="rId83" Type="http://schemas.openxmlformats.org/officeDocument/2006/relationships/image" Target="media/image43.wmf"/><Relationship Id="rId82" Type="http://schemas.openxmlformats.org/officeDocument/2006/relationships/oleObject" Target="embeddings/oleObject28.bin"/><Relationship Id="rId81" Type="http://schemas.openxmlformats.org/officeDocument/2006/relationships/image" Target="media/image42.wmf"/><Relationship Id="rId80" Type="http://schemas.openxmlformats.org/officeDocument/2006/relationships/oleObject" Target="embeddings/oleObject27.bin"/><Relationship Id="rId8" Type="http://schemas.openxmlformats.org/officeDocument/2006/relationships/header" Target="header2.xml"/><Relationship Id="rId79" Type="http://schemas.openxmlformats.org/officeDocument/2006/relationships/image" Target="media/image41.wmf"/><Relationship Id="rId78" Type="http://schemas.openxmlformats.org/officeDocument/2006/relationships/oleObject" Target="embeddings/oleObject26.bin"/><Relationship Id="rId77" Type="http://schemas.openxmlformats.org/officeDocument/2006/relationships/image" Target="media/image40.wmf"/><Relationship Id="rId76" Type="http://schemas.openxmlformats.org/officeDocument/2006/relationships/oleObject" Target="embeddings/oleObject25.bin"/><Relationship Id="rId75" Type="http://schemas.openxmlformats.org/officeDocument/2006/relationships/image" Target="media/image39.wmf"/><Relationship Id="rId74" Type="http://schemas.openxmlformats.org/officeDocument/2006/relationships/oleObject" Target="embeddings/oleObject24.bin"/><Relationship Id="rId73" Type="http://schemas.openxmlformats.org/officeDocument/2006/relationships/image" Target="media/image38.wmf"/><Relationship Id="rId72" Type="http://schemas.openxmlformats.org/officeDocument/2006/relationships/oleObject" Target="embeddings/oleObject23.bin"/><Relationship Id="rId71" Type="http://schemas.openxmlformats.org/officeDocument/2006/relationships/image" Target="media/image37.wmf"/><Relationship Id="rId70" Type="http://schemas.openxmlformats.org/officeDocument/2006/relationships/oleObject" Target="embeddings/oleObject22.bin"/><Relationship Id="rId7" Type="http://schemas.openxmlformats.org/officeDocument/2006/relationships/header" Target="header1.xml"/><Relationship Id="rId69" Type="http://schemas.openxmlformats.org/officeDocument/2006/relationships/image" Target="media/image36.wmf"/><Relationship Id="rId68" Type="http://schemas.openxmlformats.org/officeDocument/2006/relationships/oleObject" Target="embeddings/oleObject21.bin"/><Relationship Id="rId67" Type="http://schemas.openxmlformats.org/officeDocument/2006/relationships/image" Target="media/image35.wmf"/><Relationship Id="rId66" Type="http://schemas.openxmlformats.org/officeDocument/2006/relationships/oleObject" Target="embeddings/oleObject20.bin"/><Relationship Id="rId65" Type="http://schemas.openxmlformats.org/officeDocument/2006/relationships/image" Target="media/image34.png"/><Relationship Id="rId64" Type="http://schemas.openxmlformats.org/officeDocument/2006/relationships/image" Target="media/image33.png"/><Relationship Id="rId63" Type="http://schemas.openxmlformats.org/officeDocument/2006/relationships/chart" Target="charts/chart2.xml"/><Relationship Id="rId62" Type="http://schemas.openxmlformats.org/officeDocument/2006/relationships/image" Target="media/image32.wmf"/><Relationship Id="rId61" Type="http://schemas.openxmlformats.org/officeDocument/2006/relationships/oleObject" Target="embeddings/oleObject19.bin"/><Relationship Id="rId60" Type="http://schemas.openxmlformats.org/officeDocument/2006/relationships/image" Target="media/image31.wmf"/><Relationship Id="rId6" Type="http://schemas.openxmlformats.org/officeDocument/2006/relationships/footer" Target="footer2.xml"/><Relationship Id="rId59" Type="http://schemas.openxmlformats.org/officeDocument/2006/relationships/oleObject" Target="embeddings/oleObject18.bin"/><Relationship Id="rId58" Type="http://schemas.openxmlformats.org/officeDocument/2006/relationships/oleObject" Target="embeddings/oleObject17.bin"/><Relationship Id="rId57" Type="http://schemas.openxmlformats.org/officeDocument/2006/relationships/image" Target="media/image30.wmf"/><Relationship Id="rId56" Type="http://schemas.openxmlformats.org/officeDocument/2006/relationships/oleObject" Target="embeddings/oleObject16.bin"/><Relationship Id="rId55" Type="http://schemas.openxmlformats.org/officeDocument/2006/relationships/image" Target="media/image29.wmf"/><Relationship Id="rId54" Type="http://schemas.openxmlformats.org/officeDocument/2006/relationships/oleObject" Target="embeddings/oleObject15.bin"/><Relationship Id="rId53" Type="http://schemas.openxmlformats.org/officeDocument/2006/relationships/image" Target="media/image28.wmf"/><Relationship Id="rId52" Type="http://schemas.openxmlformats.org/officeDocument/2006/relationships/oleObject" Target="embeddings/oleObject14.bin"/><Relationship Id="rId51" Type="http://schemas.openxmlformats.org/officeDocument/2006/relationships/image" Target="media/image27.wmf"/><Relationship Id="rId50" Type="http://schemas.openxmlformats.org/officeDocument/2006/relationships/oleObject" Target="embeddings/oleObject13.bin"/><Relationship Id="rId5" Type="http://schemas.openxmlformats.org/officeDocument/2006/relationships/footer" Target="footer1.xml"/><Relationship Id="rId49" Type="http://schemas.openxmlformats.org/officeDocument/2006/relationships/image" Target="media/image26.wmf"/><Relationship Id="rId48" Type="http://schemas.openxmlformats.org/officeDocument/2006/relationships/oleObject" Target="embeddings/oleObject12.bin"/><Relationship Id="rId47" Type="http://schemas.openxmlformats.org/officeDocument/2006/relationships/image" Target="media/image25.wmf"/><Relationship Id="rId46" Type="http://schemas.openxmlformats.org/officeDocument/2006/relationships/oleObject" Target="embeddings/oleObject11.bin"/><Relationship Id="rId45" Type="http://schemas.openxmlformats.org/officeDocument/2006/relationships/image" Target="media/image24.wmf"/><Relationship Id="rId44" Type="http://schemas.openxmlformats.org/officeDocument/2006/relationships/oleObject" Target="embeddings/oleObject10.bin"/><Relationship Id="rId43" Type="http://schemas.openxmlformats.org/officeDocument/2006/relationships/image" Target="media/image23.wmf"/><Relationship Id="rId42" Type="http://schemas.openxmlformats.org/officeDocument/2006/relationships/oleObject" Target="embeddings/oleObject9.bin"/><Relationship Id="rId41" Type="http://schemas.openxmlformats.org/officeDocument/2006/relationships/image" Target="media/image22.wmf"/><Relationship Id="rId40" Type="http://schemas.openxmlformats.org/officeDocument/2006/relationships/oleObject" Target="embeddings/oleObject8.bin"/><Relationship Id="rId4" Type="http://schemas.openxmlformats.org/officeDocument/2006/relationships/endnotes" Target="endnotes.xml"/><Relationship Id="rId39" Type="http://schemas.openxmlformats.org/officeDocument/2006/relationships/image" Target="media/image21.wmf"/><Relationship Id="rId38" Type="http://schemas.openxmlformats.org/officeDocument/2006/relationships/oleObject" Target="embeddings/oleObject7.bin"/><Relationship Id="rId37" Type="http://schemas.openxmlformats.org/officeDocument/2006/relationships/image" Target="media/image20.wmf"/><Relationship Id="rId36" Type="http://schemas.openxmlformats.org/officeDocument/2006/relationships/oleObject" Target="embeddings/oleObject6.bin"/><Relationship Id="rId35" Type="http://schemas.openxmlformats.org/officeDocument/2006/relationships/image" Target="media/image19.wmf"/><Relationship Id="rId34" Type="http://schemas.openxmlformats.org/officeDocument/2006/relationships/oleObject" Target="embeddings/oleObject5.bin"/><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jpeg"/><Relationship Id="rId3" Type="http://schemas.openxmlformats.org/officeDocument/2006/relationships/footnotes" Target="footnotes.xml"/><Relationship Id="rId29" Type="http://schemas.openxmlformats.org/officeDocument/2006/relationships/image" Target="media/image14.jpeg"/><Relationship Id="rId28" Type="http://schemas.openxmlformats.org/officeDocument/2006/relationships/image" Target="media/image13.jpeg"/><Relationship Id="rId27" Type="http://schemas.openxmlformats.org/officeDocument/2006/relationships/image" Target="media/image12.jpeg"/><Relationship Id="rId26" Type="http://schemas.openxmlformats.org/officeDocument/2006/relationships/image" Target="media/image11.jpeg"/><Relationship Id="rId25" Type="http://schemas.openxmlformats.org/officeDocument/2006/relationships/chart" Target="charts/chart1.xml"/><Relationship Id="rId24" Type="http://schemas.openxmlformats.org/officeDocument/2006/relationships/image" Target="media/image10.wmf"/><Relationship Id="rId23" Type="http://schemas.openxmlformats.org/officeDocument/2006/relationships/oleObject" Target="embeddings/oleObject4.bin"/><Relationship Id="rId22" Type="http://schemas.openxmlformats.org/officeDocument/2006/relationships/image" Target="media/image9.wmf"/><Relationship Id="rId21" Type="http://schemas.openxmlformats.org/officeDocument/2006/relationships/oleObject" Target="embeddings/oleObject3.bin"/><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7.wmf"/><Relationship Id="rId17" Type="http://schemas.openxmlformats.org/officeDocument/2006/relationships/oleObject" Target="embeddings/oleObject1.bin"/><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jpeg"/><Relationship Id="rId119" Type="http://schemas.openxmlformats.org/officeDocument/2006/relationships/fontTable" Target="fontTable.xml"/><Relationship Id="rId118" Type="http://schemas.openxmlformats.org/officeDocument/2006/relationships/numbering" Target="numbering.xml"/><Relationship Id="rId117" Type="http://schemas.openxmlformats.org/officeDocument/2006/relationships/customXml" Target="../customXml/item1.xml"/><Relationship Id="rId116" Type="http://schemas.openxmlformats.org/officeDocument/2006/relationships/image" Target="media/image74.png"/><Relationship Id="rId115" Type="http://schemas.openxmlformats.org/officeDocument/2006/relationships/image" Target="media/image73.png"/><Relationship Id="rId114" Type="http://schemas.openxmlformats.org/officeDocument/2006/relationships/image" Target="media/image72.png"/><Relationship Id="rId113" Type="http://schemas.openxmlformats.org/officeDocument/2006/relationships/image" Target="media/image71.png"/><Relationship Id="rId112" Type="http://schemas.openxmlformats.org/officeDocument/2006/relationships/image" Target="media/image70.png"/><Relationship Id="rId111" Type="http://schemas.openxmlformats.org/officeDocument/2006/relationships/image" Target="media/image69.png"/><Relationship Id="rId110" Type="http://schemas.openxmlformats.org/officeDocument/2006/relationships/image" Target="media/image68.png"/><Relationship Id="rId11" Type="http://schemas.openxmlformats.org/officeDocument/2006/relationships/image" Target="media/image1.png"/><Relationship Id="rId109" Type="http://schemas.openxmlformats.org/officeDocument/2006/relationships/image" Target="media/image67.wmf"/><Relationship Id="rId108" Type="http://schemas.openxmlformats.org/officeDocument/2006/relationships/image" Target="media/image66.wmf"/><Relationship Id="rId107" Type="http://schemas.openxmlformats.org/officeDocument/2006/relationships/image" Target="media/image65.wmf"/><Relationship Id="rId106" Type="http://schemas.openxmlformats.org/officeDocument/2006/relationships/image" Target="media/image64.png"/><Relationship Id="rId105" Type="http://schemas.openxmlformats.org/officeDocument/2006/relationships/image" Target="media/image63.png"/><Relationship Id="rId104" Type="http://schemas.openxmlformats.org/officeDocument/2006/relationships/image" Target="media/image62.png"/><Relationship Id="rId103" Type="http://schemas.openxmlformats.org/officeDocument/2006/relationships/image" Target="media/image61.png"/><Relationship Id="rId102" Type="http://schemas.openxmlformats.org/officeDocument/2006/relationships/image" Target="media/image60.png"/><Relationship Id="rId101" Type="http://schemas.openxmlformats.org/officeDocument/2006/relationships/image" Target="media/image59.png"/><Relationship Id="rId100" Type="http://schemas.openxmlformats.org/officeDocument/2006/relationships/image" Target="media/image58.png"/><Relationship Id="rId10" Type="http://schemas.openxmlformats.org/officeDocument/2006/relationships/theme" Target="theme/theme1.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Administrator\Desktop\&#22823;&#34164;&#28044;\&#22823;&#34164;&#28044;\&#22823;&#34164;&#28044;.xls"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0654051431344008"/>
          <c:y val="0.0517676767676768"/>
          <c:w val="0.928772440562834"/>
          <c:h val="0.906060606060606"/>
        </c:manualLayout>
      </c:layout>
      <c:scatterChart>
        <c:scatterStyle val="lineMarker"/>
        <c:varyColors val="0"/>
        <c:ser>
          <c:idx val="0"/>
          <c:order val="0"/>
          <c:spPr>
            <a:ln w="12700" cap="rnd" cmpd="sng" algn="ctr">
              <a:solidFill>
                <a:srgbClr val="000080">
                  <a:alpha val="100000"/>
                </a:srgbClr>
              </a:solidFill>
              <a:prstDash val="solid"/>
              <a:round/>
            </a:ln>
          </c:spPr>
          <c:marker>
            <c:symbol val="diamond"/>
            <c:size val="5"/>
            <c:spPr>
              <a:solidFill>
                <a:srgbClr val="000080">
                  <a:alpha val="100000"/>
                </a:srgbClr>
              </a:solidFill>
              <a:ln w="6350" cap="flat" cmpd="sng" algn="ctr">
                <a:solidFill>
                  <a:srgbClr val="000080">
                    <a:alpha val="100000"/>
                  </a:srgbClr>
                </a:solidFill>
                <a:prstDash val="solid"/>
                <a:round/>
              </a:ln>
            </c:spPr>
          </c:marker>
          <c:dLbls>
            <c:delete val="1"/>
          </c:dLbls>
          <c:xVal>
            <c:strRef>
              <c:f>[大蕴涌.xls]综合单位线!$A$1:$A$320</c:f>
              <c:strCache>
                <c:ptCount val="320"/>
                <c:pt idx="1">
                  <c:v>1日洪量(万方)</c:v>
                </c:pt>
                <c:pt idx="2">
                  <c:v>3日洪量(万方)</c:v>
                </c:pt>
                <c:pt idx="3">
                  <c:v>峰值Qm</c:v>
                </c:pt>
                <c:pt idx="5">
                  <c:v>0</c:v>
                </c:pt>
                <c:pt idx="6">
                  <c:v>0.3333</c:v>
                </c:pt>
                <c:pt idx="7">
                  <c:v>0.6666</c:v>
                </c:pt>
                <c:pt idx="8">
                  <c:v>0.9999</c:v>
                </c:pt>
                <c:pt idx="9">
                  <c:v>1.3332</c:v>
                </c:pt>
                <c:pt idx="10">
                  <c:v>1.6665</c:v>
                </c:pt>
                <c:pt idx="11">
                  <c:v>1.9998</c:v>
                </c:pt>
                <c:pt idx="12">
                  <c:v>2.3331</c:v>
                </c:pt>
                <c:pt idx="13">
                  <c:v>2.6664</c:v>
                </c:pt>
                <c:pt idx="14">
                  <c:v>2.9997</c:v>
                </c:pt>
                <c:pt idx="15">
                  <c:v>3.333</c:v>
                </c:pt>
                <c:pt idx="16">
                  <c:v>3.6663</c:v>
                </c:pt>
                <c:pt idx="17">
                  <c:v>3.9996</c:v>
                </c:pt>
                <c:pt idx="18">
                  <c:v>4.3329</c:v>
                </c:pt>
                <c:pt idx="19">
                  <c:v>4.6662</c:v>
                </c:pt>
                <c:pt idx="20">
                  <c:v>4.9995</c:v>
                </c:pt>
                <c:pt idx="21">
                  <c:v>5.3328</c:v>
                </c:pt>
                <c:pt idx="22">
                  <c:v>5.6661</c:v>
                </c:pt>
                <c:pt idx="23">
                  <c:v>5.9994</c:v>
                </c:pt>
                <c:pt idx="24">
                  <c:v>6.3327</c:v>
                </c:pt>
                <c:pt idx="25">
                  <c:v>6.666</c:v>
                </c:pt>
                <c:pt idx="26">
                  <c:v>6.9993</c:v>
                </c:pt>
                <c:pt idx="27">
                  <c:v>7.3326</c:v>
                </c:pt>
                <c:pt idx="28">
                  <c:v>7.6659</c:v>
                </c:pt>
                <c:pt idx="29">
                  <c:v>7.9992</c:v>
                </c:pt>
                <c:pt idx="30">
                  <c:v>8.3325</c:v>
                </c:pt>
                <c:pt idx="31">
                  <c:v>8.6658</c:v>
                </c:pt>
                <c:pt idx="32">
                  <c:v>8.9991</c:v>
                </c:pt>
                <c:pt idx="33">
                  <c:v>9.3324</c:v>
                </c:pt>
                <c:pt idx="34">
                  <c:v>9.6657</c:v>
                </c:pt>
                <c:pt idx="35">
                  <c:v>9.999</c:v>
                </c:pt>
                <c:pt idx="36">
                  <c:v>10.3323</c:v>
                </c:pt>
                <c:pt idx="37">
                  <c:v>10.6656</c:v>
                </c:pt>
                <c:pt idx="38">
                  <c:v>10.9989</c:v>
                </c:pt>
                <c:pt idx="39">
                  <c:v>11.3322</c:v>
                </c:pt>
                <c:pt idx="40">
                  <c:v>11.6655</c:v>
                </c:pt>
                <c:pt idx="41">
                  <c:v>11.9988</c:v>
                </c:pt>
                <c:pt idx="42">
                  <c:v>12.3321</c:v>
                </c:pt>
                <c:pt idx="43">
                  <c:v>12.6654</c:v>
                </c:pt>
                <c:pt idx="44">
                  <c:v>12.9987</c:v>
                </c:pt>
                <c:pt idx="45">
                  <c:v>13.332</c:v>
                </c:pt>
                <c:pt idx="46">
                  <c:v>13.6653</c:v>
                </c:pt>
                <c:pt idx="47">
                  <c:v>13.9986</c:v>
                </c:pt>
                <c:pt idx="48">
                  <c:v>14.3319</c:v>
                </c:pt>
                <c:pt idx="49">
                  <c:v>14.6652</c:v>
                </c:pt>
                <c:pt idx="50">
                  <c:v>14.9985</c:v>
                </c:pt>
                <c:pt idx="51">
                  <c:v>15.3318</c:v>
                </c:pt>
                <c:pt idx="52">
                  <c:v>15.6651</c:v>
                </c:pt>
                <c:pt idx="53">
                  <c:v>15.9984</c:v>
                </c:pt>
                <c:pt idx="54">
                  <c:v>16.3317</c:v>
                </c:pt>
                <c:pt idx="55">
                  <c:v>16.665</c:v>
                </c:pt>
                <c:pt idx="56">
                  <c:v>16.9983</c:v>
                </c:pt>
                <c:pt idx="57">
                  <c:v>17.3316</c:v>
                </c:pt>
                <c:pt idx="58">
                  <c:v>17.6649</c:v>
                </c:pt>
                <c:pt idx="59">
                  <c:v>17.9982</c:v>
                </c:pt>
                <c:pt idx="60">
                  <c:v>18.3315</c:v>
                </c:pt>
                <c:pt idx="61">
                  <c:v>18.6648</c:v>
                </c:pt>
                <c:pt idx="62">
                  <c:v>18.9981</c:v>
                </c:pt>
                <c:pt idx="63">
                  <c:v>19.3314</c:v>
                </c:pt>
                <c:pt idx="64">
                  <c:v>19.6647</c:v>
                </c:pt>
                <c:pt idx="65">
                  <c:v>19.998</c:v>
                </c:pt>
                <c:pt idx="66">
                  <c:v>20.3313</c:v>
                </c:pt>
                <c:pt idx="67">
                  <c:v>20.6646</c:v>
                </c:pt>
                <c:pt idx="68">
                  <c:v>20.9979</c:v>
                </c:pt>
                <c:pt idx="69">
                  <c:v>21.3312</c:v>
                </c:pt>
                <c:pt idx="70">
                  <c:v>21.6645</c:v>
                </c:pt>
                <c:pt idx="71">
                  <c:v>21.9978</c:v>
                </c:pt>
                <c:pt idx="72">
                  <c:v>22.3311</c:v>
                </c:pt>
                <c:pt idx="73">
                  <c:v>22.6644</c:v>
                </c:pt>
                <c:pt idx="74">
                  <c:v>22.9977</c:v>
                </c:pt>
                <c:pt idx="75">
                  <c:v>23.331</c:v>
                </c:pt>
                <c:pt idx="76">
                  <c:v>23.6643</c:v>
                </c:pt>
                <c:pt idx="77">
                  <c:v>23.9976</c:v>
                </c:pt>
                <c:pt idx="78">
                  <c:v>24.3309</c:v>
                </c:pt>
                <c:pt idx="79">
                  <c:v>24.6642</c:v>
                </c:pt>
                <c:pt idx="80">
                  <c:v>24.9975</c:v>
                </c:pt>
                <c:pt idx="81">
                  <c:v>25.3308</c:v>
                </c:pt>
                <c:pt idx="82">
                  <c:v>25.6641</c:v>
                </c:pt>
                <c:pt idx="83">
                  <c:v>25.9974</c:v>
                </c:pt>
                <c:pt idx="84">
                  <c:v>26.3307</c:v>
                </c:pt>
                <c:pt idx="85">
                  <c:v>26.664</c:v>
                </c:pt>
                <c:pt idx="86">
                  <c:v>26.9973</c:v>
                </c:pt>
                <c:pt idx="87">
                  <c:v>27.3306</c:v>
                </c:pt>
                <c:pt idx="88">
                  <c:v>27.6639</c:v>
                </c:pt>
                <c:pt idx="89">
                  <c:v>27.9972</c:v>
                </c:pt>
                <c:pt idx="90">
                  <c:v>28.3305</c:v>
                </c:pt>
                <c:pt idx="91">
                  <c:v>28.6638</c:v>
                </c:pt>
                <c:pt idx="92">
                  <c:v>28.9971</c:v>
                </c:pt>
                <c:pt idx="93">
                  <c:v>29.3304</c:v>
                </c:pt>
                <c:pt idx="94">
                  <c:v>29.6637</c:v>
                </c:pt>
                <c:pt idx="95">
                  <c:v>29.997</c:v>
                </c:pt>
                <c:pt idx="96">
                  <c:v>30.3303</c:v>
                </c:pt>
                <c:pt idx="97">
                  <c:v>30.6636</c:v>
                </c:pt>
                <c:pt idx="98">
                  <c:v>30.9969</c:v>
                </c:pt>
                <c:pt idx="99">
                  <c:v>31.3302</c:v>
                </c:pt>
                <c:pt idx="100">
                  <c:v>31.6635</c:v>
                </c:pt>
                <c:pt idx="101">
                  <c:v>31.9968</c:v>
                </c:pt>
                <c:pt idx="102">
                  <c:v>32.3301</c:v>
                </c:pt>
                <c:pt idx="103">
                  <c:v>32.6634</c:v>
                </c:pt>
                <c:pt idx="104">
                  <c:v>32.9967</c:v>
                </c:pt>
                <c:pt idx="105">
                  <c:v>33.33</c:v>
                </c:pt>
                <c:pt idx="106">
                  <c:v>33.6633</c:v>
                </c:pt>
                <c:pt idx="107">
                  <c:v>33.9966</c:v>
                </c:pt>
                <c:pt idx="108">
                  <c:v>34.3299</c:v>
                </c:pt>
                <c:pt idx="109">
                  <c:v>34.6632</c:v>
                </c:pt>
                <c:pt idx="110">
                  <c:v>34.9965</c:v>
                </c:pt>
                <c:pt idx="111">
                  <c:v>35.3298</c:v>
                </c:pt>
                <c:pt idx="112">
                  <c:v>35.6631</c:v>
                </c:pt>
                <c:pt idx="113">
                  <c:v>35.9964</c:v>
                </c:pt>
                <c:pt idx="114">
                  <c:v>36.3297</c:v>
                </c:pt>
                <c:pt idx="115">
                  <c:v>36.663</c:v>
                </c:pt>
                <c:pt idx="116">
                  <c:v>36.9963</c:v>
                </c:pt>
                <c:pt idx="117">
                  <c:v>37.3296</c:v>
                </c:pt>
                <c:pt idx="118">
                  <c:v>37.6629</c:v>
                </c:pt>
                <c:pt idx="119">
                  <c:v>37.9962</c:v>
                </c:pt>
                <c:pt idx="120">
                  <c:v>38.3295</c:v>
                </c:pt>
                <c:pt idx="121">
                  <c:v>38.6628</c:v>
                </c:pt>
                <c:pt idx="122">
                  <c:v>38.9961</c:v>
                </c:pt>
                <c:pt idx="123">
                  <c:v>39.3294</c:v>
                </c:pt>
                <c:pt idx="124">
                  <c:v>39.6627</c:v>
                </c:pt>
                <c:pt idx="125">
                  <c:v>39.996</c:v>
                </c:pt>
                <c:pt idx="126">
                  <c:v>40.3293</c:v>
                </c:pt>
                <c:pt idx="127">
                  <c:v>40.6626</c:v>
                </c:pt>
                <c:pt idx="128">
                  <c:v>40.9959</c:v>
                </c:pt>
                <c:pt idx="129">
                  <c:v>41.3292</c:v>
                </c:pt>
                <c:pt idx="130">
                  <c:v>41.6625</c:v>
                </c:pt>
                <c:pt idx="131">
                  <c:v>41.9958</c:v>
                </c:pt>
                <c:pt idx="132">
                  <c:v>42.3291</c:v>
                </c:pt>
                <c:pt idx="133">
                  <c:v>42.6624</c:v>
                </c:pt>
                <c:pt idx="134">
                  <c:v>42.9957</c:v>
                </c:pt>
                <c:pt idx="135">
                  <c:v>43.329</c:v>
                </c:pt>
                <c:pt idx="136">
                  <c:v>43.6623</c:v>
                </c:pt>
                <c:pt idx="137">
                  <c:v>43.9956</c:v>
                </c:pt>
                <c:pt idx="138">
                  <c:v>44.3289</c:v>
                </c:pt>
                <c:pt idx="139">
                  <c:v>44.6622</c:v>
                </c:pt>
                <c:pt idx="140">
                  <c:v>44.9955</c:v>
                </c:pt>
                <c:pt idx="141">
                  <c:v>45.3288</c:v>
                </c:pt>
                <c:pt idx="142">
                  <c:v>45.6621</c:v>
                </c:pt>
                <c:pt idx="143">
                  <c:v>45.9954</c:v>
                </c:pt>
                <c:pt idx="144">
                  <c:v>46.3287</c:v>
                </c:pt>
                <c:pt idx="145">
                  <c:v>46.662</c:v>
                </c:pt>
                <c:pt idx="146">
                  <c:v>46.9953</c:v>
                </c:pt>
                <c:pt idx="147">
                  <c:v>47.3286</c:v>
                </c:pt>
                <c:pt idx="148">
                  <c:v>47.6619</c:v>
                </c:pt>
                <c:pt idx="149">
                  <c:v>47.9952</c:v>
                </c:pt>
                <c:pt idx="150">
                  <c:v>48.3285</c:v>
                </c:pt>
                <c:pt idx="151">
                  <c:v>48.6618</c:v>
                </c:pt>
                <c:pt idx="152">
                  <c:v>48.9951</c:v>
                </c:pt>
                <c:pt idx="153">
                  <c:v>49.3284</c:v>
                </c:pt>
                <c:pt idx="154">
                  <c:v>49.6617</c:v>
                </c:pt>
                <c:pt idx="155">
                  <c:v>49.995</c:v>
                </c:pt>
                <c:pt idx="156">
                  <c:v>50.3283</c:v>
                </c:pt>
                <c:pt idx="157">
                  <c:v>50.6616</c:v>
                </c:pt>
                <c:pt idx="158">
                  <c:v>50.9949</c:v>
                </c:pt>
                <c:pt idx="159">
                  <c:v>51.3282</c:v>
                </c:pt>
                <c:pt idx="160">
                  <c:v>51.6615</c:v>
                </c:pt>
                <c:pt idx="161">
                  <c:v>51.9948</c:v>
                </c:pt>
                <c:pt idx="162">
                  <c:v>52.3281</c:v>
                </c:pt>
                <c:pt idx="163">
                  <c:v>52.6614</c:v>
                </c:pt>
                <c:pt idx="164">
                  <c:v>52.9947</c:v>
                </c:pt>
                <c:pt idx="165">
                  <c:v>53.328</c:v>
                </c:pt>
                <c:pt idx="166">
                  <c:v>53.6613</c:v>
                </c:pt>
                <c:pt idx="167">
                  <c:v>53.9946</c:v>
                </c:pt>
                <c:pt idx="168">
                  <c:v>54.3279</c:v>
                </c:pt>
                <c:pt idx="169">
                  <c:v>54.6612</c:v>
                </c:pt>
                <c:pt idx="170">
                  <c:v>54.9945</c:v>
                </c:pt>
                <c:pt idx="171">
                  <c:v>55.3278</c:v>
                </c:pt>
                <c:pt idx="172">
                  <c:v>55.6611</c:v>
                </c:pt>
                <c:pt idx="173">
                  <c:v>55.9944</c:v>
                </c:pt>
                <c:pt idx="174">
                  <c:v>56.3277</c:v>
                </c:pt>
                <c:pt idx="175">
                  <c:v>56.661</c:v>
                </c:pt>
                <c:pt idx="176">
                  <c:v>56.9943</c:v>
                </c:pt>
                <c:pt idx="177">
                  <c:v>57.3276</c:v>
                </c:pt>
                <c:pt idx="178">
                  <c:v>57.6609</c:v>
                </c:pt>
                <c:pt idx="179">
                  <c:v>57.9942</c:v>
                </c:pt>
                <c:pt idx="180">
                  <c:v>58.3275</c:v>
                </c:pt>
                <c:pt idx="181">
                  <c:v>58.6608</c:v>
                </c:pt>
                <c:pt idx="182">
                  <c:v>58.9941</c:v>
                </c:pt>
                <c:pt idx="183">
                  <c:v>59.3274</c:v>
                </c:pt>
                <c:pt idx="184">
                  <c:v>59.6607</c:v>
                </c:pt>
                <c:pt idx="185">
                  <c:v>59.994</c:v>
                </c:pt>
                <c:pt idx="186">
                  <c:v>60.3273</c:v>
                </c:pt>
                <c:pt idx="187">
                  <c:v>60.6606</c:v>
                </c:pt>
                <c:pt idx="188">
                  <c:v>60.9939</c:v>
                </c:pt>
                <c:pt idx="189">
                  <c:v>61.3272</c:v>
                </c:pt>
                <c:pt idx="190">
                  <c:v>61.6605</c:v>
                </c:pt>
                <c:pt idx="191">
                  <c:v>61.9938</c:v>
                </c:pt>
                <c:pt idx="192">
                  <c:v>62.3271</c:v>
                </c:pt>
                <c:pt idx="193">
                  <c:v>62.6604</c:v>
                </c:pt>
                <c:pt idx="194">
                  <c:v>62.9937</c:v>
                </c:pt>
                <c:pt idx="195">
                  <c:v>63.327</c:v>
                </c:pt>
                <c:pt idx="196">
                  <c:v>63.6603</c:v>
                </c:pt>
                <c:pt idx="197">
                  <c:v>63.9936</c:v>
                </c:pt>
                <c:pt idx="198">
                  <c:v>64.3269</c:v>
                </c:pt>
                <c:pt idx="199">
                  <c:v>64.6602</c:v>
                </c:pt>
                <c:pt idx="200">
                  <c:v>64.9935</c:v>
                </c:pt>
                <c:pt idx="201">
                  <c:v>65.3268</c:v>
                </c:pt>
                <c:pt idx="202">
                  <c:v>65.6601</c:v>
                </c:pt>
                <c:pt idx="203">
                  <c:v>65.9934</c:v>
                </c:pt>
                <c:pt idx="204">
                  <c:v>66.3267</c:v>
                </c:pt>
                <c:pt idx="205">
                  <c:v>66.66</c:v>
                </c:pt>
                <c:pt idx="206">
                  <c:v>66.9933</c:v>
                </c:pt>
                <c:pt idx="207">
                  <c:v>67.3266</c:v>
                </c:pt>
                <c:pt idx="208">
                  <c:v>67.6599</c:v>
                </c:pt>
                <c:pt idx="209">
                  <c:v>67.9932</c:v>
                </c:pt>
                <c:pt idx="210">
                  <c:v>68.3265</c:v>
                </c:pt>
                <c:pt idx="211">
                  <c:v>68.6598</c:v>
                </c:pt>
                <c:pt idx="212">
                  <c:v>68.9931</c:v>
                </c:pt>
                <c:pt idx="213">
                  <c:v>69.3264</c:v>
                </c:pt>
                <c:pt idx="214">
                  <c:v>69.6597</c:v>
                </c:pt>
                <c:pt idx="215">
                  <c:v>69.993</c:v>
                </c:pt>
                <c:pt idx="216">
                  <c:v>70.3263</c:v>
                </c:pt>
                <c:pt idx="217">
                  <c:v>70.6596</c:v>
                </c:pt>
                <c:pt idx="218">
                  <c:v>70.9929</c:v>
                </c:pt>
                <c:pt idx="219">
                  <c:v>71.3262</c:v>
                </c:pt>
                <c:pt idx="220">
                  <c:v>71.6595</c:v>
                </c:pt>
                <c:pt idx="221">
                  <c:v>71.9928</c:v>
                </c:pt>
                <c:pt idx="222">
                  <c:v>72.3261</c:v>
                </c:pt>
                <c:pt idx="223">
                  <c:v>72.6594</c:v>
                </c:pt>
                <c:pt idx="224">
                  <c:v>72.9927</c:v>
                </c:pt>
                <c:pt idx="225">
                  <c:v>73.326</c:v>
                </c:pt>
                <c:pt idx="226">
                  <c:v>73.6593</c:v>
                </c:pt>
                <c:pt idx="227">
                  <c:v>73.9926</c:v>
                </c:pt>
                <c:pt idx="228">
                  <c:v>74.3259</c:v>
                </c:pt>
                <c:pt idx="229">
                  <c:v>74.6592</c:v>
                </c:pt>
                <c:pt idx="230">
                  <c:v>74.9925</c:v>
                </c:pt>
                <c:pt idx="231">
                  <c:v>75.3258</c:v>
                </c:pt>
                <c:pt idx="232">
                  <c:v>75.6591</c:v>
                </c:pt>
                <c:pt idx="233">
                  <c:v>75.9924</c:v>
                </c:pt>
                <c:pt idx="234">
                  <c:v>76.3257</c:v>
                </c:pt>
                <c:pt idx="235">
                  <c:v>76.659</c:v>
                </c:pt>
                <c:pt idx="236">
                  <c:v>76.9923</c:v>
                </c:pt>
                <c:pt idx="237">
                  <c:v>77.3256</c:v>
                </c:pt>
                <c:pt idx="238">
                  <c:v>77.6589</c:v>
                </c:pt>
                <c:pt idx="239">
                  <c:v>77.9922</c:v>
                </c:pt>
                <c:pt idx="240">
                  <c:v>78.3255</c:v>
                </c:pt>
                <c:pt idx="241">
                  <c:v>78.6588</c:v>
                </c:pt>
                <c:pt idx="242">
                  <c:v>78.9921</c:v>
                </c:pt>
                <c:pt idx="243">
                  <c:v>79.3254</c:v>
                </c:pt>
              </c:strCache>
            </c:strRef>
          </c:xVal>
          <c:yVal>
            <c:numRef>
              <c:f>[大蕴涌.xls]综合单位线!$B$6:$B$320</c:f>
              <c:numCache>
                <c:formatCode>General</c:formatCode>
                <c:ptCount val="315"/>
                <c:pt idx="0">
                  <c:v>0.00442</c:v>
                </c:pt>
                <c:pt idx="1">
                  <c:v>0.0155</c:v>
                </c:pt>
                <c:pt idx="2">
                  <c:v>0.0383</c:v>
                </c:pt>
                <c:pt idx="3">
                  <c:v>0.0742</c:v>
                </c:pt>
                <c:pt idx="4">
                  <c:v>0.101</c:v>
                </c:pt>
                <c:pt idx="5">
                  <c:v>0.121</c:v>
                </c:pt>
                <c:pt idx="6">
                  <c:v>0.134</c:v>
                </c:pt>
                <c:pt idx="7">
                  <c:v>0.143</c:v>
                </c:pt>
                <c:pt idx="8">
                  <c:v>0.15</c:v>
                </c:pt>
                <c:pt idx="9">
                  <c:v>0.156</c:v>
                </c:pt>
                <c:pt idx="10">
                  <c:v>0.16</c:v>
                </c:pt>
                <c:pt idx="11">
                  <c:v>0.163</c:v>
                </c:pt>
                <c:pt idx="12">
                  <c:v>0.166</c:v>
                </c:pt>
                <c:pt idx="13">
                  <c:v>0.169</c:v>
                </c:pt>
                <c:pt idx="14">
                  <c:v>0.171</c:v>
                </c:pt>
                <c:pt idx="15">
                  <c:v>0.172</c:v>
                </c:pt>
                <c:pt idx="16">
                  <c:v>0.173</c:v>
                </c:pt>
                <c:pt idx="17">
                  <c:v>0.174</c:v>
                </c:pt>
                <c:pt idx="18">
                  <c:v>0.176</c:v>
                </c:pt>
                <c:pt idx="19">
                  <c:v>0.18</c:v>
                </c:pt>
                <c:pt idx="20">
                  <c:v>0.187</c:v>
                </c:pt>
                <c:pt idx="21">
                  <c:v>0.198</c:v>
                </c:pt>
                <c:pt idx="22">
                  <c:v>0.207</c:v>
                </c:pt>
                <c:pt idx="23">
                  <c:v>0.212</c:v>
                </c:pt>
                <c:pt idx="24">
                  <c:v>0.217</c:v>
                </c:pt>
                <c:pt idx="25">
                  <c:v>0.22</c:v>
                </c:pt>
                <c:pt idx="26">
                  <c:v>0.222</c:v>
                </c:pt>
                <c:pt idx="27">
                  <c:v>0.223</c:v>
                </c:pt>
                <c:pt idx="28">
                  <c:v>0.225</c:v>
                </c:pt>
                <c:pt idx="29">
                  <c:v>0.226</c:v>
                </c:pt>
                <c:pt idx="30">
                  <c:v>0.227</c:v>
                </c:pt>
                <c:pt idx="31">
                  <c:v>0.227</c:v>
                </c:pt>
                <c:pt idx="32">
                  <c:v>0.228</c:v>
                </c:pt>
                <c:pt idx="33">
                  <c:v>0.228</c:v>
                </c:pt>
                <c:pt idx="34">
                  <c:v>0.229</c:v>
                </c:pt>
                <c:pt idx="35">
                  <c:v>0.229</c:v>
                </c:pt>
                <c:pt idx="36">
                  <c:v>0.227</c:v>
                </c:pt>
                <c:pt idx="37">
                  <c:v>0.223</c:v>
                </c:pt>
                <c:pt idx="38">
                  <c:v>0.213</c:v>
                </c:pt>
                <c:pt idx="39">
                  <c:v>0.198</c:v>
                </c:pt>
                <c:pt idx="40">
                  <c:v>0.186</c:v>
                </c:pt>
                <c:pt idx="41">
                  <c:v>0.178</c:v>
                </c:pt>
                <c:pt idx="42">
                  <c:v>0.173</c:v>
                </c:pt>
                <c:pt idx="43">
                  <c:v>0.169</c:v>
                </c:pt>
                <c:pt idx="44">
                  <c:v>0.166</c:v>
                </c:pt>
                <c:pt idx="45">
                  <c:v>0.163</c:v>
                </c:pt>
                <c:pt idx="46">
                  <c:v>0.162</c:v>
                </c:pt>
                <c:pt idx="47">
                  <c:v>0.16</c:v>
                </c:pt>
                <c:pt idx="48">
                  <c:v>0.159</c:v>
                </c:pt>
                <c:pt idx="49">
                  <c:v>0.158</c:v>
                </c:pt>
                <c:pt idx="50">
                  <c:v>0.157</c:v>
                </c:pt>
                <c:pt idx="51">
                  <c:v>0.157</c:v>
                </c:pt>
                <c:pt idx="52">
                  <c:v>0.156</c:v>
                </c:pt>
                <c:pt idx="53">
                  <c:v>0.156</c:v>
                </c:pt>
                <c:pt idx="54">
                  <c:v>0.16</c:v>
                </c:pt>
                <c:pt idx="55">
                  <c:v>0.172</c:v>
                </c:pt>
                <c:pt idx="56">
                  <c:v>0.196</c:v>
                </c:pt>
                <c:pt idx="57">
                  <c:v>0.234</c:v>
                </c:pt>
                <c:pt idx="58">
                  <c:v>0.263</c:v>
                </c:pt>
                <c:pt idx="59">
                  <c:v>0.284</c:v>
                </c:pt>
                <c:pt idx="60">
                  <c:v>0.298</c:v>
                </c:pt>
                <c:pt idx="61">
                  <c:v>0.308</c:v>
                </c:pt>
                <c:pt idx="62">
                  <c:v>0.316</c:v>
                </c:pt>
                <c:pt idx="63">
                  <c:v>0.321</c:v>
                </c:pt>
                <c:pt idx="64">
                  <c:v>0.326</c:v>
                </c:pt>
                <c:pt idx="65">
                  <c:v>0.329</c:v>
                </c:pt>
                <c:pt idx="66">
                  <c:v>0.332</c:v>
                </c:pt>
                <c:pt idx="67">
                  <c:v>0.335</c:v>
                </c:pt>
                <c:pt idx="68">
                  <c:v>0.337</c:v>
                </c:pt>
                <c:pt idx="69">
                  <c:v>0.338</c:v>
                </c:pt>
                <c:pt idx="70">
                  <c:v>0.34</c:v>
                </c:pt>
                <c:pt idx="71">
                  <c:v>0.341</c:v>
                </c:pt>
                <c:pt idx="72">
                  <c:v>0.333</c:v>
                </c:pt>
                <c:pt idx="73">
                  <c:v>0.311</c:v>
                </c:pt>
                <c:pt idx="74">
                  <c:v>0.267</c:v>
                </c:pt>
                <c:pt idx="75">
                  <c:v>0.197</c:v>
                </c:pt>
                <c:pt idx="76">
                  <c:v>0.144</c:v>
                </c:pt>
                <c:pt idx="77">
                  <c:v>0.106</c:v>
                </c:pt>
                <c:pt idx="78">
                  <c:v>0.0797</c:v>
                </c:pt>
                <c:pt idx="79">
                  <c:v>0.0618</c:v>
                </c:pt>
                <c:pt idx="80">
                  <c:v>0.0482</c:v>
                </c:pt>
                <c:pt idx="81">
                  <c:v>0.0449</c:v>
                </c:pt>
                <c:pt idx="82">
                  <c:v>0.0546</c:v>
                </c:pt>
                <c:pt idx="83">
                  <c:v>0.0841</c:v>
                </c:pt>
                <c:pt idx="84">
                  <c:v>0.142</c:v>
                </c:pt>
                <c:pt idx="85">
                  <c:v>0.196</c:v>
                </c:pt>
                <c:pt idx="86">
                  <c:v>0.255</c:v>
                </c:pt>
                <c:pt idx="87">
                  <c:v>0.326</c:v>
                </c:pt>
                <c:pt idx="88">
                  <c:v>0.381</c:v>
                </c:pt>
                <c:pt idx="89">
                  <c:v>0.428</c:v>
                </c:pt>
                <c:pt idx="90">
                  <c:v>0.52</c:v>
                </c:pt>
                <c:pt idx="91">
                  <c:v>0.677</c:v>
                </c:pt>
                <c:pt idx="92">
                  <c:v>0.958</c:v>
                </c:pt>
                <c:pt idx="93">
                  <c:v>1.43</c:v>
                </c:pt>
                <c:pt idx="94">
                  <c:v>1.86</c:v>
                </c:pt>
                <c:pt idx="95">
                  <c:v>2.33</c:v>
                </c:pt>
                <c:pt idx="96">
                  <c:v>2.93</c:v>
                </c:pt>
                <c:pt idx="97">
                  <c:v>3.48</c:v>
                </c:pt>
                <c:pt idx="98">
                  <c:v>4.09</c:v>
                </c:pt>
                <c:pt idx="99">
                  <c:v>5.14</c:v>
                </c:pt>
                <c:pt idx="100">
                  <c:v>6.49</c:v>
                </c:pt>
                <c:pt idx="101">
                  <c:v>8.53</c:v>
                </c:pt>
                <c:pt idx="102">
                  <c:v>11</c:v>
                </c:pt>
                <c:pt idx="103">
                  <c:v>12.3</c:v>
                </c:pt>
                <c:pt idx="104">
                  <c:v>11.9</c:v>
                </c:pt>
                <c:pt idx="105">
                  <c:v>9.89</c:v>
                </c:pt>
                <c:pt idx="106">
                  <c:v>8.28</c:v>
                </c:pt>
                <c:pt idx="107">
                  <c:v>7.11</c:v>
                </c:pt>
                <c:pt idx="108">
                  <c:v>6.14</c:v>
                </c:pt>
                <c:pt idx="109">
                  <c:v>5.36</c:v>
                </c:pt>
                <c:pt idx="110">
                  <c:v>4.52</c:v>
                </c:pt>
                <c:pt idx="111">
                  <c:v>3.53</c:v>
                </c:pt>
                <c:pt idx="112">
                  <c:v>2.77</c:v>
                </c:pt>
                <c:pt idx="113">
                  <c:v>2.19</c:v>
                </c:pt>
                <c:pt idx="114">
                  <c:v>1.71</c:v>
                </c:pt>
                <c:pt idx="115">
                  <c:v>1.37</c:v>
                </c:pt>
                <c:pt idx="116">
                  <c:v>1.11</c:v>
                </c:pt>
                <c:pt idx="117">
                  <c:v>0.909</c:v>
                </c:pt>
                <c:pt idx="118">
                  <c:v>0.735</c:v>
                </c:pt>
                <c:pt idx="119">
                  <c:v>0.565</c:v>
                </c:pt>
                <c:pt idx="120">
                  <c:v>0.397</c:v>
                </c:pt>
                <c:pt idx="121">
                  <c:v>0.272</c:v>
                </c:pt>
                <c:pt idx="122">
                  <c:v>0.186</c:v>
                </c:pt>
                <c:pt idx="123">
                  <c:v>0.128</c:v>
                </c:pt>
                <c:pt idx="124">
                  <c:v>0.0897</c:v>
                </c:pt>
                <c:pt idx="125">
                  <c:v>0.0605</c:v>
                </c:pt>
                <c:pt idx="126">
                  <c:v>0.0399</c:v>
                </c:pt>
                <c:pt idx="127">
                  <c:v>0.0264</c:v>
                </c:pt>
                <c:pt idx="128">
                  <c:v>0.0178</c:v>
                </c:pt>
                <c:pt idx="129">
                  <c:v>0.0127</c:v>
                </c:pt>
                <c:pt idx="130">
                  <c:v>0.00921</c:v>
                </c:pt>
                <c:pt idx="131">
                  <c:v>0.00662</c:v>
                </c:pt>
                <c:pt idx="132">
                  <c:v>0.00465</c:v>
                </c:pt>
                <c:pt idx="133">
                  <c:v>0.00311</c:v>
                </c:pt>
                <c:pt idx="134">
                  <c:v>0.00184</c:v>
                </c:pt>
                <c:pt idx="135">
                  <c:v>0.000894</c:v>
                </c:pt>
                <c:pt idx="136">
                  <c:v>0.000327</c:v>
                </c:pt>
                <c:pt idx="137">
                  <c:v>6.06e-5</c:v>
                </c:pt>
                <c:pt idx="138">
                  <c:v>0</c:v>
                </c:pt>
                <c:pt idx="139">
                  <c:v>0</c:v>
                </c:pt>
                <c:pt idx="140">
                  <c:v>0</c:v>
                </c:pt>
                <c:pt idx="141">
                  <c:v>0</c:v>
                </c:pt>
                <c:pt idx="142">
                  <c:v>0</c:v>
                </c:pt>
                <c:pt idx="143">
                  <c:v>0</c:v>
                </c:pt>
                <c:pt idx="144">
                  <c:v>0.00482</c:v>
                </c:pt>
                <c:pt idx="145">
                  <c:v>0.0169</c:v>
                </c:pt>
                <c:pt idx="146">
                  <c:v>0.0417</c:v>
                </c:pt>
                <c:pt idx="147">
                  <c:v>0.0809</c:v>
                </c:pt>
                <c:pt idx="148">
                  <c:v>0.11</c:v>
                </c:pt>
                <c:pt idx="149">
                  <c:v>0.131</c:v>
                </c:pt>
                <c:pt idx="150">
                  <c:v>0.146</c:v>
                </c:pt>
                <c:pt idx="151">
                  <c:v>0.156</c:v>
                </c:pt>
                <c:pt idx="152">
                  <c:v>0.164</c:v>
                </c:pt>
                <c:pt idx="153">
                  <c:v>0.17</c:v>
                </c:pt>
                <c:pt idx="154">
                  <c:v>0.174</c:v>
                </c:pt>
                <c:pt idx="155">
                  <c:v>0.178</c:v>
                </c:pt>
                <c:pt idx="156">
                  <c:v>0.181</c:v>
                </c:pt>
                <c:pt idx="157">
                  <c:v>0.184</c:v>
                </c:pt>
                <c:pt idx="158">
                  <c:v>0.186</c:v>
                </c:pt>
                <c:pt idx="159">
                  <c:v>0.187</c:v>
                </c:pt>
                <c:pt idx="160">
                  <c:v>0.189</c:v>
                </c:pt>
                <c:pt idx="161">
                  <c:v>0.19</c:v>
                </c:pt>
                <c:pt idx="162">
                  <c:v>0.19</c:v>
                </c:pt>
                <c:pt idx="163">
                  <c:v>0.189</c:v>
                </c:pt>
                <c:pt idx="164">
                  <c:v>0.187</c:v>
                </c:pt>
                <c:pt idx="165">
                  <c:v>0.184</c:v>
                </c:pt>
                <c:pt idx="166">
                  <c:v>0.182</c:v>
                </c:pt>
                <c:pt idx="167">
                  <c:v>0.18</c:v>
                </c:pt>
                <c:pt idx="168">
                  <c:v>0.179</c:v>
                </c:pt>
                <c:pt idx="169">
                  <c:v>0.178</c:v>
                </c:pt>
                <c:pt idx="170">
                  <c:v>0.177</c:v>
                </c:pt>
                <c:pt idx="171">
                  <c:v>0.177</c:v>
                </c:pt>
                <c:pt idx="172">
                  <c:v>0.177</c:v>
                </c:pt>
                <c:pt idx="173">
                  <c:v>0.176</c:v>
                </c:pt>
                <c:pt idx="174">
                  <c:v>0.176</c:v>
                </c:pt>
                <c:pt idx="175">
                  <c:v>0.176</c:v>
                </c:pt>
                <c:pt idx="176">
                  <c:v>0.176</c:v>
                </c:pt>
                <c:pt idx="177">
                  <c:v>0.175</c:v>
                </c:pt>
                <c:pt idx="178">
                  <c:v>0.175</c:v>
                </c:pt>
                <c:pt idx="179">
                  <c:v>0.175</c:v>
                </c:pt>
                <c:pt idx="180">
                  <c:v>0.173</c:v>
                </c:pt>
                <c:pt idx="181">
                  <c:v>0.166</c:v>
                </c:pt>
                <c:pt idx="182">
                  <c:v>0.152</c:v>
                </c:pt>
                <c:pt idx="183">
                  <c:v>0.13</c:v>
                </c:pt>
                <c:pt idx="184">
                  <c:v>0.113</c:v>
                </c:pt>
                <c:pt idx="185">
                  <c:v>0.102</c:v>
                </c:pt>
                <c:pt idx="186">
                  <c:v>0.0933</c:v>
                </c:pt>
                <c:pt idx="187">
                  <c:v>0.0877</c:v>
                </c:pt>
                <c:pt idx="188">
                  <c:v>0.0834</c:v>
                </c:pt>
                <c:pt idx="189">
                  <c:v>0.0802</c:v>
                </c:pt>
                <c:pt idx="190">
                  <c:v>0.0777</c:v>
                </c:pt>
                <c:pt idx="191">
                  <c:v>0.0756</c:v>
                </c:pt>
                <c:pt idx="192">
                  <c:v>0.0738</c:v>
                </c:pt>
                <c:pt idx="193">
                  <c:v>0.0724</c:v>
                </c:pt>
                <c:pt idx="194">
                  <c:v>0.0712</c:v>
                </c:pt>
                <c:pt idx="195">
                  <c:v>0.0703</c:v>
                </c:pt>
                <c:pt idx="196">
                  <c:v>0.0696</c:v>
                </c:pt>
                <c:pt idx="197">
                  <c:v>0.0691</c:v>
                </c:pt>
                <c:pt idx="198">
                  <c:v>0.0692</c:v>
                </c:pt>
                <c:pt idx="199">
                  <c:v>0.0703</c:v>
                </c:pt>
                <c:pt idx="200">
                  <c:v>0.0728</c:v>
                </c:pt>
                <c:pt idx="201">
                  <c:v>0.0768</c:v>
                </c:pt>
                <c:pt idx="202">
                  <c:v>0.0799</c:v>
                </c:pt>
                <c:pt idx="203">
                  <c:v>0.0821</c:v>
                </c:pt>
                <c:pt idx="204">
                  <c:v>0.0837</c:v>
                </c:pt>
                <c:pt idx="205">
                  <c:v>0.0847</c:v>
                </c:pt>
                <c:pt idx="206">
                  <c:v>0.0855</c:v>
                </c:pt>
                <c:pt idx="207">
                  <c:v>0.0861</c:v>
                </c:pt>
                <c:pt idx="208">
                  <c:v>0.0866</c:v>
                </c:pt>
                <c:pt idx="209">
                  <c:v>0.087</c:v>
                </c:pt>
                <c:pt idx="210">
                  <c:v>0.0873</c:v>
                </c:pt>
                <c:pt idx="211">
                  <c:v>0.0876</c:v>
                </c:pt>
                <c:pt idx="212">
                  <c:v>0.0878</c:v>
                </c:pt>
                <c:pt idx="213">
                  <c:v>0.0879</c:v>
                </c:pt>
                <c:pt idx="214">
                  <c:v>0.0881</c:v>
                </c:pt>
                <c:pt idx="215">
                  <c:v>0.0882</c:v>
                </c:pt>
                <c:pt idx="216">
                  <c:v>0.086</c:v>
                </c:pt>
                <c:pt idx="217">
                  <c:v>0.0804</c:v>
                </c:pt>
                <c:pt idx="218">
                  <c:v>0.069</c:v>
                </c:pt>
                <c:pt idx="219">
                  <c:v>0.0509</c:v>
                </c:pt>
                <c:pt idx="220">
                  <c:v>0.0372</c:v>
                </c:pt>
                <c:pt idx="221">
                  <c:v>0.0275</c:v>
                </c:pt>
                <c:pt idx="222">
                  <c:v>0.0206</c:v>
                </c:pt>
                <c:pt idx="223">
                  <c:v>0.016</c:v>
                </c:pt>
                <c:pt idx="224">
                  <c:v>0.0125</c:v>
                </c:pt>
                <c:pt idx="225">
                  <c:v>0.00979</c:v>
                </c:pt>
                <c:pt idx="226">
                  <c:v>0.0077</c:v>
                </c:pt>
                <c:pt idx="227">
                  <c:v>0.00597</c:v>
                </c:pt>
                <c:pt idx="228">
                  <c:v>0.00451</c:v>
                </c:pt>
                <c:pt idx="229">
                  <c:v>0.0033</c:v>
                </c:pt>
                <c:pt idx="230">
                  <c:v>0.00235</c:v>
                </c:pt>
                <c:pt idx="231">
                  <c:v>0.0016</c:v>
                </c:pt>
                <c:pt idx="232">
                  <c:v>0.00103</c:v>
                </c:pt>
                <c:pt idx="233">
                  <c:v>0.000592</c:v>
                </c:pt>
                <c:pt idx="234">
                  <c:v>0.000283</c:v>
                </c:pt>
                <c:pt idx="235">
                  <c:v>0.000103</c:v>
                </c:pt>
                <c:pt idx="236">
                  <c:v>1.92e-5</c:v>
                </c:pt>
                <c:pt idx="237">
                  <c:v>0</c:v>
                </c:pt>
                <c:pt idx="238">
                  <c:v>0</c:v>
                </c:pt>
              </c:numCache>
            </c:numRef>
          </c:yVal>
          <c:smooth val="0"/>
        </c:ser>
        <c:dLbls>
          <c:showLegendKey val="0"/>
          <c:showVal val="0"/>
          <c:showCatName val="0"/>
          <c:showSerName val="0"/>
          <c:showPercent val="0"/>
          <c:showBubbleSize val="0"/>
        </c:dLbls>
        <c:axId val="737345948"/>
        <c:axId val="393191851"/>
      </c:scatterChart>
      <c:valAx>
        <c:axId val="737345948"/>
        <c:scaling>
          <c:orientation val="minMax"/>
        </c:scaling>
        <c:delete val="0"/>
        <c:axPos val="b"/>
        <c:majorTickMark val="in"/>
        <c:minorTickMark val="none"/>
        <c:tickLblPos val="nextTo"/>
        <c:spPr>
          <a:ln w="3175" cap="flat" cmpd="sng" algn="ctr">
            <a:solidFill>
              <a:srgbClr val="000000">
                <a:alpha val="100000"/>
              </a:srgbClr>
            </a:solidFill>
            <a:prstDash val="solid"/>
            <a:round/>
          </a:ln>
        </c:spPr>
        <c:txPr>
          <a:bodyPr rot="-60000000" spcFirstLastPara="0" vertOverflow="ellipsis" vert="horz" wrap="square" anchor="ctr" anchorCtr="1"/>
          <a:lstStyle/>
          <a:p>
            <a:pPr>
              <a:defRPr lang="zh-CN" sz="10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393191851"/>
        <c:crosses val="autoZero"/>
        <c:crossBetween val="midCat"/>
      </c:valAx>
      <c:valAx>
        <c:axId val="393191851"/>
        <c:scaling>
          <c:orientation val="minMax"/>
        </c:scaling>
        <c:delete val="0"/>
        <c:axPos val="l"/>
        <c:numFmt formatCode="General" sourceLinked="1"/>
        <c:majorTickMark val="in"/>
        <c:minorTickMark val="none"/>
        <c:tickLblPos val="nextTo"/>
        <c:spPr>
          <a:ln w="3175" cap="flat" cmpd="sng" algn="ctr">
            <a:solidFill>
              <a:srgbClr val="000000">
                <a:alpha val="100000"/>
              </a:srgbClr>
            </a:solidFill>
            <a:prstDash val="solid"/>
            <a:round/>
          </a:ln>
        </c:spPr>
        <c:txPr>
          <a:bodyPr rot="-60000000" spcFirstLastPara="0" vertOverflow="ellipsis" vert="horz" wrap="square" anchor="ctr" anchorCtr="1"/>
          <a:lstStyle/>
          <a:p>
            <a:pPr>
              <a:defRPr lang="zh-CN" sz="10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737345948"/>
        <c:crosses val="autoZero"/>
        <c:crossBetween val="midCat"/>
      </c:valAx>
      <c:spPr>
        <a:noFill/>
        <a:ln w="3175">
          <a:noFill/>
        </a:ln>
      </c:spPr>
    </c:plotArea>
    <c:plotVisOnly val="1"/>
    <c:dispBlanksAs val="gap"/>
    <c:showDLblsOverMax val="0"/>
  </c:chart>
  <c:spPr>
    <a:solidFill>
      <a:srgbClr val="FFFFFF">
        <a:alpha val="100000"/>
      </a:srgbClr>
    </a:solidFill>
    <a:ln w="3175" cap="flat" cmpd="sng" algn="ctr">
      <a:solidFill>
        <a:srgbClr val="000000">
          <a:alpha val="100000"/>
        </a:srgbClr>
      </a:solidFill>
      <a:prstDash val="solid"/>
      <a:round/>
    </a:ln>
  </c:spPr>
  <c:txPr>
    <a:bodyPr rot="0" wrap="square" anchor="ctr" anchorCtr="1"/>
    <a:lstStyle/>
    <a:p>
      <a:pPr>
        <a:defRPr lang="zh-CN" sz="1700" b="0" i="0" u="none" strike="noStrike" baseline="0">
          <a:solidFill>
            <a:srgbClr val="000000"/>
          </a:solidFill>
          <a:latin typeface="宋体" panose="02010600030101010101" charset="-122"/>
          <a:ea typeface="宋体" panose="02010600030101010101" charset="-122"/>
          <a:cs typeface="宋体" panose="02010600030101010101" charset="-122"/>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P=5%</a:t>
            </a:r>
            <a:r>
              <a:rPr altLang="en-US"/>
              <a:t>二十年一遇</a:t>
            </a:r>
            <a:r>
              <a:rPr altLang="zh-CN"/>
              <a:t>水面线</a:t>
            </a:r>
            <a:endParaRPr altLang="zh-CN"/>
          </a:p>
        </c:rich>
      </c:tx>
      <c:layout/>
      <c:overlay val="0"/>
      <c:spPr>
        <a:noFill/>
        <a:ln>
          <a:noFill/>
        </a:ln>
        <a:effectLst/>
      </c:spPr>
    </c:title>
    <c:autoTitleDeleted val="0"/>
    <c:plotArea>
      <c:layout/>
      <c:lineChart>
        <c:grouping val="standard"/>
        <c:varyColors val="0"/>
        <c:ser>
          <c:idx val="0"/>
          <c:order val="0"/>
          <c:tx>
            <c:strRef>
              <c:f>Sheet1!$B$1</c:f>
              <c:strCache>
                <c:ptCount val="1"/>
                <c:pt idx="0">
                  <c:v>水位</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multiLvlStrRef>
              <c:f>Sheet1!$A$2:$B$6</c:f>
              <c:multiLvlStrCache>
                <c:ptCount val="5"/>
                <c:lvl>
                  <c:pt idx="0">
                    <c:v>0.8</c:v>
                  </c:pt>
                  <c:pt idx="1">
                    <c:v>0.81</c:v>
                  </c:pt>
                  <c:pt idx="2">
                    <c:v>0.81</c:v>
                  </c:pt>
                  <c:pt idx="3">
                    <c:v>0.82</c:v>
                  </c:pt>
                  <c:pt idx="4">
                    <c:v>0.82</c:v>
                  </c:pt>
                </c:lvl>
                <c:lvl>
                  <c:pt idx="0">
                    <c:v>K0+000</c:v>
                  </c:pt>
                  <c:pt idx="1">
                    <c:v>K0+050</c:v>
                  </c:pt>
                  <c:pt idx="2">
                    <c:v>K0+100</c:v>
                  </c:pt>
                  <c:pt idx="3">
                    <c:v>K0+150</c:v>
                  </c:pt>
                  <c:pt idx="4">
                    <c:v>K0+160</c:v>
                  </c:pt>
                </c:lvl>
              </c:multiLvlStrCache>
            </c:multiLvlStrRef>
          </c:cat>
          <c:val>
            <c:numRef>
              <c:f>Sheet1!$B$2:$B$6</c:f>
              <c:numCache>
                <c:formatCode>General</c:formatCode>
                <c:ptCount val="5"/>
                <c:pt idx="0">
                  <c:v>0.8</c:v>
                </c:pt>
                <c:pt idx="1">
                  <c:v>0.81</c:v>
                </c:pt>
                <c:pt idx="2">
                  <c:v>0.81</c:v>
                </c:pt>
                <c:pt idx="3">
                  <c:v>0.82</c:v>
                </c:pt>
                <c:pt idx="4">
                  <c:v>0.82</c:v>
                </c:pt>
              </c:numCache>
            </c:numRef>
          </c:val>
          <c:smooth val="0"/>
        </c:ser>
        <c:ser>
          <c:idx val="1"/>
          <c:order val="1"/>
          <c:tx>
            <c:strRef>
              <c:f>"河底高程"</c:f>
              <c:strCache>
                <c:ptCount val="1"/>
                <c:pt idx="0">
                  <c:v>河底高程</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multiLvlStrRef>
              <c:f>Sheet1!$A$2:$B$6</c:f>
              <c:multiLvlStrCache>
                <c:ptCount val="5"/>
                <c:lvl>
                  <c:pt idx="0">
                    <c:v>0.8</c:v>
                  </c:pt>
                  <c:pt idx="1">
                    <c:v>0.81</c:v>
                  </c:pt>
                  <c:pt idx="2">
                    <c:v>0.81</c:v>
                  </c:pt>
                  <c:pt idx="3">
                    <c:v>0.82</c:v>
                  </c:pt>
                  <c:pt idx="4">
                    <c:v>0.82</c:v>
                  </c:pt>
                </c:lvl>
                <c:lvl>
                  <c:pt idx="0">
                    <c:v>K0+000</c:v>
                  </c:pt>
                  <c:pt idx="1">
                    <c:v>K0+050</c:v>
                  </c:pt>
                  <c:pt idx="2">
                    <c:v>K0+100</c:v>
                  </c:pt>
                  <c:pt idx="3">
                    <c:v>K0+150</c:v>
                  </c:pt>
                  <c:pt idx="4">
                    <c:v>K0+160</c:v>
                  </c:pt>
                </c:lvl>
              </c:multiLvlStrCache>
            </c:multiLvlStrRef>
          </c:cat>
          <c:val>
            <c:numRef>
              <c:f>Sheet1!$C$2:$C$6</c:f>
              <c:numCache>
                <c:formatCode>General</c:formatCode>
                <c:ptCount val="5"/>
                <c:pt idx="0">
                  <c:v>-1.8</c:v>
                </c:pt>
                <c:pt idx="1">
                  <c:v>-1.2</c:v>
                </c:pt>
                <c:pt idx="2">
                  <c:v>-1.2</c:v>
                </c:pt>
                <c:pt idx="3">
                  <c:v>-1.2</c:v>
                </c:pt>
                <c:pt idx="4">
                  <c:v>-1.2</c:v>
                </c:pt>
              </c:numCache>
            </c:numRef>
          </c:val>
          <c:smooth val="0"/>
        </c:ser>
        <c:dLbls>
          <c:showLegendKey val="0"/>
          <c:showVal val="0"/>
          <c:showCatName val="0"/>
          <c:showSerName val="0"/>
          <c:showPercent val="0"/>
          <c:showBubbleSize val="0"/>
        </c:dLbls>
        <c:marker val="1"/>
        <c:smooth val="0"/>
        <c:axId val="36851913"/>
        <c:axId val="513452481"/>
      </c:lineChart>
      <c:catAx>
        <c:axId val="36851913"/>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13452481"/>
        <c:crossesAt val="0"/>
        <c:auto val="1"/>
        <c:lblAlgn val="ctr"/>
        <c:lblOffset val="100"/>
        <c:noMultiLvlLbl val="0"/>
      </c:catAx>
      <c:valAx>
        <c:axId val="513452481"/>
        <c:scaling>
          <c:orientation val="minMax"/>
          <c:max val="1"/>
          <c:min val="-2"/>
        </c:scaling>
        <c:delete val="0"/>
        <c:axPos val="l"/>
        <c:majorGridlines>
          <c:spPr>
            <a:ln w="12700" cap="flat" cmpd="sng" algn="ctr">
              <a:solidFill>
                <a:schemeClr val="lt1">
                  <a:lumMod val="90200"/>
                </a:schemeClr>
              </a:solidFill>
              <a:prstDash val="solid"/>
              <a:round/>
            </a:ln>
            <a:effectLst/>
          </c:spPr>
        </c:majorGridlines>
        <c:numFmt formatCode="General" sourceLinked="1"/>
        <c:majorTickMark val="in"/>
        <c:minorTickMark val="none"/>
        <c:tickLblPos val="nextTo"/>
        <c:spPr>
          <a:noFill/>
          <a:ln>
            <a:solidFill>
              <a:schemeClr val="accent1"/>
            </a:solidFill>
          </a:ln>
          <a:effectLst/>
        </c:spPr>
        <c:txPr>
          <a:bodyPr rot="-60000000" spcFirstLastPara="0" vertOverflow="ellipsis" vert="horz" wrap="square" anchor="ctr" anchorCtr="1"/>
          <a:lstStyle/>
          <a:p>
            <a:pPr>
              <a:defRPr lang="zh-CN" sz="900" b="0" i="0" u="none" strike="noStrike" kern="1200" baseline="0">
                <a:solidFill>
                  <a:schemeClr val="accent5"/>
                </a:solidFill>
                <a:latin typeface="+mn-lt"/>
                <a:ea typeface="+mn-ea"/>
                <a:cs typeface="+mn-cs"/>
              </a:defRPr>
            </a:pPr>
          </a:p>
        </c:txPr>
        <c:crossAx val="36851913"/>
        <c:crosses val="autoZero"/>
        <c:crossBetween val="between"/>
        <c:majorUnit val="1"/>
        <c:minorUnit val="0.2"/>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noFill/>
    <a:ln w="9525" cap="flat" cmpd="sng" algn="ctr">
      <a:no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yssj</Company>
  <Pages>106</Pages>
  <Words>45245</Words>
  <Characters>52662</Characters>
  <Lines>92</Lines>
  <Paragraphs>26</Paragraphs>
  <TotalTime>5</TotalTime>
  <ScaleCrop>false</ScaleCrop>
  <LinksUpToDate>false</LinksUpToDate>
  <CharactersWithSpaces>53597</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2012-07-10T03:04:00Z</dcterms:created>
  <dc:creator>sj</dc:creator>
  <cp:lastModifiedBy>蜉蝣</cp:lastModifiedBy>
  <cp:lastPrinted>2024-03-20T08:42:00Z</cp:lastPrinted>
  <dcterms:modified xsi:type="dcterms:W3CDTF">2024-05-28T01:23:46Z</dcterms:modified>
  <dc:title>联围围整治工程（九塞涌至莲花山水闸段）</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2052-12.1.0.16929</vt:lpwstr>
  </property>
  <property fmtid="{D5CDD505-2E9C-101B-9397-08002B2CF9AE}" pid="4" name="ICV">
    <vt:lpwstr>ED82D9276B714CFBAAC63EAB06725E9D_13</vt:lpwstr>
  </property>
</Properties>
</file>