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00" w:lineRule="atLeast"/>
        <w:rPr>
          <w:rFonts w:ascii="Times New Roman" w:hAnsi="Times New Roman" w:eastAsia="黑体" w:cs="Times New Roman"/>
          <w:sz w:val="28"/>
          <w:szCs w:val="28"/>
        </w:rPr>
      </w:pPr>
    </w:p>
    <w:p>
      <w:pPr>
        <w:adjustRightInd w:val="0"/>
        <w:spacing w:line="360" w:lineRule="atLeast"/>
        <w:jc w:val="both"/>
        <w:textAlignment w:val="baseline"/>
        <w:rPr>
          <w:rFonts w:ascii="Times New Roman" w:hAnsi="Times New Roman" w:eastAsia="宋体" w:cs="Times New Roman"/>
          <w:kern w:val="0"/>
          <w:sz w:val="44"/>
          <w:szCs w:val="20"/>
        </w:rPr>
      </w:pPr>
    </w:p>
    <w:p>
      <w:pPr>
        <w:adjustRightInd w:val="0"/>
        <w:spacing w:line="360" w:lineRule="atLeast"/>
        <w:jc w:val="center"/>
        <w:textAlignment w:val="baseline"/>
        <w:rPr>
          <w:rFonts w:ascii="Times New Roman" w:hAnsi="Times New Roman" w:eastAsia="宋体" w:cs="Times New Roman"/>
          <w:kern w:val="0"/>
          <w:sz w:val="44"/>
          <w:szCs w:val="20"/>
        </w:rPr>
      </w:pPr>
    </w:p>
    <w:p>
      <w:pPr>
        <w:adjustRightInd w:val="0"/>
        <w:snapToGrid w:val="0"/>
        <w:spacing w:before="240" w:line="560" w:lineRule="exact"/>
        <w:jc w:val="center"/>
        <w:rPr>
          <w:rFonts w:ascii="仿宋_GB2312" w:hAnsi="Times New Roman" w:eastAsia="黑体" w:cs="Times New Roman"/>
          <w:sz w:val="44"/>
          <w:szCs w:val="44"/>
        </w:rPr>
      </w:pPr>
      <w:r>
        <w:rPr>
          <w:rFonts w:hint="eastAsia" w:ascii="仿宋_GB2312" w:hAnsi="Times New Roman" w:eastAsia="黑体" w:cs="Times New Roman"/>
          <w:sz w:val="44"/>
          <w:szCs w:val="44"/>
        </w:rPr>
        <w:t>桥南街大蕴涌排涝通道改造工程</w:t>
      </w:r>
    </w:p>
    <w:p>
      <w:pPr>
        <w:adjustRightInd w:val="0"/>
        <w:spacing w:line="360" w:lineRule="atLeast"/>
        <w:jc w:val="center"/>
        <w:textAlignment w:val="baseline"/>
        <w:rPr>
          <w:rFonts w:ascii="黑体" w:hAnsi="Times New Roman" w:eastAsia="黑体" w:cs="Times New Roman"/>
          <w:b/>
          <w:spacing w:val="40"/>
          <w:kern w:val="0"/>
          <w:sz w:val="52"/>
          <w:szCs w:val="20"/>
        </w:rPr>
      </w:pPr>
    </w:p>
    <w:p>
      <w:pPr>
        <w:adjustRightInd w:val="0"/>
        <w:spacing w:line="360" w:lineRule="atLeast"/>
        <w:jc w:val="center"/>
        <w:textAlignment w:val="baseline"/>
        <w:rPr>
          <w:rFonts w:ascii="黑体" w:hAnsi="Times New Roman" w:eastAsia="黑体" w:cs="Times New Roman"/>
          <w:b/>
          <w:spacing w:val="40"/>
          <w:kern w:val="0"/>
          <w:sz w:val="52"/>
          <w:szCs w:val="20"/>
        </w:rPr>
      </w:pPr>
    </w:p>
    <w:p>
      <w:pPr>
        <w:adjustRightInd w:val="0"/>
        <w:spacing w:line="360" w:lineRule="atLeast"/>
        <w:jc w:val="center"/>
        <w:textAlignment w:val="baseline"/>
        <w:rPr>
          <w:rFonts w:hint="eastAsia" w:ascii="黑体" w:hAnsi="Times New Roman" w:eastAsia="黑体" w:cs="Times New Roman"/>
          <w:b/>
          <w:spacing w:val="40"/>
          <w:kern w:val="0"/>
          <w:sz w:val="52"/>
          <w:szCs w:val="20"/>
          <w:lang w:eastAsia="zh-CN"/>
        </w:rPr>
      </w:pPr>
      <w:r>
        <w:rPr>
          <w:rFonts w:hint="eastAsia" w:ascii="黑体" w:hAnsi="Times New Roman" w:eastAsia="黑体" w:cs="Times New Roman"/>
          <w:b/>
          <w:spacing w:val="40"/>
          <w:kern w:val="0"/>
          <w:sz w:val="52"/>
          <w:szCs w:val="20"/>
          <w:lang w:val="en-US" w:eastAsia="zh-CN"/>
        </w:rPr>
        <w:t>预 算</w:t>
      </w:r>
    </w:p>
    <w:p>
      <w:pPr>
        <w:adjustRightInd w:val="0"/>
        <w:spacing w:line="360" w:lineRule="atLeast"/>
        <w:jc w:val="center"/>
        <w:textAlignment w:val="baseline"/>
        <w:rPr>
          <w:rFonts w:ascii="黑体" w:hAnsi="Times New Roman" w:eastAsia="黑体" w:cs="Times New Roman"/>
          <w:kern w:val="0"/>
          <w:sz w:val="52"/>
          <w:szCs w:val="20"/>
        </w:rPr>
      </w:pPr>
    </w:p>
    <w:p>
      <w:pPr>
        <w:adjustRightInd w:val="0"/>
        <w:spacing w:line="360" w:lineRule="atLeast"/>
        <w:jc w:val="center"/>
        <w:textAlignment w:val="baseline"/>
        <w:rPr>
          <w:rFonts w:ascii="Times New Roman" w:hAnsi="宋体" w:eastAsia="宋体" w:cs="Times New Roman"/>
          <w:kern w:val="0"/>
          <w:sz w:val="52"/>
          <w:szCs w:val="20"/>
        </w:rPr>
      </w:pPr>
    </w:p>
    <w:p>
      <w:pPr>
        <w:adjustRightInd w:val="0"/>
        <w:spacing w:line="360" w:lineRule="atLeast"/>
        <w:jc w:val="center"/>
        <w:textAlignment w:val="baseline"/>
        <w:rPr>
          <w:rFonts w:ascii="Times New Roman" w:hAnsi="宋体" w:eastAsia="宋体" w:cs="Times New Roman"/>
          <w:kern w:val="0"/>
          <w:sz w:val="52"/>
          <w:szCs w:val="20"/>
        </w:rPr>
      </w:pPr>
    </w:p>
    <w:p>
      <w:pPr>
        <w:adjustRightInd w:val="0"/>
        <w:spacing w:line="360" w:lineRule="atLeast"/>
        <w:jc w:val="center"/>
        <w:textAlignment w:val="baseline"/>
        <w:rPr>
          <w:rFonts w:ascii="Times New Roman" w:hAnsi="宋体" w:eastAsia="宋体" w:cs="Times New Roman"/>
          <w:kern w:val="0"/>
          <w:sz w:val="52"/>
          <w:szCs w:val="20"/>
        </w:rPr>
      </w:pPr>
    </w:p>
    <w:p>
      <w:pPr>
        <w:adjustRightInd w:val="0"/>
        <w:spacing w:line="360" w:lineRule="atLeast"/>
        <w:jc w:val="center"/>
        <w:textAlignment w:val="baseline"/>
        <w:rPr>
          <w:rFonts w:ascii="Times New Roman" w:hAnsi="宋体" w:eastAsia="宋体" w:cs="Times New Roman"/>
          <w:kern w:val="0"/>
          <w:sz w:val="52"/>
          <w:szCs w:val="20"/>
        </w:rPr>
      </w:pPr>
    </w:p>
    <w:p>
      <w:pPr>
        <w:adjustRightInd w:val="0"/>
        <w:spacing w:line="360" w:lineRule="atLeast"/>
        <w:jc w:val="center"/>
        <w:textAlignment w:val="baseline"/>
        <w:rPr>
          <w:rFonts w:ascii="Times New Roman" w:hAnsi="宋体" w:eastAsia="宋体" w:cs="Times New Roman"/>
          <w:kern w:val="0"/>
          <w:sz w:val="52"/>
          <w:szCs w:val="20"/>
        </w:rPr>
      </w:pPr>
    </w:p>
    <w:p>
      <w:pPr>
        <w:adjustRightInd w:val="0"/>
        <w:spacing w:line="360" w:lineRule="atLeast"/>
        <w:jc w:val="both"/>
        <w:textAlignment w:val="baseline"/>
        <w:rPr>
          <w:rFonts w:ascii="Times New Roman" w:hAnsi="宋体" w:eastAsia="宋体" w:cs="Times New Roman"/>
          <w:kern w:val="0"/>
          <w:sz w:val="52"/>
          <w:szCs w:val="20"/>
        </w:rPr>
      </w:pPr>
    </w:p>
    <w:p>
      <w:pPr>
        <w:tabs>
          <w:tab w:val="left" w:pos="720"/>
        </w:tabs>
        <w:adjustRightInd w:val="0"/>
        <w:snapToGrid w:val="0"/>
        <w:spacing w:line="520" w:lineRule="exact"/>
        <w:jc w:val="center"/>
        <w:textAlignment w:val="baseline"/>
        <w:rPr>
          <w:rFonts w:hint="eastAsia" w:ascii="Times New Roman" w:hAnsi="宋体" w:eastAsia="黑体" w:cs="Times New Roman"/>
          <w:spacing w:val="57"/>
          <w:kern w:val="22"/>
          <w:sz w:val="32"/>
          <w:szCs w:val="20"/>
        </w:rPr>
      </w:pPr>
      <w:r>
        <w:rPr>
          <w:rFonts w:hint="eastAsia" w:ascii="Times New Roman" w:hAnsi="宋体" w:eastAsia="黑体" w:cs="Times New Roman"/>
          <w:spacing w:val="57"/>
          <w:kern w:val="22"/>
          <w:sz w:val="32"/>
          <w:szCs w:val="20"/>
        </w:rPr>
        <w:t>广东顺境工程设计有限公司</w:t>
      </w:r>
    </w:p>
    <w:p>
      <w:pPr>
        <w:tabs>
          <w:tab w:val="left" w:pos="720"/>
        </w:tabs>
        <w:adjustRightInd w:val="0"/>
        <w:snapToGrid w:val="0"/>
        <w:spacing w:line="520" w:lineRule="exact"/>
        <w:jc w:val="center"/>
        <w:textAlignment w:val="baseline"/>
        <w:rPr>
          <w:rFonts w:ascii="楷体_GB2312" w:hAnsi="宋体" w:eastAsia="黑体" w:cs="Times New Roman"/>
          <w:bCs/>
          <w:spacing w:val="10"/>
          <w:kern w:val="0"/>
          <w:sz w:val="32"/>
          <w:szCs w:val="20"/>
        </w:rPr>
      </w:pPr>
      <w:r>
        <w:rPr>
          <w:rFonts w:hint="eastAsia" w:ascii="Times New Roman" w:hAnsi="宋体" w:eastAsia="黑体" w:cs="Times New Roman"/>
          <w:spacing w:val="11"/>
          <w:kern w:val="0"/>
          <w:sz w:val="32"/>
          <w:szCs w:val="20"/>
        </w:rPr>
        <w:t>设计证书编号：A444017868</w:t>
      </w:r>
    </w:p>
    <w:p>
      <w:pPr>
        <w:tabs>
          <w:tab w:val="left" w:pos="720"/>
        </w:tabs>
        <w:adjustRightInd w:val="0"/>
        <w:snapToGrid w:val="0"/>
        <w:spacing w:line="520" w:lineRule="exact"/>
        <w:jc w:val="center"/>
        <w:textAlignment w:val="baseline"/>
        <w:rPr>
          <w:rFonts w:ascii="Times New Roman" w:hAnsi="宋体" w:eastAsia="黑体" w:cs="Times New Roman"/>
          <w:spacing w:val="20"/>
          <w:kern w:val="0"/>
          <w:sz w:val="32"/>
          <w:szCs w:val="20"/>
        </w:rPr>
      </w:pPr>
      <w:r>
        <w:rPr>
          <w:rFonts w:hint="eastAsia" w:ascii="Times New Roman" w:hAnsi="宋体" w:eastAsia="黑体" w:cs="Times New Roman"/>
          <w:spacing w:val="20"/>
          <w:kern w:val="0"/>
          <w:sz w:val="32"/>
          <w:szCs w:val="20"/>
        </w:rPr>
        <w:t>二○二</w:t>
      </w:r>
      <w:r>
        <w:rPr>
          <w:rFonts w:hint="eastAsia" w:ascii="Times New Roman" w:hAnsi="宋体" w:eastAsia="黑体" w:cs="Times New Roman"/>
          <w:spacing w:val="20"/>
          <w:kern w:val="0"/>
          <w:sz w:val="32"/>
          <w:szCs w:val="20"/>
          <w:lang w:eastAsia="zh-CN"/>
        </w:rPr>
        <w:t>四</w:t>
      </w:r>
      <w:r>
        <w:rPr>
          <w:rFonts w:hint="eastAsia" w:ascii="Times New Roman" w:hAnsi="宋体" w:eastAsia="黑体" w:cs="Times New Roman"/>
          <w:spacing w:val="20"/>
          <w:kern w:val="0"/>
          <w:sz w:val="32"/>
          <w:szCs w:val="20"/>
        </w:rPr>
        <w:t>年</w:t>
      </w:r>
      <w:r>
        <w:rPr>
          <w:rFonts w:hint="eastAsia" w:ascii="Times New Roman" w:hAnsi="宋体" w:eastAsia="黑体" w:cs="Times New Roman"/>
          <w:spacing w:val="20"/>
          <w:kern w:val="0"/>
          <w:sz w:val="32"/>
          <w:szCs w:val="20"/>
          <w:lang w:val="en-US" w:eastAsia="zh-CN"/>
        </w:rPr>
        <w:t>四</w:t>
      </w:r>
      <w:r>
        <w:rPr>
          <w:rFonts w:hint="eastAsia" w:ascii="Times New Roman" w:hAnsi="宋体" w:eastAsia="黑体" w:cs="Times New Roman"/>
          <w:spacing w:val="20"/>
          <w:kern w:val="0"/>
          <w:sz w:val="32"/>
          <w:szCs w:val="20"/>
        </w:rPr>
        <w:t>月</w:t>
      </w:r>
    </w:p>
    <w:p>
      <w:pPr>
        <w:overflowPunct w:val="0"/>
        <w:topLinePunct/>
        <w:adjustRightInd w:val="0"/>
        <w:snapToGrid w:val="0"/>
        <w:spacing w:before="48" w:after="48" w:line="360" w:lineRule="auto"/>
        <w:ind w:firstLine="588" w:firstLineChars="210"/>
        <w:rPr>
          <w:rFonts w:ascii="Times New Roman" w:hAnsi="Times New Roman" w:eastAsia="宋体" w:cs="宋体"/>
          <w:kern w:val="0"/>
          <w:sz w:val="28"/>
          <w:szCs w:val="20"/>
        </w:rPr>
      </w:pPr>
    </w:p>
    <w:p>
      <w:pPr>
        <w:widowControl/>
        <w:jc w:val="left"/>
        <w:rPr>
          <w:rFonts w:ascii="仿宋_GB2312" w:hAnsi="Times New Roman" w:eastAsia="黑体" w:cs="Times New Roman"/>
          <w:sz w:val="44"/>
          <w:szCs w:val="44"/>
        </w:rPr>
      </w:pPr>
      <w:r>
        <w:rPr>
          <w:rFonts w:ascii="仿宋_GB2312" w:hAnsi="Times New Roman" w:eastAsia="黑体" w:cs="Times New Roman"/>
          <w:sz w:val="44"/>
          <w:szCs w:val="44"/>
        </w:rPr>
        <w:br w:type="page"/>
      </w:r>
    </w:p>
    <w:p>
      <w:pPr>
        <w:pStyle w:val="2"/>
        <w:widowControl w:val="0"/>
        <w:adjustRightInd w:val="0"/>
        <w:spacing w:before="240" w:beforeLines="100" w:beforeAutospacing="0" w:after="120" w:afterLines="50" w:afterAutospacing="0" w:line="360" w:lineRule="auto"/>
        <w:jc w:val="center"/>
        <w:textAlignment w:val="baseline"/>
        <w:rPr>
          <w:rFonts w:hint="eastAsia" w:ascii="黑体" w:eastAsia="黑体" w:cs="Times New Roman"/>
          <w:b w:val="0"/>
          <w:kern w:val="44"/>
          <w:sz w:val="36"/>
          <w:szCs w:val="36"/>
        </w:rPr>
      </w:pPr>
      <w:r>
        <w:rPr>
          <w:rFonts w:ascii="黑体" w:eastAsia="黑体" w:cs="Times New Roman"/>
          <w:b w:val="0"/>
          <w:kern w:val="44"/>
          <w:sz w:val="36"/>
          <w:szCs w:val="36"/>
        </w:rPr>
        <w:t>编制说明</w:t>
      </w:r>
      <w:r>
        <w:rPr>
          <w:rFonts w:hint="eastAsia" w:ascii="黑体" w:eastAsia="黑体" w:cs="Times New Roman"/>
          <w:b w:val="0"/>
          <w:kern w:val="44"/>
          <w:sz w:val="36"/>
          <w:szCs w:val="36"/>
        </w:rPr>
        <w:t xml:space="preserve"> </w:t>
      </w:r>
    </w:p>
    <w:p>
      <w:pPr>
        <w:pStyle w:val="2"/>
        <w:widowControl w:val="0"/>
        <w:numPr>
          <w:ilvl w:val="0"/>
          <w:numId w:val="1"/>
        </w:numPr>
        <w:adjustRightInd w:val="0"/>
        <w:spacing w:before="240" w:beforeLines="100" w:beforeAutospacing="0" w:after="120" w:afterLines="50" w:afterAutospacing="0" w:line="360" w:lineRule="auto"/>
        <w:jc w:val="both"/>
        <w:textAlignment w:val="baseline"/>
        <w:rPr>
          <w:rFonts w:hint="eastAsia" w:ascii="黑体" w:eastAsia="黑体" w:cs="Times New Roman"/>
          <w:b w:val="0"/>
          <w:kern w:val="44"/>
          <w:sz w:val="30"/>
          <w:szCs w:val="30"/>
        </w:rPr>
      </w:pPr>
      <w:r>
        <w:rPr>
          <w:rFonts w:hint="eastAsia" w:ascii="黑体" w:eastAsia="黑体" w:cs="Times New Roman"/>
          <w:b w:val="0"/>
          <w:kern w:val="44"/>
          <w:sz w:val="30"/>
          <w:szCs w:val="30"/>
        </w:rPr>
        <w:t>工程概况</w:t>
      </w:r>
    </w:p>
    <w:p>
      <w:pPr>
        <w:pStyle w:val="2"/>
        <w:widowControl w:val="0"/>
        <w:adjustRightInd w:val="0"/>
        <w:spacing w:before="240" w:beforeLines="100" w:beforeAutospacing="0" w:after="120" w:afterLines="50" w:afterAutospacing="0" w:line="360" w:lineRule="auto"/>
        <w:ind w:firstLine="600" w:firstLineChars="200"/>
        <w:jc w:val="both"/>
        <w:textAlignment w:val="baseline"/>
        <w:rPr>
          <w:rFonts w:hint="eastAsia"/>
          <w:b w:val="0"/>
          <w:bCs w:val="0"/>
          <w:kern w:val="44"/>
          <w:sz w:val="30"/>
          <w:szCs w:val="30"/>
        </w:rPr>
      </w:pPr>
      <w:r>
        <w:rPr>
          <w:rFonts w:hint="eastAsia"/>
          <w:b w:val="0"/>
          <w:bCs w:val="0"/>
          <w:kern w:val="44"/>
          <w:sz w:val="30"/>
          <w:szCs w:val="30"/>
        </w:rPr>
        <w:t>桥南街大蕴涌排涝通道改造工程分二塱西街侧及二塱东街侧，其中二塱西街侧改造范围位于二塱水闸上游约160~320m处，改造总长度为160m；二塱东街侧改造范围位于福愉东路以南约50~86m处，改造总长度为36m。</w:t>
      </w:r>
    </w:p>
    <w:p>
      <w:pPr>
        <w:pStyle w:val="2"/>
        <w:widowControl w:val="0"/>
        <w:adjustRightInd w:val="0"/>
        <w:spacing w:before="240" w:beforeLines="100" w:beforeAutospacing="0" w:after="120" w:afterLines="50" w:afterAutospacing="0" w:line="360" w:lineRule="auto"/>
        <w:ind w:firstLine="600" w:firstLineChars="200"/>
        <w:jc w:val="both"/>
        <w:textAlignment w:val="baseline"/>
        <w:rPr>
          <w:rFonts w:hint="eastAsia"/>
          <w:b w:val="0"/>
          <w:bCs w:val="0"/>
          <w:kern w:val="44"/>
          <w:sz w:val="30"/>
          <w:szCs w:val="30"/>
        </w:rPr>
      </w:pPr>
      <w:r>
        <w:rPr>
          <w:rFonts w:hint="eastAsia"/>
          <w:b w:val="0"/>
          <w:bCs w:val="0"/>
          <w:kern w:val="44"/>
          <w:sz w:val="30"/>
          <w:szCs w:val="30"/>
        </w:rPr>
        <w:t>根据《防洪标准》（GB50201-2014）、《广东省防洪（潮）标准和治涝》（粤水电总字[1995]4号文）并参照《广州市番禺区防洪（潮）排涝规划》的要求，确定本工程排涝标准为20年一遇24小时暴雨不成灾。根据《水利水电工程等级划分洪水标准（SL252-2017）》及《堤防工程设计规范》（GB50286-2013），本工程等级为Ⅳ等，主要建筑物级别为4级，次要建筑物级别为5级，临时建筑物级别为5级。</w:t>
      </w:r>
    </w:p>
    <w:p>
      <w:pPr>
        <w:pStyle w:val="2"/>
        <w:widowControl w:val="0"/>
        <w:numPr>
          <w:ilvl w:val="0"/>
          <w:numId w:val="1"/>
        </w:numPr>
        <w:adjustRightInd w:val="0"/>
        <w:spacing w:before="240" w:beforeLines="100" w:beforeAutospacing="0" w:after="120" w:afterLines="50" w:afterAutospacing="0" w:line="360" w:lineRule="auto"/>
        <w:jc w:val="both"/>
        <w:textAlignment w:val="baseline"/>
        <w:rPr>
          <w:rFonts w:hint="eastAsia" w:ascii="黑体" w:eastAsia="黑体" w:cs="Times New Roman"/>
          <w:b w:val="0"/>
          <w:kern w:val="44"/>
          <w:sz w:val="30"/>
          <w:szCs w:val="30"/>
        </w:rPr>
      </w:pPr>
      <w:r>
        <w:rPr>
          <w:rFonts w:hint="eastAsia" w:ascii="黑体" w:eastAsia="黑体" w:cs="Times New Roman"/>
          <w:b w:val="0"/>
          <w:kern w:val="44"/>
          <w:sz w:val="30"/>
          <w:szCs w:val="30"/>
        </w:rPr>
        <w:t>工程投资概况</w:t>
      </w:r>
    </w:p>
    <w:p>
      <w:pPr>
        <w:pStyle w:val="2"/>
        <w:widowControl w:val="0"/>
        <w:adjustRightInd w:val="0"/>
        <w:spacing w:before="240" w:beforeLines="100" w:beforeAutospacing="0" w:after="120" w:afterLines="50" w:afterAutospacing="0" w:line="360" w:lineRule="auto"/>
        <w:jc w:val="both"/>
        <w:textAlignment w:val="baseline"/>
        <w:rPr>
          <w:rFonts w:hint="eastAsia"/>
          <w:b w:val="0"/>
          <w:bCs w:val="0"/>
          <w:kern w:val="44"/>
          <w:sz w:val="30"/>
          <w:szCs w:val="30"/>
        </w:rPr>
      </w:pPr>
      <w:r>
        <w:rPr>
          <w:rFonts w:hint="eastAsia" w:ascii="黑体" w:eastAsia="黑体" w:cs="Times New Roman"/>
          <w:b w:val="0"/>
          <w:kern w:val="44"/>
          <w:sz w:val="30"/>
          <w:szCs w:val="30"/>
        </w:rPr>
        <w:t xml:space="preserve">  </w:t>
      </w:r>
      <w:r>
        <w:rPr>
          <w:rFonts w:hint="eastAsia"/>
          <w:kern w:val="44"/>
          <w:sz w:val="30"/>
          <w:szCs w:val="30"/>
        </w:rPr>
        <w:t xml:space="preserve"> </w:t>
      </w:r>
      <w:r>
        <w:rPr>
          <w:rFonts w:hint="default"/>
          <w:b w:val="0"/>
          <w:bCs w:val="0"/>
          <w:kern w:val="44"/>
          <w:sz w:val="30"/>
          <w:szCs w:val="30"/>
          <w:lang w:val="zh-CN" w:eastAsia="zh-CN"/>
        </w:rPr>
        <w:t>本工程投资主要指标：工程总投资</w:t>
      </w:r>
      <w:r>
        <w:rPr>
          <w:rFonts w:hint="eastAsia"/>
          <w:b w:val="0"/>
          <w:bCs w:val="0"/>
          <w:kern w:val="44"/>
          <w:sz w:val="30"/>
          <w:szCs w:val="30"/>
          <w:lang w:val="en-US" w:eastAsia="zh-CN"/>
        </w:rPr>
        <w:t>2792522.84</w:t>
      </w:r>
      <w:r>
        <w:rPr>
          <w:rFonts w:hint="default"/>
          <w:b w:val="0"/>
          <w:bCs w:val="0"/>
          <w:kern w:val="44"/>
          <w:sz w:val="30"/>
          <w:szCs w:val="30"/>
          <w:lang w:val="zh-CN" w:eastAsia="zh-CN"/>
        </w:rPr>
        <w:t>元，其中工程部分静态投资</w:t>
      </w:r>
      <w:r>
        <w:rPr>
          <w:rFonts w:hint="eastAsia"/>
          <w:b w:val="0"/>
          <w:bCs w:val="0"/>
          <w:kern w:val="44"/>
          <w:sz w:val="30"/>
          <w:szCs w:val="30"/>
          <w:lang w:val="en-US" w:eastAsia="zh-CN"/>
        </w:rPr>
        <w:t>2702522.84</w:t>
      </w:r>
      <w:r>
        <w:rPr>
          <w:rFonts w:hint="default"/>
          <w:b w:val="0"/>
          <w:bCs w:val="0"/>
          <w:kern w:val="44"/>
          <w:sz w:val="30"/>
          <w:szCs w:val="30"/>
          <w:lang w:val="zh-CN" w:eastAsia="zh-CN"/>
        </w:rPr>
        <w:t>元，建筑工程</w:t>
      </w:r>
      <w:r>
        <w:rPr>
          <w:rFonts w:hint="eastAsia"/>
          <w:b w:val="0"/>
          <w:bCs w:val="0"/>
          <w:kern w:val="44"/>
          <w:sz w:val="30"/>
          <w:szCs w:val="30"/>
          <w:lang w:val="en-US" w:eastAsia="zh-CN"/>
        </w:rPr>
        <w:t>1931414.38</w:t>
      </w:r>
      <w:r>
        <w:rPr>
          <w:rFonts w:hint="default"/>
          <w:b w:val="0"/>
          <w:bCs w:val="0"/>
          <w:kern w:val="44"/>
          <w:sz w:val="30"/>
          <w:szCs w:val="30"/>
          <w:lang w:val="zh-CN" w:eastAsia="zh-CN"/>
        </w:rPr>
        <w:t>元，施工临时工程费</w:t>
      </w:r>
      <w:r>
        <w:rPr>
          <w:rFonts w:hint="eastAsia"/>
          <w:b w:val="0"/>
          <w:bCs w:val="0"/>
          <w:kern w:val="44"/>
          <w:sz w:val="30"/>
          <w:szCs w:val="30"/>
          <w:lang w:val="en-US" w:eastAsia="zh-CN"/>
        </w:rPr>
        <w:t>386033.32</w:t>
      </w:r>
      <w:r>
        <w:rPr>
          <w:rFonts w:hint="default"/>
          <w:b w:val="0"/>
          <w:bCs w:val="0"/>
          <w:kern w:val="44"/>
          <w:sz w:val="30"/>
          <w:szCs w:val="30"/>
          <w:lang w:val="zh-CN" w:eastAsia="zh-CN"/>
        </w:rPr>
        <w:t>元，独立费用</w:t>
      </w:r>
      <w:r>
        <w:rPr>
          <w:rFonts w:hint="eastAsia"/>
          <w:b w:val="0"/>
          <w:bCs w:val="0"/>
          <w:kern w:val="44"/>
          <w:sz w:val="30"/>
          <w:szCs w:val="30"/>
          <w:lang w:val="en-US" w:eastAsia="zh-CN"/>
        </w:rPr>
        <w:t>256383.58</w:t>
      </w:r>
      <w:r>
        <w:rPr>
          <w:rFonts w:hint="default"/>
          <w:b w:val="0"/>
          <w:bCs w:val="0"/>
          <w:kern w:val="44"/>
          <w:sz w:val="30"/>
          <w:szCs w:val="30"/>
          <w:lang w:val="zh-CN" w:eastAsia="zh-CN"/>
        </w:rPr>
        <w:t>元，预备费</w:t>
      </w:r>
      <w:r>
        <w:rPr>
          <w:rFonts w:hint="eastAsia"/>
          <w:b w:val="0"/>
          <w:bCs w:val="0"/>
          <w:kern w:val="44"/>
          <w:sz w:val="30"/>
          <w:szCs w:val="30"/>
          <w:lang w:val="en-US" w:eastAsia="zh-CN"/>
        </w:rPr>
        <w:t>128691.56</w:t>
      </w:r>
      <w:r>
        <w:rPr>
          <w:rFonts w:hint="default"/>
          <w:b w:val="0"/>
          <w:bCs w:val="0"/>
          <w:kern w:val="44"/>
          <w:sz w:val="30"/>
          <w:szCs w:val="30"/>
          <w:lang w:val="zh-CN" w:eastAsia="zh-CN"/>
        </w:rPr>
        <w:t>元，水土保持工程静态投资</w:t>
      </w:r>
      <w:r>
        <w:rPr>
          <w:rFonts w:hint="eastAsia"/>
          <w:b w:val="0"/>
          <w:bCs w:val="0"/>
          <w:kern w:val="44"/>
          <w:sz w:val="30"/>
          <w:szCs w:val="30"/>
          <w:lang w:val="en-US" w:eastAsia="zh-CN"/>
        </w:rPr>
        <w:t>4</w:t>
      </w:r>
      <w:bookmarkStart w:id="0" w:name="_GoBack"/>
      <w:bookmarkEnd w:id="0"/>
      <w:r>
        <w:rPr>
          <w:rFonts w:hint="default"/>
          <w:b w:val="0"/>
          <w:bCs w:val="0"/>
          <w:kern w:val="44"/>
          <w:sz w:val="30"/>
          <w:szCs w:val="30"/>
          <w:lang w:val="zh-CN" w:eastAsia="zh-CN"/>
        </w:rPr>
        <w:t>万元，环境保护工程静态投资</w:t>
      </w:r>
      <w:r>
        <w:rPr>
          <w:rFonts w:hint="eastAsia"/>
          <w:b w:val="0"/>
          <w:bCs w:val="0"/>
          <w:kern w:val="44"/>
          <w:sz w:val="30"/>
          <w:szCs w:val="30"/>
          <w:lang w:val="en-US" w:eastAsia="zh-CN"/>
        </w:rPr>
        <w:t>5</w:t>
      </w:r>
      <w:r>
        <w:rPr>
          <w:rFonts w:hint="default"/>
          <w:b w:val="0"/>
          <w:bCs w:val="0"/>
          <w:kern w:val="44"/>
          <w:sz w:val="30"/>
          <w:szCs w:val="30"/>
          <w:lang w:val="zh-CN" w:eastAsia="zh-CN"/>
        </w:rPr>
        <w:t>万元。</w:t>
      </w:r>
    </w:p>
    <w:p>
      <w:pPr>
        <w:pStyle w:val="2"/>
        <w:widowControl w:val="0"/>
        <w:numPr>
          <w:ilvl w:val="0"/>
          <w:numId w:val="1"/>
        </w:numPr>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编制依据</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kern w:val="44"/>
          <w:sz w:val="30"/>
          <w:szCs w:val="30"/>
        </w:rPr>
        <w:t>3.1</w:t>
      </w:r>
      <w:r>
        <w:rPr>
          <w:rFonts w:hint="eastAsia" w:ascii="黑体" w:eastAsia="黑体" w:cs="Times New Roman"/>
          <w:b w:val="0"/>
          <w:bCs w:val="0"/>
          <w:kern w:val="44"/>
          <w:sz w:val="30"/>
          <w:szCs w:val="30"/>
        </w:rPr>
        <w:t>基本依据</w:t>
      </w:r>
    </w:p>
    <w:p>
      <w:pPr>
        <w:pStyle w:val="2"/>
        <w:widowControl w:val="0"/>
        <w:adjustRightInd w:val="0"/>
        <w:spacing w:before="240" w:beforeLines="100" w:beforeAutospacing="0" w:after="120" w:afterLines="50" w:afterAutospacing="0" w:line="360" w:lineRule="auto"/>
        <w:jc w:val="both"/>
        <w:textAlignment w:val="baseline"/>
        <w:rPr>
          <w:rFonts w:hint="eastAsia"/>
          <w:b w:val="0"/>
          <w:bCs w:val="0"/>
          <w:kern w:val="44"/>
          <w:sz w:val="30"/>
          <w:szCs w:val="30"/>
        </w:rPr>
      </w:pPr>
      <w:r>
        <w:rPr>
          <w:rFonts w:hint="eastAsia" w:ascii="黑体" w:eastAsia="黑体" w:cs="Times New Roman"/>
          <w:b w:val="0"/>
          <w:bCs w:val="0"/>
          <w:kern w:val="44"/>
          <w:sz w:val="30"/>
          <w:szCs w:val="30"/>
        </w:rPr>
        <w:t xml:space="preserve">   </w:t>
      </w:r>
      <w:r>
        <w:rPr>
          <w:rFonts w:hint="eastAsia"/>
          <w:b w:val="0"/>
          <w:bCs w:val="0"/>
          <w:kern w:val="44"/>
          <w:sz w:val="30"/>
          <w:szCs w:val="30"/>
        </w:rPr>
        <w:t>广东省水利厅粤水建管【2017】37号文发布的《广东省水利厅关于发布我省水利水电工程设计概（估）算编制规定与系列定额的通知》（以下简称《省编规》）。</w:t>
      </w:r>
    </w:p>
    <w:p>
      <w:pPr>
        <w:pStyle w:val="2"/>
        <w:widowControl w:val="0"/>
        <w:adjustRightInd w:val="0"/>
        <w:spacing w:before="240" w:beforeLines="100" w:beforeAutospacing="0" w:after="120" w:afterLines="50" w:afterAutospacing="0" w:line="360" w:lineRule="auto"/>
        <w:jc w:val="both"/>
        <w:textAlignment w:val="baseline"/>
        <w:rPr>
          <w:rFonts w:hint="eastAsia"/>
          <w:b w:val="0"/>
          <w:bCs w:val="0"/>
          <w:kern w:val="44"/>
          <w:sz w:val="30"/>
          <w:szCs w:val="30"/>
        </w:rPr>
      </w:pPr>
      <w:r>
        <w:rPr>
          <w:rFonts w:hint="eastAsia"/>
          <w:b w:val="0"/>
          <w:bCs w:val="0"/>
          <w:kern w:val="44"/>
          <w:sz w:val="30"/>
          <w:szCs w:val="30"/>
        </w:rPr>
        <w:t xml:space="preserve">   广东省水利厅关于印发《广东省水利水电工程营业税改征增值税后计价依据调整实施意见》的通知（粤水建管【2016】40号文）。</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kern w:val="44"/>
          <w:sz w:val="30"/>
          <w:szCs w:val="30"/>
        </w:rPr>
        <w:t>3.2</w:t>
      </w:r>
      <w:r>
        <w:rPr>
          <w:rFonts w:hint="eastAsia" w:ascii="黑体" w:eastAsia="黑体" w:cs="Times New Roman"/>
          <w:b w:val="0"/>
          <w:bCs w:val="0"/>
          <w:kern w:val="44"/>
          <w:sz w:val="30"/>
          <w:szCs w:val="30"/>
        </w:rPr>
        <w:t>定额依据</w:t>
      </w:r>
    </w:p>
    <w:p>
      <w:pPr>
        <w:pStyle w:val="2"/>
        <w:widowControl w:val="0"/>
        <w:adjustRightInd w:val="0"/>
        <w:spacing w:before="240" w:beforeLines="100" w:beforeAutospacing="0" w:after="120" w:afterLines="50" w:afterAutospacing="0" w:line="360" w:lineRule="auto"/>
        <w:jc w:val="both"/>
        <w:textAlignment w:val="baseline"/>
        <w:rPr>
          <w:rFonts w:hint="eastAsia"/>
          <w:b w:val="0"/>
          <w:bCs w:val="0"/>
          <w:kern w:val="44"/>
          <w:sz w:val="30"/>
          <w:szCs w:val="30"/>
        </w:rPr>
      </w:pPr>
      <w:r>
        <w:rPr>
          <w:rFonts w:hint="eastAsia" w:ascii="黑体" w:eastAsia="黑体" w:cs="Times New Roman"/>
          <w:b w:val="0"/>
          <w:bCs w:val="0"/>
          <w:kern w:val="44"/>
          <w:sz w:val="30"/>
          <w:szCs w:val="30"/>
        </w:rPr>
        <w:t xml:space="preserve">   </w:t>
      </w:r>
      <w:r>
        <w:rPr>
          <w:rFonts w:hint="eastAsia"/>
          <w:b w:val="0"/>
          <w:bCs w:val="0"/>
          <w:kern w:val="44"/>
          <w:sz w:val="30"/>
          <w:szCs w:val="30"/>
        </w:rPr>
        <w:t>广东省水利厅粤水建管【2017】37号文发布的《广东省水利水电建筑工程</w:t>
      </w:r>
      <w:r>
        <w:rPr>
          <w:rFonts w:hint="eastAsia"/>
          <w:b w:val="0"/>
          <w:bCs w:val="0"/>
          <w:kern w:val="44"/>
          <w:sz w:val="30"/>
          <w:szCs w:val="30"/>
          <w:lang w:val="en-US" w:eastAsia="zh-CN"/>
        </w:rPr>
        <w:t>预</w:t>
      </w:r>
      <w:r>
        <w:rPr>
          <w:rFonts w:hint="eastAsia"/>
          <w:b w:val="0"/>
          <w:bCs w:val="0"/>
          <w:kern w:val="44"/>
          <w:sz w:val="30"/>
          <w:szCs w:val="30"/>
        </w:rPr>
        <w:t>算定额（上、下册）》。</w:t>
      </w:r>
    </w:p>
    <w:p>
      <w:pPr>
        <w:pStyle w:val="2"/>
        <w:widowControl w:val="0"/>
        <w:adjustRightInd w:val="0"/>
        <w:spacing w:before="240" w:beforeLines="100" w:beforeAutospacing="0" w:after="120" w:afterLines="50" w:afterAutospacing="0" w:line="360" w:lineRule="auto"/>
        <w:jc w:val="both"/>
        <w:textAlignment w:val="baseline"/>
        <w:rPr>
          <w:rFonts w:hint="eastAsia"/>
          <w:b w:val="0"/>
          <w:bCs w:val="0"/>
          <w:kern w:val="44"/>
          <w:sz w:val="30"/>
          <w:szCs w:val="30"/>
        </w:rPr>
      </w:pPr>
      <w:r>
        <w:rPr>
          <w:rFonts w:hint="eastAsia"/>
          <w:b w:val="0"/>
          <w:bCs w:val="0"/>
          <w:kern w:val="44"/>
          <w:sz w:val="30"/>
          <w:szCs w:val="30"/>
        </w:rPr>
        <w:t xml:space="preserve">   广东省水利厅粤水建管【2017】37号文发布的《广东省水利水电工程施工机械台班费定额》。</w:t>
      </w:r>
    </w:p>
    <w:p>
      <w:pPr>
        <w:pStyle w:val="2"/>
        <w:widowControl w:val="0"/>
        <w:numPr>
          <w:ilvl w:val="0"/>
          <w:numId w:val="1"/>
        </w:numPr>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其他直接费、间接费、企业利润、税金，按《省编规》计算</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4.1其他直接费</w:t>
      </w:r>
    </w:p>
    <w:p>
      <w:pPr>
        <w:pStyle w:val="2"/>
        <w:widowControl w:val="0"/>
        <w:numPr>
          <w:ilvl w:val="0"/>
          <w:numId w:val="2"/>
        </w:numPr>
        <w:adjustRightInd w:val="0"/>
        <w:spacing w:before="240" w:beforeLines="100" w:beforeAutospacing="0" w:after="120" w:afterLines="50" w:afterAutospacing="0" w:line="360" w:lineRule="auto"/>
        <w:ind w:firstLine="600"/>
        <w:jc w:val="both"/>
        <w:textAlignment w:val="baseline"/>
        <w:rPr>
          <w:rFonts w:hint="eastAsia" w:ascii="黑体" w:eastAsia="黑体" w:cs="Times New Roman"/>
          <w:b w:val="0"/>
          <w:kern w:val="44"/>
          <w:sz w:val="30"/>
          <w:szCs w:val="30"/>
        </w:rPr>
      </w:pPr>
      <w:r>
        <w:rPr>
          <w:rFonts w:hint="eastAsia" w:ascii="黑体" w:eastAsia="黑体" w:cs="Times New Roman"/>
          <w:b w:val="0"/>
          <w:kern w:val="44"/>
          <w:sz w:val="30"/>
          <w:szCs w:val="30"/>
        </w:rPr>
        <w:t>冬雨季施工增加费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32"/>
        <w:gridCol w:w="2132"/>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b w:val="0"/>
                <w:kern w:val="44"/>
                <w:sz w:val="24"/>
                <w:szCs w:val="24"/>
              </w:rPr>
            </w:pPr>
            <w:r>
              <w:rPr>
                <w:rFonts w:hint="eastAsia"/>
                <w:b w:val="0"/>
                <w:kern w:val="44"/>
                <w:sz w:val="24"/>
                <w:szCs w:val="24"/>
              </w:rPr>
              <w:t>序号</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b w:val="0"/>
                <w:kern w:val="44"/>
                <w:sz w:val="24"/>
                <w:szCs w:val="24"/>
              </w:rPr>
            </w:pPr>
            <w:r>
              <w:rPr>
                <w:rFonts w:hint="eastAsia"/>
                <w:b w:val="0"/>
                <w:kern w:val="44"/>
                <w:sz w:val="24"/>
                <w:szCs w:val="24"/>
              </w:rPr>
              <w:t>费用名称</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b w:val="0"/>
                <w:kern w:val="44"/>
                <w:sz w:val="24"/>
                <w:szCs w:val="24"/>
              </w:rPr>
            </w:pPr>
            <w:r>
              <w:rPr>
                <w:rFonts w:hint="eastAsia"/>
                <w:b w:val="0"/>
                <w:kern w:val="44"/>
                <w:sz w:val="24"/>
                <w:szCs w:val="24"/>
              </w:rPr>
              <w:t>计算基数</w:t>
            </w:r>
          </w:p>
        </w:tc>
        <w:tc>
          <w:tcPr>
            <w:tcW w:w="2133"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b w:val="0"/>
                <w:kern w:val="44"/>
                <w:sz w:val="24"/>
                <w:szCs w:val="24"/>
              </w:rPr>
            </w:pPr>
            <w:r>
              <w:rPr>
                <w:rFonts w:hint="eastAsia"/>
                <w:b w:val="0"/>
                <w:kern w:val="44"/>
                <w:sz w:val="24"/>
                <w:szCs w:val="24"/>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b w:val="0"/>
                <w:kern w:val="44"/>
                <w:sz w:val="24"/>
                <w:szCs w:val="24"/>
              </w:rPr>
            </w:pPr>
            <w:r>
              <w:rPr>
                <w:rFonts w:hint="eastAsia"/>
                <w:b w:val="0"/>
                <w:kern w:val="44"/>
                <w:sz w:val="24"/>
                <w:szCs w:val="24"/>
              </w:rPr>
              <w:t>1</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b w:val="0"/>
                <w:kern w:val="44"/>
                <w:sz w:val="24"/>
                <w:szCs w:val="24"/>
              </w:rPr>
            </w:pPr>
            <w:r>
              <w:rPr>
                <w:rFonts w:hint="eastAsia"/>
                <w:b w:val="0"/>
                <w:kern w:val="44"/>
                <w:sz w:val="24"/>
                <w:szCs w:val="24"/>
              </w:rPr>
              <w:t>建筑工程</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b w:val="0"/>
                <w:kern w:val="44"/>
                <w:sz w:val="24"/>
                <w:szCs w:val="24"/>
              </w:rPr>
            </w:pPr>
            <w:r>
              <w:rPr>
                <w:rFonts w:hint="eastAsia"/>
                <w:b w:val="0"/>
                <w:kern w:val="44"/>
                <w:sz w:val="24"/>
                <w:szCs w:val="24"/>
              </w:rPr>
              <w:t>基本直接费</w:t>
            </w:r>
          </w:p>
        </w:tc>
        <w:tc>
          <w:tcPr>
            <w:tcW w:w="2133"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b w:val="0"/>
                <w:kern w:val="44"/>
                <w:sz w:val="24"/>
                <w:szCs w:val="24"/>
              </w:rPr>
            </w:pPr>
            <w:r>
              <w:rPr>
                <w:rFonts w:hint="eastAsia"/>
                <w:b w:val="0"/>
                <w:kern w:val="44"/>
                <w:sz w:val="24"/>
                <w:szCs w:val="24"/>
              </w:rPr>
              <w:t>0.5</w:t>
            </w:r>
          </w:p>
        </w:tc>
      </w:tr>
    </w:tbl>
    <w:p>
      <w:pPr>
        <w:pStyle w:val="2"/>
        <w:widowControl w:val="0"/>
        <w:adjustRightInd w:val="0"/>
        <w:spacing w:before="240" w:beforeLines="100" w:beforeAutospacing="0" w:after="120" w:afterLines="50" w:afterAutospacing="0" w:line="360" w:lineRule="auto"/>
        <w:ind w:left="600"/>
        <w:jc w:val="both"/>
        <w:textAlignment w:val="baseline"/>
        <w:rPr>
          <w:rFonts w:hint="eastAsia" w:ascii="黑体" w:eastAsia="黑体" w:cs="Times New Roman"/>
          <w:b w:val="0"/>
          <w:kern w:val="44"/>
          <w:sz w:val="30"/>
          <w:szCs w:val="30"/>
        </w:rPr>
      </w:pPr>
      <w:r>
        <w:rPr>
          <w:rFonts w:hint="eastAsia" w:ascii="黑体" w:eastAsia="黑体" w:cs="Times New Roman"/>
          <w:b w:val="0"/>
          <w:kern w:val="44"/>
          <w:sz w:val="30"/>
          <w:szCs w:val="30"/>
        </w:rPr>
        <w:t xml:space="preserve"> （2）夜间施工增加费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32"/>
        <w:gridCol w:w="2132"/>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序号</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费用名称</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计算基数</w:t>
            </w:r>
          </w:p>
        </w:tc>
        <w:tc>
          <w:tcPr>
            <w:tcW w:w="2133"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1</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建筑工程</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基本直接费</w:t>
            </w:r>
          </w:p>
        </w:tc>
        <w:tc>
          <w:tcPr>
            <w:tcW w:w="2133"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0.5</w:t>
            </w:r>
          </w:p>
        </w:tc>
      </w:tr>
    </w:tbl>
    <w:p>
      <w:pPr>
        <w:pStyle w:val="2"/>
        <w:widowControl w:val="0"/>
        <w:adjustRightInd w:val="0"/>
        <w:spacing w:before="240" w:beforeLines="100" w:beforeAutospacing="0" w:after="120" w:afterLines="50" w:afterAutospacing="0" w:line="360" w:lineRule="auto"/>
        <w:ind w:firstLine="600"/>
        <w:jc w:val="both"/>
        <w:textAlignment w:val="baseline"/>
        <w:rPr>
          <w:rFonts w:hint="eastAsia" w:ascii="黑体" w:eastAsia="黑体" w:cs="Times New Roman"/>
          <w:b w:val="0"/>
          <w:kern w:val="44"/>
          <w:sz w:val="30"/>
          <w:szCs w:val="30"/>
        </w:rPr>
      </w:pPr>
      <w:r>
        <w:rPr>
          <w:rFonts w:hint="eastAsia" w:ascii="黑体" w:eastAsia="黑体" w:cs="Times New Roman"/>
          <w:b w:val="0"/>
          <w:kern w:val="44"/>
          <w:sz w:val="30"/>
          <w:szCs w:val="30"/>
        </w:rPr>
        <w:t xml:space="preserve"> （3）小型临时设施费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32"/>
        <w:gridCol w:w="2132"/>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序号</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费用名称</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计算基数</w:t>
            </w:r>
          </w:p>
        </w:tc>
        <w:tc>
          <w:tcPr>
            <w:tcW w:w="2133"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1</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建筑工程</w:t>
            </w:r>
          </w:p>
        </w:tc>
        <w:tc>
          <w:tcPr>
            <w:tcW w:w="2132"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基本直接费</w:t>
            </w:r>
          </w:p>
        </w:tc>
        <w:tc>
          <w:tcPr>
            <w:tcW w:w="2133" w:type="dxa"/>
            <w:noWrap w:val="0"/>
            <w:vAlign w:val="top"/>
          </w:tcPr>
          <w:p>
            <w:pPr>
              <w:pStyle w:val="2"/>
              <w:widowControl w:val="0"/>
              <w:adjustRightInd w:val="0"/>
              <w:spacing w:before="240" w:beforeLines="100" w:beforeAutospacing="0" w:after="120" w:afterLines="50" w:afterAutospacing="0" w:line="360" w:lineRule="auto"/>
              <w:jc w:val="both"/>
              <w:textAlignment w:val="baseline"/>
              <w:outlineLvl w:val="0"/>
              <w:rPr>
                <w:rFonts w:hint="eastAsia" w:ascii="黑体" w:eastAsia="黑体" w:cs="Times New Roman"/>
                <w:b w:val="0"/>
                <w:kern w:val="44"/>
                <w:sz w:val="28"/>
                <w:szCs w:val="28"/>
              </w:rPr>
            </w:pPr>
            <w:r>
              <w:rPr>
                <w:rFonts w:hint="eastAsia"/>
                <w:b w:val="0"/>
                <w:kern w:val="44"/>
                <w:sz w:val="28"/>
                <w:szCs w:val="28"/>
              </w:rPr>
              <w:t>1.4</w:t>
            </w:r>
          </w:p>
        </w:tc>
      </w:tr>
    </w:tbl>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kern w:val="44"/>
          <w:sz w:val="30"/>
          <w:szCs w:val="30"/>
        </w:rPr>
      </w:pP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kern w:val="44"/>
          <w:sz w:val="30"/>
          <w:szCs w:val="30"/>
        </w:rPr>
        <w:t>4.2</w:t>
      </w:r>
      <w:r>
        <w:rPr>
          <w:rFonts w:hint="eastAsia" w:ascii="黑体" w:eastAsia="黑体" w:cs="Times New Roman"/>
          <w:b w:val="0"/>
          <w:bCs w:val="0"/>
          <w:kern w:val="44"/>
          <w:sz w:val="30"/>
          <w:szCs w:val="30"/>
        </w:rPr>
        <w:t>间接费</w:t>
      </w:r>
    </w:p>
    <w:p>
      <w:pPr>
        <w:pStyle w:val="2"/>
        <w:widowControl w:val="0"/>
        <w:adjustRightInd w:val="0"/>
        <w:spacing w:before="240" w:beforeLines="100" w:beforeAutospacing="0" w:after="120" w:afterLines="50" w:afterAutospacing="0" w:line="360" w:lineRule="auto"/>
        <w:ind w:firstLine="600" w:firstLineChars="200"/>
        <w:jc w:val="both"/>
        <w:textAlignment w:val="baseline"/>
        <w:rPr>
          <w:rFonts w:hint="eastAsia"/>
          <w:b w:val="0"/>
          <w:bCs w:val="0"/>
          <w:kern w:val="44"/>
          <w:sz w:val="30"/>
          <w:szCs w:val="30"/>
        </w:rPr>
      </w:pPr>
      <w:r>
        <w:rPr>
          <w:rFonts w:hint="eastAsia"/>
          <w:b w:val="0"/>
          <w:bCs w:val="0"/>
          <w:kern w:val="44"/>
          <w:sz w:val="30"/>
          <w:szCs w:val="30"/>
        </w:rPr>
        <w:t>建筑工程（计算基础：直接费）：土方开挖工程7.5%，石方开挖工程10.5%，土石方填筑工程8.5%，混凝土工程8.5%，钢筋加工安装工程6%，模板工程8.5%，基础处理及锚固工程7.5%，疏浚工程6.5%，管道工程7.5%，植物措施工程6.5%，其他工程9.5%。</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4.3企业利润</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企业例如按直接费、间接费之和的7%计算。</w:t>
      </w:r>
    </w:p>
    <w:p>
      <w:pPr>
        <w:pStyle w:val="2"/>
        <w:widowControl w:val="0"/>
        <w:adjustRightInd w:val="0"/>
        <w:spacing w:before="240" w:beforeLines="100" w:beforeAutospacing="0" w:after="120" w:afterLines="50" w:afterAutospacing="0" w:line="360" w:lineRule="auto"/>
        <w:jc w:val="both"/>
        <w:textAlignment w:val="baseline"/>
        <w:rPr>
          <w:rFonts w:hint="eastAsia"/>
          <w:b w:val="0"/>
          <w:bCs w:val="0"/>
          <w:kern w:val="44"/>
          <w:sz w:val="30"/>
          <w:szCs w:val="30"/>
        </w:rPr>
      </w:pPr>
      <w:r>
        <w:rPr>
          <w:rFonts w:hint="eastAsia"/>
          <w:b w:val="0"/>
          <w:bCs w:val="0"/>
          <w:kern w:val="44"/>
          <w:sz w:val="30"/>
          <w:szCs w:val="30"/>
        </w:rPr>
        <w:t>4.4</w:t>
      </w:r>
      <w:r>
        <w:rPr>
          <w:rFonts w:hint="eastAsia" w:ascii="黑体" w:eastAsia="黑体" w:cs="Times New Roman"/>
          <w:b w:val="0"/>
          <w:bCs w:val="0"/>
          <w:kern w:val="44"/>
          <w:sz w:val="30"/>
          <w:szCs w:val="30"/>
        </w:rPr>
        <w:t>税金</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根据广东省水利厅关于印发《广东省水利水电工程营业税改征增值税后计价依据调整实施意见》的通知，按直径工程费、间接费、企业利润及主要材料价差之和的9%计算。</w:t>
      </w:r>
    </w:p>
    <w:p>
      <w:pPr>
        <w:pStyle w:val="2"/>
        <w:widowControl w:val="0"/>
        <w:numPr>
          <w:ilvl w:val="0"/>
          <w:numId w:val="3"/>
        </w:numPr>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基础单价及计价依据</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5.1人工工资</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工程所在地属一类工资地区，按《省编规》规定人工工资单价为：技工115.9元/工日，普工83元/工日。</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b w:val="0"/>
          <w:bCs w:val="0"/>
          <w:kern w:val="44"/>
          <w:sz w:val="30"/>
          <w:szCs w:val="30"/>
        </w:rPr>
        <w:t>5.2</w:t>
      </w:r>
      <w:r>
        <w:rPr>
          <w:rFonts w:hint="eastAsia" w:ascii="黑体" w:eastAsia="黑体" w:cs="Times New Roman"/>
          <w:b w:val="0"/>
          <w:bCs w:val="0"/>
          <w:kern w:val="44"/>
          <w:sz w:val="30"/>
          <w:szCs w:val="30"/>
        </w:rPr>
        <w:t>材料价格</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工程主要材料价格依据《20</w:t>
      </w:r>
      <w:r>
        <w:rPr>
          <w:rFonts w:hint="eastAsia"/>
          <w:b w:val="0"/>
          <w:bCs w:val="0"/>
          <w:kern w:val="44"/>
          <w:sz w:val="30"/>
          <w:szCs w:val="30"/>
          <w:lang w:val="en-US" w:eastAsia="zh-CN"/>
        </w:rPr>
        <w:t>24</w:t>
      </w:r>
      <w:r>
        <w:rPr>
          <w:rFonts w:hint="eastAsia"/>
          <w:b w:val="0"/>
          <w:bCs w:val="0"/>
          <w:kern w:val="44"/>
          <w:sz w:val="30"/>
          <w:szCs w:val="30"/>
        </w:rPr>
        <w:t>年</w:t>
      </w:r>
      <w:r>
        <w:rPr>
          <w:rFonts w:hint="eastAsia"/>
          <w:b w:val="0"/>
          <w:bCs w:val="0"/>
          <w:kern w:val="44"/>
          <w:sz w:val="30"/>
          <w:szCs w:val="30"/>
          <w:lang w:val="en-US" w:eastAsia="zh-CN"/>
        </w:rPr>
        <w:t>3月广州市造价信息</w:t>
      </w:r>
      <w:r>
        <w:rPr>
          <w:rFonts w:hint="eastAsia"/>
          <w:b w:val="0"/>
          <w:bCs w:val="0"/>
          <w:kern w:val="44"/>
          <w:sz w:val="30"/>
          <w:szCs w:val="30"/>
        </w:rPr>
        <w:t>材料综合价格》（除税价）作为预算价。</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主要材料按限定的基价直接进入工程单价进行计算：水泥300元/t、钢筋3000元/t、商品混凝土230元/m3、柴油5400元/t、汽油5100元/t、砂65元/m3、块石70元/m3、碎石75元/m3,差额部分列入工程单价的“主要材料价差”栏；次要材料参照“广东省水利厅关于公布广东省地方水利水电工程定额次要材料预算价格【20</w:t>
      </w:r>
      <w:r>
        <w:rPr>
          <w:rFonts w:hint="eastAsia"/>
          <w:b w:val="0"/>
          <w:bCs w:val="0"/>
          <w:kern w:val="44"/>
          <w:sz w:val="30"/>
          <w:szCs w:val="30"/>
          <w:lang w:val="en-US" w:eastAsia="zh-CN"/>
        </w:rPr>
        <w:t>23</w:t>
      </w:r>
      <w:r>
        <w:rPr>
          <w:rFonts w:hint="eastAsia"/>
          <w:b w:val="0"/>
          <w:bCs w:val="0"/>
          <w:kern w:val="44"/>
          <w:sz w:val="30"/>
          <w:szCs w:val="30"/>
        </w:rPr>
        <w:t>年】的通知”</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5.3电、风、水预算价格</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按施工组织设计选定的方式，采用信息价或按《省编规》规定计取：电0.77元/KWh，风0.15元/m3，水4.58元/m3。</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5.4独立费用</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独立费用，按《省编规》规定及相关文件的标准、费率计算。</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5.4.1建设管理费</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不计建设单位开办费，建设单位人员费和项目管理费按第一至第四部分建筑安装工程费的2.7%计算，不需要新组建设单位，费率乘以系数0.6。</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5.4.2招标业务费</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招标业务费按国家计委计价【2002】1980号文的规定计算。</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5.4.3工程建设监理费</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工程建设监理费的费率按国家发改委，建设部发改价格【2007】670号文计取。</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5.4.4工程造价咨询服务费</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工程造价咨询服务费根据《省编规》规定，采用差额定率累进法计算。</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5.4.5勘测设计费</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根据</w:t>
      </w:r>
      <w:r>
        <w:rPr>
          <w:rFonts w:hint="eastAsia"/>
          <w:b w:val="0"/>
          <w:bCs w:val="0"/>
          <w:kern w:val="44"/>
          <w:sz w:val="30"/>
          <w:szCs w:val="30"/>
          <w:lang w:val="en-US" w:eastAsia="zh-CN"/>
        </w:rPr>
        <w:t>国家计委、建设部关于发布《工程勘察设计收费管理规定》的通知计价格【2002】10号</w:t>
      </w:r>
      <w:r>
        <w:rPr>
          <w:rFonts w:hint="eastAsia"/>
          <w:b w:val="0"/>
          <w:bCs w:val="0"/>
          <w:kern w:val="44"/>
          <w:sz w:val="30"/>
          <w:szCs w:val="30"/>
        </w:rPr>
        <w:t>。</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5.4.6其他</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b w:val="0"/>
          <w:bCs w:val="0"/>
          <w:kern w:val="44"/>
          <w:sz w:val="30"/>
          <w:szCs w:val="30"/>
        </w:rPr>
      </w:pPr>
      <w:r>
        <w:rPr>
          <w:rFonts w:hint="eastAsia"/>
          <w:b w:val="0"/>
          <w:bCs w:val="0"/>
          <w:kern w:val="44"/>
          <w:sz w:val="30"/>
          <w:szCs w:val="30"/>
        </w:rPr>
        <w:t>工程质量检测费用：按工程一～四部分投资合计的0.6%计算。</w:t>
      </w:r>
    </w:p>
    <w:p>
      <w:pPr>
        <w:pStyle w:val="2"/>
        <w:widowControl w:val="0"/>
        <w:adjustRightInd w:val="0"/>
        <w:spacing w:before="240" w:beforeLines="100" w:beforeAutospacing="0" w:after="120" w:afterLines="50" w:afterAutospacing="0" w:line="360" w:lineRule="auto"/>
        <w:ind w:firstLine="600"/>
        <w:jc w:val="both"/>
        <w:textAlignment w:val="baseline"/>
        <w:rPr>
          <w:rFonts w:hint="eastAsia" w:ascii="黑体" w:eastAsia="黑体" w:cs="Times New Roman"/>
          <w:b w:val="0"/>
          <w:bCs w:val="0"/>
          <w:kern w:val="44"/>
          <w:sz w:val="30"/>
          <w:szCs w:val="30"/>
        </w:rPr>
      </w:pPr>
      <w:r>
        <w:rPr>
          <w:rFonts w:hint="eastAsia"/>
          <w:b w:val="0"/>
          <w:bCs w:val="0"/>
          <w:kern w:val="44"/>
          <w:sz w:val="30"/>
          <w:szCs w:val="30"/>
        </w:rPr>
        <w:t>工程保险费：按工程一～四部分投资合计的0.45%计算。</w:t>
      </w:r>
    </w:p>
    <w:p>
      <w:pPr>
        <w:pStyle w:val="2"/>
        <w:widowControl w:val="0"/>
        <w:adjustRightInd w:val="0"/>
        <w:spacing w:before="240" w:beforeLines="100" w:beforeAutospacing="0" w:after="120" w:afterLines="50" w:afterAutospacing="0" w:line="360" w:lineRule="auto"/>
        <w:jc w:val="both"/>
        <w:textAlignment w:val="baseline"/>
        <w:rPr>
          <w:rFonts w:hint="eastAsia" w:ascii="黑体" w:eastAsia="黑体" w:cs="Times New Roman"/>
          <w:b w:val="0"/>
          <w:bCs w:val="0"/>
          <w:kern w:val="44"/>
          <w:sz w:val="30"/>
          <w:szCs w:val="30"/>
        </w:rPr>
      </w:pPr>
      <w:r>
        <w:rPr>
          <w:rFonts w:hint="eastAsia" w:ascii="黑体" w:eastAsia="黑体" w:cs="Times New Roman"/>
          <w:b w:val="0"/>
          <w:bCs w:val="0"/>
          <w:kern w:val="44"/>
          <w:sz w:val="30"/>
          <w:szCs w:val="30"/>
        </w:rPr>
        <w:t>6 预备费</w:t>
      </w:r>
    </w:p>
    <w:p>
      <w:pPr>
        <w:pStyle w:val="2"/>
        <w:widowControl w:val="0"/>
        <w:adjustRightInd w:val="0"/>
        <w:spacing w:before="240" w:beforeLines="100" w:beforeAutospacing="0" w:after="120" w:afterLines="50" w:afterAutospacing="0" w:line="360" w:lineRule="auto"/>
        <w:jc w:val="both"/>
        <w:textAlignment w:val="baseline"/>
        <w:rPr>
          <w:rFonts w:ascii="黑体" w:eastAsia="黑体" w:cs="Times New Roman"/>
          <w:b w:val="0"/>
          <w:kern w:val="44"/>
          <w:sz w:val="30"/>
          <w:szCs w:val="30"/>
        </w:rPr>
      </w:pPr>
      <w:r>
        <w:rPr>
          <w:rFonts w:hint="eastAsia" w:ascii="黑体" w:eastAsia="黑体" w:cs="Times New Roman"/>
          <w:b w:val="0"/>
          <w:bCs w:val="0"/>
          <w:kern w:val="44"/>
          <w:sz w:val="30"/>
          <w:szCs w:val="30"/>
        </w:rPr>
        <w:t xml:space="preserve">   </w:t>
      </w:r>
      <w:r>
        <w:rPr>
          <w:rFonts w:hint="eastAsia"/>
          <w:b w:val="0"/>
          <w:bCs w:val="0"/>
          <w:kern w:val="44"/>
          <w:sz w:val="30"/>
          <w:szCs w:val="30"/>
        </w:rPr>
        <w:t xml:space="preserve">  本工程预备费</w:t>
      </w:r>
      <w:r>
        <w:rPr>
          <w:rFonts w:hint="eastAsia"/>
          <w:b w:val="0"/>
          <w:bCs w:val="0"/>
          <w:kern w:val="44"/>
          <w:sz w:val="30"/>
          <w:szCs w:val="30"/>
          <w:lang w:val="en-US" w:eastAsia="zh-CN"/>
        </w:rPr>
        <w:t>取5%</w:t>
      </w:r>
      <w:r>
        <w:rPr>
          <w:rFonts w:hint="eastAsia"/>
          <w:b w:val="0"/>
          <w:bCs w:val="0"/>
          <w:kern w:val="44"/>
          <w:sz w:val="30"/>
          <w:szCs w:val="30"/>
        </w:rPr>
        <w:t>。</w:t>
      </w:r>
      <w:r>
        <w:rPr>
          <w:rFonts w:hint="eastAsia" w:ascii="黑体" w:eastAsia="黑体" w:cs="Times New Roman"/>
          <w:b w:val="0"/>
          <w:kern w:val="44"/>
          <w:sz w:val="30"/>
          <w:szCs w:val="30"/>
        </w:rPr>
        <w:t xml:space="preserve">                                  </w:t>
      </w:r>
    </w:p>
    <w:p>
      <w:pPr>
        <w:ind w:firstLine="480"/>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center"/>
    </w:pPr>
  </w:p>
  <w:p>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92D18A"/>
    <w:multiLevelType w:val="singleLevel"/>
    <w:tmpl w:val="5992D18A"/>
    <w:lvl w:ilvl="0" w:tentative="0">
      <w:start w:val="1"/>
      <w:numFmt w:val="chineseCounting"/>
      <w:suff w:val="nothing"/>
      <w:lvlText w:val="%1、"/>
      <w:lvlJc w:val="left"/>
    </w:lvl>
  </w:abstractNum>
  <w:abstractNum w:abstractNumId="1">
    <w:nsid w:val="5993B281"/>
    <w:multiLevelType w:val="singleLevel"/>
    <w:tmpl w:val="5993B281"/>
    <w:lvl w:ilvl="0" w:tentative="0">
      <w:start w:val="1"/>
      <w:numFmt w:val="decimal"/>
      <w:suff w:val="nothing"/>
      <w:lvlText w:val="（%1）"/>
      <w:lvlJc w:val="left"/>
    </w:lvl>
  </w:abstractNum>
  <w:abstractNum w:abstractNumId="2">
    <w:nsid w:val="5993B8B5"/>
    <w:multiLevelType w:val="singleLevel"/>
    <w:tmpl w:val="5993B8B5"/>
    <w:lvl w:ilvl="0" w:tentative="0">
      <w:start w:val="5"/>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ZWEwYzQzMzkxMWZiNzY2MDczMTJkYWRhOTMyYzAifQ=="/>
  </w:docVars>
  <w:rsids>
    <w:rsidRoot w:val="00561BD1"/>
    <w:rsid w:val="00325865"/>
    <w:rsid w:val="00561BD1"/>
    <w:rsid w:val="00EA4795"/>
    <w:rsid w:val="07942578"/>
    <w:rsid w:val="0A33249C"/>
    <w:rsid w:val="1107698B"/>
    <w:rsid w:val="139C77BF"/>
    <w:rsid w:val="210C05C5"/>
    <w:rsid w:val="23CC2822"/>
    <w:rsid w:val="275B37D3"/>
    <w:rsid w:val="3A8438C4"/>
    <w:rsid w:val="48B460C5"/>
    <w:rsid w:val="4C0A2EED"/>
    <w:rsid w:val="4CB608EF"/>
    <w:rsid w:val="5595368D"/>
    <w:rsid w:val="56962EE9"/>
    <w:rsid w:val="59307C0D"/>
    <w:rsid w:val="5E783067"/>
    <w:rsid w:val="67947DCB"/>
    <w:rsid w:val="6CB0722C"/>
    <w:rsid w:val="6E41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alloon Text"/>
    <w:basedOn w:val="1"/>
    <w:link w:val="10"/>
    <w:autoRedefine/>
    <w:semiHidden/>
    <w:unhideWhenUsed/>
    <w:qFormat/>
    <w:uiPriority w:val="99"/>
    <w:rPr>
      <w:sz w:val="18"/>
      <w:szCs w:val="18"/>
    </w:rPr>
  </w:style>
  <w:style w:type="paragraph" w:styleId="4">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semiHidden/>
    <w:qFormat/>
    <w:uiPriority w:val="99"/>
    <w:rPr>
      <w:sz w:val="18"/>
      <w:szCs w:val="18"/>
    </w:rPr>
  </w:style>
  <w:style w:type="character" w:customStyle="1" w:styleId="9">
    <w:name w:val="页脚 Char"/>
    <w:basedOn w:val="7"/>
    <w:link w:val="4"/>
    <w:autoRedefine/>
    <w:semiHidden/>
    <w:qFormat/>
    <w:uiPriority w:val="99"/>
    <w:rPr>
      <w:sz w:val="18"/>
      <w:szCs w:val="18"/>
    </w:rPr>
  </w:style>
  <w:style w:type="character" w:customStyle="1" w:styleId="10">
    <w:name w:val="批注框文本 Char"/>
    <w:basedOn w:val="7"/>
    <w:link w:val="3"/>
    <w:autoRedefine/>
    <w:semiHidden/>
    <w:qFormat/>
    <w:uiPriority w:val="99"/>
    <w:rPr>
      <w:sz w:val="18"/>
      <w:szCs w:val="18"/>
    </w:rPr>
  </w:style>
  <w:style w:type="paragraph" w:customStyle="1" w:styleId="11">
    <w:name w:val=" Char"/>
    <w:basedOn w:val="1"/>
    <w:autoRedefine/>
    <w:qFormat/>
    <w:uiPriority w:val="0"/>
    <w:pPr>
      <w:snapToGrid w:val="0"/>
      <w:spacing w:line="360" w:lineRule="auto"/>
      <w:ind w:firstLine="200" w:firstLineChars="200"/>
    </w:pPr>
    <w:rPr>
      <w:rFonts w:ascii="黑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YSSL</Company>
  <Pages>7</Pages>
  <Words>1294</Words>
  <Characters>1534</Characters>
  <Lines>1</Lines>
  <Paragraphs>1</Paragraphs>
  <TotalTime>36</TotalTime>
  <ScaleCrop>false</ScaleCrop>
  <LinksUpToDate>false</LinksUpToDate>
  <CharactersWithSpaces>1596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2023-03-16T06:29:00Z</dcterms:created>
  <dc:creator>王浩淼</dc:creator>
  <cp:lastModifiedBy>企业用户_636079379</cp:lastModifiedBy>
  <dcterms:modified xsi:type="dcterms:W3CDTF">2024-04-24T09:53:05Z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DE1DFC8B154B4C72B1A6398E7B74B239_13</vt:lpwstr>
  </property>
</Properties>
</file>