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440118-2024-01783</w:t>
      </w:r>
    </w:p>
    <w:p>
      <w:pPr>
        <w:pStyle w:val="null3"/>
        <w:jc w:val="center"/>
        <w:outlineLvl w:val="3"/>
      </w:pPr>
      <w:r>
        <w:rPr>
          <w:sz w:val="24"/>
          <w:b/>
        </w:rPr>
        <w:t>采购项目编号：</w:t>
      </w:r>
      <w:r>
        <w:rPr>
          <w:sz w:val="24"/>
          <w:b/>
        </w:rPr>
        <w:t>CZ2024-0681</w:t>
      </w:r>
    </w:p>
    <w:p>
      <w:pPr>
        <w:pStyle w:val="null3"/>
        <w:jc w:val="center"/>
        <w:outlineLvl w:val="3"/>
      </w:pPr>
      <w:r>
        <w:rPr>
          <w:sz w:val="24"/>
          <w:b/>
        </w:rPr>
        <w:t>项目名称：</w:t>
      </w:r>
      <w:r>
        <w:rPr>
          <w:sz w:val="24"/>
          <w:b/>
        </w:rPr>
        <w:t>广州市增城区政务服务数据管理局2024年 增城区政务网络村（社区）光纤租赁项目</w:t>
      </w:r>
    </w:p>
    <w:p>
      <w:pPr>
        <w:pStyle w:val="null3"/>
        <w:jc w:val="center"/>
        <w:outlineLvl w:val="3"/>
      </w:pPr>
      <w:r>
        <w:rPr>
          <w:sz w:val="24"/>
          <w:b/>
        </w:rPr>
        <w:t>采购人：</w:t>
      </w:r>
      <w:r>
        <w:rPr>
          <w:sz w:val="24"/>
          <w:b/>
        </w:rPr>
        <w:t>广州市增城区政务服务数据管理局</w:t>
      </w:r>
    </w:p>
    <w:p>
      <w:pPr>
        <w:pStyle w:val="null3"/>
        <w:jc w:val="center"/>
        <w:outlineLvl w:val="3"/>
      </w:pPr>
      <w:r>
        <w:rPr>
          <w:sz w:val="24"/>
          <w:b/>
        </w:rPr>
        <w:t>采购代理机构：</w:t>
      </w:r>
      <w:r>
        <w:rPr>
          <w:sz w:val="24"/>
          <w:b/>
        </w:rPr>
        <w:t>广州市政府采购中心</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广州市政府采购中心</w:t>
      </w:r>
      <w:r>
        <w:rPr/>
        <w:t>受</w:t>
      </w:r>
      <w:r>
        <w:rPr/>
        <w:t>广州市增城区政务服务数据管理局</w:t>
      </w:r>
      <w:r>
        <w:rPr/>
        <w:t>的委托，采用</w:t>
      </w:r>
      <w:r>
        <w:rPr/>
        <w:t>公开招标</w:t>
      </w:r>
      <w:r>
        <w:rPr/>
        <w:t>方式组织采购</w:t>
      </w:r>
      <w:r>
        <w:rPr/>
        <w:t>广州市增城区政务服务数据管理局2024年 增城区政务网络村（社区）光纤租赁项目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广州市增城区政务服务数据管理局2024年 增城区政务网络村（社区）光纤租赁项目</w:t>
      </w:r>
    </w:p>
    <w:p>
      <w:pPr>
        <w:pStyle w:val="null3"/>
        <w:ind w:firstLine="480"/>
      </w:pPr>
      <w:r>
        <w:rPr/>
        <w:t>采购计划编号：</w:t>
      </w:r>
      <w:r>
        <w:rPr/>
        <w:t>440118-2024-01783</w:t>
      </w:r>
    </w:p>
    <w:p>
      <w:pPr>
        <w:pStyle w:val="null3"/>
        <w:ind w:firstLine="480"/>
      </w:pPr>
      <w:r>
        <w:rPr/>
        <w:t>采购项目编号：</w:t>
      </w:r>
      <w:r>
        <w:rPr/>
        <w:t>CZ2024-0681</w:t>
      </w:r>
    </w:p>
    <w:p>
      <w:pPr>
        <w:pStyle w:val="null3"/>
        <w:ind w:firstLine="480"/>
      </w:pPr>
      <w:r>
        <w:rPr/>
        <w:t>采购方式：</w:t>
      </w:r>
      <w:r>
        <w:rPr/>
        <w:t>公开招标</w:t>
      </w:r>
    </w:p>
    <w:p>
      <w:pPr>
        <w:pStyle w:val="null3"/>
        <w:ind w:firstLine="480"/>
      </w:pPr>
      <w:r>
        <w:rPr/>
        <w:t>预算金额：</w:t>
      </w:r>
      <w:r>
        <w:rPr/>
        <w:t>5,463,800.00</w:t>
      </w:r>
      <w:r>
        <w:rPr/>
        <w:t>元</w:t>
      </w:r>
    </w:p>
    <w:p>
      <w:pPr>
        <w:pStyle w:val="null3"/>
        <w:outlineLvl w:val="3"/>
      </w:pPr>
      <w:r>
        <w:rPr>
          <w:sz w:val="24"/>
          <w:b/>
        </w:rPr>
        <w:t>2.项目内容及需求情况（采购项目技术规格、参数及要求）</w:t>
      </w:r>
    </w:p>
    <w:p>
      <w:pPr>
        <w:pStyle w:val="null3"/>
      </w:pPr>
      <w:r>
        <w:rPr/>
        <w:t>采购包1(广州市增城区政务服务数据管理局2024年增城区政务网络村（社区）光纤租赁项目):</w:t>
      </w:r>
    </w:p>
    <w:p>
      <w:pPr>
        <w:pStyle w:val="null3"/>
      </w:pPr>
      <w:r>
        <w:rPr/>
        <w:t>采购包预算金额：5,463,800.00元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网络接入服务</w:t>
            </w:r>
          </w:p>
        </w:tc>
        <w:tc>
          <w:tcPr>
            <w:tcW w:type="dxa" w:w="2052"/>
          </w:tcPr>
          <w:p>
            <w:pPr>
              <w:pStyle w:val="null3"/>
            </w:pPr>
            <w:r>
              <w:rPr/>
              <w:t>通过租赁裸光纤实现11个汇聚点和366个接入点实现政务外网组网汇聚；同时租赁三条政务外网互联网出口光纤线路（两条1G极速专线和一条500M互联网出口）</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5,463,800.00</w:t>
            </w:r>
          </w:p>
        </w:tc>
        <w:tc>
          <w:tcPr>
            <w:tcW w:type="dxa" w:w="977"/>
          </w:tcPr>
          <w:p>
            <w:pPr>
              <w:pStyle w:val="null3"/>
            </w:pPr>
            <w:r>
              <w:rPr/>
              <w:t>否</w:t>
            </w:r>
          </w:p>
        </w:tc>
      </w:tr>
    </w:tbl>
    <w:p>
      <w:pPr>
        <w:pStyle w:val="null3"/>
      </w:pPr>
      <w:r>
        <w:rPr/>
        <w:t>本采购包接受联合体投标</w:t>
      </w:r>
    </w:p>
    <w:p>
      <w:pPr>
        <w:pStyle w:val="null3"/>
      </w:pPr>
      <w:r>
        <w:rPr/>
        <w:t>合同分包：不允许合同分包</w:t>
      </w:r>
    </w:p>
    <w:p>
      <w:pPr>
        <w:pStyle w:val="null3"/>
      </w:pPr>
      <w:r>
        <w:rPr/>
        <w:t>合同履行期限：本项目租赁周期为12个月，从光纤全线开通并通过用户验收之日起</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依据《投标函》及以下相关证照的扫描件之一：1.企业法人提供企业法人营业执照；2.事业法人提供事业法人登记证；3.其他组织提供其他组织的营业执照或执业许可证；4.自然人提供居民身份证等。分支机构投标的，还须提供分支机构的营业执照（执业许可证）扫描件及总公司（总所）出具给分支机构的授权书。</w:t>
      </w:r>
    </w:p>
    <w:p>
      <w:pPr>
        <w:pStyle w:val="null3"/>
      </w:pPr>
      <w:r>
        <w:rPr/>
        <w:t>2）有依法缴纳税收和社会保障资金的良好记录： 依据《投标函》。</w:t>
      </w:r>
    </w:p>
    <w:p>
      <w:pPr>
        <w:pStyle w:val="null3"/>
      </w:pPr>
      <w:r>
        <w:rPr/>
        <w:t>3）具有良好的商业信誉和健全的财务会计制度：依据《投标函》。</w:t>
      </w:r>
    </w:p>
    <w:p>
      <w:pPr>
        <w:pStyle w:val="null3"/>
      </w:pPr>
      <w:r>
        <w:rPr/>
        <w:t>4）履行合同所必需的设备和专业技术能力：依据《投标函》。</w:t>
      </w:r>
    </w:p>
    <w:p>
      <w:pPr>
        <w:pStyle w:val="null3"/>
      </w:pPr>
      <w:r>
        <w:rPr/>
        <w:t>5）参加采购活动前3年内，在经营活动中没有重大违法记录：依据《投标函》。</w:t>
      </w:r>
    </w:p>
    <w:p>
      <w:pPr>
        <w:pStyle w:val="null3"/>
        <w:outlineLvl w:val="3"/>
      </w:pPr>
      <w:r>
        <w:rPr>
          <w:sz w:val="24"/>
          <w:b/>
        </w:rPr>
        <w:t>2.落实政府采购政策需满足的资格要求：</w:t>
      </w:r>
    </w:p>
    <w:p>
      <w:pPr>
        <w:pStyle w:val="null3"/>
        <w:jc w:val="left"/>
      </w:pPr>
      <w:r>
        <w:rPr/>
        <w:t>采购包1（广州市增城区政务服务数据管理局2024年增城区政务网络村（社区）光纤租赁项目）：</w:t>
      </w:r>
      <w:r>
        <w:rPr/>
        <w:t>本项目不属于专门面向中小微企业采购的项目。</w:t>
      </w:r>
    </w:p>
    <w:p>
      <w:pPr>
        <w:pStyle w:val="null3"/>
        <w:outlineLvl w:val="3"/>
      </w:pPr>
      <w:r>
        <w:rPr>
          <w:sz w:val="24"/>
          <w:b/>
        </w:rPr>
        <w:t>3.本项目特定的资格要求：</w:t>
      </w:r>
    </w:p>
    <w:p>
      <w:pPr>
        <w:pStyle w:val="null3"/>
      </w:pPr>
      <w:r>
        <w:rPr/>
        <w:t>采购包1（广州市增城区政务服务数据管理局2024年增城区政务网络村（社区）光纤租赁项目）：</w:t>
      </w:r>
    </w:p>
    <w:p>
      <w:pPr>
        <w:pStyle w:val="null3"/>
      </w:pPr>
      <w:r>
        <w:rPr/>
        <w:t>1)1.本项目接受联合体投标（联合体各方均应当满足《中华人民共和国政府采购法》第二十二条规定的条件，提供联合体共同投标协议书）。 2.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磋商小组于资格审查时在上述网站查询结果为准，如在上述网站查询结果均显示没有相关记录，视为没有上述不良信用记录。联合体成员存在不良信用记录的，视同联合体存在不良信用记录。同时对信用信息查询记录和证据截图存档。</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广州交易集团有限公司（http://www.gzggzy.cn）</w:t>
      </w:r>
      <w:r>
        <w:rPr/>
        <w:t>。</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广州市增城区政务服务数据管理局</w:t>
      </w:r>
    </w:p>
    <w:p>
      <w:pPr>
        <w:pStyle w:val="null3"/>
        <w:ind w:firstLine="480"/>
      </w:pPr>
      <w:r>
        <w:rPr/>
        <w:t xml:space="preserve"> 地址：</w:t>
      </w:r>
      <w:r>
        <w:rPr/>
        <w:t>广东省广州市增城区荔湖街景观大道7号</w:t>
      </w:r>
    </w:p>
    <w:p>
      <w:pPr>
        <w:pStyle w:val="null3"/>
        <w:ind w:firstLine="480"/>
      </w:pPr>
      <w:r>
        <w:rPr/>
        <w:t xml:space="preserve"> 联系方式：</w:t>
      </w:r>
      <w:r>
        <w:rPr/>
        <w:t>020-82629363</w:t>
      </w:r>
    </w:p>
    <w:p>
      <w:pPr>
        <w:pStyle w:val="null3"/>
        <w:outlineLvl w:val="3"/>
      </w:pPr>
      <w:r>
        <w:rPr>
          <w:sz w:val="24"/>
          <w:b/>
        </w:rPr>
        <w:t xml:space="preserve"> 2.采购代理机构信息</w:t>
      </w:r>
    </w:p>
    <w:p>
      <w:pPr>
        <w:pStyle w:val="null3"/>
        <w:ind w:firstLine="480"/>
      </w:pPr>
      <w:r>
        <w:rPr/>
        <w:t xml:space="preserve"> 名称：</w:t>
      </w:r>
      <w:r>
        <w:rPr/>
        <w:t>广州市政府采购中心</w:t>
      </w:r>
    </w:p>
    <w:p>
      <w:pPr>
        <w:pStyle w:val="null3"/>
        <w:ind w:firstLine="480"/>
      </w:pPr>
      <w:r>
        <w:rPr/>
        <w:t xml:space="preserve"> 地址：</w:t>
      </w:r>
      <w:r>
        <w:rPr/>
        <w:t>广东省广州市天河区天润路333号</w:t>
      </w:r>
    </w:p>
    <w:p>
      <w:pPr>
        <w:pStyle w:val="null3"/>
        <w:ind w:firstLine="480"/>
      </w:pPr>
      <w:r>
        <w:rPr/>
        <w:t xml:space="preserve"> 联系方式：</w:t>
      </w:r>
      <w:r>
        <w:rPr/>
        <w:t>82656543、28866163</w:t>
      </w:r>
    </w:p>
    <w:p>
      <w:pPr>
        <w:pStyle w:val="null3"/>
        <w:outlineLvl w:val="3"/>
      </w:pPr>
      <w:r>
        <w:rPr>
          <w:sz w:val="24"/>
          <w:b/>
        </w:rPr>
        <w:t xml:space="preserve"> 3.项目联系方式</w:t>
      </w:r>
    </w:p>
    <w:p>
      <w:pPr>
        <w:pStyle w:val="null3"/>
        <w:ind w:firstLine="480"/>
      </w:pPr>
      <w:r>
        <w:rPr/>
        <w:t xml:space="preserve"> 项目联系人：</w:t>
      </w:r>
      <w:r>
        <w:rPr/>
        <w:t>陈思伟（采购文件咨询）、何晓蕾（质疑受理）</w:t>
      </w:r>
    </w:p>
    <w:p>
      <w:pPr>
        <w:pStyle w:val="null3"/>
        <w:ind w:firstLine="480"/>
      </w:pPr>
      <w:r>
        <w:rPr/>
        <w:t xml:space="preserve"> 电话：</w:t>
      </w:r>
      <w:r>
        <w:rPr/>
        <w:t>82656543、28866163</w:t>
      </w:r>
    </w:p>
    <w:p>
      <w:pPr>
        <w:pStyle w:val="null3"/>
        <w:outlineLvl w:val="3"/>
      </w:pPr>
      <w:r>
        <w:rPr>
          <w:sz w:val="24"/>
          <w:b/>
        </w:rPr>
        <w:t xml:space="preserve"> 4.技术支持联系方式</w:t>
      </w:r>
    </w:p>
    <w:p>
      <w:pPr>
        <w:pStyle w:val="null3"/>
        <w:ind w:firstLine="480"/>
      </w:pPr>
      <w:r>
        <w:rPr/>
        <w:t>云平台联系方式：020-88696588</w:t>
      </w:r>
    </w:p>
    <w:p>
      <w:pPr>
        <w:pStyle w:val="null3"/>
      </w:pPr>
      <w:r>
        <w:rPr/>
        <w:t xml:space="preserve"> 采购代理机构：</w:t>
      </w:r>
      <w:r>
        <w:rPr/>
        <w:t>广州市政府采购中心</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0"/>
        </w:rPr>
        <w:t xml:space="preserve">     </w:t>
      </w:r>
      <w:r>
        <w:rPr>
          <w:sz w:val="24"/>
        </w:rPr>
        <w:t>项目属性：服务类</w:t>
      </w:r>
    </w:p>
    <w:p>
      <w:pPr>
        <w:pStyle w:val="null3"/>
        <w:ind w:firstLine="504"/>
        <w:jc w:val="both"/>
      </w:pPr>
      <w:r>
        <w:rPr>
          <w:sz w:val="24"/>
        </w:rPr>
        <w:t>品目类别：网络接入服务（C17010200）</w:t>
      </w:r>
    </w:p>
    <w:p>
      <w:pPr>
        <w:pStyle w:val="null3"/>
        <w:ind w:firstLine="504"/>
        <w:jc w:val="both"/>
      </w:pPr>
      <w:r>
        <w:rPr>
          <w:sz w:val="24"/>
        </w:rPr>
        <w:t>本项目属于不专门面向中小微企业预留采购份额的项目，原因和情形为：按照《政府采购促进中小企业发展管理办法》规定因确需使用不可替代的专利、专有技术，基础设施限制，或者提供特定公共服务等原因，只能从中小企业之外的中标人处采购的。</w:t>
      </w:r>
    </w:p>
    <w:p>
      <w:pPr>
        <w:pStyle w:val="null3"/>
        <w:ind w:firstLine="504"/>
        <w:jc w:val="both"/>
      </w:pPr>
      <w:r>
        <w:rPr>
          <w:sz w:val="24"/>
        </w:rPr>
        <w:t>按照国家、省、广州市政府的要求，我区建设了电子政务外网，纵向连接广州市政务外网，横向连接各政府部门，下连各个镇街、村（社区），形成增城区范围内政府部门互联互通的政务专用网络。参照广州市的建设模式，政务外网互联的主要使用的介质是裸光纤，为统一管理和节省经费，通过租赁方式租用建网所需的裸光纤线路。</w:t>
      </w:r>
    </w:p>
    <w:p>
      <w:pPr>
        <w:pStyle w:val="null3"/>
      </w:pPr>
      <w:r>
        <w:rPr>
          <w:sz w:val="24"/>
          <w:b/>
        </w:rPr>
        <w:t>二、租赁周期</w:t>
      </w:r>
    </w:p>
    <w:p>
      <w:pPr>
        <w:pStyle w:val="null3"/>
        <w:ind w:firstLine="504"/>
        <w:jc w:val="both"/>
      </w:pPr>
      <w:r>
        <w:rPr>
          <w:sz w:val="24"/>
        </w:rPr>
        <w:t>本项目租赁周期为12个月。</w:t>
      </w:r>
    </w:p>
    <w:p>
      <w:pPr>
        <w:pStyle w:val="null3"/>
      </w:pPr>
      <w:r>
        <w:rPr>
          <w:sz w:val="24"/>
          <w:b/>
        </w:rPr>
        <w:t>三、服务内容与要求</w:t>
      </w:r>
    </w:p>
    <w:p>
      <w:pPr>
        <w:pStyle w:val="null3"/>
        <w:ind w:firstLine="420"/>
      </w:pPr>
      <w:r>
        <w:rPr>
          <w:sz w:val="24"/>
        </w:rPr>
        <w:t>（一）基础运维服务</w:t>
      </w:r>
    </w:p>
    <w:p>
      <w:pPr>
        <w:pStyle w:val="null3"/>
        <w:ind w:firstLine="504"/>
        <w:jc w:val="both"/>
      </w:pPr>
      <w:r>
        <w:rPr>
          <w:sz w:val="24"/>
        </w:rPr>
        <w:t>本项目需要对通信链路所涉及的硬件设备进行维护，需要保证对硬件设备提供日常维护、设备维保、零配件更换、故障维护、版本升级、补丁升级及耗材等服务。无需驻场人员，具体需求如下表1所示</w:t>
      </w:r>
    </w:p>
    <w:p>
      <w:pPr>
        <w:pStyle w:val="null3"/>
        <w:jc w:val="center"/>
      </w:pPr>
      <w:r>
        <w:rPr>
          <w:sz w:val="24"/>
        </w:rPr>
        <w:t>表1  设备维保、临时零配件及耗材服务需求表</w:t>
      </w:r>
    </w:p>
    <w:p>
      <w:pPr>
        <w:pStyle w:val="null3"/>
        <w:ind w:firstLine="504"/>
        <w:jc w:val="both"/>
      </w:pPr>
      <w:r>
        <w:rPr>
          <w:sz w:val="24"/>
        </w:rPr>
        <w:t>运维服务周期（12月）：</w:t>
      </w:r>
    </w:p>
    <w:tbl>
      <w:tblPr>
        <w:tblW w:w="0" w:type="auto"/>
        <w:tblBorders>
          <w:top w:val="none" w:color="000000" w:sz="4"/>
          <w:left w:val="none" w:color="000000" w:sz="4"/>
          <w:bottom w:val="none" w:color="000000" w:sz="4"/>
          <w:right w:val="none" w:color="000000" w:sz="4"/>
          <w:insideH w:val="none"/>
          <w:insideV w:val="none"/>
        </w:tblBorders>
      </w:tblPr>
      <w:tblGrid>
        <w:gridCol w:w="855"/>
        <w:gridCol w:w="1035"/>
        <w:gridCol w:w="975"/>
        <w:gridCol w:w="1304"/>
        <w:gridCol w:w="4138"/>
      </w:tblGrid>
      <w:tr>
        <w:tc>
          <w:tcPr>
            <w:tcW w:type="dxa" w:w="855"/>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序号</w:t>
            </w:r>
          </w:p>
        </w:tc>
        <w:tc>
          <w:tcPr>
            <w:tcW w:type="dxa" w:w="103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资产分类一级</w:t>
            </w:r>
          </w:p>
        </w:tc>
        <w:tc>
          <w:tcPr>
            <w:tcW w:type="dxa" w:w="97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资产分类二级</w:t>
            </w:r>
          </w:p>
        </w:tc>
        <w:tc>
          <w:tcPr>
            <w:tcW w:type="dxa" w:w="130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资产分类三级</w:t>
            </w:r>
          </w:p>
        </w:tc>
        <w:tc>
          <w:tcPr>
            <w:tcW w:type="dxa" w:w="413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需求说明</w:t>
            </w:r>
          </w:p>
        </w:tc>
      </w:tr>
      <w:tr>
        <w:tc>
          <w:tcPr>
            <w:tcW w:type="dxa" w:w="85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w:t>
            </w:r>
          </w:p>
        </w:tc>
        <w:tc>
          <w:tcPr>
            <w:tcW w:type="dxa" w:w="103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基础设施设备</w:t>
            </w:r>
          </w:p>
        </w:tc>
        <w:tc>
          <w:tcPr>
            <w:tcW w:type="dxa" w:w="975"/>
            <w:vMerge w:val="restart"/>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网络设备</w:t>
            </w:r>
          </w:p>
        </w:tc>
        <w:tc>
          <w:tcPr>
            <w:tcW w:type="dxa" w:w="130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电源模块</w:t>
            </w:r>
          </w:p>
        </w:tc>
        <w:tc>
          <w:tcPr>
            <w:tcW w:type="dxa" w:w="4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rPr>
              <w:t>提供日常维护、设备维保、配件更换、故障维护、版本升级、补丁升级及耗材等服务</w:t>
            </w:r>
          </w:p>
        </w:tc>
      </w:tr>
      <w:tr>
        <w:tc>
          <w:tcPr>
            <w:tcW w:type="dxa" w:w="85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w:t>
            </w:r>
          </w:p>
        </w:tc>
        <w:tc>
          <w:tcPr>
            <w:tcW w:type="dxa" w:w="1035"/>
            <w:vMerge/>
            <w:tcBorders>
              <w:top w:val="none" w:color="000000" w:sz="4"/>
              <w:left w:val="none" w:color="000000" w:sz="4"/>
              <w:bottom w:val="single" w:color="000000" w:sz="4"/>
              <w:right w:val="single" w:color="000000" w:sz="4"/>
            </w:tcBorders>
          </w:tcPr>
          <w:p/>
        </w:tc>
        <w:tc>
          <w:tcPr>
            <w:tcW w:type="dxa" w:w="975"/>
            <w:vMerge/>
            <w:tcBorders>
              <w:top w:val="none" w:color="000000" w:sz="4"/>
              <w:left w:val="none" w:color="000000" w:sz="4"/>
              <w:bottom w:val="single" w:color="000000" w:sz="4"/>
              <w:right w:val="single" w:color="000000" w:sz="4"/>
            </w:tcBorders>
          </w:tcPr>
          <w:p/>
        </w:tc>
        <w:tc>
          <w:tcPr>
            <w:tcW w:type="dxa" w:w="130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功能业务模块</w:t>
            </w:r>
          </w:p>
        </w:tc>
        <w:tc>
          <w:tcPr>
            <w:tcW w:type="dxa" w:w="4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rPr>
              <w:t>提供日常维护、设备维保、配件更换、故障维护、版本升级、补丁升级及耗材等服务</w:t>
            </w:r>
          </w:p>
        </w:tc>
      </w:tr>
      <w:tr>
        <w:tc>
          <w:tcPr>
            <w:tcW w:type="dxa" w:w="85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w:t>
            </w:r>
          </w:p>
        </w:tc>
        <w:tc>
          <w:tcPr>
            <w:tcW w:type="dxa" w:w="1035"/>
            <w:vMerge/>
            <w:tcBorders>
              <w:top w:val="none" w:color="000000" w:sz="4"/>
              <w:left w:val="none" w:color="000000" w:sz="4"/>
              <w:bottom w:val="single" w:color="000000" w:sz="4"/>
              <w:right w:val="single" w:color="000000" w:sz="4"/>
            </w:tcBorders>
          </w:tcPr>
          <w:p/>
        </w:tc>
        <w:tc>
          <w:tcPr>
            <w:tcW w:type="dxa" w:w="975"/>
            <w:vMerge/>
            <w:tcBorders>
              <w:top w:val="none" w:color="000000" w:sz="4"/>
              <w:left w:val="none" w:color="000000" w:sz="4"/>
              <w:bottom w:val="single" w:color="000000" w:sz="4"/>
              <w:right w:val="single" w:color="000000" w:sz="4"/>
            </w:tcBorders>
          </w:tcPr>
          <w:p/>
        </w:tc>
        <w:tc>
          <w:tcPr>
            <w:tcW w:type="dxa" w:w="130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光模块</w:t>
            </w:r>
          </w:p>
        </w:tc>
        <w:tc>
          <w:tcPr>
            <w:tcW w:type="dxa" w:w="4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rPr>
              <w:t>提供日常维护、设备维保、配件更换、故障维护、版本升级、补丁升级及耗材等服务</w:t>
            </w:r>
          </w:p>
        </w:tc>
      </w:tr>
      <w:tr>
        <w:tc>
          <w:tcPr>
            <w:tcW w:type="dxa" w:w="85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4</w:t>
            </w:r>
          </w:p>
        </w:tc>
        <w:tc>
          <w:tcPr>
            <w:tcW w:type="dxa" w:w="1035"/>
            <w:vMerge/>
            <w:tcBorders>
              <w:top w:val="none" w:color="000000" w:sz="4"/>
              <w:left w:val="none" w:color="000000" w:sz="4"/>
              <w:bottom w:val="single" w:color="000000" w:sz="4"/>
              <w:right w:val="single" w:color="000000" w:sz="4"/>
            </w:tcBorders>
          </w:tcPr>
          <w:p/>
        </w:tc>
        <w:tc>
          <w:tcPr>
            <w:tcW w:type="dxa" w:w="975"/>
            <w:vMerge/>
            <w:tcBorders>
              <w:top w:val="none" w:color="000000" w:sz="4"/>
              <w:left w:val="none" w:color="000000" w:sz="4"/>
              <w:bottom w:val="single" w:color="000000" w:sz="4"/>
              <w:right w:val="single" w:color="000000" w:sz="4"/>
            </w:tcBorders>
          </w:tcPr>
          <w:p/>
        </w:tc>
        <w:tc>
          <w:tcPr>
            <w:tcW w:type="dxa" w:w="130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交换机</w:t>
            </w:r>
          </w:p>
        </w:tc>
        <w:tc>
          <w:tcPr>
            <w:tcW w:type="dxa" w:w="4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rPr>
              <w:t>提供日常维护、设备维保、配件更换、故障维护、版本升级、补丁升级及耗材等服务</w:t>
            </w:r>
          </w:p>
        </w:tc>
      </w:tr>
      <w:tr>
        <w:tc>
          <w:tcPr>
            <w:tcW w:type="dxa" w:w="85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5</w:t>
            </w:r>
          </w:p>
        </w:tc>
        <w:tc>
          <w:tcPr>
            <w:tcW w:type="dxa" w:w="1035"/>
            <w:vMerge/>
            <w:tcBorders>
              <w:top w:val="none" w:color="000000" w:sz="4"/>
              <w:left w:val="none" w:color="000000" w:sz="4"/>
              <w:bottom w:val="single" w:color="000000" w:sz="4"/>
              <w:right w:val="single" w:color="000000" w:sz="4"/>
            </w:tcBorders>
          </w:tcPr>
          <w:p/>
        </w:tc>
        <w:tc>
          <w:tcPr>
            <w:tcW w:type="dxa" w:w="975"/>
            <w:vMerge/>
            <w:tcBorders>
              <w:top w:val="none" w:color="000000" w:sz="4"/>
              <w:left w:val="none" w:color="000000" w:sz="4"/>
              <w:bottom w:val="single" w:color="000000" w:sz="4"/>
              <w:right w:val="single" w:color="000000" w:sz="4"/>
            </w:tcBorders>
          </w:tcPr>
          <w:p/>
        </w:tc>
        <w:tc>
          <w:tcPr>
            <w:tcW w:type="dxa" w:w="130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交换网板</w:t>
            </w:r>
          </w:p>
        </w:tc>
        <w:tc>
          <w:tcPr>
            <w:tcW w:type="dxa" w:w="4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rPr>
              <w:t>提供日常维护、设备维保、配件更换、故障维护、版本升级、补丁升级及耗材等服务</w:t>
            </w:r>
          </w:p>
        </w:tc>
      </w:tr>
      <w:tr>
        <w:tc>
          <w:tcPr>
            <w:tcW w:type="dxa" w:w="85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6</w:t>
            </w:r>
          </w:p>
        </w:tc>
        <w:tc>
          <w:tcPr>
            <w:tcW w:type="dxa" w:w="1035"/>
            <w:vMerge/>
            <w:tcBorders>
              <w:top w:val="none" w:color="000000" w:sz="4"/>
              <w:left w:val="none" w:color="000000" w:sz="4"/>
              <w:bottom w:val="single" w:color="000000" w:sz="4"/>
              <w:right w:val="single" w:color="000000" w:sz="4"/>
            </w:tcBorders>
          </w:tcPr>
          <w:p/>
        </w:tc>
        <w:tc>
          <w:tcPr>
            <w:tcW w:type="dxa" w:w="975"/>
            <w:vMerge/>
            <w:tcBorders>
              <w:top w:val="none" w:color="000000" w:sz="4"/>
              <w:left w:val="none" w:color="000000" w:sz="4"/>
              <w:bottom w:val="single" w:color="000000" w:sz="4"/>
              <w:right w:val="single" w:color="000000" w:sz="4"/>
            </w:tcBorders>
          </w:tcPr>
          <w:p/>
        </w:tc>
        <w:tc>
          <w:tcPr>
            <w:tcW w:type="dxa" w:w="130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接口模块</w:t>
            </w:r>
          </w:p>
        </w:tc>
        <w:tc>
          <w:tcPr>
            <w:tcW w:type="dxa" w:w="4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rPr>
              <w:t>提供日常维护、设备维保、配件更换、故障维护、版本升级、补丁升级及耗材等服务</w:t>
            </w:r>
          </w:p>
        </w:tc>
      </w:tr>
      <w:tr>
        <w:tc>
          <w:tcPr>
            <w:tcW w:type="dxa" w:w="85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7</w:t>
            </w:r>
          </w:p>
        </w:tc>
        <w:tc>
          <w:tcPr>
            <w:tcW w:type="dxa" w:w="1035"/>
            <w:vMerge/>
            <w:tcBorders>
              <w:top w:val="none" w:color="000000" w:sz="4"/>
              <w:left w:val="none" w:color="000000" w:sz="4"/>
              <w:bottom w:val="single" w:color="000000" w:sz="4"/>
              <w:right w:val="single" w:color="000000" w:sz="4"/>
            </w:tcBorders>
          </w:tcPr>
          <w:p/>
        </w:tc>
        <w:tc>
          <w:tcPr>
            <w:tcW w:type="dxa" w:w="975"/>
            <w:vMerge/>
            <w:tcBorders>
              <w:top w:val="none" w:color="000000" w:sz="4"/>
              <w:left w:val="none" w:color="000000" w:sz="4"/>
              <w:bottom w:val="single" w:color="000000" w:sz="4"/>
              <w:right w:val="single" w:color="000000" w:sz="4"/>
            </w:tcBorders>
          </w:tcPr>
          <w:p/>
        </w:tc>
        <w:tc>
          <w:tcPr>
            <w:tcW w:type="dxa" w:w="130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引擎模块</w:t>
            </w:r>
          </w:p>
        </w:tc>
        <w:tc>
          <w:tcPr>
            <w:tcW w:type="dxa" w:w="4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rPr>
              <w:t>提供日常维护、设备维保、配件更换、故障维护、版本升级、补丁升级及耗材等服务</w:t>
            </w:r>
          </w:p>
        </w:tc>
      </w:tr>
    </w:tbl>
    <w:p>
      <w:pPr>
        <w:pStyle w:val="null3"/>
        <w:ind w:firstLine="420"/>
      </w:pPr>
      <w:r>
        <w:rPr>
          <w:sz w:val="24"/>
        </w:rPr>
        <w:t>（二）通信维护服务</w:t>
      </w:r>
    </w:p>
    <w:p>
      <w:pPr>
        <w:pStyle w:val="null3"/>
        <w:jc w:val="center"/>
      </w:pPr>
      <w:r>
        <w:rPr>
          <w:sz w:val="24"/>
        </w:rPr>
        <w:t>表2  通信维护服务需求表（村（社区）接入光纤</w:t>
      </w:r>
    </w:p>
    <w:tbl>
      <w:tblPr>
        <w:tblW w:w="0" w:type="auto"/>
        <w:tblBorders>
          <w:top w:val="none" w:color="000000" w:sz="4"/>
          <w:left w:val="none" w:color="000000" w:sz="4"/>
          <w:bottom w:val="none" w:color="000000" w:sz="4"/>
          <w:right w:val="none" w:color="000000" w:sz="4"/>
          <w:insideH w:val="none"/>
          <w:insideV w:val="none"/>
        </w:tblBorders>
      </w:tblPr>
      <w:tblGrid>
        <w:gridCol w:w="445"/>
        <w:gridCol w:w="771"/>
        <w:gridCol w:w="460"/>
        <w:gridCol w:w="445"/>
        <w:gridCol w:w="1142"/>
        <w:gridCol w:w="994"/>
        <w:gridCol w:w="504"/>
        <w:gridCol w:w="445"/>
        <w:gridCol w:w="831"/>
        <w:gridCol w:w="1112"/>
        <w:gridCol w:w="1157"/>
      </w:tblGrid>
      <w:tr>
        <w:tc>
          <w:tcPr>
            <w:tcW w:type="dxa" w:w="445"/>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序号</w:t>
            </w:r>
          </w:p>
        </w:tc>
        <w:tc>
          <w:tcPr>
            <w:tcW w:type="dxa" w:w="77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通信维护服务名称</w:t>
            </w:r>
          </w:p>
        </w:tc>
        <w:tc>
          <w:tcPr>
            <w:tcW w:type="dxa" w:w="46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所属网络</w:t>
            </w:r>
          </w:p>
        </w:tc>
        <w:tc>
          <w:tcPr>
            <w:tcW w:type="dxa" w:w="44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用途</w:t>
            </w:r>
          </w:p>
        </w:tc>
        <w:tc>
          <w:tcPr>
            <w:tcW w:type="dxa" w:w="1142"/>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线路起点地址</w:t>
            </w:r>
          </w:p>
        </w:tc>
        <w:tc>
          <w:tcPr>
            <w:tcW w:type="dxa" w:w="99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线路终点地址</w:t>
            </w:r>
          </w:p>
        </w:tc>
        <w:tc>
          <w:tcPr>
            <w:tcW w:type="dxa" w:w="50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线路类型</w:t>
            </w:r>
          </w:p>
        </w:tc>
        <w:tc>
          <w:tcPr>
            <w:tcW w:type="dxa" w:w="44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端口类型</w:t>
            </w:r>
          </w:p>
        </w:tc>
        <w:tc>
          <w:tcPr>
            <w:tcW w:type="dxa" w:w="83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带宽/芯数</w:t>
            </w:r>
          </w:p>
        </w:tc>
        <w:tc>
          <w:tcPr>
            <w:tcW w:type="dxa" w:w="1112"/>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租赁周期（起始时间）</w:t>
            </w:r>
          </w:p>
        </w:tc>
        <w:tc>
          <w:tcPr>
            <w:tcW w:type="dxa" w:w="1157"/>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接入地点</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1</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村(社区)网络光纤条</w:t>
            </w:r>
          </w:p>
        </w:tc>
        <w:tc>
          <w:tcPr>
            <w:tcW w:type="dxa" w:w="4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政务外网</w:t>
            </w:r>
          </w:p>
        </w:tc>
        <w:tc>
          <w:tcPr>
            <w:tcW w:type="dxa" w:w="4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用于点对点连接</w:t>
            </w:r>
          </w:p>
        </w:tc>
        <w:tc>
          <w:tcPr>
            <w:tcW w:type="dxa" w:w="114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增城区数据中心机房</w:t>
            </w:r>
          </w:p>
        </w:tc>
        <w:tc>
          <w:tcPr>
            <w:tcW w:type="dxa" w:w="99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w:t>
            </w:r>
            <w:r>
              <w:rPr>
                <w:sz w:val="24"/>
              </w:rPr>
              <w:t>个村(社区)汇聚点366个村居社区接入点</w:t>
            </w:r>
          </w:p>
        </w:tc>
        <w:tc>
          <w:tcPr>
            <w:tcW w:type="dxa" w:w="50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光纤</w:t>
            </w:r>
          </w:p>
        </w:tc>
        <w:tc>
          <w:tcPr>
            <w:tcW w:type="dxa" w:w="4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光口</w:t>
            </w:r>
          </w:p>
        </w:tc>
        <w:tc>
          <w:tcPr>
            <w:tcW w:type="dxa" w:w="83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裸光纤</w:t>
            </w:r>
          </w:p>
        </w:tc>
        <w:tc>
          <w:tcPr>
            <w:tcW w:type="dxa" w:w="11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2024</w:t>
            </w:r>
            <w:r>
              <w:rPr>
                <w:sz w:val="24"/>
              </w:rPr>
              <w:t>年6月至2025年6 月</w:t>
            </w:r>
          </w:p>
        </w:tc>
        <w:tc>
          <w:tcPr>
            <w:tcW w:type="dxa" w:w="11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11</w:t>
            </w:r>
            <w:r>
              <w:rPr>
                <w:sz w:val="24"/>
              </w:rPr>
              <w:t>个村(社区)汇聚点366个村居社区接入点</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2</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1G</w:t>
            </w:r>
            <w:r>
              <w:rPr>
                <w:sz w:val="24"/>
              </w:rPr>
              <w:t>极速专线</w:t>
            </w:r>
          </w:p>
        </w:tc>
        <w:tc>
          <w:tcPr>
            <w:tcW w:type="dxa" w:w="4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政务外网</w:t>
            </w:r>
          </w:p>
        </w:tc>
        <w:tc>
          <w:tcPr>
            <w:tcW w:type="dxa" w:w="4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互联网出口</w:t>
            </w:r>
          </w:p>
        </w:tc>
        <w:tc>
          <w:tcPr>
            <w:tcW w:type="dxa" w:w="114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运营商机房</w:t>
            </w:r>
          </w:p>
        </w:tc>
        <w:tc>
          <w:tcPr>
            <w:tcW w:type="dxa" w:w="99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增城区数据中心机房</w:t>
            </w:r>
          </w:p>
        </w:tc>
        <w:tc>
          <w:tcPr>
            <w:tcW w:type="dxa" w:w="50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光纤</w:t>
            </w:r>
          </w:p>
        </w:tc>
        <w:tc>
          <w:tcPr>
            <w:tcW w:type="dxa" w:w="4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光口</w:t>
            </w:r>
          </w:p>
        </w:tc>
        <w:tc>
          <w:tcPr>
            <w:tcW w:type="dxa" w:w="83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下行带宽≥1000M，上行带宽≥200Mbps，无连接数限制</w:t>
            </w:r>
          </w:p>
        </w:tc>
        <w:tc>
          <w:tcPr>
            <w:tcW w:type="dxa" w:w="11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2024</w:t>
            </w:r>
            <w:r>
              <w:rPr>
                <w:sz w:val="24"/>
              </w:rPr>
              <w:t>年6月至2025年6 月</w:t>
            </w:r>
          </w:p>
        </w:tc>
        <w:tc>
          <w:tcPr>
            <w:tcW w:type="dxa" w:w="11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荔乡路26 号</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3</w:t>
            </w:r>
          </w:p>
        </w:tc>
        <w:tc>
          <w:tcPr>
            <w:tcW w:type="dxa" w:w="77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500M</w:t>
            </w:r>
            <w:r>
              <w:rPr>
                <w:sz w:val="24"/>
              </w:rPr>
              <w:t>互联网出口</w:t>
            </w:r>
          </w:p>
        </w:tc>
        <w:tc>
          <w:tcPr>
            <w:tcW w:type="dxa" w:w="460"/>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政务外网</w:t>
            </w:r>
          </w:p>
        </w:tc>
        <w:tc>
          <w:tcPr>
            <w:tcW w:type="dxa" w:w="4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互联网出口</w:t>
            </w:r>
          </w:p>
        </w:tc>
        <w:tc>
          <w:tcPr>
            <w:tcW w:type="dxa" w:w="114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运营商机房</w:t>
            </w:r>
          </w:p>
        </w:tc>
        <w:tc>
          <w:tcPr>
            <w:tcW w:type="dxa" w:w="99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增城区数据中心机房</w:t>
            </w:r>
          </w:p>
        </w:tc>
        <w:tc>
          <w:tcPr>
            <w:tcW w:type="dxa" w:w="50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光纤</w:t>
            </w:r>
          </w:p>
        </w:tc>
        <w:tc>
          <w:tcPr>
            <w:tcW w:type="dxa" w:w="44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光口</w:t>
            </w:r>
          </w:p>
        </w:tc>
        <w:tc>
          <w:tcPr>
            <w:tcW w:type="dxa" w:w="83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500M</w:t>
            </w:r>
            <w:r>
              <w:rPr>
                <w:sz w:val="24"/>
              </w:rPr>
              <w:t>上下行对等</w:t>
            </w:r>
          </w:p>
        </w:tc>
        <w:tc>
          <w:tcPr>
            <w:tcW w:type="dxa" w:w="11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2024</w:t>
            </w:r>
            <w:r>
              <w:rPr>
                <w:sz w:val="24"/>
              </w:rPr>
              <w:t>年6月至2025年6 月</w:t>
            </w:r>
          </w:p>
        </w:tc>
        <w:tc>
          <w:tcPr>
            <w:tcW w:type="dxa" w:w="11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rPr>
              <w:t>荔乡路26 号</w:t>
            </w:r>
          </w:p>
        </w:tc>
      </w:tr>
    </w:tbl>
    <w:p>
      <w:pPr>
        <w:pStyle w:val="null3"/>
        <w:ind w:firstLine="420"/>
      </w:pPr>
      <w:r>
        <w:rPr>
          <w:sz w:val="24"/>
        </w:rPr>
        <w:t>（三）服务要求</w:t>
      </w:r>
    </w:p>
    <w:p>
      <w:pPr>
        <w:pStyle w:val="null3"/>
        <w:ind w:firstLine="504"/>
        <w:jc w:val="both"/>
      </w:pPr>
      <w:r>
        <w:rPr>
          <w:sz w:val="24"/>
        </w:rPr>
        <w:t>1</w:t>
      </w:r>
      <w:r>
        <w:rPr>
          <w:sz w:val="24"/>
        </w:rPr>
        <w:t>、村居接入组网要求</w:t>
      </w:r>
    </w:p>
    <w:p>
      <w:pPr>
        <w:pStyle w:val="null3"/>
        <w:ind w:firstLine="504"/>
        <w:jc w:val="both"/>
      </w:pPr>
      <w:r>
        <w:rPr>
          <w:sz w:val="24"/>
        </w:rPr>
        <w:t>各村（社区）接入点通过光纤接入在各个镇街的机房汇聚点，每条线路接入带宽不少于 1000M。本次光纤专网组网全部要求以裸光纤组网形式设计实施（因裸纤接入存在困难情况的前端物理点位，可采用不低于 1000M 的光纤链路进行传输，采用光纤链路传输的前端物理点位数量不超过 8 个），同时由中标人负责解决裸光纤接入方式需要部署的汇聚交换机等设备。</w:t>
      </w:r>
    </w:p>
    <w:p>
      <w:pPr>
        <w:pStyle w:val="null3"/>
        <w:ind w:firstLine="504"/>
        <w:jc w:val="both"/>
      </w:pPr>
      <w:r>
        <w:rPr>
          <w:sz w:val="24"/>
        </w:rPr>
        <w:t xml:space="preserve">  2</w:t>
      </w:r>
      <w:r>
        <w:rPr>
          <w:sz w:val="24"/>
        </w:rPr>
        <w:t>、汇聚网组网要求</w:t>
      </w:r>
    </w:p>
    <w:p>
      <w:pPr>
        <w:pStyle w:val="null3"/>
        <w:ind w:firstLine="504"/>
        <w:jc w:val="both"/>
      </w:pPr>
      <w:r>
        <w:rPr>
          <w:sz w:val="24"/>
        </w:rPr>
        <w:t>本次组网的汇聚层为中标人机楼交换机，要求具备电信级机房的双电源、双 UPS 及符合相关安保消防要求，与 366个接入单位以 1000M 互联；核心层部署在区数据中心机房，采用双核心交换机，以裸光纤与各汇聚层对接。要求中标商提供至少 11 个汇聚节点，并在 13 个镇街中的 11 个镇街分别设置 1 个汇聚点，放置汇聚设备，并作为光纤线路的汇接点，各汇聚节点要求采用双回路。</w:t>
      </w:r>
    </w:p>
    <w:p>
      <w:pPr>
        <w:pStyle w:val="null3"/>
        <w:ind w:firstLine="504"/>
        <w:jc w:val="both"/>
      </w:pPr>
      <w:r>
        <w:rPr>
          <w:sz w:val="24"/>
        </w:rPr>
        <w:t>3</w:t>
      </w:r>
      <w:r>
        <w:rPr>
          <w:sz w:val="24"/>
        </w:rPr>
        <w:t>、租赁光纤参数要求</w:t>
      </w:r>
    </w:p>
    <w:tbl>
      <w:tblPr>
        <w:tblW w:w="0" w:type="auto"/>
        <w:tblBorders>
          <w:top w:val="none" w:color="000000" w:sz="4"/>
          <w:left w:val="none" w:color="000000" w:sz="4"/>
          <w:bottom w:val="none" w:color="000000" w:sz="4"/>
          <w:right w:val="none" w:color="000000" w:sz="4"/>
          <w:insideH w:val="none"/>
          <w:insideV w:val="none"/>
        </w:tblBorders>
      </w:tblPr>
      <w:tblGrid>
        <w:gridCol w:w="1607"/>
        <w:gridCol w:w="6699"/>
      </w:tblGrid>
      <w:tr>
        <w:tc>
          <w:tcPr>
            <w:tcW w:type="dxa" w:w="1607"/>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类型</w:t>
            </w:r>
          </w:p>
        </w:tc>
        <w:tc>
          <w:tcPr>
            <w:tcW w:type="dxa" w:w="6699"/>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具体参数要求</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光缆类型</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 xml:space="preserve">G652D </w:t>
            </w:r>
            <w:r>
              <w:rPr>
                <w:sz w:val="24"/>
              </w:rPr>
              <w:t>单模光纤</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标称工作波长</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为 1310nm，工作范围 1285~1330nm。</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衰减常数</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在 1310nm 波长上不大于 0.4dB/km</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模场直径</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 xml:space="preserve">9.3 </w:t>
            </w:r>
            <w:r>
              <w:rPr>
                <w:sz w:val="24"/>
              </w:rPr>
              <w:t>μm ± 0.5 μm（1310nm）；10.5 μm ± 0.8 μm（1550nm）；</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包层直径</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 xml:space="preserve">125 </w:t>
            </w:r>
            <w:r>
              <w:rPr>
                <w:sz w:val="24"/>
              </w:rPr>
              <w:t>μm ± 1 μm；</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包层不圆度</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不大于 1%；</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截止常数</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1100~1330nm</w:t>
            </w:r>
            <w:r>
              <w:rPr>
                <w:sz w:val="24"/>
              </w:rPr>
              <w:t>（在 2 米光纤上测得）；</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总色散系数</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在 1285~1330nm 波长范围内的全部波长上不大于 3.5PS/nm ·km。</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允许张力</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工作时 600N，敷设时 1500N；1500N 下光纤允许应变≤ 0.15%</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允许侧压力</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工作时 300N/10cm，敷设时 1000N/10cm</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允许的弯曲半径</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工作时 1000 N/10cm；光缆外径的 10 倍；敷设时光缆外径的 20 倍；</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新敷设光缆盘长</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 xml:space="preserve">2000+50/-0 </w:t>
            </w:r>
            <w:r>
              <w:rPr>
                <w:sz w:val="24"/>
              </w:rPr>
              <w:t>米；</w:t>
            </w:r>
          </w:p>
        </w:tc>
      </w:tr>
      <w:tr>
        <w:tc>
          <w:tcPr>
            <w:tcW w:type="dxa" w:w="1607"/>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光缆尾纤</w:t>
            </w:r>
          </w:p>
        </w:tc>
        <w:tc>
          <w:tcPr>
            <w:tcW w:type="dxa" w:w="6699"/>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采用FC—UPC 型光纤连接器，要求连接器插入损耗≤ 0.2dB，回损≥50dB。</w:t>
            </w:r>
          </w:p>
        </w:tc>
      </w:tr>
    </w:tbl>
    <w:p>
      <w:pPr>
        <w:pStyle w:val="null3"/>
        <w:ind w:firstLine="504"/>
        <w:jc w:val="both"/>
      </w:pPr>
      <w:r>
        <w:rPr>
          <w:sz w:val="24"/>
        </w:rPr>
        <w:t xml:space="preserve">  4</w:t>
      </w:r>
      <w:r>
        <w:rPr>
          <w:sz w:val="24"/>
        </w:rPr>
        <w:t>、村居接入光纤线路平稳过渡要求</w:t>
      </w:r>
    </w:p>
    <w:p>
      <w:pPr>
        <w:pStyle w:val="null3"/>
        <w:ind w:firstLine="504"/>
        <w:jc w:val="both"/>
      </w:pPr>
      <w:r>
        <w:rPr>
          <w:sz w:val="24"/>
        </w:rPr>
        <w:t>为了保证系统的平稳过渡和工程衔接，在项目建设期间，应保障现有系统正常运行及村居日常内部办公网络正常使用；应充分利用现有资源，尽量避免道路开挖和不必要前端施工，降低工程扰民的影响，以此共同保障建设期间的系统的平稳过渡。如需涉及线路迁改或割接，需要提供平滑过渡解决方案。</w:t>
      </w:r>
    </w:p>
    <w:p>
      <w:pPr>
        <w:pStyle w:val="null3"/>
        <w:ind w:firstLine="504"/>
        <w:jc w:val="both"/>
      </w:pPr>
      <w:r>
        <w:rPr>
          <w:sz w:val="24"/>
        </w:rPr>
        <w:t>5</w:t>
      </w:r>
      <w:r>
        <w:rPr>
          <w:sz w:val="24"/>
        </w:rPr>
        <w:t>、汇聚场地需求</w:t>
      </w:r>
    </w:p>
    <w:p>
      <w:pPr>
        <w:pStyle w:val="null3"/>
        <w:ind w:firstLine="504"/>
        <w:jc w:val="both"/>
      </w:pPr>
      <w:r>
        <w:rPr>
          <w:sz w:val="24"/>
        </w:rPr>
        <w:t>需提供至少 11 个汇聚节点，并在 13 个镇街中的 11 个镇街分别设置 1 个汇聚点，作为光纤线路的汇接点，汇聚接入点与数据中心机房核心交换机连接。如需涉及机房迁改，需要提供平滑过渡解决方案。</w:t>
      </w:r>
    </w:p>
    <w:p>
      <w:pPr>
        <w:pStyle w:val="null3"/>
        <w:ind w:firstLine="504"/>
        <w:jc w:val="both"/>
      </w:pPr>
      <w:r>
        <w:rPr>
          <w:sz w:val="24"/>
        </w:rPr>
        <w:t>6</w:t>
      </w:r>
      <w:r>
        <w:rPr>
          <w:sz w:val="24"/>
        </w:rPr>
        <w:t>、链路要求</w:t>
      </w:r>
    </w:p>
    <w:p>
      <w:pPr>
        <w:pStyle w:val="null3"/>
        <w:ind w:firstLine="504"/>
        <w:jc w:val="both"/>
      </w:pPr>
      <w:r>
        <w:rPr>
          <w:sz w:val="24"/>
        </w:rPr>
        <w:t>(1)</w:t>
      </w:r>
      <w:r>
        <w:rPr>
          <w:sz w:val="24"/>
        </w:rPr>
        <w:t>所有设备在采购人指定地点和环境下完成所有测试工作实现正常运行，并达到要求的性能和产品技术规格中的性能。工程施工必须满足 YDJ39-90 通信管道工程施工验收技术规范、 YDJ44-89 光纤数字传输系统工程施工及验收暂行技术规定等有关技术标准和规范，配线架（盒）应符合 YD/T778-1998 标准要求。</w:t>
      </w:r>
    </w:p>
    <w:p>
      <w:pPr>
        <w:pStyle w:val="null3"/>
        <w:ind w:firstLine="504"/>
        <w:jc w:val="both"/>
      </w:pPr>
      <w:r>
        <w:rPr>
          <w:sz w:val="24"/>
        </w:rPr>
        <w:t>(2)</w:t>
      </w:r>
      <w:r>
        <w:rPr>
          <w:sz w:val="24"/>
        </w:rPr>
        <w:t>投标人根据采购人提供的接入点名单，按照各自的管线资源，就近接入汇聚节点。</w:t>
      </w:r>
    </w:p>
    <w:p>
      <w:pPr>
        <w:pStyle w:val="null3"/>
        <w:ind w:firstLine="504"/>
        <w:jc w:val="both"/>
      </w:pPr>
      <w:r>
        <w:rPr>
          <w:sz w:val="24"/>
        </w:rPr>
        <w:t>(3)</w:t>
      </w:r>
      <w:r>
        <w:rPr>
          <w:sz w:val="24"/>
        </w:rPr>
        <w:t>所有光缆均应敷设于投标人专用通信管道里。</w:t>
      </w:r>
    </w:p>
    <w:p>
      <w:pPr>
        <w:pStyle w:val="null3"/>
        <w:ind w:firstLine="504"/>
        <w:jc w:val="both"/>
      </w:pPr>
      <w:r>
        <w:rPr>
          <w:sz w:val="24"/>
        </w:rPr>
        <w:t>(4)</w:t>
      </w:r>
      <w:r>
        <w:rPr>
          <w:sz w:val="24"/>
        </w:rPr>
        <w:t>接入用户端的最后一公里光缆应尽量敷设于专用通信管道里，确实需要架空的需书面报用户备案。</w:t>
      </w:r>
    </w:p>
    <w:p>
      <w:pPr>
        <w:pStyle w:val="null3"/>
        <w:ind w:firstLine="504"/>
        <w:jc w:val="both"/>
      </w:pPr>
      <w:r>
        <w:rPr>
          <w:sz w:val="24"/>
        </w:rPr>
        <w:t>(5)</w:t>
      </w:r>
      <w:r>
        <w:rPr>
          <w:sz w:val="24"/>
        </w:rPr>
        <w:t>投标人按采购人要求，提供接入点接入交换机及相关的光纤收发器等接口设备。</w:t>
      </w:r>
    </w:p>
    <w:p>
      <w:pPr>
        <w:pStyle w:val="null3"/>
        <w:ind w:firstLine="504"/>
        <w:jc w:val="both"/>
      </w:pPr>
      <w:r>
        <w:rPr>
          <w:sz w:val="24"/>
        </w:rPr>
        <w:t>7</w:t>
      </w:r>
      <w:r>
        <w:rPr>
          <w:sz w:val="24"/>
        </w:rPr>
        <w:t xml:space="preserve">、设备维护要求   </w:t>
      </w:r>
    </w:p>
    <w:tbl>
      <w:tblPr>
        <w:tblW w:w="0" w:type="auto"/>
        <w:tblBorders>
          <w:top w:val="none" w:color="000000" w:sz="4"/>
          <w:left w:val="none" w:color="000000" w:sz="4"/>
          <w:bottom w:val="none" w:color="000000" w:sz="4"/>
          <w:right w:val="none" w:color="000000" w:sz="4"/>
          <w:insideH w:val="none"/>
          <w:insideV w:val="none"/>
        </w:tblBorders>
      </w:tblPr>
      <w:tblGrid>
        <w:gridCol w:w="646"/>
        <w:gridCol w:w="1772"/>
        <w:gridCol w:w="2568"/>
        <w:gridCol w:w="3319"/>
      </w:tblGrid>
      <w:tr>
        <w:tc>
          <w:tcPr>
            <w:tcW w:type="dxa" w:w="646"/>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序号</w:t>
            </w:r>
          </w:p>
        </w:tc>
        <w:tc>
          <w:tcPr>
            <w:tcW w:type="dxa" w:w="1772"/>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相关内容</w:t>
            </w:r>
          </w:p>
        </w:tc>
        <w:tc>
          <w:tcPr>
            <w:tcW w:type="dxa" w:w="2568"/>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服务要求</w:t>
            </w:r>
          </w:p>
        </w:tc>
        <w:tc>
          <w:tcPr>
            <w:tcW w:type="dxa" w:w="3319"/>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4"/>
              </w:rPr>
              <w:t>备注说明</w:t>
            </w:r>
          </w:p>
        </w:tc>
      </w:tr>
      <w:tr>
        <w:tc>
          <w:tcPr>
            <w:tcW w:type="dxa" w:w="646"/>
            <w:tcBorders>
              <w:top w:val="none" w:color="000000" w:sz="4"/>
              <w:left w:val="single" w:color="000000" w:sz="4"/>
              <w:bottom w:val="single" w:color="000000" w:sz="4"/>
              <w:right w:val="single" w:color="000000" w:sz="4"/>
            </w:tcBorders>
            <w:tcMar>
              <w:top w:type="dxa" w:w="0"/>
              <w:left w:type="dxa" w:w="0"/>
              <w:bottom w:type="dxa" w:w="0"/>
              <w:right w:type="dxa" w:w="0"/>
            </w:tcMar>
          </w:tcPr>
          <w:p>
            <w:pPr>
              <w:pStyle w:val="null3"/>
              <w:jc w:val="center"/>
            </w:pPr>
            <w:r>
              <w:rPr>
                <w:sz w:val="24"/>
              </w:rPr>
              <w:t>1</w:t>
            </w:r>
          </w:p>
        </w:tc>
        <w:tc>
          <w:tcPr>
            <w:tcW w:type="dxa" w:w="1772"/>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设备主机硬件及环境保养</w:t>
            </w:r>
          </w:p>
        </w:tc>
        <w:tc>
          <w:tcPr>
            <w:tcW w:type="dxa" w:w="2568"/>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用户日常保养</w:t>
            </w:r>
          </w:p>
        </w:tc>
        <w:tc>
          <w:tcPr>
            <w:tcW w:type="dxa" w:w="3319"/>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主机清洁保养、给配电等环境保养</w:t>
            </w:r>
          </w:p>
        </w:tc>
      </w:tr>
      <w:tr>
        <w:tc>
          <w:tcPr>
            <w:tcW w:type="dxa" w:w="646"/>
            <w:tcBorders>
              <w:top w:val="none" w:color="000000" w:sz="4"/>
              <w:left w:val="single" w:color="000000" w:sz="4"/>
              <w:bottom w:val="single" w:color="000000" w:sz="4"/>
              <w:right w:val="single" w:color="000000" w:sz="4"/>
            </w:tcBorders>
            <w:tcMar>
              <w:top w:type="dxa" w:w="0"/>
              <w:left w:type="dxa" w:w="0"/>
              <w:bottom w:type="dxa" w:w="0"/>
              <w:right w:type="dxa" w:w="0"/>
            </w:tcMar>
          </w:tcPr>
          <w:p>
            <w:pPr>
              <w:pStyle w:val="null3"/>
              <w:jc w:val="center"/>
            </w:pPr>
            <w:r>
              <w:rPr>
                <w:sz w:val="24"/>
              </w:rPr>
              <w:t>2</w:t>
            </w:r>
          </w:p>
        </w:tc>
        <w:tc>
          <w:tcPr>
            <w:tcW w:type="dxa" w:w="1772"/>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系统性能日常保障</w:t>
            </w:r>
          </w:p>
        </w:tc>
        <w:tc>
          <w:tcPr>
            <w:tcW w:type="dxa" w:w="2568"/>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根据用户需求配合服务</w:t>
            </w:r>
          </w:p>
        </w:tc>
        <w:tc>
          <w:tcPr>
            <w:tcW w:type="dxa" w:w="3319"/>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配置备份、补丁升级、日志检查、固件升级</w:t>
            </w:r>
          </w:p>
        </w:tc>
      </w:tr>
      <w:tr>
        <w:tc>
          <w:tcPr>
            <w:tcW w:type="dxa" w:w="646"/>
            <w:tcBorders>
              <w:top w:val="none" w:color="000000" w:sz="4"/>
              <w:left w:val="single" w:color="000000" w:sz="4"/>
              <w:bottom w:val="single" w:color="000000" w:sz="4"/>
              <w:right w:val="single" w:color="000000" w:sz="4"/>
            </w:tcBorders>
            <w:tcMar>
              <w:top w:type="dxa" w:w="0"/>
              <w:left w:type="dxa" w:w="0"/>
              <w:bottom w:type="dxa" w:w="0"/>
              <w:right w:type="dxa" w:w="0"/>
            </w:tcMar>
          </w:tcPr>
          <w:p>
            <w:pPr>
              <w:pStyle w:val="null3"/>
              <w:jc w:val="center"/>
            </w:pPr>
            <w:r>
              <w:rPr>
                <w:sz w:val="24"/>
              </w:rPr>
              <w:t>3</w:t>
            </w:r>
          </w:p>
        </w:tc>
        <w:tc>
          <w:tcPr>
            <w:tcW w:type="dxa" w:w="1772"/>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网络设备备件更换服务</w:t>
            </w:r>
          </w:p>
        </w:tc>
        <w:tc>
          <w:tcPr>
            <w:tcW w:type="dxa" w:w="2568"/>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响应时间及排除故障时间</w:t>
            </w:r>
          </w:p>
        </w:tc>
        <w:tc>
          <w:tcPr>
            <w:tcW w:type="dxa" w:w="3319"/>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按照单位的业务保障需求，可纳入系统故障检测及排除的项目考虑</w:t>
            </w:r>
          </w:p>
        </w:tc>
      </w:tr>
      <w:tr>
        <w:tc>
          <w:tcPr>
            <w:tcW w:type="dxa" w:w="646"/>
            <w:tcBorders>
              <w:top w:val="none" w:color="000000" w:sz="4"/>
              <w:left w:val="single" w:color="000000" w:sz="4"/>
              <w:bottom w:val="single" w:color="000000" w:sz="4"/>
              <w:right w:val="single" w:color="000000" w:sz="4"/>
            </w:tcBorders>
            <w:tcMar>
              <w:top w:type="dxa" w:w="0"/>
              <w:left w:type="dxa" w:w="0"/>
              <w:bottom w:type="dxa" w:w="0"/>
              <w:right w:type="dxa" w:w="0"/>
            </w:tcMar>
          </w:tcPr>
          <w:p>
            <w:pPr>
              <w:pStyle w:val="null3"/>
              <w:jc w:val="center"/>
            </w:pPr>
            <w:r>
              <w:rPr>
                <w:sz w:val="24"/>
              </w:rPr>
              <w:t>4</w:t>
            </w:r>
          </w:p>
        </w:tc>
        <w:tc>
          <w:tcPr>
            <w:tcW w:type="dxa" w:w="1772"/>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设备主机维修及备件提供</w:t>
            </w:r>
          </w:p>
        </w:tc>
        <w:tc>
          <w:tcPr>
            <w:tcW w:type="dxa" w:w="2568"/>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维修部件及备件性能要求，维修和备件支持周期</w:t>
            </w:r>
          </w:p>
        </w:tc>
        <w:tc>
          <w:tcPr>
            <w:tcW w:type="dxa" w:w="3319"/>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当天完成原厂备件流程批复的，第二个工作日备件完成发货，备件到达现场后完成故障处理。</w:t>
            </w:r>
          </w:p>
        </w:tc>
      </w:tr>
      <w:tr>
        <w:tc>
          <w:tcPr>
            <w:tcW w:type="dxa" w:w="646"/>
            <w:tcBorders>
              <w:top w:val="none" w:color="000000" w:sz="4"/>
              <w:left w:val="single" w:color="000000" w:sz="4"/>
              <w:bottom w:val="single" w:color="000000" w:sz="4"/>
              <w:right w:val="single" w:color="000000" w:sz="4"/>
            </w:tcBorders>
            <w:tcMar>
              <w:top w:type="dxa" w:w="0"/>
              <w:left w:type="dxa" w:w="0"/>
              <w:bottom w:type="dxa" w:w="0"/>
              <w:right w:type="dxa" w:w="0"/>
            </w:tcMar>
          </w:tcPr>
          <w:p>
            <w:pPr>
              <w:pStyle w:val="null3"/>
              <w:jc w:val="center"/>
            </w:pPr>
            <w:r>
              <w:rPr>
                <w:sz w:val="24"/>
              </w:rPr>
              <w:t>5</w:t>
            </w:r>
          </w:p>
        </w:tc>
        <w:tc>
          <w:tcPr>
            <w:tcW w:type="dxa" w:w="1772"/>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主机固件软件版本升级更新</w:t>
            </w:r>
          </w:p>
        </w:tc>
        <w:tc>
          <w:tcPr>
            <w:tcW w:type="dxa" w:w="2568"/>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根据用户需求配合服务</w:t>
            </w:r>
          </w:p>
        </w:tc>
        <w:tc>
          <w:tcPr>
            <w:tcW w:type="dxa" w:w="3319"/>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固件版本要求</w:t>
            </w:r>
          </w:p>
        </w:tc>
      </w:tr>
      <w:tr>
        <w:tc>
          <w:tcPr>
            <w:tcW w:type="dxa" w:w="646"/>
            <w:tcBorders>
              <w:top w:val="none" w:color="000000" w:sz="4"/>
              <w:left w:val="single" w:color="000000" w:sz="4"/>
              <w:bottom w:val="single" w:color="000000" w:sz="4"/>
              <w:right w:val="single" w:color="000000" w:sz="4"/>
            </w:tcBorders>
            <w:tcMar>
              <w:top w:type="dxa" w:w="0"/>
              <w:left w:type="dxa" w:w="0"/>
              <w:bottom w:type="dxa" w:w="0"/>
              <w:right w:type="dxa" w:w="0"/>
            </w:tcMar>
          </w:tcPr>
          <w:p>
            <w:pPr>
              <w:pStyle w:val="null3"/>
              <w:jc w:val="center"/>
            </w:pPr>
            <w:r>
              <w:rPr>
                <w:sz w:val="24"/>
              </w:rPr>
              <w:t>6</w:t>
            </w:r>
          </w:p>
        </w:tc>
        <w:tc>
          <w:tcPr>
            <w:tcW w:type="dxa" w:w="1772"/>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安全策略制定和更新</w:t>
            </w:r>
          </w:p>
        </w:tc>
        <w:tc>
          <w:tcPr>
            <w:tcW w:type="dxa" w:w="2568"/>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根据用户需求配合服务</w:t>
            </w:r>
          </w:p>
        </w:tc>
        <w:tc>
          <w:tcPr>
            <w:tcW w:type="dxa" w:w="3319"/>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按照单位的业务保障需求提出</w:t>
            </w:r>
          </w:p>
        </w:tc>
      </w:tr>
      <w:tr>
        <w:tc>
          <w:tcPr>
            <w:tcW w:type="dxa" w:w="646"/>
            <w:tcBorders>
              <w:top w:val="none" w:color="000000" w:sz="4"/>
              <w:left w:val="single" w:color="000000" w:sz="4"/>
              <w:bottom w:val="single" w:color="000000" w:sz="4"/>
              <w:right w:val="single" w:color="000000" w:sz="4"/>
            </w:tcBorders>
            <w:tcMar>
              <w:top w:type="dxa" w:w="0"/>
              <w:left w:type="dxa" w:w="0"/>
              <w:bottom w:type="dxa" w:w="0"/>
              <w:right w:type="dxa" w:w="0"/>
            </w:tcMar>
          </w:tcPr>
          <w:p>
            <w:pPr>
              <w:pStyle w:val="null3"/>
              <w:jc w:val="center"/>
            </w:pPr>
            <w:r>
              <w:rPr>
                <w:sz w:val="24"/>
              </w:rPr>
              <w:t>7</w:t>
            </w:r>
          </w:p>
        </w:tc>
        <w:tc>
          <w:tcPr>
            <w:tcW w:type="dxa" w:w="1772"/>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重大节日保障</w:t>
            </w:r>
          </w:p>
        </w:tc>
        <w:tc>
          <w:tcPr>
            <w:tcW w:type="dxa" w:w="2568"/>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重大节日保障需求</w:t>
            </w:r>
          </w:p>
        </w:tc>
        <w:tc>
          <w:tcPr>
            <w:tcW w:type="dxa" w:w="3319"/>
            <w:tcBorders>
              <w:top w:val="none" w:color="000000" w:sz="4"/>
              <w:left w:val="none" w:color="000000" w:sz="4"/>
              <w:bottom w:val="single" w:color="000000" w:sz="4"/>
              <w:right w:val="single" w:color="000000" w:sz="4"/>
            </w:tcBorders>
            <w:tcMar>
              <w:top w:type="dxa" w:w="0"/>
              <w:left w:type="dxa" w:w="0"/>
              <w:bottom w:type="dxa" w:w="0"/>
              <w:right w:type="dxa" w:w="0"/>
            </w:tcMar>
          </w:tcPr>
          <w:p>
            <w:pPr>
              <w:pStyle w:val="null3"/>
              <w:jc w:val="center"/>
            </w:pPr>
            <w:r>
              <w:rPr>
                <w:sz w:val="24"/>
              </w:rPr>
              <w:t>重大活动或节日需按业主方要求进行保障</w:t>
            </w:r>
          </w:p>
        </w:tc>
      </w:tr>
    </w:tbl>
    <w:p>
      <w:pPr>
        <w:pStyle w:val="null3"/>
        <w:ind w:firstLine="504"/>
        <w:jc w:val="both"/>
      </w:pPr>
      <w:r>
        <w:rPr>
          <w:sz w:val="24"/>
        </w:rPr>
        <w:t>8</w:t>
      </w:r>
      <w:r>
        <w:rPr>
          <w:sz w:val="24"/>
        </w:rPr>
        <w:t>、租赁互联网出口光纤要求</w:t>
      </w:r>
    </w:p>
    <w:p>
      <w:pPr>
        <w:pStyle w:val="null3"/>
        <w:ind w:firstLine="504"/>
        <w:jc w:val="both"/>
      </w:pPr>
      <w:r>
        <w:rPr>
          <w:sz w:val="24"/>
        </w:rPr>
        <w:t>(1) 500M</w:t>
      </w:r>
      <w:r>
        <w:rPr>
          <w:sz w:val="24"/>
        </w:rPr>
        <w:t>互联网专线上下行带宽对称，专线提供50个公网IP地址；1000M互联网带宽线路要求下行带宽≥1000Mbps，上行带宽≥200Mbps的企业级光纤线路，提供2个公网IP地址，线路能承载超过8000台设备共享上网。</w:t>
      </w:r>
    </w:p>
    <w:p>
      <w:pPr>
        <w:pStyle w:val="null3"/>
        <w:ind w:firstLine="504"/>
        <w:jc w:val="both"/>
      </w:pPr>
      <w:r>
        <w:rPr>
          <w:sz w:val="24"/>
        </w:rPr>
        <w:t xml:space="preserve">(2) </w:t>
      </w:r>
      <w:r>
        <w:rPr>
          <w:sz w:val="24"/>
        </w:rPr>
        <w:t>本招标项目为每条互联网出口提供独享带宽的Internet 接入，要求直接接到数据网的城域网的骨干节点上平均丢包率不高于0.5%，并提供本Internet 接入的组网拓扑图。</w:t>
      </w:r>
    </w:p>
    <w:p>
      <w:pPr>
        <w:pStyle w:val="null3"/>
        <w:ind w:firstLine="504"/>
        <w:jc w:val="both"/>
      </w:pPr>
      <w:r>
        <w:rPr>
          <w:sz w:val="24"/>
        </w:rPr>
        <w:t xml:space="preserve">(3) </w:t>
      </w:r>
      <w:r>
        <w:rPr>
          <w:sz w:val="24"/>
        </w:rPr>
        <w:t>应有良好的扩展性和可升级性，确保满足将来因业务发展而产生的升级扩展需求，提供IPV4到IPV6的过渡解决方案及用户实例；</w:t>
      </w:r>
    </w:p>
    <w:p>
      <w:pPr>
        <w:pStyle w:val="null3"/>
        <w:ind w:firstLine="504"/>
        <w:jc w:val="both"/>
      </w:pPr>
      <w:r>
        <w:rPr>
          <w:sz w:val="24"/>
        </w:rPr>
        <w:t>9</w:t>
      </w:r>
      <w:r>
        <w:rPr>
          <w:sz w:val="24"/>
        </w:rPr>
        <w:t>、服务保障要求</w:t>
      </w:r>
    </w:p>
    <w:p>
      <w:pPr>
        <w:pStyle w:val="null3"/>
        <w:ind w:firstLine="504"/>
        <w:jc w:val="both"/>
      </w:pPr>
      <w:r>
        <w:rPr>
          <w:sz w:val="24"/>
        </w:rPr>
        <w:t xml:space="preserve">(1) </w:t>
      </w:r>
      <w:r>
        <w:rPr>
          <w:sz w:val="24"/>
        </w:rPr>
        <w:t>结合项目实际情况，拟定详细的系统实施计划，含个性化修改、测试、试运行、培训及上线计划。</w:t>
      </w:r>
    </w:p>
    <w:p>
      <w:pPr>
        <w:pStyle w:val="null3"/>
        <w:ind w:firstLine="504"/>
        <w:jc w:val="both"/>
      </w:pPr>
      <w:r>
        <w:rPr>
          <w:sz w:val="24"/>
        </w:rPr>
        <w:t xml:space="preserve">(2) </w:t>
      </w:r>
      <w:r>
        <w:rPr>
          <w:sz w:val="24"/>
        </w:rPr>
        <w:t>链路中断修复时间，除因不可抗力导致链路中断以外，光纤问题负责在 8 小时内修复（但因市政工程破坏需 24 小时），</w:t>
      </w:r>
    </w:p>
    <w:p>
      <w:pPr>
        <w:pStyle w:val="null3"/>
        <w:ind w:firstLine="504"/>
        <w:jc w:val="both"/>
      </w:pPr>
      <w:r>
        <w:rPr>
          <w:sz w:val="24"/>
        </w:rPr>
        <w:t xml:space="preserve">(3) </w:t>
      </w:r>
      <w:r>
        <w:rPr>
          <w:sz w:val="24"/>
        </w:rPr>
        <w:t>链路中断修复时间，除因不可抗力导致链路中断以外，光纤问题负责在 8 小时内修复（但因市政工程破坏需 24 小时），用户节点到光纤收发器端口的设备故障（6 小时内）每月平均修复及时率≥95%。</w:t>
      </w:r>
    </w:p>
    <w:p>
      <w:pPr>
        <w:pStyle w:val="null3"/>
        <w:ind w:firstLine="504"/>
        <w:jc w:val="both"/>
      </w:pPr>
      <w:r>
        <w:rPr>
          <w:sz w:val="24"/>
        </w:rPr>
        <w:t xml:space="preserve">(4) </w:t>
      </w:r>
      <w:r>
        <w:rPr>
          <w:sz w:val="24"/>
        </w:rPr>
        <w:t>需设立维护热线，为用户提供 7 ×24 小时热线电话和远程技术支持服务。</w:t>
      </w:r>
    </w:p>
    <w:p>
      <w:pPr>
        <w:pStyle w:val="null3"/>
        <w:ind w:firstLine="504"/>
        <w:jc w:val="both"/>
      </w:pPr>
      <w:r>
        <w:rPr>
          <w:sz w:val="24"/>
        </w:rPr>
        <w:t xml:space="preserve">(5) </w:t>
      </w:r>
      <w:r>
        <w:rPr>
          <w:sz w:val="24"/>
        </w:rPr>
        <w:t>所有产品保修服务方式均为中标人或原厂家上门保修，由此产生的一切费用均由中标人承担。租用的网络设备出现硬件故障时，中标人必须免费提供备品备件。</w:t>
      </w:r>
    </w:p>
    <w:p>
      <w:pPr>
        <w:pStyle w:val="null3"/>
        <w:ind w:firstLine="504"/>
        <w:jc w:val="both"/>
      </w:pPr>
      <w:r>
        <w:rPr>
          <w:sz w:val="24"/>
        </w:rPr>
        <w:t xml:space="preserve">(6) </w:t>
      </w:r>
      <w:r>
        <w:rPr>
          <w:sz w:val="24"/>
        </w:rPr>
        <w:t>服务期内，中标人负责对其提供的产品进行维修或升级。由于维护原因，需中断光路进行割接操作时，必须提前至少24 小时（重大自然灾害除外）通知用户做好相关准备工作，施工作业时间尽量不能安排在工作日时间。</w:t>
      </w:r>
    </w:p>
    <w:p>
      <w:pPr>
        <w:pStyle w:val="null3"/>
        <w:ind w:firstLine="504"/>
        <w:jc w:val="both"/>
      </w:pPr>
      <w:r>
        <w:rPr>
          <w:sz w:val="24"/>
        </w:rPr>
        <w:t xml:space="preserve">(7) </w:t>
      </w:r>
      <w:r>
        <w:rPr>
          <w:sz w:val="24"/>
        </w:rPr>
        <w:t>中标人负责应对项目中所有产品的基本知识、系统或参数配置、管理维护等提供相应的培训。培训对象包括系统管理员、管理人员、操作员，系统管理人员培训内容为系统中涉及的相关技术内容；管理人员培训内容为系统流程和相关管理思想；操作员为系统的操作培训。</w:t>
      </w:r>
    </w:p>
    <w:p>
      <w:pPr>
        <w:pStyle w:val="null3"/>
        <w:ind w:firstLine="504"/>
        <w:jc w:val="both"/>
      </w:pPr>
      <w:r>
        <w:rPr>
          <w:sz w:val="24"/>
        </w:rPr>
        <w:t>(8)</w:t>
      </w:r>
      <w:r>
        <w:rPr>
          <w:sz w:val="24"/>
        </w:rPr>
        <w:t>中标人必须在1年租赁期内提供政务网光纤链路及相关设备设施的维护服务，不再收取额外维护费。</w:t>
      </w:r>
    </w:p>
    <w:p>
      <w:pPr>
        <w:pStyle w:val="null3"/>
        <w:ind w:firstLine="420"/>
      </w:pPr>
      <w:r>
        <w:rPr>
          <w:sz w:val="24"/>
        </w:rPr>
        <w:t>（四）验收要求</w:t>
      </w:r>
    </w:p>
    <w:p>
      <w:pPr>
        <w:pStyle w:val="null3"/>
        <w:ind w:firstLine="504"/>
        <w:jc w:val="both"/>
      </w:pPr>
      <w:r>
        <w:rPr>
          <w:sz w:val="24"/>
        </w:rPr>
        <w:t>1</w:t>
      </w:r>
      <w:r>
        <w:rPr>
          <w:sz w:val="24"/>
        </w:rPr>
        <w:t>、光纤验收要求</w:t>
      </w:r>
    </w:p>
    <w:p>
      <w:pPr>
        <w:pStyle w:val="null3"/>
        <w:ind w:firstLine="420"/>
      </w:pPr>
      <w:r>
        <w:rPr>
          <w:sz w:val="24"/>
        </w:rPr>
        <w:t xml:space="preserve">(1) </w:t>
      </w:r>
      <w:r>
        <w:rPr>
          <w:sz w:val="24"/>
        </w:rPr>
        <w:t>光缆应有产品合格证和质量保证书，光缆器材应符合ITU-T 和国家通信行业光纤技术标准、光纤配线架（盒）应符合YD/T778-1998标准要求，结构要求既能单独固定光缆放置于室内，也能固定安放于19英寸标准机柜内，根据光缆纤芯数配置尾纤和适配器。</w:t>
      </w:r>
    </w:p>
    <w:p>
      <w:pPr>
        <w:pStyle w:val="null3"/>
        <w:ind w:firstLine="420"/>
      </w:pPr>
      <w:r>
        <w:rPr>
          <w:sz w:val="24"/>
        </w:rPr>
        <w:t xml:space="preserve">(2) </w:t>
      </w:r>
      <w:r>
        <w:rPr>
          <w:sz w:val="24"/>
        </w:rPr>
        <w:t>所有产品全部调测完成且连接或并网完毕进行系统测试，应严格按测试计划进行，做好各项原始记录。</w:t>
      </w:r>
    </w:p>
    <w:p>
      <w:pPr>
        <w:pStyle w:val="null3"/>
        <w:ind w:firstLine="504"/>
        <w:jc w:val="both"/>
      </w:pPr>
      <w:r>
        <w:rPr>
          <w:sz w:val="24"/>
        </w:rPr>
        <w:t>2</w:t>
      </w:r>
      <w:r>
        <w:rPr>
          <w:sz w:val="24"/>
        </w:rPr>
        <w:t>、季度评分机制</w:t>
      </w:r>
    </w:p>
    <w:p>
      <w:pPr>
        <w:pStyle w:val="null3"/>
        <w:ind w:firstLine="504"/>
        <w:jc w:val="both"/>
      </w:pPr>
      <w:r>
        <w:rPr>
          <w:sz w:val="24"/>
        </w:rPr>
        <w:t>为持续保障光纤网络的质量，每个季度将进行一次评分，并根据评分结果对责任方进行经济奖惩。评分及扣罚机制如下：</w:t>
      </w:r>
    </w:p>
    <w:p>
      <w:pPr>
        <w:pStyle w:val="null3"/>
        <w:ind w:firstLine="504"/>
        <w:jc w:val="both"/>
      </w:pPr>
      <w:r>
        <w:rPr>
          <w:sz w:val="24"/>
        </w:rPr>
        <w:t>评分标准：</w:t>
      </w:r>
    </w:p>
    <w:p>
      <w:pPr>
        <w:pStyle w:val="null3"/>
        <w:ind w:firstLine="504"/>
        <w:jc w:val="both"/>
      </w:pPr>
      <w:r>
        <w:rPr>
          <w:sz w:val="24"/>
        </w:rPr>
        <w:t>服务部分每季度基准分为100分，如遇以下情况，扣除相应服务数：</w:t>
      </w:r>
    </w:p>
    <w:p>
      <w:pPr>
        <w:pStyle w:val="null3"/>
        <w:ind w:firstLine="420"/>
      </w:pPr>
      <w:r>
        <w:rPr>
          <w:sz w:val="24"/>
        </w:rPr>
        <w:t xml:space="preserve">(1) </w:t>
      </w:r>
      <w:r>
        <w:rPr>
          <w:sz w:val="24"/>
        </w:rPr>
        <w:t>除特殊原因外，光纤修复超过24小时的，扣0.5分。</w:t>
      </w:r>
    </w:p>
    <w:p>
      <w:pPr>
        <w:pStyle w:val="null3"/>
        <w:ind w:firstLine="420"/>
      </w:pPr>
      <w:r>
        <w:rPr>
          <w:sz w:val="24"/>
        </w:rPr>
        <w:t xml:space="preserve">(2) </w:t>
      </w:r>
      <w:r>
        <w:rPr>
          <w:sz w:val="24"/>
        </w:rPr>
        <w:t>除特殊原因外，设备修复率每月≤95%的，扣3分。</w:t>
      </w:r>
    </w:p>
    <w:p>
      <w:pPr>
        <w:pStyle w:val="null3"/>
        <w:ind w:firstLine="420"/>
      </w:pPr>
      <w:r>
        <w:rPr>
          <w:sz w:val="24"/>
        </w:rPr>
        <w:t xml:space="preserve">(3) </w:t>
      </w:r>
      <w:r>
        <w:rPr>
          <w:sz w:val="24"/>
        </w:rPr>
        <w:t>除特殊原因外，设备故障率每月≥5%的，扣3分。</w:t>
      </w:r>
    </w:p>
    <w:p>
      <w:pPr>
        <w:pStyle w:val="null3"/>
        <w:ind w:firstLine="420"/>
      </w:pPr>
      <w:r>
        <w:rPr>
          <w:sz w:val="24"/>
        </w:rPr>
        <w:t xml:space="preserve">(4) </w:t>
      </w:r>
      <w:r>
        <w:rPr>
          <w:sz w:val="24"/>
        </w:rPr>
        <w:t>除特殊原因外，当月有需要时无法为用户提供 7 ×24 小时热线电话和远程技术支持服务的，扣3分。</w:t>
      </w:r>
    </w:p>
    <w:p>
      <w:pPr>
        <w:pStyle w:val="null3"/>
        <w:ind w:firstLine="420"/>
      </w:pPr>
      <w:r>
        <w:rPr>
          <w:sz w:val="24"/>
        </w:rPr>
        <w:t xml:space="preserve">(5) </w:t>
      </w:r>
      <w:r>
        <w:rPr>
          <w:sz w:val="24"/>
        </w:rPr>
        <w:t>除特殊原因外，设备故障没有派中标人或原厂家上门保修的，扣2分。</w:t>
      </w:r>
    </w:p>
    <w:p>
      <w:pPr>
        <w:pStyle w:val="null3"/>
        <w:ind w:firstLine="420"/>
      </w:pPr>
      <w:r>
        <w:rPr>
          <w:sz w:val="24"/>
        </w:rPr>
        <w:t xml:space="preserve">(6) </w:t>
      </w:r>
      <w:r>
        <w:rPr>
          <w:sz w:val="24"/>
        </w:rPr>
        <w:t>除特殊原因外，由于维护原因，需中断光路进行割接操作时，必须提前至少24 小时（重大自然灾害除外）通知，没有及时通知的，扣3分。</w:t>
      </w:r>
    </w:p>
    <w:p>
      <w:pPr>
        <w:pStyle w:val="null3"/>
        <w:ind w:firstLine="504"/>
        <w:jc w:val="both"/>
      </w:pPr>
      <w:r>
        <w:rPr>
          <w:sz w:val="24"/>
        </w:rPr>
        <w:t>3</w:t>
      </w:r>
      <w:r>
        <w:rPr>
          <w:sz w:val="24"/>
        </w:rPr>
        <w:t>、扣罚机制：</w:t>
      </w:r>
    </w:p>
    <w:p>
      <w:pPr>
        <w:pStyle w:val="null3"/>
        <w:ind w:firstLine="504"/>
        <w:jc w:val="both"/>
      </w:pPr>
      <w:r>
        <w:rPr>
          <w:sz w:val="24"/>
        </w:rPr>
        <w:t>优秀（90分以上）：不扣钱。</w:t>
      </w:r>
    </w:p>
    <w:p>
      <w:pPr>
        <w:pStyle w:val="null3"/>
        <w:ind w:firstLine="504"/>
        <w:jc w:val="both"/>
      </w:pPr>
      <w:r>
        <w:rPr>
          <w:sz w:val="24"/>
        </w:rPr>
        <w:t>良好（80-89分）：扣除合同金额的1%（具体比例根据合同规定）作为质量保证金，待下个季度评分合格后全额退还。</w:t>
      </w:r>
    </w:p>
    <w:p>
      <w:pPr>
        <w:pStyle w:val="null3"/>
        <w:ind w:firstLine="504"/>
        <w:jc w:val="both"/>
      </w:pPr>
      <w:r>
        <w:rPr>
          <w:sz w:val="24"/>
        </w:rPr>
        <w:t>中等（70-79分）：扣除合同金额的5%（具体比例根据合同规定）作为违约金，并要求在限期内整改到位，否则将采取更严厉的处罚措施。</w:t>
      </w:r>
    </w:p>
    <w:p>
      <w:pPr>
        <w:pStyle w:val="null3"/>
        <w:ind w:firstLine="504"/>
        <w:jc w:val="both"/>
      </w:pPr>
      <w:r>
        <w:rPr>
          <w:sz w:val="24"/>
        </w:rPr>
        <w:t>较差（60-69分）：扣除合同金额的10%（具体比例根据合同规定）作为违约金，并要求立即整改到位，否则将采取进一步的法律措施。</w:t>
      </w:r>
    </w:p>
    <w:p>
      <w:pPr>
        <w:pStyle w:val="null3"/>
        <w:ind w:firstLine="504"/>
        <w:jc w:val="both"/>
      </w:pPr>
      <w:r>
        <w:rPr>
          <w:sz w:val="24"/>
        </w:rPr>
        <w:t>不合格（60分以下）：解除合同并追究相关责任，同时扣</w:t>
      </w:r>
      <w:r>
        <w:rPr>
          <w:sz w:val="24"/>
          <w:u w:val="single"/>
        </w:rPr>
        <w:t>除全部合同金额作为违约金。</w:t>
      </w:r>
    </w:p>
    <w:p>
      <w:pPr>
        <w:pStyle w:val="null3"/>
        <w:ind w:firstLine="504"/>
        <w:jc w:val="both"/>
      </w:pPr>
      <w:r>
        <w:rPr>
          <w:sz w:val="24"/>
        </w:rPr>
        <w:t>评分工作应由专业的验收团队进行，确保公正、公平、公开。评分结果应及时通知相关方，并督促其进行整改。通过此机制，旨在激励责任方持续提高光纤网络的质量与稳定性。</w:t>
      </w:r>
    </w:p>
    <w:p>
      <w:pPr>
        <w:pStyle w:val="null3"/>
      </w:pPr>
      <w:r>
        <w:rPr>
          <w:sz w:val="24"/>
          <w:b/>
        </w:rPr>
        <w:t>四、付款方式</w:t>
      </w:r>
    </w:p>
    <w:p>
      <w:pPr>
        <w:pStyle w:val="null3"/>
        <w:ind w:firstLine="504"/>
        <w:jc w:val="both"/>
      </w:pPr>
      <w:r>
        <w:rPr>
          <w:sz w:val="24"/>
        </w:rPr>
        <w:t>（一）在签订合同后，采购人收到中标人开具符合国家财务规定的相应数额的发票后 15个工作日内支付合同总价的30%。</w:t>
      </w:r>
    </w:p>
    <w:p>
      <w:pPr>
        <w:pStyle w:val="null3"/>
        <w:ind w:firstLine="504"/>
        <w:jc w:val="both"/>
      </w:pPr>
      <w:r>
        <w:rPr>
          <w:sz w:val="24"/>
        </w:rPr>
        <w:t>（二）租赁期满6个月，采购人收到中标人开具符合国家财务规定的相应数额的发票后 5个工作日内支付合同总价的40%。</w:t>
      </w:r>
    </w:p>
    <w:p>
      <w:pPr>
        <w:pStyle w:val="null3"/>
        <w:ind w:firstLine="504"/>
        <w:jc w:val="both"/>
      </w:pPr>
      <w:r>
        <w:rPr>
          <w:sz w:val="24"/>
        </w:rPr>
        <w:t>（三）租赁期满12个月，通过项目验收并完成验收备案后，采购人收到中标人开具符合国家财务规定的相应数额的发票后 5个工作日内支付合同总价的30%。</w:t>
      </w:r>
    </w:p>
    <w:p>
      <w:pPr>
        <w:pStyle w:val="null3"/>
      </w:pPr>
      <w:r>
        <w:rPr>
          <w:sz w:val="24"/>
          <w:b/>
        </w:rPr>
        <w:t>五、设备清单和村（社区）链路清单</w:t>
      </w:r>
    </w:p>
    <w:p>
      <w:pPr>
        <w:pStyle w:val="null3"/>
        <w:ind w:firstLine="504"/>
        <w:jc w:val="center"/>
      </w:pPr>
      <w:r>
        <w:rPr>
          <w:sz w:val="24"/>
        </w:rPr>
        <w:t>设备清单</w:t>
      </w:r>
    </w:p>
    <w:tbl>
      <w:tblPr>
        <w:tblW w:w="0" w:type="auto"/>
        <w:tblInd w:type="dxa" w:w="90"/>
        <w:tblBorders>
          <w:top w:val="none" w:color="000000" w:sz="4"/>
          <w:left w:val="none" w:color="000000" w:sz="4"/>
          <w:bottom w:val="none" w:color="000000" w:sz="4"/>
          <w:right w:val="none" w:color="000000" w:sz="4"/>
          <w:insideH w:val="none"/>
          <w:insideV w:val="none"/>
        </w:tblBorders>
      </w:tblPr>
      <w:tblGrid>
        <w:gridCol w:w="2043"/>
        <w:gridCol w:w="4746"/>
        <w:gridCol w:w="1517"/>
      </w:tblGrid>
      <w:tr>
        <w:tc>
          <w:tcPr>
            <w:tcW w:type="dxa" w:w="2043"/>
            <w:tcBorders>
              <w:top w:val="single" w:color="000000" w:sz="4"/>
              <w:left w:val="single" w:color="000000" w:sz="4"/>
              <w:bottom w:val="single" w:color="000000" w:sz="4"/>
              <w:right w:val="single" w:color="000000" w:sz="4"/>
            </w:tcBorders>
            <w:shd w:fill="C0C0C0"/>
            <w:tcMar>
              <w:top w:type="dxa" w:w="0"/>
              <w:left w:type="dxa" w:w="105"/>
              <w:bottom w:type="dxa" w:w="0"/>
              <w:right w:type="dxa" w:w="105"/>
            </w:tcMar>
            <w:vAlign w:val="top"/>
          </w:tcPr>
          <w:p>
            <w:pPr>
              <w:pStyle w:val="null3"/>
              <w:jc w:val="center"/>
            </w:pPr>
            <w:r>
              <w:rPr>
                <w:sz w:val="24"/>
              </w:rPr>
              <w:t>类型</w:t>
            </w:r>
          </w:p>
        </w:tc>
        <w:tc>
          <w:tcPr>
            <w:tcW w:type="dxa" w:w="4746"/>
            <w:tcBorders>
              <w:top w:val="single" w:color="000000" w:sz="4"/>
              <w:left w:val="none" w:color="000000" w:sz="4"/>
              <w:bottom w:val="single" w:color="000000" w:sz="4"/>
              <w:right w:val="single" w:color="000000" w:sz="4"/>
            </w:tcBorders>
            <w:shd w:fill="C0C0C0"/>
            <w:tcMar>
              <w:top w:type="dxa" w:w="0"/>
              <w:left w:type="dxa" w:w="105"/>
              <w:bottom w:type="dxa" w:w="0"/>
              <w:right w:type="dxa" w:w="105"/>
            </w:tcMar>
            <w:vAlign w:val="top"/>
          </w:tcPr>
          <w:p>
            <w:pPr>
              <w:pStyle w:val="null3"/>
              <w:jc w:val="center"/>
            </w:pPr>
            <w:r>
              <w:rPr>
                <w:sz w:val="24"/>
              </w:rPr>
              <w:t>设备内容</w:t>
            </w:r>
          </w:p>
        </w:tc>
        <w:tc>
          <w:tcPr>
            <w:tcW w:type="dxa" w:w="1517"/>
            <w:tcBorders>
              <w:top w:val="single" w:color="000000" w:sz="4"/>
              <w:left w:val="none" w:color="000000" w:sz="4"/>
              <w:bottom w:val="single" w:color="000000" w:sz="4"/>
              <w:right w:val="single" w:color="000000" w:sz="4"/>
            </w:tcBorders>
            <w:shd w:fill="C0C0C0"/>
            <w:tcMar>
              <w:top w:type="dxa" w:w="0"/>
              <w:left w:type="dxa" w:w="105"/>
              <w:bottom w:type="dxa" w:w="0"/>
              <w:right w:type="dxa" w:w="105"/>
            </w:tcMar>
            <w:vAlign w:val="top"/>
          </w:tcPr>
          <w:p>
            <w:pPr>
              <w:pStyle w:val="null3"/>
              <w:jc w:val="center"/>
            </w:pPr>
            <w:r>
              <w:rPr>
                <w:sz w:val="24"/>
              </w:rPr>
              <w:t>数量</w:t>
            </w:r>
          </w:p>
        </w:tc>
      </w:tr>
      <w:tr>
        <w:tc>
          <w:tcPr>
            <w:tcW w:type="dxa" w:w="204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电源模块</w:t>
            </w: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 xml:space="preserve">H3C </w:t>
            </w:r>
            <w:r>
              <w:rPr>
                <w:sz w:val="24"/>
              </w:rPr>
              <w:t>交流电源模块,1400W</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 xml:space="preserve">150W </w:t>
            </w:r>
            <w:r>
              <w:rPr>
                <w:sz w:val="24"/>
              </w:rPr>
              <w:t>资产管理直流电源模块</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43</w:t>
            </w:r>
          </w:p>
        </w:tc>
      </w:tr>
      <w:tr>
        <w:tc>
          <w:tcPr>
            <w:tcW w:type="dxa" w:w="204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功能业务模块</w:t>
            </w: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 xml:space="preserve">H3C S12500X-AF,FW IV </w:t>
            </w:r>
            <w:r>
              <w:rPr>
                <w:sz w:val="24"/>
              </w:rPr>
              <w:t>下一代防火墙业务板</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204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光模块</w:t>
            </w: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SFP</w:t>
            </w:r>
            <w:r>
              <w:rPr>
                <w:sz w:val="24"/>
              </w:rPr>
              <w:t>千兆BIDI光模块(TX1490/RX1550nm,70km,LC)</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SFP</w:t>
            </w:r>
            <w:r>
              <w:rPr>
                <w:sz w:val="24"/>
              </w:rPr>
              <w:t>千兆BIDI光模块(TX1550/RX1490nm,70km,LC)</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36</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SFP</w:t>
            </w:r>
            <w:r>
              <w:rPr>
                <w:sz w:val="24"/>
              </w:rPr>
              <w:t>千兆BIDI光模块(TX1310/RX1550nm,40km,LC)</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314</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SFP</w:t>
            </w:r>
            <w:r>
              <w:rPr>
                <w:sz w:val="24"/>
              </w:rPr>
              <w:t>千兆BIDI光模块(TX1550/RX1310nm,40km,LC)</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312</w:t>
            </w:r>
          </w:p>
        </w:tc>
      </w:tr>
      <w:tr>
        <w:tc>
          <w:tcPr>
            <w:tcW w:type="dxa" w:w="204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交换网板</w:t>
            </w: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S12508X-AF</w:t>
            </w:r>
            <w:r>
              <w:rPr>
                <w:sz w:val="24"/>
              </w:rPr>
              <w:t>交换网板,F型(B类)</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w:t>
            </w:r>
          </w:p>
        </w:tc>
      </w:tr>
      <w:tr>
        <w:tc>
          <w:tcPr>
            <w:tcW w:type="dxa" w:w="204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接口模块</w:t>
            </w: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48</w:t>
            </w:r>
            <w:r>
              <w:rPr>
                <w:sz w:val="24"/>
              </w:rPr>
              <w:t>端口千兆以太网光接口模块(SFP,LC)(SA)</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交流电源模块-2400W</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 xml:space="preserve">H3C S12500X-AF </w:t>
            </w:r>
            <w:r>
              <w:rPr>
                <w:sz w:val="24"/>
              </w:rPr>
              <w:t>主控制引擎模块</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 xml:space="preserve">H3C S12508X-AF </w:t>
            </w:r>
            <w:r>
              <w:rPr>
                <w:sz w:val="24"/>
              </w:rPr>
              <w:t>以太网交换机风扇模块</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H3C S12500-X 48</w:t>
            </w:r>
            <w:r>
              <w:rPr>
                <w:sz w:val="24"/>
              </w:rPr>
              <w:t>端口万兆以太网光接口模块(SFP+,LC)(FX)</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 xml:space="preserve">H3C S12500X-AF </w:t>
            </w:r>
            <w:r>
              <w:rPr>
                <w:sz w:val="24"/>
              </w:rPr>
              <w:t>业务板适配器</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H3C S12500-X 48</w:t>
            </w:r>
            <w:r>
              <w:rPr>
                <w:sz w:val="24"/>
              </w:rPr>
              <w:t>端口千兆以太网光接口模块(SFP,LC)(FX)</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204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业务板</w:t>
            </w: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w:t>
            </w:r>
            <w:r>
              <w:rPr>
                <w:sz w:val="24"/>
              </w:rPr>
              <w:t>端口万兆以太网光接口模块(SFP+,LC)</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2043"/>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引擎模块</w:t>
            </w: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H3C S7500E</w:t>
            </w:r>
            <w:r>
              <w:rPr>
                <w:sz w:val="24"/>
              </w:rPr>
              <w:t>交换路由引擎模块</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r>
      <w:tr>
        <w:tc>
          <w:tcPr>
            <w:tcW w:type="dxa" w:w="204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交换机</w:t>
            </w: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 xml:space="preserve">H3C S7506E </w:t>
            </w:r>
            <w:r>
              <w:rPr>
                <w:sz w:val="24"/>
              </w:rPr>
              <w:t>以太网交换机主机</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H3C S3110-26TP</w:t>
            </w:r>
            <w:r>
              <w:rPr>
                <w:sz w:val="24"/>
              </w:rPr>
              <w:t>以太网交换机主机(24FE+2SFP Combo+1Console口,交流供电,防雷)</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340</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H3C S5130-28F-EI L2</w:t>
            </w:r>
            <w:r>
              <w:rPr>
                <w:sz w:val="24"/>
              </w:rPr>
              <w:t>以太网交换机主机,支持24个100/1000BASE-X SFP端口,支持8个10/100/1000BASE-T Combo 口,支持4个10G BASE-X SFP+端口,无电源</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 xml:space="preserve">H3C S12508X-AF </w:t>
            </w:r>
            <w:r>
              <w:rPr>
                <w:sz w:val="24"/>
              </w:rPr>
              <w:t>以太网交换机主机</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r>
      <w:tr>
        <w:tc>
          <w:tcPr>
            <w:tcW w:type="dxa" w:w="2043"/>
            <w:vMerge/>
            <w:tcBorders>
              <w:top w:val="none" w:color="000000" w:sz="4"/>
              <w:left w:val="single" w:color="000000" w:sz="4"/>
              <w:bottom w:val="single" w:color="000000" w:sz="4"/>
              <w:right w:val="single" w:color="000000" w:sz="4"/>
            </w:tcBorders>
          </w:tcPr>
          <w:p/>
        </w:tc>
        <w:tc>
          <w:tcPr>
            <w:tcW w:type="dxa" w:w="47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H3C S3110-26TP</w:t>
            </w:r>
            <w:r>
              <w:rPr>
                <w:sz w:val="24"/>
              </w:rPr>
              <w:t>以太网交换机主机(24FE+2SFP Combo+1Console口,交流供电,防雷)</w:t>
            </w:r>
          </w:p>
        </w:tc>
        <w:tc>
          <w:tcPr>
            <w:tcW w:type="dxa" w:w="15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r>
    </w:tbl>
    <w:p>
      <w:pPr>
        <w:pStyle w:val="null3"/>
        <w:ind w:firstLine="504"/>
        <w:jc w:val="both"/>
      </w:pPr>
      <w:r>
        <w:rPr>
          <w:sz w:val="24"/>
        </w:rPr>
        <w:t>村（社区）链路清单</w:t>
      </w:r>
    </w:p>
    <w:tbl>
      <w:tblPr>
        <w:tblW w:w="0" w:type="auto"/>
        <w:tblBorders>
          <w:top w:val="none" w:color="000000" w:sz="4"/>
          <w:left w:val="none" w:color="000000" w:sz="4"/>
          <w:bottom w:val="none" w:color="000000" w:sz="4"/>
          <w:right w:val="none" w:color="000000" w:sz="4"/>
          <w:insideH w:val="none"/>
          <w:insideV w:val="none"/>
        </w:tblBorders>
      </w:tblPr>
      <w:tblGrid>
        <w:gridCol w:w="760"/>
        <w:gridCol w:w="980"/>
        <w:gridCol w:w="2603"/>
        <w:gridCol w:w="3963"/>
      </w:tblGrid>
      <w:tr>
        <w:tc>
          <w:tcPr>
            <w:tcW w:type="dxa" w:w="76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序号</w:t>
            </w:r>
          </w:p>
        </w:tc>
        <w:tc>
          <w:tcPr>
            <w:tcW w:type="dxa" w:w="98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镇街</w:t>
            </w:r>
          </w:p>
        </w:tc>
        <w:tc>
          <w:tcPr>
            <w:tcW w:type="dxa" w:w="260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单位</w:t>
            </w:r>
          </w:p>
        </w:tc>
        <w:tc>
          <w:tcPr>
            <w:tcW w:type="dxa" w:w="396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地址</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光明村党群服务中心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广州市增城区荔城街金竹路1号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陈桥头村党群服务中心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荔城街陈桥头村桥头路18号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百花社区党群服务中心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增城区荔城街百花路19号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开园社区党群服务中心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增城区荔城街菜园中路西一巷1号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沙园社区党群服务中心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增城区荔城街城北路49号首层</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城丰村党群服务中心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增城区荔城街城丰村汤屋街75号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环翠社区党群服务中心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增城区荔城街翠华街五巷5号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沿江社区党群服务中心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增城区荔城街府佑路16-18号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富鹏社区党群服务中心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增城区荔城街富鸿路3号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西园社区党群服务中心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增城区荔城街健生西路16号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蒋村村党群服务中心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增城区荔城街蒋村村委路西一巷7号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凤凰社区党群服务中心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增城区荔城街解放路38号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金星村党群服务中心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增城区荔城街金竹大道1号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金竹社区党群服务中心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增城区荔城街金竹环路106号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迳吓村党群服务中心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增城区荔城街迳吓村迳吓路2号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庆丰村党群服务中心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增城区荔城街荔城大道290号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夏街村党群服务中心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增城区荔城街荔城街夏街大道41号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荔星社区党群服务中心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增城区荔城街荔星大道8号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廖村村党群服务中心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增城区荔城街廖村村廖村路38号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廖隔塘村党群服务中心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增城区荔城街廖村隔塘南路28号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龙角村党群服务中心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增城区荔城街龙角村龙角路18号之一</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木潭村党群服务中心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增城区荔城街木潭村新屋路10号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群爱村党群服务中心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增城区荔城街群爱村新围路42号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华峰社区党群服务中心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增城区荔城街沙园路10号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帝园社区党群服务中心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增城区荔城街沙园路西二巷3号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棠村村党群服务中心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增城区荔城街棠村路1号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棠厦村党群服务中心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增城区荔城街棠厦村中心路28号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挂绿社区党群服务中心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增城区荔城街西城路八巷1号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兴发社区党群服务中心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增城区荔城街西城路东三巷2号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新联村党群服务中心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增城区荔城街新联大路1号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锦绣社区党群服务中心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增城区荔城街御景路157号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庆东村党群服务中心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增城区荔城街增派路3号庆东村路段</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相江社区党群服务中心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增城区荔城街和平路52号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荔景社区党群服务中心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增城区荔城街荔城大道147号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莲灯社区党群服务中心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增城区荔城街莲翠街35号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继枚社区党群服务中心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增城区荔城街文化路32号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荔城街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莲塘村党群服务中心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增城区荔城街莲塘村上莲塘路16号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岗贝村党群服务中心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增城区石滩镇岗贝村同福路3号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高门村党群服务中心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增城区石滩镇高门村街前路17号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凰埔村党群服务中心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增城区石滩镇凰埔村环村前路1号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街心村党群服务中心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增城区石滩镇街心村前进路48号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龙地村党群服务中心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增城区石滩镇龙地村沿江东路1号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马修村党群服务中心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增城区石滩镇马修村立新西路140号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沙陇村党群服务中心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增城区石滩镇沙陇村甘淡巷4-1号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沙尾村党群服务中心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增城区石滩镇沙尾村沙尾马石路52号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石湖村党群服务中心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增城区石滩镇石湖村石湖街35号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石厦村党群服务中心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增城区石滩镇石厦村市场路1号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增城区石滩镇石头村38号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49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田边村党群服务中心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增城区石滩镇田边村街前路38号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土江村党群服务中心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增城区石滩镇土江村土江中路38号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谢屋村党群服务中心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增城区石滩镇谢屋村泉湖东路1号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岳埔村党群服务中心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增城区石滩镇岳埔村州水新州北街140号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增城区石滩镇增塘村增塘一号路33号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碧江村党群服务中心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增城区石滩镇碧江村前进南路128号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灯坣村党群服务中心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增城区石滩镇灯坣村灯头灯沙路4号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岗尾村党群服务中心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增城区石滩镇岗尾村南境塘仔路1-1号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顾屋村党群服务中心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增城区石滩镇顾屋村长提路88号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横岭村党群服务中心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增城区石滩镇横岭村文化路27号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59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金兰寺村党群服务中心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增城区石滩镇金兰寺村凤山1号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旧山吓村党群服务中心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增城区石滩镇旧山吓村山东路1号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葵湖村党群服务中心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增城区石滩镇葵湖村大道1号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麻车村党群服务中心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增城区石滩镇麻车村岭贝村委会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南坣村党群服务中心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增城区石滩镇南坣村石新路38号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桥头村党群服务中心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增城区石滩镇桥头村桥头路18号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沙头村党群服务中心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增城区石滩镇沙头村南中路口街17号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上塘村党群服务中心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增城区石滩镇上塘村上围东二路1号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水龙村党群服务中心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增城区石滩镇水龙村村前路1号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塘口村党群服务中心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增城区石滩镇塘口村东北大街1号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69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塘头村党群服务中心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增城区石滩镇塘头村塘头路17号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田桥村党群服务中心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增城区石滩镇田桥村田桥街1号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田心村党群服务中心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增城区石滩镇田心村麻石中巷东一横1号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溪头村党群服务中心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增城区石滩镇溪头村路9号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下围村党群服务中心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增城区石滩镇下围村江龙大道107号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吓岗村党群服务中心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增城区石滩镇吓岗村龙腾路1号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增城区石滩镇仙塘村教育路38号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新山吓村党群服务中心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增城区石滩镇新山吓村东石街31号之一</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元美村党群服务中心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增城区石滩镇元美村村前路1号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元洲村党群服务中心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增城区石滩镇元洲村亦园路98号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79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郑田村党群服务中心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增城区石滩镇郑田村环村中路一巷30号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白江村党群服务中心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增城区石滩镇白江村村民委员会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前进社区党群服务中心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增城区石滩镇前进路50号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红荔社区党群服务中心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增城区石滩镇群众文化活动体育中心8号楼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三江社区党群服务中心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增城区石滩镇三江中山中路19号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沙庄社区党群服务中心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增城区石滩镇沙庄社区府前1号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元岗村党群服务中心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增城区石滩镇元岗村村委路6号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石滩镇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豪园社区党群服务中心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增城区石滩镇增滩公路豪园生活会馆4楼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陂头村党群服务中心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增城区永宁街陂头村陂头街5号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翟洞村党群服务中心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增城区永宁街翟洞新村二街19号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凤馨苑社区党群服务中心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增城区永宁街凤凰城凤馨苑文馨街23号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凤妍社区党群服务中心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增城区永宁街凤凰城社区凤妍苑四街综合楼一楼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岗丰村党群服务中心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增城区永宁街岗丰大道1号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公安村党群服务中心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增城区永宁街公安村一街1号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荔湖城社区党群服务中心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增城区永宁街荔湖城社区新新中路15号金地假日广场2楼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蒌元村党群服务中心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增城区永宁街蒌元村永贤南路1号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叶岭村党群服务中心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增城区永宁街新新大道叶岭村路口</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塔岗村党群服务中心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增城区永宁街新新公路旁塔岗段</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永和社区党群服务中心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增城区永宁街永联路一街2号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简村村党群服务中心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增城区永宁街永顺大道1-8号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永誉社区党群服务中心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增城区永宁街誉山国际新惠路6号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长岗村党群服务中心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增城区永宁街长岗村高屋北路16号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凤凰城第三社区党群服务中心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增城区永宁街凤凰城凤晴苑二街三号首层</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凤凰城第二社区党群服务中心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增城区永宁街凤凰城酒店对面荔枝公园内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南香山社区党群服务中心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永宁街北苑景苑一街3号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湖山社区党群服务中心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永宁街合生湖山国际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永惠社区党群服务中心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永宁街永平路125号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凤凰城社区党群服务中心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增城区永宁街凤凰城凤鸣苑会所</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凤宁社区党群服务中心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增城区永宁街凤凰城凤凰名苑四街6号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永荔社区党群服务中心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增城区永宁街伴湖一路7号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109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永宁街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永顺社区党群服务中心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增城区永宁街永顺大道15号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湖中村党群服务中心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增城区宁西街永宁路48号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九如村党群服务中心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增城区宁西街永宁路99号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百湖村党群服务中心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增城区宁西街百湖村湾谷对门岭路号11号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冯村村党群服务中心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增城区宁西街冯村村南坊路1号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郭村村党群服务中心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增城区宁西街郭村村郭村路28号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湖东村党群服务中心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增城区宁西街湖东村茶寮路24号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南樵社区党群服务中心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增城区宁西街廊桥路146号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路边村党群服务中心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增城区宁西街路边村源远大街24号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白水村党群服务中心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增城区宁西街埔头上路51号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增城区宁西街石迳村委路2号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斯庄村党群服务中心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增城区宁西街斯庄村斯庄街24号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下元村党群服务中心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增城区宁西街下元路8号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增城区宁西街兴福路14号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章陂村党群服务中心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增城区宁西街章陂村工业街1号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增城区宁西街中元村刁屋路70号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莲花社区党群服务中心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宁西街新和北路19号马山宿舍12栋</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碧潭村党群服务中心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仙村镇碧潭村下碧潭路一巷1号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潮山村党群服务中心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仙村镇潮山村黄屋街29号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基岗村党群服务中心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仙村镇基岗路14号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129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蓝山村党群服务中心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仙村镇蓝山村蓝山小学路6号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沙滘村党群服务中心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仙村镇荔新路段六路3号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沙角村党群服务中心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仙村镇沙角村北街一巷1号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上境村党群服务中心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仙村镇上境村官宝路1号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深涌村党群服务中心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仙村镇深涌村会民路3号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十字滘村党群服务中心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仙村镇十字滘村庙前路1号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西南村党群服务中心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仙村镇西南村南方街10号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下基村党群服务中心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仙村镇下基村文善街1号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下境村党群服务中心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仙村镇下境村塘面大街20号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仙村镇第一社区党群服务中心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仙村镇仙村一路5号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139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仙联村党群服务中心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仙村镇仙联村军民路7号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仙村镇沙头村党群服务中心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仙村镇仙沙路北沙头村委会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巷头村党群服务中心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仙村镇巷头村委会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仙村镇第二社区党群服务中心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仙村镇沿江北路12号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岳湖村党群服务中心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仙村镇岳湖村上围桥头路1号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竹园村党群服务中心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仙村镇竹园村一街40号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罗岗村党群服务中心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广州市增城区荔湖街荔湖大道99号罗岗村委</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清燕社区党群服务中心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广州市增城区荔湖街荔新二路188号绵绣半山御景花园12街27栋1楼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广州市增城区荔湖街新城大道102号荔湖社区居民委员会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西瓜岭村党群服务中心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广州市增城区荔湖街荔新四路38号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149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明星村党群服务中心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广州市增城区荔湖街明星村明欣中街8号二楼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三联村党群服务中心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广州市增城区荔湖街三联村三联村23号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太平村党群服务中心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广州市增城区荔湖街太平村平欣路51号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光明村民委员会</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增城区荔湖街育民路67号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五一村党群服务中心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广州市增城区荔湖街欣民路199号亭子岗东三街1号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甘涌村党群服务中心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增城区新塘镇甘涌村委办公楼（读岗东头基街3-1号）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新何村党群服务中心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增城区新塘镇解放北路28号新何村委会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石下村党群服务中心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增城区新塘镇石下村石下街1号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白石村党群服务中心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增城区新塘镇白石村中心路46号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大敦村党群服务中心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增城区新塘镇大敦村创业中路188号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159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东华村党群服务中心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增城区新塘镇东华村新田街5号东华村民委员会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东洲村党群服务中心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增城区新塘镇东洲大道68号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瓜岭村党群服务中心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增城区新塘镇瓜岭村大路一号公共服务站</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官道村党群服务中心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增城区新塘镇官道村官道中街10号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官湖村党群服务中心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增城区新塘镇官湖村三角水路3号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久裕村党群服务中心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增城区新塘镇久裕大道13号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坭紫村党群服务中心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增城区新塘镇坭紫村上街一巷4号坭紫村民委员会办公楼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群星村党群服务中心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增城区新塘镇群星南路16号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三安村党群服务中心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增城区新塘镇三安村大路1号三安村委会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巷口村党群服务中心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增城区新塘镇沙埔巷口村桥口路6号村民委员会内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169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新塘镇岗尾村党群服务中心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增城区新塘镇沙埔雅瑶大道33-1号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上基村党群服务中心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增城区新塘镇上基村一路一巷2号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上邵村党群服务中心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增城区新塘镇上邵村环村路22号村委大楼一楼1室至6室</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塘边村党群服务中心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增城区新塘镇塘边村新基基门楼巷1号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新塘镇田心村党群服务中心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增城区新塘镇田心村马石路25号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新塘镇乌石村党群服务中心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增城区新塘镇乌石村乌石北路33号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增城区新塘镇新街村村府大道1号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瑶田村党群服务中心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增城区新塘镇瑶田村西联街13号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长巷村党群服务中心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增城区新塘镇长巷村长荔路1号二楼村委会内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东街社区党群服务中心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增城区新塘镇保利东江首府环府西路2号首层</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179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翡翠绿洲社区党群服务中心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增城区新塘镇陈家林路141号之四，即翡翠绿洲森林半岛77栋一楼旁</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新康社区党群服务中心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增城区新塘镇东江大道南28号7栋首层</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西宁社区党群服务中心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增城区新塘镇东进东路8号世泽轩13栋2层商铺西宁社区居民委员会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新塘镇白江村党群服务中心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增城区新塘镇（府前街8号白江村委会1楼）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水电二局社区党群服务中心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增城区新塘镇港口大道312号老年活动中心一楼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卫山社区党群服务中心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增城区新塘镇广深大道中111号卫山居委内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渔村社区党群服务中心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增城区新塘镇海关大道2号锦绣银苑首层商铺2-12号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新世界社区党群服务中心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增城区新塘镇花园东路6号新世界花园万象苑35座首层</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汇美社区党群服务中心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增城区新塘镇汇美怡苑北街7号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顺欣社区党群服务中心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增城区新塘镇荔新12路98号顺欣会所一楼顺欣居委</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189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南安村党群服务中心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增城区新塘镇南安村市场大路10号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新安社区党群服务中心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增城区新塘镇南安广虎路10号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水南村党群服务中心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增城区新塘镇南埔村府二楼办公室（水南文体中心附近）</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沙埔社区党群服务中心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增城区新塘镇沙埔广场内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中街社区党群服务中心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增城区新塘镇沙园街21号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上岭村党群服务中心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增城区新塘镇上岭村上岭路21号村民委员会内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塘美村党群服务中心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增城区新塘镇塘美村塘溪路19号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西洲村党群服务中心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增城区新塘镇西洲村西洲大道3号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新墩村党群服务中心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增城区新塘镇新墩村新墩路116号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西街社区党群服务中心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增城区新塘镇新兴街58号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199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黄沙头村党群服务中心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新塘黄沙头村沙头大道1号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新景社区党群服务中心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新塘镇东方名都25栋</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丰盛社区党群服务中心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新塘镇丰盛社区</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天伦社区党群服务中心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新塘镇锦绣天伦花园3街1号首层</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府前社区党群服务中心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新塘镇锦绣新天地内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鹤泉社区党群服务中心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增城区新塘镇学员路2号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夏埔村党群服务中心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增城区新塘镇夏埔村塘坣巷1号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新塘镇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永新社区党群服务中心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增城区新塘镇东江大道北新东城</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番丰村党群服务中心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广东省广州市增城区正果镇番丰村新屋路30-5号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浪拔村党群服务中心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增城区正果镇浪拔村民委员会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209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水口村党群服务中心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增城区正果镇水口村民委员会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岳村村党群服务中心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增城区正果镇岳村村民委员会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白面石村党群服务中心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正果镇白面石村对门光路14号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圭湖村党群服务中心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正果镇圭湖村委会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和平村党群服务中心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正果镇和平村上坑路</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西湖滩村党群服务中心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正果镇西湖滩村西一路1号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正果洋村党群服务中心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正果镇正果洋村正洋路30号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亮星村党群服务中心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广东省广州市增城区正果镇亮星村洋江21号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麦村村党群服务中心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广东省广州市增城区正果镇麦村村麦村路141号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合水店村党群服务中心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增城区正果镇合水店村民委员会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219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兰溪村党群服务中心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增城区正果镇兰溪村民委员会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畲族村党群服务中心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增城区正果镇畲族村民委员会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汀塘村党群服务中心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增城区正果镇汀塘村村民委员会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银场村党群服务中心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增城区正果镇银场村民委员会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中西村党群服务中心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增城区正果镇中西村民委员会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蒙花布村党群服务中心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正果镇蒙花布村花一路26号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乌头石村党群服务中心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正果镇乌头石村廖坑路4-6号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大冚村党群服务中心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广东省广州市增城区正果镇大冚村文教路6号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池田村党群服务中心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增城区正果镇池田村民委员会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何屋村党群服务中心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增城区正果镇何屋村民委员会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229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花园村党群服务中心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增城区正果镇花园村民委员会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黄塘村党群服务中心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增城区正果镇黄塘村民委员会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黄屋村党群服务中心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增城区正果镇黄屋村民委员会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增城区正果镇建设路37号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麻冚村党群服务中心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增城区正果镇麻冚村民委员会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庙尾村党群服务中心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增城区正果镇庙尾村民委员会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石溪村党群服务中心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增城区正果镇石溪村民委员会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到蔚村党群服务中心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正果镇到蔚村石阶路2号之1</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东汾村党群服务中心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正果镇东汾村大队路1号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水围村党群服务中心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正果镇水围村新岭路20号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刘家村党群服务中心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派潭镇派从路段刘家社旁刘家村民委员会一楼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背阴村党群服务中心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增城区派潭镇背阴村村民委员会一楼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车洞村党群服务中心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增城区派潭镇东洞村民委员会一楼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东洞村党群服务中心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增城区派潭镇东洞路(东洞村文化公园)</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高滩村党群服务中心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增城区派潭镇高滩村村民委员会一楼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黄洞村党群服务中心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增城区派潭镇黄洞村民委员会一楼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黄沙氹村党群服务中心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增城区派潭镇黄沙氹村民委员会一楼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佳松岭村党群服务中心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增城区派潭镇佳松岭村民委员会一楼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密石村党群服务中心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增城区派潭镇密石村村民委员会一楼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榕树吓村党群服务中心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增城区派潭镇榕树吓村民委员会一楼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249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上九陂村党群服务中心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增城区派潭镇上九陂村民委员会一楼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拖罗村党群服务中心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增城区派潭镇拖罗村村民委员会一楼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万能村党群服务中心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增城区派潭镇万能村村民委员会一楼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增城区派潭镇小迳村村民委员会一楼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玉枕村党群服务中心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增城区派潭镇玉枕村民委员会一楼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大埔村党群服务中心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增城区教育南路派潭镇大埔村民委员会附近</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湴汾村党群服务中心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增城区派潭镇湴汾村村民委员会一楼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大田围村党群服务中心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增城区派潭镇大田围村民委员会一楼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邓村村党群服务中心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增城区派潭镇邓村村民委员会一楼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邓路吓村党群服务中心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增城区派潭镇邓路吓村村民委员会一楼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259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鹅兜村党群服务中心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增城区派潭镇鹅兜村民委员会（原鹅兜小学）一楼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增城区派潭镇高村村民委员会一楼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高埔村党群服务中心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增城区派潭镇高埔村村民委员会一楼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汉湖村党群服务中心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增城区派潭镇汉湖村村民委员会一楼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旧高埔村党群服务中心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增城区派潭镇旧高埔村村民委员会一楼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利迳村党群服务中心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增城区派潭镇利迳村村民委员会一楼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增城区派潭镇派潭村村民委员会一楼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七境村党群服务中心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增城区派潭镇七境村村民委员会一楼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增城区派潭镇榕林路60号增城区派潭镇社区居民委员会一楼大厅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双合寮村党群服务中心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增城区派潭镇双合寮村村民委员会一楼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269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双头村党群服务中心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增城区派潭镇双头村村民委员会一楼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水口冚村党群服务中心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增城区派潭镇水口冚村村民委员会一楼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湾吓村党群服务中心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增城区派潭镇湾吓村村民委员会一楼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围园村党群服务中心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增城区派潭镇围园村民委员会一楼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亚口冚村党群服务中心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增城区派潭镇亚口冚村民委员会一楼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亚如冚村党群服务中心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增城区派潭镇亚如冚村民委员会一楼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派潭镇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樟洞坑村党群服务中心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增城区派潭镇樟洞坑村村民委员会一楼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田美村党群服务中心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增城区中新镇田美村东门路1号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五联村党群服务中心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增城区中新镇五联村学校南路2号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霞迳村党群服务中心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增城区中新镇霞迳村霞迳西路18号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279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心岭村党群服务中心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增城区中新镇心岭村圹肚路63号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280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新安村党群服务中心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增城区中新镇新安村新安路1号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281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新围村党群服务中心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增城区中新镇新围村凤岭路1号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282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永兴村党群服务中心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增城区中新镇永兴村永兴二路88号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283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钟岭村党群服务中心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增城区中新镇钟岭村钟山路8号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284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濠迳村党群服务中心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增城区中新镇濠迳村南向路1号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285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合益村党群服务中心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增城区中新镇合益村永香路56号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286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集丰村党群服务中心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增城区中新镇集丰村新村街1号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287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简塘村党群服务中心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增城区中新镇简塘村何屋路1号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288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九和村党群服务中心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增城区中新镇九和村新新路83号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289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坑贝村党群服务中心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增城区中新镇坑贝村风光东路80号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里汾村党群服务中心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增城区中新镇里汾村村前街1号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中新镇莲塘村党群服务中心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增城区中新镇莲塘村莲塘路97号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联安村党群服务中心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增城区中新镇联安村民委员会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联丰村党群服务中心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增城区中新镇联丰村新宁中路2号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茅田村党群服务中心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增城区中新镇茅田村东场路38号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南池村党群服务中心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增城区中新镇南池村南池路1号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泮霞村党群服务中心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增城区中新镇泮霞村福和平中北路20号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三迳村党群服务中心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增城区中新镇三迳村府前路7号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三星村党群服务中心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增城区中新镇三星村上屋路49号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山美村党群服务中心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增城区中新镇山美村南钟路19号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双塘村党群服务中心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增城区中新镇双塘村西岭路88号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团结村党群服务中心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增城区中新镇团结村团结路1号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乌石村党群服务中心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增城区中新镇乌石村乌石二路64号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增城区中新镇中新村风光路212号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安良村党群服务中心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增城区中新镇安良村岭埔如意三路2号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坳头村党群服务中心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增城区中新镇坳头村老屋巷35号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池岭村党群服务中心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增城区中新镇池岭村池岭路119号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慈岭村党群服务中心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增城区中新镇慈岭村李屋路1号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大安村党群服务中心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增城区中新镇大安村塘尾一路3号之2</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大田村党群服务中心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增城区中新镇大田村学园路2号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福和社区党群服务中心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增城区中新镇福和月芳路58号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官塘村党群服务中心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增城区中新镇官塘村柏木路1号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增城区中新镇中福路13号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中新镇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恒大山水城社区党群服务中心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增城区中新镇山水城社区141栋1楼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龙岗村党群服务中心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广东省广州市增城区朱村街金兴街（龙岗小学对面）</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联兴村党群服务中心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广东省广州市增城区朱村街联兴村民委员会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南岗村党群服务中心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广东省广州市增城区朱村街南岗村山园一巷66号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广东省广州市增城区朱村街学前路28号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广东省广州市增城区朱村街朱村村东池路68号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319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凤岗村党群服务中心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广东省广州市增城区朱村街朱村大道西136号（原大鼎手袋厂三楼）</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秀山村党群服务中心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广东省广州市增城区朱村街朱福路茶寮茶巷2号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丹邱村党群服务中心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广东省广州市增城区朱村街丹邱村环乡路6号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龙新村党群服务中心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广东省广州市增城区朱村街墩东路</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横塱村党群服务中心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广东省广州市增城区朱村街横塱村村委路1号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山角村党群服务中心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广东省广州市增城区朱村街山角村行政路3号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山田村党群服务中心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广东省广州市增城区朱村街山田村山田路88号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神岗村党群服务中心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广东省广州市增城区朱村街神岗村神岗路</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西福社区党群服务中心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朱村街城市花园二期金成路154号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白湖村党群服务中心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增城区增江街白湖村湖溪路8号白湖村委会</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329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初溪村党群服务中心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增城区增江街初溪村海坣路1号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330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大埔围村党群服务中心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增城区增江街大埔围村致富路1号村委办公楼计划生育岗、民政服务岗</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331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东方村党群服务中心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增城区增江街东方村东桥东路59号三楼大办公室</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332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狮岭社区党群服务中心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增城区增江街东桥东路40号一楼大厅前台</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333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光耀村党群服务中心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增城区增江街光耀村新屋路68号光耀村委会计划生育办公室</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334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凤塔社区党群服务中心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增城区增江街经二路绿地珑玥府4栋</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335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联益村党群服务中心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增城区增江街联益村石二路66号公共服务站</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336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陆村村党群服务中心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增城区增江街陆村中路1号一楼大厅前台</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337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四丰村党群服务中心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增城区增江街四丰村广汕公路1-1号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338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象山社区党群服务中心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增城区增江街塔山路555号左侧</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339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五星村党群服务中心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增城区增江街五星村田心路88号一楼前台</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西山村党群服务中心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增城区增江街西山村村委路3号一楼大厅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桥东社区党群服务中心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增城区增江街增江大道北66号-9一楼大厅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东湖社区党群服务中心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增城区增江街增江大道中27号一楼大厅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河东社区党群服务中心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增城区增江街增江路25号河东社区居委办公大厅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增江街</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光辉村党群服务中心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增城区增江街增正路108号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邓山村党群服务中心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增城区小楼镇邓山村委会内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东境村党群服务中心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增城区小楼镇东境村委会内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二龙村党群服务中心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增城区小楼镇二龙村委会内（二龙街61号）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河洞村党群服务中心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增城区小楼镇河洞村委会内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349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黄村村党群服务中心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增城区小楼镇黄村村委会内（黄村大道8号）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350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江坳村党群服务中心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增城区小楼镇江坳村委会内（上江路7号）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351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九益村党群服务中心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增城区小楼镇九益村委会内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352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腊圃村党群服务中心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增城区小楼镇腊圃村委会内（朝阳北路18号）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353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罗坑村党群服务中心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增城区小楼镇罗坑村委会内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354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庙潭村党群服务中心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增城区小楼镇庙潭村委会内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355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青迳村党群服务中心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增城区小楼镇青迳村委会内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356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沙岗村党群服务中心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增城区小楼镇沙岗村委会内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357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西境村党群服务中心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增城区小楼镇西境村委会内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358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西园村党群服务中心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增城区小楼镇西园村委会内（东大街1号）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359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增城区小楼镇小楼村委会内（中园3号路）</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360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小楼社区党群服务中心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增城区小楼镇小楼社区居民委员会内（小楼大道南36号）</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361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秀水村党群服务中心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增城区小楼镇秀水村委会内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362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约场村党群服务中心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增城区小楼镇约场村委会内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363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长岭村党群服务中心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增城区小楼镇长岭村委会内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364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正隆村党群服务中心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增城区小楼镇正隆村委会内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365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小楼镇</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竹坑村党群服务中心</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增城区小楼镇竹坑村委会内</w:t>
            </w:r>
          </w:p>
        </w:tc>
      </w:tr>
      <w:tr>
        <w:tc>
          <w:tcPr>
            <w:tcW w:type="dxa" w:w="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366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事业单位</w:t>
            </w:r>
          </w:p>
        </w:tc>
        <w:tc>
          <w:tcPr>
            <w:tcW w:type="dxa" w:w="26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区委党校</w:t>
            </w:r>
          </w:p>
        </w:tc>
        <w:tc>
          <w:tcPr>
            <w:tcW w:type="dxa" w:w="396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荔湖街清燕小学旁增城区委党校</w:t>
            </w:r>
          </w:p>
        </w:tc>
      </w:tr>
    </w:tbl>
    <w:p>
      <w:pPr>
        <w:pStyle w:val="null3"/>
      </w:pPr>
      <w:r>
        <w:rPr>
          <w:sz w:val="24"/>
          <w:b/>
        </w:rPr>
        <w:t>六、项目人员要求</w:t>
      </w:r>
    </w:p>
    <w:p>
      <w:pPr>
        <w:pStyle w:val="null3"/>
      </w:pPr>
      <w:r>
        <w:rPr>
          <w:sz w:val="20"/>
        </w:rPr>
        <w:t xml:space="preserve">    </w:t>
      </w:r>
      <w:r>
        <w:rPr>
          <w:sz w:val="24"/>
        </w:rPr>
        <w:t>（一）项目团队</w:t>
      </w:r>
    </w:p>
    <w:p>
      <w:pPr>
        <w:pStyle w:val="null3"/>
        <w:ind w:firstLine="504"/>
        <w:jc w:val="both"/>
      </w:pPr>
      <w:r>
        <w:rPr>
          <w:sz w:val="24"/>
        </w:rPr>
        <w:t>本项目为保障运维管理工作的正常运作，要求组建承担本运维平台的服务项目小组，采取定期巡检结合二线支持的方式进行，协助增城政数局组织、管理所有信息基础设施维护及信息安全保障服务工作。本期无需驻场人员，服务项目小组人员均为非驻场条件提供服务，具体人员要求如下：</w:t>
      </w:r>
    </w:p>
    <w:p>
      <w:pPr>
        <w:pStyle w:val="null3"/>
        <w:ind w:firstLine="504"/>
        <w:jc w:val="both"/>
      </w:pPr>
      <w:r>
        <w:rPr>
          <w:sz w:val="24"/>
        </w:rPr>
        <w:t>本项目的项目经理（1人）：①具有计算机技术与软件专业技术资格的信息系统项目管理师证书； ②具有计算机技术与软件专业技术资格的系统规划与管理师证书； ③具有通信专业技术人员职业资格证书（专业：互联网技术）；④具有本科或以上毕业证书（网络工程专业或电子信息工程专业）</w:t>
      </w:r>
    </w:p>
    <w:p>
      <w:pPr>
        <w:pStyle w:val="null3"/>
        <w:ind w:firstLine="504"/>
        <w:jc w:val="both"/>
      </w:pPr>
      <w:r>
        <w:rPr>
          <w:sz w:val="24"/>
        </w:rPr>
        <w:t>本项目的技术负责人（项目经理除外，1人）： ①具有计算机技术与软件专业技术资格的网络规划设计师证书；②具有计算机技术与软件专业技术资格的网络工程师； ③具有本科或以上毕业证书。</w:t>
      </w:r>
    </w:p>
    <w:p>
      <w:pPr>
        <w:pStyle w:val="null3"/>
        <w:ind w:firstLine="504"/>
        <w:jc w:val="both"/>
      </w:pPr>
      <w:r>
        <w:rPr>
          <w:sz w:val="24"/>
        </w:rPr>
        <w:t>本项目运维技术负责人（非项目经理、非项目技术负责人，1人）：①具有计算机技术与软件专业技术资格的信息系统项目管理师证书； ②具有计算机技术与软件专业技术资格的系统分析师证书；③具有本科或以上毕业证书。</w:t>
      </w:r>
    </w:p>
    <w:p>
      <w:pPr>
        <w:pStyle w:val="null3"/>
        <w:ind w:firstLine="504"/>
        <w:jc w:val="both"/>
      </w:pPr>
      <w:r>
        <w:rPr>
          <w:sz w:val="24"/>
        </w:rPr>
        <w:t>本项目团队其他技术管理人员（非项目经理、非技术负责人、非运维技术负责人，5人或以上）：1、具有通信专业技术人员职业资格证书（专业：传输与接入）； 2、具有通信专业技术人员职业资格证书（专业：交换技术）； 3、具有计算机技术与软件专业技术资格的系统集成项目管理工程师证书； 4、具有计算机技术与软件专业技术资格的网络工程师证书。 5、具有计算机技术与软件专业技术资格的信息系统项目管理师。</w:t>
      </w:r>
    </w:p>
    <w:p>
      <w:pPr>
        <w:pStyle w:val="null3"/>
      </w:pPr>
      <w:r>
        <w:rPr>
          <w:sz w:val="20"/>
        </w:rPr>
        <w:t xml:space="preserve">    </w:t>
      </w:r>
      <w:r>
        <w:rPr>
          <w:sz w:val="24"/>
        </w:rPr>
        <w:t>（二）质量管理</w:t>
      </w:r>
    </w:p>
    <w:p>
      <w:pPr>
        <w:pStyle w:val="null3"/>
        <w:ind w:firstLine="504"/>
        <w:jc w:val="both"/>
      </w:pPr>
      <w:r>
        <w:rPr>
          <w:sz w:val="24"/>
        </w:rPr>
        <w:t>服务团队需要建立、实施质量管理体系和运行机制来推动服务团队工作的完善和深化，逐步建立起适应本项目需求的服务新体系，使整个项目运行向专业化、科学化、规范化的方向发展。所以需要签订服务协议，以保证服务质量和服务效率，并且持续性改进。</w:t>
      </w:r>
    </w:p>
    <w:p>
      <w:pPr>
        <w:pStyle w:val="null3"/>
        <w:ind w:firstLine="504"/>
        <w:jc w:val="both"/>
      </w:pPr>
      <w:r>
        <w:rPr>
          <w:sz w:val="24"/>
        </w:rPr>
        <w:t>服务团队质量管理制度建立后，为进一步加大质量管理力度，增强维护人员质量管理意识，主管需根据项目组成员的工作特征，将质量管理进一步细化，有针对性地将质量管理工作进行分工并责任落实到人，力求通过项目组成员的共同努力，达到服务团队质量管理的全面提升。</w:t>
      </w:r>
    </w:p>
    <w:p>
      <w:pPr>
        <w:pStyle w:val="null3"/>
      </w:pPr>
      <w:r>
        <w:rPr>
          <w:sz w:val="20"/>
        </w:rPr>
        <w:t xml:space="preserve">    </w:t>
      </w:r>
      <w:r>
        <w:rPr>
          <w:sz w:val="24"/>
        </w:rPr>
        <w:t>（三）进度管理</w:t>
      </w:r>
    </w:p>
    <w:p>
      <w:pPr>
        <w:pStyle w:val="null3"/>
        <w:ind w:firstLine="504"/>
        <w:jc w:val="both"/>
      </w:pPr>
      <w:r>
        <w:rPr>
          <w:sz w:val="24"/>
        </w:rPr>
        <w:t>进度管理的主要要求包括明确项目的总体目标和进度计划，优化资源分配，实时监控项目进度以确保按计划进行，识别并应对潜在风险，与项目团队、相关方和利益相关者保持有效沟通，并在追求进度的同时确保项目质量。这些要求共同构成了进度管理的基础，旨在确保项目能够高效、准确地达成预期目标。</w:t>
      </w:r>
    </w:p>
    <w:p>
      <w:pPr>
        <w:pStyle w:val="null3"/>
      </w:pPr>
      <w:r>
        <w:rPr>
          <w:sz w:val="20"/>
        </w:rPr>
        <w:t xml:space="preserve">    </w:t>
      </w:r>
      <w:r>
        <w:rPr>
          <w:sz w:val="24"/>
        </w:rPr>
        <w:t>（四）风险管理要求</w:t>
      </w:r>
    </w:p>
    <w:p>
      <w:pPr>
        <w:pStyle w:val="null3"/>
        <w:ind w:firstLine="504"/>
        <w:jc w:val="both"/>
      </w:pPr>
      <w:r>
        <w:rPr>
          <w:sz w:val="24"/>
        </w:rPr>
        <w:t>风险管理要求全面识别、评估项目中可能面临的各种风险，包括技术风险、使用风险等，并制定相应的风险应对策略和措施。服务者需要建立健全风险管理制度，明确风险管理的职责和流程，确保风险管理的有效性和及时性。同时还需加强风险监控和预警，定期评估风险状况，及时调整风险管理策略，以最大程度地降低风险对甲方的影响，确保项目的顺利进行和目标的达成。</w:t>
      </w:r>
    </w:p>
    <w:p>
      <w:pPr>
        <w:pStyle w:val="null3"/>
        <w:ind w:firstLine="504"/>
        <w:jc w:val="both"/>
      </w:pPr>
      <w:r>
        <w:rPr/>
        <w:t>采购包1（广州市增城区政务服务数据管理局2024年增城区政务网络村（社区）光纤租赁项目）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本项目租赁周期为12个月，从光纤全线开通并通过用户验收之日起计算。</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1期：支付比例100%,（一）在签订合同后，采购人收到中标人开具符合国家财务规定的相应数额的发票后 5个工作日内支付合同总价的30%。 （二）租赁期满6个月，采购人收到中标人开具符合国家财务规定的相应数额的发票后 5个工作日内支付合同总价的40%。 （三）租赁期满12个月，通过项目验收并完成验收备案后，采购人收到中标人开具符合国家财务规定的相应数额的发票后 5个工作日内支付合同总价的30%。</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1期：详见第二章采购需求要求。</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网络接入服务</w:t>
            </w:r>
          </w:p>
        </w:tc>
        <w:tc>
          <w:tcPr>
            <w:tcW w:type="dxa" w:w="933"/>
          </w:tcPr>
          <w:p>
            <w:pPr>
              <w:pStyle w:val="null3"/>
              <w:jc w:val="left"/>
            </w:pPr>
            <w:r>
              <w:rPr/>
              <w:t>通过租赁裸光纤实现11个汇聚点和366个接入点实现政务外网组网汇聚；同时租赁三条政务外网互联网出口光纤线路（两条1G极速专线和一条500M互联网出口）</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5,463,800.00</w:t>
            </w:r>
          </w:p>
        </w:tc>
        <w:tc>
          <w:tcPr>
            <w:tcW w:type="dxa" w:w="933"/>
          </w:tcPr>
          <w:p>
            <w:pPr>
              <w:pStyle w:val="null3"/>
              <w:jc w:val="right"/>
            </w:pPr>
            <w:r>
              <w:rPr/>
              <w:t>5,463,800.00</w:t>
            </w:r>
          </w:p>
        </w:tc>
        <w:tc>
          <w:tcPr>
            <w:tcW w:type="dxa" w:w="840"/>
          </w:tcPr>
          <w:p>
            <w:pPr>
              <w:pStyle w:val="null3"/>
            </w:pPr>
            <w:r>
              <w:rPr/>
              <w:t>信息传输业</w:t>
            </w:r>
          </w:p>
        </w:tc>
        <w:tc>
          <w:tcPr>
            <w:tcW w:type="dxa" w:w="933"/>
          </w:tcPr>
          <w:p>
            <w:pPr>
              <w:pStyle w:val="null3"/>
            </w:pPr>
            <w:r>
              <w:rPr/>
              <w:t>详见附表一</w:t>
            </w:r>
          </w:p>
        </w:tc>
      </w:tr>
    </w:tbl>
    <w:p>
      <w:pPr>
        <w:pStyle w:val="null3"/>
      </w:pPr>
      <w:r>
        <w:rPr>
          <w:b/>
        </w:rPr>
        <w:t>附表</w:t>
      </w:r>
      <w:r>
        <w:rPr>
          <w:b/>
        </w:rPr>
        <w:t>一</w:t>
      </w:r>
      <w:r>
        <w:rPr>
          <w:b/>
        </w:rPr>
        <w:t>：</w:t>
      </w:r>
      <w:r>
        <w:rPr>
          <w:b/>
        </w:rPr>
        <w:t>通过租赁裸光纤实现11个汇聚点和366个接入点实现政务外网组网汇聚；同时租赁三条政务外网互联网出口光纤线路（两条1G极速专线和一条500M互联网出口）</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按第二章采购需求要求。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1.采购代理机构：本项目是指广州市政府采购中心，负责整个采购活动的组织，依法负责编制和发布招标文件，对招标文件拥有最终的解释权，不以任何身份出任评标委员会成员。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广州市增城区政务服务数据管理局</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采购机构代理服务收费标准：本项目公共资源交易服务费收费标准：1.不论投标的结果如何，投标人应承担所有与编写和提交投标文件有关的费用。2.采购人委托中标人支付公共资源交易服务费，其报价中须包含公共资源交易服务费。由中标人支付公共资源交易服务费后，采购人、中标人方可下载打印电子《中标通知书》。3.中标人可选用以下两种方式支付公共资源交易服务费：（1）现场支付：中标人携现金前往市政府采购中心大厅西侧建设银行天润路支行交款，交款后前往财务专窗办理支付确认。（2）汇款支付：中标人将公共资源交易服务费转账（汇款）至公共资源交易服务费结算账户（如下所示）后，到账后凭转账（汇款）凭证前往市政府采购中心大厅西侧建设银行天润路支行财务专窗办理支付确认或使用公共资源交易服务费转账凭证上传确认系统进行支付确认。公共资源交易服务费结算账户信息：收款单位：广州市政府采购中心，开户银行：中国建设银行广州天润路支行，账号：44050158340409202288（注：公共资源交易服务费增值税电子普通发票在项目结果公告发布之日开具，并向中标人的经办人手机号推送。中标人可凭上述经办人手机号在发票通网站“www.fapiao.com” 的Plus用户登录下载电子发票用于报账。使用汇款支付过程中，请在摘要或用途中注明项目编号交易服务费，例如：CZ2022-0001交易服务费。当交易服务费到账的银行回单中单位名称、应缴交易服务费金额、中标项目编号三项信息匹配都一致时，系统会自动进行支付确认。）4.公共资源交易服务费以采购额按差额定率累进法计算。详见《广州市政府采购中心关于代理采购类项目公共资源交易服务费收费标准的通知》（http://www.gzggzy.cn/jtgg/874864.jhtml）（注：本项目为纳入集中采购目录的项目，采购额为中标金额。）</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其他，一、综合信用得分。 （一）本项目商务评分部分的综合信用得分运用广州公共资源交易政府采购领域信用评价体系3.0（以下简称“政府采购信用3.0”）。供应商应在投标响应前通过广州交易集团有限公司网站完成企业信用档案登记，并确认成功，以免出现企业信用评价分无法使用等情况，登记手册可查阅http://www.gzggzy.cn/fwznxtbzczsc/951149.jhtml。 （二）综合信用得分运用“政府采购信用3.0”评价分进行计算，综合信用评价得分=供应商在广州公共资源交易信用评价（政府采购供应商信用评价分）×5%。供应商的信用评价分以开标当天广州交易集团有限公司网站公布的分值为准【通过“广州交易集团有限公司网站-信用信息-广州公共资源交易信用平台3.0” 进行核实，未能在“广州交易集团有限公司门户网站-信用信息-广州公共资源交易信用平台3.0”查询到供应商信用分数的，按照现行的公共资源交易信用评分细则中指标说明及权重计算信用评价基准分。如遇重要系统通信网络故障、服务器物理故障、系统遭受网络攻击、重要系统迁移等重大突发性事项导致采集最新数据失败，系统将启用重大突发性事项发生前一天的数据进行评分计算；重大突发性事项处理完毕后，按正常程序采集数据进行处理。 二、履约评价。 由采购人负责对中标人的履约行为进行评价，采购人在合同备案后可通过广东政府采购智慧云平台-诚信管理-评价管理进行评价。评价结果会影响供应商的综合信用得分。 三、关于提供前期服务的供应商。 为采购项目提供整体设计、规范编制或者项目管理、监理、检测等服务的供应商，不得再参加该采购项目的其他采购活动。</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1小时</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广州交易集团有限公司（http://www.gzggzy.cn）</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w:t>
      </w:r>
      <w:r>
        <w:rPr/>
        <w:t>广州交易集团有限公司（http://www.gzggzy.cn）</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何晓蕾</w:t>
      </w:r>
    </w:p>
    <w:p>
      <w:pPr>
        <w:pStyle w:val="null3"/>
        <w:ind w:firstLine="480"/>
      </w:pPr>
      <w:r>
        <w:rPr/>
        <w:t>电话：</w:t>
      </w:r>
      <w:r>
        <w:rPr/>
        <w:t>28866163</w:t>
      </w:r>
    </w:p>
    <w:p>
      <w:pPr>
        <w:pStyle w:val="null3"/>
        <w:ind w:firstLine="480"/>
      </w:pPr>
      <w:r>
        <w:rPr/>
        <w:t>传真：</w:t>
      </w:r>
      <w:r>
        <w:rPr/>
        <w:t>无</w:t>
      </w:r>
    </w:p>
    <w:p>
      <w:pPr>
        <w:pStyle w:val="null3"/>
        <w:ind w:firstLine="480"/>
      </w:pPr>
      <w:r>
        <w:rPr/>
        <w:t>邮箱：</w:t>
      </w:r>
      <w:r>
        <w:rPr/>
        <w:t>无</w:t>
      </w:r>
    </w:p>
    <w:p>
      <w:pPr>
        <w:pStyle w:val="null3"/>
        <w:ind w:firstLine="480"/>
      </w:pPr>
      <w:r>
        <w:rPr/>
        <w:t>地址：</w:t>
      </w:r>
      <w:r>
        <w:rPr/>
        <w:t>广州市天河区天润路333号3楼广州市政府采购中心质量监督部</w:t>
      </w:r>
    </w:p>
    <w:p>
      <w:pPr>
        <w:pStyle w:val="null3"/>
        <w:ind w:firstLine="480"/>
      </w:pPr>
      <w:r>
        <w:rPr/>
        <w:t>邮编：</w:t>
      </w:r>
      <w:r>
        <w:rPr/>
        <w:t>510630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政府采购监督管理机构名称：广州市增城区财政局（政府采购管理办公室）</w:t>
      </w:r>
    </w:p>
    <w:p>
      <w:pPr>
        <w:pStyle w:val="null3"/>
      </w:pPr>
      <w:r>
        <w:rPr/>
        <w:t>地 址：广州市增城区荔城街荔乡路21号</w:t>
      </w:r>
    </w:p>
    <w:p>
      <w:pPr>
        <w:pStyle w:val="null3"/>
      </w:pPr>
      <w:r>
        <w:rPr/>
        <w:t>电 话：020-82623117、020-82656610</w:t>
      </w:r>
    </w:p>
    <w:p>
      <w:pPr>
        <w:pStyle w:val="null3"/>
      </w:pPr>
      <w:r>
        <w:rPr/>
        <w:t>邮 编：511300</w:t>
      </w:r>
    </w:p>
    <w:p>
      <w:pPr>
        <w:pStyle w:val="null3"/>
      </w:pPr>
      <w:r>
        <w:rPr/>
        <w:t>传 真：020-82622883</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1.3合同条款中应规定，乙方完全遵守《中华人民共和国劳动合同法》有关规定和《中华人民共和国妇女权益保障法》中关于“劳动和社会保障权益”的有关要求。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广州市增城区政务服务数据管理局2024年增城区政务网络村（社区）光纤租赁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广州市政府采购中心</w:t>
      </w:r>
      <w:r>
        <w:rPr/>
        <w:t>统一对外发布。</w:t>
      </w:r>
    </w:p>
    <w:p>
      <w:pPr>
        <w:pStyle w:val="null3"/>
        <w:ind w:firstLine="480"/>
      </w:pPr>
      <w:r>
        <w:rPr/>
        <w:t>（2）对</w:t>
      </w:r>
      <w:r>
        <w:rPr/>
        <w:t>广州市政府采购中心</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采购包1（广州市增城区政务服务数据管理局2024年增城区政务网络村（社区）光纤租赁项目）：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本项目服务全部为小型或微型企业承接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581"/>
          </w:tcPr>
          <w:p>
            <w:pPr>
              <w:pStyle w:val="null3"/>
            </w:pPr>
            <w:r>
              <w:rPr/>
              <w:t>2</w:t>
            </w:r>
          </w:p>
        </w:tc>
        <w:tc>
          <w:tcPr>
            <w:tcW w:type="dxa" w:w="2160"/>
          </w:tcPr>
          <w:p>
            <w:pPr>
              <w:pStyle w:val="null3"/>
              <w:jc w:val="left"/>
            </w:pPr>
            <w:r>
              <w:rPr/>
              <w:t>小型、微型企业，监狱企业，残疾人福利性单位</w:t>
            </w:r>
          </w:p>
        </w:tc>
        <w:tc>
          <w:tcPr>
            <w:tcW w:type="dxa" w:w="2160"/>
          </w:tcPr>
          <w:p>
            <w:pPr>
              <w:pStyle w:val="null3"/>
            </w:pPr>
            <w:r>
              <w:rPr/>
              <w:t>投标（响应）供应商为大中型企业与小微企业组成联合体或者大中型企业向一家或者多家小微企业分包的，对于联合体协议或者分包意向协议约定小微企业的合同份额占到合同总金额30%以上</w:t>
            </w:r>
          </w:p>
        </w:tc>
        <w:tc>
          <w:tcPr>
            <w:tcW w:type="dxa" w:w="1246"/>
          </w:tcPr>
          <w:p>
            <w:pPr>
              <w:pStyle w:val="null3"/>
            </w:pPr>
            <w:r>
              <w:rPr/>
              <w:t>4%</w:t>
            </w:r>
          </w:p>
        </w:tc>
        <w:tc>
          <w:tcPr>
            <w:tcW w:type="dxa" w:w="2160"/>
          </w:tcPr>
          <w:p>
            <w:pPr>
              <w:pStyle w:val="null3"/>
              <w:jc w:val="left"/>
            </w:pPr>
            <w:r>
              <w:rPr/>
              <w:t>大中型企业与小微企业组成联合体或者允许大中型企业向一家或者多家小微企业分包的采购项目，对于联合协议或者分包意向协议约定小微企业的合同份额占到合同总金额 30%以上的，报价给予价格扣除C1，即：评标价=投标报价×（1-C1）;监狱企业与残疾人福利性单位视同小型、微型企业，享受同等价格扣除，当企业属性重复时，不重复价格扣除。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采购包1（广州市增城区政务服务数据管理局2024年增城区政务网络村（社区）光纤租赁项目）：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依据《投标函》及以下相关证照的扫描件之一：1.企业法人提供企业法人营业执照；2.事业法人提供事业法人登记证；3.其他组织提供其他组织的营业执照或执业许可证；4.自然人提供居民身份证等。分支机构投标的，还须提供分支机构的营业执照（执业许可证）扫描件及总公司（总所）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 xml:space="preserve"> 依据《投标函》。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依据《投标函》。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依据《投标函》。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依据《投标函》。</w:t>
            </w:r>
          </w:p>
        </w:tc>
      </w:tr>
      <w:tr>
        <w:tc>
          <w:tcPr>
            <w:tcW w:type="dxa" w:w="890"/>
          </w:tcPr>
          <w:p>
            <w:pPr>
              <w:pStyle w:val="null3"/>
            </w:pPr>
            <w:r>
              <w:rPr/>
              <w:t>6</w:t>
            </w:r>
          </w:p>
        </w:tc>
        <w:tc>
          <w:tcPr>
            <w:tcW w:type="dxa" w:w="3178"/>
          </w:tcPr>
          <w:p>
            <w:pPr>
              <w:pStyle w:val="null3"/>
            </w:pPr>
            <w:r>
              <w:rPr/>
              <w:t>供应商必须符合法律、行政法规规定的其他条件</w:t>
            </w:r>
          </w:p>
        </w:tc>
        <w:tc>
          <w:tcPr>
            <w:tcW w:type="dxa" w:w="4238"/>
          </w:tcPr>
          <w:p>
            <w:pPr>
              <w:pStyle w:val="null3"/>
            </w:pPr>
            <w:r>
              <w:rPr/>
              <w:t>1.本项目接受联合体投标（联合体各方均应当满足《中华人民共和国政府采购法》第二十二条规定的条件，提供联合体共同投标协议书）。 2.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磋商小组于资格审查时在上述网站查询结果为准，如在上述网站查询结果均显示没有相关记录，视为没有上述不良信用记录。联合体成员存在不良信用记录的，视同联合体存在不良信用记录。同时对信用信息查询记录和证据截图存档。</w:t>
            </w:r>
          </w:p>
        </w:tc>
      </w:tr>
      <w:tr>
        <w:tc>
          <w:tcPr>
            <w:tcW w:type="dxa" w:w="890"/>
          </w:tcPr>
          <w:p>
            <w:pPr>
              <w:pStyle w:val="null3"/>
            </w:pPr>
            <w:r>
              <w:rPr/>
              <w:t>7</w:t>
            </w:r>
          </w:p>
        </w:tc>
        <w:tc>
          <w:tcPr>
            <w:tcW w:type="dxa" w:w="3178"/>
          </w:tcPr>
          <w:p>
            <w:pPr>
              <w:pStyle w:val="null3"/>
            </w:pPr>
            <w:r>
              <w:rPr/>
              <w:t>本项目不属于专门面向中小微企业采购</w:t>
            </w:r>
          </w:p>
        </w:tc>
        <w:tc>
          <w:tcPr>
            <w:tcW w:type="dxa" w:w="4238"/>
          </w:tcPr>
          <w:p>
            <w:pPr>
              <w:pStyle w:val="null3"/>
            </w:pPr>
            <w:r>
              <w:rPr/>
              <w:t>本项目不属于专门面向中小微企业采购的项目。</w:t>
            </w:r>
          </w:p>
        </w:tc>
      </w:tr>
    </w:tbl>
    <w:p>
      <w:pPr>
        <w:pStyle w:val="null3"/>
        <w:ind w:firstLine="480"/>
      </w:pPr>
      <w:r>
        <w:rPr/>
        <w:t>表二符合性审查表：</w:t>
      </w:r>
    </w:p>
    <w:p>
      <w:pPr>
        <w:pStyle w:val="null3"/>
      </w:pPr>
      <w:r>
        <w:rPr/>
        <w:t>采购包1（广州市增城区政务服务数据管理局2024年增城区政务网络村（社区）光纤租赁项目）：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符合性审查内容</w:t>
            </w:r>
          </w:p>
        </w:tc>
        <w:tc>
          <w:tcPr>
            <w:tcW w:type="dxa" w:w="4238"/>
          </w:tcPr>
          <w:p>
            <w:pPr>
              <w:pStyle w:val="null3"/>
            </w:pPr>
            <w:r>
              <w:rPr/>
              <w:t>1.报价确定且不高于预算金额。 2.有盖章、签署要求的格式文件已按要求盖章、签署。 3.投标文件完全满足招标文件中带★号的条款和指标 (审查《实质性响应一览表》) 4.未发现属无效投标的其他情形。以下为属无效投标的其他情形：（1）法定代表人或单位负责人为同一个人或者存在直接控股、管理关系的不同供应商，同时参加本项目或同一采购包投标的。 （2）投标人为本项目提供整体设计、规范编制或者项目管理、监理、检测等服务的。（3）评标期间，投标人没有按评标委员会的要求提交法定代表人或其委托代理人签字的澄清、说明、补正或改变了投标文件的实质性内容的。 （4）投标文件提供虚假材料的。 （5）投标人以他人的名义投标、串通投标、以行贿手段谋取中标或者以其他弄虚作假方式投标的。 （6）投标人对采购人、采购代理机构、评标委员会及其工作人员施加影响，有碍招标公平、公正的。 （7）投标文件含有采购人不能接受的附加条件的。 （8）法律、法规和招标文件规定的其他无效情形。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采购包1(广州市增城区政务服务数据管理局2024年增城区政务网络村（社区）光纤租赁项目):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商务部分35.0分</w:t>
            </w:r>
          </w:p>
          <w:p>
            <w:pPr>
              <w:pStyle w:val="null3"/>
            </w:pPr>
            <w:r>
              <w:rPr/>
              <w:t>技术部分50.0分</w:t>
            </w:r>
          </w:p>
          <w:p>
            <w:pPr>
              <w:pStyle w:val="null3"/>
            </w:pPr>
            <w:r>
              <w:rPr/>
              <w:t>综合信用分5.0分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整体技术方案响应情况A (2.0分)</w:t>
            </w:r>
          </w:p>
        </w:tc>
        <w:tc>
          <w:tcPr>
            <w:tcW w:type="dxa" w:w="5076"/>
          </w:tcPr>
          <w:p>
            <w:pPr>
              <w:pStyle w:val="null3"/>
              <w:jc w:val="left"/>
            </w:pPr>
            <w:r>
              <w:rPr/>
              <w:t>根据供应商针对本项目制定的总体技术方案进行评分，方案需包含联网对象接入技术要求、组网技术要求、光纤技术要求、互联网光纤出口带宽要求，得2分。如方案未包括以上内容的或未提供的，不得分，下列“整体技术方案响应情况B”也不得分。</w:t>
            </w:r>
          </w:p>
        </w:tc>
      </w:tr>
      <w:tr>
        <w:tc>
          <w:tcPr>
            <w:tcW w:type="dxa" w:w="922"/>
            <w:gridSpan w:val="2"/>
            <w:vMerge/>
          </w:tcPr>
          <w:p/>
        </w:tc>
        <w:tc>
          <w:tcPr>
            <w:tcW w:type="dxa" w:w="2307"/>
          </w:tcPr>
          <w:p>
            <w:pPr>
              <w:pStyle w:val="null3"/>
              <w:jc w:val="left"/>
            </w:pPr>
            <w:r>
              <w:rPr/>
              <w:t>整体技术方案响应情况B (8.0分)</w:t>
            </w:r>
          </w:p>
        </w:tc>
        <w:tc>
          <w:tcPr>
            <w:tcW w:type="dxa" w:w="5076"/>
          </w:tcPr>
          <w:p>
            <w:pPr>
              <w:pStyle w:val="null3"/>
              <w:jc w:val="left"/>
            </w:pPr>
            <w:r>
              <w:rPr/>
              <w:t>整体技术方案内容能完全满足采购需求的，得8分；能部分满足采购需求的，得4分；不能满足采购需求的，不得分</w:t>
            </w:r>
          </w:p>
        </w:tc>
      </w:tr>
      <w:tr>
        <w:tc>
          <w:tcPr>
            <w:tcW w:type="dxa" w:w="922"/>
            <w:gridSpan w:val="2"/>
            <w:vMerge/>
          </w:tcPr>
          <w:p/>
        </w:tc>
        <w:tc>
          <w:tcPr>
            <w:tcW w:type="dxa" w:w="2307"/>
          </w:tcPr>
          <w:p>
            <w:pPr>
              <w:pStyle w:val="null3"/>
              <w:jc w:val="left"/>
            </w:pPr>
            <w:r>
              <w:rPr/>
              <w:t>光纤线路平滑过渡保障方案 (15.0分)</w:t>
            </w:r>
          </w:p>
        </w:tc>
        <w:tc>
          <w:tcPr>
            <w:tcW w:type="dxa" w:w="5076"/>
          </w:tcPr>
          <w:p>
            <w:pPr>
              <w:pStyle w:val="null3"/>
              <w:jc w:val="left"/>
            </w:pPr>
            <w:r>
              <w:rPr/>
              <w:t>（1）沿用现有IP地址平滑过渡或需更换现有IP地址的，提供的过渡方案可在5个工作日内完成相应的光纤建设、地址映射、域名绑定、ICP备案等变更的，得5分；需更换现有IP地址，但有提供过渡方案并在10个工作日内完成相应的地址映射、域名绑定、ICP备案等变更的，得3分；其他或无响应的，得0分。 （2）投标人保障本项目100%光纤线路可在3天内完成网络线路切换的，得10分；投标人保障本项目90%~100%（不含100%）光纤线路可在3天内完成网络线路切换的，得6分；投标人保障本项目80%~90%（不含90%）光纤线路可在3天内完成网络线路切换的，得3分；投标人保障本项目80%以下（不含80%）光纤线路可在3天内完成网络线路切换的，不得分。注：请提供本项目光纤线路平滑过渡材料作为评审依据：含投标人原有线路情况+每条线路计划完成接入投入的人力和时间+需要开挖道路长度等，如已有线路的要提供已接入至接入侧的线路相片+与本项目需求匹配的接入侧设备的相片，同时核心机房到汇聚点接入线路为必要建设线路，如缺少则不得分。 合计最高得15分。</w:t>
            </w:r>
          </w:p>
        </w:tc>
      </w:tr>
      <w:tr>
        <w:tc>
          <w:tcPr>
            <w:tcW w:type="dxa" w:w="922"/>
            <w:gridSpan w:val="2"/>
            <w:vMerge/>
          </w:tcPr>
          <w:p/>
        </w:tc>
        <w:tc>
          <w:tcPr>
            <w:tcW w:type="dxa" w:w="2307"/>
          </w:tcPr>
          <w:p>
            <w:pPr>
              <w:pStyle w:val="null3"/>
              <w:jc w:val="left"/>
            </w:pPr>
            <w:r>
              <w:rPr/>
              <w:t>汇聚机房响应情况 (15.0分)</w:t>
            </w:r>
          </w:p>
        </w:tc>
        <w:tc>
          <w:tcPr>
            <w:tcW w:type="dxa" w:w="5076"/>
          </w:tcPr>
          <w:p>
            <w:pPr>
              <w:pStyle w:val="null3"/>
              <w:jc w:val="left"/>
            </w:pPr>
            <w:r>
              <w:rPr/>
              <w:t>为保障传输线路的调度，提供自有或租赁汇聚机房或合作意向机房，每提供1个机房得3分，最高得15分；备注：（1）自有汇聚机房：须同时提供汇聚机房的分布图、机房相片一张和汇聚机房自有产权证扫描件；（2）租赁汇聚机房：须同时提供汇聚机房的分布图、机房相片一张和租赁合同（需在有效期内的，且自开标之日起不少于1年，租赁合同须以投标人公司名义或法人代表签订，否则无效）扫描件；（3）合作意向书：同时提供汇聚机房的分布图、机房相片一张和合作意向书、汇聚机房产权证扫描件。</w:t>
            </w:r>
          </w:p>
        </w:tc>
      </w:tr>
      <w:tr>
        <w:tc>
          <w:tcPr>
            <w:tcW w:type="dxa" w:w="922"/>
            <w:gridSpan w:val="2"/>
            <w:vMerge/>
          </w:tcPr>
          <w:p/>
        </w:tc>
        <w:tc>
          <w:tcPr>
            <w:tcW w:type="dxa" w:w="2307"/>
          </w:tcPr>
          <w:p>
            <w:pPr>
              <w:pStyle w:val="null3"/>
              <w:jc w:val="left"/>
            </w:pPr>
            <w:r>
              <w:rPr/>
              <w:t>项目管理响应方案（项目团队、质量管理，进度管理等）A (2.0分)</w:t>
            </w:r>
          </w:p>
        </w:tc>
        <w:tc>
          <w:tcPr>
            <w:tcW w:type="dxa" w:w="5076"/>
          </w:tcPr>
          <w:p>
            <w:pPr>
              <w:pStyle w:val="null3"/>
              <w:jc w:val="left"/>
            </w:pPr>
            <w:r>
              <w:rPr/>
              <w:t>根据供应商针对本项目制定的项目管理响应方案进行综合评分，方案包括项目团队、质量管理，进度管理内容的，得2分。如方案未包括以上内容的或未提供的，不得分，下列“项目管理响应方案（项目团队、质量管理，进度管理等）B”也不得分。</w:t>
            </w:r>
          </w:p>
        </w:tc>
      </w:tr>
      <w:tr>
        <w:tc>
          <w:tcPr>
            <w:tcW w:type="dxa" w:w="922"/>
            <w:gridSpan w:val="2"/>
            <w:vMerge/>
          </w:tcPr>
          <w:p/>
        </w:tc>
        <w:tc>
          <w:tcPr>
            <w:tcW w:type="dxa" w:w="2307"/>
          </w:tcPr>
          <w:p>
            <w:pPr>
              <w:pStyle w:val="null3"/>
              <w:jc w:val="left"/>
            </w:pPr>
            <w:r>
              <w:rPr/>
              <w:t>项目管理响应方案（项目团队、质量管理，进度管理等）B (3.0分)</w:t>
            </w:r>
          </w:p>
        </w:tc>
        <w:tc>
          <w:tcPr>
            <w:tcW w:type="dxa" w:w="5076"/>
          </w:tcPr>
          <w:p>
            <w:pPr>
              <w:pStyle w:val="null3"/>
              <w:jc w:val="left"/>
            </w:pPr>
            <w:r>
              <w:rPr/>
              <w:t>项目团队、质量管理，进度管理内容能完全满足采购需求的，得3分；能部分满足采购需求的，得1.5分；不能满足采购需求的，不得分。</w:t>
            </w:r>
          </w:p>
        </w:tc>
      </w:tr>
      <w:tr>
        <w:tc>
          <w:tcPr>
            <w:tcW w:type="dxa" w:w="922"/>
            <w:gridSpan w:val="2"/>
            <w:vMerge/>
          </w:tcPr>
          <w:p/>
        </w:tc>
        <w:tc>
          <w:tcPr>
            <w:tcW w:type="dxa" w:w="2307"/>
          </w:tcPr>
          <w:p>
            <w:pPr>
              <w:pStyle w:val="null3"/>
              <w:jc w:val="left"/>
            </w:pPr>
            <w:r>
              <w:rPr/>
              <w:t>服务保障方案A (2.0分)</w:t>
            </w:r>
          </w:p>
        </w:tc>
        <w:tc>
          <w:tcPr>
            <w:tcW w:type="dxa" w:w="5076"/>
          </w:tcPr>
          <w:p>
            <w:pPr>
              <w:pStyle w:val="null3"/>
              <w:jc w:val="left"/>
            </w:pPr>
            <w:r>
              <w:rPr/>
              <w:t>根据供应商针对本项目制定的服务保障方案进行综合评分，方案包括线路及设备日常维护和监控、故障响应、报障专线服务、提供故障报告和运行报告、开通报告及验收测试报告、提供技术咨询、售后服务团队，得2分。如方案未包括以上内容的或未提供的，不得分，下列“服务保障方案B”也不得分</w:t>
            </w:r>
          </w:p>
        </w:tc>
      </w:tr>
      <w:tr>
        <w:tc>
          <w:tcPr>
            <w:tcW w:type="dxa" w:w="922"/>
            <w:gridSpan w:val="2"/>
            <w:vMerge/>
          </w:tcPr>
          <w:p/>
        </w:tc>
        <w:tc>
          <w:tcPr>
            <w:tcW w:type="dxa" w:w="2307"/>
          </w:tcPr>
          <w:p>
            <w:pPr>
              <w:pStyle w:val="null3"/>
              <w:jc w:val="left"/>
            </w:pPr>
            <w:r>
              <w:rPr/>
              <w:t>服务保障方案B (3.0分)</w:t>
            </w:r>
          </w:p>
        </w:tc>
        <w:tc>
          <w:tcPr>
            <w:tcW w:type="dxa" w:w="5076"/>
          </w:tcPr>
          <w:p>
            <w:pPr>
              <w:pStyle w:val="null3"/>
              <w:jc w:val="left"/>
            </w:pPr>
            <w:r>
              <w:rPr/>
              <w:t>服务保障方案能完全满足采购需求的，得3分；能部分满足采购需求的，得1.5分；不能满足采购需求的，不得分。</w:t>
            </w:r>
          </w:p>
        </w:tc>
      </w:tr>
      <w:tr>
        <w:tc>
          <w:tcPr>
            <w:tcW w:type="dxa" w:w="922"/>
            <w:gridSpan w:val="2"/>
            <w:vMerge w:val="restart"/>
          </w:tcPr>
          <w:p>
            <w:pPr>
              <w:pStyle w:val="null3"/>
              <w:jc w:val="center"/>
            </w:pPr>
            <w:r>
              <w:rPr/>
              <w:t>商务部分</w:t>
            </w:r>
          </w:p>
        </w:tc>
        <w:tc>
          <w:tcPr>
            <w:tcW w:type="dxa" w:w="2307"/>
          </w:tcPr>
          <w:p>
            <w:pPr>
              <w:pStyle w:val="null3"/>
              <w:jc w:val="left"/>
            </w:pPr>
            <w:r>
              <w:rPr/>
              <w:t>本项目项目经理的资质情况 (10.0分)</w:t>
            </w:r>
          </w:p>
        </w:tc>
        <w:tc>
          <w:tcPr>
            <w:tcW w:type="dxa" w:w="5076"/>
          </w:tcPr>
          <w:p>
            <w:pPr>
              <w:pStyle w:val="null3"/>
              <w:jc w:val="left"/>
            </w:pPr>
            <w:r>
              <w:rPr/>
              <w:t>拟投入本项目的项目经理： 1、具有计算机技术与软件专业技术资格的信息系统项目管理师证书； 2、具有计算机技术与软件专业技术资格的系统规划与管理师证书； 3、具有通信专业技术人员职业资格证书（专业：互联网技术）； 4、具有本科或以上毕业证书（网络工程专业或电子信息工程专业）。 项目经理本人同时具备以上4个的得10分，每缺1个扣2.5分，扣完为止。注:投标人须提供项目经理的证书扫描件，以及在投标人任职的外部证明材料（如加盖政府有关部门印章的打印日期在本项目投标截止日之前六个月内任意一个月的《投保单》或《社会保险参保人员证明》，或单位代缴个人所得税税单等，否则无效。</w:t>
            </w:r>
          </w:p>
        </w:tc>
      </w:tr>
      <w:tr>
        <w:tc>
          <w:tcPr>
            <w:tcW w:type="dxa" w:w="922"/>
            <w:gridSpan w:val="2"/>
            <w:vMerge/>
          </w:tcPr>
          <w:p/>
        </w:tc>
        <w:tc>
          <w:tcPr>
            <w:tcW w:type="dxa" w:w="2307"/>
          </w:tcPr>
          <w:p>
            <w:pPr>
              <w:pStyle w:val="null3"/>
              <w:jc w:val="left"/>
            </w:pPr>
            <w:r>
              <w:rPr/>
              <w:t>本项目技术负责人（非项目经理）的资质情况 (6.0分)</w:t>
            </w:r>
          </w:p>
        </w:tc>
        <w:tc>
          <w:tcPr>
            <w:tcW w:type="dxa" w:w="5076"/>
          </w:tcPr>
          <w:p>
            <w:pPr>
              <w:pStyle w:val="null3"/>
              <w:jc w:val="left"/>
            </w:pPr>
            <w:r>
              <w:rPr/>
              <w:t>拟投入本项目的技术负责人（项目经理除外）： 1、具有计算机技术与软件专业技术资格的网络规划设计师证书； 2、具有计算机技术与软件专业技术资格的网络工程师； 3、具有本科或以上毕业证书。 项目技术负责人同时具备以上3个的得6分，每缺1个扣2分，扣完为止。 注: 投标人须提供技术负责人的证书扫描件，以及在投标人任职的外部证明材料（如加盖政府有关部门印章的打印日期在本项目投标截止日之前六个月内任意一个月的《投保单》或《社会保险参保人员证明》，或单位代缴个人所得税税单等，否则无效。</w:t>
            </w:r>
          </w:p>
        </w:tc>
      </w:tr>
      <w:tr>
        <w:tc>
          <w:tcPr>
            <w:tcW w:type="dxa" w:w="922"/>
            <w:gridSpan w:val="2"/>
            <w:vMerge/>
          </w:tcPr>
          <w:p/>
        </w:tc>
        <w:tc>
          <w:tcPr>
            <w:tcW w:type="dxa" w:w="2307"/>
          </w:tcPr>
          <w:p>
            <w:pPr>
              <w:pStyle w:val="null3"/>
              <w:jc w:val="left"/>
            </w:pPr>
            <w:r>
              <w:rPr/>
              <w:t>本项目运维技术负责人（非项目经理、非项目技术负责人）资质情况 (6.0分)</w:t>
            </w:r>
          </w:p>
        </w:tc>
        <w:tc>
          <w:tcPr>
            <w:tcW w:type="dxa" w:w="5076"/>
          </w:tcPr>
          <w:p>
            <w:pPr>
              <w:pStyle w:val="null3"/>
              <w:jc w:val="left"/>
            </w:pPr>
            <w:r>
              <w:rPr/>
              <w:t>拟投入本项目的运维技术负责人（项目经理、项目技术负责人除外）： 1、具有计算机技术与软件专业技术资格的信息系统项目管理师证书； 2、具有计算机技术与软件专业技术资格的系统分析师证书； 3、具有本科或以上毕业证书。 项目运维技术负责人同时具备以上3个的得6分，每缺1个扣2分，扣完为止。 注: 投标人须提供运维技术负责人的证书扫描件，以及在投标人任职的外部证明材料（如加盖政府有关部门印章的打印日期在本项目投标截止日之前六个月内任意一个月的《投保单》或《社会保险参保人员证明》，或单位代缴个人所得税税单等，否则无效。</w:t>
            </w:r>
          </w:p>
        </w:tc>
      </w:tr>
      <w:tr>
        <w:tc>
          <w:tcPr>
            <w:tcW w:type="dxa" w:w="922"/>
            <w:gridSpan w:val="2"/>
            <w:vMerge/>
          </w:tcPr>
          <w:p/>
        </w:tc>
        <w:tc>
          <w:tcPr>
            <w:tcW w:type="dxa" w:w="2307"/>
          </w:tcPr>
          <w:p>
            <w:pPr>
              <w:pStyle w:val="null3"/>
              <w:jc w:val="left"/>
            </w:pPr>
            <w:r>
              <w:rPr/>
              <w:t>本项目团队其他技术管理人员（非项目经理、非技术负责人、非运维技术负责人）资质情况 (5.0分)</w:t>
            </w:r>
          </w:p>
        </w:tc>
        <w:tc>
          <w:tcPr>
            <w:tcW w:type="dxa" w:w="5076"/>
          </w:tcPr>
          <w:p>
            <w:pPr>
              <w:pStyle w:val="null3"/>
              <w:jc w:val="left"/>
            </w:pPr>
            <w:r>
              <w:rPr/>
              <w:t>1、具有通信专业技术人员职业资格证书（专业：传输与接入）； 2、具有通信专业技术人员职业资格证书（专业：交换技术）； 3、具有计算机技术与软件专业技术资格的系统集成项目管理工程师证书； 4、具有计算机技术与软件专业技术资格的网络工程师证书。 5、具有计算机技术与软件专业技术资格的信息系统项目管理师。 具有上述证书每提供1个得1分，最高5分。一人具备多证的，不重复计分。注:投标人须提供上述人员证书扫描件，以及其他技术管理人员在投标人服务的外部证明材料扫描件，如投标截止日之前六个月以内任意月份的代缴个税税单或参加社会保险的《投保单》或《社会保险参保人员证明》等。未同时提供不得分。</w:t>
            </w:r>
          </w:p>
        </w:tc>
      </w:tr>
      <w:tr>
        <w:tc>
          <w:tcPr>
            <w:tcW w:type="dxa" w:w="922"/>
            <w:gridSpan w:val="2"/>
            <w:vMerge/>
          </w:tcPr>
          <w:p/>
        </w:tc>
        <w:tc>
          <w:tcPr>
            <w:tcW w:type="dxa" w:w="2307"/>
          </w:tcPr>
          <w:p>
            <w:pPr>
              <w:pStyle w:val="null3"/>
              <w:jc w:val="left"/>
            </w:pPr>
            <w:r>
              <w:rPr/>
              <w:t>投标人具有的管理体系认证情况 (3.0分)</w:t>
            </w:r>
          </w:p>
        </w:tc>
        <w:tc>
          <w:tcPr>
            <w:tcW w:type="dxa" w:w="5076"/>
          </w:tcPr>
          <w:p>
            <w:pPr>
              <w:pStyle w:val="null3"/>
              <w:jc w:val="left"/>
            </w:pPr>
            <w:r>
              <w:rPr/>
              <w:t>1、具有质量管理体系认证证书； 2、具有环境管理体系认证证书； 3、具有职业健康安全管理体系认证证书。 投标人同时具有上述 3项认证，得 3 分；每缺一项认证扣 1分，扣完为止。注:提供证书扫描件及在全国认证认可信息公共服务平台上对证书的查询结果截图为证明材料。</w:t>
            </w:r>
          </w:p>
        </w:tc>
      </w:tr>
      <w:tr>
        <w:tc>
          <w:tcPr>
            <w:tcW w:type="dxa" w:w="922"/>
            <w:gridSpan w:val="2"/>
            <w:vMerge/>
          </w:tcPr>
          <w:p/>
        </w:tc>
        <w:tc>
          <w:tcPr>
            <w:tcW w:type="dxa" w:w="2307"/>
          </w:tcPr>
          <w:p>
            <w:pPr>
              <w:pStyle w:val="null3"/>
              <w:jc w:val="left"/>
            </w:pPr>
            <w:r>
              <w:rPr/>
              <w:t>投标人在2021年以来具有线路租用服务类项目经验，以合同关键页扫描件为准。（分公司投标的，总公司业绩可纳入评审） (4.0分)</w:t>
            </w:r>
          </w:p>
        </w:tc>
        <w:tc>
          <w:tcPr>
            <w:tcW w:type="dxa" w:w="5076"/>
          </w:tcPr>
          <w:p>
            <w:pPr>
              <w:pStyle w:val="null3"/>
              <w:jc w:val="left"/>
            </w:pPr>
            <w:r>
              <w:rPr/>
              <w:t>提供2021年1月1日以来具有线路租用服务类项目经验，提供合同关键页扫描件（包括项目名称，甲乙双方名称，甲乙双方盖章，合同签订时间）。每提供一个得1分，最高4分。不提供或未按要求提供不得分。</w:t>
            </w:r>
          </w:p>
        </w:tc>
      </w:tr>
      <w:tr>
        <w:tc>
          <w:tcPr>
            <w:tcW w:type="dxa" w:w="922"/>
            <w:gridSpan w:val="2"/>
            <w:vMerge/>
          </w:tcPr>
          <w:p/>
        </w:tc>
        <w:tc>
          <w:tcPr>
            <w:tcW w:type="dxa" w:w="2307"/>
          </w:tcPr>
          <w:p>
            <w:pPr>
              <w:pStyle w:val="null3"/>
              <w:jc w:val="left"/>
            </w:pPr>
            <w:r>
              <w:rPr/>
              <w:t>对非重大违法违规记录的扣分 (1.0分)</w:t>
            </w:r>
          </w:p>
        </w:tc>
        <w:tc>
          <w:tcPr>
            <w:tcW w:type="dxa" w:w="5076"/>
          </w:tcPr>
          <w:p>
            <w:pPr>
              <w:pStyle w:val="null3"/>
              <w:jc w:val="left"/>
            </w:pPr>
            <w:r>
              <w:rPr/>
              <w:t>以“信用中国”（www.creditchina.gov.cn）网站为查询渠道：对列入行政处罚或经营异常的供应商每一条记录扣0.1分，最高扣1分。如查询结果显示没有相关记录，视为没有上述非重大违法违规记录，则不扣分。以磋商小组于评审时在上述网站查询结果为准，磋商小组应将上述记录查询情况截图存档。注：总公司（总所）投标的，只查询总公司（总所）；分支机构（分所）投标的，只查询该分支机构。</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投标人的信用评价分以开标当天广州交易集团有限公司网站公布的分值为准（通过“广州交易集团有限公司网站-信用信息-广州公共资源交易信用平台2.0” 进行核实，未能在网站查询到供应商信用评价分的，以信用评价基准分（93.4分）计算）。供应商为联合体的，以牵头方信用评价分计算。）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sz w:val="39"/>
          <w:b/>
        </w:rPr>
        <w:t xml:space="preserve"> </w:t>
      </w:r>
    </w:p>
    <w:p>
      <w:pPr>
        <w:pStyle w:val="null3"/>
        <w:spacing w:before="0" w:after="0"/>
        <w:ind w:left="0" w:right="0"/>
        <w:jc w:val="center"/>
      </w:pPr>
      <w:r>
        <w:rPr>
          <w:sz w:val="39"/>
          <w:b/>
        </w:rPr>
        <w:t>广东省政府采购</w:t>
      </w:r>
    </w:p>
    <w:p>
      <w:pPr>
        <w:pStyle w:val="null3"/>
        <w:spacing w:before="150" w:after="150"/>
        <w:ind w:left="0" w:right="0"/>
        <w:jc w:val="both"/>
      </w:pPr>
      <w:r>
        <w:rPr>
          <w:sz w:val="39"/>
          <w:color w:val="222222"/>
        </w:rPr>
        <w:t xml:space="preserve"> </w:t>
      </w:r>
    </w:p>
    <w:p>
      <w:pPr>
        <w:pStyle w:val="null3"/>
        <w:spacing w:before="0" w:after="0"/>
        <w:ind w:left="0" w:right="0"/>
        <w:jc w:val="center"/>
      </w:pPr>
      <w:r>
        <w:rPr>
          <w:sz w:val="39"/>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spacing w:before="0" w:after="0"/>
        <w:ind w:left="0" w:right="0"/>
        <w:jc w:val="center"/>
      </w:pPr>
      <w:r>
        <w:rPr>
          <w:sz w:val="28"/>
          <w:color w:val="222222"/>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jc w:val="both"/>
      </w:pPr>
      <w:r>
        <w:br/>
      </w:r>
      <w:r>
        <w:rPr>
          <w:sz w:val="27"/>
          <w:color w:val="222222"/>
        </w:rPr>
        <w:t xml:space="preserve"> </w:t>
      </w:r>
    </w:p>
    <w:p>
      <w:pPr>
        <w:pStyle w:val="null3"/>
        <w:jc w:val="center"/>
      </w:pPr>
      <w:r>
        <w:rPr>
          <w:sz w:val="24"/>
          <w:b/>
        </w:rPr>
        <w:t>一、总</w:t>
      </w:r>
      <w:r>
        <w:rPr>
          <w:sz w:val="21"/>
          <w:b/>
        </w:rPr>
        <w:t xml:space="preserve">   </w:t>
      </w:r>
      <w:r>
        <w:rPr>
          <w:sz w:val="24"/>
          <w:b/>
        </w:rPr>
        <w:t>则</w:t>
      </w:r>
    </w:p>
    <w:p>
      <w:pPr>
        <w:pStyle w:val="null3"/>
        <w:jc w:val="both"/>
      </w:pPr>
      <w:r>
        <w:rPr>
          <w:sz w:val="24"/>
          <w:b/>
          <w:color w:val="000000"/>
        </w:rPr>
        <w:t>第一条</w:t>
      </w:r>
      <w:r>
        <w:rPr>
          <w:sz w:val="24"/>
          <w:color w:val="000000"/>
        </w:rPr>
        <w:t>合同当事人</w:t>
      </w:r>
    </w:p>
    <w:p>
      <w:pPr>
        <w:pStyle w:val="null3"/>
        <w:jc w:val="both"/>
      </w:pPr>
      <w:r>
        <w:rPr>
          <w:sz w:val="24"/>
          <w:color w:val="000000"/>
        </w:rPr>
        <w:t>甲方（采购人）：</w:t>
      </w:r>
    </w:p>
    <w:p>
      <w:pPr>
        <w:pStyle w:val="null3"/>
        <w:jc w:val="both"/>
      </w:pPr>
      <w:r>
        <w:rPr>
          <w:sz w:val="24"/>
          <w:color w:val="000000"/>
        </w:rPr>
        <w:t>乙方（中标人）：</w:t>
      </w:r>
    </w:p>
    <w:p>
      <w:pPr>
        <w:pStyle w:val="null3"/>
        <w:ind w:firstLine="480"/>
        <w:jc w:val="both"/>
      </w:pPr>
      <w:r>
        <w:rPr>
          <w:sz w:val="24"/>
          <w:color w:val="000000"/>
        </w:rPr>
        <w:t>根据《中华人民共和国民法典》、《中华人民共和国政府采购法》及广州市政府采购中心</w:t>
      </w:r>
      <w:r>
        <w:rPr>
          <w:sz w:val="24"/>
          <w:color w:val="000000"/>
        </w:rPr>
        <w:t>“</w:t>
      </w:r>
      <w:r>
        <w:rPr>
          <w:sz w:val="24"/>
          <w:color w:val="000000"/>
        </w:rPr>
        <w:t>广州市增城区政务服务数据管理局2024年 增城区政务网络村（社区）光纤租赁项目</w:t>
      </w:r>
      <w:r>
        <w:rPr>
          <w:sz w:val="24"/>
          <w:color w:val="000000"/>
        </w:rPr>
        <w:t>”</w:t>
      </w:r>
      <w:r>
        <w:rPr>
          <w:sz w:val="24"/>
          <w:color w:val="000000"/>
        </w:rPr>
        <w:t>（项目编号：</w:t>
      </w:r>
      <w:r>
        <w:rPr>
          <w:sz w:val="24"/>
          <w:color w:val="000000"/>
        </w:rPr>
        <w:t>CZ2024-0681</w:t>
      </w:r>
      <w:r>
        <w:rPr>
          <w:sz w:val="24"/>
          <w:color w:val="000000"/>
        </w:rPr>
        <w:t>）招标文件的要求和招标结果，经甲乙双方协商一致，签订本合同。双方共同遵守如下条款（技术说明及其他有关合同项目的特定信息由合同附件予以说明，合同附件及本项目的招标文件、投标文件、中标通知书、在实施过程中双方共同签署的补充文件等均为本合同不可分割之一部分）。</w:t>
      </w:r>
    </w:p>
    <w:p>
      <w:pPr>
        <w:pStyle w:val="null3"/>
        <w:jc w:val="both"/>
      </w:pPr>
      <w:r>
        <w:rPr>
          <w:sz w:val="24"/>
          <w:b/>
          <w:color w:val="000000"/>
        </w:rPr>
        <w:t>第二条</w:t>
      </w:r>
      <w:r>
        <w:rPr>
          <w:sz w:val="24"/>
          <w:color w:val="000000"/>
        </w:rPr>
        <w:t>乙方提供产品的受益人为甲方，甲乙双方均应对履行本合同承担相应的责任。乙方须完全遵守《中华人民共和国劳动合同法》有关规定和《中华人民共和国妇女权益保障法》中关于</w:t>
      </w:r>
      <w:r>
        <w:rPr>
          <w:sz w:val="24"/>
          <w:color w:val="000000"/>
        </w:rPr>
        <w:t>“</w:t>
      </w:r>
      <w:r>
        <w:rPr>
          <w:sz w:val="24"/>
          <w:color w:val="000000"/>
        </w:rPr>
        <w:t>劳动和社会保障权益</w:t>
      </w:r>
      <w:r>
        <w:rPr>
          <w:sz w:val="24"/>
          <w:color w:val="000000"/>
        </w:rPr>
        <w:t>”</w:t>
      </w:r>
      <w:r>
        <w:rPr>
          <w:sz w:val="24"/>
          <w:color w:val="000000"/>
        </w:rPr>
        <w:t>的有关要求。</w:t>
      </w:r>
    </w:p>
    <w:p>
      <w:pPr>
        <w:pStyle w:val="null3"/>
        <w:jc w:val="center"/>
      </w:pPr>
      <w:r>
        <w:rPr>
          <w:sz w:val="24"/>
          <w:b/>
          <w:color w:val="000000"/>
        </w:rPr>
        <w:t>二、采购内容及产品要求</w:t>
      </w:r>
    </w:p>
    <w:p>
      <w:pPr>
        <w:pStyle w:val="null3"/>
        <w:jc w:val="both"/>
      </w:pPr>
      <w:r>
        <w:rPr>
          <w:sz w:val="24"/>
          <w:b/>
          <w:color w:val="000000"/>
        </w:rPr>
        <w:t>第三条</w:t>
      </w:r>
      <w:r>
        <w:rPr>
          <w:sz w:val="24"/>
          <w:color w:val="000000"/>
        </w:rPr>
        <w:t>采购内容</w:t>
      </w:r>
    </w:p>
    <w:p>
      <w:pPr>
        <w:pStyle w:val="null3"/>
        <w:ind w:firstLine="600"/>
        <w:jc w:val="left"/>
      </w:pPr>
      <w:r>
        <w:rPr>
          <w:sz w:val="24"/>
          <w:color w:val="000000"/>
        </w:rPr>
        <w:t>本次项目租用期限为月。线路相关的网络设备、模块由乙方提供。所有线路包含初装费、租用和维护费、相关的设备调试及维护服务费用。乙方根据甲方要求提供以下服务内容：</w:t>
      </w:r>
    </w:p>
    <w:p>
      <w:pPr>
        <w:pStyle w:val="null3"/>
        <w:jc w:val="left"/>
      </w:pPr>
      <w:r>
        <w:rPr>
          <w:sz w:val="24"/>
          <w:color w:val="000000"/>
        </w:rPr>
        <w:t>详见第二章采购需求。</w:t>
      </w:r>
    </w:p>
    <w:p>
      <w:pPr>
        <w:pStyle w:val="null3"/>
        <w:jc w:val="both"/>
      </w:pPr>
      <w:r>
        <w:rPr>
          <w:sz w:val="24"/>
          <w:b/>
          <w:color w:val="000000"/>
        </w:rPr>
        <w:t>第四条</w:t>
      </w:r>
      <w:r>
        <w:rPr>
          <w:sz w:val="24"/>
          <w:color w:val="000000"/>
        </w:rPr>
        <w:t>服务要求</w:t>
      </w:r>
    </w:p>
    <w:p>
      <w:pPr>
        <w:pStyle w:val="null3"/>
        <w:jc w:val="left"/>
      </w:pPr>
      <w:r>
        <w:rPr>
          <w:sz w:val="24"/>
          <w:color w:val="000000"/>
        </w:rPr>
        <w:t>1</w:t>
      </w:r>
      <w:r>
        <w:rPr>
          <w:sz w:val="24"/>
          <w:color w:val="000000"/>
        </w:rPr>
        <w:t>、乙方应按双方签字确认的《光纤租赁确认书》所指定的开通时间内开通甲方指定光纤，并协助甲方进行网络调试。</w:t>
      </w:r>
    </w:p>
    <w:p>
      <w:pPr>
        <w:pStyle w:val="null3"/>
        <w:jc w:val="left"/>
      </w:pPr>
      <w:r>
        <w:rPr>
          <w:sz w:val="24"/>
          <w:color w:val="000000"/>
        </w:rPr>
        <w:t>2</w:t>
      </w:r>
      <w:r>
        <w:rPr>
          <w:sz w:val="24"/>
          <w:color w:val="000000"/>
        </w:rPr>
        <w:t>、乙方应保证出租的光纤的质量符合国家有关标准和规定。</w:t>
      </w:r>
    </w:p>
    <w:p>
      <w:pPr>
        <w:pStyle w:val="null3"/>
        <w:jc w:val="left"/>
      </w:pPr>
      <w:r>
        <w:rPr>
          <w:sz w:val="24"/>
          <w:color w:val="000000"/>
        </w:rPr>
        <w:t>3</w:t>
      </w:r>
      <w:r>
        <w:rPr>
          <w:sz w:val="24"/>
          <w:color w:val="000000"/>
        </w:rPr>
        <w:t>、乙方必须保证所出租的光纤为甲方独家使用，否则，视为乙方根本违约。</w:t>
      </w:r>
    </w:p>
    <w:p>
      <w:pPr>
        <w:pStyle w:val="null3"/>
        <w:jc w:val="left"/>
      </w:pPr>
      <w:r>
        <w:rPr>
          <w:sz w:val="24"/>
          <w:color w:val="000000"/>
        </w:rPr>
        <w:t>4</w:t>
      </w:r>
      <w:r>
        <w:rPr>
          <w:sz w:val="24"/>
          <w:color w:val="000000"/>
        </w:rPr>
        <w:t>、乙方应负责对向甲方所提供光纤以及相关设备的定期检查、日常维护、修缮及保养，加强值班和监测。当光纤发生故障时，乙方应及时通知甲方，并及时处理。</w:t>
      </w:r>
    </w:p>
    <w:p>
      <w:pPr>
        <w:pStyle w:val="null3"/>
        <w:jc w:val="left"/>
      </w:pPr>
      <w:r>
        <w:rPr>
          <w:sz w:val="24"/>
          <w:color w:val="000000"/>
        </w:rPr>
        <w:t>5</w:t>
      </w:r>
      <w:r>
        <w:rPr>
          <w:sz w:val="24"/>
          <w:color w:val="000000"/>
        </w:rPr>
        <w:t>、租赁期内，乙方负责对其提供的光纤、设备、软件等产品进行免费维修和免费升级。</w:t>
      </w:r>
    </w:p>
    <w:p>
      <w:pPr>
        <w:pStyle w:val="null3"/>
        <w:jc w:val="left"/>
      </w:pPr>
      <w:r>
        <w:rPr>
          <w:sz w:val="24"/>
          <w:color w:val="000000"/>
        </w:rPr>
        <w:t>6</w:t>
      </w:r>
      <w:r>
        <w:rPr>
          <w:sz w:val="24"/>
          <w:color w:val="000000"/>
        </w:rPr>
        <w:t>、乙方由于割接、维修等正常计划原因需中断甲方租用的光纤时，应至少提前</w:t>
      </w:r>
      <w:r>
        <w:rPr>
          <w:sz w:val="24"/>
          <w:color w:val="000000"/>
        </w:rPr>
        <w:t>48</w:t>
      </w:r>
      <w:r>
        <w:rPr>
          <w:sz w:val="24"/>
          <w:color w:val="000000"/>
        </w:rPr>
        <w:t>小时通知甲方，并安排相应措施尽量保证该光纤的畅通，对于紧急情况，甲乙双方另行协商。如果中断服务累计超过一日的，乙方应在</w:t>
      </w:r>
      <w:r>
        <w:rPr>
          <w:sz w:val="24"/>
          <w:color w:val="000000"/>
        </w:rPr>
        <w:t>12</w:t>
      </w:r>
      <w:r>
        <w:rPr>
          <w:sz w:val="24"/>
          <w:color w:val="000000"/>
        </w:rPr>
        <w:t>小时内提供相同品质的备用线路作为替代解决方案供甲方使用，否则需相应累计顺延租期。</w:t>
      </w:r>
    </w:p>
    <w:p>
      <w:pPr>
        <w:pStyle w:val="null3"/>
        <w:jc w:val="left"/>
      </w:pPr>
      <w:r>
        <w:rPr>
          <w:sz w:val="24"/>
          <w:color w:val="000000"/>
        </w:rPr>
        <w:t>7</w:t>
      </w:r>
      <w:r>
        <w:rPr>
          <w:sz w:val="24"/>
          <w:color w:val="000000"/>
        </w:rPr>
        <w:t>、乙方应保证租期内服务质量的稳定性，租期未到期之前，未经甲方同意，不得转让甲方所租用的光纤产权，不得转包光纤维护工作，否则视为违约，供方向需方赔偿合同总价的</w:t>
      </w:r>
      <w:r>
        <w:rPr>
          <w:sz w:val="24"/>
          <w:color w:val="000000"/>
        </w:rPr>
        <w:t>50%</w:t>
      </w:r>
      <w:r>
        <w:rPr>
          <w:sz w:val="24"/>
          <w:color w:val="000000"/>
        </w:rPr>
        <w:t>。</w:t>
      </w:r>
    </w:p>
    <w:p>
      <w:pPr>
        <w:pStyle w:val="null3"/>
        <w:jc w:val="left"/>
      </w:pPr>
      <w:r>
        <w:rPr>
          <w:sz w:val="24"/>
          <w:color w:val="000000"/>
        </w:rPr>
        <w:t>8</w:t>
      </w:r>
      <w:r>
        <w:rPr>
          <w:sz w:val="24"/>
          <w:color w:val="000000"/>
        </w:rPr>
        <w:t>、设立维护热线，为用户提供</w:t>
      </w:r>
      <w:r>
        <w:rPr>
          <w:sz w:val="24"/>
          <w:color w:val="000000"/>
        </w:rPr>
        <w:t>7x24</w:t>
      </w:r>
      <w:r>
        <w:rPr>
          <w:sz w:val="24"/>
          <w:color w:val="000000"/>
        </w:rPr>
        <w:t>的技术咨询服务；</w:t>
      </w:r>
    </w:p>
    <w:p>
      <w:pPr>
        <w:pStyle w:val="null3"/>
        <w:jc w:val="left"/>
      </w:pPr>
      <w:r>
        <w:rPr>
          <w:sz w:val="24"/>
          <w:color w:val="000000"/>
        </w:rPr>
        <w:t>9</w:t>
      </w:r>
      <w:r>
        <w:rPr>
          <w:sz w:val="24"/>
          <w:color w:val="000000"/>
        </w:rPr>
        <w:t>、接到用户的维修维护请求后，提供响应时间在</w:t>
      </w:r>
      <w:r>
        <w:rPr>
          <w:sz w:val="24"/>
          <w:color w:val="000000"/>
        </w:rPr>
        <w:t>8</w:t>
      </w:r>
      <w:r>
        <w:rPr>
          <w:sz w:val="24"/>
          <w:color w:val="000000"/>
        </w:rPr>
        <w:t>小时内的上门服务。在安全服务期内，如发生安全事故，需提供</w:t>
      </w:r>
      <w:r>
        <w:rPr>
          <w:sz w:val="24"/>
          <w:color w:val="000000"/>
        </w:rPr>
        <w:t>6</w:t>
      </w:r>
      <w:r>
        <w:rPr>
          <w:sz w:val="24"/>
          <w:color w:val="000000"/>
        </w:rPr>
        <w:t>小时内的现场紧急响应；</w:t>
      </w:r>
    </w:p>
    <w:p>
      <w:pPr>
        <w:pStyle w:val="null3"/>
        <w:jc w:val="left"/>
      </w:pPr>
      <w:r>
        <w:rPr>
          <w:sz w:val="24"/>
          <w:color w:val="000000"/>
        </w:rPr>
        <w:t>10</w:t>
      </w:r>
      <w:r>
        <w:rPr>
          <w:sz w:val="24"/>
          <w:color w:val="000000"/>
        </w:rPr>
        <w:t>、对于甲方利用光纤网络开展自身业务与在网络上使用相关软件系统，在不违反有关国家法律法规的前提下，乙方不得干涉。</w:t>
      </w:r>
    </w:p>
    <w:p>
      <w:pPr>
        <w:pStyle w:val="null3"/>
        <w:jc w:val="center"/>
      </w:pPr>
      <w:r>
        <w:rPr>
          <w:sz w:val="24"/>
          <w:b/>
          <w:color w:val="000000"/>
        </w:rPr>
        <w:t>三、合同总价及付款方式</w:t>
      </w:r>
    </w:p>
    <w:p>
      <w:pPr>
        <w:pStyle w:val="null3"/>
        <w:jc w:val="both"/>
      </w:pPr>
      <w:r>
        <w:rPr>
          <w:sz w:val="24"/>
          <w:b/>
          <w:color w:val="000000"/>
        </w:rPr>
        <w:t>第五条</w:t>
      </w:r>
      <w:r>
        <w:rPr>
          <w:sz w:val="24"/>
          <w:color w:val="000000"/>
        </w:rPr>
        <w:t>合同总价为人民币（大写）：</w:t>
      </w:r>
      <w:r>
        <w:rPr>
          <w:sz w:val="21"/>
          <w:u w:val="single"/>
        </w:rPr>
        <w:t xml:space="preserve">            </w:t>
      </w:r>
      <w:r>
        <w:rPr>
          <w:sz w:val="24"/>
          <w:color w:val="000000"/>
        </w:rPr>
        <w:t>，即￥</w:t>
      </w:r>
      <w:r>
        <w:rPr>
          <w:sz w:val="21"/>
          <w:u w:val="single"/>
        </w:rPr>
        <w:t xml:space="preserve">          </w:t>
      </w:r>
      <w:r>
        <w:rPr>
          <w:sz w:val="24"/>
          <w:color w:val="000000"/>
        </w:rPr>
        <w:t>。该合同总价是整体网络设计、</w:t>
      </w:r>
      <w:r>
        <w:rPr>
          <w:sz w:val="24"/>
        </w:rPr>
        <w:t>制造、包装、运输、安装调试、检测及验收合格之前及质保期内服务及备品备件发生的所有含税费用。本合同执行期间合同总价不变</w:t>
      </w:r>
      <w:r>
        <w:rPr>
          <w:sz w:val="24"/>
          <w:color w:val="000000"/>
        </w:rPr>
        <w:t>。</w:t>
      </w:r>
    </w:p>
    <w:p>
      <w:pPr>
        <w:pStyle w:val="null3"/>
        <w:jc w:val="both"/>
      </w:pPr>
      <w:r>
        <w:rPr>
          <w:sz w:val="24"/>
          <w:b/>
          <w:color w:val="000000"/>
        </w:rPr>
        <w:t>第六条</w:t>
      </w:r>
      <w:r>
        <w:rPr>
          <w:sz w:val="24"/>
          <w:color w:val="000000"/>
        </w:rPr>
        <w:t>付款方式</w:t>
      </w:r>
    </w:p>
    <w:p>
      <w:pPr>
        <w:pStyle w:val="null3"/>
        <w:ind w:firstLine="405"/>
        <w:jc w:val="both"/>
      </w:pPr>
      <w:r>
        <w:rPr>
          <w:sz w:val="24"/>
          <w:color w:val="000000"/>
        </w:rPr>
        <w:t>按采购文件第二章采购需求的规定。</w:t>
      </w:r>
    </w:p>
    <w:p>
      <w:pPr>
        <w:pStyle w:val="null3"/>
        <w:jc w:val="center"/>
      </w:pPr>
      <w:r>
        <w:rPr>
          <w:sz w:val="24"/>
          <w:b/>
          <w:color w:val="000000"/>
        </w:rPr>
        <w:t>四、开通及验收</w:t>
      </w:r>
    </w:p>
    <w:p>
      <w:pPr>
        <w:pStyle w:val="null3"/>
        <w:jc w:val="both"/>
      </w:pPr>
      <w:r>
        <w:rPr>
          <w:sz w:val="24"/>
          <w:b/>
          <w:color w:val="000000"/>
        </w:rPr>
        <w:t>第七条</w:t>
      </w:r>
      <w:r>
        <w:rPr>
          <w:sz w:val="24"/>
        </w:rPr>
        <w:t>开通、调试、验收合同生效后</w:t>
      </w:r>
      <w:r>
        <w:rPr>
          <w:sz w:val="24"/>
        </w:rPr>
        <w:t>天内。</w:t>
      </w:r>
    </w:p>
    <w:p>
      <w:pPr>
        <w:pStyle w:val="null3"/>
        <w:jc w:val="both"/>
      </w:pPr>
      <w:r>
        <w:rPr>
          <w:sz w:val="24"/>
          <w:b/>
          <w:color w:val="000000"/>
        </w:rPr>
        <w:t>第</w:t>
      </w:r>
      <w:r>
        <w:rPr>
          <w:sz w:val="24"/>
          <w:b/>
        </w:rPr>
        <w:t>八</w:t>
      </w:r>
      <w:r>
        <w:rPr>
          <w:sz w:val="24"/>
          <w:b/>
          <w:color w:val="000000"/>
        </w:rPr>
        <w:t>条</w:t>
      </w:r>
      <w:r>
        <w:rPr>
          <w:sz w:val="24"/>
          <w:color w:val="000000"/>
        </w:rPr>
        <w:t>服务地点</w:t>
      </w:r>
      <w:r>
        <w:rPr>
          <w:sz w:val="24"/>
        </w:rPr>
        <w:t>：甲方指定地点。</w:t>
      </w:r>
    </w:p>
    <w:p>
      <w:pPr>
        <w:pStyle w:val="null3"/>
        <w:jc w:val="both"/>
      </w:pPr>
      <w:r>
        <w:rPr>
          <w:sz w:val="24"/>
          <w:b/>
        </w:rPr>
        <w:t>第九条</w:t>
      </w:r>
      <w:r>
        <w:rPr>
          <w:sz w:val="24"/>
        </w:rPr>
        <w:t>由甲方与乙方一起进行到货验收，由乙方完成整体网络调试工作。产品若有国家标准按照国家标准验收，涉及设备整体无污染、无侵权行为、表面无划损、无任何缺陷隐患，在中国境内可依常规安全合法使用，同时符合本合同约定的质量要求。</w:t>
      </w:r>
    </w:p>
    <w:p>
      <w:pPr>
        <w:pStyle w:val="null3"/>
        <w:jc w:val="both"/>
      </w:pPr>
      <w:r>
        <w:rPr>
          <w:sz w:val="24"/>
          <w:b/>
        </w:rPr>
        <w:t>第</w:t>
      </w:r>
      <w:r>
        <w:rPr>
          <w:sz w:val="24"/>
          <w:b/>
          <w:color w:val="000000"/>
        </w:rPr>
        <w:t>十</w:t>
      </w:r>
      <w:r>
        <w:rPr>
          <w:sz w:val="24"/>
          <w:b/>
        </w:rPr>
        <w:t>条</w:t>
      </w:r>
      <w:r>
        <w:rPr>
          <w:sz w:val="24"/>
        </w:rPr>
        <w:t>乙方应将所提供系统整体验收方案等交付给甲方提交完善的验收文档（纸质、光介质）并接受咨询；因此导致逾期交付的，由乙方承担相关的违约责任。</w:t>
      </w:r>
    </w:p>
    <w:p>
      <w:pPr>
        <w:pStyle w:val="null3"/>
        <w:jc w:val="center"/>
      </w:pPr>
      <w:r>
        <w:rPr>
          <w:sz w:val="24"/>
          <w:b/>
          <w:color w:val="000000"/>
        </w:rPr>
        <w:t>五、服务保障</w:t>
      </w:r>
    </w:p>
    <w:p>
      <w:pPr>
        <w:pStyle w:val="null3"/>
        <w:jc w:val="both"/>
      </w:pPr>
      <w:r>
        <w:rPr>
          <w:sz w:val="24"/>
          <w:b/>
          <w:color w:val="000000"/>
        </w:rPr>
        <w:t>第十一条</w:t>
      </w:r>
      <w:r>
        <w:rPr>
          <w:sz w:val="24"/>
        </w:rPr>
        <w:t>乙方应为甲方提供免费培训服务，并指派专人负责与甲方联系服务保障事宜。主要培训内容为所有产品的基本知识、系统或参数配置、管理维护等相应的培训。</w:t>
      </w:r>
    </w:p>
    <w:p>
      <w:pPr>
        <w:pStyle w:val="null3"/>
        <w:jc w:val="both"/>
      </w:pPr>
      <w:r>
        <w:rPr>
          <w:sz w:val="24"/>
          <w:b/>
        </w:rPr>
        <w:t>第十</w:t>
      </w:r>
      <w:r>
        <w:rPr>
          <w:sz w:val="24"/>
          <w:b/>
          <w:color w:val="000000"/>
        </w:rPr>
        <w:t>二</w:t>
      </w:r>
      <w:r>
        <w:rPr>
          <w:sz w:val="24"/>
          <w:b/>
        </w:rPr>
        <w:t>条</w:t>
      </w:r>
      <w:r>
        <w:rPr>
          <w:sz w:val="24"/>
        </w:rPr>
        <w:t>乙方负责对所有线路及设备进行日常维护和监控，以保证区政务网所有光纤线路的正常运行，并制定相应的维护作业计划。技术维护人员每季度到现场对所有通信设施进行维护，以保障设备的安全可靠运行</w:t>
      </w:r>
    </w:p>
    <w:p>
      <w:pPr>
        <w:pStyle w:val="null3"/>
        <w:jc w:val="both"/>
      </w:pPr>
      <w:r>
        <w:rPr>
          <w:sz w:val="24"/>
          <w:b/>
        </w:rPr>
        <w:t>第十三条</w:t>
      </w:r>
      <w:r>
        <w:rPr>
          <w:sz w:val="24"/>
        </w:rPr>
        <w:t>链路中断修复时间，除因不可抗力导致链路中断以外，光纤问题乙方负责在</w:t>
      </w:r>
      <w:r>
        <w:rPr>
          <w:sz w:val="24"/>
        </w:rPr>
        <w:t>8</w:t>
      </w:r>
      <w:r>
        <w:rPr>
          <w:sz w:val="24"/>
        </w:rPr>
        <w:t>小时内修复（但因市政工程破坏需</w:t>
      </w:r>
      <w:r>
        <w:rPr>
          <w:sz w:val="24"/>
        </w:rPr>
        <w:t>24</w:t>
      </w:r>
      <w:r>
        <w:rPr>
          <w:sz w:val="24"/>
        </w:rPr>
        <w:t>小时），用户节点到光纤收发器端口的设备故障（</w:t>
      </w:r>
      <w:r>
        <w:rPr>
          <w:sz w:val="24"/>
        </w:rPr>
        <w:t>6</w:t>
      </w:r>
      <w:r>
        <w:rPr>
          <w:sz w:val="24"/>
        </w:rPr>
        <w:t>小时内）每月平均修复及时率</w:t>
      </w:r>
      <w:r>
        <w:rPr>
          <w:sz w:val="24"/>
        </w:rPr>
        <w:t>≥95%</w:t>
      </w:r>
    </w:p>
    <w:p>
      <w:pPr>
        <w:pStyle w:val="null3"/>
        <w:jc w:val="both"/>
      </w:pPr>
      <w:r>
        <w:rPr>
          <w:sz w:val="24"/>
        </w:rPr>
        <w:t>。</w:t>
      </w:r>
    </w:p>
    <w:p>
      <w:pPr>
        <w:pStyle w:val="null3"/>
        <w:jc w:val="both"/>
      </w:pPr>
      <w:r>
        <w:rPr>
          <w:sz w:val="24"/>
          <w:b/>
        </w:rPr>
        <w:t>第十四条</w:t>
      </w:r>
      <w:r>
        <w:rPr>
          <w:sz w:val="24"/>
        </w:rPr>
        <w:t>乙方需设立维护热线，为甲方提供</w:t>
      </w:r>
      <w:r>
        <w:rPr>
          <w:sz w:val="24"/>
        </w:rPr>
        <w:t>7×24</w:t>
      </w:r>
      <w:r>
        <w:rPr>
          <w:sz w:val="24"/>
        </w:rPr>
        <w:t>小时热线电话和远程技术支持服务。</w:t>
      </w:r>
    </w:p>
    <w:p>
      <w:pPr>
        <w:pStyle w:val="null3"/>
        <w:jc w:val="both"/>
      </w:pPr>
      <w:r>
        <w:rPr>
          <w:sz w:val="24"/>
          <w:b/>
        </w:rPr>
        <w:t>第十五条</w:t>
      </w:r>
      <w:r>
        <w:rPr>
          <w:sz w:val="24"/>
        </w:rPr>
        <w:t>所有产品保修服务方式均为乙方或原厂家上门保修，由此产生的一切费用均由乙方承担。租用的网络设备出现硬件故障时，供应商必须免费提供备品备件。</w:t>
      </w:r>
    </w:p>
    <w:p>
      <w:pPr>
        <w:pStyle w:val="null3"/>
        <w:jc w:val="both"/>
      </w:pPr>
      <w:r>
        <w:rPr>
          <w:sz w:val="24"/>
          <w:b/>
        </w:rPr>
        <w:t>第十六条</w:t>
      </w:r>
      <w:r>
        <w:rPr>
          <w:sz w:val="24"/>
        </w:rPr>
        <w:t>保修期内，乙方负责对其提供的产品进行维修或升级。由于维护原因，需中断光路进行割接操作时，必须提前至少</w:t>
      </w:r>
      <w:r>
        <w:rPr>
          <w:sz w:val="24"/>
        </w:rPr>
        <w:t>24</w:t>
      </w:r>
      <w:r>
        <w:rPr>
          <w:sz w:val="24"/>
        </w:rPr>
        <w:t>小时（重大自然灾害除外）通知甲方做好相关准备工作，施工作业时间尽量不能安排在工作日时间。</w:t>
      </w:r>
    </w:p>
    <w:p>
      <w:pPr>
        <w:pStyle w:val="null3"/>
        <w:jc w:val="both"/>
      </w:pPr>
      <w:r>
        <w:rPr>
          <w:sz w:val="24"/>
          <w:b/>
        </w:rPr>
        <w:t>第十七条</w:t>
      </w:r>
      <w:r>
        <w:rPr>
          <w:sz w:val="24"/>
        </w:rPr>
        <w:t>在服务期内，乙方须对所提供的设备做定期检查和保养。</w:t>
      </w:r>
    </w:p>
    <w:p>
      <w:pPr>
        <w:pStyle w:val="null3"/>
        <w:jc w:val="center"/>
      </w:pPr>
      <w:r>
        <w:rPr>
          <w:sz w:val="24"/>
          <w:b/>
          <w:color w:val="000000"/>
        </w:rPr>
        <w:t>六、违约责任</w:t>
      </w:r>
    </w:p>
    <w:p>
      <w:pPr>
        <w:pStyle w:val="null3"/>
        <w:jc w:val="left"/>
      </w:pPr>
      <w:r>
        <w:rPr>
          <w:sz w:val="24"/>
          <w:b/>
          <w:color w:val="000000"/>
        </w:rPr>
        <w:t>第十八条</w:t>
      </w:r>
      <w:r>
        <w:rPr>
          <w:sz w:val="24"/>
        </w:rPr>
        <w:t>甲方无正当理由拒收货物、拒付货款的，由甲方向乙方偿付合同总价的</w:t>
      </w:r>
      <w:r>
        <w:rPr>
          <w:sz w:val="24"/>
        </w:rPr>
        <w:t>5%</w:t>
      </w:r>
      <w:r>
        <w:rPr>
          <w:sz w:val="24"/>
        </w:rPr>
        <w:t>违约金</w:t>
      </w:r>
      <w:r>
        <w:rPr>
          <w:sz w:val="24"/>
          <w:color w:val="000000"/>
        </w:rPr>
        <w:t>。因甲方原因导致变更、中止或者终止本合同的，甲方应当对乙方受到的损失予以赔偿或补偿。</w:t>
      </w:r>
    </w:p>
    <w:p>
      <w:pPr>
        <w:pStyle w:val="null3"/>
        <w:jc w:val="left"/>
      </w:pPr>
      <w:r>
        <w:rPr>
          <w:sz w:val="24"/>
          <w:b/>
          <w:color w:val="000000"/>
        </w:rPr>
        <w:t>第十九条</w:t>
      </w:r>
      <w:r>
        <w:rPr>
          <w:sz w:val="24"/>
        </w:rPr>
        <w:t>甲方应在合同规定时间内向乙方支付款项，每逾期</w:t>
      </w:r>
      <w:r>
        <w:rPr>
          <w:sz w:val="24"/>
        </w:rPr>
        <w:t>1</w:t>
      </w:r>
      <w:r>
        <w:rPr>
          <w:sz w:val="24"/>
        </w:rPr>
        <w:t>天甲方向乙方偿付欠款总额的</w:t>
      </w:r>
      <w:r>
        <w:rPr>
          <w:sz w:val="24"/>
        </w:rPr>
        <w:t>5‰</w:t>
      </w:r>
      <w:r>
        <w:rPr>
          <w:sz w:val="24"/>
        </w:rPr>
        <w:t>违约金，累计不超过欠款总额的</w:t>
      </w:r>
      <w:r>
        <w:rPr>
          <w:sz w:val="24"/>
        </w:rPr>
        <w:t>5%</w:t>
      </w:r>
      <w:r>
        <w:rPr>
          <w:sz w:val="24"/>
          <w:color w:val="000000"/>
        </w:rPr>
        <w:t>。</w:t>
      </w:r>
    </w:p>
    <w:p>
      <w:pPr>
        <w:pStyle w:val="null3"/>
        <w:jc w:val="both"/>
      </w:pPr>
      <w:r>
        <w:rPr>
          <w:sz w:val="24"/>
          <w:b/>
          <w:color w:val="000000"/>
        </w:rPr>
        <w:t>第二十条</w:t>
      </w:r>
      <w:r>
        <w:rPr>
          <w:sz w:val="24"/>
        </w:rPr>
        <w:t>乙方逾期</w:t>
      </w:r>
      <w:r>
        <w:rPr>
          <w:sz w:val="24"/>
        </w:rPr>
        <w:t>15</w:t>
      </w:r>
      <w:r>
        <w:rPr>
          <w:sz w:val="24"/>
        </w:rPr>
        <w:t>天未交付产品视为乙方不能交付产品。乙方不能交付产品，则由乙方向甲方支付合同总价的</w:t>
      </w:r>
      <w:r>
        <w:rPr>
          <w:sz w:val="24"/>
        </w:rPr>
        <w:t>5%</w:t>
      </w:r>
      <w:r>
        <w:rPr>
          <w:sz w:val="24"/>
        </w:rPr>
        <w:t>的违约金</w:t>
      </w:r>
      <w:r>
        <w:rPr>
          <w:sz w:val="24"/>
          <w:color w:val="000000"/>
        </w:rPr>
        <w:t>。</w:t>
      </w:r>
    </w:p>
    <w:p>
      <w:pPr>
        <w:pStyle w:val="null3"/>
        <w:jc w:val="both"/>
      </w:pPr>
      <w:r>
        <w:rPr>
          <w:sz w:val="24"/>
          <w:b/>
          <w:color w:val="000000"/>
        </w:rPr>
        <w:t>第二十一条</w:t>
      </w:r>
      <w:r>
        <w:rPr>
          <w:sz w:val="24"/>
        </w:rPr>
        <w:t>乙方逾期交付产品的，每逾期</w:t>
      </w:r>
      <w:r>
        <w:rPr>
          <w:sz w:val="24"/>
        </w:rPr>
        <w:t>1</w:t>
      </w:r>
      <w:r>
        <w:rPr>
          <w:sz w:val="24"/>
        </w:rPr>
        <w:t>天，乙方向甲方偿付逾期交付部分款项总额的</w:t>
      </w:r>
      <w:r>
        <w:rPr>
          <w:sz w:val="24"/>
        </w:rPr>
        <w:t>5‰</w:t>
      </w:r>
      <w:r>
        <w:rPr>
          <w:sz w:val="24"/>
        </w:rPr>
        <w:t>的违约金，累计不超过逾期交付部分款项总额的</w:t>
      </w:r>
      <w:r>
        <w:rPr>
          <w:sz w:val="24"/>
        </w:rPr>
        <w:t>5%</w:t>
      </w:r>
      <w:r>
        <w:rPr>
          <w:sz w:val="24"/>
        </w:rPr>
        <w:t>，逾期交付超过</w:t>
      </w:r>
      <w:r>
        <w:rPr>
          <w:sz w:val="24"/>
        </w:rPr>
        <w:t>15</w:t>
      </w:r>
      <w:r>
        <w:rPr>
          <w:sz w:val="24"/>
        </w:rPr>
        <w:t>天，甲方有权终止合同，并追究违约责任</w:t>
      </w:r>
    </w:p>
    <w:p>
      <w:pPr>
        <w:pStyle w:val="null3"/>
        <w:jc w:val="both"/>
      </w:pPr>
      <w:r>
        <w:rPr>
          <w:sz w:val="24"/>
          <w:b/>
        </w:rPr>
        <w:t>第二十二条</w:t>
      </w:r>
      <w:r>
        <w:rPr>
          <w:sz w:val="24"/>
        </w:rPr>
        <w:t>乙方所交的产品、型号、规格不符合合同规定的，甲方有权拒收。乙方向甲方支付款项总额的</w:t>
      </w:r>
      <w:r>
        <w:rPr>
          <w:sz w:val="24"/>
        </w:rPr>
        <w:t>5%</w:t>
      </w:r>
      <w:r>
        <w:rPr>
          <w:sz w:val="24"/>
        </w:rPr>
        <w:t>违约金</w:t>
      </w:r>
    </w:p>
    <w:p>
      <w:pPr>
        <w:pStyle w:val="null3"/>
        <w:jc w:val="both"/>
      </w:pPr>
      <w:r>
        <w:rPr>
          <w:sz w:val="24"/>
          <w:b/>
        </w:rPr>
        <w:t>第二十三条</w:t>
      </w:r>
      <w:r>
        <w:rPr>
          <w:sz w:val="24"/>
        </w:rPr>
        <w:t>如经乙方两次维修，产品仍不能达到合同约定质量标准，甲方有权要求乙方退回款项，并赔偿甲方因此遭受的损失。</w:t>
      </w:r>
    </w:p>
    <w:p>
      <w:pPr>
        <w:pStyle w:val="null3"/>
        <w:jc w:val="both"/>
      </w:pPr>
      <w:r>
        <w:rPr>
          <w:sz w:val="24"/>
          <w:b/>
          <w:color w:val="000000"/>
        </w:rPr>
        <w:t>第二十四条</w:t>
      </w:r>
      <w:r>
        <w:rPr>
          <w:sz w:val="24"/>
        </w:rPr>
        <w:t>乙方所供产品必须权属清楚，不得侵害他人的知识产权，否则构成对甲方违约，并承担相应的赔偿责任。</w:t>
      </w:r>
    </w:p>
    <w:p>
      <w:pPr>
        <w:pStyle w:val="null3"/>
        <w:jc w:val="center"/>
      </w:pPr>
      <w:r>
        <w:rPr>
          <w:sz w:val="24"/>
          <w:b/>
          <w:color w:val="000000"/>
        </w:rPr>
        <w:t>七、不可抗力</w:t>
      </w:r>
    </w:p>
    <w:p>
      <w:pPr>
        <w:pStyle w:val="null3"/>
        <w:jc w:val="both"/>
      </w:pPr>
      <w:r>
        <w:rPr>
          <w:sz w:val="24"/>
          <w:b/>
          <w:color w:val="000000"/>
        </w:rPr>
        <w:t>第二十五条</w:t>
      </w:r>
      <w:r>
        <w:rPr>
          <w:sz w:val="24"/>
          <w:color w:val="000000"/>
        </w:rPr>
        <w:t>由于不可预见、不可避免、不可克服等不可抗力的原因，一方不能履行合同义务的，应当在不可抗力发生之日起</w:t>
      </w:r>
      <w:r>
        <w:rPr>
          <w:sz w:val="21"/>
          <w:u w:val="single"/>
        </w:rPr>
        <w:t xml:space="preserve">   </w:t>
      </w:r>
      <w:r>
        <w:rPr>
          <w:sz w:val="24"/>
          <w:color w:val="000000"/>
        </w:rPr>
        <w:t>天内以书面形式通知对方，证明不可抗力事件的存在。</w:t>
      </w:r>
    </w:p>
    <w:p>
      <w:pPr>
        <w:pStyle w:val="null3"/>
        <w:jc w:val="both"/>
      </w:pPr>
      <w:r>
        <w:rPr>
          <w:sz w:val="24"/>
          <w:b/>
          <w:color w:val="000000"/>
        </w:rPr>
        <w:t>第二十六条</w:t>
      </w:r>
      <w:r>
        <w:rPr>
          <w:sz w:val="24"/>
          <w:color w:val="000000"/>
        </w:rPr>
        <w:t>不可抗力事件发生后，甲方和乙方应当积极寻求以合理的方式履行本合同。如不可抗力无法消除，致使合同目的无法实现的，双方均有权解除合同，且均不互相索赔。</w:t>
      </w:r>
    </w:p>
    <w:p>
      <w:pPr>
        <w:pStyle w:val="null3"/>
        <w:jc w:val="center"/>
      </w:pPr>
      <w:r>
        <w:rPr>
          <w:sz w:val="24"/>
          <w:b/>
          <w:color w:val="000000"/>
        </w:rPr>
        <w:t>八、争议及解决办法</w:t>
      </w:r>
    </w:p>
    <w:p>
      <w:pPr>
        <w:pStyle w:val="null3"/>
        <w:jc w:val="both"/>
      </w:pPr>
      <w:r>
        <w:rPr>
          <w:sz w:val="24"/>
          <w:b/>
          <w:color w:val="000000"/>
        </w:rPr>
        <w:t>第二十七条</w:t>
      </w:r>
      <w:r>
        <w:rPr>
          <w:sz w:val="24"/>
        </w:rPr>
        <w:t>因产品的质量问题发生争议，由广州市市场监督管理局或其指定的质量鉴定单位进行质量鉴定。货物符合质量标准的，鉴定费由甲方承担；货物不符合质量标准的，鉴定费由乙方承担。</w:t>
      </w:r>
    </w:p>
    <w:p>
      <w:pPr>
        <w:pStyle w:val="null3"/>
        <w:jc w:val="both"/>
      </w:pPr>
      <w:r>
        <w:rPr>
          <w:sz w:val="24"/>
          <w:b/>
        </w:rPr>
        <w:t>第二十八条</w:t>
      </w:r>
      <w:r>
        <w:rPr>
          <w:sz w:val="24"/>
        </w:rPr>
        <w:t>本合同发生争议，由双方协商或由政府采购监管部门调解解决，协商或调解不成时按以下第</w:t>
      </w:r>
      <w:r>
        <w:rPr>
          <w:sz w:val="21"/>
          <w:u w:val="single"/>
        </w:rPr>
        <w:t xml:space="preserve">   </w:t>
      </w:r>
      <w:r>
        <w:rPr>
          <w:sz w:val="24"/>
        </w:rPr>
        <w:t>种方式解决：</w:t>
      </w:r>
    </w:p>
    <w:p>
      <w:pPr>
        <w:pStyle w:val="null3"/>
        <w:ind w:firstLine="809"/>
        <w:jc w:val="both"/>
      </w:pPr>
      <w:r>
        <w:rPr>
          <w:sz w:val="24"/>
        </w:rPr>
        <w:t>1.</w:t>
      </w:r>
      <w:r>
        <w:rPr>
          <w:sz w:val="24"/>
        </w:rPr>
        <w:t>中国广州仲裁委员会仲裁；</w:t>
      </w:r>
    </w:p>
    <w:p>
      <w:pPr>
        <w:pStyle w:val="null3"/>
        <w:ind w:firstLine="809"/>
        <w:jc w:val="both"/>
      </w:pPr>
      <w:r>
        <w:rPr>
          <w:sz w:val="24"/>
        </w:rPr>
        <w:t>2.</w:t>
      </w:r>
      <w:r>
        <w:rPr>
          <w:sz w:val="24"/>
        </w:rPr>
        <w:t>向甲方所在地人民法院提起诉讼。</w:t>
      </w:r>
    </w:p>
    <w:p>
      <w:pPr>
        <w:pStyle w:val="null3"/>
        <w:jc w:val="center"/>
      </w:pPr>
      <w:r>
        <w:rPr>
          <w:sz w:val="24"/>
          <w:b/>
          <w:color w:val="000000"/>
        </w:rPr>
        <w:t>九、其</w:t>
      </w:r>
      <w:r>
        <w:rPr>
          <w:sz w:val="21"/>
          <w:b/>
        </w:rPr>
        <w:t xml:space="preserve">  </w:t>
      </w:r>
      <w:r>
        <w:rPr>
          <w:sz w:val="24"/>
          <w:b/>
          <w:color w:val="000000"/>
        </w:rPr>
        <w:t>他</w:t>
      </w:r>
    </w:p>
    <w:p>
      <w:pPr>
        <w:pStyle w:val="null3"/>
        <w:jc w:val="both"/>
      </w:pPr>
      <w:r>
        <w:rPr>
          <w:sz w:val="21"/>
          <w:b/>
        </w:rPr>
        <w:t>第二十九条</w:t>
      </w:r>
      <w:r>
        <w:rPr>
          <w:sz w:val="21"/>
        </w:rPr>
        <w:t>本合同一式份，具有同等效力，甲、乙双方各执</w:t>
      </w:r>
      <w:r>
        <w:rPr>
          <w:sz w:val="21"/>
        </w:rPr>
        <w:t>份。合同自双方签字盖章之日起生效。</w:t>
      </w:r>
    </w:p>
    <w:p>
      <w:pPr>
        <w:pStyle w:val="null3"/>
        <w:jc w:val="both"/>
      </w:pPr>
      <w:r>
        <w:rPr>
          <w:sz w:val="21"/>
          <w:b/>
        </w:rPr>
        <w:t>第三十条</w:t>
      </w:r>
      <w:r>
        <w:rPr>
          <w:sz w:val="21"/>
        </w:rPr>
        <w:t>本合同未尽事宜，由双方协商处理。</w:t>
      </w:r>
    </w:p>
    <w:tbl>
      <w:tblPr>
        <w:tblW w:w="0" w:type="auto"/>
        <w:tblBorders>
          <w:top w:val="none" w:color="000000" w:sz="4"/>
          <w:left w:val="none" w:color="000000" w:sz="4"/>
          <w:bottom w:val="none" w:color="000000" w:sz="4"/>
          <w:right w:val="none" w:color="000000" w:sz="4"/>
          <w:insideH w:val="none"/>
          <w:insideV w:val="none"/>
        </w:tblBorders>
      </w:tblPr>
      <w:tblGrid>
        <w:gridCol w:w="1274"/>
        <w:gridCol w:w="2879"/>
        <w:gridCol w:w="1274"/>
        <w:gridCol w:w="2879"/>
      </w:tblGrid>
      <w:tr>
        <w:tc>
          <w:tcPr>
            <w:tcW w:type="dxa" w:w="1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甲方：</w:t>
            </w:r>
          </w:p>
        </w:tc>
        <w:tc>
          <w:tcPr>
            <w:tcW w:type="dxa" w:w="28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right"/>
            </w:pPr>
            <w:r>
              <w:rPr>
                <w:sz w:val="24"/>
              </w:rPr>
              <w:t>（盖章）</w:t>
            </w:r>
          </w:p>
        </w:tc>
        <w:tc>
          <w:tcPr>
            <w:tcW w:type="dxa" w:w="127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乙方：</w:t>
            </w:r>
          </w:p>
        </w:tc>
        <w:tc>
          <w:tcPr>
            <w:tcW w:type="dxa" w:w="28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right"/>
            </w:pPr>
            <w:r>
              <w:rPr>
                <w:sz w:val="24"/>
              </w:rPr>
              <w:t>（盖章）</w:t>
            </w:r>
          </w:p>
        </w:tc>
      </w:tr>
      <w:tr>
        <w:tc>
          <w:tcPr>
            <w:tcW w:type="dxa" w:w="12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签约代表：</w:t>
            </w:r>
          </w:p>
        </w:tc>
        <w:tc>
          <w:tcPr>
            <w:tcW w:type="dxa" w:w="28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签约代表：</w:t>
            </w:r>
          </w:p>
        </w:tc>
        <w:tc>
          <w:tcPr>
            <w:tcW w:type="dxa" w:w="28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2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地</w:t>
            </w:r>
            <w:r>
              <w:rPr>
                <w:sz w:val="21"/>
                <w:b/>
              </w:rPr>
              <w:t xml:space="preserve">   </w:t>
            </w:r>
            <w:r>
              <w:rPr>
                <w:sz w:val="24"/>
                <w:b/>
              </w:rPr>
              <w:t>址：</w:t>
            </w:r>
          </w:p>
        </w:tc>
        <w:tc>
          <w:tcPr>
            <w:tcW w:type="dxa" w:w="28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地</w:t>
            </w:r>
            <w:r>
              <w:rPr>
                <w:sz w:val="21"/>
                <w:b/>
              </w:rPr>
              <w:t xml:space="preserve">   </w:t>
            </w:r>
            <w:r>
              <w:rPr>
                <w:sz w:val="24"/>
                <w:b/>
              </w:rPr>
              <w:t>址：</w:t>
            </w:r>
          </w:p>
        </w:tc>
        <w:tc>
          <w:tcPr>
            <w:tcW w:type="dxa" w:w="28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2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电</w:t>
            </w:r>
            <w:r>
              <w:rPr>
                <w:sz w:val="21"/>
                <w:b/>
              </w:rPr>
              <w:t xml:space="preserve">   </w:t>
            </w:r>
            <w:r>
              <w:rPr>
                <w:sz w:val="24"/>
                <w:b/>
              </w:rPr>
              <w:t>话：</w:t>
            </w:r>
          </w:p>
        </w:tc>
        <w:tc>
          <w:tcPr>
            <w:tcW w:type="dxa" w:w="28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电</w:t>
            </w:r>
            <w:r>
              <w:rPr>
                <w:sz w:val="21"/>
                <w:b/>
              </w:rPr>
              <w:t xml:space="preserve">   </w:t>
            </w:r>
            <w:r>
              <w:rPr>
                <w:sz w:val="24"/>
                <w:b/>
              </w:rPr>
              <w:t>话：</w:t>
            </w:r>
          </w:p>
        </w:tc>
        <w:tc>
          <w:tcPr>
            <w:tcW w:type="dxa" w:w="28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2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传</w:t>
            </w:r>
            <w:r>
              <w:rPr>
                <w:sz w:val="21"/>
                <w:b/>
              </w:rPr>
              <w:t xml:space="preserve">   </w:t>
            </w:r>
            <w:r>
              <w:rPr>
                <w:sz w:val="24"/>
                <w:b/>
              </w:rPr>
              <w:t>真：</w:t>
            </w:r>
          </w:p>
        </w:tc>
        <w:tc>
          <w:tcPr>
            <w:tcW w:type="dxa" w:w="28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传</w:t>
            </w:r>
            <w:r>
              <w:rPr>
                <w:sz w:val="21"/>
                <w:b/>
              </w:rPr>
              <w:t xml:space="preserve">   </w:t>
            </w:r>
            <w:r>
              <w:rPr>
                <w:sz w:val="24"/>
                <w:b/>
              </w:rPr>
              <w:t>真：</w:t>
            </w:r>
          </w:p>
        </w:tc>
        <w:tc>
          <w:tcPr>
            <w:tcW w:type="dxa" w:w="28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12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签约日期：</w:t>
            </w:r>
          </w:p>
        </w:tc>
        <w:tc>
          <w:tcPr>
            <w:tcW w:type="dxa" w:w="28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240"/>
              <w:jc w:val="both"/>
            </w:pPr>
            <w:r>
              <w:rPr>
                <w:sz w:val="21"/>
              </w:rPr>
              <w:t xml:space="preserve"> </w:t>
            </w:r>
            <w:r>
              <w:rPr>
                <w:sz w:val="24"/>
              </w:rPr>
              <w:t>年</w:t>
            </w:r>
            <w:r>
              <w:rPr>
                <w:sz w:val="21"/>
              </w:rPr>
              <w:t xml:space="preserve">  </w:t>
            </w:r>
            <w:r>
              <w:rPr>
                <w:sz w:val="24"/>
              </w:rPr>
              <w:t>月</w:t>
            </w:r>
            <w:r>
              <w:rPr>
                <w:sz w:val="21"/>
              </w:rPr>
              <w:t xml:space="preserve">  </w:t>
            </w:r>
            <w:r>
              <w:rPr>
                <w:sz w:val="24"/>
              </w:rPr>
              <w:t>日</w:t>
            </w:r>
          </w:p>
        </w:tc>
        <w:tc>
          <w:tcPr>
            <w:tcW w:type="dxa" w:w="12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签约日期：</w:t>
            </w:r>
          </w:p>
        </w:tc>
        <w:tc>
          <w:tcPr>
            <w:tcW w:type="dxa" w:w="28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240"/>
              <w:jc w:val="both"/>
            </w:pPr>
            <w:r>
              <w:rPr>
                <w:sz w:val="21"/>
              </w:rPr>
              <w:t xml:space="preserve"> </w:t>
            </w:r>
            <w:r>
              <w:rPr>
                <w:sz w:val="24"/>
              </w:rPr>
              <w:t>年</w:t>
            </w:r>
            <w:r>
              <w:rPr>
                <w:sz w:val="21"/>
              </w:rPr>
              <w:t xml:space="preserve">  </w:t>
            </w:r>
            <w:r>
              <w:rPr>
                <w:sz w:val="24"/>
              </w:rPr>
              <w:t>月</w:t>
            </w:r>
            <w:r>
              <w:rPr>
                <w:sz w:val="21"/>
              </w:rPr>
              <w:t xml:space="preserve">  </w:t>
            </w:r>
            <w:r>
              <w:rPr>
                <w:sz w:val="24"/>
              </w:rPr>
              <w:t>日</w:t>
            </w:r>
          </w:p>
        </w:tc>
      </w:tr>
    </w:tbl>
    <w:p>
      <w:pPr>
        <w:pStyle w:val="null3"/>
      </w:pPr>
      <w:r>
        <w:rPr/>
        <w:t xml:space="preserve">  </w:t>
      </w:r>
    </w:p>
    <w:p>
      <w:pPr>
        <w:pStyle w:val="null3"/>
        <w:spacing w:before="0" w:after="0"/>
        <w:ind w:left="0" w:right="0"/>
        <w:jc w:val="both"/>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440118-2024-01783</w:t>
      </w:r>
    </w:p>
    <w:p>
      <w:pPr>
        <w:pStyle w:val="null3"/>
        <w:jc w:val="center"/>
        <w:outlineLvl w:val="3"/>
      </w:pPr>
      <w:r>
        <w:rPr>
          <w:sz w:val="24"/>
          <w:b/>
        </w:rPr>
        <w:t>采购项目编号：</w:t>
      </w:r>
      <w:r>
        <w:rPr>
          <w:sz w:val="24"/>
          <w:b/>
        </w:rPr>
        <w:t>CZ2024-0681</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广州市政府采购中心</w:t>
      </w:r>
    </w:p>
    <w:p>
      <w:pPr>
        <w:pStyle w:val="null3"/>
        <w:ind w:firstLine="480"/>
      </w:pPr>
      <w:r>
        <w:rPr/>
        <w:t xml:space="preserve"> 你方组织的</w:t>
      </w:r>
      <w:r>
        <w:rPr>
          <w:u w:val="single"/>
        </w:rPr>
        <w:t>“</w:t>
      </w:r>
      <w:r>
        <w:rPr>
          <w:u w:val="single"/>
        </w:rPr>
        <w:t>广州市增城区政务服务数据管理局2024年 增城区政务网络村（社区）光纤租赁项目</w:t>
      </w:r>
      <w:r>
        <w:rPr>
          <w:u w:val="single"/>
        </w:rPr>
        <w:t>”</w:t>
      </w:r>
      <w:r>
        <w:rPr/>
        <w:t>项目的招标[采购项目编号为：</w:t>
      </w:r>
      <w:r>
        <w:rPr>
          <w:u w:val="single"/>
        </w:rPr>
        <w:t>CZ2024-0681</w:t>
      </w:r>
      <w:r>
        <w:rPr/>
        <w:t>]，我方愿参与投标。</w:t>
      </w:r>
    </w:p>
    <w:p>
      <w:pPr>
        <w:pStyle w:val="null3"/>
        <w:ind w:firstLine="480"/>
      </w:pPr>
      <w:r>
        <w:rPr/>
        <w:t>我方确认收到贵方提供的</w:t>
      </w:r>
      <w:r>
        <w:rPr>
          <w:u w:val="single"/>
        </w:rPr>
        <w:t>“</w:t>
      </w:r>
      <w:r>
        <w:rPr>
          <w:u w:val="single"/>
        </w:rPr>
        <w:t>广州市增城区政务服务数据管理局2024年 增城区政务网络村（社区）光纤租赁项目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（十二）我方承诺遵守《中华人民共和国劳动合同法》有关规定和《中华人民共和国妇女权益保障法》中关于“劳动和社会保障权益”的有关要求。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广州市政府采购中心</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广州市增城区政务服务数据管理局2024年 增城区政务网络村（社区）光纤租赁项目</w:t>
      </w:r>
      <w:r>
        <w:rPr/>
        <w:t>”项目采购[采购项目编号为</w:t>
      </w:r>
      <w:r>
        <w:rPr/>
        <w:t>CZ2024-0681</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广州市增城区政务服务数据管理局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pPr>
      <w:r>
        <w:rPr/>
        <w:t>温馨提示：根据《广州市财政局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供应商提供第三方（如生产商）书面声明、检测报告等资料作为投标文件组成部分的，供应商应保证投标所提供第三方资料内容真实、完整、准确。如相关第三方书面声明、相关检测报告等资料虚假，监管部门有权根据调查情形认定其是否属于提供虚假材料谋取中标，并严肃处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 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广州市政府采购中心</w:t>
      </w:r>
    </w:p>
    <w:p>
      <w:pPr>
        <w:pStyle w:val="null3"/>
        <w:ind w:firstLine="480"/>
      </w:pPr>
      <w:r>
        <w:rPr/>
        <w:t xml:space="preserve"> 如果我方在贵采购代理机构组织的</w:t>
      </w:r>
      <w:r>
        <w:rPr/>
        <w:t>广州市增城区政务服务数据管理局2024年 增城区政务网络村（社区）光纤租赁项目</w:t>
      </w:r>
      <w:r>
        <w:rPr/>
        <w:t>招标中获中标（采购项目编号：</w:t>
      </w:r>
      <w:r>
        <w:rPr/>
        <w:t>CZ2024-0681</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广州市政府采购中心</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