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440115-2024-02017</w:t>
      </w:r>
    </w:p>
    <w:p>
      <w:pPr>
        <w:pStyle w:val="null3"/>
        <w:jc w:val="center"/>
        <w:outlineLvl w:val="3"/>
      </w:pPr>
      <w:r>
        <w:rPr>
          <w:sz w:val="24"/>
          <w:b/>
        </w:rPr>
        <w:t>采购项目编号：</w:t>
      </w:r>
      <w:r>
        <w:rPr>
          <w:sz w:val="24"/>
          <w:b/>
        </w:rPr>
        <w:t>CZ2024-0771</w:t>
      </w:r>
    </w:p>
    <w:p>
      <w:pPr>
        <w:pStyle w:val="null3"/>
        <w:jc w:val="center"/>
        <w:outlineLvl w:val="3"/>
      </w:pPr>
      <w:r>
        <w:rPr>
          <w:sz w:val="24"/>
          <w:b/>
        </w:rPr>
        <w:t>项目名称：</w:t>
      </w:r>
      <w:r>
        <w:rPr>
          <w:sz w:val="24"/>
          <w:b/>
        </w:rPr>
        <w:t>广州市南沙区财政局2024-2027年财政投资评审服务项目</w:t>
      </w:r>
    </w:p>
    <w:p>
      <w:pPr>
        <w:pStyle w:val="null3"/>
        <w:jc w:val="center"/>
        <w:outlineLvl w:val="3"/>
      </w:pPr>
      <w:r>
        <w:rPr>
          <w:sz w:val="24"/>
          <w:b/>
        </w:rPr>
        <w:t>采购人：</w:t>
      </w:r>
      <w:r>
        <w:rPr>
          <w:sz w:val="24"/>
          <w:b/>
        </w:rPr>
        <w:t>广州市南沙区财政局</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广州市政府采购中心</w:t>
      </w:r>
      <w:r>
        <w:rPr/>
        <w:t>受</w:t>
      </w:r>
      <w:r>
        <w:rPr/>
        <w:t>广州市南沙区财政局</w:t>
      </w:r>
      <w:r>
        <w:rPr/>
        <w:t>的委托，采用</w:t>
      </w:r>
      <w:r>
        <w:rPr/>
        <w:t>公开招标</w:t>
      </w:r>
      <w:r>
        <w:rPr/>
        <w:t>方式组织采购</w:t>
      </w:r>
      <w:r>
        <w:rPr/>
        <w:t>广州市南沙区财政局2024-2027年财政投资评审服务项目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广州市南沙区财政局2024-2027年财政投资评审服务项目</w:t>
      </w:r>
    </w:p>
    <w:p>
      <w:pPr>
        <w:pStyle w:val="null3"/>
        <w:ind w:firstLine="480"/>
      </w:pPr>
      <w:r>
        <w:rPr/>
        <w:t>采购计划编号：</w:t>
      </w:r>
      <w:r>
        <w:rPr/>
        <w:t>440115-2024-02017</w:t>
      </w:r>
    </w:p>
    <w:p>
      <w:pPr>
        <w:pStyle w:val="null3"/>
        <w:ind w:firstLine="480"/>
      </w:pPr>
      <w:r>
        <w:rPr/>
        <w:t>采购项目编号：</w:t>
      </w:r>
      <w:r>
        <w:rPr/>
        <w:t>CZ2024-0771</w:t>
      </w:r>
    </w:p>
    <w:p>
      <w:pPr>
        <w:pStyle w:val="null3"/>
        <w:ind w:firstLine="480"/>
      </w:pPr>
      <w:r>
        <w:rPr/>
        <w:t>采购方式：</w:t>
      </w:r>
      <w:r>
        <w:rPr/>
        <w:t>公开招标</w:t>
      </w:r>
    </w:p>
    <w:p>
      <w:pPr>
        <w:pStyle w:val="null3"/>
        <w:ind w:firstLine="480"/>
      </w:pPr>
      <w:r>
        <w:rPr/>
        <w:t>预算金额：</w:t>
      </w:r>
      <w:r>
        <w:rPr/>
        <w:t>92,000,000.00</w:t>
      </w:r>
      <w:r>
        <w:rPr/>
        <w:t>元</w:t>
      </w:r>
    </w:p>
    <w:p>
      <w:pPr>
        <w:pStyle w:val="null3"/>
        <w:outlineLvl w:val="3"/>
      </w:pPr>
      <w:r>
        <w:rPr>
          <w:sz w:val="24"/>
          <w:b/>
        </w:rPr>
        <w:t>2.项目内容及需求情况（采购项目技术规格、参数及要求）</w:t>
      </w:r>
    </w:p>
    <w:p>
      <w:pPr>
        <w:pStyle w:val="null3"/>
      </w:pPr>
      <w:r>
        <w:rPr/>
        <w:t>采购包1(1):</w:t>
      </w:r>
    </w:p>
    <w:p>
      <w:pPr>
        <w:pStyle w:val="null3"/>
      </w:pPr>
      <w:r>
        <w:rPr/>
        <w:t>采购包预算金额：92,000,000.00元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其他专业技术服务</w:t>
            </w:r>
          </w:p>
        </w:tc>
        <w:tc>
          <w:tcPr>
            <w:tcW w:type="dxa" w:w="2052"/>
          </w:tcPr>
          <w:p>
            <w:pPr>
              <w:pStyle w:val="null3"/>
            </w:pPr>
            <w:r>
              <w:rPr/>
              <w:t>广州市南沙区财政局2024-2027年财政投资评审服务项目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92,000,000.00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合同履行期限：自合同签订生效之日起三年（合同到期或合同金额支付完毕，视为合同终止）。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p>
      <w:pPr>
        <w:pStyle w:val="null3"/>
      </w:pPr>
      <w:r>
        <w:rPr/>
        <w:t>2）有依法缴纳税收和社会保障资金的良好记录：依据《投标函》。</w:t>
      </w:r>
    </w:p>
    <w:p>
      <w:pPr>
        <w:pStyle w:val="null3"/>
      </w:pPr>
      <w:r>
        <w:rPr/>
        <w:t>3）具有良好的商业信誉和健全的财务会计制度：依据《投标函》。</w:t>
      </w:r>
    </w:p>
    <w:p>
      <w:pPr>
        <w:pStyle w:val="null3"/>
      </w:pPr>
      <w:r>
        <w:rPr/>
        <w:t>4）履行合同所必需的设备和专业技术能力：依据《投标函》。</w:t>
      </w:r>
    </w:p>
    <w:p>
      <w:pPr>
        <w:pStyle w:val="null3"/>
      </w:pPr>
      <w:r>
        <w:rPr/>
        <w:t>5）参加采购活动前3年内，在经营活动中没有重大违法记录：依据《投标函》。</w:t>
      </w:r>
    </w:p>
    <w:p>
      <w:pPr>
        <w:pStyle w:val="null3"/>
        <w:outlineLvl w:val="3"/>
      </w:pPr>
      <w:r>
        <w:rPr>
          <w:sz w:val="24"/>
          <w:b/>
        </w:rPr>
        <w:t>2.落实政府采购政策需满足的资格要求：</w:t>
      </w:r>
    </w:p>
    <w:p>
      <w:pPr>
        <w:pStyle w:val="null3"/>
        <w:jc w:val="left"/>
      </w:pPr>
      <w:r>
        <w:rPr/>
        <w:t>采购包1（1）：</w:t>
      </w:r>
      <w:r>
        <w:rPr/>
        <w:t>本项目不属于专门面向中小企业采购的项目。</w:t>
      </w:r>
    </w:p>
    <w:p>
      <w:pPr>
        <w:pStyle w:val="null3"/>
        <w:outlineLvl w:val="3"/>
      </w:pPr>
      <w:r>
        <w:rPr>
          <w:sz w:val="24"/>
          <w:b/>
        </w:rPr>
        <w:t>3.本项目特定的资格要求：</w:t>
      </w:r>
    </w:p>
    <w:p>
      <w:pPr>
        <w:pStyle w:val="null3"/>
      </w:pPr>
      <w:r>
        <w:rPr/>
        <w:t>采购包1（1）：</w:t>
      </w:r>
    </w:p>
    <w:p>
      <w:pPr>
        <w:pStyle w:val="null3"/>
      </w:pPr>
      <w:r>
        <w:rPr/>
        <w:t>1)1.本项目不接受联合体投标。 2.供应商未被列入“信用中国”网站中“记录失信被执行人或重大税收违法案件当事人名单或政府采购严重违法失信行为”的记录名单；不处于“中国政府采购网”中“政府采购严重违法失信行为信息记录”的禁止参加政府采购活动期间（以采购代理机构或采购人于资格审查时在上述网站查询结果为准，如在上述网站查询结果均显示没有相关记录，视为没有上述不良信用记录。同时对信用信息查询记录和证据截图存档。如相关失信记录已失效，供应商须提供相关证明资料）。 3.供应商必须符合法律、行政法规规定的其他条件：依据《投标函》。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广州交易集团有限公司（www.gzggzy.cn）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广州市南沙区财政局</w:t>
      </w:r>
    </w:p>
    <w:p>
      <w:pPr>
        <w:pStyle w:val="null3"/>
        <w:ind w:firstLine="480"/>
      </w:pPr>
      <w:r>
        <w:rPr/>
        <w:t xml:space="preserve"> 地址：</w:t>
      </w:r>
      <w:r>
        <w:rPr/>
        <w:t>广州市凤凰大道1号</w:t>
      </w:r>
    </w:p>
    <w:p>
      <w:pPr>
        <w:pStyle w:val="null3"/>
        <w:ind w:firstLine="480"/>
      </w:pPr>
      <w:r>
        <w:rPr/>
        <w:t xml:space="preserve"> 联系方式：</w:t>
      </w:r>
      <w:r>
        <w:rPr/>
        <w:t>39910561</w:t>
      </w:r>
    </w:p>
    <w:p>
      <w:pPr>
        <w:pStyle w:val="null3"/>
        <w:outlineLvl w:val="3"/>
      </w:pPr>
      <w:r>
        <w:rPr>
          <w:sz w:val="24"/>
          <w:b/>
        </w:rPr>
        <w:t xml:space="preserve"> 2.采购代理机构信息</w:t>
      </w:r>
    </w:p>
    <w:p>
      <w:pPr>
        <w:pStyle w:val="null3"/>
        <w:ind w:firstLine="480"/>
      </w:pPr>
      <w:r>
        <w:rPr/>
        <w:t xml:space="preserve"> 名称：</w:t>
      </w:r>
      <w:r>
        <w:rPr/>
        <w:t>广州市政府采购中心</w:t>
      </w:r>
    </w:p>
    <w:p>
      <w:pPr>
        <w:pStyle w:val="null3"/>
        <w:ind w:firstLine="480"/>
      </w:pPr>
      <w:r>
        <w:rPr/>
        <w:t xml:space="preserve"> 地址：</w:t>
      </w:r>
      <w:r>
        <w:rPr/>
        <w:t>广东省广州市天河区天润路333号</w:t>
      </w:r>
    </w:p>
    <w:p>
      <w:pPr>
        <w:pStyle w:val="null3"/>
        <w:ind w:firstLine="480"/>
      </w:pPr>
      <w:r>
        <w:rPr/>
        <w:t xml:space="preserve"> 联系方式：</w:t>
      </w:r>
      <w:r>
        <w:rPr/>
        <w:t>28667462</w:t>
      </w:r>
    </w:p>
    <w:p>
      <w:pPr>
        <w:pStyle w:val="null3"/>
        <w:outlineLvl w:val="3"/>
      </w:pPr>
      <w:r>
        <w:rPr>
          <w:sz w:val="24"/>
          <w:b/>
        </w:rPr>
        <w:t xml:space="preserve"> 3.项目联系方式</w:t>
      </w:r>
    </w:p>
    <w:p>
      <w:pPr>
        <w:pStyle w:val="null3"/>
        <w:ind w:firstLine="480"/>
      </w:pPr>
      <w:r>
        <w:rPr/>
        <w:t xml:space="preserve"> 项目联系人：</w:t>
      </w:r>
      <w:r>
        <w:rPr/>
        <w:t>曹菁</w:t>
      </w:r>
    </w:p>
    <w:p>
      <w:pPr>
        <w:pStyle w:val="null3"/>
        <w:ind w:firstLine="480"/>
      </w:pPr>
      <w:r>
        <w:rPr/>
        <w:t xml:space="preserve"> 电话：</w:t>
      </w:r>
      <w:r>
        <w:rPr/>
        <w:t>28667462</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以下内容除特别说明外，均适用于本项目。</w:t>
      </w:r>
    </w:p>
    <w:p>
      <w:pPr>
        <w:pStyle w:val="null3"/>
        <w:ind w:firstLine="422"/>
        <w:jc w:val="both"/>
      </w:pPr>
      <w:r>
        <w:rPr>
          <w:sz w:val="21"/>
          <w:b/>
        </w:rPr>
        <w:t>二、项目基本情况</w:t>
      </w:r>
    </w:p>
    <w:p>
      <w:pPr>
        <w:pStyle w:val="null3"/>
        <w:ind w:firstLine="420"/>
        <w:jc w:val="both"/>
      </w:pPr>
      <w:r>
        <w:rPr>
          <w:sz w:val="21"/>
        </w:rPr>
        <w:t>（一）项目名称：</w:t>
      </w:r>
      <w:r>
        <w:rPr>
          <w:sz w:val="21"/>
        </w:rPr>
        <w:t>广州市南沙区财政局</w:t>
      </w:r>
      <w:r>
        <w:rPr>
          <w:sz w:val="21"/>
        </w:rPr>
        <w:t xml:space="preserve">2024-2027 </w:t>
      </w:r>
      <w:r>
        <w:rPr>
          <w:sz w:val="21"/>
        </w:rPr>
        <w:t>年财政投资评审服务项目</w:t>
      </w:r>
      <w:r>
        <w:rPr>
          <w:sz w:val="21"/>
        </w:rPr>
        <w:t>。</w:t>
      </w:r>
    </w:p>
    <w:p>
      <w:pPr>
        <w:pStyle w:val="null3"/>
        <w:ind w:firstLine="420"/>
        <w:jc w:val="both"/>
      </w:pPr>
      <w:r>
        <w:rPr>
          <w:sz w:val="21"/>
        </w:rPr>
        <w:t>（二）采购预算：人民币</w:t>
      </w:r>
      <w:r>
        <w:rPr>
          <w:sz w:val="21"/>
        </w:rPr>
        <w:t>9</w:t>
      </w:r>
      <w:r>
        <w:rPr>
          <w:sz w:val="21"/>
        </w:rPr>
        <w:t>2</w:t>
      </w:r>
      <w:r>
        <w:rPr>
          <w:sz w:val="21"/>
        </w:rPr>
        <w:t>00</w:t>
      </w:r>
      <w:r>
        <w:rPr>
          <w:sz w:val="21"/>
        </w:rPr>
        <w:t>万元。本项目预算资金分年度落实计划：</w:t>
      </w:r>
      <w:r>
        <w:rPr>
          <w:sz w:val="21"/>
        </w:rPr>
        <w:t>2024</w:t>
      </w:r>
      <w:r>
        <w:rPr>
          <w:sz w:val="21"/>
        </w:rPr>
        <w:t>年</w:t>
      </w:r>
      <w:r>
        <w:rPr>
          <w:sz w:val="21"/>
        </w:rPr>
        <w:t>1000</w:t>
      </w:r>
      <w:r>
        <w:rPr>
          <w:sz w:val="21"/>
        </w:rPr>
        <w:t>万元、</w:t>
      </w:r>
      <w:r>
        <w:rPr>
          <w:sz w:val="21"/>
        </w:rPr>
        <w:t>后续</w:t>
      </w:r>
      <w:r>
        <w:rPr>
          <w:sz w:val="21"/>
        </w:rPr>
        <w:t>年度按当年预算安排执行</w:t>
      </w:r>
      <w:r>
        <w:rPr>
          <w:sz w:val="21"/>
        </w:rPr>
        <w:t>。</w:t>
      </w:r>
    </w:p>
    <w:p>
      <w:pPr>
        <w:pStyle w:val="null3"/>
        <w:ind w:firstLine="420"/>
        <w:jc w:val="both"/>
      </w:pPr>
      <w:r>
        <w:rPr>
          <w:sz w:val="21"/>
        </w:rPr>
        <w:t>（三）合同价：详见</w:t>
      </w:r>
      <w:r>
        <w:rPr>
          <w:sz w:val="21"/>
        </w:rPr>
        <w:t>“</w:t>
      </w:r>
      <w:r>
        <w:rPr>
          <w:sz w:val="21"/>
        </w:rPr>
        <w:t>（六）</w:t>
      </w:r>
      <w:r>
        <w:rPr>
          <w:sz w:val="21"/>
        </w:rPr>
        <w:t>3.</w:t>
      </w:r>
      <w:r>
        <w:rPr>
          <w:sz w:val="21"/>
        </w:rPr>
        <w:t>各排名中标预算金额一览表</w:t>
      </w:r>
      <w:r>
        <w:rPr>
          <w:sz w:val="21"/>
        </w:rPr>
        <w:t>”</w:t>
      </w:r>
      <w:r>
        <w:rPr>
          <w:sz w:val="21"/>
        </w:rPr>
        <w:t>。</w:t>
      </w:r>
    </w:p>
    <w:p>
      <w:pPr>
        <w:pStyle w:val="null3"/>
        <w:ind w:firstLine="420"/>
        <w:jc w:val="both"/>
      </w:pPr>
      <w:r>
        <w:rPr>
          <w:sz w:val="21"/>
        </w:rPr>
        <w:t>（四）服务协议期限：自合同签订生效之日起三年（合同到期或合同金额支付完毕，视为合同终止）。</w:t>
      </w:r>
    </w:p>
    <w:p>
      <w:pPr>
        <w:pStyle w:val="null3"/>
        <w:ind w:firstLine="420"/>
        <w:jc w:val="both"/>
      </w:pPr>
      <w:r>
        <w:rPr>
          <w:sz w:val="21"/>
        </w:rPr>
        <w:t>（五）本项目对应的中小微企业划分标准所属行业为：其他未列明行业。</w:t>
      </w:r>
    </w:p>
    <w:p>
      <w:pPr>
        <w:pStyle w:val="null3"/>
        <w:ind w:firstLine="420"/>
        <w:jc w:val="both"/>
      </w:pPr>
      <w:r>
        <w:rPr>
          <w:sz w:val="21"/>
        </w:rPr>
        <w:t>（</w:t>
      </w:r>
      <w:r>
        <w:rPr>
          <w:sz w:val="21"/>
        </w:rPr>
        <w:t>六</w:t>
      </w:r>
      <w:r>
        <w:rPr>
          <w:sz w:val="21"/>
        </w:rPr>
        <w:t>）采购需求</w:t>
      </w:r>
    </w:p>
    <w:p>
      <w:pPr>
        <w:pStyle w:val="null3"/>
        <w:ind w:firstLine="420"/>
        <w:jc w:val="both"/>
      </w:pPr>
      <w:r>
        <w:rPr>
          <w:sz w:val="21"/>
        </w:rPr>
        <w:t>1.</w:t>
      </w:r>
      <w:r>
        <w:rPr>
          <w:sz w:val="21"/>
        </w:rPr>
        <w:t>标的名称：</w:t>
      </w:r>
      <w:r>
        <w:rPr>
          <w:sz w:val="21"/>
        </w:rPr>
        <w:t>广州市南沙区财政局</w:t>
      </w:r>
      <w:r>
        <w:rPr>
          <w:sz w:val="21"/>
        </w:rPr>
        <w:t xml:space="preserve">2024-2027 </w:t>
      </w:r>
      <w:r>
        <w:rPr>
          <w:sz w:val="21"/>
        </w:rPr>
        <w:t>年财政投资评审服务项目</w:t>
      </w:r>
      <w:r>
        <w:rPr>
          <w:sz w:val="21"/>
        </w:rPr>
        <w:t>。包括基本建设项目概</w:t>
      </w:r>
      <w:r>
        <w:rPr>
          <w:sz w:val="21"/>
        </w:rPr>
        <w:t>、预、结</w:t>
      </w:r>
      <w:r>
        <w:rPr>
          <w:sz w:val="21"/>
        </w:rPr>
        <w:t>算评审服务、</w:t>
      </w:r>
      <w:r>
        <w:rPr>
          <w:sz w:val="21"/>
        </w:rPr>
        <w:t>南沙区财政部门委托的其他工程造价咨询服务</w:t>
      </w:r>
      <w:r>
        <w:rPr>
          <w:sz w:val="21"/>
        </w:rPr>
        <w:t>，确定</w:t>
      </w:r>
      <w:r>
        <w:rPr>
          <w:sz w:val="21"/>
        </w:rPr>
        <w:t>1</w:t>
      </w:r>
      <w:r>
        <w:rPr>
          <w:sz w:val="21"/>
        </w:rPr>
        <w:t>5</w:t>
      </w:r>
      <w:r>
        <w:rPr>
          <w:sz w:val="21"/>
        </w:rPr>
        <w:t>家中标人提供相关评审服务。</w:t>
      </w:r>
    </w:p>
    <w:p>
      <w:pPr>
        <w:pStyle w:val="null3"/>
        <w:ind w:firstLine="420"/>
        <w:jc w:val="both"/>
      </w:pPr>
      <w:r>
        <w:rPr>
          <w:sz w:val="21"/>
        </w:rPr>
        <w:t>2.</w:t>
      </w:r>
      <w:r>
        <w:rPr>
          <w:sz w:val="21"/>
        </w:rPr>
        <w:t>标的数量：</w:t>
      </w:r>
      <w:r>
        <w:rPr>
          <w:sz w:val="21"/>
        </w:rPr>
        <w:t>1</w:t>
      </w:r>
      <w:r>
        <w:rPr>
          <w:sz w:val="21"/>
        </w:rPr>
        <w:t>项。</w:t>
      </w:r>
    </w:p>
    <w:p>
      <w:pPr>
        <w:pStyle w:val="null3"/>
        <w:ind w:firstLine="420"/>
        <w:jc w:val="left"/>
      </w:pPr>
      <w:r>
        <w:rPr>
          <w:sz w:val="21"/>
        </w:rPr>
        <w:t>3.</w:t>
      </w:r>
      <w:r>
        <w:rPr>
          <w:sz w:val="21"/>
        </w:rPr>
        <w:t>各排名中标预算金额一览表：</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954"/>
        <w:gridCol w:w="1804"/>
        <w:gridCol w:w="3608"/>
        <w:gridCol w:w="1908"/>
      </w:tblGrid>
      <w:tr>
        <w:tc>
          <w:tcPr>
            <w:tcW w:type="dxa" w:w="954"/>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color w:val="000000"/>
              </w:rPr>
              <w:t>项目号</w:t>
            </w:r>
          </w:p>
        </w:tc>
        <w:tc>
          <w:tcPr>
            <w:tcW w:type="dxa" w:w="180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color w:val="000000"/>
              </w:rPr>
              <w:t>项目内容</w:t>
            </w:r>
          </w:p>
        </w:tc>
        <w:tc>
          <w:tcPr>
            <w:tcW w:type="dxa" w:w="360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color w:val="000000"/>
              </w:rPr>
              <w:t>预算金额</w:t>
            </w:r>
          </w:p>
        </w:tc>
        <w:tc>
          <w:tcPr>
            <w:tcW w:type="dxa" w:w="190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color w:val="000000"/>
              </w:rPr>
              <w:t>服务期限</w:t>
            </w:r>
          </w:p>
        </w:tc>
      </w:tr>
      <w:tr>
        <w:tc>
          <w:tcPr>
            <w:tcW w:type="dxa" w:w="954"/>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color w:val="000000"/>
              </w:rPr>
              <w:t>1</w:t>
            </w:r>
          </w:p>
        </w:tc>
        <w:tc>
          <w:tcPr>
            <w:tcW w:type="dxa" w:w="1804"/>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color w:val="000000"/>
              </w:rPr>
              <w:t>基本建设项目概、预、结算评审服务、南沙区财政部门委托的其他工程造价咨询服务</w:t>
            </w:r>
          </w:p>
        </w:tc>
        <w:tc>
          <w:tcPr>
            <w:tcW w:type="dxa" w:w="36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2"/>
                <w:color w:val="000000"/>
              </w:rPr>
              <w:t>第1名（综合评分排序）：650万元</w:t>
            </w:r>
          </w:p>
        </w:tc>
        <w:tc>
          <w:tcPr>
            <w:tcW w:type="dxa" w:w="1908"/>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color w:val="000000"/>
              </w:rPr>
              <w:t>自服务合同签订生效之日起三年（合同到期或合同金额支付完毕，视为合同终止）</w:t>
            </w:r>
          </w:p>
        </w:tc>
      </w:tr>
      <w:tr>
        <w:tc>
          <w:tcPr>
            <w:tcW w:type="dxa" w:w="954"/>
            <w:vMerge/>
            <w:tcBorders>
              <w:top w:val="none" w:color="000000" w:sz="4"/>
              <w:left w:val="single" w:color="000000" w:sz="4"/>
              <w:bottom w:val="single" w:color="000000" w:sz="4"/>
              <w:right w:val="single" w:color="000000" w:sz="4"/>
            </w:tcBorders>
          </w:tcPr>
          <w:p/>
        </w:tc>
        <w:tc>
          <w:tcPr>
            <w:tcW w:type="dxa" w:w="1804"/>
            <w:vMerge/>
            <w:tcBorders>
              <w:top w:val="none" w:color="000000" w:sz="4"/>
              <w:left w:val="none" w:color="000000" w:sz="4"/>
              <w:bottom w:val="single" w:color="000000" w:sz="4"/>
              <w:right w:val="single" w:color="000000" w:sz="4"/>
            </w:tcBorders>
          </w:tcPr>
          <w:p/>
        </w:tc>
        <w:tc>
          <w:tcPr>
            <w:tcW w:type="dxa" w:w="36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2"/>
                <w:color w:val="000000"/>
              </w:rPr>
              <w:t>第2名（综合评分排序）：645万元</w:t>
            </w:r>
          </w:p>
        </w:tc>
        <w:tc>
          <w:tcPr>
            <w:tcW w:type="dxa" w:w="1908"/>
            <w:vMerge/>
            <w:tcBorders>
              <w:top w:val="none" w:color="000000" w:sz="4"/>
              <w:left w:val="none" w:color="000000" w:sz="4"/>
              <w:bottom w:val="single" w:color="000000" w:sz="4"/>
              <w:right w:val="single" w:color="000000" w:sz="4"/>
            </w:tcBorders>
          </w:tcPr>
          <w:p/>
        </w:tc>
      </w:tr>
      <w:tr>
        <w:tc>
          <w:tcPr>
            <w:tcW w:type="dxa" w:w="954"/>
            <w:vMerge/>
            <w:tcBorders>
              <w:top w:val="none" w:color="000000" w:sz="4"/>
              <w:left w:val="single" w:color="000000" w:sz="4"/>
              <w:bottom w:val="single" w:color="000000" w:sz="4"/>
              <w:right w:val="single" w:color="000000" w:sz="4"/>
            </w:tcBorders>
          </w:tcPr>
          <w:p/>
        </w:tc>
        <w:tc>
          <w:tcPr>
            <w:tcW w:type="dxa" w:w="1804"/>
            <w:vMerge/>
            <w:tcBorders>
              <w:top w:val="none" w:color="000000" w:sz="4"/>
              <w:left w:val="none" w:color="000000" w:sz="4"/>
              <w:bottom w:val="single" w:color="000000" w:sz="4"/>
              <w:right w:val="single" w:color="000000" w:sz="4"/>
            </w:tcBorders>
          </w:tcPr>
          <w:p/>
        </w:tc>
        <w:tc>
          <w:tcPr>
            <w:tcW w:type="dxa" w:w="36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2"/>
                <w:color w:val="000000"/>
              </w:rPr>
              <w:t>第3名（综合评分排序）：640万元</w:t>
            </w:r>
          </w:p>
        </w:tc>
        <w:tc>
          <w:tcPr>
            <w:tcW w:type="dxa" w:w="1908"/>
            <w:vMerge/>
            <w:tcBorders>
              <w:top w:val="none" w:color="000000" w:sz="4"/>
              <w:left w:val="none" w:color="000000" w:sz="4"/>
              <w:bottom w:val="single" w:color="000000" w:sz="4"/>
              <w:right w:val="single" w:color="000000" w:sz="4"/>
            </w:tcBorders>
          </w:tcPr>
          <w:p/>
        </w:tc>
      </w:tr>
      <w:tr>
        <w:tc>
          <w:tcPr>
            <w:tcW w:type="dxa" w:w="954"/>
            <w:vMerge/>
            <w:tcBorders>
              <w:top w:val="none" w:color="000000" w:sz="4"/>
              <w:left w:val="single" w:color="000000" w:sz="4"/>
              <w:bottom w:val="single" w:color="000000" w:sz="4"/>
              <w:right w:val="single" w:color="000000" w:sz="4"/>
            </w:tcBorders>
          </w:tcPr>
          <w:p/>
        </w:tc>
        <w:tc>
          <w:tcPr>
            <w:tcW w:type="dxa" w:w="1804"/>
            <w:vMerge/>
            <w:tcBorders>
              <w:top w:val="none" w:color="000000" w:sz="4"/>
              <w:left w:val="none" w:color="000000" w:sz="4"/>
              <w:bottom w:val="single" w:color="000000" w:sz="4"/>
              <w:right w:val="single" w:color="000000" w:sz="4"/>
            </w:tcBorders>
          </w:tcPr>
          <w:p/>
        </w:tc>
        <w:tc>
          <w:tcPr>
            <w:tcW w:type="dxa" w:w="36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2"/>
                <w:color w:val="000000"/>
              </w:rPr>
              <w:t>第4名（综合评分排序）：635万元</w:t>
            </w:r>
          </w:p>
        </w:tc>
        <w:tc>
          <w:tcPr>
            <w:tcW w:type="dxa" w:w="1908"/>
            <w:vMerge/>
            <w:tcBorders>
              <w:top w:val="none" w:color="000000" w:sz="4"/>
              <w:left w:val="none" w:color="000000" w:sz="4"/>
              <w:bottom w:val="single" w:color="000000" w:sz="4"/>
              <w:right w:val="single" w:color="000000" w:sz="4"/>
            </w:tcBorders>
          </w:tcPr>
          <w:p/>
        </w:tc>
      </w:tr>
      <w:tr>
        <w:tc>
          <w:tcPr>
            <w:tcW w:type="dxa" w:w="954"/>
            <w:vMerge/>
            <w:tcBorders>
              <w:top w:val="none" w:color="000000" w:sz="4"/>
              <w:left w:val="single" w:color="000000" w:sz="4"/>
              <w:bottom w:val="single" w:color="000000" w:sz="4"/>
              <w:right w:val="single" w:color="000000" w:sz="4"/>
            </w:tcBorders>
          </w:tcPr>
          <w:p/>
        </w:tc>
        <w:tc>
          <w:tcPr>
            <w:tcW w:type="dxa" w:w="1804"/>
            <w:vMerge/>
            <w:tcBorders>
              <w:top w:val="none" w:color="000000" w:sz="4"/>
              <w:left w:val="none" w:color="000000" w:sz="4"/>
              <w:bottom w:val="single" w:color="000000" w:sz="4"/>
              <w:right w:val="single" w:color="000000" w:sz="4"/>
            </w:tcBorders>
          </w:tcPr>
          <w:p/>
        </w:tc>
        <w:tc>
          <w:tcPr>
            <w:tcW w:type="dxa" w:w="36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2"/>
                <w:color w:val="000000"/>
              </w:rPr>
              <w:t>第5名（综合评分排序）：630万元</w:t>
            </w:r>
          </w:p>
        </w:tc>
        <w:tc>
          <w:tcPr>
            <w:tcW w:type="dxa" w:w="1908"/>
            <w:vMerge/>
            <w:tcBorders>
              <w:top w:val="none" w:color="000000" w:sz="4"/>
              <w:left w:val="none" w:color="000000" w:sz="4"/>
              <w:bottom w:val="single" w:color="000000" w:sz="4"/>
              <w:right w:val="single" w:color="000000" w:sz="4"/>
            </w:tcBorders>
          </w:tcPr>
          <w:p/>
        </w:tc>
      </w:tr>
      <w:tr>
        <w:tc>
          <w:tcPr>
            <w:tcW w:type="dxa" w:w="954"/>
            <w:vMerge/>
            <w:tcBorders>
              <w:top w:val="none" w:color="000000" w:sz="4"/>
              <w:left w:val="single" w:color="000000" w:sz="4"/>
              <w:bottom w:val="single" w:color="000000" w:sz="4"/>
              <w:right w:val="single" w:color="000000" w:sz="4"/>
            </w:tcBorders>
          </w:tcPr>
          <w:p/>
        </w:tc>
        <w:tc>
          <w:tcPr>
            <w:tcW w:type="dxa" w:w="1804"/>
            <w:vMerge/>
            <w:tcBorders>
              <w:top w:val="none" w:color="000000" w:sz="4"/>
              <w:left w:val="none" w:color="000000" w:sz="4"/>
              <w:bottom w:val="single" w:color="000000" w:sz="4"/>
              <w:right w:val="single" w:color="000000" w:sz="4"/>
            </w:tcBorders>
          </w:tcPr>
          <w:p/>
        </w:tc>
        <w:tc>
          <w:tcPr>
            <w:tcW w:type="dxa" w:w="36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2"/>
                <w:color w:val="000000"/>
              </w:rPr>
              <w:t>第6名（综合评分排序）：625万元</w:t>
            </w:r>
          </w:p>
        </w:tc>
        <w:tc>
          <w:tcPr>
            <w:tcW w:type="dxa" w:w="1908"/>
            <w:vMerge/>
            <w:tcBorders>
              <w:top w:val="none" w:color="000000" w:sz="4"/>
              <w:left w:val="none" w:color="000000" w:sz="4"/>
              <w:bottom w:val="single" w:color="000000" w:sz="4"/>
              <w:right w:val="single" w:color="000000" w:sz="4"/>
            </w:tcBorders>
          </w:tcPr>
          <w:p/>
        </w:tc>
      </w:tr>
      <w:tr>
        <w:tc>
          <w:tcPr>
            <w:tcW w:type="dxa" w:w="954"/>
            <w:vMerge/>
            <w:tcBorders>
              <w:top w:val="none" w:color="000000" w:sz="4"/>
              <w:left w:val="single" w:color="000000" w:sz="4"/>
              <w:bottom w:val="single" w:color="000000" w:sz="4"/>
              <w:right w:val="single" w:color="000000" w:sz="4"/>
            </w:tcBorders>
          </w:tcPr>
          <w:p/>
        </w:tc>
        <w:tc>
          <w:tcPr>
            <w:tcW w:type="dxa" w:w="1804"/>
            <w:vMerge/>
            <w:tcBorders>
              <w:top w:val="none" w:color="000000" w:sz="4"/>
              <w:left w:val="none" w:color="000000" w:sz="4"/>
              <w:bottom w:val="single" w:color="000000" w:sz="4"/>
              <w:right w:val="single" w:color="000000" w:sz="4"/>
            </w:tcBorders>
          </w:tcPr>
          <w:p/>
        </w:tc>
        <w:tc>
          <w:tcPr>
            <w:tcW w:type="dxa" w:w="36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2"/>
                <w:color w:val="000000"/>
              </w:rPr>
              <w:t>第7名（综合评分排序）：620万元</w:t>
            </w:r>
          </w:p>
        </w:tc>
        <w:tc>
          <w:tcPr>
            <w:tcW w:type="dxa" w:w="1908"/>
            <w:vMerge/>
            <w:tcBorders>
              <w:top w:val="none" w:color="000000" w:sz="4"/>
              <w:left w:val="none" w:color="000000" w:sz="4"/>
              <w:bottom w:val="single" w:color="000000" w:sz="4"/>
              <w:right w:val="single" w:color="000000" w:sz="4"/>
            </w:tcBorders>
          </w:tcPr>
          <w:p/>
        </w:tc>
      </w:tr>
      <w:tr>
        <w:tc>
          <w:tcPr>
            <w:tcW w:type="dxa" w:w="954"/>
            <w:vMerge/>
            <w:tcBorders>
              <w:top w:val="none" w:color="000000" w:sz="4"/>
              <w:left w:val="single" w:color="000000" w:sz="4"/>
              <w:bottom w:val="single" w:color="000000" w:sz="4"/>
              <w:right w:val="single" w:color="000000" w:sz="4"/>
            </w:tcBorders>
          </w:tcPr>
          <w:p/>
        </w:tc>
        <w:tc>
          <w:tcPr>
            <w:tcW w:type="dxa" w:w="1804"/>
            <w:vMerge/>
            <w:tcBorders>
              <w:top w:val="none" w:color="000000" w:sz="4"/>
              <w:left w:val="none" w:color="000000" w:sz="4"/>
              <w:bottom w:val="single" w:color="000000" w:sz="4"/>
              <w:right w:val="single" w:color="000000" w:sz="4"/>
            </w:tcBorders>
          </w:tcPr>
          <w:p/>
        </w:tc>
        <w:tc>
          <w:tcPr>
            <w:tcW w:type="dxa" w:w="36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2"/>
                <w:color w:val="000000"/>
              </w:rPr>
              <w:t>第8名（综合评分排序）：615万元</w:t>
            </w:r>
          </w:p>
        </w:tc>
        <w:tc>
          <w:tcPr>
            <w:tcW w:type="dxa" w:w="1908"/>
            <w:vMerge/>
            <w:tcBorders>
              <w:top w:val="none" w:color="000000" w:sz="4"/>
              <w:left w:val="none" w:color="000000" w:sz="4"/>
              <w:bottom w:val="single" w:color="000000" w:sz="4"/>
              <w:right w:val="single" w:color="000000" w:sz="4"/>
            </w:tcBorders>
          </w:tcPr>
          <w:p/>
        </w:tc>
      </w:tr>
      <w:tr>
        <w:tc>
          <w:tcPr>
            <w:tcW w:type="dxa" w:w="954"/>
            <w:vMerge/>
            <w:tcBorders>
              <w:top w:val="none" w:color="000000" w:sz="4"/>
              <w:left w:val="single" w:color="000000" w:sz="4"/>
              <w:bottom w:val="single" w:color="000000" w:sz="4"/>
              <w:right w:val="single" w:color="000000" w:sz="4"/>
            </w:tcBorders>
          </w:tcPr>
          <w:p/>
        </w:tc>
        <w:tc>
          <w:tcPr>
            <w:tcW w:type="dxa" w:w="1804"/>
            <w:vMerge/>
            <w:tcBorders>
              <w:top w:val="none" w:color="000000" w:sz="4"/>
              <w:left w:val="none" w:color="000000" w:sz="4"/>
              <w:bottom w:val="single" w:color="000000" w:sz="4"/>
              <w:right w:val="single" w:color="000000" w:sz="4"/>
            </w:tcBorders>
          </w:tcPr>
          <w:p/>
        </w:tc>
        <w:tc>
          <w:tcPr>
            <w:tcW w:type="dxa" w:w="36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2"/>
                <w:color w:val="000000"/>
              </w:rPr>
              <w:t>第9名（综合评分排序）：610万元</w:t>
            </w:r>
          </w:p>
        </w:tc>
        <w:tc>
          <w:tcPr>
            <w:tcW w:type="dxa" w:w="1908"/>
            <w:vMerge/>
            <w:tcBorders>
              <w:top w:val="none" w:color="000000" w:sz="4"/>
              <w:left w:val="none" w:color="000000" w:sz="4"/>
              <w:bottom w:val="single" w:color="000000" w:sz="4"/>
              <w:right w:val="single" w:color="000000" w:sz="4"/>
            </w:tcBorders>
          </w:tcPr>
          <w:p/>
        </w:tc>
      </w:tr>
      <w:tr>
        <w:tc>
          <w:tcPr>
            <w:tcW w:type="dxa" w:w="954"/>
            <w:vMerge/>
            <w:tcBorders>
              <w:top w:val="none" w:color="000000" w:sz="4"/>
              <w:left w:val="single" w:color="000000" w:sz="4"/>
              <w:bottom w:val="single" w:color="000000" w:sz="4"/>
              <w:right w:val="single" w:color="000000" w:sz="4"/>
            </w:tcBorders>
          </w:tcPr>
          <w:p/>
        </w:tc>
        <w:tc>
          <w:tcPr>
            <w:tcW w:type="dxa" w:w="1804"/>
            <w:vMerge/>
            <w:tcBorders>
              <w:top w:val="none" w:color="000000" w:sz="4"/>
              <w:left w:val="none" w:color="000000" w:sz="4"/>
              <w:bottom w:val="single" w:color="000000" w:sz="4"/>
              <w:right w:val="single" w:color="000000" w:sz="4"/>
            </w:tcBorders>
          </w:tcPr>
          <w:p/>
        </w:tc>
        <w:tc>
          <w:tcPr>
            <w:tcW w:type="dxa" w:w="36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2"/>
                <w:color w:val="000000"/>
              </w:rPr>
              <w:t>第10名（综合评分排序）：605万元</w:t>
            </w:r>
          </w:p>
        </w:tc>
        <w:tc>
          <w:tcPr>
            <w:tcW w:type="dxa" w:w="1908"/>
            <w:vMerge/>
            <w:tcBorders>
              <w:top w:val="none" w:color="000000" w:sz="4"/>
              <w:left w:val="none" w:color="000000" w:sz="4"/>
              <w:bottom w:val="single" w:color="000000" w:sz="4"/>
              <w:right w:val="single" w:color="000000" w:sz="4"/>
            </w:tcBorders>
          </w:tcPr>
          <w:p/>
        </w:tc>
      </w:tr>
      <w:tr>
        <w:tc>
          <w:tcPr>
            <w:tcW w:type="dxa" w:w="954"/>
            <w:vMerge/>
            <w:tcBorders>
              <w:top w:val="none" w:color="000000" w:sz="4"/>
              <w:left w:val="single" w:color="000000" w:sz="4"/>
              <w:bottom w:val="single" w:color="000000" w:sz="4"/>
              <w:right w:val="single" w:color="000000" w:sz="4"/>
            </w:tcBorders>
          </w:tcPr>
          <w:p/>
        </w:tc>
        <w:tc>
          <w:tcPr>
            <w:tcW w:type="dxa" w:w="1804"/>
            <w:vMerge/>
            <w:tcBorders>
              <w:top w:val="none" w:color="000000" w:sz="4"/>
              <w:left w:val="none" w:color="000000" w:sz="4"/>
              <w:bottom w:val="single" w:color="000000" w:sz="4"/>
              <w:right w:val="single" w:color="000000" w:sz="4"/>
            </w:tcBorders>
          </w:tcPr>
          <w:p/>
        </w:tc>
        <w:tc>
          <w:tcPr>
            <w:tcW w:type="dxa" w:w="36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2"/>
                <w:color w:val="000000"/>
              </w:rPr>
              <w:t>第11名（综合评分排序）：595万元</w:t>
            </w:r>
          </w:p>
        </w:tc>
        <w:tc>
          <w:tcPr>
            <w:tcW w:type="dxa" w:w="1908"/>
            <w:vMerge/>
            <w:tcBorders>
              <w:top w:val="none" w:color="000000" w:sz="4"/>
              <w:left w:val="none" w:color="000000" w:sz="4"/>
              <w:bottom w:val="single" w:color="000000" w:sz="4"/>
              <w:right w:val="single" w:color="000000" w:sz="4"/>
            </w:tcBorders>
          </w:tcPr>
          <w:p/>
        </w:tc>
      </w:tr>
      <w:tr>
        <w:tc>
          <w:tcPr>
            <w:tcW w:type="dxa" w:w="954"/>
            <w:vMerge/>
            <w:tcBorders>
              <w:top w:val="none" w:color="000000" w:sz="4"/>
              <w:left w:val="single" w:color="000000" w:sz="4"/>
              <w:bottom w:val="single" w:color="000000" w:sz="4"/>
              <w:right w:val="single" w:color="000000" w:sz="4"/>
            </w:tcBorders>
          </w:tcPr>
          <w:p/>
        </w:tc>
        <w:tc>
          <w:tcPr>
            <w:tcW w:type="dxa" w:w="1804"/>
            <w:vMerge/>
            <w:tcBorders>
              <w:top w:val="none" w:color="000000" w:sz="4"/>
              <w:left w:val="none" w:color="000000" w:sz="4"/>
              <w:bottom w:val="single" w:color="000000" w:sz="4"/>
              <w:right w:val="single" w:color="000000" w:sz="4"/>
            </w:tcBorders>
          </w:tcPr>
          <w:p/>
        </w:tc>
        <w:tc>
          <w:tcPr>
            <w:tcW w:type="dxa" w:w="36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2"/>
                <w:color w:val="000000"/>
              </w:rPr>
              <w:t>第12名（综合评分排序）：590万元</w:t>
            </w:r>
          </w:p>
        </w:tc>
        <w:tc>
          <w:tcPr>
            <w:tcW w:type="dxa" w:w="1908"/>
            <w:vMerge/>
            <w:tcBorders>
              <w:top w:val="none" w:color="000000" w:sz="4"/>
              <w:left w:val="none" w:color="000000" w:sz="4"/>
              <w:bottom w:val="single" w:color="000000" w:sz="4"/>
              <w:right w:val="single" w:color="000000" w:sz="4"/>
            </w:tcBorders>
          </w:tcPr>
          <w:p/>
        </w:tc>
      </w:tr>
      <w:tr>
        <w:tc>
          <w:tcPr>
            <w:tcW w:type="dxa" w:w="954"/>
            <w:vMerge/>
            <w:tcBorders>
              <w:top w:val="none" w:color="000000" w:sz="4"/>
              <w:left w:val="single" w:color="000000" w:sz="4"/>
              <w:bottom w:val="single" w:color="000000" w:sz="4"/>
              <w:right w:val="single" w:color="000000" w:sz="4"/>
            </w:tcBorders>
          </w:tcPr>
          <w:p/>
        </w:tc>
        <w:tc>
          <w:tcPr>
            <w:tcW w:type="dxa" w:w="1804"/>
            <w:vMerge/>
            <w:tcBorders>
              <w:top w:val="none" w:color="000000" w:sz="4"/>
              <w:left w:val="none" w:color="000000" w:sz="4"/>
              <w:bottom w:val="single" w:color="000000" w:sz="4"/>
              <w:right w:val="single" w:color="000000" w:sz="4"/>
            </w:tcBorders>
          </w:tcPr>
          <w:p/>
        </w:tc>
        <w:tc>
          <w:tcPr>
            <w:tcW w:type="dxa" w:w="36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2"/>
                <w:color w:val="000000"/>
              </w:rPr>
              <w:t>第13名（综合评分排序）：585万元</w:t>
            </w:r>
          </w:p>
        </w:tc>
        <w:tc>
          <w:tcPr>
            <w:tcW w:type="dxa" w:w="1908"/>
            <w:vMerge/>
            <w:tcBorders>
              <w:top w:val="none" w:color="000000" w:sz="4"/>
              <w:left w:val="none" w:color="000000" w:sz="4"/>
              <w:bottom w:val="single" w:color="000000" w:sz="4"/>
              <w:right w:val="single" w:color="000000" w:sz="4"/>
            </w:tcBorders>
          </w:tcPr>
          <w:p/>
        </w:tc>
      </w:tr>
      <w:tr>
        <w:tc>
          <w:tcPr>
            <w:tcW w:type="dxa" w:w="954"/>
            <w:vMerge/>
            <w:tcBorders>
              <w:top w:val="none" w:color="000000" w:sz="4"/>
              <w:left w:val="single" w:color="000000" w:sz="4"/>
              <w:bottom w:val="single" w:color="000000" w:sz="4"/>
              <w:right w:val="single" w:color="000000" w:sz="4"/>
            </w:tcBorders>
          </w:tcPr>
          <w:p/>
        </w:tc>
        <w:tc>
          <w:tcPr>
            <w:tcW w:type="dxa" w:w="1804"/>
            <w:vMerge/>
            <w:tcBorders>
              <w:top w:val="none" w:color="000000" w:sz="4"/>
              <w:left w:val="none" w:color="000000" w:sz="4"/>
              <w:bottom w:val="single" w:color="000000" w:sz="4"/>
              <w:right w:val="single" w:color="000000" w:sz="4"/>
            </w:tcBorders>
          </w:tcPr>
          <w:p/>
        </w:tc>
        <w:tc>
          <w:tcPr>
            <w:tcW w:type="dxa" w:w="36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2"/>
                <w:color w:val="000000"/>
              </w:rPr>
              <w:t>第14名（综合评分排序）：580万元</w:t>
            </w:r>
          </w:p>
        </w:tc>
        <w:tc>
          <w:tcPr>
            <w:tcW w:type="dxa" w:w="1908"/>
            <w:vMerge/>
            <w:tcBorders>
              <w:top w:val="none" w:color="000000" w:sz="4"/>
              <w:left w:val="none" w:color="000000" w:sz="4"/>
              <w:bottom w:val="single" w:color="000000" w:sz="4"/>
              <w:right w:val="single" w:color="000000" w:sz="4"/>
            </w:tcBorders>
          </w:tcPr>
          <w:p/>
        </w:tc>
      </w:tr>
      <w:tr>
        <w:tc>
          <w:tcPr>
            <w:tcW w:type="dxa" w:w="954"/>
            <w:vMerge/>
            <w:tcBorders>
              <w:top w:val="none" w:color="000000" w:sz="4"/>
              <w:left w:val="single" w:color="000000" w:sz="4"/>
              <w:bottom w:val="single" w:color="000000" w:sz="4"/>
              <w:right w:val="single" w:color="000000" w:sz="4"/>
            </w:tcBorders>
          </w:tcPr>
          <w:p/>
        </w:tc>
        <w:tc>
          <w:tcPr>
            <w:tcW w:type="dxa" w:w="1804"/>
            <w:vMerge/>
            <w:tcBorders>
              <w:top w:val="none" w:color="000000" w:sz="4"/>
              <w:left w:val="none" w:color="000000" w:sz="4"/>
              <w:bottom w:val="single" w:color="000000" w:sz="4"/>
              <w:right w:val="single" w:color="000000" w:sz="4"/>
            </w:tcBorders>
          </w:tcPr>
          <w:p/>
        </w:tc>
        <w:tc>
          <w:tcPr>
            <w:tcW w:type="dxa" w:w="36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2"/>
                <w:color w:val="000000"/>
              </w:rPr>
              <w:t>第15名（综合评分排序）：575万元</w:t>
            </w:r>
          </w:p>
        </w:tc>
        <w:tc>
          <w:tcPr>
            <w:tcW w:type="dxa" w:w="1908"/>
            <w:vMerge/>
            <w:tcBorders>
              <w:top w:val="none" w:color="000000" w:sz="4"/>
              <w:left w:val="none" w:color="000000" w:sz="4"/>
              <w:bottom w:val="single" w:color="000000" w:sz="4"/>
              <w:right w:val="single" w:color="000000" w:sz="4"/>
            </w:tcBorders>
          </w:tcPr>
          <w:p/>
        </w:tc>
      </w:tr>
    </w:tbl>
    <w:p>
      <w:pPr>
        <w:pStyle w:val="null3"/>
        <w:ind w:firstLine="420"/>
        <w:jc w:val="both"/>
      </w:pPr>
      <w:r>
        <w:rPr>
          <w:sz w:val="21"/>
        </w:rPr>
        <w:t>4.简要技术需求或服务要求：</w:t>
      </w:r>
    </w:p>
    <w:p>
      <w:pPr>
        <w:pStyle w:val="null3"/>
        <w:ind w:firstLine="420"/>
        <w:jc w:val="both"/>
      </w:pPr>
      <w:r>
        <w:rPr>
          <w:sz w:val="21"/>
        </w:rPr>
        <w:t>（</w:t>
      </w:r>
      <w:r>
        <w:rPr>
          <w:sz w:val="21"/>
        </w:rPr>
        <w:t>1）项目属性：服务类。</w:t>
      </w:r>
    </w:p>
    <w:p>
      <w:pPr>
        <w:pStyle w:val="null3"/>
        <w:ind w:firstLine="420"/>
        <w:jc w:val="both"/>
      </w:pPr>
      <w:r>
        <w:rPr>
          <w:sz w:val="21"/>
        </w:rPr>
        <w:t>（</w:t>
      </w:r>
      <w:r>
        <w:rPr>
          <w:sz w:val="21"/>
        </w:rPr>
        <w:t>2）合同履行期限：自合同签订生效之日起三年（合同到期或合同金额支付完毕，视为合同终止）。</w:t>
      </w:r>
    </w:p>
    <w:p>
      <w:pPr>
        <w:pStyle w:val="null3"/>
        <w:ind w:firstLine="420"/>
        <w:jc w:val="both"/>
      </w:pPr>
      <w:r>
        <w:rPr>
          <w:sz w:val="21"/>
        </w:rPr>
        <w:t>（</w:t>
      </w:r>
      <w:r>
        <w:rPr>
          <w:sz w:val="21"/>
        </w:rPr>
        <w:t>3）本项目按1个项目采购，本项目作为独立项目，执行同一采购标准，每个投标人只能投标一次，按综合评分排名顺序前1</w:t>
      </w:r>
      <w:r>
        <w:rPr>
          <w:sz w:val="21"/>
        </w:rPr>
        <w:t>5</w:t>
      </w:r>
      <w:r>
        <w:rPr>
          <w:sz w:val="21"/>
        </w:rPr>
        <w:t>名中标，中标合同价依次对应所在名次的预算金额（详见（六）</w:t>
      </w:r>
      <w:r>
        <w:rPr>
          <w:sz w:val="21"/>
        </w:rPr>
        <w:t>3</w:t>
      </w:r>
      <w:r>
        <w:rPr>
          <w:sz w:val="21"/>
        </w:rPr>
        <w:t>.</w:t>
      </w:r>
      <w:r>
        <w:rPr>
          <w:sz w:val="21"/>
        </w:rPr>
        <w:t>“各排名中标预算金额一览表”）。同一投标人在该项目的中标数量不超过一个。</w:t>
      </w:r>
    </w:p>
    <w:p>
      <w:pPr>
        <w:pStyle w:val="null3"/>
        <w:ind w:firstLine="420"/>
        <w:jc w:val="both"/>
      </w:pPr>
      <w:r>
        <w:rPr>
          <w:sz w:val="21"/>
        </w:rPr>
        <w:t>注意：</w:t>
      </w:r>
    </w:p>
    <w:p>
      <w:pPr>
        <w:pStyle w:val="null3"/>
        <w:ind w:firstLine="420"/>
        <w:jc w:val="both"/>
      </w:pPr>
      <w:r>
        <w:rPr>
          <w:sz w:val="21"/>
        </w:rPr>
        <w:t>在采购过程中，如果出现某中标候选人退出或因不符合中标资格要求而导致终止中标资格的，其后面的候选人按评分排名顺序依次进行递补，直到该项目足额录满为止。</w:t>
      </w:r>
    </w:p>
    <w:p>
      <w:pPr>
        <w:pStyle w:val="null3"/>
        <w:ind w:firstLine="420"/>
        <w:jc w:val="both"/>
      </w:pPr>
      <w:r>
        <w:rPr>
          <w:sz w:val="21"/>
        </w:rPr>
        <w:t>5.中标候选人推荐时注意事项：</w:t>
      </w:r>
    </w:p>
    <w:p>
      <w:pPr>
        <w:pStyle w:val="null3"/>
        <w:ind w:firstLine="420"/>
        <w:jc w:val="both"/>
      </w:pPr>
      <w:r>
        <w:rPr>
          <w:sz w:val="21"/>
        </w:rPr>
        <w:t>1）评标委员会先按照以下要求推荐该项目的第一中标候选人：</w:t>
      </w:r>
    </w:p>
    <w:p>
      <w:pPr>
        <w:pStyle w:val="null3"/>
        <w:ind w:firstLine="420"/>
        <w:jc w:val="both"/>
      </w:pPr>
      <w:r>
        <w:rPr>
          <w:sz w:val="21"/>
        </w:rPr>
        <w:t>当</w:t>
      </w:r>
      <w:r>
        <w:rPr>
          <w:sz w:val="21"/>
        </w:rPr>
        <w:t>“项目有效投标人＜1</w:t>
      </w:r>
      <w:r>
        <w:rPr>
          <w:sz w:val="21"/>
        </w:rPr>
        <w:t>5</w:t>
      </w:r>
      <w:r>
        <w:rPr>
          <w:sz w:val="21"/>
        </w:rPr>
        <w:t>个</w:t>
      </w:r>
      <w:r>
        <w:rPr>
          <w:sz w:val="21"/>
        </w:rPr>
        <w:t>”时，该项目按废标处理。（有效投标人指通过资格审查、符合性审查的投标人，下同。）</w:t>
      </w:r>
    </w:p>
    <w:p>
      <w:pPr>
        <w:pStyle w:val="null3"/>
        <w:ind w:firstLine="420"/>
        <w:jc w:val="both"/>
      </w:pPr>
      <w:r>
        <w:rPr>
          <w:sz w:val="21"/>
        </w:rPr>
        <w:t>当</w:t>
      </w:r>
      <w:r>
        <w:rPr>
          <w:sz w:val="21"/>
        </w:rPr>
        <w:t>“项目有效投标人≥1</w:t>
      </w:r>
      <w:r>
        <w:rPr>
          <w:sz w:val="21"/>
        </w:rPr>
        <w:t>5</w:t>
      </w:r>
      <w:r>
        <w:rPr>
          <w:sz w:val="21"/>
        </w:rPr>
        <w:t>个</w:t>
      </w:r>
      <w:r>
        <w:rPr>
          <w:sz w:val="21"/>
        </w:rPr>
        <w:t>”时，按照投标人名次确定前1</w:t>
      </w:r>
      <w:r>
        <w:rPr>
          <w:sz w:val="21"/>
        </w:rPr>
        <w:t>5</w:t>
      </w:r>
      <w:r>
        <w:rPr>
          <w:sz w:val="21"/>
        </w:rPr>
        <w:t>名为第一中标候选人，并确定每个中标候选人对应负责的合同最高预算金额（根据</w:t>
      </w:r>
      <w:r>
        <w:rPr>
          <w:sz w:val="21"/>
        </w:rPr>
        <w:t>“第二章采购需求”）。</w:t>
      </w:r>
    </w:p>
    <w:p>
      <w:pPr>
        <w:pStyle w:val="null3"/>
        <w:ind w:firstLine="420"/>
        <w:jc w:val="both"/>
      </w:pPr>
      <w:r>
        <w:rPr>
          <w:sz w:val="21"/>
        </w:rPr>
        <w:t>2</w:t>
      </w:r>
      <w:r>
        <w:rPr>
          <w:sz w:val="21"/>
        </w:rPr>
        <w:t>）评标委会按顺序分别推荐不多于</w:t>
      </w:r>
      <w:r>
        <w:rPr>
          <w:sz w:val="21"/>
        </w:rPr>
        <w:t>1</w:t>
      </w:r>
      <w:r>
        <w:rPr>
          <w:sz w:val="21"/>
        </w:rPr>
        <w:t>5</w:t>
      </w:r>
      <w:r>
        <w:rPr>
          <w:sz w:val="21"/>
        </w:rPr>
        <w:t>家的第二中标候选人。</w:t>
      </w:r>
    </w:p>
    <w:p>
      <w:pPr>
        <w:pStyle w:val="null3"/>
        <w:ind w:firstLine="420"/>
        <w:jc w:val="both"/>
      </w:pPr>
      <w:r>
        <w:rPr>
          <w:sz w:val="21"/>
        </w:rPr>
        <w:t>3）</w:t>
      </w:r>
      <w:r>
        <w:rPr>
          <w:sz w:val="21"/>
        </w:rPr>
        <w:t>评标委员会按招标文件所列的中标顺序及办法推荐中标候选人。</w:t>
      </w:r>
    </w:p>
    <w:p>
      <w:pPr>
        <w:pStyle w:val="null3"/>
        <w:jc w:val="both"/>
      </w:pPr>
      <w:r>
        <w:rPr>
          <w:sz w:val="21"/>
        </w:rPr>
        <w:t xml:space="preserve">    6.本项目不接受联合体投标。</w:t>
      </w:r>
    </w:p>
    <w:p>
      <w:pPr>
        <w:pStyle w:val="null3"/>
        <w:ind w:firstLine="420"/>
        <w:jc w:val="both"/>
      </w:pPr>
      <w:r>
        <w:rPr>
          <w:sz w:val="21"/>
        </w:rPr>
        <w:t>（</w:t>
      </w:r>
      <w:r>
        <w:rPr>
          <w:sz w:val="21"/>
        </w:rPr>
        <w:t>七</w:t>
      </w:r>
      <w:r>
        <w:rPr>
          <w:sz w:val="21"/>
        </w:rPr>
        <w:t>）本项目属于不专门面向中小企业预留采购份额的项目，原因和情形为：按照《政府采购促进中小企业发展管理办法》规定预留采购份额无法确保充分供应、充分竞争，或者存在可能影响政府采购目标实现的情形。</w:t>
      </w:r>
    </w:p>
    <w:p>
      <w:pPr>
        <w:pStyle w:val="null3"/>
        <w:ind w:firstLine="422"/>
        <w:jc w:val="both"/>
      </w:pPr>
      <w:r>
        <w:rPr>
          <w:sz w:val="21"/>
          <w:b/>
        </w:rPr>
        <w:t>三、服务要求</w:t>
      </w:r>
    </w:p>
    <w:p>
      <w:pPr>
        <w:pStyle w:val="null3"/>
        <w:ind w:firstLine="420"/>
        <w:jc w:val="both"/>
      </w:pPr>
      <w:r>
        <w:rPr>
          <w:sz w:val="21"/>
        </w:rPr>
        <w:t>（一）对掌握政策的要求：</w:t>
      </w:r>
    </w:p>
    <w:p>
      <w:pPr>
        <w:pStyle w:val="null3"/>
        <w:ind w:firstLine="420"/>
        <w:jc w:val="both"/>
      </w:pPr>
      <w:r>
        <w:rPr>
          <w:sz w:val="21"/>
        </w:rPr>
        <w:t>投标人为基本建设项目概</w:t>
      </w:r>
      <w:r>
        <w:rPr>
          <w:sz w:val="21"/>
        </w:rPr>
        <w:t>、预、结</w:t>
      </w:r>
      <w:r>
        <w:rPr>
          <w:sz w:val="21"/>
        </w:rPr>
        <w:t>算评审</w:t>
      </w:r>
      <w:r>
        <w:rPr>
          <w:sz w:val="21"/>
        </w:rPr>
        <w:t>以及其他工程造价咨询</w:t>
      </w:r>
      <w:r>
        <w:rPr>
          <w:sz w:val="21"/>
        </w:rPr>
        <w:t>提供服务的相关人员，应熟悉国家、省、市有关部门关于财政投资评审及工程项目造价管理方面的法律、法规及相关政策，有一定的基建工程概算、预算、结算编审经验。</w:t>
      </w:r>
    </w:p>
    <w:p>
      <w:pPr>
        <w:pStyle w:val="null3"/>
        <w:ind w:firstLine="420"/>
        <w:jc w:val="both"/>
      </w:pPr>
      <w:r>
        <w:rPr>
          <w:sz w:val="21"/>
        </w:rPr>
        <w:t>（二）中标人应根据有关规定，本着为政府节约投资的原则，科学、客观、公正地开展评审工作；同时按财政部门的要求，按时按质提供评审报告，对报告的真实性、准确性负责，并负有保密责任。</w:t>
      </w:r>
    </w:p>
    <w:p>
      <w:pPr>
        <w:pStyle w:val="null3"/>
        <w:ind w:firstLine="420"/>
        <w:jc w:val="both"/>
      </w:pPr>
      <w:r>
        <w:rPr>
          <w:sz w:val="21"/>
        </w:rPr>
        <w:t>（三）投标人应满足以下人员配置要求：</w:t>
      </w:r>
    </w:p>
    <w:p>
      <w:pPr>
        <w:pStyle w:val="null3"/>
        <w:ind w:firstLine="420"/>
        <w:jc w:val="both"/>
      </w:pPr>
      <w:r>
        <w:rPr>
          <w:sz w:val="21"/>
        </w:rPr>
        <w:t>1.团队负责人需由投标人已在单位任该职满半年或以上（如因投标人成立时间不足半年，则任职时间视为满足）的技术负责人担任，需具有建设工程类高级工程师或以上职称，且具有一级造价工程师执业资格。</w:t>
      </w:r>
    </w:p>
    <w:p>
      <w:pPr>
        <w:pStyle w:val="null3"/>
        <w:ind w:firstLine="420"/>
        <w:jc w:val="both"/>
      </w:pPr>
      <w:r>
        <w:rPr>
          <w:sz w:val="21"/>
        </w:rPr>
        <w:t>2.服务本次采购项目的团队名单（不含团队负责人）需不少于25名专业技术人员，相关要求如下：</w:t>
      </w:r>
    </w:p>
    <w:p>
      <w:pPr>
        <w:pStyle w:val="null3"/>
        <w:ind w:firstLine="420"/>
        <w:jc w:val="both"/>
      </w:pPr>
      <w:r>
        <w:rPr>
          <w:sz w:val="21"/>
        </w:rPr>
        <w:t>为基本建设项目概</w:t>
      </w:r>
      <w:r>
        <w:rPr>
          <w:sz w:val="21"/>
        </w:rPr>
        <w:t>、预、结</w:t>
      </w:r>
      <w:r>
        <w:rPr>
          <w:sz w:val="21"/>
        </w:rPr>
        <w:t>算评审提供服务的相关人员：</w:t>
      </w:r>
    </w:p>
    <w:p>
      <w:pPr>
        <w:pStyle w:val="null3"/>
        <w:jc w:val="both"/>
      </w:pPr>
      <w:r>
        <w:rPr>
          <w:sz w:val="21"/>
        </w:rPr>
        <w:t>★（1）服务本次采购项目的团队名单（不含团队负责人）不少于25名专业技术人员，需有基本建设工程概算、预算、结算编审经验，具有建设工程类中级技术职称或以上，且具有二级或以上注册造价工程师或建设工程造价员执业资格的各类工程专业人员，执业资格的专业类别包括土木建筑工程、安装工程、交通运输工程、水利工程。</w:t>
      </w:r>
    </w:p>
    <w:p>
      <w:pPr>
        <w:pStyle w:val="null3"/>
        <w:jc w:val="both"/>
      </w:pPr>
      <w:r>
        <w:rPr>
          <w:sz w:val="21"/>
        </w:rPr>
        <w:t>★（2）评审服务的专业技术人员，其中一级造价工程师（提供全国建筑市场监管公共服务平台</w:t>
      </w:r>
      <w:r>
        <w:rPr>
          <w:sz w:val="21"/>
        </w:rPr>
        <w:t>或</w:t>
      </w:r>
      <w:r>
        <w:rPr>
          <w:sz w:val="21"/>
        </w:rPr>
        <w:t>交通运输部行政许可网上办理平台</w:t>
      </w:r>
      <w:r>
        <w:rPr>
          <w:sz w:val="21"/>
        </w:rPr>
        <w:t>或</w:t>
      </w:r>
      <w:r>
        <w:rPr>
          <w:sz w:val="21"/>
        </w:rPr>
        <w:t>水利部政务服务平台等执业注册信息截图）数量应不少于</w:t>
      </w:r>
      <w:r>
        <w:rPr>
          <w:sz w:val="21"/>
        </w:rPr>
        <w:t>12名</w:t>
      </w:r>
      <w:r>
        <w:rPr>
          <w:sz w:val="21"/>
        </w:rPr>
        <w:t>（包含在团队名单中）</w:t>
      </w:r>
      <w:r>
        <w:rPr>
          <w:sz w:val="21"/>
        </w:rPr>
        <w:t>；需覆盖土木建筑工程专业、安装工程专业、交通运输工程专业及水利工程专业。</w:t>
      </w:r>
    </w:p>
    <w:p>
      <w:pPr>
        <w:pStyle w:val="null3"/>
        <w:jc w:val="both"/>
      </w:pPr>
      <w:r>
        <w:rPr>
          <w:sz w:val="21"/>
        </w:rPr>
        <w:t>注：</w:t>
      </w:r>
      <w:r>
        <w:rPr>
          <w:sz w:val="21"/>
        </w:rPr>
        <w:t>上述人员均不得兼任</w:t>
      </w:r>
      <w:r>
        <w:rPr>
          <w:sz w:val="21"/>
        </w:rPr>
        <w:t>（一人多证的不重复计算），</w:t>
      </w:r>
      <w:r>
        <w:rPr>
          <w:sz w:val="21"/>
        </w:rPr>
        <w:t>均为投标人的正式员工，提供加盖政府有关部门印章的在本项目投标截止日之前</w:t>
      </w:r>
      <w:r>
        <w:rPr>
          <w:sz w:val="21"/>
        </w:rPr>
        <w:t>6个月内任意</w:t>
      </w:r>
      <w:r>
        <w:rPr>
          <w:sz w:val="21"/>
        </w:rPr>
        <w:t>一</w:t>
      </w:r>
      <w:r>
        <w:rPr>
          <w:sz w:val="21"/>
        </w:rPr>
        <w:t>个月的：《社会保险参保人员证明》扫描件，或单位代缴个人所得税税单扫描件。如单位新成立不满</w:t>
      </w:r>
      <w:r>
        <w:rPr>
          <w:sz w:val="21"/>
        </w:rPr>
        <w:t>一</w:t>
      </w:r>
      <w:r>
        <w:rPr>
          <w:sz w:val="21"/>
        </w:rPr>
        <w:t>个月的，以新单位实际购买社保的时间为准。</w:t>
      </w:r>
    </w:p>
    <w:p>
      <w:pPr>
        <w:pStyle w:val="null3"/>
        <w:ind w:firstLine="420"/>
        <w:jc w:val="both"/>
      </w:pPr>
      <w:r>
        <w:rPr>
          <w:sz w:val="21"/>
        </w:rPr>
        <w:t>（</w:t>
      </w:r>
      <w:r>
        <w:rPr>
          <w:sz w:val="21"/>
        </w:rPr>
        <w:t>3）投标人投标时需提供上述专职从事评审工作的人员名单，并提供团队人员的注册执业资格证书、职称证书。人员更换需书面告知采购人，未经采购人同意不得更换。</w:t>
      </w:r>
    </w:p>
    <w:p>
      <w:pPr>
        <w:pStyle w:val="null3"/>
        <w:ind w:firstLine="420"/>
        <w:jc w:val="both"/>
      </w:pPr>
      <w:r>
        <w:rPr>
          <w:sz w:val="21"/>
        </w:rPr>
        <w:t>（</w:t>
      </w:r>
      <w:r>
        <w:rPr>
          <w:sz w:val="21"/>
        </w:rPr>
        <w:t>4）驻场要求：①中标人</w:t>
      </w:r>
      <w:r>
        <w:rPr>
          <w:sz w:val="21"/>
        </w:rPr>
        <w:t>需承诺协议签订后</w:t>
      </w:r>
      <w:r>
        <w:rPr>
          <w:sz w:val="21"/>
        </w:rPr>
        <w:t>7个工作日内</w:t>
      </w:r>
      <w:r>
        <w:rPr>
          <w:sz w:val="21"/>
        </w:rPr>
        <w:t>在南沙区设置能够正常开展评审办公及对数场所，</w:t>
      </w:r>
      <w:r>
        <w:rPr>
          <w:sz w:val="21"/>
        </w:rPr>
        <w:t>结合接收评审项目的具体情况，合理安排评审专业技术人员（参与具体项目评审的一级</w:t>
      </w:r>
      <w:r>
        <w:rPr>
          <w:sz w:val="21"/>
        </w:rPr>
        <w:t>注册</w:t>
      </w:r>
      <w:r>
        <w:rPr>
          <w:sz w:val="21"/>
        </w:rPr>
        <w:t>造价工程师不得少于参与该具体项目评审人员总数的</w:t>
      </w:r>
      <w:r>
        <w:rPr>
          <w:sz w:val="21"/>
        </w:rPr>
        <w:t>50%</w:t>
      </w:r>
      <w:r>
        <w:rPr>
          <w:sz w:val="21"/>
        </w:rPr>
        <w:t>且审核人、复核人、审定人均须有一级注册造价工程师</w:t>
      </w:r>
      <w:r>
        <w:rPr>
          <w:sz w:val="21"/>
        </w:rPr>
        <w:t>）</w:t>
      </w:r>
      <w:r>
        <w:rPr>
          <w:sz w:val="21"/>
        </w:rPr>
        <w:t>，按采购人的要求驻场办公（中标人在南沙区的办公及对数场所或采购人指定的其他办公地点）</w:t>
      </w:r>
      <w:r>
        <w:rPr>
          <w:sz w:val="21"/>
        </w:rPr>
        <w:t>，确保在规定时间内出具评审报告。</w:t>
      </w:r>
      <w:r>
        <w:rPr>
          <w:sz w:val="21"/>
        </w:rPr>
        <w:t>②为加强财政政策学习以及对建设项目送审资料审核把关，中标人</w:t>
      </w:r>
      <w:r>
        <w:rPr>
          <w:sz w:val="21"/>
        </w:rPr>
        <w:t>在合同执行期间，按采购人要求</w:t>
      </w:r>
      <w:r>
        <w:rPr>
          <w:sz w:val="21"/>
        </w:rPr>
        <w:t>派</w:t>
      </w:r>
      <w:r>
        <w:rPr>
          <w:sz w:val="21"/>
        </w:rPr>
        <w:t>1名专业技术工作人员到采购人指定的办公地点驻场</w:t>
      </w:r>
      <w:r>
        <w:rPr>
          <w:sz w:val="21"/>
        </w:rPr>
        <w:t>90</w:t>
      </w:r>
      <w:r>
        <w:rPr>
          <w:sz w:val="21"/>
        </w:rPr>
        <w:t>天时间，包括但不限于建设项目送审资料的符合性审查、资料整理并上传系统、对接送审单位协调预受理等评审前期相关工作。</w:t>
      </w:r>
    </w:p>
    <w:p>
      <w:pPr>
        <w:pStyle w:val="null3"/>
        <w:ind w:firstLine="420"/>
        <w:jc w:val="both"/>
      </w:pPr>
      <w:r>
        <w:rPr>
          <w:sz w:val="21"/>
        </w:rPr>
        <w:t>3.中标人在协议执行期内更换服务本次采购项目的团队</w:t>
      </w:r>
      <w:r>
        <w:rPr>
          <w:sz w:val="21"/>
        </w:rPr>
        <w:t>人员</w:t>
      </w:r>
      <w:r>
        <w:rPr>
          <w:sz w:val="21"/>
        </w:rPr>
        <w:t>，自服务期开始</w:t>
      </w:r>
      <w:r>
        <w:rPr>
          <w:sz w:val="21"/>
        </w:rPr>
        <w:t>6个月内不得更换，服务期满6个月后由于特殊原因确需调整更换人员，中标人需向采购人提出书面申请，经采购人同意后，按照3万元/人的标准赔偿采购人。服务期内累计更换人数不得超过</w:t>
      </w:r>
      <w:r>
        <w:rPr>
          <w:sz w:val="21"/>
        </w:rPr>
        <w:t>3次</w:t>
      </w:r>
      <w:r>
        <w:rPr>
          <w:sz w:val="21"/>
        </w:rPr>
        <w:t>（采购人根据评审工作实际情况提出更换和调整的人员数量不计算在内）</w:t>
      </w:r>
      <w:r>
        <w:rPr>
          <w:sz w:val="21"/>
        </w:rPr>
        <w:t>，否则采购人有权终止协议。</w:t>
      </w:r>
      <w:r>
        <w:rPr>
          <w:sz w:val="21"/>
        </w:rPr>
        <w:t>人员更换应遵循资质和职称对等或更高替换原则，即新替人员职称、一级注册造价工程师资格等情况应等于或高于原人员职称和资格。采购人有权根据服务人员的工作表现，指定具体项目的服务人员及提出更换服务人员要求。</w:t>
      </w:r>
    </w:p>
    <w:p>
      <w:pPr>
        <w:pStyle w:val="null3"/>
        <w:ind w:firstLine="420"/>
        <w:jc w:val="both"/>
      </w:pPr>
      <w:r>
        <w:rPr>
          <w:sz w:val="21"/>
        </w:rPr>
        <w:t>（四）委托业务回避要求：</w:t>
      </w:r>
    </w:p>
    <w:p>
      <w:pPr>
        <w:pStyle w:val="null3"/>
        <w:ind w:firstLine="420"/>
        <w:jc w:val="both"/>
      </w:pPr>
      <w:r>
        <w:rPr>
          <w:sz w:val="21"/>
        </w:rPr>
        <w:t>在合同期内，中标人接受采购人委托项目，存在以下情形应予回避：</w:t>
      </w:r>
      <w:r>
        <w:rPr>
          <w:sz w:val="21"/>
        </w:rPr>
        <w:t>1.中标人曾就委托项目向采购人以外的单位或个人提供造价咨询服务（包括设计、概预算编审、招标代理、监理、代建等）的；2.有其他利害关系的；3.其他可能影响评审公正、公平的情形的。</w:t>
      </w:r>
    </w:p>
    <w:p>
      <w:pPr>
        <w:pStyle w:val="null3"/>
        <w:ind w:firstLine="420"/>
        <w:jc w:val="both"/>
      </w:pPr>
      <w:r>
        <w:rPr>
          <w:sz w:val="21"/>
        </w:rPr>
        <w:t>中标人在某项目存在回避情形的，不得作为该项目的财政委托审核机构，并应主动提供回避事项的证明文件交由采购人，经采购人同意后，由采购人重新选取</w:t>
      </w:r>
      <w:r>
        <w:rPr>
          <w:sz w:val="21"/>
        </w:rPr>
        <w:t>其他</w:t>
      </w:r>
      <w:r>
        <w:rPr>
          <w:sz w:val="21"/>
        </w:rPr>
        <w:t>中标人承担该项目的评审任务。</w:t>
      </w:r>
    </w:p>
    <w:p>
      <w:pPr>
        <w:pStyle w:val="null3"/>
        <w:ind w:firstLine="420"/>
        <w:jc w:val="both"/>
      </w:pPr>
      <w:r>
        <w:rPr>
          <w:sz w:val="21"/>
        </w:rPr>
        <w:t>（五）完成项目审核的时间要求：按照有关规定和采购人要求执行。</w:t>
      </w:r>
    </w:p>
    <w:p>
      <w:pPr>
        <w:pStyle w:val="null3"/>
        <w:ind w:firstLine="420"/>
        <w:jc w:val="both"/>
      </w:pPr>
      <w:r>
        <w:rPr>
          <w:sz w:val="21"/>
        </w:rPr>
        <w:t>（六）协议期内，中标人无正当理由不得拒绝委托。已接受委托的项目，中标人必须按照协议要求按时按质完成任务。未经采购人书面同意，不得擅自将受托项目转委托或分包给第三方承担，即中标人未经采购人同意禁止以任何形式将评审业务交由其他单位或个人。</w:t>
      </w:r>
    </w:p>
    <w:p>
      <w:pPr>
        <w:pStyle w:val="null3"/>
        <w:ind w:firstLine="420"/>
        <w:jc w:val="both"/>
      </w:pPr>
      <w:r>
        <w:rPr>
          <w:sz w:val="21"/>
        </w:rPr>
        <w:t>（七）保密要求：项目服务过程中，自签订合同之日起，中标人须采取措施对本项目实施过程中的数据、图纸、技术文档等资料保密，否则，由于中标人过错导致的上述资料泄密的，中标人须承担一切责任，所造成的一切损失由中标人承担。本项目的保密责任，不因本合同的中止或解除而失效。</w:t>
      </w:r>
    </w:p>
    <w:p>
      <w:pPr>
        <w:pStyle w:val="null3"/>
        <w:ind w:firstLine="420"/>
        <w:jc w:val="both"/>
      </w:pPr>
      <w:r>
        <w:rPr>
          <w:sz w:val="21"/>
        </w:rPr>
        <w:t>（</w:t>
      </w:r>
      <w:r>
        <w:rPr>
          <w:sz w:val="21"/>
        </w:rPr>
        <w:t>1）中标人须对采购人提供的一切资料、数据做好保存工作，未经采购人书面同意，中标人不得泄露以上任何内容给第三方。如发现中标人有泄露行为，依法追究中标人的法律及赔偿责任。中标人的保密责任，不因本合同的中止或解除而失效。</w:t>
      </w:r>
    </w:p>
    <w:p>
      <w:pPr>
        <w:pStyle w:val="null3"/>
        <w:ind w:firstLine="420"/>
        <w:jc w:val="both"/>
      </w:pPr>
      <w:r>
        <w:rPr>
          <w:sz w:val="21"/>
        </w:rPr>
        <w:t>（</w:t>
      </w:r>
      <w:r>
        <w:rPr>
          <w:sz w:val="21"/>
        </w:rPr>
        <w:t>2）未经采购人事先书面同意，中标人不得将由采购人为本合同提供的条文、计划、图纸或资料提供给与本合同无关的任何第三方，不得将其用于履行本合同之外的其它用途。即使提供给与履行本合同有关的人员，也应注意保密并限于履行合同所必需的范围。</w:t>
      </w:r>
    </w:p>
    <w:p>
      <w:pPr>
        <w:pStyle w:val="null3"/>
        <w:ind w:firstLine="420"/>
        <w:jc w:val="both"/>
      </w:pPr>
      <w:r>
        <w:rPr>
          <w:sz w:val="21"/>
        </w:rPr>
        <w:t>（八）评审资料的</w:t>
      </w:r>
      <w:r>
        <w:rPr>
          <w:sz w:val="21"/>
        </w:rPr>
        <w:t>归档</w:t>
      </w:r>
      <w:r>
        <w:rPr>
          <w:sz w:val="21"/>
        </w:rPr>
        <w:t>要求：对已出具评审报告的项目，应按</w:t>
      </w:r>
      <w:r>
        <w:rPr>
          <w:sz w:val="21"/>
        </w:rPr>
        <w:t>采购人的要求对评审资料进行整理移交</w:t>
      </w:r>
      <w:r>
        <w:rPr>
          <w:sz w:val="21"/>
        </w:rPr>
        <w:t>。</w:t>
      </w:r>
    </w:p>
    <w:p>
      <w:pPr>
        <w:pStyle w:val="null3"/>
        <w:ind w:firstLine="420"/>
        <w:jc w:val="both"/>
      </w:pPr>
      <w:r>
        <w:rPr>
          <w:sz w:val="21"/>
        </w:rPr>
        <w:t>（九）未能办理</w:t>
      </w:r>
      <w:r>
        <w:rPr>
          <w:sz w:val="21"/>
        </w:rPr>
        <w:t>“广州市建筑业企业及工程中介服务机构登记备案”的中标人与采购人签署服务协议后，在接受采购人委托项目前，应按广州市的规定办理相关登记备案手续（包括单项登记备案等），否则，不予分配委托项目。</w:t>
      </w:r>
    </w:p>
    <w:p>
      <w:pPr>
        <w:pStyle w:val="null3"/>
        <w:ind w:firstLine="420"/>
        <w:jc w:val="both"/>
      </w:pPr>
      <w:r>
        <w:rPr>
          <w:sz w:val="21"/>
        </w:rPr>
        <w:t>（十）</w:t>
      </w:r>
      <w:r>
        <w:rPr>
          <w:sz w:val="21"/>
        </w:rPr>
        <w:t>中标人在本服务期满后，应在到期后</w:t>
      </w:r>
      <w:r>
        <w:rPr>
          <w:sz w:val="21"/>
        </w:rPr>
        <w:t>1个月内将采购人所有委托的项目评审完毕，不能完成评审的（送审单位盖章确认评审结果视为完成评审工作）应退回给采购人，未完成评审的项目不计算评审费用；如因中标人原因被终止服务的，中标人应及时将采购人所有委</w:t>
      </w:r>
      <w:r>
        <w:rPr>
          <w:sz w:val="21"/>
        </w:rPr>
        <w:t>托任务退回，未完成评审的项目不计算评审费用。</w:t>
      </w:r>
    </w:p>
    <w:p>
      <w:pPr>
        <w:pStyle w:val="null3"/>
        <w:ind w:firstLine="422"/>
        <w:jc w:val="both"/>
      </w:pPr>
      <w:r>
        <w:rPr>
          <w:sz w:val="21"/>
          <w:b/>
        </w:rPr>
        <w:t>四、</w:t>
      </w:r>
      <w:r>
        <w:rPr>
          <w:sz w:val="21"/>
          <w:b/>
        </w:rPr>
        <w:t>项目分配办法</w:t>
      </w:r>
    </w:p>
    <w:p>
      <w:pPr>
        <w:pStyle w:val="null3"/>
        <w:ind w:firstLine="420"/>
        <w:jc w:val="both"/>
      </w:pPr>
      <w:r>
        <w:rPr>
          <w:sz w:val="21"/>
        </w:rPr>
        <w:t>（一）基本建设项目评审服务</w:t>
      </w:r>
    </w:p>
    <w:p>
      <w:pPr>
        <w:pStyle w:val="null3"/>
        <w:ind w:firstLine="420"/>
        <w:jc w:val="both"/>
      </w:pPr>
      <w:r>
        <w:rPr>
          <w:sz w:val="21"/>
        </w:rPr>
        <w:t>按照《广州市南沙（开发）区财政投资评审委托业务分配操作规程》执行（详见附件</w:t>
      </w:r>
      <w:r>
        <w:rPr>
          <w:sz w:val="21"/>
        </w:rPr>
        <w:t>1</w:t>
      </w:r>
      <w:r>
        <w:rPr>
          <w:sz w:val="21"/>
        </w:rPr>
        <w:t>）。</w:t>
      </w:r>
    </w:p>
    <w:p>
      <w:pPr>
        <w:pStyle w:val="null3"/>
        <w:ind w:firstLine="420"/>
        <w:jc w:val="both"/>
      </w:pPr>
      <w:r>
        <w:rPr>
          <w:sz w:val="21"/>
        </w:rPr>
        <w:t>（</w:t>
      </w:r>
      <w:r>
        <w:rPr>
          <w:sz w:val="21"/>
        </w:rPr>
        <w:t>二</w:t>
      </w:r>
      <w:r>
        <w:rPr>
          <w:sz w:val="21"/>
        </w:rPr>
        <w:t>）服务期限内，采购人没有义务确保每家中标人的项目数量，可能会因为政府的政策、建设项目需求等原因而导致项目数量和金额的减少，采购人不保证中标人在中标服务期内业务能达到预算金额，中标人自行评估和承担风险。</w:t>
      </w:r>
    </w:p>
    <w:p>
      <w:pPr>
        <w:pStyle w:val="null3"/>
        <w:ind w:firstLine="420"/>
        <w:jc w:val="both"/>
      </w:pPr>
      <w:r>
        <w:rPr>
          <w:sz w:val="21"/>
        </w:rPr>
        <w:t>（</w:t>
      </w:r>
      <w:r>
        <w:rPr>
          <w:sz w:val="21"/>
        </w:rPr>
        <w:t>三</w:t>
      </w:r>
      <w:r>
        <w:rPr>
          <w:sz w:val="21"/>
        </w:rPr>
        <w:t>）为避免评审费超过中标合同价，当已支付费用达到中标合同价的</w:t>
      </w:r>
      <w:r>
        <w:rPr>
          <w:sz w:val="21"/>
        </w:rPr>
        <w:t>80%时，采购人将视情况暂缓委派新的评审任务，待核定所有在审项目的预计评审费后（预计评审费计算标准：（基本收费+按10%核减额预估效益收费）×（1-下浮率）），如经核定后的总支付费用仍不超中标合同价的，才能继续委派新项目，直到合同终止。</w:t>
      </w:r>
    </w:p>
    <w:p>
      <w:pPr>
        <w:pStyle w:val="null3"/>
        <w:ind w:firstLine="422"/>
        <w:jc w:val="both"/>
      </w:pPr>
      <w:r>
        <w:rPr>
          <w:sz w:val="21"/>
          <w:b/>
        </w:rPr>
        <w:t>五、计费标准</w:t>
      </w:r>
    </w:p>
    <w:p>
      <w:pPr>
        <w:pStyle w:val="null3"/>
        <w:jc w:val="center"/>
      </w:pPr>
      <w:r>
        <w:rPr>
          <w:sz w:val="21"/>
        </w:rPr>
        <w:t>广州市南沙区财政局</w:t>
      </w:r>
      <w:r>
        <w:rPr>
          <w:sz w:val="21"/>
        </w:rPr>
        <w:t xml:space="preserve">2024-2027 </w:t>
      </w:r>
      <w:r>
        <w:rPr>
          <w:sz w:val="21"/>
        </w:rPr>
        <w:t>年财政投资评审</w:t>
      </w:r>
    </w:p>
    <w:p>
      <w:pPr>
        <w:pStyle w:val="null3"/>
        <w:jc w:val="center"/>
      </w:pPr>
      <w:r>
        <w:rPr>
          <w:sz w:val="21"/>
        </w:rPr>
        <w:t>服务项目</w:t>
      </w:r>
      <w:r>
        <w:rPr>
          <w:sz w:val="21"/>
        </w:rPr>
        <w:t>计费标准</w:t>
      </w:r>
    </w:p>
    <w:p>
      <w:pPr>
        <w:pStyle w:val="null3"/>
        <w:jc w:val="center"/>
      </w:pPr>
      <w:r>
        <w:drawing>
          <wp:inline distT="0" distR="0" distB="0" distL="0">
            <wp:extent cx="5274310" cy="301496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5274310" cy="3014960"/>
                    </a:xfrm>
                    <a:prstGeom prst="rect">
                      <a:avLst/>
                    </a:prstGeom>
                  </pic:spPr>
                </pic:pic>
              </a:graphicData>
            </a:graphic>
          </wp:inline>
        </w:drawing>
      </w:r>
      <w:r>
        <w:drawing>
          <wp:inline distT="0" distR="0" distB="0" distL="0">
            <wp:extent cx="5274310" cy="2615239"/>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5274310" cy="2615239"/>
                    </a:xfrm>
                    <a:prstGeom prst="rect">
                      <a:avLst/>
                    </a:prstGeom>
                  </pic:spPr>
                </pic:pic>
              </a:graphicData>
            </a:graphic>
          </wp:inline>
        </w:drawing>
      </w:r>
    </w:p>
    <w:p>
      <w:pPr>
        <w:pStyle w:val="null3"/>
        <w:jc w:val="both"/>
      </w:pPr>
      <w:r>
        <w:rPr/>
        <w:t xml:space="preserve"> </w:t>
      </w:r>
    </w:p>
    <w:p>
      <w:pPr>
        <w:pStyle w:val="null3"/>
        <w:jc w:val="both"/>
      </w:pPr>
      <w:r>
        <w:rPr/>
        <w:t xml:space="preserve"> </w:t>
      </w:r>
    </w:p>
    <w:p>
      <w:pPr>
        <w:pStyle w:val="null3"/>
        <w:jc w:val="both"/>
      </w:pPr>
      <w:r>
        <w:rPr>
          <w:sz w:val="21"/>
        </w:rPr>
        <w:t>注：</w:t>
      </w:r>
    </w:p>
    <w:p>
      <w:pPr>
        <w:pStyle w:val="null3"/>
        <w:ind w:firstLine="420"/>
        <w:jc w:val="both"/>
      </w:pPr>
      <w:r>
        <w:rPr>
          <w:sz w:val="21"/>
        </w:rPr>
        <w:t>1.</w:t>
      </w:r>
      <w:r>
        <w:rPr>
          <w:sz w:val="21"/>
        </w:rPr>
        <w:t>以上计费中标人应执行合同下浮率，经下浮后如不足</w:t>
      </w:r>
      <w:r>
        <w:rPr>
          <w:sz w:val="21"/>
        </w:rPr>
        <w:t>2000元的按2000元计算。其中评审服务费用计费下浮后超过60万元的按60万元计算</w:t>
      </w:r>
      <w:r>
        <w:rPr>
          <w:sz w:val="21"/>
        </w:rPr>
        <w:t>，评审、复审项目均按此执行</w:t>
      </w:r>
      <w:r>
        <w:rPr>
          <w:sz w:val="21"/>
        </w:rPr>
        <w:t>。</w:t>
      </w:r>
    </w:p>
    <w:p>
      <w:pPr>
        <w:pStyle w:val="null3"/>
        <w:ind w:firstLine="420"/>
        <w:jc w:val="both"/>
      </w:pPr>
      <w:r>
        <w:rPr>
          <w:sz w:val="21"/>
        </w:rPr>
        <w:t>2</w:t>
      </w:r>
      <w:r>
        <w:rPr>
          <w:sz w:val="21"/>
        </w:rPr>
        <w:t>.以上费用均为含税金额。</w:t>
      </w:r>
    </w:p>
    <w:p>
      <w:pPr>
        <w:pStyle w:val="null3"/>
        <w:ind w:firstLine="420"/>
        <w:jc w:val="both"/>
      </w:pPr>
      <w:r>
        <w:rPr>
          <w:sz w:val="21"/>
        </w:rPr>
        <w:t>3.</w:t>
      </w:r>
      <w:r>
        <w:rPr>
          <w:sz w:val="21"/>
        </w:rPr>
        <w:t>复审费用的计费标准按照广州市南沙区财政局</w:t>
      </w:r>
      <w:r>
        <w:rPr>
          <w:sz w:val="21"/>
        </w:rPr>
        <w:t>2024-2027年财政投资评审服务项目</w:t>
      </w:r>
      <w:r>
        <w:rPr>
          <w:sz w:val="21"/>
        </w:rPr>
        <w:t>计费标准的</w:t>
      </w:r>
      <w:r>
        <w:rPr>
          <w:sz w:val="21"/>
        </w:rPr>
        <w:t>50%计取</w:t>
      </w:r>
      <w:r>
        <w:rPr>
          <w:sz w:val="21"/>
        </w:rPr>
        <w:t>。</w:t>
      </w:r>
    </w:p>
    <w:p>
      <w:pPr>
        <w:pStyle w:val="null3"/>
        <w:ind w:firstLine="420"/>
        <w:jc w:val="both"/>
      </w:pPr>
      <w:r>
        <w:rPr>
          <w:sz w:val="21"/>
        </w:rPr>
        <w:t>4.</w:t>
      </w:r>
      <w:r>
        <w:rPr>
          <w:sz w:val="21"/>
        </w:rPr>
        <w:t>以上各项计费均以完成的单一委托金额计算，服务期间，计费标准不作调整。</w:t>
      </w:r>
    </w:p>
    <w:p>
      <w:pPr>
        <w:pStyle w:val="null3"/>
        <w:ind w:firstLine="420"/>
        <w:jc w:val="both"/>
      </w:pPr>
      <w:r>
        <w:rPr>
          <w:sz w:val="21"/>
        </w:rPr>
        <w:t>5.财政投资评审以外的其他工程造价咨询服务由采购人和中标人依据工程造价相关收费文件协商议定。</w:t>
      </w:r>
    </w:p>
    <w:p>
      <w:pPr>
        <w:pStyle w:val="null3"/>
        <w:ind w:firstLine="482"/>
        <w:jc w:val="both"/>
      </w:pPr>
      <w:r>
        <w:rPr>
          <w:sz w:val="21"/>
          <w:b/>
        </w:rPr>
        <w:t>六、投标报价</w:t>
      </w:r>
    </w:p>
    <w:p>
      <w:pPr>
        <w:pStyle w:val="null3"/>
        <w:ind w:firstLine="482"/>
        <w:jc w:val="both"/>
      </w:pPr>
      <w:r>
        <w:rPr>
          <w:sz w:val="21"/>
        </w:rPr>
        <w:t>（一）投标下浮率：投标人应根据企业自身能力报出计费标准的下浮率</w:t>
      </w:r>
      <w:r>
        <w:rPr>
          <w:sz w:val="21"/>
        </w:rPr>
        <w:t>b%。下浮率须为固定值，本项目下浮率上限为100%，超过最高上限的视为无效投标。</w:t>
      </w:r>
    </w:p>
    <w:p>
      <w:pPr>
        <w:pStyle w:val="null3"/>
        <w:ind w:firstLine="480"/>
        <w:jc w:val="both"/>
      </w:pPr>
      <w:r>
        <w:rPr>
          <w:sz w:val="21"/>
        </w:rPr>
        <w:t>注：</w:t>
      </w:r>
      <w:r>
        <w:rPr>
          <w:sz w:val="21"/>
        </w:rPr>
        <w:t>1.投标下浮率b%值须为固定值，精确到小数点后两位，实际支付的评审费金额=计费标准×（1- b%）。经下浮后，评审费金额仍不足2000元的按2000元计算</w:t>
      </w:r>
      <w:r>
        <w:rPr>
          <w:sz w:val="21"/>
        </w:rPr>
        <w:t>。</w:t>
      </w:r>
      <w:r>
        <w:rPr>
          <w:sz w:val="21"/>
        </w:rPr>
        <w:t>协议执行期内，收费标准不作调整。</w:t>
      </w:r>
    </w:p>
    <w:p>
      <w:pPr>
        <w:pStyle w:val="null3"/>
        <w:ind w:firstLine="420"/>
        <w:jc w:val="left"/>
      </w:pPr>
      <w:r>
        <w:rPr>
          <w:sz w:val="21"/>
        </w:rPr>
        <w:t>2.投标人按本次招标审核项目计费标准报投标下浮率，依据《广州市财政局关于印发工程造价咨询项目和机动车维修项目政府采购需求范本的通知》（穗财采〔2023〕56号）相关规定：“2.2本项目采购最高限价由人工费、设施设备使用费、管理费、利润、税金和风险费组成；2.3根据《中华人民共和国价格法》第十四条，《广东省实施&lt;中华人民共和国价格法&gt;办法》第八条规定，供应商报价不得低于自身生产、经营成本的价格。工程造价咨询费报价范围：成本价≤咨询费≤最高限价2.4供应商自身生产、经营成本评价依据：2.4.1广东省工程造价协会公布工程造价咨询费用成本。”</w:t>
      </w:r>
    </w:p>
    <w:p>
      <w:pPr>
        <w:pStyle w:val="null3"/>
        <w:ind w:firstLine="420"/>
        <w:jc w:val="left"/>
      </w:pPr>
      <w:r>
        <w:rPr>
          <w:sz w:val="21"/>
        </w:rPr>
        <w:t>3.</w:t>
      </w:r>
      <w:r>
        <w:rPr>
          <w:sz w:val="21"/>
        </w:rPr>
        <w:t>如投标人报价低于本采购项目评审计费标准的</w:t>
      </w:r>
      <w:r>
        <w:rPr>
          <w:sz w:val="21"/>
        </w:rPr>
        <w:t>70%，必须在投标文件中提供报价说明，包括但不限于</w:t>
      </w:r>
      <w:r>
        <w:rPr>
          <w:sz w:val="21"/>
        </w:rPr>
        <w:t>投标人</w:t>
      </w:r>
      <w:r>
        <w:rPr>
          <w:sz w:val="21"/>
        </w:rPr>
        <w:t>响应报价期上一年度自身生产、经营成本及相关证明材料，证明材料包括：在本项目投标截止日之前</w:t>
      </w:r>
      <w:r>
        <w:rPr>
          <w:sz w:val="21"/>
        </w:rPr>
        <w:t>6个月内投标团队名单（不少于25名专业技术人员）全体成员的工资发放表、个人所得税、以及《社会保险参保人员证明》扫描件；提交近五年财政类似项目低于计费标准</w:t>
      </w:r>
      <w:r>
        <w:rPr>
          <w:sz w:val="21"/>
        </w:rPr>
        <w:t>7</w:t>
      </w:r>
      <w:r>
        <w:rPr>
          <w:sz w:val="21"/>
        </w:rPr>
        <w:t>0%折扣的案例以及业主评价、成本分析表、第三方出具的自身生产、经营成本审计报告</w:t>
      </w:r>
      <w:r>
        <w:rPr>
          <w:sz w:val="21"/>
        </w:rPr>
        <w:t>、</w:t>
      </w:r>
      <w:r>
        <w:rPr>
          <w:sz w:val="21"/>
        </w:rPr>
        <w:t>财务报告等相关证明材料</w:t>
      </w:r>
      <w:r>
        <w:rPr>
          <w:sz w:val="21"/>
        </w:rPr>
        <w:t>，</w:t>
      </w:r>
      <w:r>
        <w:rPr>
          <w:sz w:val="21"/>
        </w:rPr>
        <w:t>证明其报价合理性。评标委员会认为投标人不能证明其报价合理性的，或有可能影响产品质量或者不能诚信履约的，应当将其作为无效投标处理。</w:t>
      </w:r>
    </w:p>
    <w:p>
      <w:pPr>
        <w:pStyle w:val="null3"/>
        <w:ind w:firstLine="482"/>
        <w:jc w:val="both"/>
      </w:pPr>
      <w:r>
        <w:rPr>
          <w:sz w:val="21"/>
        </w:rPr>
        <w:t>（二）付费方式</w:t>
      </w:r>
    </w:p>
    <w:p>
      <w:pPr>
        <w:pStyle w:val="null3"/>
        <w:ind w:firstLine="480"/>
        <w:jc w:val="both"/>
      </w:pPr>
      <w:r>
        <w:rPr>
          <w:sz w:val="21"/>
        </w:rPr>
        <w:t>付费方式为每季度据实结算付款（中小企业如有需要可按月支付）。由中标供应商于每季度（或按月）结束后十五个工作日内向采购人书面报送评审项目费用结算表（同时提供电子版本），</w:t>
      </w:r>
      <w:r>
        <w:rPr>
          <w:sz w:val="21"/>
        </w:rPr>
        <w:t>采购人在收到中标供应商提交的与当期应付金额相等的合法有效的增值税普通发票后</w:t>
      </w:r>
      <w:r>
        <w:rPr>
          <w:sz w:val="21"/>
        </w:rPr>
        <w:t>5个工作日内办理支付手续</w:t>
      </w:r>
      <w:r>
        <w:rPr>
          <w:sz w:val="21"/>
        </w:rPr>
        <w:t>。</w:t>
      </w:r>
    </w:p>
    <w:p>
      <w:pPr>
        <w:pStyle w:val="null3"/>
        <w:ind w:firstLine="472"/>
        <w:jc w:val="both"/>
      </w:pPr>
      <w:r>
        <w:rPr>
          <w:sz w:val="21"/>
          <w:b/>
        </w:rPr>
        <w:t>七、其他服务要求</w:t>
      </w:r>
    </w:p>
    <w:p>
      <w:pPr>
        <w:pStyle w:val="null3"/>
        <w:ind w:firstLine="480"/>
        <w:jc w:val="both"/>
      </w:pPr>
      <w:r>
        <w:rPr>
          <w:sz w:val="21"/>
        </w:rPr>
        <w:t>（一）除采购人提出的各项服务要求外，投标人可根据自身条件，说明可提供的其他特色服务及具备哪些专业特长；投标人这些特色服务及专业特长必须是符合国家相关规定、与服务项目相关的内容。</w:t>
      </w:r>
    </w:p>
    <w:p>
      <w:pPr>
        <w:pStyle w:val="null3"/>
        <w:ind w:firstLine="480"/>
        <w:jc w:val="both"/>
      </w:pPr>
      <w:r>
        <w:rPr>
          <w:sz w:val="21"/>
        </w:rPr>
        <w:t>（二）投标人应提供企业内部管理规章制度内容（包括企业内部工作流程；企业内部质量控制体系、企业内部业务档案管理制度、企业内部财务管理制度等）。</w:t>
      </w:r>
    </w:p>
    <w:p>
      <w:pPr>
        <w:pStyle w:val="null3"/>
        <w:ind w:firstLine="480"/>
        <w:jc w:val="both"/>
      </w:pPr>
      <w:r>
        <w:rPr>
          <w:sz w:val="21"/>
        </w:rPr>
        <w:t>（三）投标人应配备现代化办公设备及软件、交通工具等，考虑到接送资料等工作需求。</w:t>
      </w:r>
      <w:r>
        <w:rPr>
          <w:sz w:val="21"/>
        </w:rPr>
        <w:t>签订协议</w:t>
      </w:r>
      <w:r>
        <w:rPr>
          <w:sz w:val="21"/>
        </w:rPr>
        <w:t>后</w:t>
      </w:r>
      <w:r>
        <w:rPr>
          <w:sz w:val="21"/>
        </w:rPr>
        <w:t>7个工作日内应在</w:t>
      </w:r>
      <w:r>
        <w:rPr>
          <w:sz w:val="21"/>
        </w:rPr>
        <w:t>南沙</w:t>
      </w:r>
      <w:r>
        <w:rPr>
          <w:sz w:val="21"/>
        </w:rPr>
        <w:t>区内设有</w:t>
      </w:r>
      <w:r>
        <w:rPr>
          <w:sz w:val="21"/>
        </w:rPr>
        <w:t>办公及对数场所</w:t>
      </w:r>
      <w:r>
        <w:rPr>
          <w:sz w:val="21"/>
        </w:rPr>
        <w:t>，并保证所有承诺投入的评审人员均</w:t>
      </w:r>
      <w:r>
        <w:rPr>
          <w:sz w:val="21"/>
        </w:rPr>
        <w:t>可承接采购人委托的评审工作或其他工程造价咨询工作</w:t>
      </w:r>
      <w:r>
        <w:rPr>
          <w:sz w:val="21"/>
        </w:rPr>
        <w:t>。目前尚未</w:t>
      </w:r>
      <w:r>
        <w:rPr>
          <w:sz w:val="21"/>
        </w:rPr>
        <w:t>在南沙</w:t>
      </w:r>
      <w:r>
        <w:rPr>
          <w:sz w:val="21"/>
        </w:rPr>
        <w:t>区内</w:t>
      </w:r>
      <w:r>
        <w:rPr>
          <w:sz w:val="21"/>
        </w:rPr>
        <w:t>设有办公及对数场所的</w:t>
      </w:r>
      <w:r>
        <w:rPr>
          <w:sz w:val="21"/>
        </w:rPr>
        <w:t>，但承诺在</w:t>
      </w:r>
      <w:r>
        <w:rPr>
          <w:sz w:val="21"/>
        </w:rPr>
        <w:t>协议签订</w:t>
      </w:r>
      <w:r>
        <w:rPr>
          <w:sz w:val="21"/>
        </w:rPr>
        <w:t>后</w:t>
      </w:r>
      <w:r>
        <w:rPr>
          <w:sz w:val="21"/>
        </w:rPr>
        <w:t>7个工作日内，在</w:t>
      </w:r>
      <w:r>
        <w:rPr>
          <w:sz w:val="21"/>
        </w:rPr>
        <w:t>南沙</w:t>
      </w:r>
      <w:r>
        <w:rPr>
          <w:sz w:val="21"/>
        </w:rPr>
        <w:t>区内设</w:t>
      </w:r>
      <w:r>
        <w:rPr>
          <w:sz w:val="21"/>
        </w:rPr>
        <w:t>立办公及对数场所</w:t>
      </w:r>
      <w:r>
        <w:rPr>
          <w:sz w:val="21"/>
        </w:rPr>
        <w:t>的，可提供书面承诺函。如果未按书面承诺函履行的，采购人有权单方面终止合同并报监管部门进行处理。</w:t>
      </w:r>
    </w:p>
    <w:p>
      <w:pPr>
        <w:pStyle w:val="null3"/>
        <w:ind w:firstLine="480"/>
        <w:jc w:val="both"/>
      </w:pPr>
      <w:r>
        <w:rPr>
          <w:sz w:val="21"/>
        </w:rPr>
        <w:t>（四）服务响应要求：专职服务本项目的团队负责人每次响应采购人时间不得超过</w:t>
      </w:r>
      <w:r>
        <w:rPr>
          <w:sz w:val="21"/>
        </w:rPr>
        <w:t>24小时。中标人需在接到委托通知后1个工作日内与采购人联系接收送审资料和办理承接委托事宜，同时向采购人提供服务的专业技术人员名单。团队负责人须按采购人要求到采购人指定的地点参加</w:t>
      </w:r>
      <w:r>
        <w:rPr>
          <w:sz w:val="21"/>
        </w:rPr>
        <w:t>评审工作会议</w:t>
      </w:r>
      <w:r>
        <w:rPr>
          <w:sz w:val="21"/>
        </w:rPr>
        <w:t>，团队负责人累计</w:t>
      </w:r>
      <w:r>
        <w:rPr>
          <w:sz w:val="21"/>
        </w:rPr>
        <w:t>3次不响应采购人要求的即解除合同。</w:t>
      </w:r>
    </w:p>
    <w:p>
      <w:pPr>
        <w:pStyle w:val="null3"/>
        <w:ind w:firstLine="480"/>
        <w:jc w:val="both"/>
      </w:pPr>
      <w:r>
        <w:rPr>
          <w:sz w:val="21"/>
        </w:rPr>
        <w:t>（五）回避事项：若中标人曾就委托项目向采购人以外的单位或个人提供相关可能影响审核公正、公平的服务（如项目建议书、可研报告及估算的编审、招标代理、代建、设计、监理等服务内容），应主动提出回避要求，不得作为该项目的委托审核机构，并应提供回避事项的证明文件。</w:t>
      </w:r>
    </w:p>
    <w:p>
      <w:pPr>
        <w:pStyle w:val="null3"/>
        <w:ind w:firstLine="480"/>
        <w:jc w:val="both"/>
      </w:pPr>
      <w:r>
        <w:rPr>
          <w:sz w:val="21"/>
        </w:rPr>
        <w:t>（六）中标人需按照采购人已制订的或在服务期限内新制订的相关工作制度的要求完成审核任务。</w:t>
      </w:r>
    </w:p>
    <w:p>
      <w:pPr>
        <w:pStyle w:val="null3"/>
        <w:ind w:firstLine="480"/>
        <w:jc w:val="both"/>
      </w:pPr>
      <w:r>
        <w:rPr>
          <w:sz w:val="21"/>
        </w:rPr>
        <w:t>（七）为加强协调沟通，中标人结合接收项目评审任务情况，及时响应、提交评审工作计划，并安排专业技术评审人员到采购人指定</w:t>
      </w:r>
      <w:r>
        <w:rPr>
          <w:sz w:val="21"/>
        </w:rPr>
        <w:t>的</w:t>
      </w:r>
      <w:r>
        <w:rPr>
          <w:sz w:val="21"/>
        </w:rPr>
        <w:t>办公地点</w:t>
      </w:r>
      <w:r>
        <w:rPr>
          <w:sz w:val="21"/>
        </w:rPr>
        <w:t>（中标人在南沙区的办公及对数场所或采购人指定的其他办公地点）开展评审工作</w:t>
      </w:r>
      <w:r>
        <w:rPr>
          <w:sz w:val="21"/>
        </w:rPr>
        <w:t>，确保在规定时间内出具建设项目评审报告。</w:t>
      </w:r>
    </w:p>
    <w:p>
      <w:pPr>
        <w:pStyle w:val="null3"/>
        <w:ind w:firstLine="480"/>
        <w:jc w:val="both"/>
      </w:pPr>
      <w:r>
        <w:rPr>
          <w:sz w:val="21"/>
        </w:rPr>
        <w:t>（</w:t>
      </w:r>
      <w:r>
        <w:rPr>
          <w:sz w:val="21"/>
        </w:rPr>
        <w:t>八</w:t>
      </w:r>
      <w:r>
        <w:rPr>
          <w:sz w:val="21"/>
        </w:rPr>
        <w:t>）中标人应遵守采购人制定的各项工作制度，自觉接受采购人的指导、协调、管理、监督，配合采购人的抽检复核以及上级主管部门的审计，在规定时间内及时组织抽检复核、审计发现的问题进行核对和整改，并书面回复采购人相关整改情况。对违反合同或采购人制定的相关规定的行为，须服从采购人的处罚。</w:t>
      </w:r>
    </w:p>
    <w:p>
      <w:pPr>
        <w:pStyle w:val="null3"/>
        <w:ind w:firstLine="472"/>
        <w:jc w:val="both"/>
      </w:pPr>
      <w:r>
        <w:rPr>
          <w:sz w:val="21"/>
          <w:b/>
        </w:rPr>
        <w:t>八、采购合同履行要求</w:t>
      </w:r>
    </w:p>
    <w:p>
      <w:pPr>
        <w:pStyle w:val="null3"/>
        <w:ind w:firstLine="480"/>
        <w:jc w:val="both"/>
      </w:pPr>
      <w:r>
        <w:rPr>
          <w:sz w:val="21"/>
        </w:rPr>
        <w:t>（一）采购人及中标人在协议期内遵循有关评审管理制度，按照《广州市财政投资评审监督管理办法》（穂府办规〔</w:t>
      </w:r>
      <w:r>
        <w:rPr>
          <w:sz w:val="21"/>
        </w:rPr>
        <w:t>2019〕3号）规定执行，办法有新规定的按新的规定执行。中标人应遵循并服从相关财政评审管理制度及工作规程。</w:t>
      </w:r>
    </w:p>
    <w:p>
      <w:pPr>
        <w:pStyle w:val="null3"/>
        <w:ind w:firstLine="480"/>
        <w:jc w:val="both"/>
      </w:pPr>
      <w:r>
        <w:rPr>
          <w:sz w:val="21"/>
        </w:rPr>
        <w:t>（二）为保证评审工作质量，减少财政风险，采购人在合同服务期内对评审服务单位中标人执行合同的情况进行跟踪核查。对评审服务单位中标人的评审工作按照《</w:t>
      </w:r>
      <w:r>
        <w:rPr>
          <w:sz w:val="21"/>
        </w:rPr>
        <w:t>广州市</w:t>
      </w:r>
      <w:r>
        <w:rPr>
          <w:sz w:val="21"/>
        </w:rPr>
        <w:t>南沙（开发）区财政</w:t>
      </w:r>
      <w:r>
        <w:rPr>
          <w:sz w:val="21"/>
        </w:rPr>
        <w:t>投资</w:t>
      </w:r>
      <w:r>
        <w:rPr>
          <w:sz w:val="21"/>
        </w:rPr>
        <w:t>评审考核办法》实行单项考核、季度考核和年度考核制度（</w:t>
      </w:r>
      <w:r>
        <w:rPr>
          <w:sz w:val="21"/>
        </w:rPr>
        <w:t>详见附件</w:t>
      </w:r>
      <w:r>
        <w:rPr>
          <w:sz w:val="21"/>
        </w:rPr>
        <w:t>2，</w:t>
      </w:r>
      <w:r>
        <w:rPr>
          <w:sz w:val="21"/>
        </w:rPr>
        <w:t>如有新文件颁布，按照新文件规定执行）。</w:t>
      </w:r>
    </w:p>
    <w:p>
      <w:pPr>
        <w:pStyle w:val="null3"/>
        <w:ind w:firstLine="482"/>
        <w:jc w:val="both"/>
      </w:pPr>
      <w:r>
        <w:rPr>
          <w:sz w:val="21"/>
        </w:rPr>
        <w:t>（</w:t>
      </w:r>
      <w:r>
        <w:rPr>
          <w:sz w:val="21"/>
        </w:rPr>
        <w:t>三</w:t>
      </w:r>
      <w:r>
        <w:rPr>
          <w:sz w:val="21"/>
        </w:rPr>
        <w:t>）专职服务本项目的团队负责人每次响应采购人时间不得超过</w:t>
      </w:r>
      <w:r>
        <w:rPr>
          <w:sz w:val="21"/>
        </w:rPr>
        <w:t>24小时，如累计3次响应采购人时间超过24小时的，且无正当理由的，则按1万元扣除评审服务费。如累计6次响应采购人时间超过24小时的，且无正当理由的，则按3万元扣除评审服务费。如累计超出6次响应采购人时间超过24小时的，每超出一次，按1万元扣除评审服务费。采购人将结合年度综合考核，对评审团队负责人响应采购人的情况进行专项考核处理。</w:t>
      </w:r>
    </w:p>
    <w:p>
      <w:pPr>
        <w:pStyle w:val="null3"/>
        <w:ind w:firstLine="480"/>
        <w:jc w:val="both"/>
      </w:pPr>
      <w:r>
        <w:rPr>
          <w:sz w:val="21"/>
        </w:rPr>
        <w:t>（</w:t>
      </w:r>
      <w:r>
        <w:rPr>
          <w:sz w:val="21"/>
        </w:rPr>
        <w:t>四</w:t>
      </w:r>
      <w:r>
        <w:rPr>
          <w:sz w:val="21"/>
        </w:rPr>
        <w:t>）中标人在协议执行期内如被发现有以下问题，通过有关部门查处核实，采购人有权终止服务协议，采购人保留停止支付或追回已支付的审核费用和追究其法律责任的权利，并将有关情况向政府采购监管部门和建设造价管理部门反映：</w:t>
      </w:r>
    </w:p>
    <w:p>
      <w:pPr>
        <w:pStyle w:val="null3"/>
        <w:ind w:firstLine="480"/>
        <w:jc w:val="both"/>
      </w:pPr>
      <w:r>
        <w:rPr>
          <w:sz w:val="21"/>
        </w:rPr>
        <w:t>1、违反有关法律、法规和政策规定或工作失误,造成区采购人及相关单位损失的；</w:t>
      </w:r>
    </w:p>
    <w:p>
      <w:pPr>
        <w:pStyle w:val="null3"/>
        <w:ind w:firstLine="480"/>
        <w:jc w:val="both"/>
      </w:pPr>
      <w:r>
        <w:rPr>
          <w:sz w:val="21"/>
        </w:rPr>
        <w:t>2、通过提供虚假信息,误导或欺骗等方式，以谋取非法利益的；</w:t>
      </w:r>
    </w:p>
    <w:p>
      <w:pPr>
        <w:pStyle w:val="null3"/>
        <w:ind w:firstLine="480"/>
        <w:jc w:val="both"/>
      </w:pPr>
      <w:r>
        <w:rPr>
          <w:sz w:val="21"/>
        </w:rPr>
        <w:t>3、采用非法手段进行不正当竞争的，造成恶劣影响的；</w:t>
      </w:r>
    </w:p>
    <w:p>
      <w:pPr>
        <w:pStyle w:val="null3"/>
        <w:ind w:firstLine="480"/>
        <w:jc w:val="both"/>
      </w:pPr>
      <w:r>
        <w:rPr>
          <w:sz w:val="21"/>
        </w:rPr>
        <w:t>4、无正当理由拒绝委托和未经采购人书面同意擅自将受托项目转委托给第三方的；</w:t>
      </w:r>
    </w:p>
    <w:p>
      <w:pPr>
        <w:pStyle w:val="null3"/>
        <w:ind w:firstLine="480"/>
        <w:jc w:val="both"/>
      </w:pPr>
      <w:r>
        <w:rPr>
          <w:sz w:val="21"/>
        </w:rPr>
        <w:t>5、违反回避制度的；</w:t>
      </w:r>
    </w:p>
    <w:p>
      <w:pPr>
        <w:pStyle w:val="null3"/>
        <w:ind w:firstLine="480"/>
        <w:jc w:val="both"/>
      </w:pPr>
      <w:r>
        <w:rPr>
          <w:sz w:val="21"/>
        </w:rPr>
        <w:t>6、拒绝接受采购人审查和复审的；</w:t>
      </w:r>
    </w:p>
    <w:p>
      <w:pPr>
        <w:pStyle w:val="null3"/>
        <w:ind w:firstLine="480"/>
        <w:jc w:val="both"/>
      </w:pPr>
      <w:r>
        <w:rPr>
          <w:sz w:val="21"/>
        </w:rPr>
        <w:t>7、不按要求保管和移交评审资料的；</w:t>
      </w:r>
    </w:p>
    <w:p>
      <w:pPr>
        <w:pStyle w:val="null3"/>
        <w:ind w:firstLine="480"/>
        <w:jc w:val="both"/>
      </w:pPr>
      <w:r>
        <w:rPr>
          <w:sz w:val="21"/>
        </w:rPr>
        <w:t>8、未按招标文件要求配备造价专业人员的；</w:t>
      </w:r>
    </w:p>
    <w:p>
      <w:pPr>
        <w:pStyle w:val="null3"/>
        <w:ind w:firstLine="480"/>
        <w:jc w:val="both"/>
      </w:pPr>
      <w:r>
        <w:rPr>
          <w:sz w:val="21"/>
        </w:rPr>
        <w:t>9、未按照采购人规定更换不符合评审要求的造价专业人员的；</w:t>
      </w:r>
    </w:p>
    <w:p>
      <w:pPr>
        <w:pStyle w:val="null3"/>
        <w:ind w:firstLine="480"/>
        <w:jc w:val="both"/>
      </w:pPr>
      <w:r>
        <w:rPr>
          <w:sz w:val="21"/>
        </w:rPr>
        <w:t>10、在合同期间，将合同期内的评审工作资料或信息向任何第三方泄露的；</w:t>
      </w:r>
    </w:p>
    <w:p>
      <w:pPr>
        <w:pStyle w:val="null3"/>
        <w:ind w:firstLine="480"/>
        <w:jc w:val="both"/>
      </w:pPr>
      <w:r>
        <w:rPr>
          <w:sz w:val="21"/>
        </w:rPr>
        <w:t>11、单项考核、季度考核、年度考核不合格的；</w:t>
      </w:r>
    </w:p>
    <w:p>
      <w:pPr>
        <w:pStyle w:val="null3"/>
        <w:ind w:firstLine="480"/>
        <w:jc w:val="both"/>
      </w:pPr>
      <w:r>
        <w:rPr>
          <w:sz w:val="21"/>
        </w:rPr>
        <w:t>12、中标人作出的评审结论与最终经南沙开发区财政部门确认的评审结论存在较大差距的。</w:t>
      </w:r>
    </w:p>
    <w:p>
      <w:pPr>
        <w:pStyle w:val="null3"/>
        <w:jc w:val="both"/>
      </w:pPr>
      <w:r>
        <w:rPr>
          <w:sz w:val="21"/>
        </w:rPr>
        <w:t xml:space="preserve">    </w:t>
      </w:r>
      <w:r>
        <w:rPr>
          <w:sz w:val="21"/>
        </w:rPr>
        <w:t>（五）</w:t>
      </w:r>
      <w:r>
        <w:rPr>
          <w:sz w:val="21"/>
        </w:rPr>
        <w:t>在合同期后</w:t>
      </w:r>
      <w:r>
        <w:rPr>
          <w:sz w:val="21"/>
        </w:rPr>
        <w:t>12年内，中标人需对合同期内的评审工作资料或信息进行保密，若向任何第三方泄露，采购人将追究中标人的法律责任，并将情况向监督管理相关部门反映。</w:t>
      </w:r>
    </w:p>
    <w:p>
      <w:pPr>
        <w:pStyle w:val="null3"/>
      </w:pPr>
      <w:r>
        <w:rPr/>
        <w:t>采购包1（1）</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自合同签订生效之日起三年（合同到期或合同金额支付完毕，视为合同终止）。</w:t>
            </w:r>
          </w:p>
        </w:tc>
      </w:tr>
      <w:tr>
        <w:tc>
          <w:tcPr>
            <w:tcW w:type="dxa" w:w="4153"/>
          </w:tcPr>
          <w:p>
            <w:pPr>
              <w:pStyle w:val="null3"/>
            </w:pPr>
            <w:r>
              <w:rPr/>
              <w:t>标的提供的地点</w:t>
            </w:r>
          </w:p>
        </w:tc>
        <w:tc>
          <w:tcPr>
            <w:tcW w:type="dxa" w:w="4153"/>
          </w:tcPr>
          <w:p>
            <w:pPr>
              <w:pStyle w:val="null3"/>
            </w:pPr>
            <w:r>
              <w:rPr/>
              <w:t>按采购人要求。</w:t>
            </w:r>
          </w:p>
        </w:tc>
      </w:tr>
      <w:tr>
        <w:tc>
          <w:tcPr>
            <w:tcW w:type="dxa" w:w="4153"/>
          </w:tcPr>
          <w:p>
            <w:pPr>
              <w:pStyle w:val="null3"/>
            </w:pPr>
            <w:r>
              <w:rPr/>
              <w:t>付款方式</w:t>
            </w:r>
          </w:p>
        </w:tc>
        <w:tc>
          <w:tcPr>
            <w:tcW w:type="dxa" w:w="4153"/>
          </w:tcPr>
          <w:p>
            <w:pPr>
              <w:pStyle w:val="null3"/>
            </w:pPr>
            <w:r>
              <w:rPr/>
              <w:t>1期：支付比例100%,付费方式为每季度据实结算付款（中小企业如有需要可按月支付）。由中标供应商于每季度（或按月）结束后十五个工作日内向采购人书面报送评审项目费用结算表（同时提供电子版本），采购人在收到中标供应商提交的与当期应付金额相等的合法有效的增值税普通发票后5个工作日内办理支付手续。</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1期：在合同期内受理的项目，按单个项目验收，每个项目以出具评审报告并得到市财政局批复评审结果，作为验收标准。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其他专业技术服务</w:t>
            </w:r>
          </w:p>
        </w:tc>
        <w:tc>
          <w:tcPr>
            <w:tcW w:type="dxa" w:w="831"/>
          </w:tcPr>
          <w:p>
            <w:pPr>
              <w:pStyle w:val="null3"/>
              <w:jc w:val="left"/>
            </w:pPr>
            <w:r>
              <w:rPr/>
              <w:t>广州市南沙区财政局2024-2027年财政投资评审服务项目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92,000,000.00</w:t>
            </w:r>
          </w:p>
        </w:tc>
        <w:tc>
          <w:tcPr>
            <w:tcW w:type="dxa" w:w="831"/>
          </w:tcPr>
          <w:p>
            <w:pPr>
              <w:pStyle w:val="null3"/>
              <w:jc w:val="right"/>
            </w:pPr>
            <w:r>
              <w:rPr/>
              <w:t>92,000,000.00</w:t>
            </w:r>
          </w:p>
        </w:tc>
        <w:tc>
          <w:tcPr>
            <w:tcW w:type="dxa" w:w="831"/>
          </w:tcPr>
          <w:p>
            <w:pPr>
              <w:pStyle w:val="null3"/>
            </w:pPr>
            <w:r>
              <w:rPr/>
              <w:t>100.0</w:t>
            </w:r>
          </w:p>
        </w:tc>
        <w:tc>
          <w:tcPr>
            <w:tcW w:type="dxa" w:w="831"/>
          </w:tcPr>
          <w:p>
            <w:pPr>
              <w:pStyle w:val="null3"/>
            </w:pPr>
            <w:r>
              <w:rPr/>
              <w:t>租赁和商务服务业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广州市南沙区财政局2024-2027年财政投资评审服务项目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广州市南沙区财政局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采购包1：投标下浮率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15家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15家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采购包1：15家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项目公共资源交易服务费收费标准：1.不论投标的结果如何，投标人应承担所有与编写和提交投标文件有关的费用。2.采购人委托中标人支付公共资源交易服务费，其报价中须包含公共资源交易服务费。由中标人支付公共资源交易服务费后，采购人、中标人方可下载打印电子《中标通知书》。3.中标人可选用以下两种方式支付公共资源交易服务费：（1）现场支付：中标人携现金前往市政府采购中心大厅西侧建设银行天润路支行交款，交款后前往财务专窗办理支付确认。（2）汇款支付：中标人将公共资源交易服务费转账（汇款）至公共资源交易服务费结算账户（如下所示）后，到账后凭转账（汇款）凭证前往市政府采购中心大厅西侧建设银行天润路支行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普通发票在项目结果公告发布之日开具，并向中标人的经办人手机号推送。中标人可凭上述经办人手机号在发票通网站“www.fapiao.com” 的Plus用户登录下载电子发票用于报账。使用汇款支付过程中，请在摘要或用途中注明项目编号交易服务费，例如：CZ2022-0001交易服务费。当交易服务费到账的银行回单中单位名称、应缴交易服务费金额、中标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未纳入集中采购目录的项目，采购额为各中标人所承担的预算金额。）</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其他，一、综合信用得分 （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 二、履约评价。 由采购人负责对中标人的履约行为进行评价，采购人在合同备案后可通过广东政府采购智慧云平台-诚信管理-评价管理进行评价。评价结果会影响供应商的综合信用得分。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1小时。</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广州交易集团有限公司（www.gzggzy.cn）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广州交易集团有限公司（www.gzggzy.cn）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28866163</w:t>
      </w:r>
    </w:p>
    <w:p>
      <w:pPr>
        <w:pStyle w:val="null3"/>
        <w:ind w:firstLine="480"/>
      </w:pPr>
      <w:r>
        <w:rPr/>
        <w:t>传真：</w:t>
      </w:r>
      <w:r>
        <w:rPr/>
        <w:t>无</w:t>
      </w:r>
    </w:p>
    <w:p>
      <w:pPr>
        <w:pStyle w:val="null3"/>
        <w:ind w:firstLine="480"/>
      </w:pPr>
      <w:r>
        <w:rPr/>
        <w:t>邮箱：</w:t>
      </w:r>
      <w:r>
        <w:rPr/>
        <w:t>无</w:t>
      </w:r>
    </w:p>
    <w:p>
      <w:pPr>
        <w:pStyle w:val="null3"/>
        <w:ind w:firstLine="480"/>
      </w:pPr>
      <w:r>
        <w:rPr/>
        <w:t>地址：</w:t>
      </w:r>
      <w:r>
        <w:rPr/>
        <w:t>广州市天河区天润路333号3楼广州市政府采购中心综合管理部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政府采购监督管理机构名称：广州市南沙区财政局财政监督管理处</w:t>
      </w:r>
    </w:p>
    <w:p>
      <w:pPr>
        <w:pStyle w:val="null3"/>
      </w:pPr>
      <w:r>
        <w:rPr/>
        <w:t>地 址：广州市南沙区凤凰大道1号D栋3楼</w:t>
      </w:r>
    </w:p>
    <w:p>
      <w:pPr>
        <w:pStyle w:val="null3"/>
      </w:pPr>
      <w:r>
        <w:rPr/>
        <w:t>电 话：020-39078089</w:t>
      </w:r>
    </w:p>
    <w:p>
      <w:pPr>
        <w:pStyle w:val="null3"/>
      </w:pPr>
      <w:r>
        <w:rPr/>
        <w:t>邮 编：511455</w:t>
      </w:r>
    </w:p>
    <w:p>
      <w:pPr>
        <w:pStyle w:val="null3"/>
      </w:pPr>
      <w:r>
        <w:rPr/>
        <w:t>传 真：020-84986648</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采购包1(1)：综合评分法,是指投标文件满足招标文件全部实质性要求，且按照评审因素的量化指标评审得分最高的投标人为中标候选人的评标方法。（最低报价不是中标的唯一依据。）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广州市政府采购中心</w:t>
      </w:r>
      <w:r>
        <w:rPr/>
        <w:t>统一对外发布。</w:t>
      </w:r>
    </w:p>
    <w:p>
      <w:pPr>
        <w:pStyle w:val="null3"/>
        <w:ind w:firstLine="480"/>
      </w:pPr>
      <w:r>
        <w:rPr/>
        <w:t>（2）对</w:t>
      </w:r>
      <w:r>
        <w:rPr/>
        <w:t>广州市政府采购中心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采购包1（1）：</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本项目服务全部为小型或微型企业承接</w:t>
            </w:r>
          </w:p>
        </w:tc>
        <w:tc>
          <w:tcPr>
            <w:tcW w:type="dxa" w:w="1246"/>
          </w:tcPr>
          <w:p>
            <w:pPr>
              <w:pStyle w:val="null3"/>
            </w:pPr>
            <w:r>
              <w:rPr/>
              <w:t>10%</w:t>
            </w:r>
          </w:p>
        </w:tc>
        <w:tc>
          <w:tcPr>
            <w:tcW w:type="dxa" w:w="2160"/>
          </w:tcPr>
          <w:p>
            <w:pPr>
              <w:pStyle w:val="null3"/>
              <w:jc w:val="left"/>
            </w:pPr>
            <w:r>
              <w:rPr/>
              <w:t>服务由小型或微型企业承接，即提供服务的人员为小型或微型企业依照《中华人民共和国劳动合同法》订立劳动合同的从业人员时，给予10%的价格扣除C1，即：评标价＝1—[（1—供应商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1.本项目不接受联合体投标。 2.供应商未被列入“信用中国”网站中“记录失信被执行人或重大税收违法案件当事人名单或政府采购严重违法失信行为”的记录名单；不处于“中国政府采购网”中“政府采购严重违法失信行为信息记录”的禁止参加政府采购活动期间（以采购代理机构或采购人于资格审查时在上述网站查询结果为准，如在上述网站查询结果均显示没有相关记录，视为没有上述不良信用记录。同时对信用信息查询记录和证据截图存档。如相关失信记录已失效，供应商须提供相关证明资料）。 3.供应商必须符合法律、行政法规规定的其他条件：依据《投标函》。</w:t>
            </w:r>
          </w:p>
        </w:tc>
      </w:tr>
      <w:tr>
        <w:tc>
          <w:tcPr>
            <w:tcW w:type="dxa" w:w="890"/>
          </w:tcPr>
          <w:p>
            <w:pPr>
              <w:pStyle w:val="null3"/>
            </w:pPr>
            <w:r>
              <w:rPr/>
              <w:t>7</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w:t>
            </w:r>
          </w:p>
        </w:tc>
        <w:tc>
          <w:tcPr>
            <w:tcW w:type="dxa" w:w="4238"/>
          </w:tcPr>
          <w:p>
            <w:pPr>
              <w:pStyle w:val="null3"/>
            </w:pPr>
            <w:r>
              <w:rPr/>
              <w:t>1.报价确定且符合要求。 2.有盖章、签署要求的格式文件已按要求盖章、签署。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采购包投标的。（2）投标人为本项目提供整体设计、规范编制或者项目管理、监理、检测等服务的。（3）评标期间，投标人没有按评标委员会的要求提交法定代表人或其委托代理人签字的澄清、说明、补正或改变了投标文件的实质性内容的。（4）投标文件提供虚假材料的。（5）投标人以他人的名义投标、串通投标、以行贿手段谋取中标或者以其他弄虚作假方式投标的。（6）投标人对采购人、采购代理机构、评标委员会及其工作人员施加影响，有碍招标公平、公正的。（7）投标文件含有采购人不能接受的附加条件的。（8）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采购包1(1):</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商务部分23.0分</w:t>
            </w:r>
          </w:p>
          <w:p>
            <w:pPr>
              <w:pStyle w:val="null3"/>
            </w:pPr>
            <w:r>
              <w:rPr/>
              <w:t>技术部分62.0分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一级造价工程师人员（专职服务于本项目的评审团队，不含团队负责人）情况 (20.0分)</w:t>
            </w:r>
          </w:p>
        </w:tc>
        <w:tc>
          <w:tcPr>
            <w:tcW w:type="dxa" w:w="5076"/>
          </w:tcPr>
          <w:p>
            <w:pPr>
              <w:pStyle w:val="null3"/>
              <w:jc w:val="left"/>
            </w:pPr>
            <w:r>
              <w:rPr/>
              <w:t>1. 提供一级造价工程师注册执业资格证书数量Ａ： 当A≤12名，得0分； 当12名＜A＜15名，得4分； 当15名≤A＜20名，得8分；当20名≤A＜25名，得12分；当A≥25名，得16分；累计最高得16分。 （注：一人同时具有多个专业类别一级造价工程师注册执业资格证书的不累计得分）。 2.投标人团队专业人员的注册执业资格证书数量：（1）团队人员注册执业资格证书中，土木建筑工程专业有3人或以上的得1分，小于3人的得0分； （2）团队人员注册执业资格证书中，安装工程专业有3人或以上的得1分，小于3人的得0分； （3）团队人员注册执业资格证书中，交通运输工程专业有2人或以上的得1分，小于2人的得0分； （4）团队人员注册执业资格证书中，水利工程专业有2人或以上的得1分，小于2人的得0分。（第2项最高得分为4分） 注：1.提供以上人员的注册及执业资格证书扫描件及在投标人任职的外部证明材料（如提供加盖政府有关部门印章的在本项目投标截止日之前6个月内任意一个月的《社会保险参保人员证明》扫描件，或单位代缴个人所得税税单扫描件。如单位新成立不满一个月的，以新单位实际购买社保时间为准。2.一人同时具有多个专业类别一级造价工程师注册执业资格证书的不累计得分。</w:t>
            </w:r>
          </w:p>
        </w:tc>
      </w:tr>
      <w:tr>
        <w:tc>
          <w:tcPr>
            <w:tcW w:type="dxa" w:w="922"/>
            <w:gridSpan w:val="2"/>
            <w:vMerge/>
          </w:tcPr>
          <w:p/>
        </w:tc>
        <w:tc>
          <w:tcPr>
            <w:tcW w:type="dxa" w:w="2307"/>
          </w:tcPr>
          <w:p>
            <w:pPr>
              <w:pStyle w:val="null3"/>
              <w:jc w:val="left"/>
            </w:pPr>
            <w:r>
              <w:rPr/>
              <w:t>团队负责人（专职服务于本项目的评审团队）情况 (7.0分)</w:t>
            </w:r>
          </w:p>
        </w:tc>
        <w:tc>
          <w:tcPr>
            <w:tcW w:type="dxa" w:w="5076"/>
          </w:tcPr>
          <w:p>
            <w:pPr>
              <w:pStyle w:val="null3"/>
              <w:jc w:val="left"/>
            </w:pPr>
            <w:r>
              <w:rPr/>
              <w:t>1.从事造价咨询行业时间（按取得一级注册造价师执业资格证书的时间起计）：≥15年，得５分； 13年≤时间＜15年，得３分；10年≤时间＜13年，得1分；＜ 10年，得0分； 2.职称：建设工程类高级工程师及以上，正高级，得2分；副高级，得1分；其他，得0分。 注：提供以上人员的注册执业资格证书、技术职称资格证书扫描件及在投标人任职的外部证明材料（如提供加盖政府有关部门印章的在本项目投标截止日之前6个月内任意一个月的：《社会保险参保人员证明》扫描件，或单位代缴个人所得税税单扫描件。如单位新成立不满一个月的，以新单位实际购买社保时间为准。</w:t>
            </w:r>
          </w:p>
        </w:tc>
      </w:tr>
      <w:tr>
        <w:tc>
          <w:tcPr>
            <w:tcW w:type="dxa" w:w="922"/>
            <w:gridSpan w:val="2"/>
            <w:vMerge/>
          </w:tcPr>
          <w:p/>
        </w:tc>
        <w:tc>
          <w:tcPr>
            <w:tcW w:type="dxa" w:w="2307"/>
          </w:tcPr>
          <w:p>
            <w:pPr>
              <w:pStyle w:val="null3"/>
              <w:jc w:val="left"/>
            </w:pPr>
            <w:r>
              <w:rPr/>
              <w:t>专职服务于本项目团队人员项目经验，含团队负责人（一） (10.0分)</w:t>
            </w:r>
          </w:p>
        </w:tc>
        <w:tc>
          <w:tcPr>
            <w:tcW w:type="dxa" w:w="5076"/>
          </w:tcPr>
          <w:p>
            <w:pPr>
              <w:pStyle w:val="null3"/>
              <w:jc w:val="left"/>
            </w:pPr>
            <w:r>
              <w:rPr/>
              <w:t>2021年1月1日至今，专职服务于本项目团队人员负责的财政性资金投资的基建工程或公益性项目的概、预、结算编制或评审项目（概、预、结算合计数量30项以内，含30项），提供项目清单，按送审金额从大到小排序。（注：不包括工程设备采购项目。以出具成果文件日期为准。财政性资金是指一般公共预算资金、政府性基金、国有资本经营预算资金、政府债务资金以及其他纳入财政管理的资金。）1.概、预、结算编制或评审项目按金额累计计算得分：100亿元及以上，得10分；80亿元（含）-100亿元（不含），得8分；60亿元（含）-80亿元（不含），得6分；40亿元（含）-60亿元（不含），得4分；40亿元（不含）以下，得2分。注：（1）需提供业绩清单及业绩真实性承诺书、业绩证明文件扫描件。业绩证明文件包括行政机关事业单位和各级承担公益性项目企业委托的公益性项目造价咨询服务合同或业务委托书或中标通知书、编审人员签章页的截图、评审报告等（有委托方盖章或相关截图），否则不得分。（2）按规定投标格式要求汇总业绩清单，并列出概、预、结算项目的累计数量及累计金额，否则扣2分。（３）评标委员会须核对中标人提供的业绩清单与支撑材料，如某项目提供的业绩清单与支撑材料不一致，则该项目业绩无效。</w:t>
            </w:r>
          </w:p>
        </w:tc>
      </w:tr>
      <w:tr>
        <w:tc>
          <w:tcPr>
            <w:tcW w:type="dxa" w:w="922"/>
            <w:gridSpan w:val="2"/>
            <w:vMerge/>
          </w:tcPr>
          <w:p/>
        </w:tc>
        <w:tc>
          <w:tcPr>
            <w:tcW w:type="dxa" w:w="2307"/>
          </w:tcPr>
          <w:p>
            <w:pPr>
              <w:pStyle w:val="null3"/>
              <w:jc w:val="left"/>
            </w:pPr>
            <w:r>
              <w:rPr/>
              <w:t>专职服务于本项目团队人员项目经验，含团队负责人（二） (10.0分)</w:t>
            </w:r>
          </w:p>
        </w:tc>
        <w:tc>
          <w:tcPr>
            <w:tcW w:type="dxa" w:w="5076"/>
          </w:tcPr>
          <w:p>
            <w:pPr>
              <w:pStyle w:val="null3"/>
              <w:jc w:val="left"/>
            </w:pPr>
            <w:r>
              <w:rPr/>
              <w:t>2021年1月1日至今，专职服务于本项目团队人员负责的财政性资金投资的基建工程或公益性项目的概、预、结算编制或评审项目数量。注：不包括工程设备采购项目。以出具成果文件日期为准。1.概、预、结算编制或评审项目按数量累计计算得分：100项及以上的，得10分；80项（含）-100项（不含）的，得8分；60（含）项-80项（不含）的，得6分；40项（含）-60项（不含）的，得4分；40项（不含）以下的，得2分。没有提供该项内容，得0分。 注：（１）需提供业绩清单及业绩真实性承诺书、业绩证明文件扫描件。业绩证明文件包括行政机关事业单位和各级承担公益性项目企业委托的公益性项目造价咨询服务合同或业务委托书或中标通知书、编审人员签章页的截图、评审报告等（有委托方盖章或相关截图），否则不得分。（2）按规定投标格式要求汇总业绩清单，并列出概、预、结算编制、评审的项目累计数量，否则扣2分。（３）评标委员会须核对中标人提供的业绩清单与支撑材料，如某项目提供的业绩清单与支撑材料不一致，则该项目业绩无效。</w:t>
            </w:r>
          </w:p>
        </w:tc>
      </w:tr>
      <w:tr>
        <w:tc>
          <w:tcPr>
            <w:tcW w:type="dxa" w:w="922"/>
            <w:gridSpan w:val="2"/>
            <w:vMerge/>
          </w:tcPr>
          <w:p/>
        </w:tc>
        <w:tc>
          <w:tcPr>
            <w:tcW w:type="dxa" w:w="2307"/>
          </w:tcPr>
          <w:p>
            <w:pPr>
              <w:pStyle w:val="null3"/>
              <w:jc w:val="left"/>
            </w:pPr>
            <w:r>
              <w:rPr/>
              <w:t>服务内容及总体要求响应情况1 (1.0分)</w:t>
            </w:r>
          </w:p>
        </w:tc>
        <w:tc>
          <w:tcPr>
            <w:tcW w:type="dxa" w:w="5076"/>
          </w:tcPr>
          <w:p>
            <w:pPr>
              <w:pStyle w:val="null3"/>
              <w:jc w:val="left"/>
            </w:pPr>
            <w:r>
              <w:rPr/>
              <w:t>能提供服务内容及总体要求方案的，且方案内容包含概、预、结算评审项目的流程、确保评审质量与进度的具体措施及评审实施计划等，得1分。未提供此项及“服务内容及总体要求响应情况2”，得0分。</w:t>
            </w:r>
          </w:p>
        </w:tc>
      </w:tr>
      <w:tr>
        <w:tc>
          <w:tcPr>
            <w:tcW w:type="dxa" w:w="922"/>
            <w:gridSpan w:val="2"/>
            <w:vMerge/>
          </w:tcPr>
          <w:p/>
        </w:tc>
        <w:tc>
          <w:tcPr>
            <w:tcW w:type="dxa" w:w="2307"/>
          </w:tcPr>
          <w:p>
            <w:pPr>
              <w:pStyle w:val="null3"/>
              <w:jc w:val="left"/>
            </w:pPr>
            <w:r>
              <w:rPr/>
              <w:t>服务内容及总体要求响应情况2 (7.0分)</w:t>
            </w:r>
          </w:p>
        </w:tc>
        <w:tc>
          <w:tcPr>
            <w:tcW w:type="dxa" w:w="5076"/>
          </w:tcPr>
          <w:p>
            <w:pPr>
              <w:pStyle w:val="null3"/>
              <w:jc w:val="left"/>
            </w:pPr>
            <w:r>
              <w:rPr/>
              <w:t>能提供优于招标文件的服务内容及总体要求响应情况的，得7分；能提供完全满足招标文件的服务内容及总体要求响应情况的，得4分；不能提供满足招标文件服务内容及总体要求响应情况的，不得分。</w:t>
            </w:r>
          </w:p>
        </w:tc>
      </w:tr>
      <w:tr>
        <w:tc>
          <w:tcPr>
            <w:tcW w:type="dxa" w:w="922"/>
            <w:gridSpan w:val="2"/>
            <w:vMerge/>
          </w:tcPr>
          <w:p/>
        </w:tc>
        <w:tc>
          <w:tcPr>
            <w:tcW w:type="dxa" w:w="2307"/>
          </w:tcPr>
          <w:p>
            <w:pPr>
              <w:pStyle w:val="null3"/>
              <w:jc w:val="left"/>
            </w:pPr>
            <w:r>
              <w:rPr/>
              <w:t>组织安排、服务质量管理响应情况1 (1.0分)</w:t>
            </w:r>
          </w:p>
        </w:tc>
        <w:tc>
          <w:tcPr>
            <w:tcW w:type="dxa" w:w="5076"/>
          </w:tcPr>
          <w:p>
            <w:pPr>
              <w:pStyle w:val="null3"/>
              <w:jc w:val="left"/>
            </w:pPr>
            <w:r>
              <w:rPr/>
              <w:t>能提供组织安排、服务质量管理方案的，得1分。未提供此项及“组织安排、服务质量管理响应情况2”，得0分。</w:t>
            </w:r>
          </w:p>
        </w:tc>
      </w:tr>
      <w:tr>
        <w:tc>
          <w:tcPr>
            <w:tcW w:type="dxa" w:w="922"/>
            <w:gridSpan w:val="2"/>
            <w:vMerge/>
          </w:tcPr>
          <w:p/>
        </w:tc>
        <w:tc>
          <w:tcPr>
            <w:tcW w:type="dxa" w:w="2307"/>
          </w:tcPr>
          <w:p>
            <w:pPr>
              <w:pStyle w:val="null3"/>
              <w:jc w:val="left"/>
            </w:pPr>
            <w:r>
              <w:rPr/>
              <w:t>组织安排、服务质量管理响应情况2 (6.0分)</w:t>
            </w:r>
          </w:p>
        </w:tc>
        <w:tc>
          <w:tcPr>
            <w:tcW w:type="dxa" w:w="5076"/>
          </w:tcPr>
          <w:p>
            <w:pPr>
              <w:pStyle w:val="null3"/>
              <w:jc w:val="left"/>
            </w:pPr>
            <w:r>
              <w:rPr/>
              <w:t>能提供优于招标文件的组织安排、服务质量管理方案的，得6分；能提供完全满足招标文件的组织安排、服务质量管理方案的，得3分；不能提供满足招标文件组织安排、服务质量管理方案的，不得分。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2021年1月1日至今，投标人承担的财政性资金投资的基建工程或公益性项目的全过程造价咨询（或全过程项目管理）服务的建设项目数量。注：１.以委托书日期或者合同起始日期为准（2021年1月1日至今接受委托书或签订合同，已完成或未完成的全过程造价咨询项目均符合要求）。2.基建工程的全过程造价咨询服务，是指接受建设单位委托，对项目的每个阶段，从前期到实施，到竣工的每个阶段内的造价（至少包括概算、预算、结算等3项）来进行全过程的监督管理以及提供造价方面的决策咨询意见3.财政性资金是指一般公共预算资金、政府性基金、国有资本经营预算资金、政府债务资金以及其他纳入财政管理的资金 (5.0分)</w:t>
            </w:r>
          </w:p>
        </w:tc>
        <w:tc>
          <w:tcPr>
            <w:tcW w:type="dxa" w:w="5076"/>
          </w:tcPr>
          <w:p>
            <w:pPr>
              <w:pStyle w:val="null3"/>
              <w:jc w:val="left"/>
            </w:pPr>
            <w:r>
              <w:rPr/>
              <w:t>1.累计达10项及以上的，得5分； 2.累计达8项及以上的，得4分； 3.累计达6项及以上的，得3分； 4.累计达4项及以上的，得2分； 5.累计达2项及以上的，得1分； 6.仅参与1项、未参与的或未提供的，得0分。 注：需提供业绩清单及业绩真实性承诺书（承诺书格式自拟）、业绩证明文件扫描件。业绩证明文件包括行政机关事业单位和各级承担公益性项目企业委托的公益性项目造价咨询服务合同或业务委托书或中标通知书及评审报告等（有委托方盖章或相关截图），否则不得分。</w:t>
            </w:r>
          </w:p>
        </w:tc>
      </w:tr>
      <w:tr>
        <w:tc>
          <w:tcPr>
            <w:tcW w:type="dxa" w:w="922"/>
            <w:gridSpan w:val="2"/>
            <w:vMerge/>
          </w:tcPr>
          <w:p/>
        </w:tc>
        <w:tc>
          <w:tcPr>
            <w:tcW w:type="dxa" w:w="2307"/>
          </w:tcPr>
          <w:p>
            <w:pPr>
              <w:pStyle w:val="null3"/>
              <w:jc w:val="left"/>
            </w:pPr>
            <w:r>
              <w:rPr/>
              <w:t>评审业务服务评价 (10.0分)</w:t>
            </w:r>
          </w:p>
        </w:tc>
        <w:tc>
          <w:tcPr>
            <w:tcW w:type="dxa" w:w="5076"/>
          </w:tcPr>
          <w:p>
            <w:pPr>
              <w:pStyle w:val="null3"/>
              <w:jc w:val="left"/>
            </w:pPr>
            <w:r>
              <w:rPr/>
              <w:t>自2021年1月1日至今，委托人出具的财政投资项目评审业务综合评价的考核情况(季度或半年度或年度)。 每提供一份考核结果为优的得2分，考核结果不为优的不得分，最多提供5份，超出5份的按提供顺序前5份计算得分。备注：必须提供季度或半年度或年度考核结果；未作优良中差考核的，按排序排名考核的，前2名视为优；委托人出具的考核相关规章制度中仅有“满意”、“不满意”评价的，“满意”视为优。必须提供委托人出具的考核相关的规章制度，以及委托人依据考核相关的规章制度向被委托人发出的考核结果文件，未全部提供上述资料不得分，本项最多得10分。</w:t>
            </w:r>
          </w:p>
        </w:tc>
      </w:tr>
      <w:tr>
        <w:tc>
          <w:tcPr>
            <w:tcW w:type="dxa" w:w="922"/>
            <w:gridSpan w:val="2"/>
            <w:vMerge/>
          </w:tcPr>
          <w:p/>
        </w:tc>
        <w:tc>
          <w:tcPr>
            <w:tcW w:type="dxa" w:w="2307"/>
          </w:tcPr>
          <w:p>
            <w:pPr>
              <w:pStyle w:val="null3"/>
              <w:jc w:val="left"/>
            </w:pPr>
            <w:r>
              <w:rPr/>
              <w:t>服务网点软、硬件支持 (5.0分)</w:t>
            </w:r>
          </w:p>
        </w:tc>
        <w:tc>
          <w:tcPr>
            <w:tcW w:type="dxa" w:w="5076"/>
          </w:tcPr>
          <w:p>
            <w:pPr>
              <w:pStyle w:val="null3"/>
              <w:jc w:val="left"/>
            </w:pPr>
            <w:r>
              <w:rPr/>
              <w:t>1.设专门评审对数室，得3分；未设置，得0分； 2.配置正版造价软件，得1分；未配置，得0分； 3.配置项目管理或统计软件，得1分；未配置，得0分。 注：请投标人严格按照要求提供材料：评审对数室：提供对数室图片；软件：自主开发的，须提供系统的著作权证书扫描件；非自有的须提供有效期内的采购或租赁合同扫描件及发票。</w:t>
            </w:r>
          </w:p>
        </w:tc>
      </w:tr>
      <w:tr>
        <w:tc>
          <w:tcPr>
            <w:tcW w:type="dxa" w:w="922"/>
            <w:gridSpan w:val="2"/>
            <w:vMerge/>
          </w:tcPr>
          <w:p/>
        </w:tc>
        <w:tc>
          <w:tcPr>
            <w:tcW w:type="dxa" w:w="2307"/>
          </w:tcPr>
          <w:p>
            <w:pPr>
              <w:pStyle w:val="null3"/>
              <w:jc w:val="left"/>
            </w:pPr>
            <w:r>
              <w:rPr/>
              <w:t>对非重大违法违规记录的扣分 (3.0分)</w:t>
            </w:r>
          </w:p>
        </w:tc>
        <w:tc>
          <w:tcPr>
            <w:tcW w:type="dxa" w:w="5076"/>
          </w:tcPr>
          <w:p>
            <w:pPr>
              <w:pStyle w:val="null3"/>
              <w:jc w:val="left"/>
            </w:pPr>
            <w:r>
              <w:rPr/>
              <w:t>以“信用中国”（www.creditchina.gov.cn）网站为查询渠道，对2020年1月1日以来列入企业经营异常名录的投标人每一条记录扣1分，最高扣3分；未列入则不扣分。评审时评标委员会应将信用信息查询记录和证据截图存档。注：请投标人严格按照要求提交相关证明材料，否则有可能影响评审结果。</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投标下浮率）由高到低顺序排列。得分且投标报价相同的，由评委会采取随机抽取的方式确定。排名前15名的投标人为第一中标候选人，随后按顺序分别推荐第16-30名的投标人为第二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color w:val="222222"/>
          <w:shd w:fill="FFFFFF" w:val="clear"/>
        </w:rPr>
        <w:t>广东省政府采购</w:t>
      </w:r>
    </w:p>
    <w:p>
      <w:pPr>
        <w:pStyle w:val="null3"/>
        <w:spacing w:before="150" w:after="150"/>
        <w:jc w:val="both"/>
      </w:pPr>
      <w:r>
        <w:rPr>
          <w:shd w:fill="FFFFFF" w:val="clear"/>
        </w:rPr>
        <w:t xml:space="preserve"> </w:t>
      </w:r>
    </w:p>
    <w:p>
      <w:pPr>
        <w:pStyle w:val="null3"/>
        <w:jc w:val="center"/>
      </w:pPr>
      <w:r>
        <w:rPr>
          <w:sz w:val="48"/>
          <w:b/>
          <w:color w:val="222222"/>
          <w:shd w:fill="FFFFFF" w:val="clear"/>
        </w:rPr>
        <w:t>合　同　书</w:t>
      </w:r>
    </w:p>
    <w:p>
      <w:pPr>
        <w:pStyle w:val="null3"/>
        <w:jc w:val="center"/>
      </w:pPr>
      <w:r>
        <w:br/>
      </w:r>
      <w:r>
        <w:br/>
      </w:r>
      <w:r>
        <w:br/>
      </w:r>
      <w:r>
        <w:br/>
      </w:r>
      <w:r>
        <w:br/>
      </w:r>
      <w:r>
        <w:br/>
      </w:r>
      <w:r>
        <w:br/>
      </w:r>
      <w:r>
        <w:br/>
      </w:r>
      <w:r>
        <w:rPr>
          <w:shd w:fill="FFFFFF" w:val="clear"/>
        </w:rPr>
        <w:t xml:space="preserve">  </w:t>
      </w:r>
    </w:p>
    <w:p>
      <w:pPr>
        <w:pStyle w:val="null3"/>
        <w:jc w:val="center"/>
      </w:pPr>
      <w:r>
        <w:rPr>
          <w:sz w:val="28"/>
          <w:color w:val="222222"/>
          <w:shd w:fill="FFFFFF" w:val="clear"/>
        </w:rPr>
        <w:t>采购计划编号：</w:t>
      </w:r>
      <w:r>
        <w:rPr>
          <w:u w:val="single"/>
          <w:shd w:fill="FFFFFF" w:val="clear"/>
        </w:rPr>
        <w:t xml:space="preserve">                          </w:t>
      </w:r>
    </w:p>
    <w:p>
      <w:pPr>
        <w:pStyle w:val="null3"/>
        <w:spacing w:before="150" w:after="150"/>
        <w:jc w:val="both"/>
      </w:pPr>
      <w:r>
        <w:rPr>
          <w:shd w:fill="FFFFFF" w:val="clear"/>
        </w:rPr>
        <w:t xml:space="preserve"> </w:t>
      </w:r>
    </w:p>
    <w:p>
      <w:pPr>
        <w:pStyle w:val="null3"/>
        <w:jc w:val="center"/>
      </w:pPr>
      <w:r>
        <w:rPr>
          <w:sz w:val="28"/>
          <w:color w:val="222222"/>
          <w:shd w:fill="FFFFFF" w:val="clear"/>
        </w:rPr>
        <w:t>项目编号：</w:t>
      </w:r>
      <w:r>
        <w:rPr>
          <w:u w:val="single"/>
          <w:shd w:fill="FFFFFF" w:val="clear"/>
        </w:rPr>
        <w:t xml:space="preserve">                                  </w:t>
      </w:r>
    </w:p>
    <w:p>
      <w:pPr>
        <w:pStyle w:val="null3"/>
        <w:spacing w:before="150" w:after="150"/>
        <w:jc w:val="both"/>
      </w:pPr>
      <w:r>
        <w:rPr>
          <w:shd w:fill="FFFFFF" w:val="clear"/>
        </w:rPr>
        <w:t xml:space="preserve"> </w:t>
      </w:r>
    </w:p>
    <w:p>
      <w:pPr>
        <w:pStyle w:val="null3"/>
        <w:jc w:val="center"/>
      </w:pPr>
      <w:r>
        <w:rPr>
          <w:sz w:val="28"/>
          <w:color w:val="222222"/>
          <w:shd w:fill="FFFFFF" w:val="clear"/>
        </w:rPr>
        <w:t>项目名称：</w:t>
      </w:r>
      <w:r>
        <w:rPr>
          <w:u w:val="single"/>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br/>
      </w:r>
      <w:r>
        <w:rPr>
          <w:shd w:fill="FFFFFF" w:val="clear"/>
        </w:rPr>
        <w:t xml:space="preserve">  </w:t>
      </w:r>
    </w:p>
    <w:p>
      <w:pPr>
        <w:pStyle w:val="null3"/>
      </w:pPr>
      <w:r>
        <w:rPr>
          <w:sz w:val="27"/>
          <w:color w:val="000000"/>
        </w:rPr>
        <w:t>甲方：广州市南沙区财政局</w:t>
      </w:r>
    </w:p>
    <w:p>
      <w:pPr>
        <w:pStyle w:val="null3"/>
      </w:pPr>
      <w:r>
        <w:rPr>
          <w:sz w:val="27"/>
          <w:color w:val="000000"/>
        </w:rPr>
        <w:t>乙方：</w:t>
      </w:r>
    </w:p>
    <w:p>
      <w:pPr>
        <w:pStyle w:val="null3"/>
        <w:ind w:firstLine="200"/>
      </w:pPr>
      <w:r>
        <w:rPr>
          <w:sz w:val="27"/>
          <w:color w:val="000000"/>
        </w:rPr>
        <w:t>根据《中华人民共和国民法典》、《中华人民共和国政府采购法》、财政部《财政投资评审管理规定》（财建〔</w:t>
      </w:r>
      <w:r>
        <w:rPr>
          <w:sz w:val="27"/>
          <w:color w:val="000000"/>
        </w:rPr>
        <w:t>2009〕648号）、南沙开发区财政局《关于进一步明确财政投资评审相关工作的通知》（穗南开财字〔2019〕10号）、南沙开发区财政局《广州南沙（开发）区财政投资评审委托业务管理办法》等有关法规和规定及广州公共资源交易中心“</w:t>
      </w:r>
      <w:r>
        <w:rPr>
          <w:sz w:val="27"/>
          <w:color w:val="222222"/>
        </w:rPr>
        <w:t>广州市南沙区财政局</w:t>
      </w:r>
      <w:r>
        <w:rPr>
          <w:sz w:val="27"/>
          <w:color w:val="222222"/>
        </w:rPr>
        <w:t>2024-2027 年财政投资评审服务项目</w:t>
      </w:r>
      <w:r>
        <w:rPr>
          <w:sz w:val="27"/>
          <w:color w:val="000000"/>
        </w:rPr>
        <w:t>”（项目编号：</w:t>
      </w:r>
      <w:r>
        <w:rPr>
          <w:sz w:val="27"/>
          <w:color w:val="222222"/>
        </w:rPr>
        <w:t>CZ2024-0771</w:t>
      </w:r>
      <w:r>
        <w:rPr>
          <w:sz w:val="27"/>
          <w:color w:val="000000"/>
        </w:rPr>
        <w:t>）招标文件的要求和招标结果，经甲乙双方协商一致，签订本合同。双方共同遵守如下条款：</w:t>
      </w:r>
    </w:p>
    <w:p>
      <w:pPr>
        <w:pStyle w:val="null3"/>
        <w:ind w:firstLine="435"/>
      </w:pPr>
      <w:r>
        <w:rPr>
          <w:sz w:val="27"/>
          <w:b/>
          <w:color w:val="222222"/>
        </w:rPr>
        <w:t>一、</w:t>
      </w:r>
      <w:r>
        <w:rPr>
          <w:sz w:val="27"/>
          <w:b/>
          <w:color w:val="000000"/>
        </w:rPr>
        <w:t>服务内容及期限</w:t>
      </w:r>
    </w:p>
    <w:p>
      <w:pPr>
        <w:pStyle w:val="null3"/>
        <w:ind w:firstLine="540"/>
      </w:pPr>
      <w:r>
        <w:rPr>
          <w:sz w:val="27"/>
          <w:color w:val="000000"/>
        </w:rPr>
        <w:t>（一）乙方在服务期内接受甲方的委托，对</w:t>
      </w:r>
      <w:r>
        <w:rPr>
          <w:sz w:val="27"/>
          <w:color w:val="222222"/>
        </w:rPr>
        <w:t>基本建设项目概、预、结算提供评审服务、并对南沙区财政部门委托的其他项目提供造价咨询服务</w:t>
      </w:r>
      <w:r>
        <w:rPr>
          <w:sz w:val="27"/>
          <w:color w:val="000000"/>
        </w:rPr>
        <w:t>。</w:t>
      </w:r>
    </w:p>
    <w:p>
      <w:pPr>
        <w:pStyle w:val="null3"/>
        <w:ind w:firstLine="540"/>
        <w:jc w:val="left"/>
      </w:pPr>
      <w:r>
        <w:rPr>
          <w:sz w:val="27"/>
          <w:color w:val="000000"/>
        </w:rPr>
        <w:t>（二）服务期：三年，自</w:t>
      </w:r>
      <w:r>
        <w:rPr>
          <w:sz w:val="21"/>
        </w:rPr>
        <w:t xml:space="preserve">   </w:t>
      </w:r>
      <w:r>
        <w:rPr>
          <w:sz w:val="27"/>
          <w:color w:val="000000"/>
        </w:rPr>
        <w:t xml:space="preserve"> </w:t>
      </w:r>
      <w:r>
        <w:rPr>
          <w:sz w:val="27"/>
          <w:color w:val="000000"/>
        </w:rPr>
        <w:t>年</w:t>
      </w:r>
      <w:r>
        <w:rPr>
          <w:sz w:val="21"/>
        </w:rPr>
        <w:t xml:space="preserve">   </w:t>
      </w:r>
      <w:r>
        <w:rPr>
          <w:sz w:val="27"/>
          <w:color w:val="000000"/>
        </w:rPr>
        <w:t>月</w:t>
      </w:r>
      <w:r>
        <w:rPr>
          <w:sz w:val="21"/>
        </w:rPr>
        <w:t xml:space="preserve"> </w:t>
      </w:r>
      <w:r>
        <w:rPr>
          <w:sz w:val="27"/>
          <w:color w:val="000000"/>
        </w:rPr>
        <w:t>日起至</w:t>
      </w:r>
      <w:r>
        <w:rPr>
          <w:sz w:val="21"/>
        </w:rPr>
        <w:t xml:space="preserve">  </w:t>
      </w:r>
      <w:r>
        <w:rPr>
          <w:sz w:val="27"/>
          <w:color w:val="000000"/>
        </w:rPr>
        <w:t xml:space="preserve"> </w:t>
      </w:r>
      <w:r>
        <w:rPr>
          <w:sz w:val="27"/>
          <w:color w:val="000000"/>
        </w:rPr>
        <w:t>年</w:t>
      </w:r>
      <w:r>
        <w:rPr>
          <w:sz w:val="21"/>
        </w:rPr>
        <w:t xml:space="preserve">  </w:t>
      </w:r>
      <w:r>
        <w:rPr>
          <w:sz w:val="27"/>
          <w:color w:val="000000"/>
        </w:rPr>
        <w:t xml:space="preserve"> </w:t>
      </w:r>
      <w:r>
        <w:rPr>
          <w:sz w:val="27"/>
          <w:color w:val="000000"/>
        </w:rPr>
        <w:t>月</w:t>
      </w:r>
      <w:r>
        <w:rPr>
          <w:sz w:val="21"/>
        </w:rPr>
        <w:t xml:space="preserve"> </w:t>
      </w:r>
      <w:r>
        <w:rPr>
          <w:sz w:val="27"/>
          <w:color w:val="000000"/>
        </w:rPr>
        <w:t xml:space="preserve"> </w:t>
      </w:r>
      <w:r>
        <w:rPr>
          <w:sz w:val="27"/>
          <w:color w:val="000000"/>
        </w:rPr>
        <w:t>日止</w:t>
      </w:r>
      <w:r>
        <w:rPr>
          <w:sz w:val="27"/>
          <w:color w:val="222222"/>
        </w:rPr>
        <w:t>（合同到期或合同金额支付完毕，视为合同终止）</w:t>
      </w:r>
      <w:r>
        <w:rPr>
          <w:sz w:val="27"/>
          <w:color w:val="222222"/>
        </w:rPr>
        <w:t>，</w:t>
      </w:r>
      <w:r>
        <w:rPr>
          <w:sz w:val="27"/>
          <w:color w:val="222222"/>
        </w:rPr>
        <w:t>合同金额为中标排名相对应的预算金额，</w:t>
      </w:r>
      <w:r>
        <w:rPr>
          <w:sz w:val="27"/>
          <w:color w:val="222222"/>
        </w:rPr>
        <w:t>该预算金额为暂估价，在服务期限内，咨询服务费按实际发生业务进行结算</w:t>
      </w:r>
      <w:r>
        <w:rPr>
          <w:sz w:val="27"/>
          <w:color w:val="222222"/>
        </w:rPr>
        <w:t>。</w:t>
      </w:r>
    </w:p>
    <w:p>
      <w:pPr>
        <w:pStyle w:val="null3"/>
        <w:jc w:val="left"/>
      </w:pPr>
      <w:r>
        <w:rPr>
          <w:sz w:val="21"/>
        </w:rPr>
        <w:t xml:space="preserve">    </w:t>
      </w:r>
      <w:r>
        <w:rPr>
          <w:sz w:val="27"/>
          <w:color w:val="000000"/>
        </w:rPr>
        <w:t>（</w:t>
      </w:r>
      <w:r>
        <w:rPr>
          <w:sz w:val="27"/>
          <w:color w:val="000000"/>
        </w:rPr>
        <w:t>三</w:t>
      </w:r>
      <w:r>
        <w:rPr>
          <w:sz w:val="27"/>
          <w:color w:val="000000"/>
        </w:rPr>
        <w:t>）服务期限内，甲方没有义务确保乙方的项目数量，可能会因为政府的政策、建设项目需求等原因而导致项目数量和金额的减少，甲方不保证乙方在服务期内业务能达到合同金额，乙方自行评估和承担风险。</w:t>
      </w:r>
    </w:p>
    <w:p>
      <w:pPr>
        <w:pStyle w:val="null3"/>
        <w:ind w:firstLine="540"/>
        <w:jc w:val="left"/>
      </w:pPr>
      <w:r>
        <w:rPr>
          <w:sz w:val="27"/>
          <w:color w:val="000000"/>
        </w:rPr>
        <w:t>（</w:t>
      </w:r>
      <w:r>
        <w:rPr>
          <w:sz w:val="27"/>
          <w:color w:val="000000"/>
        </w:rPr>
        <w:t>四</w:t>
      </w:r>
      <w:r>
        <w:rPr>
          <w:sz w:val="27"/>
          <w:color w:val="000000"/>
        </w:rPr>
        <w:t>）为避免评审费超过合同价，当已支付费用达到合同价的</w:t>
      </w:r>
      <w:r>
        <w:rPr>
          <w:sz w:val="27"/>
          <w:color w:val="000000"/>
        </w:rPr>
        <w:t>80%时，甲方将视情况暂缓委派新的评审任务，待核定所有在审项目的预计评审费后（预计评审费计算标准：（基本收费+按10%核减额预估效益收费）×（1-下浮率）），如经核定后的总支付费用仍不超合同价的，才能继续委派新项目，直到合同终止。</w:t>
      </w:r>
    </w:p>
    <w:p>
      <w:pPr>
        <w:pStyle w:val="null3"/>
        <w:ind w:firstLine="540"/>
        <w:jc w:val="left"/>
      </w:pPr>
      <w:r>
        <w:rPr>
          <w:sz w:val="27"/>
          <w:color w:val="000000"/>
        </w:rPr>
        <w:t>（五）评审项目分配</w:t>
      </w:r>
      <w:r>
        <w:rPr>
          <w:sz w:val="27"/>
          <w:color w:val="000000"/>
        </w:rPr>
        <w:t>按照《广州市南沙（开发）区财政投资评审委托业务分配操作规程》执行</w:t>
      </w:r>
      <w:r>
        <w:rPr>
          <w:sz w:val="27"/>
          <w:color w:val="000000"/>
        </w:rPr>
        <w:t>（详见招标文件附件）。</w:t>
      </w:r>
    </w:p>
    <w:p>
      <w:pPr>
        <w:pStyle w:val="null3"/>
        <w:ind w:firstLine="435"/>
      </w:pPr>
      <w:r>
        <w:rPr>
          <w:sz w:val="27"/>
          <w:b/>
          <w:color w:val="000000"/>
        </w:rPr>
        <w:t>二、</w:t>
      </w:r>
      <w:r>
        <w:rPr>
          <w:sz w:val="27"/>
          <w:b/>
          <w:color w:val="000000"/>
        </w:rPr>
        <w:t>评审服务费用及付款方式</w:t>
      </w:r>
    </w:p>
    <w:p>
      <w:pPr>
        <w:pStyle w:val="null3"/>
        <w:ind w:firstLine="435"/>
      </w:pPr>
      <w:r>
        <w:rPr>
          <w:sz w:val="27"/>
          <w:color w:val="222222"/>
        </w:rPr>
        <w:t>广州市南沙区财政局</w:t>
      </w:r>
      <w:r>
        <w:rPr>
          <w:sz w:val="27"/>
          <w:color w:val="222222"/>
        </w:rPr>
        <w:t>2024-2027年财政投资评审服务项目</w:t>
      </w:r>
      <w:r>
        <w:rPr>
          <w:sz w:val="27"/>
          <w:color w:val="222222"/>
        </w:rPr>
        <w:t>收</w:t>
      </w:r>
      <w:r>
        <w:rPr>
          <w:sz w:val="27"/>
          <w:color w:val="222222"/>
        </w:rPr>
        <w:t>费标准</w:t>
      </w:r>
    </w:p>
    <w:p>
      <w:pPr>
        <w:pStyle w:val="null3"/>
        <w:ind w:firstLine="435"/>
      </w:pPr>
      <w:r>
        <w:drawing>
          <wp:inline distT="0" distR="0" distB="0" distL="0">
            <wp:extent cx="5274310" cy="2969130"/>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5274310" cy="2969130"/>
                    </a:xfrm>
                    <a:prstGeom prst="rect">
                      <a:avLst/>
                    </a:prstGeom>
                  </pic:spPr>
                </pic:pic>
              </a:graphicData>
            </a:graphic>
          </wp:inline>
        </w:drawing>
      </w:r>
    </w:p>
    <w:p>
      <w:pPr>
        <w:pStyle w:val="null3"/>
        <w:ind w:firstLine="435"/>
      </w:pPr>
      <w:r>
        <w:drawing>
          <wp:inline distT="0" distR="0" distB="0" distL="0">
            <wp:extent cx="5274310" cy="2637155"/>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9"/>
                    <a:stretch>
                      <a:fillRect/>
                    </a:stretch>
                  </pic:blipFill>
                  <pic:spPr>
                    <a:xfrm>
                      <a:off x="0" y="0"/>
                      <a:ext cx="5274310" cy="2637155"/>
                    </a:xfrm>
                    <a:prstGeom prst="rect">
                      <a:avLst/>
                    </a:prstGeom>
                  </pic:spPr>
                </pic:pic>
              </a:graphicData>
            </a:graphic>
          </wp:inline>
        </w:drawing>
      </w:r>
    </w:p>
    <w:p>
      <w:pPr>
        <w:pStyle w:val="null3"/>
        <w:ind w:firstLine="540"/>
      </w:pPr>
      <w:r>
        <w:rPr>
          <w:sz w:val="27"/>
          <w:color w:val="222222"/>
        </w:rPr>
        <w:t>（一）</w:t>
      </w:r>
      <w:r>
        <w:rPr>
          <w:sz w:val="27"/>
          <w:color w:val="222222"/>
        </w:rPr>
        <w:t>以上计费中标人应执行合同下浮率</w:t>
      </w:r>
      <w:r>
        <w:rPr>
          <w:sz w:val="27"/>
          <w:color w:val="222222"/>
        </w:rPr>
        <w:t>，</w:t>
      </w:r>
      <w:r>
        <w:rPr>
          <w:sz w:val="27"/>
          <w:color w:val="000000"/>
        </w:rPr>
        <w:t>本合同评审服务费实际支付的金额</w:t>
      </w:r>
      <w:r>
        <w:rPr>
          <w:sz w:val="27"/>
          <w:color w:val="000000"/>
        </w:rPr>
        <w:t>=收费标准×（</w:t>
      </w:r>
      <w:r>
        <w:rPr>
          <w:sz w:val="27"/>
          <w:color w:val="000000"/>
        </w:rPr>
        <w:t>1-下浮率</w:t>
      </w:r>
      <w:r>
        <w:rPr>
          <w:sz w:val="27"/>
          <w:color w:val="000000"/>
        </w:rPr>
        <w:t>）</w:t>
      </w:r>
      <w:r>
        <w:rPr>
          <w:sz w:val="27"/>
          <w:color w:val="222222"/>
        </w:rPr>
        <w:t>，经下浮后如不足</w:t>
      </w:r>
      <w:r>
        <w:rPr>
          <w:sz w:val="27"/>
          <w:color w:val="222222"/>
        </w:rPr>
        <w:t>2000元的按2000元计算。其中评审服务费用计费下浮后超过60万元的按60万元计算，评审、复审项目均按此执行。</w:t>
      </w:r>
    </w:p>
    <w:p>
      <w:pPr>
        <w:pStyle w:val="null3"/>
        <w:ind w:firstLine="540"/>
      </w:pPr>
      <w:r>
        <w:rPr>
          <w:sz w:val="27"/>
          <w:color w:val="222222"/>
        </w:rPr>
        <w:t>（二）</w:t>
      </w:r>
      <w:r>
        <w:rPr>
          <w:sz w:val="27"/>
          <w:color w:val="222222"/>
        </w:rPr>
        <w:t>以上费用均为含税金额。</w:t>
      </w:r>
    </w:p>
    <w:p>
      <w:pPr>
        <w:pStyle w:val="null3"/>
        <w:ind w:firstLine="540"/>
      </w:pPr>
      <w:r>
        <w:rPr>
          <w:sz w:val="27"/>
          <w:color w:val="222222"/>
        </w:rPr>
        <w:t>（三）</w:t>
      </w:r>
      <w:r>
        <w:rPr>
          <w:sz w:val="27"/>
          <w:color w:val="222222"/>
        </w:rPr>
        <w:t>复审费用的计费标准按照广州市南沙区财政局</w:t>
      </w:r>
      <w:r>
        <w:rPr>
          <w:sz w:val="27"/>
          <w:color w:val="222222"/>
        </w:rPr>
        <w:t>2024-2027年财政投资评审服务项目</w:t>
      </w:r>
      <w:r>
        <w:rPr>
          <w:sz w:val="27"/>
          <w:color w:val="222222"/>
        </w:rPr>
        <w:t>收</w:t>
      </w:r>
      <w:r>
        <w:rPr>
          <w:sz w:val="27"/>
          <w:color w:val="222222"/>
        </w:rPr>
        <w:t>费标准的</w:t>
      </w:r>
      <w:r>
        <w:rPr>
          <w:sz w:val="27"/>
          <w:color w:val="222222"/>
        </w:rPr>
        <w:t>50%</w:t>
      </w:r>
      <w:r>
        <w:rPr>
          <w:sz w:val="27"/>
          <w:color w:val="000000"/>
        </w:rPr>
        <w:t>×（</w:t>
      </w:r>
      <w:r>
        <w:rPr>
          <w:sz w:val="27"/>
          <w:color w:val="000000"/>
        </w:rPr>
        <w:t>1-下浮率</w:t>
      </w:r>
      <w:r>
        <w:rPr>
          <w:sz w:val="27"/>
          <w:color w:val="000000"/>
        </w:rPr>
        <w:t>）</w:t>
      </w:r>
      <w:r>
        <w:rPr>
          <w:sz w:val="27"/>
          <w:color w:val="222222"/>
        </w:rPr>
        <w:t>计取。</w:t>
      </w:r>
    </w:p>
    <w:p>
      <w:pPr>
        <w:pStyle w:val="null3"/>
        <w:ind w:firstLine="540"/>
      </w:pPr>
      <w:r>
        <w:rPr>
          <w:sz w:val="27"/>
          <w:color w:val="222222"/>
        </w:rPr>
        <w:t>（四）</w:t>
      </w:r>
      <w:r>
        <w:rPr>
          <w:sz w:val="27"/>
          <w:color w:val="222222"/>
        </w:rPr>
        <w:t>以上各项计费均以完成的单一委托金额计算，服务期间，计费标准不作调整。</w:t>
      </w:r>
    </w:p>
    <w:p>
      <w:pPr>
        <w:pStyle w:val="null3"/>
        <w:ind w:firstLine="540"/>
      </w:pPr>
      <w:r>
        <w:rPr>
          <w:sz w:val="27"/>
          <w:color w:val="222222"/>
        </w:rPr>
        <w:t>（五）</w:t>
      </w:r>
      <w:r>
        <w:rPr>
          <w:sz w:val="27"/>
          <w:color w:val="222222"/>
        </w:rPr>
        <w:t>财政投资评审以外的其他工程造价咨询服务由采购人和中标人依据工程造价相关收费文件协商议定。</w:t>
      </w:r>
    </w:p>
    <w:p>
      <w:pPr>
        <w:pStyle w:val="null3"/>
        <w:ind w:firstLine="526"/>
      </w:pPr>
      <w:r>
        <w:rPr>
          <w:sz w:val="27"/>
          <w:color w:val="000000"/>
        </w:rPr>
        <w:t>（六）付款方式</w:t>
      </w:r>
    </w:p>
    <w:p>
      <w:pPr>
        <w:pStyle w:val="null3"/>
        <w:ind w:firstLine="540"/>
        <w:jc w:val="both"/>
      </w:pPr>
      <w:r>
        <w:rPr>
          <w:sz w:val="27"/>
          <w:color w:val="222222"/>
        </w:rPr>
        <w:t>付费方式为每季度据实结算付款（中小企业如有需要可按月支付）。由中标供应商于每季度（或按月）结束后十五个工作日内向采购人书面报送评审项目费用结算表（同时提供电子版本），采购人在收到中标供应商提交的与当期应付金额相等的合法有效的增值税普通发票后</w:t>
      </w:r>
      <w:r>
        <w:rPr>
          <w:sz w:val="27"/>
          <w:color w:val="222222"/>
        </w:rPr>
        <w:t>5个工作日内办理支付手续</w:t>
      </w:r>
      <w:r>
        <w:rPr>
          <w:sz w:val="27"/>
          <w:color w:val="222222"/>
        </w:rPr>
        <w:t>。</w:t>
      </w:r>
    </w:p>
    <w:p>
      <w:pPr>
        <w:pStyle w:val="null3"/>
        <w:ind w:firstLine="540"/>
        <w:jc w:val="both"/>
      </w:pPr>
      <w:r>
        <w:rPr>
          <w:sz w:val="27"/>
          <w:color w:val="222222"/>
        </w:rPr>
        <w:t>因甲方使用的是财政资金，甲方在前述规定的付款时间为向政府采购支付部门提出办理财政支付申请手续的时间（不含政府财政支付部门审核的时间），因财政部门等政府相关审核部门原因造成甲方不能如期支付服务费的，不视为甲方违约，乙方不得追究甲方任何责任。</w:t>
      </w:r>
    </w:p>
    <w:p>
      <w:pPr>
        <w:pStyle w:val="null3"/>
        <w:ind w:left="570"/>
      </w:pPr>
      <w:r>
        <w:rPr>
          <w:sz w:val="27"/>
          <w:b/>
          <w:color w:val="000000"/>
        </w:rPr>
        <w:t>三、双方的权利和义务</w:t>
      </w:r>
    </w:p>
    <w:p>
      <w:pPr>
        <w:pStyle w:val="null3"/>
        <w:ind w:firstLine="435"/>
      </w:pPr>
      <w:r>
        <w:rPr>
          <w:sz w:val="27"/>
          <w:color w:val="000000"/>
        </w:rPr>
        <w:t>（一）甲方的权利和义务</w:t>
      </w:r>
    </w:p>
    <w:p>
      <w:pPr>
        <w:pStyle w:val="null3"/>
        <w:ind w:firstLine="435"/>
      </w:pPr>
      <w:r>
        <w:rPr>
          <w:sz w:val="27"/>
          <w:color w:val="000000"/>
        </w:rPr>
        <w:t>1、指定专人负责与乙方联系评审委托事宜，客观、公正做好项目分配、组织、管理和考核工作；</w:t>
      </w:r>
    </w:p>
    <w:p>
      <w:pPr>
        <w:pStyle w:val="null3"/>
        <w:ind w:firstLine="435"/>
      </w:pPr>
      <w:r>
        <w:rPr>
          <w:sz w:val="27"/>
          <w:color w:val="000000"/>
        </w:rPr>
        <w:t>2、敦促项目建设单位为乙方人员开展工作并提供必要的工作条件，提供必要的资料，并敦促项目建设单位对所提供资料的真实性、准确性、合法性、完整性负责。</w:t>
      </w:r>
    </w:p>
    <w:p>
      <w:pPr>
        <w:pStyle w:val="null3"/>
        <w:ind w:firstLine="435"/>
      </w:pPr>
      <w:r>
        <w:rPr>
          <w:sz w:val="27"/>
          <w:color w:val="000000"/>
        </w:rPr>
        <w:t>3、甲方有权对乙方实行单项业务考核、季度考核和年度考核，并将考核结果通知乙方。</w:t>
      </w:r>
    </w:p>
    <w:p>
      <w:pPr>
        <w:pStyle w:val="null3"/>
        <w:ind w:firstLine="435"/>
      </w:pPr>
      <w:r>
        <w:rPr>
          <w:sz w:val="27"/>
          <w:color w:val="000000"/>
        </w:rPr>
        <w:t>4、合同期内，不定期组织对乙方执行合同情况进行核查，并对乙方包括完成效率、完成期限、完成质量、社会反映等方面作出评价；甲方有权对乙方不符合评审工作要求的相关造价专业人员提出更换，如果乙方未进行更换，甲方有权暂停乙方的评审委托业务；对发现的其他问题，应通过有关部门核查，并将有关情况向政府采购监管部门和建设造价管理部门反映；</w:t>
      </w:r>
    </w:p>
    <w:p>
      <w:pPr>
        <w:pStyle w:val="null3"/>
        <w:ind w:firstLine="435"/>
      </w:pPr>
      <w:r>
        <w:rPr>
          <w:sz w:val="27"/>
          <w:color w:val="000000"/>
        </w:rPr>
        <w:t>5、依照约定的标准及期限，及时、足额支付服务费。</w:t>
      </w:r>
    </w:p>
    <w:p>
      <w:pPr>
        <w:pStyle w:val="null3"/>
        <w:ind w:left="420"/>
      </w:pPr>
      <w:r>
        <w:rPr>
          <w:sz w:val="27"/>
          <w:color w:val="222222"/>
        </w:rPr>
        <w:t>（二）乙方的权利和义务</w:t>
      </w:r>
    </w:p>
    <w:p>
      <w:pPr>
        <w:pStyle w:val="null3"/>
        <w:ind w:firstLine="435"/>
      </w:pPr>
      <w:r>
        <w:rPr>
          <w:sz w:val="27"/>
          <w:color w:val="000000"/>
        </w:rPr>
        <w:t>1、认真遵守财政部《财政投资评审管理规定》（财建〔2009〕648号）、南沙开发区财政局《关于进一步明确财政投资评审相关工作的通知》（穗南开财字〔2019〕10号）、南沙开发区财政局《广州南沙（开发）区财政投资评审委托业务管理办法》、《南沙（开发）区财政委托社会中介机构评审考核办法》和南沙开发区财政投资评审工作指引等规定，并接受其相关条款的管理。</w:t>
      </w:r>
    </w:p>
    <w:p>
      <w:pPr>
        <w:pStyle w:val="null3"/>
        <w:ind w:firstLine="540"/>
        <w:jc w:val="both"/>
      </w:pPr>
      <w:r>
        <w:rPr>
          <w:sz w:val="27"/>
          <w:color w:val="000000"/>
        </w:rPr>
        <w:t>2、</w:t>
      </w:r>
      <w:r>
        <w:rPr>
          <w:sz w:val="27"/>
          <w:color w:val="000000"/>
        </w:rPr>
        <w:t>乙方有义务按照招标文件的要求和投标承诺，派驻熟悉业务的造价专业人员开展评审业务，自服务期开始</w:t>
      </w:r>
      <w:r>
        <w:rPr>
          <w:sz w:val="27"/>
          <w:color w:val="000000"/>
        </w:rPr>
        <w:t>6个月内不得更换服务人员，服务期满6个月后由于特殊原因确需调整更换人员，乙方需向甲方提出书面申请，经甲方同意后，按照3万元/人的标准赔偿甲方。服务期内累计更换人数不得超过</w:t>
      </w:r>
      <w:r>
        <w:rPr>
          <w:sz w:val="27"/>
          <w:color w:val="000000"/>
        </w:rPr>
        <w:t>3次</w:t>
      </w:r>
      <w:r>
        <w:rPr>
          <w:sz w:val="27"/>
          <w:color w:val="000000"/>
        </w:rPr>
        <w:t>（甲方根据评审工作实际情况提出更换和调整的人员数量不计算在内），否则甲方有权终止协议。人员更换应遵循资质和职称对等或更高替换原则，即新替人员职称、一级注册造价工程师资格等情况应等于或高于原人员职称和资格。甲方有权根据服务人员的工作表现，指定具体项目的服务人员及提出更换服务人员要求。</w:t>
      </w:r>
    </w:p>
    <w:p>
      <w:pPr>
        <w:pStyle w:val="null3"/>
        <w:ind w:firstLine="540"/>
      </w:pPr>
      <w:r>
        <w:rPr>
          <w:sz w:val="27"/>
          <w:color w:val="000000"/>
        </w:rPr>
        <w:t>3、保证向甲方提供优质的工程造价咨询服务，无正当理由不得拒绝接受委托项目。未经甲方书面同意，不得擅自将受托项目转委托给第三方承担；</w:t>
      </w:r>
    </w:p>
    <w:p>
      <w:pPr>
        <w:pStyle w:val="null3"/>
        <w:ind w:firstLine="435"/>
      </w:pPr>
      <w:r>
        <w:rPr>
          <w:sz w:val="27"/>
          <w:color w:val="000000"/>
        </w:rPr>
        <w:t>4、熟悉并严格执行国家、省、市及南沙区有关部门关于财政投资评审及工程项目造价管理方面的法律、法规及相关政策，本着为政府节约投资的原则，科学、客观、公正、独立地开展审核工作，健全内部控制制度，主动接受甲方的监督与指导，按时按质提供评审报告，对报告的真实性、准确性、有效性负责，并负有保密责任：在合同期后12年内，乙方需对合同期内的评审工作资料或信息进行保密，若向任何第三方泄露，甲方将追究乙方的法律责任，并将有关情况向政府采购监管部门和建设造价管理部门反映。</w:t>
      </w:r>
    </w:p>
    <w:p>
      <w:pPr>
        <w:pStyle w:val="null3"/>
        <w:ind w:firstLine="435"/>
      </w:pPr>
      <w:r>
        <w:rPr>
          <w:sz w:val="27"/>
          <w:color w:val="000000"/>
        </w:rPr>
        <w:t>5、为保证按时按质按量完成委托的工程造价咨询业务提供充裕的人力、物力及相应的软件、硬件支持；负责所有因为评审工作产生的费用开支（含差旅费等）。</w:t>
      </w:r>
    </w:p>
    <w:p>
      <w:pPr>
        <w:pStyle w:val="null3"/>
        <w:ind w:firstLine="435"/>
      </w:pPr>
      <w:r>
        <w:rPr>
          <w:sz w:val="27"/>
          <w:color w:val="000000"/>
        </w:rPr>
        <w:t>6、乙方</w:t>
      </w:r>
      <w:r>
        <w:rPr>
          <w:sz w:val="27"/>
          <w:color w:val="222222"/>
        </w:rPr>
        <w:t>需在接到委托通知后</w:t>
      </w:r>
      <w:r>
        <w:rPr>
          <w:sz w:val="27"/>
          <w:color w:val="222222"/>
        </w:rPr>
        <w:t>1个工作日内与采购人联系接收送审资料和办理承接委托事宜，同时向采购人提供服务的专业技术人员名单。团队负责人须按</w:t>
      </w:r>
      <w:r>
        <w:rPr>
          <w:sz w:val="27"/>
          <w:color w:val="000000"/>
        </w:rPr>
        <w:t>甲方</w:t>
      </w:r>
      <w:r>
        <w:rPr>
          <w:sz w:val="27"/>
          <w:color w:val="222222"/>
        </w:rPr>
        <w:t>要求到</w:t>
      </w:r>
      <w:r>
        <w:rPr>
          <w:sz w:val="27"/>
          <w:color w:val="000000"/>
        </w:rPr>
        <w:t>甲方</w:t>
      </w:r>
      <w:r>
        <w:rPr>
          <w:sz w:val="27"/>
          <w:color w:val="222222"/>
        </w:rPr>
        <w:t>指定的地点参加评审工作会议，团队负责人累计</w:t>
      </w:r>
      <w:r>
        <w:rPr>
          <w:sz w:val="27"/>
          <w:color w:val="222222"/>
        </w:rPr>
        <w:t>3次不响应</w:t>
      </w:r>
      <w:r>
        <w:rPr>
          <w:sz w:val="27"/>
          <w:color w:val="000000"/>
        </w:rPr>
        <w:t>甲方</w:t>
      </w:r>
      <w:r>
        <w:rPr>
          <w:sz w:val="27"/>
          <w:color w:val="222222"/>
        </w:rPr>
        <w:t>要求的即解除合同。</w:t>
      </w:r>
    </w:p>
    <w:p>
      <w:pPr>
        <w:pStyle w:val="null3"/>
        <w:ind w:firstLine="526"/>
      </w:pPr>
      <w:r>
        <w:rPr>
          <w:sz w:val="27"/>
          <w:color w:val="000000"/>
        </w:rPr>
        <w:t>7、若乙方曾就委托项目提供造价咨询服务（包括设计、概预算编审、招标代理、监理、代建等）且委托方非甲方，或有其他利害关系，可能影响评审公正、公平的，不得作为该项目的财政委托审核机构，乙方应主动提出回避并将回避事项的证明文件交予甲方，经甲方同意后，由甲方重新选取中标人承担该项目的评审任务；</w:t>
      </w:r>
    </w:p>
    <w:p>
      <w:pPr>
        <w:pStyle w:val="null3"/>
        <w:ind w:firstLine="435"/>
      </w:pPr>
      <w:r>
        <w:rPr>
          <w:sz w:val="27"/>
          <w:color w:val="000000"/>
        </w:rPr>
        <w:t>8、乙方在接受委托后，应认真研究项目情况，根据委托评审任务的要求制定项目评审计划，确定项目评审负责人，安排评审人员，并报甲方备案。项目评审人员要求：</w:t>
      </w:r>
    </w:p>
    <w:p>
      <w:pPr>
        <w:pStyle w:val="null3"/>
        <w:ind w:firstLine="435"/>
      </w:pPr>
      <w:r>
        <w:rPr>
          <w:sz w:val="27"/>
          <w:color w:val="000000"/>
        </w:rPr>
        <w:t>（</w:t>
      </w:r>
      <w:r>
        <w:rPr>
          <w:sz w:val="27"/>
          <w:color w:val="000000"/>
        </w:rPr>
        <w:t>1）配备相应的专业评审人员，根据评审项目的实际情况配置具有注册造价师职业资格的评审负责人、复核人员或技术负责人；确保参与委托评审项目的技术人员必须具有工程造价执业资格，必须持有资格证书，坚持持证上岗制度，保证咨询工作质量，必须在其执业资格证书规定的专业范围内从事专业工程的造价咨询工作，不得跨专业，不得同时在两个或两个以上单位从事工程造价及相关业务。对于未达到甲方评审工作要求的造价专业人员，乙方须及时进行更换，更换的专业技术人员应符合评审工作要求；</w:t>
      </w:r>
    </w:p>
    <w:p>
      <w:pPr>
        <w:pStyle w:val="null3"/>
        <w:ind w:firstLine="435"/>
      </w:pPr>
      <w:r>
        <w:rPr>
          <w:sz w:val="27"/>
          <w:color w:val="000000"/>
        </w:rPr>
        <w:t>（</w:t>
      </w:r>
      <w:r>
        <w:rPr>
          <w:sz w:val="27"/>
          <w:color w:val="000000"/>
        </w:rPr>
        <w:t>2）评审人员应当具有一定的政治素质、政策水平和专业技术水平，对不同行业、不同项目的评审应根据专业特点组织相应的专业评审人员参加；</w:t>
      </w:r>
    </w:p>
    <w:p>
      <w:pPr>
        <w:pStyle w:val="null3"/>
        <w:ind w:firstLine="435"/>
      </w:pPr>
      <w:r>
        <w:rPr>
          <w:sz w:val="27"/>
          <w:color w:val="000000"/>
        </w:rPr>
        <w:t>（</w:t>
      </w:r>
      <w:r>
        <w:rPr>
          <w:sz w:val="27"/>
          <w:color w:val="000000"/>
        </w:rPr>
        <w:t>3）评审人员应当严格执行国家的法律法规和南沙（开发）区财政投资评审工作指引，客观公正、廉洁自律，以保证评审结果的准确性和公正性；</w:t>
      </w:r>
    </w:p>
    <w:p>
      <w:pPr>
        <w:pStyle w:val="null3"/>
        <w:ind w:firstLine="435"/>
      </w:pPr>
      <w:r>
        <w:rPr>
          <w:sz w:val="27"/>
          <w:color w:val="000000"/>
        </w:rPr>
        <w:t>（</w:t>
      </w:r>
      <w:r>
        <w:rPr>
          <w:sz w:val="27"/>
          <w:color w:val="000000"/>
        </w:rPr>
        <w:t>4）对保密项目的评审，评审人员应遵守国家有关保密的规定。</w:t>
      </w:r>
    </w:p>
    <w:p>
      <w:pPr>
        <w:pStyle w:val="null3"/>
        <w:ind w:firstLine="461"/>
      </w:pPr>
      <w:r>
        <w:rPr>
          <w:sz w:val="27"/>
          <w:color w:val="000000"/>
        </w:rPr>
        <w:t>9、送审资料齐备的项目，乙方须按照南沙开发区财政局《关于进一步明确财政投资评审相关工作的通知》（穗南开财字〔2019〕10号）的规定时限完成评审委托业务，复审项目评审时间按上述规定的一半计算（如有新文件颁布，按照新文件时限执行），抢险救灾等一些特殊项目另行商定评审时限。</w:t>
      </w:r>
    </w:p>
    <w:p>
      <w:pPr>
        <w:pStyle w:val="null3"/>
        <w:ind w:firstLine="435"/>
      </w:pPr>
      <w:r>
        <w:rPr>
          <w:sz w:val="27"/>
          <w:color w:val="000000"/>
        </w:rPr>
        <w:t>10、评审报告初稿提交至甲方及建设单位后，乙方须按照《南沙（开发）区财政投资评审委托业务管理办法》、《关于进一步明确财政投资评审相关工作的通知》和南沙开发区财政投资评审工作指引的要求，按时完成会审、现场踏勘和评审报告的内部复核、评审资料的归集和移交工作。</w:t>
      </w:r>
    </w:p>
    <w:p>
      <w:pPr>
        <w:pStyle w:val="null3"/>
        <w:ind w:firstLine="435"/>
      </w:pPr>
      <w:r>
        <w:rPr>
          <w:sz w:val="27"/>
          <w:color w:val="000000"/>
        </w:rPr>
        <w:t>11、乙方应配合甲方完成单项业务考核和年度考核工作，乙方有权在接到甲方单项业务考核、季度考核和年度考核结果后的5个工作日内提出意见，否则视为同意甲方的考核结果。</w:t>
      </w:r>
    </w:p>
    <w:p>
      <w:pPr>
        <w:pStyle w:val="null3"/>
        <w:ind w:firstLine="435"/>
      </w:pPr>
      <w:r>
        <w:rPr>
          <w:sz w:val="27"/>
          <w:color w:val="000000"/>
        </w:rPr>
        <w:t>12、每季度结束后15个工作日内向甲方报送评审费用结算情况，并按甲方的要求做好相关统计工作。</w:t>
      </w:r>
    </w:p>
    <w:p>
      <w:pPr>
        <w:pStyle w:val="null3"/>
        <w:ind w:firstLine="435"/>
      </w:pPr>
      <w:r>
        <w:rPr>
          <w:sz w:val="27"/>
          <w:color w:val="000000"/>
        </w:rPr>
        <w:t>13、评审所必须的全部送审资料，以及评审过程中产生的现场踏勘、会审等资料，应按评审项目建立档案，在移交评审报告的同时移交给甲方。</w:t>
      </w:r>
    </w:p>
    <w:p>
      <w:pPr>
        <w:pStyle w:val="null3"/>
        <w:ind w:firstLine="435"/>
      </w:pPr>
      <w:r>
        <w:rPr>
          <w:sz w:val="27"/>
          <w:color w:val="000000"/>
        </w:rPr>
        <w:t>14、乙方应配合甲方完成审查与复审工作，为相关人员提供必要的审查或复审条件。根据审查结果需要进行重新评审的，乙方须在10个工作日内完成重新评审工作并提交评审报告。</w:t>
      </w:r>
    </w:p>
    <w:p>
      <w:pPr>
        <w:pStyle w:val="null3"/>
        <w:ind w:firstLine="540"/>
      </w:pPr>
      <w:r>
        <w:rPr>
          <w:sz w:val="27"/>
          <w:color w:val="000000"/>
        </w:rPr>
        <w:t>15、乙方在本服务期满后，应在到期后1个月内将甲方所有委托的项目评审完毕，不能完成评审的应退回给甲方，未完成评审的项目不计算评审费用；如因乙方原因被终止服务的，乙方应及时将甲方所有委托任务退回，未完成评审的项目不计算评审费用。</w:t>
      </w:r>
    </w:p>
    <w:p>
      <w:pPr>
        <w:pStyle w:val="null3"/>
        <w:ind w:firstLine="435"/>
      </w:pPr>
      <w:r>
        <w:rPr>
          <w:sz w:val="27"/>
          <w:color w:val="000000"/>
        </w:rPr>
        <w:t>16、乙方在接受甲方委托期间内，乙方对在甲方委托期间从甲方取得的资料或信息负有保密责任，除法律规定者或甲方同意外，乙方及其工作人员不得向任何第三方泄露。</w:t>
      </w:r>
    </w:p>
    <w:p>
      <w:pPr>
        <w:pStyle w:val="null3"/>
        <w:ind w:left="540"/>
      </w:pPr>
      <w:r>
        <w:rPr>
          <w:sz w:val="27"/>
          <w:b/>
          <w:color w:val="000000"/>
        </w:rPr>
        <w:t>四、违约责任</w:t>
      </w:r>
    </w:p>
    <w:p>
      <w:pPr>
        <w:pStyle w:val="null3"/>
        <w:ind w:firstLine="435"/>
      </w:pPr>
      <w:r>
        <w:rPr>
          <w:sz w:val="27"/>
          <w:color w:val="000000"/>
        </w:rPr>
        <w:t>（一）甲方的违约责任</w:t>
      </w:r>
    </w:p>
    <w:p>
      <w:pPr>
        <w:pStyle w:val="null3"/>
        <w:ind w:firstLine="435"/>
      </w:pPr>
      <w:r>
        <w:rPr>
          <w:sz w:val="27"/>
          <w:color w:val="000000"/>
        </w:rPr>
        <w:t>1、如甲方未能按照项目招标文件规定的办法公正、公平地分配待评审项目，乙方有权向同级政府采购管理部门或监察部门反映，由其调查核实并作出处理；</w:t>
      </w:r>
    </w:p>
    <w:p>
      <w:pPr>
        <w:pStyle w:val="null3"/>
        <w:ind w:firstLine="435"/>
      </w:pPr>
      <w:r>
        <w:rPr>
          <w:sz w:val="27"/>
          <w:color w:val="000000"/>
        </w:rPr>
        <w:t>2、甲方无正当理由拒付服务费的，应向乙方偿付应付费用总价5%的违约金。</w:t>
      </w:r>
    </w:p>
    <w:p>
      <w:pPr>
        <w:pStyle w:val="null3"/>
        <w:ind w:firstLine="435"/>
      </w:pPr>
      <w:r>
        <w:rPr>
          <w:sz w:val="27"/>
          <w:color w:val="000000"/>
        </w:rPr>
        <w:t>（二）乙方的违约责任</w:t>
      </w:r>
    </w:p>
    <w:p>
      <w:pPr>
        <w:pStyle w:val="null3"/>
        <w:ind w:firstLine="435"/>
      </w:pPr>
      <w:r>
        <w:rPr>
          <w:sz w:val="27"/>
          <w:color w:val="000000"/>
        </w:rPr>
        <w:t>1、在合同执行期内，如发现乙方有以下问题，经调查核实，甲方有权暂停、终止合同、停止支付或追回已支付的审核费用和追究乙方法律责任，并将有关情况向政府采购监管部门和建设造价管理部门反映：</w:t>
      </w:r>
    </w:p>
    <w:p>
      <w:pPr>
        <w:pStyle w:val="null3"/>
        <w:ind w:firstLine="435"/>
      </w:pPr>
      <w:r>
        <w:rPr>
          <w:sz w:val="27"/>
          <w:color w:val="000000"/>
        </w:rPr>
        <w:t>（</w:t>
      </w:r>
      <w:r>
        <w:rPr>
          <w:sz w:val="27"/>
          <w:color w:val="000000"/>
        </w:rPr>
        <w:t>1）违反有关法律、法规和政策规定或工作失误,造成甲方及相关单位损失的；</w:t>
      </w:r>
    </w:p>
    <w:p>
      <w:pPr>
        <w:pStyle w:val="null3"/>
        <w:ind w:firstLine="435"/>
      </w:pPr>
      <w:r>
        <w:rPr>
          <w:sz w:val="27"/>
          <w:color w:val="000000"/>
        </w:rPr>
        <w:t>（</w:t>
      </w:r>
      <w:r>
        <w:rPr>
          <w:sz w:val="27"/>
          <w:color w:val="000000"/>
        </w:rPr>
        <w:t>2）通过提供虚假信息,误导或欺骗等方式，以谋取非法利益的；</w:t>
      </w:r>
    </w:p>
    <w:p>
      <w:pPr>
        <w:pStyle w:val="null3"/>
        <w:ind w:firstLine="435"/>
      </w:pPr>
      <w:r>
        <w:rPr>
          <w:sz w:val="27"/>
          <w:color w:val="000000"/>
        </w:rPr>
        <w:t>（</w:t>
      </w:r>
      <w:r>
        <w:rPr>
          <w:sz w:val="27"/>
          <w:color w:val="000000"/>
        </w:rPr>
        <w:t>3）采用非法手段进行不正当竞争的，造成恶劣影响的；</w:t>
      </w:r>
    </w:p>
    <w:p>
      <w:pPr>
        <w:pStyle w:val="null3"/>
        <w:ind w:firstLine="435"/>
      </w:pPr>
      <w:r>
        <w:rPr>
          <w:sz w:val="27"/>
          <w:color w:val="000000"/>
        </w:rPr>
        <w:t>（</w:t>
      </w:r>
      <w:r>
        <w:rPr>
          <w:sz w:val="27"/>
          <w:color w:val="000000"/>
        </w:rPr>
        <w:t>4）无正当理由拒绝委托和未经甲方书面同意擅自将受托项目转委托给第三方的；</w:t>
      </w:r>
    </w:p>
    <w:p>
      <w:pPr>
        <w:pStyle w:val="null3"/>
        <w:ind w:firstLine="435"/>
      </w:pPr>
      <w:r>
        <w:rPr>
          <w:sz w:val="27"/>
          <w:color w:val="000000"/>
        </w:rPr>
        <w:t>（</w:t>
      </w:r>
      <w:r>
        <w:rPr>
          <w:sz w:val="27"/>
          <w:color w:val="000000"/>
        </w:rPr>
        <w:t>5）违反回避制度的；</w:t>
      </w:r>
    </w:p>
    <w:p>
      <w:pPr>
        <w:pStyle w:val="null3"/>
        <w:ind w:firstLine="435"/>
      </w:pPr>
      <w:r>
        <w:rPr>
          <w:sz w:val="27"/>
          <w:color w:val="000000"/>
        </w:rPr>
        <w:t>（</w:t>
      </w:r>
      <w:r>
        <w:rPr>
          <w:sz w:val="27"/>
          <w:color w:val="000000"/>
        </w:rPr>
        <w:t>6）拒绝接受甲方审查和复审的；</w:t>
      </w:r>
    </w:p>
    <w:p>
      <w:pPr>
        <w:pStyle w:val="null3"/>
        <w:ind w:firstLine="435"/>
      </w:pPr>
      <w:r>
        <w:rPr>
          <w:sz w:val="27"/>
          <w:color w:val="000000"/>
        </w:rPr>
        <w:t>（</w:t>
      </w:r>
      <w:r>
        <w:rPr>
          <w:sz w:val="27"/>
          <w:color w:val="000000"/>
        </w:rPr>
        <w:t>7）不按要求保管和移交评审资料的；</w:t>
      </w:r>
    </w:p>
    <w:p>
      <w:pPr>
        <w:pStyle w:val="null3"/>
        <w:ind w:firstLine="435"/>
      </w:pPr>
      <w:r>
        <w:rPr>
          <w:sz w:val="27"/>
          <w:color w:val="000000"/>
        </w:rPr>
        <w:t>（</w:t>
      </w:r>
      <w:r>
        <w:rPr>
          <w:sz w:val="27"/>
          <w:color w:val="000000"/>
        </w:rPr>
        <w:t>8）未按招标文件要求配备造价专业人员的；</w:t>
      </w:r>
    </w:p>
    <w:p>
      <w:pPr>
        <w:pStyle w:val="null3"/>
        <w:ind w:firstLine="435"/>
      </w:pPr>
      <w:r>
        <w:rPr>
          <w:sz w:val="27"/>
          <w:color w:val="000000"/>
        </w:rPr>
        <w:t>（</w:t>
      </w:r>
      <w:r>
        <w:rPr>
          <w:sz w:val="27"/>
          <w:color w:val="000000"/>
        </w:rPr>
        <w:t>9）未按照甲方规定更换不符合评审要求的造价专业人员的；</w:t>
      </w:r>
    </w:p>
    <w:p>
      <w:pPr>
        <w:pStyle w:val="null3"/>
        <w:ind w:firstLine="526"/>
      </w:pPr>
      <w:r>
        <w:rPr>
          <w:sz w:val="27"/>
          <w:color w:val="000000"/>
        </w:rPr>
        <w:t>（</w:t>
      </w:r>
      <w:r>
        <w:rPr>
          <w:sz w:val="27"/>
          <w:color w:val="000000"/>
        </w:rPr>
        <w:t>10）在合同期间，将合同期内的评审工作资料或信息向任何第三方泄露的；</w:t>
      </w:r>
    </w:p>
    <w:p>
      <w:pPr>
        <w:pStyle w:val="null3"/>
        <w:ind w:firstLine="526"/>
      </w:pPr>
      <w:r>
        <w:rPr>
          <w:sz w:val="27"/>
          <w:color w:val="000000"/>
        </w:rPr>
        <w:t>（</w:t>
      </w:r>
      <w:r>
        <w:rPr>
          <w:sz w:val="27"/>
          <w:color w:val="000000"/>
        </w:rPr>
        <w:t>11）单项考核、季度考核、年度考核不合格的；</w:t>
      </w:r>
    </w:p>
    <w:p>
      <w:pPr>
        <w:pStyle w:val="null3"/>
        <w:ind w:firstLine="435"/>
      </w:pPr>
      <w:r>
        <w:rPr>
          <w:sz w:val="27"/>
          <w:color w:val="000000"/>
        </w:rPr>
        <w:t>（</w:t>
      </w:r>
      <w:r>
        <w:rPr>
          <w:sz w:val="27"/>
          <w:color w:val="000000"/>
        </w:rPr>
        <w:t>12）作出的评审结论与最终经（开发）区财政部门确认的评审结论存在较大差距的。</w:t>
      </w:r>
    </w:p>
    <w:p>
      <w:pPr>
        <w:pStyle w:val="null3"/>
        <w:ind w:firstLine="435"/>
      </w:pPr>
      <w:r>
        <w:rPr>
          <w:sz w:val="27"/>
          <w:color w:val="000000"/>
        </w:rPr>
        <w:t>2、乙方无正当理由延期交付初步评审意见书或评审报告，或未在10个工作日内按审查意见完成重新评审并提交报告的，每延误1个工作日，由乙方向甲方偿付该项目评审费1%的违约金。乙方无正当理由延期提交评审报告超过10个工作日，视为不提交评审报告，甲方可另行委托评审机构对该项目进行评审，乙方除应向甲方偿付该项目应付评审费10%的违约金外，还应赔偿由此原因给相关单位造成的经济损失，甲方有权终止服务协议。</w:t>
      </w:r>
    </w:p>
    <w:p>
      <w:pPr>
        <w:pStyle w:val="null3"/>
        <w:ind w:firstLine="435"/>
      </w:pPr>
      <w:r>
        <w:rPr>
          <w:sz w:val="27"/>
          <w:color w:val="000000"/>
        </w:rPr>
        <w:t>3、乙方不按规定程序，或由不具备相关资质的人员负责项目评审，或出具虚假、依据不足的评审报告，导致甲方经济损失的，应赔偿甲方全部经济损失。</w:t>
      </w:r>
    </w:p>
    <w:p>
      <w:pPr>
        <w:pStyle w:val="null3"/>
        <w:ind w:left="570"/>
      </w:pPr>
      <w:r>
        <w:rPr>
          <w:sz w:val="27"/>
          <w:b/>
          <w:color w:val="000000"/>
        </w:rPr>
        <w:t>五、不可抗力</w:t>
      </w:r>
    </w:p>
    <w:p>
      <w:pPr>
        <w:pStyle w:val="null3"/>
        <w:ind w:firstLine="435"/>
        <w:jc w:val="both"/>
      </w:pPr>
      <w:r>
        <w:rPr>
          <w:sz w:val="27"/>
          <w:color w:val="222222"/>
          <w:shd w:fill="FFFFFF" w:val="clear"/>
        </w:rPr>
        <w:t>甲乙双方的任何一方由于不可抗力的原因不能履行或不能完全履行合同时，应尽快向对方通报理由，在提供相应证明后，可允许延期履行、部分履行或不履行，并可根据情况部分或全部免除违约责任。不可抗力指战争、严重水灾、洪水、台风、地震等或其他双方认定的不可抗力事件。</w:t>
      </w:r>
    </w:p>
    <w:p>
      <w:pPr>
        <w:pStyle w:val="null3"/>
        <w:ind w:firstLine="435"/>
        <w:jc w:val="both"/>
      </w:pPr>
      <w:r>
        <w:rPr>
          <w:sz w:val="27"/>
          <w:b/>
          <w:color w:val="222222"/>
          <w:shd w:fill="FFFFFF" w:val="clear"/>
        </w:rPr>
        <w:t>六、</w:t>
      </w:r>
      <w:r>
        <w:rPr>
          <w:sz w:val="27"/>
          <w:b/>
          <w:color w:val="222222"/>
          <w:shd w:fill="FFFFFF" w:val="clear"/>
        </w:rPr>
        <w:t>验收</w:t>
      </w:r>
    </w:p>
    <w:p>
      <w:pPr>
        <w:pStyle w:val="null3"/>
        <w:ind w:firstLine="540"/>
        <w:jc w:val="both"/>
      </w:pPr>
      <w:r>
        <w:rPr>
          <w:sz w:val="27"/>
          <w:color w:val="222222"/>
          <w:shd w:fill="FFFFFF" w:val="clear"/>
        </w:rPr>
        <w:t>（一）</w:t>
      </w:r>
      <w:r>
        <w:rPr>
          <w:sz w:val="27"/>
          <w:color w:val="222222"/>
          <w:shd w:fill="FFFFFF" w:val="clear"/>
        </w:rPr>
        <w:t>本合同履约到期前，</w:t>
      </w:r>
      <w:r>
        <w:rPr>
          <w:sz w:val="27"/>
          <w:color w:val="222222"/>
          <w:shd w:fill="FFFFFF" w:val="clear"/>
        </w:rPr>
        <w:t>乙方</w:t>
      </w:r>
      <w:r>
        <w:rPr>
          <w:sz w:val="27"/>
          <w:color w:val="222222"/>
          <w:shd w:fill="FFFFFF" w:val="clear"/>
        </w:rPr>
        <w:t>出具一份评审项目工作完成情况报告</w:t>
      </w:r>
      <w:r>
        <w:rPr>
          <w:sz w:val="27"/>
          <w:color w:val="222222"/>
          <w:shd w:fill="FFFFFF" w:val="clear"/>
        </w:rPr>
        <w:t>3000-5000字。报告应包括“</w:t>
      </w:r>
      <w:r>
        <w:rPr>
          <w:sz w:val="27"/>
          <w:color w:val="222222"/>
          <w:shd w:fill="FFFFFF" w:val="clear"/>
        </w:rPr>
        <w:t>1.</w:t>
      </w:r>
      <w:r>
        <w:rPr>
          <w:sz w:val="27"/>
          <w:color w:val="222222"/>
          <w:shd w:fill="FFFFFF" w:val="clear"/>
        </w:rPr>
        <w:t>基本建设项目概</w:t>
      </w:r>
      <w:r>
        <w:rPr>
          <w:sz w:val="27"/>
          <w:color w:val="222222"/>
          <w:shd w:fill="FFFFFF" w:val="clear"/>
        </w:rPr>
        <w:t>、预、结</w:t>
      </w:r>
      <w:r>
        <w:rPr>
          <w:sz w:val="27"/>
          <w:color w:val="222222"/>
          <w:shd w:fill="FFFFFF" w:val="clear"/>
        </w:rPr>
        <w:t>算评审</w:t>
      </w:r>
      <w:r>
        <w:rPr>
          <w:sz w:val="27"/>
          <w:color w:val="222222"/>
          <w:shd w:fill="FFFFFF" w:val="clear"/>
        </w:rPr>
        <w:t>完成基本概况，包括项目数量、金额、评审用时、评审结果情况等内容；</w:t>
      </w:r>
      <w:r>
        <w:rPr>
          <w:sz w:val="27"/>
          <w:color w:val="222222"/>
          <w:shd w:fill="FFFFFF" w:val="clear"/>
        </w:rPr>
        <w:t>2.</w:t>
      </w:r>
      <w:r>
        <w:rPr>
          <w:sz w:val="27"/>
          <w:color w:val="222222"/>
          <w:shd w:fill="FFFFFF" w:val="clear"/>
        </w:rPr>
        <w:t>参与联审决策评审完成情况概况，参与项目数量、金额、评审过程；</w:t>
      </w:r>
      <w:r>
        <w:rPr>
          <w:sz w:val="27"/>
          <w:color w:val="222222"/>
          <w:shd w:fill="FFFFFF" w:val="clear"/>
        </w:rPr>
        <w:t>3.</w:t>
      </w:r>
      <w:r>
        <w:rPr>
          <w:sz w:val="27"/>
          <w:color w:val="222222"/>
          <w:shd w:fill="FFFFFF" w:val="clear"/>
        </w:rPr>
        <w:t>存在问题及工作建议</w:t>
      </w:r>
      <w:r>
        <w:rPr>
          <w:sz w:val="27"/>
          <w:color w:val="222222"/>
          <w:shd w:fill="FFFFFF" w:val="clear"/>
        </w:rPr>
        <w:t>”等内容。</w:t>
      </w:r>
    </w:p>
    <w:p>
      <w:pPr>
        <w:pStyle w:val="null3"/>
        <w:ind w:firstLine="540"/>
        <w:jc w:val="both"/>
      </w:pPr>
      <w:r>
        <w:rPr>
          <w:sz w:val="27"/>
          <w:color w:val="222222"/>
          <w:shd w:fill="FFFFFF" w:val="clear"/>
        </w:rPr>
        <w:t>（二）</w:t>
      </w:r>
      <w:r>
        <w:rPr>
          <w:sz w:val="27"/>
          <w:color w:val="222222"/>
          <w:shd w:fill="FFFFFF" w:val="clear"/>
        </w:rPr>
        <w:t>由</w:t>
      </w:r>
      <w:r>
        <w:rPr>
          <w:sz w:val="27"/>
          <w:color w:val="222222"/>
          <w:shd w:fill="FFFFFF" w:val="clear"/>
        </w:rPr>
        <w:t>甲方</w:t>
      </w:r>
      <w:r>
        <w:rPr>
          <w:sz w:val="27"/>
          <w:color w:val="222222"/>
          <w:shd w:fill="FFFFFF" w:val="clear"/>
        </w:rPr>
        <w:t>从工作质量、工作效率、工作态度、职业道德方面对合同履约进行验收。</w:t>
      </w:r>
    </w:p>
    <w:p>
      <w:pPr>
        <w:pStyle w:val="null3"/>
        <w:ind w:firstLine="540"/>
      </w:pPr>
      <w:r>
        <w:rPr>
          <w:sz w:val="27"/>
          <w:color w:val="222222"/>
        </w:rPr>
        <w:t>（三）</w:t>
      </w:r>
      <w:r>
        <w:rPr>
          <w:sz w:val="27"/>
          <w:color w:val="222222"/>
        </w:rPr>
        <w:t>验收的各项资料将进行存档备查。</w:t>
      </w:r>
    </w:p>
    <w:p>
      <w:pPr>
        <w:pStyle w:val="null3"/>
        <w:ind w:firstLine="435"/>
      </w:pPr>
      <w:r>
        <w:rPr>
          <w:sz w:val="27"/>
          <w:b/>
          <w:color w:val="000000"/>
        </w:rPr>
        <w:t>七、</w:t>
      </w:r>
      <w:r>
        <w:rPr>
          <w:sz w:val="27"/>
          <w:b/>
          <w:color w:val="000000"/>
        </w:rPr>
        <w:t>争议及解决办法</w:t>
      </w:r>
    </w:p>
    <w:p>
      <w:pPr>
        <w:pStyle w:val="null3"/>
        <w:ind w:firstLine="526"/>
      </w:pPr>
      <w:r>
        <w:rPr>
          <w:sz w:val="27"/>
          <w:color w:val="000000"/>
        </w:rPr>
        <w:t>双方在履行本合同时发生争议的，由双方协商解决，协商不成时可向南沙区人民法院提起诉讼。</w:t>
      </w:r>
    </w:p>
    <w:p>
      <w:pPr>
        <w:pStyle w:val="null3"/>
        <w:ind w:firstLine="540"/>
      </w:pPr>
      <w:r>
        <w:rPr>
          <w:sz w:val="27"/>
          <w:color w:val="000000"/>
        </w:rPr>
        <w:t>八、其他</w:t>
      </w:r>
    </w:p>
    <w:p>
      <w:pPr>
        <w:pStyle w:val="null3"/>
        <w:ind w:firstLine="435"/>
      </w:pPr>
      <w:r>
        <w:rPr>
          <w:sz w:val="27"/>
          <w:color w:val="000000"/>
        </w:rPr>
        <w:t>（一）</w:t>
      </w:r>
      <w:r>
        <w:rPr>
          <w:sz w:val="27"/>
          <w:color w:val="000000"/>
        </w:rPr>
        <w:t>本合同政府采购项目的招标文件（含附件）、投标文件均属于本合同组成部分，与本合同具有同等效力。</w:t>
      </w:r>
    </w:p>
    <w:p>
      <w:pPr>
        <w:pStyle w:val="null3"/>
        <w:ind w:firstLine="435"/>
      </w:pPr>
      <w:r>
        <w:rPr>
          <w:sz w:val="27"/>
          <w:color w:val="000000"/>
        </w:rPr>
        <w:t>（二）</w:t>
      </w:r>
      <w:r>
        <w:rPr>
          <w:sz w:val="27"/>
          <w:color w:val="000000"/>
        </w:rPr>
        <w:t>本合同一式</w:t>
      </w:r>
      <w:r>
        <w:rPr>
          <w:sz w:val="27"/>
          <w:color w:val="000000"/>
        </w:rPr>
        <w:t>8</w:t>
      </w:r>
      <w:r>
        <w:rPr>
          <w:sz w:val="27"/>
          <w:color w:val="000000"/>
        </w:rPr>
        <w:t xml:space="preserve"> </w:t>
      </w:r>
      <w:r>
        <w:rPr>
          <w:sz w:val="27"/>
          <w:color w:val="000000"/>
        </w:rPr>
        <w:t>份，具有同等效力，甲、乙双方各执</w:t>
      </w:r>
      <w:r>
        <w:rPr>
          <w:sz w:val="27"/>
          <w:color w:val="000000"/>
        </w:rPr>
        <w:t>4</w:t>
      </w:r>
      <w:r>
        <w:rPr>
          <w:sz w:val="27"/>
          <w:color w:val="000000"/>
        </w:rPr>
        <w:t xml:space="preserve"> </w:t>
      </w:r>
      <w:r>
        <w:rPr>
          <w:sz w:val="27"/>
          <w:color w:val="000000"/>
        </w:rPr>
        <w:t>份。合同自双方签字盖章之日起生效。</w:t>
      </w:r>
    </w:p>
    <w:p>
      <w:pPr>
        <w:pStyle w:val="null3"/>
        <w:ind w:firstLine="435"/>
      </w:pPr>
      <w:r>
        <w:rPr>
          <w:sz w:val="27"/>
          <w:color w:val="000000"/>
        </w:rPr>
        <w:t>（</w:t>
      </w:r>
      <w:r>
        <w:rPr>
          <w:sz w:val="27"/>
          <w:color w:val="000000"/>
        </w:rPr>
        <w:t>三</w:t>
      </w:r>
      <w:r>
        <w:rPr>
          <w:sz w:val="27"/>
          <w:color w:val="000000"/>
        </w:rPr>
        <w:t>）本合同未尽事宜，由双方协商处理。</w:t>
      </w:r>
    </w:p>
    <w:p>
      <w:pPr>
        <w:pStyle w:val="null3"/>
        <w:ind w:firstLine="435"/>
      </w:pPr>
      <w:r>
        <w:rPr>
          <w:sz w:val="24"/>
          <w:b/>
          <w:color w:val="000000"/>
        </w:rPr>
        <w:t>甲</w:t>
      </w:r>
      <w:r>
        <w:rPr>
          <w:b/>
        </w:rPr>
        <w:t xml:space="preserve">    </w:t>
      </w:r>
      <w:r>
        <w:rPr>
          <w:sz w:val="24"/>
          <w:b/>
          <w:color w:val="000000"/>
        </w:rPr>
        <w:t>方：</w:t>
      </w:r>
      <w:r>
        <w:rPr>
          <w:sz w:val="24"/>
          <w:b/>
          <w:color w:val="000000"/>
        </w:rPr>
        <w:t>广州市南沙区财政局</w:t>
      </w:r>
      <w:r>
        <w:rPr>
          <w:b/>
        </w:rPr>
        <w:t xml:space="preserve"> </w:t>
      </w:r>
      <w:r>
        <w:rPr>
          <w:sz w:val="24"/>
          <w:color w:val="000000"/>
        </w:rPr>
        <w:t>（盖章）</w:t>
      </w:r>
      <w:r>
        <w:rPr>
          <w:sz w:val="24"/>
          <w:b/>
          <w:color w:val="000000"/>
        </w:rPr>
        <w:t>乙</w:t>
      </w:r>
      <w:r>
        <w:rPr>
          <w:sz w:val="24"/>
          <w:b/>
          <w:color w:val="000000"/>
        </w:rPr>
        <w:t xml:space="preserve">    </w:t>
      </w:r>
      <w:r>
        <w:rPr>
          <w:sz w:val="24"/>
          <w:b/>
          <w:color w:val="000000"/>
        </w:rPr>
        <w:t>方：</w:t>
      </w:r>
      <w:r>
        <w:rPr>
          <w:sz w:val="24"/>
          <w:color w:val="000000"/>
        </w:rPr>
        <w:t xml:space="preserve">            </w:t>
      </w:r>
      <w:r>
        <w:rPr>
          <w:sz w:val="24"/>
          <w:color w:val="000000"/>
        </w:rPr>
        <w:t>（盖章）</w:t>
      </w:r>
    </w:p>
    <w:p>
      <w:pPr>
        <w:pStyle w:val="null3"/>
      </w:pPr>
      <w:r>
        <w:rPr>
          <w:sz w:val="24"/>
          <w:b/>
          <w:color w:val="000000"/>
        </w:rPr>
        <w:t>签约代表：</w:t>
      </w:r>
      <w:r>
        <w:rPr>
          <w:sz w:val="24"/>
          <w:b/>
          <w:color w:val="000000"/>
        </w:rPr>
        <w:t xml:space="preserve">                           </w:t>
      </w:r>
      <w:r>
        <w:rPr>
          <w:sz w:val="24"/>
          <w:b/>
          <w:color w:val="000000"/>
        </w:rPr>
        <w:t>签约代表：</w:t>
      </w:r>
      <w:r>
        <w:rPr>
          <w:sz w:val="24"/>
          <w:b/>
          <w:color w:val="000000"/>
        </w:rPr>
        <w:t xml:space="preserve">                    </w:t>
      </w:r>
    </w:p>
    <w:p>
      <w:pPr>
        <w:pStyle w:val="null3"/>
      </w:pPr>
      <w:r>
        <w:rPr>
          <w:sz w:val="24"/>
          <w:b/>
          <w:color w:val="000000"/>
        </w:rPr>
        <w:t>地</w:t>
      </w:r>
      <w:r>
        <w:rPr>
          <w:sz w:val="24"/>
          <w:b/>
          <w:color w:val="000000"/>
        </w:rPr>
        <w:t xml:space="preserve">    </w:t>
      </w:r>
      <w:r>
        <w:rPr>
          <w:sz w:val="24"/>
          <w:b/>
          <w:color w:val="000000"/>
        </w:rPr>
        <w:t>址：</w:t>
      </w:r>
      <w:r>
        <w:rPr>
          <w:sz w:val="24"/>
          <w:b/>
          <w:color w:val="000000"/>
        </w:rPr>
        <w:t xml:space="preserve">                           </w:t>
      </w:r>
      <w:r>
        <w:rPr>
          <w:sz w:val="24"/>
          <w:b/>
          <w:color w:val="000000"/>
        </w:rPr>
        <w:t>地</w:t>
      </w:r>
      <w:r>
        <w:rPr>
          <w:sz w:val="24"/>
          <w:b/>
          <w:color w:val="000000"/>
        </w:rPr>
        <w:t xml:space="preserve">    </w:t>
      </w:r>
      <w:r>
        <w:rPr>
          <w:sz w:val="24"/>
          <w:b/>
          <w:color w:val="000000"/>
        </w:rPr>
        <w:t>址：</w:t>
      </w:r>
      <w:r>
        <w:rPr>
          <w:sz w:val="24"/>
          <w:b/>
          <w:color w:val="000000"/>
        </w:rPr>
        <w:t xml:space="preserve">                    </w:t>
      </w:r>
    </w:p>
    <w:p>
      <w:pPr>
        <w:pStyle w:val="null3"/>
      </w:pPr>
      <w:r>
        <w:rPr>
          <w:sz w:val="24"/>
          <w:b/>
          <w:color w:val="000000"/>
        </w:rPr>
        <w:t>电</w:t>
      </w:r>
      <w:r>
        <w:rPr>
          <w:sz w:val="24"/>
          <w:b/>
          <w:color w:val="000000"/>
        </w:rPr>
        <w:t xml:space="preserve">    </w:t>
      </w:r>
      <w:r>
        <w:rPr>
          <w:sz w:val="24"/>
          <w:b/>
          <w:color w:val="000000"/>
        </w:rPr>
        <w:t>话：</w:t>
      </w:r>
      <w:r>
        <w:rPr>
          <w:sz w:val="24"/>
          <w:b/>
          <w:color w:val="000000"/>
        </w:rPr>
        <w:t xml:space="preserve">                           </w:t>
      </w:r>
      <w:r>
        <w:rPr>
          <w:sz w:val="24"/>
          <w:b/>
          <w:color w:val="000000"/>
        </w:rPr>
        <w:t>电</w:t>
      </w:r>
      <w:r>
        <w:rPr>
          <w:sz w:val="24"/>
          <w:b/>
          <w:color w:val="000000"/>
        </w:rPr>
        <w:t xml:space="preserve">    </w:t>
      </w:r>
      <w:r>
        <w:rPr>
          <w:sz w:val="24"/>
          <w:b/>
          <w:color w:val="000000"/>
        </w:rPr>
        <w:t>话：</w:t>
      </w:r>
      <w:r>
        <w:rPr>
          <w:sz w:val="24"/>
          <w:b/>
          <w:color w:val="000000"/>
        </w:rPr>
        <w:t xml:space="preserve">                       </w:t>
      </w:r>
    </w:p>
    <w:p>
      <w:pPr>
        <w:pStyle w:val="null3"/>
      </w:pPr>
      <w:r>
        <w:rPr>
          <w:sz w:val="24"/>
          <w:b/>
          <w:color w:val="000000"/>
        </w:rPr>
        <w:t>传</w:t>
      </w:r>
      <w:r>
        <w:rPr>
          <w:sz w:val="24"/>
          <w:b/>
          <w:color w:val="000000"/>
        </w:rPr>
        <w:t xml:space="preserve">    </w:t>
      </w:r>
      <w:r>
        <w:rPr>
          <w:sz w:val="24"/>
          <w:b/>
          <w:color w:val="000000"/>
        </w:rPr>
        <w:t>真：</w:t>
      </w:r>
      <w:r>
        <w:rPr>
          <w:sz w:val="24"/>
          <w:b/>
          <w:color w:val="000000"/>
        </w:rPr>
        <w:t xml:space="preserve">                           </w:t>
      </w:r>
      <w:r>
        <w:rPr>
          <w:sz w:val="24"/>
          <w:b/>
          <w:color w:val="000000"/>
        </w:rPr>
        <w:t>传</w:t>
      </w:r>
      <w:r>
        <w:rPr>
          <w:sz w:val="24"/>
          <w:b/>
          <w:color w:val="000000"/>
        </w:rPr>
        <w:t xml:space="preserve">    </w:t>
      </w:r>
      <w:r>
        <w:rPr>
          <w:sz w:val="24"/>
          <w:b/>
          <w:color w:val="000000"/>
        </w:rPr>
        <w:t>真：</w:t>
      </w:r>
      <w:r>
        <w:rPr>
          <w:sz w:val="24"/>
          <w:b/>
          <w:color w:val="000000"/>
        </w:rPr>
        <w:t xml:space="preserve">         </w:t>
      </w:r>
    </w:p>
    <w:p>
      <w:pPr>
        <w:pStyle w:val="null3"/>
      </w:pPr>
      <w:r>
        <w:rPr>
          <w:sz w:val="24"/>
          <w:b/>
          <w:color w:val="000000"/>
        </w:rPr>
        <w:t>签约日期：</w:t>
      </w:r>
      <w:r>
        <w:rPr>
          <w:b/>
        </w:rPr>
        <w:t xml:space="preserve">                           </w:t>
      </w:r>
      <w:r>
        <w:rPr>
          <w:sz w:val="24"/>
          <w:b/>
          <w:color w:val="000000"/>
        </w:rPr>
        <w:t>签约日期：</w:t>
      </w:r>
    </w:p>
    <w:p>
      <w:pPr>
        <w:pStyle w:val="null3"/>
        <w:jc w:val="both"/>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440115-2024-02017</w:t>
      </w:r>
    </w:p>
    <w:p>
      <w:pPr>
        <w:pStyle w:val="null3"/>
        <w:jc w:val="center"/>
        <w:outlineLvl w:val="3"/>
      </w:pPr>
      <w:r>
        <w:rPr>
          <w:sz w:val="24"/>
          <w:b/>
        </w:rPr>
        <w:t>采购项目编号：</w:t>
      </w:r>
      <w:r>
        <w:rPr>
          <w:sz w:val="24"/>
          <w:b/>
        </w:rPr>
        <w:t>CZ2024-0771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广州市政府采购中心</w:t>
      </w:r>
    </w:p>
    <w:p>
      <w:pPr>
        <w:pStyle w:val="null3"/>
        <w:ind w:firstLine="480"/>
      </w:pPr>
      <w:r>
        <w:rPr/>
        <w:t xml:space="preserve"> 你方组织的</w:t>
      </w:r>
      <w:r>
        <w:rPr>
          <w:u w:val="single"/>
        </w:rPr>
        <w:t>“</w:t>
      </w:r>
      <w:r>
        <w:rPr>
          <w:u w:val="single"/>
        </w:rPr>
        <w:t>广州市南沙区财政局2024-2027年财政投资评审服务项目</w:t>
      </w:r>
      <w:r>
        <w:rPr>
          <w:u w:val="single"/>
        </w:rPr>
        <w:t>”</w:t>
      </w:r>
      <w:r>
        <w:rPr/>
        <w:t>项目的招标[采购项目编号为：</w:t>
      </w:r>
      <w:r>
        <w:rPr>
          <w:u w:val="single"/>
        </w:rPr>
        <w:t>CZ2024-0771</w:t>
      </w:r>
      <w:r>
        <w:rPr/>
        <w:t>]，我方愿参与投标。</w:t>
      </w:r>
    </w:p>
    <w:p>
      <w:pPr>
        <w:pStyle w:val="null3"/>
        <w:ind w:firstLine="480"/>
      </w:pPr>
      <w:r>
        <w:rPr/>
        <w:t>我方确认收到贵方提供的</w:t>
      </w:r>
      <w:r>
        <w:rPr>
          <w:u w:val="single"/>
        </w:rPr>
        <w:t>“</w:t>
      </w:r>
      <w:r>
        <w:rPr>
          <w:u w:val="single"/>
        </w:rPr>
        <w:t>广州市南沙区财政局2024-2027年财政投资评审服务项目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（十二）我方承诺遵守《中华人民共和国劳动合同法》有关规定和《中华人民共和国妇女权益保障法》中关于“劳动和社会保障权益”的有关要求。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广州市南沙区财政局2024-2027年财政投资评审服务项目</w:t>
      </w:r>
      <w:r>
        <w:rPr/>
        <w:t>”项目采购[采购项目编号为</w:t>
      </w:r>
      <w:r>
        <w:rPr/>
        <w:t>CZ2024-0771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广州市南沙区财政局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pPr>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广州市政府采购中心</w:t>
      </w:r>
    </w:p>
    <w:p>
      <w:pPr>
        <w:pStyle w:val="null3"/>
        <w:ind w:firstLine="480"/>
      </w:pPr>
      <w:r>
        <w:rPr/>
        <w:t xml:space="preserve"> 如果我方在贵采购代理机构组织的</w:t>
      </w:r>
      <w:r>
        <w:rPr/>
        <w:t>广州市南沙区财政局2024-2027年财政投资评审服务项目</w:t>
      </w:r>
      <w:r>
        <w:rPr/>
        <w:t>招标中获中标（采购项目编号：</w:t>
      </w:r>
      <w:r>
        <w:rPr/>
        <w:t>CZ2024-0771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 Id="rId8" Target="media/image3.png" Type="http://schemas.openxmlformats.org/officeDocument/2006/relationships/image"/><Relationship Id="rId9" Target="media/image4.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