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jc w:val="center"/>
        <w:rPr>
          <w:rFonts w:ascii="宋体" w:hAnsi="宋体"/>
          <w:b/>
          <w:sz w:val="48"/>
          <w:szCs w:val="44"/>
        </w:rPr>
      </w:pPr>
    </w:p>
    <w:p>
      <w:pPr>
        <w:autoSpaceDE w:val="0"/>
        <w:autoSpaceDN w:val="0"/>
        <w:adjustRightInd w:val="0"/>
        <w:spacing w:line="360" w:lineRule="auto"/>
        <w:jc w:val="center"/>
        <w:rPr>
          <w:rFonts w:ascii="宋体" w:hAnsi="宋体" w:cs="宋体"/>
          <w:b/>
          <w:bCs/>
          <w:kern w:val="0"/>
          <w:sz w:val="52"/>
          <w:szCs w:val="52"/>
        </w:rPr>
      </w:pPr>
      <w:r>
        <w:rPr>
          <w:rFonts w:hint="eastAsia" w:ascii="宋体" w:hAnsi="宋体" w:cs="宋体"/>
          <w:b/>
          <w:bCs/>
          <w:kern w:val="0"/>
          <w:sz w:val="52"/>
          <w:szCs w:val="52"/>
        </w:rPr>
        <w:t>暨南大学番禺校区实验动物大楼二次装修项目水处理及自动饮水系统采购及相关服务</w:t>
      </w:r>
    </w:p>
    <w:p>
      <w:pPr>
        <w:spacing w:line="360" w:lineRule="auto"/>
        <w:jc w:val="left"/>
        <w:rPr>
          <w:rFonts w:ascii="宋体" w:hAnsi="宋体"/>
        </w:rPr>
      </w:pPr>
    </w:p>
    <w:p>
      <w:pPr>
        <w:spacing w:line="360" w:lineRule="auto"/>
        <w:jc w:val="center"/>
        <w:rPr>
          <w:rFonts w:ascii="宋体" w:hAnsi="宋体"/>
          <w:b/>
          <w:sz w:val="52"/>
          <w:szCs w:val="52"/>
        </w:rPr>
      </w:pPr>
    </w:p>
    <w:p>
      <w:pPr>
        <w:autoSpaceDE w:val="0"/>
        <w:autoSpaceDN w:val="0"/>
        <w:adjustRightInd w:val="0"/>
        <w:spacing w:line="360" w:lineRule="auto"/>
        <w:jc w:val="center"/>
        <w:rPr>
          <w:rFonts w:ascii="宋体" w:hAnsi="宋体" w:cs="宋体"/>
          <w:b/>
          <w:bCs/>
          <w:spacing w:val="26"/>
          <w:kern w:val="0"/>
          <w:sz w:val="110"/>
          <w:szCs w:val="110"/>
        </w:rPr>
      </w:pPr>
      <w:r>
        <w:rPr>
          <w:rFonts w:hint="eastAsia" w:ascii="宋体" w:hAnsi="宋体" w:cs="宋体"/>
          <w:b/>
          <w:bCs/>
          <w:spacing w:val="26"/>
          <w:kern w:val="0"/>
          <w:sz w:val="110"/>
          <w:szCs w:val="110"/>
        </w:rPr>
        <w:t>招标文件</w:t>
      </w: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pStyle w:val="19"/>
        <w:ind w:left="420" w:firstLine="420"/>
        <w:rPr>
          <w:rFonts w:ascii="宋体" w:hAnsi="宋体"/>
        </w:rPr>
      </w:pPr>
    </w:p>
    <w:p>
      <w:pPr>
        <w:pStyle w:val="19"/>
        <w:ind w:left="420" w:firstLine="420"/>
        <w:rPr>
          <w:rFonts w:ascii="宋体" w:hAnsi="宋体"/>
        </w:rPr>
      </w:pPr>
    </w:p>
    <w:p>
      <w:pPr>
        <w:pStyle w:val="19"/>
        <w:ind w:left="420" w:firstLine="420"/>
        <w:rPr>
          <w:rFonts w:ascii="宋体" w:hAnsi="宋体"/>
        </w:rPr>
      </w:pPr>
    </w:p>
    <w:p>
      <w:pPr>
        <w:spacing w:line="360" w:lineRule="auto"/>
        <w:jc w:val="left"/>
        <w:rPr>
          <w:rFonts w:ascii="宋体" w:hAnsi="宋体"/>
        </w:rPr>
      </w:pPr>
    </w:p>
    <w:p>
      <w:pPr>
        <w:spacing w:line="360" w:lineRule="auto"/>
        <w:ind w:left="420" w:leftChars="200" w:firstLine="751" w:firstLineChars="100"/>
        <w:jc w:val="left"/>
        <w:rPr>
          <w:rFonts w:ascii="宋体" w:hAnsi="宋体" w:cs="宋体"/>
          <w:b/>
          <w:bCs/>
          <w:spacing w:val="-2"/>
          <w:sz w:val="30"/>
          <w:szCs w:val="30"/>
        </w:rPr>
      </w:pPr>
      <w:r>
        <w:rPr>
          <w:rFonts w:hint="eastAsia" w:ascii="宋体" w:hAnsi="宋体" w:cs="宋体"/>
          <w:b/>
          <w:bCs/>
          <w:spacing w:val="225"/>
          <w:kern w:val="0"/>
          <w:sz w:val="30"/>
          <w:szCs w:val="30"/>
          <w:fitText w:val="1800" w:id="1449549156"/>
        </w:rPr>
        <w:t>招标</w:t>
      </w:r>
      <w:r>
        <w:rPr>
          <w:rFonts w:hint="eastAsia" w:ascii="宋体" w:hAnsi="宋体" w:cs="宋体"/>
          <w:b/>
          <w:bCs/>
          <w:spacing w:val="0"/>
          <w:kern w:val="0"/>
          <w:sz w:val="30"/>
          <w:szCs w:val="30"/>
          <w:fitText w:val="1800" w:id="1449549156"/>
        </w:rPr>
        <w:t>人</w:t>
      </w:r>
      <w:r>
        <w:rPr>
          <w:rFonts w:hint="eastAsia" w:ascii="宋体" w:hAnsi="宋体" w:cs="宋体"/>
          <w:b/>
          <w:bCs/>
          <w:spacing w:val="-2"/>
          <w:sz w:val="30"/>
          <w:szCs w:val="30"/>
        </w:rPr>
        <w:t>：暨南大学</w:t>
      </w:r>
    </w:p>
    <w:p>
      <w:pPr>
        <w:spacing w:line="360" w:lineRule="auto"/>
        <w:ind w:left="420" w:leftChars="200" w:firstLine="2972" w:firstLineChars="1000"/>
        <w:jc w:val="left"/>
        <w:rPr>
          <w:rFonts w:ascii="宋体" w:hAnsi="宋体" w:cs="宋体"/>
          <w:b/>
          <w:bCs/>
          <w:spacing w:val="-2"/>
          <w:sz w:val="30"/>
          <w:szCs w:val="30"/>
        </w:rPr>
      </w:pPr>
      <w:r>
        <w:rPr>
          <w:rFonts w:hint="eastAsia" w:ascii="宋体" w:hAnsi="宋体" w:cs="宋体"/>
          <w:b/>
          <w:bCs/>
          <w:spacing w:val="-2"/>
          <w:sz w:val="30"/>
          <w:szCs w:val="30"/>
        </w:rPr>
        <w:t>中国电子系统工程第二建设有限公司</w:t>
      </w:r>
    </w:p>
    <w:p>
      <w:pPr>
        <w:spacing w:line="360" w:lineRule="auto"/>
        <w:ind w:left="420" w:leftChars="200" w:firstLine="722" w:firstLineChars="243"/>
        <w:jc w:val="left"/>
        <w:rPr>
          <w:rFonts w:ascii="宋体" w:hAnsi="宋体" w:cs="宋体"/>
          <w:b/>
          <w:bCs/>
          <w:spacing w:val="-2"/>
          <w:sz w:val="30"/>
          <w:szCs w:val="30"/>
        </w:rPr>
      </w:pPr>
      <w:r>
        <w:rPr>
          <w:rFonts w:hint="eastAsia" w:ascii="宋体" w:hAnsi="宋体" w:cs="宋体"/>
          <w:b/>
          <w:bCs/>
          <w:spacing w:val="-2"/>
          <w:sz w:val="30"/>
          <w:szCs w:val="30"/>
        </w:rPr>
        <w:t>招标代理单位：广东省机电设备招标有限公司</w:t>
      </w:r>
    </w:p>
    <w:p>
      <w:pPr>
        <w:spacing w:line="360" w:lineRule="auto"/>
        <w:ind w:firstLine="3269" w:firstLineChars="1100"/>
        <w:rPr>
          <w:rFonts w:ascii="宋体" w:hAnsi="宋体"/>
          <w:b/>
          <w:sz w:val="32"/>
          <w:szCs w:val="32"/>
        </w:rPr>
      </w:pPr>
      <w:r>
        <w:rPr>
          <w:rFonts w:hint="eastAsia" w:ascii="宋体" w:hAnsi="宋体" w:cs="宋体"/>
          <w:b/>
          <w:bCs/>
          <w:spacing w:val="-2"/>
          <w:sz w:val="30"/>
          <w:szCs w:val="30"/>
        </w:rPr>
        <w:t xml:space="preserve">日期： </w:t>
      </w:r>
      <w:r>
        <w:rPr>
          <w:rFonts w:ascii="宋体" w:hAnsi="宋体" w:cs="宋体"/>
          <w:b/>
          <w:bCs/>
          <w:spacing w:val="-2"/>
          <w:sz w:val="30"/>
          <w:szCs w:val="30"/>
        </w:rPr>
        <w:t>202</w:t>
      </w:r>
      <w:r>
        <w:rPr>
          <w:rFonts w:hint="eastAsia" w:ascii="宋体" w:hAnsi="宋体" w:cs="宋体"/>
          <w:b/>
          <w:bCs/>
          <w:spacing w:val="-2"/>
          <w:sz w:val="30"/>
          <w:szCs w:val="30"/>
        </w:rPr>
        <w:t xml:space="preserve">4 </w:t>
      </w:r>
      <w:r>
        <w:rPr>
          <w:rFonts w:ascii="宋体" w:hAnsi="宋体" w:cs="宋体"/>
          <w:b/>
          <w:bCs/>
          <w:spacing w:val="-2"/>
          <w:sz w:val="30"/>
          <w:szCs w:val="30"/>
        </w:rPr>
        <w:t>年</w:t>
      </w:r>
      <w:r>
        <w:rPr>
          <w:rFonts w:hint="eastAsia" w:ascii="宋体" w:hAnsi="宋体" w:cs="宋体"/>
          <w:b/>
          <w:bCs/>
          <w:spacing w:val="-2"/>
          <w:sz w:val="30"/>
          <w:szCs w:val="30"/>
        </w:rPr>
        <w:t xml:space="preserve"> </w:t>
      </w:r>
      <w:r>
        <w:rPr>
          <w:rFonts w:hint="eastAsia" w:ascii="宋体" w:hAnsi="宋体" w:cs="宋体"/>
          <w:b/>
          <w:bCs/>
          <w:spacing w:val="-2"/>
          <w:sz w:val="30"/>
          <w:szCs w:val="30"/>
          <w:lang w:val="en-US" w:eastAsia="zh-CN"/>
        </w:rPr>
        <w:t>6</w:t>
      </w:r>
      <w:r>
        <w:rPr>
          <w:rFonts w:hint="eastAsia" w:ascii="宋体" w:hAnsi="宋体" w:cs="宋体"/>
          <w:b/>
          <w:bCs/>
          <w:spacing w:val="-2"/>
          <w:sz w:val="30"/>
          <w:szCs w:val="30"/>
        </w:rPr>
        <w:t xml:space="preserve"> 月</w:t>
      </w:r>
    </w:p>
    <w:p>
      <w:pPr>
        <w:pStyle w:val="19"/>
        <w:ind w:left="420" w:firstLine="643"/>
        <w:rPr>
          <w:rFonts w:ascii="宋体" w:hAnsi="宋体"/>
          <w:b/>
          <w:sz w:val="32"/>
          <w:szCs w:val="32"/>
        </w:rPr>
      </w:pPr>
    </w:p>
    <w:p>
      <w:pPr>
        <w:pStyle w:val="19"/>
        <w:ind w:left="420" w:firstLine="643"/>
        <w:rPr>
          <w:rFonts w:ascii="宋体" w:hAnsi="宋体"/>
          <w:b/>
          <w:sz w:val="32"/>
          <w:szCs w:val="32"/>
        </w:rPr>
        <w:sectPr>
          <w:footerReference r:id="rId3" w:type="default"/>
          <w:pgSz w:w="11906" w:h="16838"/>
          <w:pgMar w:top="1247" w:right="1274" w:bottom="1134" w:left="1418" w:header="851" w:footer="379" w:gutter="0"/>
          <w:cols w:space="720" w:num="1"/>
          <w:docGrid w:linePitch="312" w:charSpace="0"/>
        </w:sectPr>
      </w:pPr>
    </w:p>
    <w:p>
      <w:pPr>
        <w:spacing w:line="360" w:lineRule="auto"/>
        <w:jc w:val="center"/>
        <w:rPr>
          <w:rFonts w:ascii="宋体" w:hAnsi="宋体"/>
          <w:b/>
          <w:sz w:val="44"/>
        </w:rPr>
      </w:pPr>
      <w:r>
        <w:rPr>
          <w:rFonts w:hint="eastAsia" w:ascii="宋体" w:hAnsi="宋体"/>
          <w:b/>
          <w:sz w:val="44"/>
        </w:rPr>
        <w:t>重要提示</w:t>
      </w:r>
    </w:p>
    <w:p>
      <w:pPr>
        <w:spacing w:line="360" w:lineRule="auto"/>
        <w:ind w:firstLine="537" w:firstLineChars="224"/>
        <w:jc w:val="center"/>
        <w:rPr>
          <w:rFonts w:ascii="宋体"/>
          <w:bCs/>
          <w:sz w:val="24"/>
        </w:rPr>
      </w:pPr>
    </w:p>
    <w:p>
      <w:pPr>
        <w:spacing w:line="360" w:lineRule="auto"/>
        <w:ind w:firstLine="480" w:firstLineChars="200"/>
        <w:rPr>
          <w:b/>
          <w:sz w:val="24"/>
          <w:szCs w:val="24"/>
        </w:rPr>
      </w:pPr>
      <w:r>
        <w:rPr>
          <w:rFonts w:hint="eastAsia"/>
          <w:sz w:val="24"/>
          <w:szCs w:val="24"/>
        </w:rPr>
        <w:t>本项目实施电子招投标，投标人应先认真阅读《房屋建筑和市政基础设施工程全流程电子化项目专章》。</w:t>
      </w:r>
    </w:p>
    <w:p>
      <w:pPr>
        <w:spacing w:line="360" w:lineRule="auto"/>
        <w:jc w:val="center"/>
        <w:rPr>
          <w:rFonts w:ascii="宋体" w:hAnsi="宋体"/>
        </w:rPr>
      </w:pPr>
      <w:r>
        <w:rPr>
          <w:rFonts w:ascii="宋体" w:hAnsi="宋体"/>
          <w:b/>
          <w:sz w:val="32"/>
          <w:szCs w:val="32"/>
        </w:rPr>
        <w:br w:type="page"/>
      </w:r>
    </w:p>
    <w:p>
      <w:pPr>
        <w:keepNext/>
        <w:keepLines/>
        <w:widowControl/>
        <w:spacing w:line="360" w:lineRule="auto"/>
        <w:jc w:val="center"/>
        <w:rPr>
          <w:rFonts w:ascii="Cambria" w:hAnsi="Cambria"/>
          <w:b/>
          <w:bCs/>
          <w:kern w:val="0"/>
          <w:sz w:val="40"/>
          <w:szCs w:val="40"/>
        </w:rPr>
      </w:pPr>
      <w:r>
        <w:rPr>
          <w:rFonts w:ascii="Cambria" w:hAnsi="Cambria"/>
          <w:b/>
          <w:bCs/>
          <w:kern w:val="0"/>
          <w:sz w:val="40"/>
          <w:szCs w:val="40"/>
          <w:lang w:val="zh-CN"/>
        </w:rPr>
        <w:t>目录</w:t>
      </w:r>
    </w:p>
    <w:p>
      <w:pPr>
        <w:jc w:val="center"/>
      </w:pPr>
    </w:p>
    <w:p>
      <w:pPr>
        <w:pStyle w:val="14"/>
        <w:tabs>
          <w:tab w:val="right" w:leader="dot" w:pos="9026"/>
        </w:tabs>
        <w:spacing w:line="480" w:lineRule="auto"/>
        <w:rPr>
          <w:sz w:val="24"/>
          <w:szCs w:val="24"/>
        </w:rPr>
      </w:pPr>
      <w:r>
        <w:rPr>
          <w:rFonts w:ascii="宋体" w:hAnsi="宋体"/>
          <w:sz w:val="24"/>
          <w:szCs w:val="24"/>
        </w:rPr>
        <w:fldChar w:fldCharType="begin"/>
      </w:r>
      <w:r>
        <w:rPr>
          <w:rFonts w:ascii="宋体" w:hAnsi="宋体"/>
          <w:sz w:val="24"/>
          <w:szCs w:val="24"/>
        </w:rPr>
        <w:instrText xml:space="preserve">TOC \o "1-1" \h \u </w:instrText>
      </w:r>
      <w:r>
        <w:rPr>
          <w:rFonts w:ascii="宋体" w:hAnsi="宋体"/>
          <w:sz w:val="24"/>
          <w:szCs w:val="24"/>
        </w:rPr>
        <w:fldChar w:fldCharType="separate"/>
      </w:r>
      <w:r>
        <w:fldChar w:fldCharType="begin"/>
      </w:r>
      <w:r>
        <w:instrText xml:space="preserve"> HYPERLINK \l "_Toc21987" </w:instrText>
      </w:r>
      <w:r>
        <w:fldChar w:fldCharType="separate"/>
      </w:r>
      <w:r>
        <w:rPr>
          <w:rFonts w:hint="eastAsia" w:ascii="宋体" w:hAnsi="宋体"/>
          <w:kern w:val="44"/>
          <w:sz w:val="24"/>
          <w:szCs w:val="24"/>
        </w:rPr>
        <w:t>第一卷</w:t>
      </w:r>
      <w:r>
        <w:rPr>
          <w:sz w:val="24"/>
          <w:szCs w:val="24"/>
        </w:rPr>
        <w:tab/>
      </w:r>
      <w:r>
        <w:rPr>
          <w:sz w:val="24"/>
          <w:szCs w:val="24"/>
        </w:rPr>
        <w:fldChar w:fldCharType="begin"/>
      </w:r>
      <w:r>
        <w:rPr>
          <w:sz w:val="24"/>
          <w:szCs w:val="24"/>
        </w:rPr>
        <w:instrText xml:space="preserve"> PAGEREF _Toc21987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"_Toc13717" </w:instrText>
      </w:r>
      <w:r>
        <w:fldChar w:fldCharType="separate"/>
      </w:r>
      <w:r>
        <w:rPr>
          <w:rFonts w:ascii="宋体" w:hAnsi="宋体"/>
          <w:sz w:val="24"/>
          <w:szCs w:val="24"/>
        </w:rPr>
        <w:t>第</w:t>
      </w:r>
      <w:r>
        <w:rPr>
          <w:rFonts w:hint="eastAsia" w:ascii="宋体" w:hAnsi="宋体"/>
          <w:sz w:val="24"/>
          <w:szCs w:val="24"/>
        </w:rPr>
        <w:t>二</w:t>
      </w:r>
      <w:r>
        <w:rPr>
          <w:rFonts w:ascii="宋体" w:hAnsi="宋体"/>
          <w:sz w:val="24"/>
          <w:szCs w:val="24"/>
        </w:rPr>
        <w:t>章投标人须知</w:t>
      </w:r>
      <w:r>
        <w:rPr>
          <w:sz w:val="24"/>
          <w:szCs w:val="24"/>
        </w:rPr>
        <w:tab/>
      </w:r>
      <w:r>
        <w:rPr>
          <w:sz w:val="24"/>
          <w:szCs w:val="24"/>
        </w:rPr>
        <w:fldChar w:fldCharType="begin"/>
      </w:r>
      <w:r>
        <w:rPr>
          <w:sz w:val="24"/>
          <w:szCs w:val="24"/>
        </w:rPr>
        <w:instrText xml:space="preserve"> PAGEREF _Toc13717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"_Toc11153" </w:instrText>
      </w:r>
      <w:r>
        <w:fldChar w:fldCharType="separate"/>
      </w:r>
      <w:r>
        <w:rPr>
          <w:rFonts w:ascii="宋体" w:hAnsi="宋体"/>
          <w:sz w:val="24"/>
          <w:szCs w:val="24"/>
        </w:rPr>
        <w:t>第</w:t>
      </w:r>
      <w:r>
        <w:rPr>
          <w:rFonts w:hint="eastAsia" w:ascii="宋体" w:hAnsi="宋体"/>
          <w:sz w:val="24"/>
          <w:szCs w:val="24"/>
        </w:rPr>
        <w:t>三</w:t>
      </w:r>
      <w:r>
        <w:rPr>
          <w:rFonts w:ascii="宋体" w:hAnsi="宋体"/>
          <w:sz w:val="24"/>
          <w:szCs w:val="24"/>
        </w:rPr>
        <w:t>章评标办法（综合评估法）</w:t>
      </w:r>
      <w:r>
        <w:rPr>
          <w:sz w:val="24"/>
          <w:szCs w:val="24"/>
        </w:rPr>
        <w:tab/>
      </w:r>
      <w:r>
        <w:rPr>
          <w:sz w:val="24"/>
          <w:szCs w:val="24"/>
        </w:rPr>
        <w:fldChar w:fldCharType="begin"/>
      </w:r>
      <w:r>
        <w:rPr>
          <w:sz w:val="24"/>
          <w:szCs w:val="24"/>
        </w:rPr>
        <w:instrText xml:space="preserve"> PAGEREF _Toc11153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"_Toc10389" </w:instrText>
      </w:r>
      <w:r>
        <w:fldChar w:fldCharType="separate"/>
      </w:r>
      <w:r>
        <w:rPr>
          <w:rFonts w:hint="eastAsia" w:ascii="宋体" w:hAnsi="宋体"/>
          <w:sz w:val="24"/>
          <w:szCs w:val="24"/>
        </w:rPr>
        <w:t>第四章  合同条款及格式</w:t>
      </w:r>
      <w:r>
        <w:rPr>
          <w:sz w:val="24"/>
          <w:szCs w:val="24"/>
        </w:rPr>
        <w:tab/>
      </w:r>
      <w:r>
        <w:rPr>
          <w:sz w:val="24"/>
          <w:szCs w:val="24"/>
        </w:rPr>
        <w:fldChar w:fldCharType="begin"/>
      </w:r>
      <w:r>
        <w:rPr>
          <w:sz w:val="24"/>
          <w:szCs w:val="24"/>
        </w:rPr>
        <w:instrText xml:space="preserve"> PAGEREF _Toc10389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"_Toc31242" </w:instrText>
      </w:r>
      <w:r>
        <w:fldChar w:fldCharType="separate"/>
      </w:r>
      <w:r>
        <w:rPr>
          <w:rFonts w:hint="eastAsia" w:ascii="宋体" w:hAnsi="宋体"/>
          <w:kern w:val="44"/>
          <w:sz w:val="24"/>
          <w:szCs w:val="24"/>
        </w:rPr>
        <w:t>第二卷</w:t>
      </w:r>
      <w:r>
        <w:rPr>
          <w:sz w:val="24"/>
          <w:szCs w:val="24"/>
        </w:rPr>
        <w:tab/>
      </w:r>
      <w:r>
        <w:rPr>
          <w:sz w:val="24"/>
          <w:szCs w:val="24"/>
        </w:rPr>
        <w:fldChar w:fldCharType="begin"/>
      </w:r>
      <w:r>
        <w:rPr>
          <w:sz w:val="24"/>
          <w:szCs w:val="24"/>
        </w:rPr>
        <w:instrText xml:space="preserve"> PAGEREF _Toc31242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"_Toc15324" </w:instrText>
      </w:r>
      <w:r>
        <w:fldChar w:fldCharType="separate"/>
      </w:r>
      <w:r>
        <w:rPr>
          <w:rFonts w:hint="eastAsia" w:ascii="宋体" w:hAnsi="宋体"/>
          <w:sz w:val="24"/>
          <w:szCs w:val="24"/>
        </w:rPr>
        <w:t>第五章  用户需求书</w:t>
      </w:r>
      <w:r>
        <w:rPr>
          <w:sz w:val="24"/>
          <w:szCs w:val="24"/>
        </w:rPr>
        <w:tab/>
      </w:r>
      <w:r>
        <w:rPr>
          <w:sz w:val="24"/>
          <w:szCs w:val="24"/>
        </w:rPr>
        <w:fldChar w:fldCharType="begin"/>
      </w:r>
      <w:r>
        <w:rPr>
          <w:sz w:val="24"/>
          <w:szCs w:val="24"/>
        </w:rPr>
        <w:instrText xml:space="preserve"> PAGEREF _Toc15324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"_Toc10983" </w:instrText>
      </w:r>
      <w:r>
        <w:fldChar w:fldCharType="separate"/>
      </w:r>
      <w:r>
        <w:rPr>
          <w:rFonts w:hint="eastAsia" w:ascii="宋体" w:hAnsi="宋体"/>
          <w:sz w:val="24"/>
          <w:szCs w:val="24"/>
        </w:rPr>
        <w:t>第三卷</w:t>
      </w:r>
      <w:r>
        <w:rPr>
          <w:sz w:val="24"/>
          <w:szCs w:val="24"/>
        </w:rPr>
        <w:tab/>
      </w:r>
      <w:r>
        <w:rPr>
          <w:sz w:val="24"/>
          <w:szCs w:val="24"/>
        </w:rPr>
        <w:fldChar w:fldCharType="begin"/>
      </w:r>
      <w:r>
        <w:rPr>
          <w:sz w:val="24"/>
          <w:szCs w:val="24"/>
        </w:rPr>
        <w:instrText xml:space="preserve"> PAGEREF _Toc10983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4"/>
        <w:tabs>
          <w:tab w:val="right" w:leader="dot" w:pos="9026"/>
        </w:tabs>
        <w:spacing w:line="480" w:lineRule="auto"/>
        <w:rPr>
          <w:sz w:val="24"/>
          <w:szCs w:val="24"/>
        </w:rPr>
      </w:pPr>
      <w:r>
        <w:fldChar w:fldCharType="begin"/>
      </w:r>
      <w:r>
        <w:instrText xml:space="preserve"> HYPERLINK \l "_Toc15259" </w:instrText>
      </w:r>
      <w:r>
        <w:fldChar w:fldCharType="separate"/>
      </w:r>
      <w:r>
        <w:rPr>
          <w:rFonts w:hint="eastAsia" w:ascii="宋体" w:hAnsi="宋体"/>
          <w:sz w:val="24"/>
          <w:szCs w:val="24"/>
        </w:rPr>
        <w:t>第六章  投标文件格式</w:t>
      </w:r>
      <w:r>
        <w:rPr>
          <w:sz w:val="24"/>
          <w:szCs w:val="24"/>
        </w:rPr>
        <w:tab/>
      </w:r>
      <w:r>
        <w:rPr>
          <w:sz w:val="24"/>
          <w:szCs w:val="24"/>
        </w:rPr>
        <w:fldChar w:fldCharType="begin"/>
      </w:r>
      <w:r>
        <w:rPr>
          <w:sz w:val="24"/>
          <w:szCs w:val="24"/>
        </w:rPr>
        <w:instrText xml:space="preserve"> PAGEREF _Toc15259 \h </w:instrText>
      </w:r>
      <w:r>
        <w:rPr>
          <w:sz w:val="24"/>
          <w:szCs w:val="24"/>
        </w:rPr>
        <w:fldChar w:fldCharType="separate"/>
      </w:r>
      <w:r>
        <w:rPr>
          <w:sz w:val="24"/>
          <w:szCs w:val="24"/>
        </w:rPr>
        <w:t>40</w:t>
      </w:r>
      <w:r>
        <w:rPr>
          <w:sz w:val="24"/>
          <w:szCs w:val="24"/>
        </w:rPr>
        <w:fldChar w:fldCharType="end"/>
      </w:r>
      <w:r>
        <w:rPr>
          <w:sz w:val="24"/>
          <w:szCs w:val="24"/>
        </w:rPr>
        <w:fldChar w:fldCharType="end"/>
      </w:r>
    </w:p>
    <w:p>
      <w:pPr>
        <w:spacing w:line="480" w:lineRule="auto"/>
        <w:jc w:val="center"/>
        <w:rPr>
          <w:rFonts w:ascii="宋体" w:hAnsi="宋体"/>
        </w:rPr>
      </w:pPr>
      <w:r>
        <w:rPr>
          <w:rFonts w:ascii="宋体" w:hAnsi="宋体"/>
          <w:sz w:val="24"/>
          <w:szCs w:val="24"/>
        </w:rPr>
        <w:fldChar w:fldCharType="end"/>
      </w:r>
    </w:p>
    <w:p>
      <w:pPr>
        <w:widowControl/>
        <w:spacing w:line="360" w:lineRule="auto"/>
        <w:jc w:val="center"/>
        <w:rPr>
          <w:rFonts w:ascii="宋体" w:hAnsi="宋体"/>
          <w:b/>
          <w:kern w:val="44"/>
          <w:sz w:val="44"/>
          <w:szCs w:val="20"/>
          <w:lang w:val="zh-CN"/>
        </w:rPr>
      </w:pPr>
      <w:r>
        <w:rPr>
          <w:rFonts w:ascii="宋体" w:hAnsi="宋体"/>
          <w:b/>
          <w:sz w:val="44"/>
        </w:rPr>
        <w:br w:type="page"/>
      </w:r>
    </w:p>
    <w:p>
      <w:pPr>
        <w:spacing w:line="502" w:lineRule="exact"/>
        <w:ind w:right="220"/>
        <w:jc w:val="center"/>
        <w:outlineLvl w:val="0"/>
        <w:rPr>
          <w:rFonts w:ascii="宋体" w:hAnsi="宋体"/>
          <w:b/>
          <w:kern w:val="44"/>
          <w:sz w:val="44"/>
          <w:szCs w:val="20"/>
        </w:rPr>
      </w:pPr>
      <w:bookmarkStart w:id="0" w:name="_Toc21987"/>
      <w:r>
        <w:rPr>
          <w:rFonts w:hint="eastAsia" w:ascii="宋体" w:hAnsi="宋体"/>
          <w:b/>
          <w:kern w:val="44"/>
          <w:sz w:val="44"/>
          <w:szCs w:val="20"/>
        </w:rPr>
        <w:t>第一卷</w:t>
      </w:r>
      <w:bookmarkEnd w:id="0"/>
    </w:p>
    <w:p>
      <w:pPr>
        <w:widowControl/>
        <w:spacing w:line="259" w:lineRule="auto"/>
        <w:ind w:right="1604"/>
        <w:jc w:val="right"/>
        <w:rPr>
          <w:rFonts w:ascii="宋体" w:hAnsi="宋体"/>
          <w:sz w:val="32"/>
          <w:szCs w:val="32"/>
        </w:rPr>
      </w:pPr>
    </w:p>
    <w:p>
      <w:pPr>
        <w:widowControl/>
        <w:spacing w:line="259" w:lineRule="auto"/>
        <w:jc w:val="center"/>
        <w:rPr>
          <w:rFonts w:ascii="宋体" w:hAnsi="宋体"/>
          <w:b/>
          <w:bCs/>
          <w:sz w:val="44"/>
          <w:szCs w:val="44"/>
        </w:rPr>
      </w:pPr>
      <w:r>
        <w:rPr>
          <w:rFonts w:ascii="宋体" w:hAnsi="宋体"/>
          <w:b/>
          <w:bCs/>
          <w:sz w:val="44"/>
          <w:szCs w:val="44"/>
        </w:rPr>
        <w:t>第一章</w:t>
      </w:r>
      <w:r>
        <w:rPr>
          <w:rFonts w:hint="eastAsia" w:ascii="宋体" w:hAnsi="宋体"/>
          <w:b/>
          <w:bCs/>
          <w:sz w:val="44"/>
          <w:szCs w:val="44"/>
        </w:rPr>
        <w:t xml:space="preserve">  招标公告</w:t>
      </w:r>
    </w:p>
    <w:p>
      <w:pPr>
        <w:spacing w:line="360" w:lineRule="auto"/>
        <w:jc w:val="center"/>
        <w:rPr>
          <w:rFonts w:ascii="宋体" w:hAnsi="宋体" w:cs="宋体"/>
          <w:sz w:val="32"/>
          <w:szCs w:val="32"/>
        </w:rPr>
      </w:pPr>
    </w:p>
    <w:p>
      <w:pPr>
        <w:widowControl/>
        <w:spacing w:line="260" w:lineRule="auto"/>
        <w:jc w:val="center"/>
        <w:rPr>
          <w:rFonts w:ascii="宋体" w:hAnsi="宋体" w:cs="宋体"/>
          <w:sz w:val="32"/>
          <w:szCs w:val="32"/>
        </w:rPr>
      </w:pPr>
      <w:r>
        <w:rPr>
          <w:rFonts w:hint="eastAsia" w:ascii="宋体" w:hAnsi="宋体" w:cs="宋体"/>
          <w:sz w:val="32"/>
          <w:szCs w:val="32"/>
        </w:rPr>
        <w:t>（另册）</w:t>
      </w:r>
    </w:p>
    <w:p>
      <w:pPr>
        <w:rPr>
          <w:rFonts w:ascii="宋体" w:hAnsi="宋体" w:cs="宋体"/>
          <w:sz w:val="32"/>
          <w:szCs w:val="32"/>
        </w:rPr>
      </w:pPr>
      <w:r>
        <w:rPr>
          <w:rFonts w:hint="eastAsia" w:ascii="宋体" w:hAnsi="宋体" w:cs="宋体"/>
          <w:sz w:val="32"/>
          <w:szCs w:val="32"/>
        </w:rPr>
        <w:br w:type="page"/>
      </w:r>
    </w:p>
    <w:p>
      <w:pPr>
        <w:widowControl/>
        <w:spacing w:line="259" w:lineRule="auto"/>
        <w:ind w:right="1604"/>
        <w:jc w:val="center"/>
        <w:rPr>
          <w:rFonts w:ascii="宋体" w:hAnsi="宋体"/>
          <w:sz w:val="22"/>
        </w:rPr>
      </w:pPr>
    </w:p>
    <w:p>
      <w:pPr>
        <w:spacing w:line="502" w:lineRule="exact"/>
        <w:ind w:right="220"/>
        <w:jc w:val="center"/>
        <w:outlineLvl w:val="0"/>
        <w:rPr>
          <w:rFonts w:ascii="宋体" w:hAnsi="宋体"/>
          <w:b/>
          <w:sz w:val="44"/>
        </w:rPr>
      </w:pPr>
      <w:bookmarkStart w:id="1" w:name="_Toc13717"/>
      <w:r>
        <w:rPr>
          <w:rFonts w:ascii="宋体" w:hAnsi="宋体"/>
          <w:b/>
          <w:sz w:val="44"/>
        </w:rPr>
        <w:t>第</w:t>
      </w:r>
      <w:r>
        <w:rPr>
          <w:rFonts w:hint="eastAsia" w:ascii="宋体" w:hAnsi="宋体"/>
          <w:b/>
          <w:sz w:val="44"/>
        </w:rPr>
        <w:t>二</w:t>
      </w:r>
      <w:r>
        <w:rPr>
          <w:rFonts w:ascii="宋体" w:hAnsi="宋体"/>
          <w:b/>
          <w:sz w:val="44"/>
        </w:rPr>
        <w:t>章投标人须知</w:t>
      </w:r>
      <w:bookmarkEnd w:id="1"/>
    </w:p>
    <w:p>
      <w:pPr>
        <w:spacing w:line="201" w:lineRule="exact"/>
        <w:rPr>
          <w:rFonts w:ascii="宋体" w:hAnsi="宋体"/>
        </w:rPr>
      </w:pPr>
    </w:p>
    <w:p>
      <w:pPr>
        <w:jc w:val="center"/>
        <w:rPr>
          <w:rFonts w:ascii="宋体" w:hAnsi="宋体"/>
          <w:b/>
          <w:sz w:val="32"/>
        </w:rPr>
      </w:pPr>
      <w:r>
        <w:rPr>
          <w:rFonts w:ascii="宋体" w:hAnsi="宋体"/>
          <w:b/>
          <w:sz w:val="32"/>
        </w:rPr>
        <w:t>投标人须知前附</w:t>
      </w:r>
      <w:r>
        <w:rPr>
          <w:rFonts w:hint="eastAsia" w:ascii="宋体" w:hAnsi="宋体"/>
          <w:b/>
          <w:sz w:val="32"/>
        </w:rPr>
        <w:t>表</w:t>
      </w:r>
    </w:p>
    <w:tbl>
      <w:tblPr>
        <w:tblStyle w:val="20"/>
        <w:tblW w:w="0" w:type="auto"/>
        <w:tblInd w:w="0" w:type="dxa"/>
        <w:tblLayout w:type="fixed"/>
        <w:tblCellMar>
          <w:top w:w="0" w:type="dxa"/>
          <w:left w:w="108" w:type="dxa"/>
          <w:bottom w:w="0" w:type="dxa"/>
          <w:right w:w="108" w:type="dxa"/>
        </w:tblCellMar>
      </w:tblPr>
      <w:tblGrid>
        <w:gridCol w:w="1154"/>
        <w:gridCol w:w="2114"/>
        <w:gridCol w:w="5849"/>
      </w:tblGrid>
      <w:tr>
        <w:tblPrEx>
          <w:tblCellMar>
            <w:top w:w="0" w:type="dxa"/>
            <w:left w:w="108" w:type="dxa"/>
            <w:bottom w:w="0" w:type="dxa"/>
            <w:right w:w="108" w:type="dxa"/>
          </w:tblCellMar>
        </w:tblPrEx>
        <w:trPr>
          <w:trHeight w:val="475" w:hRule="atLeast"/>
          <w:tblHeader/>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条款号</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条款名称</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编列内容</w:t>
            </w:r>
          </w:p>
        </w:tc>
      </w:tr>
      <w:tr>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1.1.2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cs="宋体"/>
                <w:szCs w:val="18"/>
              </w:rPr>
              <w:t>名称：</w:t>
            </w:r>
            <w:r>
              <w:rPr>
                <w:rFonts w:hint="eastAsia" w:ascii="宋体" w:hAnsi="宋体"/>
                <w:szCs w:val="21"/>
              </w:rPr>
              <w:t>暨南大学</w:t>
            </w:r>
          </w:p>
          <w:p>
            <w:pPr>
              <w:jc w:val="left"/>
              <w:rPr>
                <w:rFonts w:ascii="宋体" w:hAnsi="宋体"/>
                <w:szCs w:val="21"/>
              </w:rPr>
            </w:pPr>
            <w:r>
              <w:rPr>
                <w:rFonts w:hint="eastAsia" w:ascii="宋体" w:hAnsi="宋体" w:cs="宋体"/>
                <w:szCs w:val="18"/>
              </w:rPr>
              <w:t>地址：广州市天河区黄埔大道西601号</w:t>
            </w:r>
          </w:p>
          <w:p>
            <w:pPr>
              <w:jc w:val="left"/>
              <w:rPr>
                <w:rFonts w:ascii="宋体" w:hAnsi="宋体"/>
                <w:szCs w:val="21"/>
              </w:rPr>
            </w:pPr>
            <w:r>
              <w:rPr>
                <w:rFonts w:hint="eastAsia" w:ascii="宋体" w:hAnsi="宋体"/>
                <w:szCs w:val="21"/>
              </w:rPr>
              <w:t>联系人：周老师</w:t>
            </w:r>
          </w:p>
          <w:p>
            <w:pPr>
              <w:jc w:val="left"/>
              <w:rPr>
                <w:rFonts w:ascii="宋体" w:hAnsi="宋体"/>
                <w:szCs w:val="21"/>
              </w:rPr>
            </w:pPr>
            <w:r>
              <w:rPr>
                <w:rFonts w:hint="eastAsia" w:ascii="宋体" w:hAnsi="宋体"/>
                <w:szCs w:val="21"/>
              </w:rPr>
              <w:t>联系电话：020-85221107</w:t>
            </w:r>
          </w:p>
          <w:p>
            <w:pPr>
              <w:jc w:val="left"/>
              <w:rPr>
                <w:rFonts w:ascii="宋体" w:hAnsi="宋体" w:cs="宋体"/>
                <w:szCs w:val="18"/>
              </w:rPr>
            </w:pPr>
          </w:p>
          <w:p>
            <w:pPr>
              <w:jc w:val="left"/>
              <w:rPr>
                <w:rFonts w:ascii="宋体" w:hAnsi="宋体"/>
                <w:szCs w:val="21"/>
              </w:rPr>
            </w:pPr>
            <w:r>
              <w:rPr>
                <w:rFonts w:hint="eastAsia" w:ascii="宋体" w:hAnsi="宋体" w:cs="宋体"/>
                <w:szCs w:val="18"/>
              </w:rPr>
              <w:t>名称：中国电子系统工程第二建设有限公司</w:t>
            </w:r>
          </w:p>
          <w:p>
            <w:pPr>
              <w:jc w:val="left"/>
              <w:rPr>
                <w:rFonts w:ascii="宋体" w:hAnsi="宋体"/>
                <w:szCs w:val="21"/>
              </w:rPr>
            </w:pPr>
            <w:r>
              <w:rPr>
                <w:rFonts w:hint="eastAsia" w:ascii="宋体" w:hAnsi="宋体" w:cs="宋体"/>
                <w:szCs w:val="18"/>
              </w:rPr>
              <w:t>地址：无锡市具区路88号</w:t>
            </w:r>
          </w:p>
          <w:p>
            <w:pPr>
              <w:jc w:val="left"/>
              <w:rPr>
                <w:rFonts w:ascii="宋体" w:hAnsi="宋体"/>
                <w:szCs w:val="21"/>
              </w:rPr>
            </w:pPr>
            <w:r>
              <w:rPr>
                <w:rFonts w:hint="eastAsia" w:ascii="宋体" w:hAnsi="宋体"/>
                <w:szCs w:val="21"/>
              </w:rPr>
              <w:t>联系人：赵广礼</w:t>
            </w:r>
          </w:p>
          <w:p>
            <w:pPr>
              <w:jc w:val="left"/>
              <w:rPr>
                <w:rFonts w:ascii="宋体" w:hAnsi="宋体"/>
                <w:szCs w:val="21"/>
              </w:rPr>
            </w:pPr>
            <w:r>
              <w:rPr>
                <w:rFonts w:hint="eastAsia" w:ascii="宋体" w:hAnsi="宋体"/>
                <w:szCs w:val="21"/>
              </w:rPr>
              <w:t>电话：</w:t>
            </w:r>
            <w:r>
              <w:rPr>
                <w:rFonts w:ascii="宋体" w:hAnsi="宋体"/>
                <w:szCs w:val="21"/>
              </w:rPr>
              <w:t>0510-81180118</w:t>
            </w:r>
          </w:p>
        </w:tc>
      </w:tr>
      <w:tr>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招标代理机构</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名称：广东省机电设备招标有限公司</w:t>
            </w:r>
          </w:p>
          <w:p>
            <w:pPr>
              <w:jc w:val="left"/>
              <w:rPr>
                <w:rFonts w:ascii="宋体" w:hAnsi="宋体"/>
                <w:szCs w:val="21"/>
              </w:rPr>
            </w:pPr>
            <w:r>
              <w:rPr>
                <w:rFonts w:hint="eastAsia" w:ascii="宋体" w:hAnsi="宋体"/>
                <w:szCs w:val="21"/>
              </w:rPr>
              <w:t>地址：广州市越秀区环市中路316号金鹰大厦13楼</w:t>
            </w:r>
          </w:p>
          <w:p>
            <w:pPr>
              <w:jc w:val="left"/>
              <w:rPr>
                <w:rFonts w:ascii="宋体" w:hAnsi="宋体"/>
                <w:szCs w:val="21"/>
              </w:rPr>
            </w:pPr>
            <w:r>
              <w:rPr>
                <w:rFonts w:hint="eastAsia" w:ascii="宋体" w:hAnsi="宋体"/>
                <w:szCs w:val="21"/>
              </w:rPr>
              <w:t>联系人：黄工、邓工</w:t>
            </w:r>
          </w:p>
          <w:p>
            <w:pPr>
              <w:jc w:val="left"/>
              <w:rPr>
                <w:rFonts w:ascii="宋体" w:hAnsi="宋体"/>
                <w:szCs w:val="21"/>
              </w:rPr>
            </w:pPr>
            <w:r>
              <w:rPr>
                <w:rFonts w:hint="eastAsia" w:ascii="宋体" w:hAnsi="宋体"/>
                <w:szCs w:val="21"/>
              </w:rPr>
              <w:t>电话：020-83543065</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1.1.4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招标项目名称</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暨南大学番禺校区实验动物大楼二次装修项目水处理及自动饮水系统采购及相关服务</w:t>
            </w:r>
          </w:p>
        </w:tc>
      </w:tr>
      <w:tr>
        <w:tblPrEx>
          <w:tblCellMar>
            <w:top w:w="0" w:type="dxa"/>
            <w:left w:w="108" w:type="dxa"/>
            <w:bottom w:w="0" w:type="dxa"/>
            <w:right w:w="108" w:type="dxa"/>
          </w:tblCellMar>
        </w:tblPrEx>
        <w:trPr>
          <w:trHeight w:val="218"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trike/>
                <w:szCs w:val="21"/>
              </w:rPr>
            </w:pPr>
            <w:r>
              <w:rPr>
                <w:rFonts w:hint="eastAsia" w:ascii="宋体" w:hAnsi="宋体"/>
                <w:szCs w:val="21"/>
              </w:rPr>
              <w:t>1.1.5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项目建设地点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详见招标公告。</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资金来源及比例</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详见招标公告。</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1.2.2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资金落实情况</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已落实。</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1.3.1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招标范围</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详见招标公告。</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1.3.2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交货期</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详见招标公告。</w:t>
            </w:r>
          </w:p>
        </w:tc>
      </w:tr>
      <w:tr>
        <w:tblPrEx>
          <w:tblCellMar>
            <w:top w:w="0" w:type="dxa"/>
            <w:left w:w="108" w:type="dxa"/>
            <w:bottom w:w="0" w:type="dxa"/>
            <w:right w:w="108" w:type="dxa"/>
          </w:tblCellMar>
        </w:tblPrEx>
        <w:trPr>
          <w:trHeight w:val="46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1.3.3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交货地点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详见招标公告。</w:t>
            </w:r>
          </w:p>
        </w:tc>
      </w:tr>
      <w:tr>
        <w:tblPrEx>
          <w:tblCellMar>
            <w:top w:w="0" w:type="dxa"/>
            <w:left w:w="108" w:type="dxa"/>
            <w:bottom w:w="0" w:type="dxa"/>
            <w:right w:w="108" w:type="dxa"/>
          </w:tblCellMar>
        </w:tblPrEx>
        <w:trPr>
          <w:trHeight w:val="92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1.4.1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投标人资质条件、能力、信誉</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ind w:right="141" w:rightChars="67"/>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）资质要求：</w:t>
            </w:r>
            <w:r>
              <w:rPr>
                <w:rFonts w:hint="eastAsia" w:ascii="宋体" w:hAnsi="宋体"/>
                <w:szCs w:val="21"/>
                <w:u w:val="single"/>
              </w:rPr>
              <w:t>详见招标公告“3.投标人资格要求”</w:t>
            </w:r>
          </w:p>
          <w:p>
            <w:pPr>
              <w:snapToGrid w:val="0"/>
              <w:ind w:right="141" w:rightChars="67"/>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）财务要求：/</w:t>
            </w:r>
          </w:p>
          <w:p>
            <w:pPr>
              <w:snapToGrid w:val="0"/>
              <w:ind w:right="141" w:rightChars="67"/>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）投标人业绩：/</w:t>
            </w:r>
          </w:p>
          <w:p>
            <w:pPr>
              <w:snapToGrid w:val="0"/>
              <w:ind w:right="141" w:rightChars="67"/>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）信誉要求：/</w:t>
            </w:r>
          </w:p>
          <w:p>
            <w:pPr>
              <w:jc w:val="left"/>
              <w:rPr>
                <w:rFonts w:ascii="宋体" w:hAnsi="宋体"/>
                <w:szCs w:val="21"/>
                <w:u w:val="single"/>
              </w:rPr>
            </w:pPr>
            <w:r>
              <w:rPr>
                <w:rFonts w:hint="eastAsia" w:ascii="宋体" w:hAnsi="宋体"/>
                <w:szCs w:val="21"/>
              </w:rPr>
              <w:t>（</w:t>
            </w:r>
            <w:r>
              <w:rPr>
                <w:rFonts w:ascii="宋体" w:hAnsi="宋体"/>
                <w:szCs w:val="21"/>
              </w:rPr>
              <w:t>5</w:t>
            </w:r>
            <w:r>
              <w:rPr>
                <w:rFonts w:hint="eastAsia" w:ascii="宋体" w:hAnsi="宋体"/>
                <w:szCs w:val="21"/>
              </w:rPr>
              <w:t>）其他要求：</w:t>
            </w:r>
            <w:r>
              <w:rPr>
                <w:rFonts w:hint="eastAsia" w:ascii="宋体" w:hAnsi="宋体"/>
                <w:szCs w:val="21"/>
                <w:u w:val="single"/>
              </w:rPr>
              <w:t>详见招标公告“3.投标人资格要求”</w:t>
            </w:r>
          </w:p>
        </w:tc>
      </w:tr>
      <w:tr>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1.4.2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是否接受联合体投标</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szCs w:val="21"/>
              </w:rPr>
            </w:pPr>
            <w:r>
              <w:rPr>
                <w:rFonts w:hint="eastAsia" w:ascii="宋体" w:hAnsi="宋体" w:cs="宋体"/>
                <w:szCs w:val="21"/>
              </w:rPr>
              <w:t>☑</w:t>
            </w:r>
            <w:r>
              <w:rPr>
                <w:rFonts w:hint="eastAsia" w:ascii="宋体" w:hAnsi="宋体"/>
                <w:szCs w:val="21"/>
              </w:rPr>
              <w:t>不接受</w:t>
            </w:r>
          </w:p>
          <w:p>
            <w:pPr>
              <w:jc w:val="left"/>
              <w:rPr>
                <w:rFonts w:ascii="宋体" w:hAnsi="宋体"/>
                <w:szCs w:val="21"/>
              </w:rPr>
            </w:pPr>
            <w:r>
              <w:rPr>
                <w:rFonts w:ascii="宋体" w:hAnsi="宋体"/>
                <w:szCs w:val="21"/>
              </w:rPr>
              <w:t>□</w:t>
            </w:r>
            <w:r>
              <w:rPr>
                <w:rFonts w:hint="eastAsia" w:ascii="宋体" w:hAnsi="宋体"/>
                <w:szCs w:val="21"/>
              </w:rPr>
              <w:t>接受，应满足下列要求：</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1.4.3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投标人不得存在的其他情形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23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1.9.1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投标预备会</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cs="宋体"/>
                <w:szCs w:val="21"/>
              </w:rPr>
              <w:t>☑</w:t>
            </w:r>
            <w:r>
              <w:rPr>
                <w:rFonts w:hint="eastAsia" w:ascii="宋体" w:hAnsi="宋体"/>
                <w:kern w:val="0"/>
                <w:szCs w:val="21"/>
              </w:rPr>
              <w:t>不召开，由投标人自行现场考察。丙方应在投标前查勘施工现场，并根据工程规模及技术参数合理预见工程施工所需的进出施工现场的方式、路径等。</w:t>
            </w:r>
          </w:p>
          <w:p>
            <w:pPr>
              <w:jc w:val="left"/>
              <w:rPr>
                <w:rFonts w:ascii="宋体" w:hAnsi="宋体"/>
                <w:szCs w:val="21"/>
              </w:rPr>
            </w:pPr>
            <w:r>
              <w:rPr>
                <w:rFonts w:ascii="宋体" w:hAnsi="宋体"/>
                <w:szCs w:val="21"/>
              </w:rPr>
              <w:t>□</w:t>
            </w:r>
            <w:r>
              <w:rPr>
                <w:rFonts w:hint="eastAsia" w:ascii="宋体" w:hAnsi="宋体"/>
                <w:szCs w:val="21"/>
              </w:rPr>
              <w:t>召开，召开时间：</w:t>
            </w:r>
          </w:p>
          <w:p>
            <w:pPr>
              <w:topLinePunct/>
              <w:ind w:firstLine="840" w:firstLineChars="400"/>
              <w:jc w:val="left"/>
              <w:rPr>
                <w:rFonts w:ascii="宋体" w:hAnsi="宋体"/>
                <w:kern w:val="0"/>
                <w:szCs w:val="21"/>
              </w:rPr>
            </w:pPr>
            <w:r>
              <w:rPr>
                <w:rFonts w:hint="eastAsia" w:ascii="宋体" w:hAnsi="宋体"/>
                <w:kern w:val="0"/>
                <w:szCs w:val="21"/>
              </w:rPr>
              <w:t>召开地点：</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1.9.2</w:t>
            </w:r>
          </w:p>
        </w:tc>
        <w:tc>
          <w:tcPr>
            <w:tcW w:w="211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投标人在投标预备会前提出问题</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时间：/。</w:t>
            </w:r>
          </w:p>
        </w:tc>
      </w:tr>
      <w:tr>
        <w:tblPrEx>
          <w:tblCellMar>
            <w:top w:w="0" w:type="dxa"/>
            <w:left w:w="108" w:type="dxa"/>
            <w:bottom w:w="0" w:type="dxa"/>
            <w:right w:w="108" w:type="dxa"/>
          </w:tblCellMar>
        </w:tblPrEx>
        <w:trPr>
          <w:trHeight w:val="35" w:hRule="atLeast"/>
        </w:trPr>
        <w:tc>
          <w:tcPr>
            <w:tcW w:w="115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1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形式：/。</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1.9.3</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u w:val="single"/>
              </w:rPr>
              <w:t>以电子文件形式通过广州公共资源交易中心数字交易平台发布。</w:t>
            </w:r>
          </w:p>
        </w:tc>
      </w:tr>
      <w:tr>
        <w:tblPrEx>
          <w:tblCellMar>
            <w:top w:w="0" w:type="dxa"/>
            <w:left w:w="108" w:type="dxa"/>
            <w:bottom w:w="0" w:type="dxa"/>
            <w:right w:w="108" w:type="dxa"/>
          </w:tblCellMar>
        </w:tblPrEx>
        <w:trPr>
          <w:trHeight w:val="427"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1.10.1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分包</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cs="宋体"/>
                <w:szCs w:val="21"/>
              </w:rPr>
              <w:t>☑</w:t>
            </w:r>
            <w:r>
              <w:rPr>
                <w:rFonts w:ascii="宋体" w:hAnsi="宋体"/>
                <w:szCs w:val="21"/>
              </w:rPr>
              <w:t>不允许</w:t>
            </w:r>
          </w:p>
          <w:p>
            <w:pPr>
              <w:jc w:val="left"/>
              <w:rPr>
                <w:rFonts w:ascii="宋体" w:hAnsi="宋体"/>
                <w:szCs w:val="21"/>
              </w:rPr>
            </w:pPr>
            <w:r>
              <w:rPr>
                <w:rFonts w:ascii="宋体" w:hAnsi="宋体"/>
                <w:szCs w:val="21"/>
              </w:rPr>
              <w:t>□允许，分包内容要求：</w:t>
            </w:r>
          </w:p>
          <w:p>
            <w:pPr>
              <w:jc w:val="left"/>
              <w:rPr>
                <w:rFonts w:ascii="宋体" w:hAnsi="宋体"/>
                <w:szCs w:val="21"/>
              </w:rPr>
            </w:pPr>
            <w:r>
              <w:rPr>
                <w:rFonts w:ascii="宋体" w:hAnsi="宋体"/>
                <w:szCs w:val="21"/>
              </w:rPr>
              <w:t>分包金额要求：</w:t>
            </w:r>
          </w:p>
          <w:p>
            <w:pPr>
              <w:jc w:val="left"/>
              <w:rPr>
                <w:rFonts w:ascii="宋体" w:hAnsi="宋体"/>
                <w:szCs w:val="21"/>
              </w:rPr>
            </w:pPr>
            <w:r>
              <w:rPr>
                <w:rFonts w:ascii="宋体" w:hAnsi="宋体"/>
                <w:szCs w:val="21"/>
              </w:rPr>
              <w:t>对分包人的资质要求：</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r>
              <w:rPr>
                <w:rFonts w:hint="eastAsia" w:ascii="宋体" w:hAnsi="宋体"/>
                <w:szCs w:val="21"/>
              </w:rPr>
              <w:t>11</w:t>
            </w:r>
            <w:r>
              <w:rPr>
                <w:rFonts w:ascii="宋体" w:hAnsi="宋体"/>
                <w:szCs w:val="21"/>
              </w:rPr>
              <w:t>.</w:t>
            </w:r>
            <w:r>
              <w:rPr>
                <w:rFonts w:hint="eastAsia" w:ascii="宋体" w:hAnsi="宋体"/>
                <w:szCs w:val="21"/>
              </w:rPr>
              <w:t>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实质性要求和条件</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hAnsi="宋体"/>
                <w:szCs w:val="21"/>
                <w:u w:val="single"/>
              </w:rPr>
              <w:t>需符合第三章评标办法前附表第2.1.1、2.1.2及2.1.3条要求</w:t>
            </w:r>
            <w:r>
              <w:rPr>
                <w:rFonts w:hint="eastAsia" w:hAnsi="宋体"/>
                <w:szCs w:val="21"/>
              </w:rPr>
              <w:t>。</w:t>
            </w:r>
          </w:p>
        </w:tc>
      </w:tr>
      <w:tr>
        <w:tblPrEx>
          <w:tblCellMar>
            <w:top w:w="0" w:type="dxa"/>
            <w:left w:w="108" w:type="dxa"/>
            <w:bottom w:w="0" w:type="dxa"/>
            <w:right w:w="108" w:type="dxa"/>
          </w:tblCellMar>
        </w:tblPrEx>
        <w:trPr>
          <w:trHeight w:val="12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r>
              <w:rPr>
                <w:rFonts w:hint="eastAsia" w:ascii="宋体" w:hAnsi="宋体"/>
                <w:szCs w:val="21"/>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其他可以被接受的技术支持资料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ascii="宋体" w:hAnsi="宋体"/>
                <w:kern w:val="0"/>
                <w:szCs w:val="21"/>
              </w:rPr>
              <w:t>/。</w:t>
            </w:r>
          </w:p>
        </w:tc>
      </w:tr>
      <w:tr>
        <w:tblPrEx>
          <w:tblCellMar>
            <w:top w:w="0" w:type="dxa"/>
            <w:left w:w="108" w:type="dxa"/>
            <w:bottom w:w="0" w:type="dxa"/>
            <w:right w:w="108" w:type="dxa"/>
          </w:tblCellMar>
        </w:tblPrEx>
        <w:trPr>
          <w:trHeight w:val="36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1.1</w:t>
            </w:r>
            <w:r>
              <w:rPr>
                <w:rFonts w:hint="eastAsia" w:ascii="宋体" w:hAnsi="宋体"/>
                <w:szCs w:val="21"/>
              </w:rPr>
              <w:t>1.4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偏差</w:t>
            </w:r>
          </w:p>
        </w:tc>
        <w:tc>
          <w:tcPr>
            <w:tcW w:w="5849" w:type="dxa"/>
            <w:tcBorders>
              <w:top w:val="single" w:color="auto" w:sz="4" w:space="0"/>
              <w:left w:val="single" w:color="auto" w:sz="4" w:space="0"/>
              <w:bottom w:val="single" w:color="auto" w:sz="4" w:space="0"/>
              <w:right w:val="single" w:color="auto" w:sz="4" w:space="0"/>
            </w:tcBorders>
            <w:noWrap/>
          </w:tcPr>
          <w:p>
            <w:pPr>
              <w:jc w:val="left"/>
              <w:rPr>
                <w:rFonts w:ascii="宋体" w:hAnsi="宋体"/>
                <w:szCs w:val="21"/>
              </w:rPr>
            </w:pPr>
            <w:r>
              <w:rPr>
                <w:rFonts w:hint="eastAsia" w:ascii="宋体" w:hAnsi="宋体" w:cs="宋体"/>
                <w:szCs w:val="21"/>
              </w:rPr>
              <w:t>□</w:t>
            </w:r>
            <w:r>
              <w:rPr>
                <w:rFonts w:hint="eastAsia" w:ascii="宋体" w:hAnsi="宋体"/>
                <w:szCs w:val="21"/>
              </w:rPr>
              <w:t>不允许</w:t>
            </w:r>
          </w:p>
          <w:p>
            <w:pPr>
              <w:topLinePunct/>
              <w:jc w:val="left"/>
              <w:rPr>
                <w:rFonts w:ascii="宋体" w:hAnsi="宋体"/>
                <w:kern w:val="0"/>
                <w:szCs w:val="21"/>
              </w:rPr>
            </w:pPr>
            <w:r>
              <w:rPr>
                <w:rFonts w:hint="eastAsia" w:ascii="宋体" w:hAnsi="宋体"/>
                <w:kern w:val="0"/>
                <w:szCs w:val="21"/>
              </w:rPr>
              <w:t>☑允许，偏差范围：详见招标文件。</w:t>
            </w:r>
          </w:p>
          <w:p>
            <w:pPr>
              <w:topLinePunct/>
              <w:ind w:firstLine="840" w:firstLineChars="400"/>
              <w:jc w:val="left"/>
              <w:rPr>
                <w:rFonts w:ascii="宋体" w:hAnsi="宋体"/>
                <w:kern w:val="0"/>
                <w:szCs w:val="21"/>
              </w:rPr>
            </w:pPr>
            <w:r>
              <w:rPr>
                <w:rFonts w:hint="eastAsia" w:ascii="宋体" w:hAnsi="宋体"/>
                <w:kern w:val="0"/>
                <w:szCs w:val="21"/>
              </w:rPr>
              <w:t>最高项数：详见招标文件。</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构成招标文件的其他资料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u w:val="single"/>
              </w:rPr>
              <w:t>招标文件的澄清、修改、补充通知等</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ascii="宋体" w:hAnsi="宋体"/>
                <w:szCs w:val="21"/>
              </w:rPr>
              <w:t>2.2.1</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投标人要求澄清招标文件</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spacing w:line="0" w:lineRule="atLeast"/>
              <w:rPr>
                <w:rFonts w:ascii="宋体" w:hAnsi="宋体"/>
                <w:szCs w:val="21"/>
              </w:rPr>
            </w:pPr>
            <w:r>
              <w:rPr>
                <w:rFonts w:hint="eastAsia" w:ascii="宋体" w:hAnsi="宋体" w:cs="宋体"/>
                <w:szCs w:val="21"/>
              </w:rPr>
              <w:t>时间：</w:t>
            </w:r>
            <w:r>
              <w:rPr>
                <w:rFonts w:hint="eastAsia" w:ascii="宋体" w:hAnsi="宋体" w:cs="宋体"/>
                <w:szCs w:val="21"/>
                <w:u w:val="single"/>
              </w:rPr>
              <w:t>2024年   月   日   时前</w:t>
            </w:r>
            <w:r>
              <w:rPr>
                <w:rFonts w:hint="eastAsia" w:ascii="宋体" w:hAnsi="宋体" w:cs="宋体"/>
                <w:szCs w:val="21"/>
              </w:rPr>
              <w:t>提出；</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spacing w:line="0" w:lineRule="atLeast"/>
              <w:rPr>
                <w:rFonts w:ascii="宋体" w:hAnsi="宋体" w:cs="宋体"/>
                <w:szCs w:val="21"/>
              </w:rPr>
            </w:pPr>
            <w:r>
              <w:rPr>
                <w:rFonts w:hint="eastAsia" w:ascii="宋体" w:hAnsi="宋体" w:cs="宋体"/>
                <w:szCs w:val="21"/>
              </w:rPr>
              <w:t>形式：在广州公共资源交易中心网站通过项目网上答疑</w:t>
            </w:r>
          </w:p>
          <w:p>
            <w:pPr>
              <w:snapToGrid w:val="0"/>
              <w:spacing w:line="0" w:lineRule="atLeast"/>
              <w:rPr>
                <w:rFonts w:ascii="宋体" w:hAnsi="宋体" w:cs="宋体"/>
                <w:szCs w:val="21"/>
              </w:rPr>
            </w:pPr>
            <w:r>
              <w:rPr>
                <w:rFonts w:hint="eastAsia" w:ascii="宋体" w:hAnsi="宋体" w:cs="宋体"/>
                <w:szCs w:val="21"/>
              </w:rPr>
              <w:t>（1）投标人的疑问通过广州公共资源交易中心数字交易平台提交。具体要求：详见广州公共资源交易中心网站发布的最新版操作指引。提交问题时一律不得署名。</w:t>
            </w:r>
          </w:p>
          <w:p>
            <w:pPr>
              <w:snapToGrid w:val="0"/>
              <w:spacing w:line="0" w:lineRule="atLeast"/>
              <w:rPr>
                <w:rFonts w:ascii="宋体" w:hAnsi="宋体" w:cs="宋体"/>
                <w:szCs w:val="21"/>
              </w:rPr>
            </w:pPr>
            <w:r>
              <w:rPr>
                <w:rFonts w:hint="eastAsia" w:ascii="宋体" w:hAnsi="宋体" w:cs="宋体"/>
                <w:szCs w:val="21"/>
              </w:rPr>
              <w:t>（2）招标答疑采用网上答疑方式进行。投标人若对招标文件有疑问的，可在规定的时间内通过广州公共资源交易中心网站进入“招标答疑提问”页面将问题提交给招标人或招标代理人，提交问题时一律不得署名。</w:t>
            </w:r>
          </w:p>
          <w:p>
            <w:pPr>
              <w:snapToGrid w:val="0"/>
              <w:spacing w:line="0" w:lineRule="atLeast"/>
              <w:rPr>
                <w:rFonts w:ascii="宋体" w:hAnsi="宋体" w:cs="宋体"/>
                <w:szCs w:val="21"/>
              </w:rPr>
            </w:pPr>
            <w:r>
              <w:rPr>
                <w:rFonts w:hint="eastAsia" w:ascii="宋体" w:hAnsi="宋体" w:cs="宋体"/>
                <w:szCs w:val="21"/>
              </w:rPr>
              <w:t>网上答疑的操作指南为：登录广州公共资源交易中心数字交易平台→进入“我的投标”页面→进入“招标答疑提问”页面→通过项目编号或名称找到所需的项目→在上述的答疑时间内点击“答疑提问”→无记名或匿名提出问题。</w:t>
            </w:r>
          </w:p>
          <w:p>
            <w:pPr>
              <w:snapToGrid w:val="0"/>
              <w:spacing w:line="0" w:lineRule="atLeast"/>
              <w:rPr>
                <w:rFonts w:ascii="宋体" w:hAnsi="宋体" w:cs="宋体"/>
                <w:szCs w:val="21"/>
              </w:rPr>
            </w:pPr>
            <w:r>
              <w:rPr>
                <w:rFonts w:hint="eastAsia" w:ascii="宋体" w:hAnsi="宋体" w:cs="宋体"/>
                <w:szCs w:val="21"/>
              </w:rPr>
              <w:t>（3）投标人应在投标截止时间 18 日前停止提问。招标人应在投标截止时间15日前解答投标人对招标文件提出的疑问，形成答疑文件，在广州公共资源交易中心网站项目答疑专区发布。</w:t>
            </w:r>
          </w:p>
          <w:p>
            <w:pPr>
              <w:snapToGrid w:val="0"/>
              <w:spacing w:line="0" w:lineRule="atLeast"/>
              <w:rPr>
                <w:rFonts w:ascii="宋体" w:hAnsi="宋体" w:cs="宋体"/>
                <w:szCs w:val="21"/>
              </w:rPr>
            </w:pPr>
            <w:r>
              <w:rPr>
                <w:rFonts w:hint="eastAsia" w:ascii="宋体" w:hAnsi="宋体" w:cs="宋体"/>
                <w:szCs w:val="21"/>
              </w:rPr>
              <w:t>（4）招标答疑文件一经在广州公共资源交易中心网站发布，视作已发放给所有投标人。</w:t>
            </w:r>
          </w:p>
          <w:p>
            <w:pPr>
              <w:snapToGrid w:val="0"/>
              <w:spacing w:line="0" w:lineRule="atLeast"/>
              <w:rPr>
                <w:rFonts w:ascii="宋体" w:hAnsi="宋体" w:cs="宋体"/>
                <w:szCs w:val="21"/>
              </w:rPr>
            </w:pPr>
            <w:r>
              <w:rPr>
                <w:rFonts w:hint="eastAsia" w:ascii="宋体" w:hAnsi="宋体" w:cs="宋体"/>
                <w:szCs w:val="21"/>
              </w:rPr>
              <w:t>（5）招标答疑文件为招标文件的一部分。投标人可在广州公共资源交易中心网站浏览、下载招标答疑文件。</w:t>
            </w:r>
          </w:p>
          <w:p>
            <w:pPr>
              <w:snapToGrid w:val="0"/>
              <w:spacing w:line="0" w:lineRule="atLeast"/>
              <w:rPr>
                <w:rFonts w:ascii="宋体" w:hAnsi="宋体"/>
                <w:b/>
                <w:szCs w:val="21"/>
                <w:u w:val="single"/>
              </w:rPr>
            </w:pPr>
            <w:r>
              <w:rPr>
                <w:rFonts w:hint="eastAsia" w:ascii="宋体" w:hAnsi="宋体" w:cs="宋体"/>
                <w:szCs w:val="21"/>
              </w:rPr>
              <w:t>具体操作详见广州公共资源交易中心网站发布的最新版操作指引。</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2.2.2</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u w:val="single"/>
              </w:rPr>
            </w:pPr>
            <w:r>
              <w:rPr>
                <w:rFonts w:hint="eastAsia" w:ascii="宋体" w:hAnsi="宋体"/>
                <w:szCs w:val="21"/>
              </w:rPr>
              <w:t>发出时间：</w:t>
            </w:r>
            <w:r>
              <w:rPr>
                <w:rFonts w:hint="eastAsia" w:ascii="宋体" w:hAnsi="宋体" w:cs="宋体"/>
                <w:szCs w:val="21"/>
                <w:u w:val="single"/>
              </w:rPr>
              <w:t>2024年  月   日  时前（</w:t>
            </w:r>
            <w:r>
              <w:rPr>
                <w:rFonts w:hint="eastAsia" w:ascii="宋体" w:hAnsi="宋体"/>
                <w:szCs w:val="21"/>
                <w:u w:val="single"/>
              </w:rPr>
              <w:t>投标截止时间15日前</w:t>
            </w:r>
            <w:r>
              <w:rPr>
                <w:rFonts w:hint="eastAsia" w:ascii="宋体" w:hAnsi="宋体" w:cs="宋体"/>
                <w:szCs w:val="21"/>
                <w:u w:val="single"/>
              </w:rPr>
              <w:t>）</w:t>
            </w:r>
          </w:p>
          <w:p>
            <w:pPr>
              <w:jc w:val="left"/>
              <w:rPr>
                <w:rFonts w:ascii="宋体" w:hAnsi="宋体"/>
                <w:szCs w:val="21"/>
              </w:rPr>
            </w:pPr>
            <w:r>
              <w:rPr>
                <w:rFonts w:hint="eastAsia" w:ascii="宋体" w:hAnsi="宋体" w:cs="宋体"/>
                <w:szCs w:val="21"/>
              </w:rPr>
              <w:t>发出形式：</w:t>
            </w:r>
            <w:r>
              <w:rPr>
                <w:rFonts w:hint="eastAsia" w:ascii="宋体" w:hAnsi="宋体" w:cs="宋体"/>
                <w:szCs w:val="21"/>
                <w:u w:val="single"/>
              </w:rPr>
              <w:t>在广州公共资源交易中心网站通过项目答疑专区网上公开发布。本项目的招标文件澄清及答疑文件将在广州公共资源交易中心网上发布，投标人自行下载。从招标文件澄清及答疑文件发布之日起即视为投标人已确认收到。</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ascii="宋体" w:hAnsi="宋体"/>
                <w:szCs w:val="21"/>
              </w:rPr>
              <w:t>2.2.3</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投标人确认收到招标文件澄清</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时间：</w:t>
            </w:r>
            <w:r>
              <w:rPr>
                <w:rFonts w:hint="eastAsia" w:ascii="宋体" w:hAnsi="宋体"/>
                <w:szCs w:val="21"/>
                <w:u w:val="single"/>
              </w:rPr>
              <w:t>从招标文件澄清及答疑文件发布之日起即视为投标人已确认收到。</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形式：</w:t>
            </w:r>
            <w:r>
              <w:rPr>
                <w:rFonts w:hint="eastAsia" w:ascii="宋体" w:hAnsi="宋体"/>
                <w:szCs w:val="21"/>
                <w:u w:val="single"/>
              </w:rPr>
              <w:t>本项目的招标文件澄清及答疑文件将在广州公共资源交易中心网</w:t>
            </w:r>
            <w:r>
              <w:rPr>
                <w:rFonts w:hint="eastAsia" w:ascii="宋体" w:hAnsi="宋体"/>
                <w:szCs w:val="21"/>
              </w:rPr>
              <w:t>站</w:t>
            </w:r>
            <w:r>
              <w:rPr>
                <w:rFonts w:hint="eastAsia" w:ascii="宋体" w:hAnsi="宋体"/>
                <w:szCs w:val="21"/>
                <w:u w:val="single"/>
              </w:rPr>
              <w:t>发布，投标人自行下载。</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2.3.1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招标文件修改发出的形式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cs="宋体"/>
                <w:szCs w:val="21"/>
                <w:u w:val="single"/>
              </w:rPr>
              <w:t>在广州公共资源交易中心网站项目答疑专区或以补充公告形式发布。</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ascii="宋体" w:hAnsi="宋体"/>
                <w:szCs w:val="21"/>
              </w:rPr>
              <w:t>2.3.2</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投标人确认收到招标文件修改</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时间：</w:t>
            </w:r>
            <w:r>
              <w:rPr>
                <w:rFonts w:hint="eastAsia" w:ascii="宋体" w:hAnsi="宋体" w:cs="宋体"/>
                <w:szCs w:val="21"/>
                <w:u w:val="single"/>
              </w:rPr>
              <w:t>从招标文件修改文件发布之日起即视为投标人已确认收到。</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形式：</w:t>
            </w:r>
            <w:r>
              <w:rPr>
                <w:rFonts w:hint="eastAsia" w:ascii="宋体" w:hAnsi="宋体" w:cs="宋体"/>
                <w:szCs w:val="21"/>
                <w:u w:val="single"/>
              </w:rPr>
              <w:t>招标文件修改一经在广州公共资源交易中心网站发布，视作已发放给所有投标人，无需确认。潜在投标人应自行关注广州公共资源交易中心的网站公告，招标人不再一一通知。投标人因自身贻误行为导致投标失败的，责任自负。</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3.1.1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构成投标文件的其他资料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Cs w:val="21"/>
              </w:rPr>
            </w:pPr>
            <w:r>
              <w:rPr>
                <w:rFonts w:hint="eastAsia" w:ascii="宋体" w:hAnsi="宋体"/>
                <w:szCs w:val="21"/>
                <w:u w:val="single"/>
              </w:rPr>
              <w:t>满足本项目评审要求的其他资料</w:t>
            </w:r>
            <w:r>
              <w:rPr>
                <w:rFonts w:hint="eastAsia" w:ascii="宋体" w:hAnsi="宋体" w:cs="宋体"/>
                <w:szCs w:val="21"/>
                <w:u w:val="single"/>
              </w:rPr>
              <w:t>及投标人认为需要提交的其他证明材料</w:t>
            </w:r>
            <w:r>
              <w:rPr>
                <w:rFonts w:hint="eastAsia" w:ascii="宋体" w:hAnsi="宋体"/>
                <w:szCs w:val="21"/>
                <w:u w:val="single"/>
              </w:rPr>
              <w:t>。</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增值税税金的计算方法</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Cs w:val="21"/>
              </w:rPr>
            </w:pPr>
            <w:r>
              <w:rPr>
                <w:rFonts w:hint="eastAsia" w:ascii="宋体" w:hAnsi="宋体" w:cs="宋体"/>
                <w:szCs w:val="21"/>
              </w:rPr>
              <w:t>按国家税务机关的规定执行。</w:t>
            </w:r>
          </w:p>
        </w:tc>
      </w:tr>
      <w:tr>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3.2.4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最高投标限价</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w:t>
            </w:r>
            <w:r>
              <w:rPr>
                <w:rFonts w:hint="eastAsia" w:ascii="宋体" w:hAnsi="宋体"/>
                <w:szCs w:val="21"/>
              </w:rPr>
              <w:t>无</w:t>
            </w:r>
          </w:p>
          <w:p>
            <w:pPr>
              <w:jc w:val="left"/>
              <w:rPr>
                <w:rFonts w:ascii="宋体" w:hAnsi="宋体"/>
                <w:b/>
                <w:szCs w:val="21"/>
              </w:rPr>
            </w:pPr>
            <w:r>
              <w:rPr>
                <w:rFonts w:hint="eastAsia" w:ascii="宋体" w:hAnsi="宋体" w:cs="宋体"/>
                <w:szCs w:val="21"/>
              </w:rPr>
              <w:t>☑</w:t>
            </w:r>
            <w:r>
              <w:rPr>
                <w:rFonts w:hint="eastAsia" w:ascii="宋体" w:hAnsi="宋体"/>
                <w:szCs w:val="21"/>
              </w:rPr>
              <w:t>有，最高投标限价：</w:t>
            </w:r>
            <w:r>
              <w:rPr>
                <w:rFonts w:hint="eastAsia" w:ascii="宋体" w:hAnsi="宋体"/>
                <w:szCs w:val="21"/>
                <w:u w:val="single"/>
              </w:rPr>
              <w:t>人民币584.565359万元</w:t>
            </w:r>
            <w:r>
              <w:rPr>
                <w:rFonts w:hint="eastAsia" w:ascii="宋体" w:hAnsi="宋体"/>
                <w:szCs w:val="21"/>
              </w:rPr>
              <w:t>。</w:t>
            </w:r>
          </w:p>
          <w:p>
            <w:pPr>
              <w:jc w:val="left"/>
              <w:rPr>
                <w:rFonts w:ascii="宋体" w:hAnsi="宋体"/>
                <w:szCs w:val="21"/>
              </w:rPr>
            </w:pPr>
            <w:r>
              <w:rPr>
                <w:rFonts w:hint="eastAsia" w:ascii="宋体" w:hAnsi="宋体"/>
                <w:b/>
                <w:szCs w:val="21"/>
              </w:rPr>
              <w:t>投标人报价不得高于最高投标限价，否则做无效标处理。</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3.2.5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投标报价的其他要求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spacing w:line="0" w:lineRule="atLeast"/>
              <w:rPr>
                <w:rFonts w:ascii="宋体" w:hAnsi="宋体" w:cs="宋体"/>
                <w:szCs w:val="21"/>
              </w:rPr>
            </w:pPr>
            <w:r>
              <w:rPr>
                <w:rFonts w:hint="eastAsia" w:ascii="宋体" w:hAnsi="宋体" w:cs="宋体"/>
                <w:szCs w:val="21"/>
              </w:rPr>
              <w:t>1、各投标单位在</w:t>
            </w:r>
            <w:r>
              <w:rPr>
                <w:rFonts w:hint="eastAsia" w:ascii="宋体" w:hAnsi="宋体"/>
                <w:szCs w:val="21"/>
              </w:rPr>
              <w:t>最高投标限价</w:t>
            </w:r>
            <w:r>
              <w:rPr>
                <w:rFonts w:hint="eastAsia" w:ascii="宋体" w:hAnsi="宋体" w:cs="宋体"/>
                <w:szCs w:val="21"/>
              </w:rPr>
              <w:t>内根据企业自身实力进行总价报价（以元为单位，保留两位小数，第三位小数四舍五入）。</w:t>
            </w:r>
          </w:p>
          <w:p>
            <w:pPr>
              <w:snapToGrid w:val="0"/>
              <w:spacing w:line="0" w:lineRule="atLeast"/>
              <w:rPr>
                <w:rFonts w:ascii="宋体" w:hAnsi="宋体" w:cs="宋体"/>
                <w:szCs w:val="21"/>
              </w:rPr>
            </w:pPr>
            <w:r>
              <w:rPr>
                <w:rFonts w:hint="eastAsia" w:ascii="宋体" w:hAnsi="宋体" w:cs="宋体"/>
                <w:szCs w:val="21"/>
              </w:rPr>
              <w:t>2、投标人应根据招标文件的要求，参照分项报价表格式规定的填报内容在分项报价表上标明投标内容的单价、数量、金额和投标总报价。</w:t>
            </w:r>
          </w:p>
          <w:p>
            <w:pPr>
              <w:snapToGrid w:val="0"/>
              <w:spacing w:line="0" w:lineRule="atLeast"/>
              <w:rPr>
                <w:rFonts w:ascii="宋体" w:hAnsi="宋体" w:cs="宋体"/>
                <w:szCs w:val="21"/>
              </w:rPr>
            </w:pPr>
            <w:r>
              <w:rPr>
                <w:rFonts w:hint="eastAsia" w:ascii="宋体" w:hAnsi="宋体" w:cs="宋体"/>
                <w:szCs w:val="21"/>
              </w:rPr>
              <w:t>3、投标人的报价，应是其按第五章“用户需求书”完成采购、安装的所有费用。</w:t>
            </w:r>
          </w:p>
          <w:p>
            <w:pPr>
              <w:jc w:val="left"/>
            </w:pPr>
            <w:r>
              <w:rPr>
                <w:rFonts w:hint="eastAsia" w:ascii="宋体" w:hAnsi="宋体" w:cs="宋体"/>
                <w:szCs w:val="21"/>
                <w:u w:val="single"/>
              </w:rPr>
              <w:t>4、本项目承包方式为总价包干，具体详见合同条款约定。</w:t>
            </w:r>
          </w:p>
        </w:tc>
      </w:tr>
      <w:tr>
        <w:tblPrEx>
          <w:tblCellMar>
            <w:top w:w="0" w:type="dxa"/>
            <w:left w:w="108" w:type="dxa"/>
            <w:bottom w:w="0" w:type="dxa"/>
            <w:right w:w="108" w:type="dxa"/>
          </w:tblCellMar>
        </w:tblPrEx>
        <w:trPr>
          <w:trHeight w:val="110"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3.3.1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投标有效期</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
                <w:szCs w:val="21"/>
                <w:u w:val="single"/>
              </w:rPr>
            </w:pPr>
            <w:r>
              <w:rPr>
                <w:rFonts w:hint="eastAsia" w:ascii="宋体" w:hAnsi="宋体"/>
                <w:szCs w:val="21"/>
              </w:rPr>
              <w:t>120日历天（从投标截止之日算起）</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3.4.1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投标保证金</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szCs w:val="21"/>
                <w:u w:val="single"/>
              </w:rPr>
              <w:t>本项目不要求投标人递交投标保证金</w:t>
            </w:r>
            <w:r>
              <w:rPr>
                <w:rFonts w:hint="eastAsia" w:ascii="宋体" w:hAnsi="宋体" w:cs="宋体"/>
                <w:szCs w:val="21"/>
                <w:u w:val="single"/>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pStyle w:val="26"/>
              <w:kinsoku w:val="0"/>
              <w:overflowPunct w:val="0"/>
              <w:spacing w:before="150"/>
              <w:rPr>
                <w:rFonts w:ascii="宋体" w:hAnsi="宋体"/>
                <w:szCs w:val="21"/>
              </w:rPr>
            </w:pPr>
            <w:r>
              <w:rPr>
                <w:rFonts w:hint="eastAsia" w:ascii="宋体" w:hAnsi="宋体" w:cs="宋体"/>
                <w:sz w:val="21"/>
                <w:szCs w:val="21"/>
              </w:rPr>
              <w:t>3.4.4</w:t>
            </w:r>
          </w:p>
        </w:tc>
        <w:tc>
          <w:tcPr>
            <w:tcW w:w="2114" w:type="dxa"/>
            <w:tcBorders>
              <w:top w:val="single" w:color="auto" w:sz="4" w:space="0"/>
              <w:left w:val="single" w:color="auto" w:sz="4" w:space="0"/>
              <w:bottom w:val="single" w:color="auto" w:sz="4" w:space="0"/>
              <w:right w:val="single" w:color="auto" w:sz="4" w:space="0"/>
            </w:tcBorders>
            <w:noWrap/>
            <w:vAlign w:val="center"/>
          </w:tcPr>
          <w:p>
            <w:pPr>
              <w:pStyle w:val="26"/>
              <w:kinsoku w:val="0"/>
              <w:overflowPunct w:val="0"/>
              <w:spacing w:before="150"/>
              <w:rPr>
                <w:rFonts w:ascii="宋体" w:hAnsi="宋体"/>
                <w:szCs w:val="21"/>
              </w:rPr>
            </w:pPr>
            <w:r>
              <w:rPr>
                <w:rFonts w:hint="eastAsia" w:ascii="宋体" w:hAnsi="宋体" w:cs="宋体"/>
                <w:sz w:val="21"/>
                <w:szCs w:val="21"/>
              </w:rPr>
              <w:t>其他可以不予退还投标保证金的情形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资格审查资料的特殊要求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ind w:right="141" w:rightChars="67"/>
              <w:rPr>
                <w:rFonts w:ascii="宋体" w:hAnsi="宋体"/>
                <w:szCs w:val="21"/>
              </w:rPr>
            </w:pPr>
            <w:r>
              <w:rPr>
                <w:rFonts w:hint="eastAsia" w:ascii="宋体" w:hAnsi="宋体" w:cs="宋体"/>
                <w:szCs w:val="21"/>
              </w:rPr>
              <w:t>☑</w:t>
            </w:r>
            <w:r>
              <w:rPr>
                <w:rFonts w:hint="eastAsia" w:ascii="宋体" w:hAnsi="宋体"/>
                <w:szCs w:val="21"/>
              </w:rPr>
              <w:t>无</w:t>
            </w:r>
          </w:p>
          <w:p>
            <w:pPr>
              <w:topLinePunct/>
              <w:jc w:val="left"/>
              <w:rPr>
                <w:rFonts w:ascii="宋体" w:hAnsi="宋体"/>
                <w:kern w:val="0"/>
                <w:szCs w:val="21"/>
              </w:rPr>
            </w:pPr>
            <w:r>
              <w:rPr>
                <w:rFonts w:hint="eastAsia" w:ascii="宋体" w:hAnsi="宋体"/>
                <w:spacing w:val="-1"/>
                <w:szCs w:val="21"/>
              </w:rPr>
              <w:t>□</w:t>
            </w:r>
            <w:r>
              <w:rPr>
                <w:rFonts w:hint="eastAsia" w:ascii="宋体" w:hAnsi="宋体"/>
                <w:szCs w:val="21"/>
              </w:rPr>
              <w:t>有，具</w:t>
            </w:r>
            <w:r>
              <w:rPr>
                <w:rFonts w:hint="eastAsia" w:ascii="宋体" w:hAnsi="宋体"/>
                <w:spacing w:val="-2"/>
                <w:szCs w:val="21"/>
              </w:rPr>
              <w:t>体</w:t>
            </w:r>
            <w:r>
              <w:rPr>
                <w:rFonts w:hint="eastAsia" w:ascii="宋体" w:hAnsi="宋体"/>
                <w:szCs w:val="21"/>
              </w:rPr>
              <w:t>要</w:t>
            </w:r>
            <w:r>
              <w:rPr>
                <w:rFonts w:hint="eastAsia" w:ascii="宋体" w:hAnsi="宋体"/>
                <w:spacing w:val="-2"/>
                <w:szCs w:val="21"/>
              </w:rPr>
              <w:t>求</w:t>
            </w:r>
            <w:r>
              <w:rPr>
                <w:rFonts w:hint="eastAsia" w:ascii="宋体" w:hAnsi="宋体"/>
                <w:szCs w:val="21"/>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3.5.2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近年财务状况的年份要求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left"/>
              <w:rPr>
                <w:rFonts w:ascii="宋体" w:hAnsi="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3.5.3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近年完成的类似项目情况的时间要求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left"/>
              <w:rPr>
                <w:rFonts w:ascii="宋体" w:hAnsi="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3.5.5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近年发生的诉讼及仲裁情况的时间要求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left"/>
              <w:rPr>
                <w:rFonts w:ascii="宋体" w:hAnsi="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3.6.1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是否允许递交备选投标方案</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cs="宋体"/>
                <w:szCs w:val="21"/>
              </w:rPr>
              <w:t>☑</w:t>
            </w:r>
            <w:r>
              <w:rPr>
                <w:rFonts w:hint="eastAsia" w:ascii="宋体" w:hAnsi="宋体"/>
                <w:kern w:val="0"/>
                <w:szCs w:val="21"/>
              </w:rPr>
              <w:t>不允许</w:t>
            </w:r>
          </w:p>
          <w:p>
            <w:pPr>
              <w:jc w:val="left"/>
              <w:rPr>
                <w:rFonts w:ascii="宋体" w:hAnsi="宋体"/>
                <w:szCs w:val="21"/>
              </w:rPr>
            </w:pPr>
            <w:r>
              <w:rPr>
                <w:rFonts w:ascii="宋体" w:hAnsi="宋体"/>
                <w:szCs w:val="21"/>
              </w:rPr>
              <w:t>□</w:t>
            </w:r>
            <w:r>
              <w:rPr>
                <w:rFonts w:hint="eastAsia" w:ascii="宋体" w:hAnsi="宋体"/>
                <w:szCs w:val="21"/>
              </w:rPr>
              <w:t>允许</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投标文件所附证书证件要求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kern w:val="0"/>
                <w:szCs w:val="21"/>
              </w:rPr>
              <w:t>证书证件需为原件清晰扫描件，并采用单位数字证书，按照招标文件要求在相应位置加盖电子印章。</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投标文件签字或盖章要求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ascii="宋体" w:hAnsi="宋体"/>
                <w:szCs w:val="21"/>
              </w:rPr>
              <w:t>投标文件全部采用电子文档，投标文件所附证书证件均为扫描件，并采用单位数字证书，按招标文件要求在相应位置加盖电子印章。投标文件中需个人签字或盖章的，应手签后扫描上传。具体操作详见附件《房屋建筑和市政基础设施工程全流程电子化项目专章》。</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4.1.1</w:t>
            </w:r>
            <w:r>
              <w:rPr>
                <w:rFonts w:hint="eastAsia" w:ascii="宋体" w:hAnsi="宋体"/>
                <w:szCs w:val="21"/>
              </w:rPr>
              <w:t>（</w:t>
            </w:r>
            <w:r>
              <w:rPr>
                <w:rFonts w:ascii="宋体" w:hAnsi="宋体"/>
                <w:szCs w:val="21"/>
              </w:rPr>
              <w:t>B</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投标文件加密要求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1.网上递交的电子投标文件须进行加密。具体操作详见《房屋建筑和市政基础设施工程全流程电子化项目专章》。</w:t>
            </w:r>
          </w:p>
          <w:p>
            <w:pPr>
              <w:topLinePunct/>
              <w:jc w:val="left"/>
              <w:rPr>
                <w:rFonts w:ascii="宋体" w:hAnsi="宋体"/>
                <w:kern w:val="0"/>
                <w:szCs w:val="21"/>
              </w:rPr>
            </w:pPr>
            <w:r>
              <w:rPr>
                <w:rFonts w:ascii="宋体" w:hAnsi="宋体"/>
                <w:szCs w:val="21"/>
              </w:rPr>
              <w:t>2.未按要求密封的投标文件，招标人将予以拒收。</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ascii="宋体" w:hAnsi="宋体"/>
                <w:b/>
                <w:szCs w:val="21"/>
              </w:rPr>
              <w:t>4.1.2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备用光盘封套上应载明的信息</w:t>
            </w:r>
          </w:p>
        </w:tc>
        <w:tc>
          <w:tcPr>
            <w:tcW w:w="5849" w:type="dxa"/>
            <w:tcBorders>
              <w:top w:val="single" w:color="auto" w:sz="4" w:space="0"/>
              <w:left w:val="single" w:color="auto" w:sz="4" w:space="0"/>
              <w:bottom w:val="single" w:color="auto" w:sz="4" w:space="0"/>
              <w:right w:val="single" w:color="auto" w:sz="4" w:space="0"/>
            </w:tcBorders>
            <w:noWrap/>
            <w:vAlign w:val="center"/>
          </w:tcPr>
          <w:p>
            <w:pPr>
              <w:pStyle w:val="26"/>
              <w:tabs>
                <w:tab w:val="left" w:pos="1157"/>
              </w:tabs>
              <w:kinsoku w:val="0"/>
              <w:overflowPunct w:val="0"/>
              <w:spacing w:line="0" w:lineRule="atLeast"/>
              <w:rPr>
                <w:rFonts w:ascii="宋体" w:hAnsi="宋体" w:cs="宋体"/>
                <w:sz w:val="21"/>
                <w:szCs w:val="21"/>
              </w:rPr>
            </w:pPr>
            <w:r>
              <w:rPr>
                <w:rFonts w:hint="eastAsia" w:ascii="宋体" w:hAnsi="宋体" w:cs="宋体"/>
                <w:b/>
                <w:bCs/>
                <w:sz w:val="21"/>
                <w:szCs w:val="21"/>
              </w:rPr>
              <w:t>如有</w:t>
            </w:r>
            <w:r>
              <w:rPr>
                <w:rFonts w:hint="eastAsia" w:ascii="宋体" w:hAnsi="宋体" w:cs="宋体"/>
                <w:sz w:val="21"/>
                <w:szCs w:val="21"/>
              </w:rPr>
              <w:t>提交投标文件光盘备用，封套上应注明如下信息：</w:t>
            </w:r>
          </w:p>
          <w:p>
            <w:pPr>
              <w:pStyle w:val="26"/>
              <w:tabs>
                <w:tab w:val="left" w:pos="1157"/>
              </w:tabs>
              <w:kinsoku w:val="0"/>
              <w:overflowPunct w:val="0"/>
              <w:spacing w:line="0" w:lineRule="atLeast"/>
              <w:rPr>
                <w:rFonts w:ascii="宋体" w:hAnsi="宋体" w:cs="宋体"/>
                <w:sz w:val="21"/>
                <w:szCs w:val="21"/>
                <w:u w:val="single"/>
              </w:rPr>
            </w:pPr>
            <w:r>
              <w:rPr>
                <w:rFonts w:hint="eastAsia" w:ascii="宋体" w:hAnsi="宋体" w:cs="宋体"/>
                <w:sz w:val="21"/>
                <w:szCs w:val="21"/>
              </w:rPr>
              <w:t>投标人名称：</w:t>
            </w:r>
            <w:r>
              <w:rPr>
                <w:rFonts w:hint="eastAsia" w:ascii="宋体" w:hAnsi="宋体" w:cs="宋体"/>
                <w:sz w:val="21"/>
                <w:szCs w:val="21"/>
                <w:u w:val="single"/>
              </w:rPr>
              <w:t xml:space="preserve">         </w:t>
            </w:r>
          </w:p>
          <w:p>
            <w:pPr>
              <w:pStyle w:val="26"/>
              <w:tabs>
                <w:tab w:val="left" w:pos="1157"/>
              </w:tabs>
              <w:kinsoku w:val="0"/>
              <w:overflowPunct w:val="0"/>
              <w:spacing w:line="0" w:lineRule="atLeast"/>
              <w:rPr>
                <w:rFonts w:ascii="宋体" w:hAnsi="宋体" w:cs="宋体"/>
                <w:sz w:val="21"/>
                <w:szCs w:val="21"/>
              </w:rPr>
            </w:pPr>
            <w:r>
              <w:rPr>
                <w:rFonts w:hint="eastAsia" w:ascii="宋体" w:hAnsi="宋体" w:cs="宋体"/>
                <w:sz w:val="21"/>
                <w:szCs w:val="21"/>
                <w:u w:val="single"/>
              </w:rPr>
              <w:t xml:space="preserve">      （项目名称）</w:t>
            </w:r>
            <w:r>
              <w:rPr>
                <w:rFonts w:hint="eastAsia" w:ascii="宋体" w:hAnsi="宋体" w:cs="宋体"/>
                <w:sz w:val="21"/>
                <w:szCs w:val="21"/>
              </w:rPr>
              <w:t>投标文件</w:t>
            </w:r>
          </w:p>
          <w:p>
            <w:pPr>
              <w:topLinePunct/>
              <w:jc w:val="left"/>
              <w:rPr>
                <w:rFonts w:ascii="宋体" w:hAnsi="宋体"/>
                <w:kern w:val="0"/>
                <w:szCs w:val="21"/>
              </w:rPr>
            </w:pPr>
            <w:r>
              <w:rPr>
                <w:rFonts w:hint="eastAsia" w:ascii="宋体" w:hAnsi="宋体" w:cs="宋体"/>
                <w:szCs w:val="21"/>
              </w:rPr>
              <w:t>在</w:t>
            </w:r>
            <w:r>
              <w:rPr>
                <w:rFonts w:hint="eastAsia" w:ascii="宋体" w:hAnsi="宋体" w:cs="宋体"/>
                <w:szCs w:val="21"/>
                <w:u w:val="single"/>
              </w:rPr>
              <w:t xml:space="preserve">    年    月    日    时   分前</w:t>
            </w:r>
            <w:r>
              <w:rPr>
                <w:rFonts w:hint="eastAsia" w:ascii="宋体" w:hAnsi="宋体" w:cs="宋体"/>
                <w:szCs w:val="21"/>
              </w:rPr>
              <w:t>不得开启</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投标截止时间</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u w:val="single"/>
              </w:rPr>
            </w:pPr>
            <w:r>
              <w:rPr>
                <w:rFonts w:hint="eastAsia" w:ascii="宋体" w:hAnsi="宋体"/>
                <w:szCs w:val="21"/>
                <w:u w:val="single"/>
              </w:rPr>
              <w:t>投标截止时间：2024年</w:t>
            </w:r>
            <w:r>
              <w:rPr>
                <w:rFonts w:hint="eastAsia" w:ascii="宋体" w:hAnsi="宋体"/>
                <w:szCs w:val="21"/>
                <w:u w:val="single"/>
                <w:lang w:val="en-US" w:eastAsia="zh-CN"/>
              </w:rPr>
              <w:t>6</w:t>
            </w:r>
            <w:r>
              <w:rPr>
                <w:rFonts w:hint="eastAsia" w:ascii="宋体" w:hAnsi="宋体"/>
                <w:szCs w:val="21"/>
                <w:u w:val="single"/>
              </w:rPr>
              <w:t>月</w:t>
            </w:r>
            <w:r>
              <w:rPr>
                <w:rFonts w:hint="eastAsia" w:ascii="宋体" w:hAnsi="宋体"/>
                <w:szCs w:val="21"/>
                <w:u w:val="single"/>
                <w:lang w:val="en-US" w:eastAsia="zh-CN"/>
              </w:rPr>
              <w:t>26</w:t>
            </w:r>
            <w:r>
              <w:rPr>
                <w:rFonts w:hint="eastAsia" w:ascii="宋体" w:hAnsi="宋体"/>
                <w:szCs w:val="21"/>
                <w:u w:val="single"/>
              </w:rPr>
              <w:t>日</w:t>
            </w:r>
            <w:r>
              <w:rPr>
                <w:rFonts w:hint="eastAsia" w:ascii="宋体" w:hAnsi="宋体"/>
                <w:szCs w:val="21"/>
                <w:u w:val="single"/>
                <w:lang w:val="en-US" w:eastAsia="zh-CN"/>
              </w:rPr>
              <w:t>10</w:t>
            </w:r>
            <w:r>
              <w:rPr>
                <w:rFonts w:hint="eastAsia" w:ascii="宋体" w:hAnsi="宋体"/>
                <w:szCs w:val="21"/>
                <w:u w:val="single"/>
              </w:rPr>
              <w:t>时</w:t>
            </w:r>
            <w:r>
              <w:rPr>
                <w:rFonts w:hint="eastAsia" w:ascii="宋体" w:hAnsi="宋体"/>
                <w:szCs w:val="21"/>
                <w:u w:val="single"/>
                <w:lang w:val="en-US" w:eastAsia="zh-CN"/>
              </w:rPr>
              <w:t>00</w:t>
            </w:r>
            <w:bookmarkStart w:id="161" w:name="_GoBack"/>
            <w:bookmarkEnd w:id="161"/>
            <w:r>
              <w:rPr>
                <w:rFonts w:hint="eastAsia" w:ascii="宋体" w:hAnsi="宋体"/>
                <w:szCs w:val="21"/>
                <w:u w:val="single"/>
              </w:rPr>
              <w:t>分（北京时间）</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4.2.2</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递交投标文件地点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4.2.3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投标文件是否退还</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kern w:val="0"/>
                <w:szCs w:val="21"/>
              </w:rPr>
              <w:t>☑否</w:t>
            </w:r>
          </w:p>
          <w:p>
            <w:pPr>
              <w:topLinePunct/>
              <w:jc w:val="left"/>
              <w:rPr>
                <w:rFonts w:ascii="宋体" w:hAnsi="宋体"/>
                <w:kern w:val="0"/>
                <w:szCs w:val="21"/>
              </w:rPr>
            </w:pPr>
            <w:r>
              <w:rPr>
                <w:rFonts w:ascii="宋体" w:hAnsi="宋体"/>
                <w:kern w:val="0"/>
                <w:szCs w:val="21"/>
              </w:rPr>
              <w:t>□</w:t>
            </w:r>
            <w:r>
              <w:rPr>
                <w:rFonts w:hint="eastAsia" w:ascii="宋体" w:hAnsi="宋体"/>
                <w:kern w:val="0"/>
                <w:szCs w:val="21"/>
              </w:rPr>
              <w:t>是，退还时间：</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ascii="宋体" w:hAnsi="宋体"/>
                <w:szCs w:val="21"/>
              </w:rPr>
              <w:t>5.1</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hint="eastAsia" w:ascii="宋体" w:hAnsi="宋体"/>
                <w:szCs w:val="21"/>
              </w:rPr>
              <w:t>开标时间和地点</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3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ascii="宋体" w:hAnsi="宋体"/>
                <w:szCs w:val="21"/>
              </w:rPr>
              <w:t>5.1</w:t>
            </w:r>
            <w:r>
              <w:rPr>
                <w:rFonts w:hint="eastAsia" w:ascii="宋体" w:hAnsi="宋体"/>
                <w:szCs w:val="21"/>
              </w:rPr>
              <w:t>（B）（新增）</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hint="eastAsia" w:ascii="宋体" w:hAnsi="宋体"/>
                <w:szCs w:val="21"/>
              </w:rPr>
              <w:t>开标时间和地点</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szCs w:val="21"/>
              </w:rPr>
            </w:pPr>
            <w:r>
              <w:rPr>
                <w:rFonts w:hint="eastAsia" w:ascii="宋体" w:hAnsi="宋体"/>
                <w:szCs w:val="21"/>
              </w:rPr>
              <w:t>开标时间：</w:t>
            </w:r>
            <w:r>
              <w:rPr>
                <w:rFonts w:hint="eastAsia" w:ascii="宋体" w:hAnsi="宋体"/>
                <w:szCs w:val="21"/>
                <w:u w:val="single"/>
              </w:rPr>
              <w:t>同投标截止时间</w:t>
            </w:r>
          </w:p>
          <w:p>
            <w:pPr>
              <w:jc w:val="left"/>
              <w:rPr>
                <w:rFonts w:ascii="宋体" w:hAnsi="宋体"/>
                <w:szCs w:val="21"/>
              </w:rPr>
            </w:pPr>
            <w:r>
              <w:rPr>
                <w:rFonts w:hint="eastAsia" w:ascii="宋体" w:hAnsi="宋体"/>
                <w:szCs w:val="21"/>
              </w:rPr>
              <w:t>开标地点：</w:t>
            </w:r>
            <w:r>
              <w:rPr>
                <w:rFonts w:hint="eastAsia" w:ascii="宋体" w:hAnsi="宋体"/>
                <w:szCs w:val="21"/>
                <w:u w:val="single"/>
              </w:rPr>
              <w:t>广州公共资源交易中心</w:t>
            </w:r>
          </w:p>
          <w:p>
            <w:pPr>
              <w:ind w:firstLine="420" w:firstLineChars="200"/>
              <w:jc w:val="left"/>
              <w:rPr>
                <w:rFonts w:ascii="宋体" w:hAnsi="宋体"/>
                <w:szCs w:val="21"/>
                <w:u w:val="single"/>
              </w:rPr>
            </w:pPr>
            <w:r>
              <w:rPr>
                <w:rFonts w:hint="eastAsia" w:ascii="宋体" w:hAnsi="宋体"/>
                <w:szCs w:val="21"/>
                <w:u w:val="single"/>
              </w:rPr>
              <w:t>本电子招投标项目在本章4.2.1项规定的投标截止时间（开标时间），在广州公共资源交易中心公开开标，并邀请所有投标人的法定代表人或其委托代理人准时参加。投标人也可选择参加在线开标，具体按照交易平台相关指南进行操作。详见：广州公共资源交易中心网站。</w:t>
            </w:r>
          </w:p>
          <w:p>
            <w:pPr>
              <w:ind w:firstLine="420" w:firstLineChars="200"/>
              <w:jc w:val="left"/>
              <w:rPr>
                <w:rFonts w:ascii="宋体" w:hAnsi="宋体"/>
                <w:szCs w:val="21"/>
              </w:rPr>
            </w:pPr>
            <w:r>
              <w:rPr>
                <w:rFonts w:hint="eastAsia" w:ascii="宋体" w:hAnsi="宋体"/>
                <w:szCs w:val="21"/>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ascii="宋体" w:hAnsi="宋体"/>
                <w:szCs w:val="21"/>
              </w:rPr>
              <w:t>5.2</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hint="eastAsia" w:ascii="宋体" w:hAnsi="宋体"/>
                <w:szCs w:val="21"/>
              </w:rPr>
              <w:t>开标程序</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szCs w:val="21"/>
              </w:rPr>
            </w:pPr>
            <w:r>
              <w:rPr>
                <w:rFonts w:hint="eastAsia" w:ascii="宋体" w:hAnsi="宋体"/>
                <w:szCs w:val="21"/>
              </w:rPr>
              <w:t>开标顺序：/</w:t>
            </w:r>
          </w:p>
        </w:tc>
      </w:tr>
      <w:tr>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ascii="宋体" w:hAnsi="宋体"/>
                <w:szCs w:val="21"/>
              </w:rPr>
              <w:t>5.</w:t>
            </w:r>
            <w:r>
              <w:rPr>
                <w:rFonts w:hint="eastAsia" w:ascii="宋体" w:hAnsi="宋体"/>
                <w:szCs w:val="21"/>
              </w:rPr>
              <w:t>2（B）(新增)</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hint="eastAsia" w:ascii="宋体" w:hAnsi="宋体"/>
                <w:szCs w:val="21"/>
              </w:rPr>
              <w:t>开标程序</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szCs w:val="21"/>
              </w:rPr>
            </w:pPr>
            <w:r>
              <w:rPr>
                <w:rFonts w:hint="eastAsia" w:ascii="宋体" w:hAnsi="宋体"/>
                <w:szCs w:val="21"/>
              </w:rPr>
              <w:t>开标程序调整如下：</w:t>
            </w:r>
          </w:p>
          <w:p>
            <w:pPr>
              <w:jc w:val="left"/>
              <w:rPr>
                <w:rFonts w:ascii="宋体" w:hAnsi="宋体"/>
                <w:szCs w:val="21"/>
              </w:rPr>
            </w:pPr>
            <w:r>
              <w:rPr>
                <w:rFonts w:ascii="宋体" w:hAnsi="宋体"/>
                <w:szCs w:val="21"/>
              </w:rPr>
              <w:t>5.2.1</w:t>
            </w:r>
            <w:r>
              <w:rPr>
                <w:rFonts w:hint="eastAsia" w:ascii="宋体" w:hAnsi="宋体"/>
                <w:szCs w:val="21"/>
              </w:rPr>
              <w:t>主持人按下列程序进行开标：</w:t>
            </w:r>
          </w:p>
          <w:p>
            <w:pPr>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）宣布开标纪律；</w:t>
            </w:r>
          </w:p>
          <w:p>
            <w:pPr>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）公布在投标截止时间前递交投标文件的投标人名称；</w:t>
            </w:r>
          </w:p>
          <w:p>
            <w:pPr>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）宣布开标人、唱标人、记录人、监标人等有关人员姓名；</w:t>
            </w:r>
          </w:p>
          <w:p>
            <w:pPr>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B</w:t>
            </w:r>
            <w:r>
              <w:rPr>
                <w:rFonts w:hint="eastAsia" w:ascii="宋体" w:hAnsi="宋体"/>
                <w:szCs w:val="21"/>
              </w:rPr>
              <w:t>）投标人通过电子招标投标交易平台对已递交的电子投标文件进行解密，招标人或招标代理公布招标项目名称、投标人名称、投标报价及其他内容，并记录在案；</w:t>
            </w:r>
          </w:p>
          <w:p>
            <w:pPr>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B</w:t>
            </w:r>
            <w:r>
              <w:rPr>
                <w:rFonts w:hint="eastAsia" w:ascii="宋体" w:hAnsi="宋体"/>
                <w:szCs w:val="21"/>
              </w:rPr>
              <w:t>）投标人代表、招标人代表、监标人、记录人等有关人员在开标记录上签字确认；若有关人员不签字的，不影响开标程序；</w:t>
            </w:r>
          </w:p>
          <w:p>
            <w:pPr>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）开标结束。</w:t>
            </w:r>
          </w:p>
          <w:p>
            <w:pPr>
              <w:jc w:val="left"/>
              <w:rPr>
                <w:rFonts w:ascii="宋体" w:hAnsi="宋体"/>
                <w:szCs w:val="21"/>
              </w:rPr>
            </w:pPr>
            <w:r>
              <w:rPr>
                <w:rFonts w:ascii="宋体" w:hAnsi="宋体"/>
                <w:szCs w:val="21"/>
              </w:rPr>
              <w:t>5.2.2</w:t>
            </w:r>
            <w:r>
              <w:rPr>
                <w:rFonts w:hint="eastAsia" w:ascii="宋体" w:hAnsi="宋体"/>
                <w:szCs w:val="21"/>
              </w:rPr>
              <w:t>投标截止时间前未完成投标文件传输的或因投标人之外的原因造成投标文件未解密的，视为投标人撤回其投标文件。</w:t>
            </w:r>
            <w:r>
              <w:rPr>
                <w:rFonts w:hint="eastAsia" w:ascii="宋体" w:hAnsi="宋体" w:cs="仿宋_GB2312"/>
                <w:kern w:val="0"/>
                <w:szCs w:val="21"/>
              </w:rPr>
              <w:t>因投标人原因造成投标文件未解密的，或未在投标截止时间后半小时内解密的且未提交光盘备用的，视为撤销其投标文件。</w:t>
            </w:r>
          </w:p>
          <w:p>
            <w:pPr>
              <w:jc w:val="left"/>
              <w:rPr>
                <w:rFonts w:ascii="宋体" w:hAnsi="宋体"/>
                <w:szCs w:val="21"/>
              </w:rPr>
            </w:pPr>
            <w:r>
              <w:rPr>
                <w:rFonts w:ascii="宋体" w:hAnsi="宋体"/>
                <w:szCs w:val="21"/>
              </w:rPr>
              <w:t>5.2.3</w:t>
            </w:r>
            <w:r>
              <w:rPr>
                <w:rFonts w:hint="eastAsia" w:ascii="宋体" w:hAnsi="宋体"/>
                <w:szCs w:val="21"/>
              </w:rPr>
              <w:t>开标时，两个（含两个）以上的投标人加密打包投标文件的电脑机器特征码一致的，不参与下一程序，并由评标委员会否决其投标。</w:t>
            </w:r>
          </w:p>
        </w:tc>
      </w:tr>
      <w:tr>
        <w:tblPrEx>
          <w:tblCellMar>
            <w:top w:w="0" w:type="dxa"/>
            <w:left w:w="108" w:type="dxa"/>
            <w:bottom w:w="0" w:type="dxa"/>
            <w:right w:w="108" w:type="dxa"/>
          </w:tblCellMar>
        </w:tblPrEx>
        <w:trPr>
          <w:trHeight w:val="529"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6.1.1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评标委员会的组建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u w:val="single"/>
              </w:rPr>
              <w:t>评标委员会由招标人依法组建</w:t>
            </w:r>
            <w:r>
              <w:rPr>
                <w:rFonts w:hint="eastAsia" w:ascii="宋体" w:hAnsi="宋体"/>
                <w:szCs w:val="21"/>
              </w:rPr>
              <w:t>。</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6.3.2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评标委员会推荐中标候选人的人数</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推荐中标候选人3人</w:t>
            </w:r>
          </w:p>
        </w:tc>
      </w:tr>
      <w:tr>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中标候选人公示媒介及期限</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公示媒介：</w:t>
            </w:r>
            <w:r>
              <w:rPr>
                <w:rFonts w:ascii="宋体" w:hAnsi="宋体"/>
                <w:szCs w:val="21"/>
                <w:u w:val="single"/>
              </w:rPr>
              <w:t>广州公</w:t>
            </w:r>
            <w:r>
              <w:rPr>
                <w:rFonts w:hint="eastAsia" w:ascii="宋体" w:hAnsi="宋体"/>
                <w:szCs w:val="21"/>
                <w:u w:val="single"/>
              </w:rPr>
              <w:t>共</w:t>
            </w:r>
            <w:r>
              <w:rPr>
                <w:rFonts w:ascii="宋体" w:hAnsi="宋体"/>
                <w:szCs w:val="21"/>
                <w:u w:val="single"/>
              </w:rPr>
              <w:t>资源交易中心、广东省招标投标监管网</w:t>
            </w:r>
            <w:r>
              <w:rPr>
                <w:rFonts w:hint="eastAsia" w:ascii="宋体" w:hAnsi="宋体"/>
                <w:szCs w:val="21"/>
                <w:u w:val="single"/>
              </w:rPr>
              <w:t>、</w:t>
            </w:r>
            <w:r>
              <w:rPr>
                <w:rFonts w:ascii="宋体" w:hAnsi="宋体"/>
                <w:szCs w:val="21"/>
                <w:u w:val="single"/>
              </w:rPr>
              <w:t>中国招标投标公共服务平台</w:t>
            </w:r>
          </w:p>
          <w:p>
            <w:pPr>
              <w:rPr>
                <w:rFonts w:ascii="宋体" w:hAnsi="宋体"/>
                <w:szCs w:val="21"/>
              </w:rPr>
            </w:pPr>
            <w:r>
              <w:rPr>
                <w:rFonts w:hint="eastAsia" w:ascii="宋体" w:hAnsi="宋体"/>
                <w:szCs w:val="21"/>
              </w:rPr>
              <w:t>公示期限：</w:t>
            </w:r>
            <w:r>
              <w:rPr>
                <w:rFonts w:hint="eastAsia" w:ascii="宋体" w:hAnsi="宋体" w:cs="宋体"/>
                <w:szCs w:val="21"/>
                <w:u w:val="single"/>
              </w:rPr>
              <w:t>3 日（最后一天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评标结果异议</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投标人或者其他利害关系人对依法必须进行招标的项目的评标结果有异议的，应当在中标候选人公示期间通过电子交易系统提出。招标人将在收到异议之日起 3 日内作出答复；作出答复前，将暂停招标投标活动。</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是否授权评标委员会确定中标人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w:t>
            </w:r>
            <w:r>
              <w:rPr>
                <w:rFonts w:hint="eastAsia" w:ascii="宋体" w:hAnsi="宋体"/>
                <w:szCs w:val="21"/>
              </w:rPr>
              <w:t>是</w:t>
            </w:r>
          </w:p>
          <w:p>
            <w:pPr>
              <w:jc w:val="left"/>
              <w:rPr>
                <w:rFonts w:ascii="宋体" w:hAnsi="宋体"/>
                <w:szCs w:val="21"/>
              </w:rPr>
            </w:pPr>
            <w:r>
              <w:rPr>
                <w:rFonts w:hint="eastAsia" w:ascii="宋体" w:hAnsi="宋体"/>
                <w:szCs w:val="21"/>
              </w:rPr>
              <w:t>☑否</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7.6.1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履约保证金</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kern w:val="0"/>
                <w:szCs w:val="21"/>
              </w:rPr>
            </w:pPr>
            <w:r>
              <w:rPr>
                <w:rFonts w:hint="eastAsia" w:ascii="宋体" w:hAnsi="宋体"/>
                <w:kern w:val="0"/>
                <w:szCs w:val="21"/>
              </w:rPr>
              <w:t>是否要求中标人提交履约保证金：</w:t>
            </w:r>
          </w:p>
          <w:p>
            <w:pPr>
              <w:rPr>
                <w:rFonts w:ascii="宋体" w:hAnsi="宋体" w:cs="宋体"/>
                <w:szCs w:val="21"/>
              </w:rPr>
            </w:pPr>
            <w:r>
              <w:rPr>
                <w:rFonts w:hint="eastAsia" w:ascii="宋体" w:hAnsi="宋体"/>
                <w:szCs w:val="21"/>
              </w:rPr>
              <w:t>☑</w:t>
            </w:r>
            <w:r>
              <w:rPr>
                <w:rFonts w:hint="eastAsia" w:ascii="宋体" w:hAnsi="宋体"/>
                <w:kern w:val="0"/>
                <w:szCs w:val="21"/>
              </w:rPr>
              <w:t>要求，履约保证金的形式</w:t>
            </w:r>
            <w:r>
              <w:rPr>
                <w:rFonts w:hint="eastAsia" w:ascii="宋体" w:hAnsi="宋体" w:cs="宋体"/>
                <w:szCs w:val="21"/>
              </w:rPr>
              <w:t>：银行转账或银行履约保函形式。</w:t>
            </w:r>
          </w:p>
          <w:p>
            <w:pPr>
              <w:topLinePunct/>
              <w:jc w:val="left"/>
              <w:rPr>
                <w:rFonts w:ascii="宋体" w:hAnsi="宋体"/>
                <w:kern w:val="0"/>
                <w:szCs w:val="21"/>
              </w:rPr>
            </w:pPr>
            <w:r>
              <w:rPr>
                <w:rFonts w:hint="eastAsia" w:ascii="宋体" w:hAnsi="宋体" w:cs="宋体"/>
                <w:szCs w:val="21"/>
              </w:rPr>
              <w:t>履约保证金的金额：中标价款的10%</w:t>
            </w:r>
          </w:p>
          <w:p>
            <w:pPr>
              <w:topLinePunct/>
              <w:jc w:val="left"/>
              <w:rPr>
                <w:rFonts w:ascii="宋体" w:hAnsi="宋体"/>
                <w:kern w:val="0"/>
                <w:szCs w:val="21"/>
              </w:rPr>
            </w:pPr>
            <w:r>
              <w:rPr>
                <w:rFonts w:ascii="宋体" w:hAnsi="宋体"/>
                <w:kern w:val="0"/>
                <w:szCs w:val="21"/>
              </w:rPr>
              <w:sym w:font="Wingdings 2" w:char="00A3"/>
            </w:r>
            <w:r>
              <w:rPr>
                <w:rFonts w:hint="eastAsia" w:ascii="宋体" w:hAnsi="宋体"/>
                <w:kern w:val="0"/>
                <w:szCs w:val="21"/>
              </w:rPr>
              <w:t>不要求</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9</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是否采用电子招标投标</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w:t>
            </w:r>
            <w:r>
              <w:rPr>
                <w:rFonts w:hint="eastAsia" w:ascii="宋体" w:hAnsi="宋体"/>
                <w:szCs w:val="21"/>
              </w:rPr>
              <w:t>否</w:t>
            </w:r>
          </w:p>
          <w:p>
            <w:pPr>
              <w:jc w:val="left"/>
              <w:rPr>
                <w:rFonts w:ascii="宋体" w:hAnsi="宋体"/>
                <w:szCs w:val="21"/>
              </w:rPr>
            </w:pPr>
            <w:r>
              <w:rPr>
                <w:rFonts w:hint="eastAsia" w:ascii="宋体" w:hAnsi="宋体"/>
                <w:szCs w:val="21"/>
              </w:rPr>
              <w:t>☑是，具体要求：</w:t>
            </w:r>
          </w:p>
          <w:p>
            <w:pPr>
              <w:jc w:val="left"/>
              <w:rPr>
                <w:rFonts w:ascii="宋体" w:hAnsi="宋体"/>
                <w:szCs w:val="21"/>
              </w:rPr>
            </w:pPr>
            <w:r>
              <w:rPr>
                <w:rFonts w:hint="eastAsia" w:ascii="宋体" w:hAnsi="宋体"/>
                <w:szCs w:val="21"/>
              </w:rPr>
              <w:t>1、具体操作详见附件《房建市政全流程电子化项目操作专章》。</w:t>
            </w:r>
          </w:p>
          <w:p>
            <w:pPr>
              <w:jc w:val="left"/>
              <w:rPr>
                <w:rFonts w:ascii="宋体" w:hAnsi="宋体"/>
                <w:szCs w:val="21"/>
              </w:rPr>
            </w:pPr>
            <w:r>
              <w:rPr>
                <w:rFonts w:hint="eastAsia" w:ascii="宋体" w:hAnsi="宋体"/>
                <w:szCs w:val="21"/>
              </w:rPr>
              <w:t>2、递交投标文件光盘备用</w:t>
            </w:r>
          </w:p>
          <w:p>
            <w:pPr>
              <w:ind w:firstLine="210" w:firstLineChars="100"/>
              <w:jc w:val="left"/>
              <w:rPr>
                <w:rFonts w:ascii="宋体" w:hAnsi="宋体"/>
                <w:b/>
                <w:szCs w:val="21"/>
              </w:rPr>
            </w:pPr>
            <w:r>
              <w:rPr>
                <w:rFonts w:hint="eastAsia" w:ascii="宋体" w:hAnsi="宋体"/>
                <w:szCs w:val="21"/>
              </w:rPr>
              <w:t>（1）投标人可制作非加密的电子投标文件（</w:t>
            </w:r>
            <w:r>
              <w:rPr>
                <w:rFonts w:ascii="宋体" w:hAnsi="宋体"/>
                <w:szCs w:val="21"/>
              </w:rPr>
              <w:t>PDF</w:t>
            </w:r>
            <w:r>
              <w:rPr>
                <w:rFonts w:hint="eastAsia" w:ascii="宋体" w:hAnsi="宋体"/>
                <w:szCs w:val="21"/>
              </w:rPr>
              <w:t>格式）刻入光盘（</w:t>
            </w:r>
            <w:r>
              <w:rPr>
                <w:rFonts w:ascii="宋体" w:hAnsi="宋体"/>
                <w:szCs w:val="21"/>
              </w:rPr>
              <w:t>1</w:t>
            </w:r>
            <w:r>
              <w:rPr>
                <w:rFonts w:hint="eastAsia" w:ascii="宋体" w:hAnsi="宋体"/>
                <w:szCs w:val="21"/>
              </w:rPr>
              <w:t>份），在规定的时间、地点提交备用光盘。</w:t>
            </w:r>
            <w:r>
              <w:rPr>
                <w:rFonts w:hint="eastAsia" w:ascii="宋体" w:hAnsi="宋体"/>
                <w:b/>
                <w:szCs w:val="21"/>
              </w:rPr>
              <w:t>(刻录好的投标文件光盘密封在密封袋中，并在封口处加盖投标人单位公章。密封袋上应写明项目名称和招标人名称。</w:t>
            </w:r>
          </w:p>
          <w:p>
            <w:pPr>
              <w:ind w:firstLine="210" w:firstLineChars="100"/>
              <w:jc w:val="left"/>
              <w:rPr>
                <w:rFonts w:ascii="宋体" w:hAnsi="宋体"/>
                <w:szCs w:val="21"/>
              </w:rPr>
            </w:pPr>
            <w:r>
              <w:rPr>
                <w:rFonts w:hint="eastAsia" w:ascii="宋体" w:hAnsi="宋体"/>
                <w:szCs w:val="21"/>
              </w:rPr>
              <w:t>（2）递交的投标文件（光盘）不得加密。光盘（备用投标文件）无法读取或导入的，则视为未提交备用投标文件光盘。如果投标人没有按规定通过交易平台网上递交电子投标文件的，不再读取提交的光盘。投标人可选择不提交光盘备用。</w:t>
            </w:r>
          </w:p>
          <w:p>
            <w:pPr>
              <w:jc w:val="left"/>
              <w:rPr>
                <w:rFonts w:ascii="宋体" w:hAnsi="宋体"/>
                <w:szCs w:val="21"/>
              </w:rPr>
            </w:pPr>
            <w:r>
              <w:rPr>
                <w:rFonts w:hint="eastAsia" w:ascii="宋体" w:hAnsi="宋体"/>
                <w:szCs w:val="21"/>
              </w:rPr>
              <w:t>3、补救方案</w:t>
            </w:r>
          </w:p>
          <w:p>
            <w:pPr>
              <w:jc w:val="left"/>
              <w:rPr>
                <w:rFonts w:ascii="宋体" w:hAnsi="宋体"/>
                <w:szCs w:val="21"/>
              </w:rPr>
            </w:pPr>
            <w:r>
              <w:rPr>
                <w:rFonts w:hint="eastAsia" w:ascii="宋体" w:hAnsi="宋体"/>
                <w:szCs w:val="21"/>
              </w:rPr>
              <w:t>（1）投标文件解密失败的补救方案：</w:t>
            </w:r>
          </w:p>
          <w:p>
            <w:pPr>
              <w:ind w:firstLine="420" w:firstLineChars="200"/>
              <w:jc w:val="left"/>
              <w:rPr>
                <w:rFonts w:ascii="宋体" w:hAnsi="宋体"/>
                <w:szCs w:val="21"/>
              </w:rPr>
            </w:pPr>
            <w:r>
              <w:rPr>
                <w:rFonts w:hint="eastAsia" w:ascii="宋体" w:hAnsi="宋体"/>
                <w:szCs w:val="21"/>
              </w:rPr>
              <w:t>在规定时间内，因投标人之外原因(指网络瘫痪、服务器损坏、交易系统故障短期无法恢复等)导致的电子投标文件解密失败，在开标现场读取光盘内容，继续开标程序。评标委员会对其投标文件的评审以光盘内容为准。因投标人之外原因且未递交电子光盘的，视为撤销投标文件。</w:t>
            </w:r>
          </w:p>
          <w:p>
            <w:pPr>
              <w:jc w:val="left"/>
              <w:rPr>
                <w:rFonts w:ascii="宋体" w:hAnsi="宋体"/>
                <w:szCs w:val="21"/>
              </w:rPr>
            </w:pPr>
            <w:r>
              <w:rPr>
                <w:rFonts w:hint="eastAsia" w:ascii="宋体" w:hAnsi="宋体"/>
                <w:szCs w:val="21"/>
              </w:rPr>
              <w:t>（2）评标时突发情况的补救方案</w:t>
            </w:r>
          </w:p>
          <w:p>
            <w:pPr>
              <w:ind w:firstLine="420" w:firstLineChars="200"/>
              <w:jc w:val="left"/>
              <w:rPr>
                <w:rFonts w:ascii="宋体" w:hAnsi="宋体"/>
                <w:szCs w:val="21"/>
              </w:rPr>
            </w:pPr>
            <w:r>
              <w:rPr>
                <w:rFonts w:hint="eastAsia" w:ascii="宋体" w:hAnsi="宋体"/>
                <w:szCs w:val="21"/>
              </w:rPr>
              <w:t>若遇不可抗力发生（指：网络瘫痪、服务器损坏、交易系统故障短期无法恢复等因素），由评标委员会开启现场递交的全部投标文件光盘，并按光盘内容进行评审。</w:t>
            </w:r>
          </w:p>
          <w:p>
            <w:pPr>
              <w:jc w:val="left"/>
              <w:rPr>
                <w:rFonts w:ascii="宋体" w:hAnsi="宋体"/>
                <w:szCs w:val="21"/>
              </w:rPr>
            </w:pPr>
            <w:r>
              <w:rPr>
                <w:rFonts w:hint="eastAsia" w:ascii="宋体" w:hAnsi="宋体"/>
                <w:szCs w:val="21"/>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10</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需要补充的其他内容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10.1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特别提示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投标人在本项目招标人的工程项目中存在下列行为的，将被拒绝</w:t>
            </w:r>
            <w:r>
              <w:rPr>
                <w:rFonts w:hint="eastAsia" w:ascii="宋体" w:hAnsi="宋体"/>
                <w:szCs w:val="21"/>
              </w:rPr>
              <w:t>三年</w:t>
            </w:r>
            <w:r>
              <w:rPr>
                <w:rFonts w:ascii="宋体" w:hAnsi="宋体"/>
                <w:szCs w:val="21"/>
              </w:rPr>
              <w:t>内参与我单位后续工程</w:t>
            </w:r>
            <w:r>
              <w:rPr>
                <w:rFonts w:hint="eastAsia" w:ascii="宋体" w:hAnsi="宋体"/>
                <w:szCs w:val="21"/>
              </w:rPr>
              <w:t>项目</w:t>
            </w:r>
            <w:r>
              <w:rPr>
                <w:rFonts w:ascii="宋体" w:hAnsi="宋体"/>
                <w:szCs w:val="21"/>
              </w:rPr>
              <w:t>投标。（注：拒绝投标时限由招标人视严重程度确定，最低三个月起，自招标人发出通知之日起计）：</w:t>
            </w:r>
          </w:p>
          <w:p>
            <w:pPr>
              <w:jc w:val="left"/>
              <w:rPr>
                <w:rFonts w:ascii="宋体" w:hAnsi="宋体"/>
                <w:szCs w:val="21"/>
              </w:rPr>
            </w:pPr>
            <w:r>
              <w:rPr>
                <w:rFonts w:hint="eastAsia" w:ascii="宋体" w:hAnsi="宋体"/>
                <w:szCs w:val="21"/>
              </w:rPr>
              <w:t>（1）将中标项目转包或者违法分包的；</w:t>
            </w:r>
          </w:p>
          <w:p>
            <w:pPr>
              <w:jc w:val="left"/>
              <w:rPr>
                <w:rFonts w:ascii="宋体" w:hAnsi="宋体"/>
                <w:szCs w:val="21"/>
              </w:rPr>
            </w:pPr>
            <w:r>
              <w:rPr>
                <w:rFonts w:hint="eastAsia" w:ascii="宋体" w:hAnsi="宋体"/>
                <w:szCs w:val="21"/>
              </w:rPr>
              <w:t>（2）在中标项目中不执行质量、安全生产相关规定的，造成质量或安全事故的；</w:t>
            </w:r>
          </w:p>
          <w:p>
            <w:pPr>
              <w:jc w:val="left"/>
              <w:rPr>
                <w:rFonts w:ascii="宋体" w:hAnsi="宋体"/>
                <w:szCs w:val="21"/>
              </w:rPr>
            </w:pPr>
            <w:r>
              <w:rPr>
                <w:rFonts w:hint="eastAsia" w:ascii="宋体" w:hAnsi="宋体"/>
                <w:szCs w:val="21"/>
              </w:rPr>
              <w:t>（3）存在围标或串标情形的；</w:t>
            </w:r>
          </w:p>
          <w:p>
            <w:pPr>
              <w:jc w:val="left"/>
              <w:rPr>
                <w:rFonts w:ascii="宋体" w:hAnsi="宋体"/>
                <w:szCs w:val="21"/>
              </w:rPr>
            </w:pPr>
            <w:r>
              <w:rPr>
                <w:rFonts w:hint="eastAsia" w:ascii="宋体" w:hAnsi="宋体"/>
                <w:szCs w:val="21"/>
              </w:rPr>
              <w:t>（4）存在弄虚作假骗取中标情形的；</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10.2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送达</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《投诉处理决定书》和《行政处理决定书》在广州市住房和城乡建设局网站上公布的，视为送达其他与决定书有关的当事人。</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10.3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招标失败的情形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cs="宋体"/>
                <w:szCs w:val="21"/>
              </w:rPr>
              <w:t>本项目采用资格后审方式，满足资格审查合格条件或通过初步评审的投标申请人不足3名时为招标失败。招标人分析招标失败原因，修正招标方案后，重新组织招标。</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10.4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4.3.4投标文件修改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pPr>
            <w:r>
              <w:rPr>
                <w:rFonts w:hint="eastAsia" w:ascii="宋体" w:hAnsi="宋体"/>
                <w:szCs w:val="21"/>
              </w:rPr>
              <w:t>修改的内容为投标文件的组成部分。修改的投标文件应按照本章第3条、第4条的规定进行编制、密封、标记和递交。</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10.5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szCs w:val="21"/>
              </w:rPr>
              <w:t>其它</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spacing w:line="0" w:lineRule="atLeast"/>
              <w:textAlignment w:val="baseline"/>
              <w:rPr>
                <w:rFonts w:ascii="宋体" w:hAnsi="宋体" w:cs="宋体"/>
                <w:szCs w:val="21"/>
              </w:rPr>
            </w:pPr>
            <w:r>
              <w:rPr>
                <w:rFonts w:hint="eastAsia" w:ascii="宋体" w:hAnsi="宋体" w:cs="宋体"/>
                <w:szCs w:val="21"/>
              </w:rPr>
              <w:t>1.投标文件语言：汉语。</w:t>
            </w:r>
          </w:p>
          <w:p>
            <w:pPr>
              <w:snapToGrid w:val="0"/>
              <w:spacing w:line="0" w:lineRule="atLeast"/>
              <w:textAlignment w:val="baseline"/>
              <w:rPr>
                <w:rFonts w:ascii="宋体" w:hAnsi="宋体" w:cs="宋体"/>
                <w:szCs w:val="21"/>
              </w:rPr>
            </w:pPr>
            <w:r>
              <w:rPr>
                <w:rFonts w:hint="eastAsia" w:ascii="宋体" w:hAnsi="宋体" w:cs="宋体"/>
                <w:szCs w:val="21"/>
              </w:rPr>
              <w:t>2.招标人对本次投标结果将不负任何解释责任。</w:t>
            </w:r>
          </w:p>
          <w:p>
            <w:pPr>
              <w:snapToGrid w:val="0"/>
              <w:spacing w:line="0" w:lineRule="atLeast"/>
              <w:textAlignment w:val="baseline"/>
              <w:rPr>
                <w:rFonts w:ascii="宋体" w:hAnsi="宋体" w:cs="宋体"/>
                <w:szCs w:val="21"/>
              </w:rPr>
            </w:pPr>
            <w:r>
              <w:rPr>
                <w:rFonts w:hint="eastAsia" w:ascii="宋体" w:hAnsi="宋体" w:cs="宋体"/>
                <w:szCs w:val="21"/>
              </w:rPr>
              <w:t>3.招标公告、招标文件、答疑纪要等招标资料全部发布在广州公共资源交易中心网站，由投标人自行下载查阅。</w:t>
            </w:r>
          </w:p>
          <w:p>
            <w:pPr>
              <w:snapToGrid w:val="0"/>
              <w:spacing w:line="0" w:lineRule="atLeast"/>
              <w:textAlignment w:val="baseline"/>
              <w:rPr>
                <w:rFonts w:ascii="宋体" w:hAnsi="宋体" w:cs="宋体"/>
                <w:szCs w:val="21"/>
              </w:rPr>
            </w:pPr>
            <w:r>
              <w:rPr>
                <w:rFonts w:hint="eastAsia" w:ascii="宋体" w:hAnsi="宋体" w:cs="宋体"/>
                <w:szCs w:val="21"/>
              </w:rPr>
              <w:t>4.投标截止时间、开标时间和地点：发布在广州公共资源交易中心网站（具体详见网站“日程安排”栏目）。</w:t>
            </w:r>
          </w:p>
          <w:p>
            <w:pPr>
              <w:jc w:val="left"/>
            </w:pPr>
            <w:r>
              <w:rPr>
                <w:rFonts w:hint="eastAsia" w:ascii="宋体" w:hAnsi="宋体" w:cs="宋体"/>
                <w:szCs w:val="21"/>
              </w:rPr>
              <w:t>5.</w:t>
            </w:r>
            <w:r>
              <w:rPr>
                <w:rFonts w:hint="eastAsia"/>
              </w:rPr>
              <w:t>中标单位在获取中标通知书后的3个工作日内，须向招标人提供与递交电子投标文件内容一致的纸质文件五套(2套正本3套副本)及电子文件一套（电子文件不能采用压缩处理）。</w:t>
            </w:r>
          </w:p>
        </w:tc>
      </w:tr>
    </w:tbl>
    <w:p>
      <w:pPr>
        <w:keepNext/>
        <w:keepLines/>
        <w:spacing w:line="360" w:lineRule="auto"/>
        <w:jc w:val="left"/>
        <w:rPr>
          <w:rFonts w:ascii="宋体" w:hAnsi="宋体"/>
          <w:szCs w:val="21"/>
        </w:rPr>
      </w:pPr>
      <w:r>
        <w:rPr>
          <w:rFonts w:ascii="宋体" w:hAnsi="宋体"/>
          <w:szCs w:val="21"/>
        </w:rPr>
        <w:br w:type="page"/>
      </w:r>
      <w:bookmarkStart w:id="2" w:name="_Toc14735135"/>
      <w:bookmarkStart w:id="3" w:name="_Toc532367872"/>
      <w:bookmarkStart w:id="4" w:name="_Toc526001312"/>
      <w:bookmarkStart w:id="5" w:name="_Toc7454651"/>
      <w:bookmarkStart w:id="6" w:name="_Toc7454652"/>
    </w:p>
    <w:p>
      <w:pPr>
        <w:keepNext/>
        <w:keepLines/>
        <w:spacing w:line="360" w:lineRule="auto"/>
        <w:jc w:val="center"/>
        <w:outlineLvl w:val="1"/>
        <w:rPr>
          <w:rFonts w:ascii="宋体" w:hAnsi="宋体" w:cs="宋体"/>
          <w:b/>
          <w:bCs/>
          <w:kern w:val="44"/>
          <w:sz w:val="32"/>
          <w:szCs w:val="32"/>
        </w:rPr>
      </w:pPr>
      <w:r>
        <w:rPr>
          <w:rFonts w:hint="eastAsia" w:ascii="宋体" w:hAnsi="宋体" w:cs="宋体"/>
          <w:b/>
          <w:bCs/>
          <w:kern w:val="44"/>
          <w:sz w:val="32"/>
          <w:szCs w:val="32"/>
        </w:rPr>
        <w:t>二、 投标人须知</w:t>
      </w:r>
      <w:bookmarkEnd w:id="2"/>
      <w:bookmarkEnd w:id="3"/>
    </w:p>
    <w:p>
      <w:pPr>
        <w:keepNext/>
        <w:keepLines/>
        <w:spacing w:before="240" w:after="240" w:line="360" w:lineRule="auto"/>
        <w:jc w:val="left"/>
        <w:outlineLvl w:val="2"/>
        <w:rPr>
          <w:rFonts w:ascii="宋体" w:hAnsi="宋体" w:cs="宋体"/>
          <w:b/>
          <w:bCs/>
          <w:sz w:val="30"/>
          <w:szCs w:val="30"/>
        </w:rPr>
      </w:pPr>
      <w:bookmarkStart w:id="7" w:name="_Toc21041"/>
      <w:bookmarkStart w:id="8" w:name="_Toc6964"/>
      <w:bookmarkStart w:id="9" w:name="_Toc32719"/>
      <w:bookmarkStart w:id="10" w:name="_Toc377719900"/>
      <w:bookmarkStart w:id="11" w:name="_Toc29394"/>
      <w:bookmarkStart w:id="12" w:name="_Toc13865"/>
      <w:bookmarkStart w:id="13" w:name="_Toc31905"/>
      <w:bookmarkStart w:id="14" w:name="_Toc7950"/>
      <w:bookmarkStart w:id="15" w:name="_Toc532367873"/>
      <w:bookmarkStart w:id="16" w:name="_Toc8300"/>
      <w:r>
        <w:rPr>
          <w:rFonts w:hint="eastAsia" w:ascii="宋体" w:hAnsi="宋体" w:cs="宋体"/>
          <w:b/>
          <w:bCs/>
          <w:sz w:val="30"/>
          <w:szCs w:val="30"/>
        </w:rPr>
        <w:t>1. 总则</w:t>
      </w:r>
      <w:bookmarkEnd w:id="7"/>
      <w:bookmarkEnd w:id="8"/>
      <w:bookmarkEnd w:id="9"/>
      <w:bookmarkEnd w:id="10"/>
      <w:bookmarkEnd w:id="11"/>
      <w:bookmarkEnd w:id="12"/>
      <w:bookmarkEnd w:id="13"/>
      <w:bookmarkEnd w:id="14"/>
      <w:bookmarkEnd w:id="15"/>
      <w:bookmarkEnd w:id="16"/>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1.1  招标项目概况</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1.1.1根据《中华人民共和国招标投标法》、《中华人民共和国招标投标法实施条例》等有关法律、法规和规章的规定，本招标项目已具备招标条件，现对设备采购进行招标。</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1.1.2招标人：见投标人须知前附表。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1.1.3招标代理机构：见投标人须知前附表。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1.1.4招标项目名称：见投标人须知前附表。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1.1.5项目建设地点：见投标人须知前附表。</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1.2 招标项目的资金来源和落实情况</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1.2.1资金来源及比例：见投标人须知前附表。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1.2.2资金落实情况：见投标人须知前附表。</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1.3 招标内容、交货期、交货地点和技术性能指标</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1.3.1招标范围：见投标人须知前附表。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1.3.2交货期：见投标人须知前附表。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1.3.3交货地点：见投标人须知前附表。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1.3.4技术性能指标：见投标人须知前附表。</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1.4 投标人资格要求</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1.4.1投标人应具备承担本招标项目资质条件、能力和信誉：</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（1）资质要求：见投标人须知前附表；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（2）财务要求：见投标人须知前附表；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（3）业绩要求：见投标人须知前附表；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（4）信誉要求：见投标人须知前附表；</w:t>
      </w:r>
    </w:p>
    <w:p>
      <w:pPr>
        <w:kinsoku w:val="0"/>
        <w:overflowPunct w:val="0"/>
        <w:spacing w:line="360" w:lineRule="auto"/>
        <w:ind w:firstLine="480" w:firstLineChars="200"/>
        <w:jc w:val="left"/>
        <w:rPr>
          <w:rFonts w:ascii="宋体" w:hAnsi="宋体" w:cs="宋体"/>
          <w:sz w:val="24"/>
          <w:szCs w:val="24"/>
        </w:rPr>
      </w:pPr>
      <w:r>
        <w:rPr>
          <w:rFonts w:hint="eastAsia" w:ascii="宋体" w:hAnsi="宋体" w:cs="宋体"/>
          <w:sz w:val="24"/>
          <w:szCs w:val="24"/>
        </w:rPr>
        <w:t>（5）其他要求：见投标人须知前附表；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投标人为代理经销商的，对投标人的资质要求包含对制造商的资质要求，对投标人的要求包含对投标设备的业绩要求。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需要提交的相关证明材料见本章第3.5款的规定。</w:t>
      </w:r>
    </w:p>
    <w:p>
      <w:pPr>
        <w:spacing w:line="360" w:lineRule="auto"/>
        <w:ind w:firstLine="480" w:firstLineChars="200"/>
        <w:rPr>
          <w:rFonts w:ascii="宋体" w:hAnsi="宋体" w:cs="宋体"/>
          <w:strike/>
          <w:sz w:val="24"/>
          <w:szCs w:val="24"/>
        </w:rPr>
      </w:pPr>
      <w:r>
        <w:rPr>
          <w:rFonts w:hint="eastAsia" w:ascii="宋体" w:hAnsi="宋体" w:cs="宋体"/>
          <w:strike/>
          <w:sz w:val="24"/>
          <w:szCs w:val="24"/>
        </w:rPr>
        <w:t>1.4.2投标人须知前附表规定接受联合体投标的，联合体除应符合本章第1.4.1项和投标人须知前附表的要求外，还应遵守以下规定：</w:t>
      </w:r>
    </w:p>
    <w:p>
      <w:pPr>
        <w:spacing w:line="360" w:lineRule="auto"/>
        <w:ind w:firstLine="480" w:firstLineChars="200"/>
        <w:jc w:val="left"/>
        <w:rPr>
          <w:rFonts w:ascii="宋体" w:hAnsi="宋体" w:cs="宋体"/>
          <w:strike/>
          <w:sz w:val="24"/>
          <w:szCs w:val="24"/>
        </w:rPr>
      </w:pPr>
      <w:r>
        <w:rPr>
          <w:rFonts w:hint="eastAsia" w:ascii="宋体" w:hAnsi="宋体" w:cs="宋体"/>
          <w:strike/>
          <w:sz w:val="24"/>
          <w:szCs w:val="24"/>
        </w:rPr>
        <w:t>（1）联合体各方应按招标文件提供的格式签订联合体协议书，明确联合体牵头人和各方权利义务，并承诺就中标项目向招标人承担连带责任；</w:t>
      </w:r>
    </w:p>
    <w:p>
      <w:pPr>
        <w:spacing w:line="360" w:lineRule="auto"/>
        <w:ind w:firstLine="480" w:firstLineChars="200"/>
        <w:jc w:val="left"/>
        <w:rPr>
          <w:rFonts w:ascii="宋体" w:hAnsi="宋体" w:cs="宋体"/>
          <w:strike/>
          <w:sz w:val="24"/>
          <w:szCs w:val="24"/>
        </w:rPr>
      </w:pPr>
      <w:r>
        <w:rPr>
          <w:rFonts w:hint="eastAsia" w:ascii="宋体" w:hAnsi="宋体" w:cs="宋体"/>
          <w:strike/>
          <w:sz w:val="24"/>
          <w:szCs w:val="24"/>
        </w:rPr>
        <w:t>（2）由同一专业的单位组成的联合体，按照资质等级较低的单位确定资质等级；</w:t>
      </w:r>
    </w:p>
    <w:p>
      <w:pPr>
        <w:spacing w:line="360" w:lineRule="auto"/>
        <w:ind w:firstLine="480" w:firstLineChars="200"/>
        <w:jc w:val="left"/>
        <w:rPr>
          <w:rFonts w:ascii="宋体" w:hAnsi="宋体" w:cs="宋体"/>
          <w:strike/>
          <w:sz w:val="24"/>
          <w:szCs w:val="24"/>
        </w:rPr>
      </w:pPr>
      <w:r>
        <w:rPr>
          <w:rFonts w:hint="eastAsia" w:ascii="宋体" w:hAnsi="宋体" w:cs="宋体"/>
          <w:strike/>
          <w:sz w:val="24"/>
          <w:szCs w:val="24"/>
        </w:rPr>
        <w:t>（3）联合体各方不得再以自己名义单独或参加其他联合体在本招标项目中投标，否则各相关投标均无效。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1.4.3投标人不得存在下列情形之一：</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（1）与招标人存在利害关系且可能影响招标公正性；</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（2）与本招标项目的其他投标人为同一个单位负责人；</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（3）与本招标项目的其他投标人存在控股、管理关系；</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（4）为本招标项目提供过设计、编制技术规范和其他文件的咨询服务；</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（5）为本标段的相关监理人，或者与本工程项目的相关监理人存在隶属关系或者其他 利害关系；</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（6）为本招标项目的代建人；</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（7）为本招标项目的招标代理机构；</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（8）与本招标项目的监理人或代建人或招标代理机构同为一个法定代表人；</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（9）与本招标项目的监理人或代建人或招标代理机构存在控股或参股关系；</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u w:val="single"/>
        </w:rPr>
      </w:pPr>
      <w:r>
        <w:rPr>
          <w:rFonts w:hint="eastAsia" w:ascii="宋体" w:hAnsi="宋体" w:cs="宋体"/>
          <w:spacing w:val="-8"/>
          <w:sz w:val="24"/>
        </w:rPr>
        <w:t>（10）被依法暂停或者取消投标资格；</w:t>
      </w:r>
      <w:r>
        <w:rPr>
          <w:rFonts w:hint="eastAsia" w:ascii="宋体" w:hAnsi="宋体" w:cs="宋体"/>
          <w:spacing w:val="-8"/>
          <w:sz w:val="24"/>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u w:val="single"/>
        </w:rPr>
      </w:pPr>
      <w:r>
        <w:rPr>
          <w:rFonts w:hint="eastAsia" w:ascii="宋体" w:hAnsi="宋体" w:cs="宋体"/>
          <w:spacing w:val="-8"/>
          <w:sz w:val="24"/>
        </w:rPr>
        <w:t>（11）被责令停产停业、暂扣或者吊销许可证、暂扣或者吊销执照；</w:t>
      </w:r>
      <w:r>
        <w:rPr>
          <w:rFonts w:hint="eastAsia" w:ascii="宋体" w:hAnsi="宋体" w:cs="宋体"/>
          <w:spacing w:val="-8"/>
          <w:sz w:val="24"/>
          <w:u w:val="single"/>
        </w:rPr>
        <w:t>（本项事实应当以根据《中华人民共和国行政处罚法》依法作出并已经生效的行政处罚决定为认定依据）</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（12）进入清算程序，或被宣告破产，或其他丧失履约能力的情形；</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u w:val="single"/>
        </w:rPr>
      </w:pPr>
      <w:r>
        <w:rPr>
          <w:rFonts w:hint="eastAsia" w:ascii="宋体" w:hAnsi="宋体" w:cs="宋体"/>
          <w:spacing w:val="-8"/>
          <w:sz w:val="24"/>
          <w:u w:val="single"/>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ascii="宋体" w:hAnsi="宋体" w:cs="宋体"/>
          <w:spacing w:val="-8"/>
          <w:sz w:val="24"/>
          <w:szCs w:val="24"/>
        </w:rPr>
      </w:pPr>
      <w:r>
        <w:rPr>
          <w:rFonts w:hint="eastAsia" w:ascii="宋体" w:hAnsi="宋体" w:cs="宋体"/>
          <w:sz w:val="24"/>
          <w:szCs w:val="24"/>
        </w:rPr>
        <w:t>（14）为本招标项目其他投标人代理同一制造商同一品牌同一型号的设备投标；</w:t>
      </w:r>
    </w:p>
    <w:p>
      <w:pPr>
        <w:spacing w:line="360" w:lineRule="auto"/>
        <w:ind w:firstLine="448" w:firstLineChars="200"/>
        <w:jc w:val="left"/>
        <w:rPr>
          <w:rFonts w:ascii="宋体" w:hAnsi="宋体" w:cs="宋体"/>
          <w:sz w:val="24"/>
          <w:szCs w:val="24"/>
        </w:rPr>
      </w:pPr>
      <w:r>
        <w:rPr>
          <w:rFonts w:hint="eastAsia" w:ascii="宋体" w:hAnsi="宋体" w:cs="宋体"/>
          <w:spacing w:val="-8"/>
          <w:sz w:val="24"/>
          <w:szCs w:val="24"/>
        </w:rPr>
        <w:t>（15）法律法规或投标人须知前附表规定的其他情形。</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1.5 费用承担</w:t>
      </w:r>
    </w:p>
    <w:p>
      <w:pPr>
        <w:spacing w:line="360" w:lineRule="auto"/>
        <w:ind w:firstLine="476" w:firstLineChars="200"/>
        <w:jc w:val="left"/>
        <w:rPr>
          <w:rFonts w:ascii="宋体" w:hAnsi="宋体" w:cs="宋体"/>
          <w:spacing w:val="-1"/>
          <w:sz w:val="24"/>
          <w:szCs w:val="24"/>
        </w:rPr>
      </w:pPr>
      <w:r>
        <w:rPr>
          <w:rFonts w:hint="eastAsia" w:ascii="宋体" w:hAnsi="宋体" w:cs="宋体"/>
          <w:spacing w:val="-1"/>
          <w:sz w:val="24"/>
          <w:szCs w:val="24"/>
        </w:rPr>
        <w:t>投标人准备和参加投标活动发生的费用自理。</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1.6 保密</w:t>
      </w:r>
    </w:p>
    <w:p>
      <w:pPr>
        <w:kinsoku w:val="0"/>
        <w:overflowPunct w:val="0"/>
        <w:spacing w:after="120" w:line="360" w:lineRule="auto"/>
        <w:ind w:firstLine="480" w:firstLineChars="200"/>
        <w:rPr>
          <w:rFonts w:ascii="宋体" w:hAnsi="宋体" w:cs="宋体"/>
          <w:kern w:val="0"/>
          <w:sz w:val="24"/>
          <w:szCs w:val="24"/>
        </w:rPr>
      </w:pPr>
      <w:r>
        <w:rPr>
          <w:rFonts w:hint="eastAsia" w:ascii="宋体" w:hAnsi="宋体" w:cs="宋体"/>
          <w:kern w:val="0"/>
          <w:sz w:val="24"/>
          <w:szCs w:val="24"/>
        </w:rPr>
        <w:t>参与招标投标活动的各方应对招标文件和投标文件中的商业和技术等秘密保密，否则应承担相应的法律责任。</w:t>
      </w:r>
    </w:p>
    <w:p>
      <w:pPr>
        <w:kinsoku w:val="0"/>
        <w:overflowPunct w:val="0"/>
        <w:spacing w:before="120" w:after="120" w:line="360" w:lineRule="auto"/>
        <w:outlineLvl w:val="2"/>
        <w:rPr>
          <w:rFonts w:ascii="宋体" w:hAnsi="宋体" w:cs="宋体"/>
          <w:b/>
          <w:bCs/>
          <w:sz w:val="24"/>
          <w:szCs w:val="24"/>
        </w:rPr>
      </w:pPr>
      <w:bookmarkStart w:id="17" w:name="bookmark27"/>
      <w:bookmarkEnd w:id="17"/>
      <w:r>
        <w:rPr>
          <w:rFonts w:hint="eastAsia" w:ascii="宋体" w:hAnsi="宋体" w:cs="宋体"/>
          <w:b/>
          <w:bCs/>
          <w:sz w:val="24"/>
          <w:szCs w:val="24"/>
        </w:rPr>
        <w:t>1.7 语言文字</w:t>
      </w:r>
    </w:p>
    <w:p>
      <w:pPr>
        <w:kinsoku w:val="0"/>
        <w:overflowPunct w:val="0"/>
        <w:spacing w:after="120" w:line="360" w:lineRule="auto"/>
        <w:ind w:firstLine="480" w:firstLineChars="200"/>
        <w:rPr>
          <w:rFonts w:ascii="宋体" w:hAnsi="宋体" w:cs="宋体"/>
          <w:kern w:val="0"/>
          <w:sz w:val="24"/>
          <w:szCs w:val="24"/>
        </w:rPr>
      </w:pPr>
      <w:r>
        <w:rPr>
          <w:rFonts w:hint="eastAsia" w:ascii="宋体" w:hAnsi="宋体" w:cs="宋体"/>
          <w:kern w:val="0"/>
          <w:sz w:val="24"/>
          <w:szCs w:val="24"/>
        </w:rPr>
        <w:t>招标投标文件使用的语言文字为中文。专用术语使用外文的，应附有中文注释。</w:t>
      </w:r>
    </w:p>
    <w:p>
      <w:pPr>
        <w:kinsoku w:val="0"/>
        <w:overflowPunct w:val="0"/>
        <w:spacing w:before="120" w:after="120" w:line="360" w:lineRule="auto"/>
        <w:outlineLvl w:val="2"/>
        <w:rPr>
          <w:rFonts w:ascii="宋体" w:hAnsi="宋体" w:cs="宋体"/>
          <w:b/>
          <w:bCs/>
          <w:sz w:val="24"/>
          <w:szCs w:val="24"/>
        </w:rPr>
      </w:pPr>
      <w:bookmarkStart w:id="18" w:name="bookmark28"/>
      <w:bookmarkEnd w:id="18"/>
      <w:r>
        <w:rPr>
          <w:rFonts w:hint="eastAsia" w:ascii="宋体" w:hAnsi="宋体" w:cs="宋体"/>
          <w:b/>
          <w:bCs/>
          <w:sz w:val="24"/>
          <w:szCs w:val="24"/>
        </w:rPr>
        <w:t>1.8 计量单位</w:t>
      </w:r>
    </w:p>
    <w:p>
      <w:pPr>
        <w:kinsoku w:val="0"/>
        <w:overflowPunct w:val="0"/>
        <w:spacing w:after="120" w:line="360" w:lineRule="auto"/>
        <w:ind w:firstLine="476" w:firstLineChars="200"/>
        <w:rPr>
          <w:rFonts w:ascii="宋体" w:hAnsi="宋体" w:cs="宋体"/>
          <w:kern w:val="0"/>
          <w:sz w:val="24"/>
          <w:szCs w:val="24"/>
        </w:rPr>
      </w:pPr>
      <w:r>
        <w:rPr>
          <w:rFonts w:hint="eastAsia" w:ascii="宋体" w:hAnsi="宋体" w:cs="宋体"/>
          <w:spacing w:val="-1"/>
          <w:kern w:val="0"/>
          <w:sz w:val="24"/>
          <w:szCs w:val="24"/>
        </w:rPr>
        <w:t>所有计量均采用中华人民共和国法定计量单位。</w:t>
      </w:r>
    </w:p>
    <w:p>
      <w:pPr>
        <w:kinsoku w:val="0"/>
        <w:overflowPunct w:val="0"/>
        <w:spacing w:before="120" w:after="120" w:line="360" w:lineRule="auto"/>
        <w:outlineLvl w:val="2"/>
        <w:rPr>
          <w:rFonts w:ascii="宋体" w:hAnsi="宋体" w:cs="宋体"/>
          <w:b/>
          <w:bCs/>
          <w:sz w:val="24"/>
          <w:szCs w:val="24"/>
        </w:rPr>
      </w:pPr>
      <w:bookmarkStart w:id="19" w:name="bookmark29"/>
      <w:bookmarkEnd w:id="19"/>
      <w:r>
        <w:rPr>
          <w:rFonts w:hint="eastAsia" w:ascii="宋体" w:hAnsi="宋体" w:cs="宋体"/>
          <w:b/>
          <w:bCs/>
          <w:sz w:val="24"/>
          <w:szCs w:val="24"/>
        </w:rPr>
        <w:t>1.9 投标预备会</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1.9.1投标人须知前附表规定召开投标预备会的，招标人按投标人须知前附表规定的时间和地点召开投标预备会，澄清投标人提出的问题。</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1.9.2投标人应按投标人须知前附表规定的时间和形式将提出的问题送达招标人，以便招标人在会议期间澄清。</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1.9.3投标预备会后，招标人将对投标人所提问题的澄清，以投标人须知前附表规定的形式通知所有购买招标文件的投标人。该澄清内容为招标文件的组成部分。</w:t>
      </w:r>
    </w:p>
    <w:p>
      <w:pPr>
        <w:kinsoku w:val="0"/>
        <w:overflowPunct w:val="0"/>
        <w:spacing w:before="120" w:after="120" w:line="360" w:lineRule="auto"/>
        <w:outlineLvl w:val="2"/>
        <w:rPr>
          <w:rFonts w:ascii="宋体" w:hAnsi="宋体" w:cs="宋体"/>
          <w:b/>
          <w:bCs/>
          <w:sz w:val="24"/>
          <w:szCs w:val="24"/>
        </w:rPr>
      </w:pPr>
      <w:bookmarkStart w:id="20" w:name="bookmark30"/>
      <w:bookmarkEnd w:id="20"/>
      <w:r>
        <w:rPr>
          <w:rFonts w:hint="eastAsia" w:ascii="宋体" w:hAnsi="宋体" w:cs="宋体"/>
          <w:b/>
          <w:bCs/>
          <w:sz w:val="24"/>
          <w:szCs w:val="24"/>
        </w:rPr>
        <w:t>1.10 分包</w:t>
      </w:r>
    </w:p>
    <w:p>
      <w:pPr>
        <w:kinsoku w:val="0"/>
        <w:overflowPunct w:val="0"/>
        <w:spacing w:after="120" w:line="360" w:lineRule="auto"/>
        <w:ind w:firstLine="480" w:firstLineChars="200"/>
        <w:rPr>
          <w:rFonts w:ascii="宋体" w:hAnsi="宋体" w:cs="宋体"/>
          <w:kern w:val="0"/>
          <w:sz w:val="24"/>
          <w:szCs w:val="24"/>
        </w:rPr>
      </w:pPr>
      <w:bookmarkStart w:id="21" w:name="bookmark31"/>
      <w:bookmarkEnd w:id="21"/>
      <w:r>
        <w:rPr>
          <w:rFonts w:hint="eastAsia" w:ascii="宋体" w:hAnsi="宋体" w:cs="宋体"/>
          <w:kern w:val="0"/>
          <w:sz w:val="24"/>
          <w:szCs w:val="24"/>
        </w:rPr>
        <w:t>1.10.1投标人拟在中标后将中标项目的非主体设备进行分包的，应符合投标人须知前附表规定的分包内容、分包金额和资质要求等限制性条件，除投标人须知前附表规定的非主体设备外，其他工作不得分包。</w:t>
      </w:r>
    </w:p>
    <w:p>
      <w:pPr>
        <w:kinsoku w:val="0"/>
        <w:overflowPunct w:val="0"/>
        <w:spacing w:after="120" w:line="360" w:lineRule="auto"/>
        <w:ind w:firstLine="480" w:firstLineChars="200"/>
        <w:rPr>
          <w:rFonts w:ascii="宋体" w:hAnsi="宋体" w:cs="宋体"/>
          <w:kern w:val="0"/>
          <w:sz w:val="24"/>
          <w:szCs w:val="24"/>
        </w:rPr>
      </w:pPr>
      <w:r>
        <w:rPr>
          <w:rFonts w:hint="eastAsia" w:ascii="宋体" w:hAnsi="宋体" w:cs="宋体"/>
          <w:kern w:val="0"/>
          <w:sz w:val="24"/>
          <w:szCs w:val="24"/>
        </w:rPr>
        <w:t>1.10.2中标人不得向他人转让中标项目，接受分包的人不得再次分包。中标人应当就分包项目向招标人负责，接受分包的人就分包项目承担连带责任。</w:t>
      </w:r>
    </w:p>
    <w:p>
      <w:pPr>
        <w:kinsoku w:val="0"/>
        <w:overflowPunct w:val="0"/>
        <w:spacing w:before="120" w:after="120" w:line="360" w:lineRule="auto"/>
        <w:outlineLvl w:val="2"/>
        <w:rPr>
          <w:rFonts w:ascii="宋体" w:hAnsi="宋体" w:cs="宋体"/>
          <w:b/>
          <w:bCs/>
          <w:sz w:val="24"/>
          <w:szCs w:val="24"/>
        </w:rPr>
      </w:pPr>
      <w:bookmarkStart w:id="22" w:name="bookmark32"/>
      <w:bookmarkEnd w:id="22"/>
      <w:r>
        <w:rPr>
          <w:rFonts w:hint="eastAsia" w:ascii="宋体" w:hAnsi="宋体" w:cs="宋体"/>
          <w:b/>
          <w:bCs/>
          <w:sz w:val="24"/>
          <w:szCs w:val="24"/>
        </w:rPr>
        <w:t>1.11 响应和偏差</w:t>
      </w:r>
    </w:p>
    <w:p>
      <w:pPr>
        <w:kinsoku w:val="0"/>
        <w:overflowPunct w:val="0"/>
        <w:spacing w:line="360" w:lineRule="auto"/>
        <w:ind w:firstLine="480" w:firstLineChars="200"/>
        <w:rPr>
          <w:rFonts w:ascii="宋体" w:hAnsi="宋体" w:cs="宋体"/>
          <w:kern w:val="0"/>
          <w:sz w:val="24"/>
          <w:szCs w:val="24"/>
        </w:rPr>
      </w:pPr>
      <w:bookmarkStart w:id="23" w:name="_Toc8885"/>
      <w:bookmarkStart w:id="24" w:name="_Toc8160"/>
      <w:bookmarkStart w:id="25" w:name="_Toc31365"/>
      <w:bookmarkStart w:id="26" w:name="_Toc3119"/>
      <w:bookmarkStart w:id="27" w:name="_Toc22910"/>
      <w:bookmarkStart w:id="28" w:name="_Toc377719901"/>
      <w:bookmarkStart w:id="29" w:name="_Toc532367874"/>
      <w:bookmarkStart w:id="30" w:name="_Toc4330"/>
      <w:r>
        <w:rPr>
          <w:rFonts w:hint="eastAsia" w:ascii="宋体" w:hAnsi="宋体" w:cs="宋体"/>
          <w:kern w:val="0"/>
          <w:sz w:val="24"/>
          <w:szCs w:val="24"/>
        </w:rPr>
        <w:t>1.11.1投标文件应当对招标文件的实质性要求和条件作出满足性或更有利于招标人的响应，否则，投标人的投标将被否决。实质性要求和条件见投标人须知前附表。</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1.11.2投标人应根据招标文件的要求提供投标设备技术性能指标的详细描述、技术支持资料及技术服务和质保期服务计划等内容以对招标文件作出响应。</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insoku w:val="0"/>
        <w:overflowPunct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1.11.4投标人须知前附表规定了可以偏差的范围和最高偏差项数的，偏差应当符合投标人须知前附表规定的偏差范围和最高项数，超出偏差范围和最高偏差项数的投标将被否决。</w:t>
      </w:r>
    </w:p>
    <w:p>
      <w:pPr>
        <w:kinsoku w:val="0"/>
        <w:overflowPunct w:val="0"/>
        <w:spacing w:line="360" w:lineRule="auto"/>
        <w:ind w:firstLine="480" w:firstLineChars="200"/>
        <w:rPr>
          <w:rFonts w:ascii="宋体" w:hAnsi="宋体" w:cs="宋体"/>
          <w:b/>
          <w:bCs/>
          <w:kern w:val="0"/>
          <w:sz w:val="24"/>
          <w:szCs w:val="24"/>
        </w:rPr>
      </w:pPr>
      <w:r>
        <w:rPr>
          <w:rFonts w:hint="eastAsia" w:ascii="宋体" w:hAnsi="宋体" w:cs="宋体"/>
          <w:kern w:val="0"/>
          <w:sz w:val="24"/>
          <w:szCs w:val="24"/>
        </w:rPr>
        <w:t>1.11.5投标文件对招标文件的全部偏差，均应在投标文件的商务和技术偏差表中列明，除列明的内容外，视为投标人响应招标文件的全部要求。</w:t>
      </w:r>
    </w:p>
    <w:p>
      <w:pPr>
        <w:keepNext/>
        <w:keepLines/>
        <w:spacing w:before="240" w:after="240" w:line="360" w:lineRule="auto"/>
        <w:outlineLvl w:val="2"/>
        <w:rPr>
          <w:rFonts w:ascii="宋体" w:hAnsi="宋体" w:cs="宋体"/>
          <w:b/>
          <w:bCs/>
          <w:sz w:val="30"/>
          <w:szCs w:val="30"/>
        </w:rPr>
      </w:pPr>
      <w:bookmarkStart w:id="31" w:name="_Toc24924"/>
      <w:bookmarkStart w:id="32" w:name="_Toc31503"/>
      <w:r>
        <w:rPr>
          <w:rFonts w:hint="eastAsia" w:ascii="宋体" w:hAnsi="宋体" w:cs="宋体"/>
          <w:b/>
          <w:bCs/>
          <w:sz w:val="30"/>
          <w:szCs w:val="30"/>
        </w:rPr>
        <w:t>2. 招标文件</w:t>
      </w:r>
      <w:bookmarkEnd w:id="23"/>
      <w:bookmarkEnd w:id="24"/>
      <w:bookmarkEnd w:id="25"/>
      <w:bookmarkEnd w:id="26"/>
      <w:bookmarkEnd w:id="27"/>
      <w:bookmarkEnd w:id="28"/>
      <w:bookmarkEnd w:id="29"/>
      <w:bookmarkEnd w:id="30"/>
      <w:bookmarkEnd w:id="31"/>
      <w:bookmarkEnd w:id="32"/>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2.1  招标文件的组成</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本招标文件包括：</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（1）招标公告（或投标邀请书）</w:t>
      </w:r>
      <w:r>
        <w:rPr>
          <w:rFonts w:hint="eastAsia" w:ascii="宋体" w:hAnsi="宋体" w:cs="宋体"/>
          <w:spacing w:val="-8"/>
          <w:sz w:val="24"/>
          <w:szCs w:val="24"/>
        </w:rPr>
        <w:t>（另册）</w:t>
      </w:r>
      <w:r>
        <w:rPr>
          <w:rFonts w:hint="eastAsia" w:ascii="宋体" w:hAnsi="宋体" w:cs="宋体"/>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（2）投标人须知；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（3）评标办法；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（4）合同条款及格式</w:t>
      </w:r>
      <w:r>
        <w:rPr>
          <w:rFonts w:hint="eastAsia" w:ascii="宋体" w:hAnsi="宋体" w:cs="宋体"/>
          <w:spacing w:val="-8"/>
          <w:sz w:val="24"/>
          <w:szCs w:val="24"/>
        </w:rPr>
        <w:t>（另册）</w:t>
      </w:r>
      <w:r>
        <w:rPr>
          <w:rFonts w:hint="eastAsia" w:ascii="宋体" w:hAnsi="宋体" w:cs="宋体"/>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（5）用户需求书；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（6）投标文件格式；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（7）投标人须知前附表规定的其他资料。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根据本章第1.9款、第2.2款和第2.3款对招标文件所作的澄清、修改，构成招标文件的组成部分。</w:t>
      </w:r>
    </w:p>
    <w:p>
      <w:pPr>
        <w:keepNext/>
        <w:keepLines/>
        <w:spacing w:before="120" w:after="120" w:line="360" w:lineRule="auto"/>
        <w:outlineLvl w:val="2"/>
        <w:rPr>
          <w:rFonts w:ascii="宋体" w:hAnsi="宋体" w:cs="宋体"/>
          <w:b/>
          <w:bCs/>
          <w:sz w:val="24"/>
          <w:szCs w:val="24"/>
        </w:rPr>
      </w:pPr>
      <w:bookmarkStart w:id="33" w:name="_Toc377719902"/>
      <w:r>
        <w:rPr>
          <w:rFonts w:hint="eastAsia" w:ascii="宋体" w:hAnsi="宋体" w:cs="宋体"/>
          <w:b/>
          <w:bCs/>
          <w:sz w:val="24"/>
          <w:szCs w:val="24"/>
        </w:rPr>
        <w:t>2.2.招标文件的澄清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2.2.3投标人在收到澄清后，应按投标人须知前附表规定的时间和形式通知招标人，确认已收到该澄清。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2.2.4除非招标人认为确有必要答复，否则，招标人有权拒绝回复投标人在本章第2.2.1项规定的时间后的任何澄清要求。</w:t>
      </w:r>
    </w:p>
    <w:p>
      <w:pPr>
        <w:kinsoku w:val="0"/>
        <w:overflowPunct w:val="0"/>
        <w:spacing w:before="120" w:after="120" w:line="360" w:lineRule="auto"/>
        <w:outlineLvl w:val="2"/>
        <w:rPr>
          <w:rFonts w:ascii="宋体" w:hAnsi="宋体" w:cs="宋体"/>
          <w:b/>
          <w:bCs/>
          <w:sz w:val="24"/>
          <w:szCs w:val="24"/>
        </w:rPr>
      </w:pPr>
      <w:r>
        <w:rPr>
          <w:rFonts w:hint="eastAsia" w:ascii="宋体" w:hAnsi="宋体" w:cs="宋体"/>
          <w:b/>
          <w:bCs/>
          <w:sz w:val="24"/>
          <w:szCs w:val="24"/>
        </w:rPr>
        <w:t>2.3 招标文件的修改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2.3.2投标人收到修改内容后，应按投标人须知前附表规定的时间和形式通知招标人，确认已收到该修改。</w:t>
      </w:r>
    </w:p>
    <w:p>
      <w:pPr>
        <w:kinsoku w:val="0"/>
        <w:overflowPunct w:val="0"/>
        <w:spacing w:before="120" w:after="120" w:line="360" w:lineRule="auto"/>
        <w:outlineLvl w:val="2"/>
        <w:rPr>
          <w:rFonts w:ascii="宋体" w:hAnsi="宋体" w:cs="宋体"/>
          <w:b/>
          <w:bCs/>
          <w:sz w:val="24"/>
          <w:szCs w:val="24"/>
        </w:rPr>
      </w:pPr>
      <w:bookmarkStart w:id="34" w:name="bookmark37"/>
      <w:bookmarkEnd w:id="34"/>
      <w:r>
        <w:rPr>
          <w:rFonts w:hint="eastAsia" w:ascii="宋体" w:hAnsi="宋体" w:cs="宋体"/>
          <w:b/>
          <w:bCs/>
          <w:sz w:val="24"/>
          <w:szCs w:val="24"/>
        </w:rPr>
        <w:t>2.4 招标文件的异议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keepNext/>
        <w:keepLines/>
        <w:spacing w:before="240" w:after="240" w:line="360" w:lineRule="auto"/>
        <w:jc w:val="left"/>
        <w:outlineLvl w:val="2"/>
        <w:rPr>
          <w:rFonts w:ascii="宋体" w:hAnsi="宋体" w:cs="宋体"/>
          <w:b/>
          <w:bCs/>
          <w:sz w:val="30"/>
          <w:szCs w:val="30"/>
        </w:rPr>
      </w:pPr>
      <w:bookmarkStart w:id="35" w:name="_Toc15723"/>
      <w:bookmarkStart w:id="36" w:name="_Toc6920"/>
      <w:bookmarkStart w:id="37" w:name="_Toc30380"/>
      <w:bookmarkStart w:id="38" w:name="_Toc3526"/>
      <w:bookmarkStart w:id="39" w:name="_Toc23329"/>
      <w:bookmarkStart w:id="40" w:name="_Toc14848"/>
      <w:bookmarkStart w:id="41" w:name="_Toc25907"/>
      <w:bookmarkStart w:id="42" w:name="_Toc532367875"/>
      <w:bookmarkStart w:id="43" w:name="_Toc1157"/>
      <w:r>
        <w:rPr>
          <w:rFonts w:hint="eastAsia" w:ascii="宋体" w:hAnsi="宋体" w:cs="宋体"/>
          <w:b/>
          <w:bCs/>
          <w:sz w:val="30"/>
          <w:szCs w:val="30"/>
        </w:rPr>
        <w:t>3. 投标文件</w:t>
      </w:r>
      <w:bookmarkEnd w:id="33"/>
      <w:bookmarkEnd w:id="35"/>
      <w:bookmarkEnd w:id="36"/>
      <w:bookmarkEnd w:id="37"/>
      <w:bookmarkEnd w:id="38"/>
      <w:bookmarkEnd w:id="39"/>
      <w:bookmarkEnd w:id="40"/>
      <w:bookmarkEnd w:id="41"/>
      <w:bookmarkEnd w:id="42"/>
      <w:bookmarkEnd w:id="43"/>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3.1 组成投标文件的文件</w:t>
      </w:r>
    </w:p>
    <w:p>
      <w:pPr>
        <w:spacing w:line="360" w:lineRule="auto"/>
        <w:ind w:firstLine="480" w:firstLineChars="200"/>
        <w:rPr>
          <w:rFonts w:ascii="宋体" w:hAnsi="宋体" w:cs="宋体"/>
          <w:sz w:val="24"/>
          <w:szCs w:val="24"/>
        </w:rPr>
      </w:pPr>
      <w:r>
        <w:rPr>
          <w:rFonts w:hint="eastAsia" w:ascii="宋体" w:hAnsi="宋体" w:cs="宋体"/>
          <w:sz w:val="24"/>
          <w:szCs w:val="24"/>
        </w:rPr>
        <w:t>3.1.1投标文件应包括下列内容：</w:t>
      </w:r>
    </w:p>
    <w:p>
      <w:pPr>
        <w:numPr>
          <w:ilvl w:val="0"/>
          <w:numId w:val="1"/>
        </w:numPr>
        <w:spacing w:line="360" w:lineRule="auto"/>
        <w:rPr>
          <w:rFonts w:ascii="宋体" w:hAnsi="宋体" w:cs="宋体"/>
          <w:sz w:val="24"/>
          <w:szCs w:val="24"/>
        </w:rPr>
      </w:pPr>
      <w:r>
        <w:rPr>
          <w:rFonts w:hint="eastAsia" w:ascii="宋体" w:hAnsi="宋体" w:cs="宋体"/>
          <w:sz w:val="24"/>
          <w:szCs w:val="24"/>
        </w:rPr>
        <w:t>投标函及投标函附录</w:t>
      </w:r>
    </w:p>
    <w:p>
      <w:pPr>
        <w:numPr>
          <w:ilvl w:val="0"/>
          <w:numId w:val="1"/>
        </w:numPr>
        <w:spacing w:line="360" w:lineRule="auto"/>
        <w:rPr>
          <w:rFonts w:ascii="宋体" w:hAnsi="宋体" w:cs="宋体"/>
          <w:sz w:val="24"/>
          <w:szCs w:val="24"/>
        </w:rPr>
      </w:pPr>
      <w:r>
        <w:rPr>
          <w:rFonts w:hint="eastAsia" w:ascii="宋体" w:hAnsi="宋体" w:cs="宋体"/>
          <w:sz w:val="24"/>
          <w:szCs w:val="24"/>
        </w:rPr>
        <w:t>法定代表人身份证明（适用于无委托代理人的情况）</w:t>
      </w:r>
    </w:p>
    <w:p>
      <w:pPr>
        <w:numPr>
          <w:ilvl w:val="0"/>
          <w:numId w:val="1"/>
        </w:numPr>
        <w:spacing w:line="360" w:lineRule="auto"/>
        <w:rPr>
          <w:rFonts w:ascii="宋体" w:hAnsi="宋体" w:cs="宋体"/>
          <w:sz w:val="24"/>
          <w:szCs w:val="24"/>
        </w:rPr>
      </w:pPr>
      <w:r>
        <w:rPr>
          <w:rFonts w:hint="eastAsia" w:ascii="宋体" w:hAnsi="宋体" w:cs="宋体"/>
          <w:sz w:val="24"/>
          <w:szCs w:val="24"/>
        </w:rPr>
        <w:t>授权委托书（适用于有委托代理人的情况）</w:t>
      </w:r>
    </w:p>
    <w:p>
      <w:pPr>
        <w:numPr>
          <w:ilvl w:val="0"/>
          <w:numId w:val="1"/>
        </w:numPr>
        <w:spacing w:line="360" w:lineRule="auto"/>
        <w:rPr>
          <w:rFonts w:ascii="宋体" w:hAnsi="宋体" w:cs="宋体"/>
          <w:sz w:val="24"/>
          <w:szCs w:val="24"/>
        </w:rPr>
      </w:pPr>
      <w:r>
        <w:rPr>
          <w:rFonts w:hint="eastAsia" w:ascii="宋体" w:hAnsi="宋体" w:cs="宋体"/>
          <w:sz w:val="24"/>
          <w:szCs w:val="24"/>
        </w:rPr>
        <w:t>商务和技术偏差表</w:t>
      </w:r>
    </w:p>
    <w:p>
      <w:pPr>
        <w:numPr>
          <w:ilvl w:val="0"/>
          <w:numId w:val="1"/>
        </w:numPr>
        <w:spacing w:line="360" w:lineRule="auto"/>
        <w:rPr>
          <w:rFonts w:ascii="宋体" w:hAnsi="宋体" w:cs="宋体"/>
          <w:sz w:val="24"/>
          <w:szCs w:val="24"/>
        </w:rPr>
      </w:pPr>
      <w:r>
        <w:rPr>
          <w:rFonts w:hint="eastAsia" w:ascii="宋体" w:hAnsi="宋体" w:cs="宋体"/>
          <w:sz w:val="24"/>
          <w:szCs w:val="24"/>
        </w:rPr>
        <w:t>分项报价表</w:t>
      </w:r>
    </w:p>
    <w:p>
      <w:pPr>
        <w:numPr>
          <w:ilvl w:val="0"/>
          <w:numId w:val="1"/>
        </w:numPr>
        <w:spacing w:line="360" w:lineRule="auto"/>
        <w:rPr>
          <w:rFonts w:ascii="宋体" w:hAnsi="宋体" w:cs="宋体"/>
          <w:sz w:val="24"/>
          <w:szCs w:val="24"/>
        </w:rPr>
      </w:pPr>
      <w:r>
        <w:rPr>
          <w:rFonts w:hint="eastAsia" w:ascii="宋体" w:hAnsi="宋体" w:cs="宋体"/>
          <w:sz w:val="24"/>
          <w:szCs w:val="24"/>
        </w:rPr>
        <w:t>资格审查资料</w:t>
      </w:r>
    </w:p>
    <w:p>
      <w:pPr>
        <w:numPr>
          <w:ilvl w:val="0"/>
          <w:numId w:val="1"/>
        </w:numPr>
        <w:spacing w:line="360" w:lineRule="auto"/>
        <w:rPr>
          <w:rFonts w:ascii="宋体" w:hAnsi="宋体" w:cs="宋体"/>
          <w:sz w:val="24"/>
          <w:szCs w:val="24"/>
        </w:rPr>
      </w:pPr>
      <w:r>
        <w:rPr>
          <w:rFonts w:hint="eastAsia" w:ascii="宋体" w:hAnsi="宋体" w:cs="宋体"/>
          <w:sz w:val="24"/>
          <w:szCs w:val="24"/>
        </w:rPr>
        <w:t>供货业绩情况表</w:t>
      </w:r>
    </w:p>
    <w:p>
      <w:pPr>
        <w:numPr>
          <w:ilvl w:val="0"/>
          <w:numId w:val="1"/>
        </w:numPr>
        <w:spacing w:line="360" w:lineRule="auto"/>
        <w:rPr>
          <w:rFonts w:ascii="宋体" w:hAnsi="宋体" w:cs="宋体"/>
          <w:sz w:val="24"/>
          <w:szCs w:val="24"/>
        </w:rPr>
      </w:pPr>
      <w:r>
        <w:rPr>
          <w:rFonts w:hint="eastAsia" w:ascii="宋体" w:hAnsi="宋体" w:cs="宋体"/>
          <w:sz w:val="24"/>
          <w:szCs w:val="24"/>
        </w:rPr>
        <w:t>投标设备技术性能指标的详细描述</w:t>
      </w:r>
    </w:p>
    <w:p>
      <w:pPr>
        <w:numPr>
          <w:ilvl w:val="0"/>
          <w:numId w:val="1"/>
        </w:numPr>
        <w:spacing w:line="360" w:lineRule="auto"/>
        <w:rPr>
          <w:rFonts w:ascii="宋体" w:hAnsi="宋体" w:cs="宋体"/>
          <w:sz w:val="24"/>
          <w:szCs w:val="24"/>
        </w:rPr>
      </w:pPr>
      <w:r>
        <w:rPr>
          <w:rFonts w:hint="eastAsia" w:ascii="宋体" w:hAnsi="宋体" w:cs="宋体"/>
          <w:sz w:val="24"/>
          <w:szCs w:val="24"/>
        </w:rPr>
        <w:t>技术支持资料</w:t>
      </w:r>
    </w:p>
    <w:p>
      <w:pPr>
        <w:numPr>
          <w:ilvl w:val="0"/>
          <w:numId w:val="1"/>
        </w:numPr>
        <w:spacing w:line="360" w:lineRule="auto"/>
        <w:rPr>
          <w:rFonts w:ascii="宋体" w:hAnsi="宋体" w:cs="宋体"/>
          <w:sz w:val="24"/>
          <w:szCs w:val="24"/>
        </w:rPr>
      </w:pPr>
      <w:r>
        <w:rPr>
          <w:rFonts w:hint="eastAsia" w:ascii="宋体" w:hAnsi="宋体" w:cs="宋体"/>
          <w:sz w:val="24"/>
          <w:szCs w:val="24"/>
        </w:rPr>
        <w:t>技术服务和质保期服务计划</w:t>
      </w:r>
    </w:p>
    <w:p>
      <w:pPr>
        <w:numPr>
          <w:ilvl w:val="0"/>
          <w:numId w:val="1"/>
        </w:numPr>
        <w:spacing w:line="360" w:lineRule="auto"/>
        <w:rPr>
          <w:rFonts w:ascii="宋体" w:hAnsi="宋体" w:cs="宋体"/>
          <w:sz w:val="24"/>
          <w:szCs w:val="24"/>
        </w:rPr>
      </w:pPr>
      <w:r>
        <w:rPr>
          <w:rFonts w:hint="eastAsia" w:ascii="宋体" w:hAnsi="宋体" w:cs="宋体"/>
          <w:sz w:val="24"/>
          <w:szCs w:val="24"/>
        </w:rPr>
        <w:t>实施方案</w:t>
      </w:r>
    </w:p>
    <w:p>
      <w:pPr>
        <w:numPr>
          <w:ilvl w:val="0"/>
          <w:numId w:val="1"/>
        </w:numPr>
        <w:spacing w:line="360" w:lineRule="auto"/>
        <w:rPr>
          <w:rFonts w:ascii="宋体" w:hAnsi="宋体" w:cs="宋体"/>
          <w:sz w:val="24"/>
          <w:szCs w:val="24"/>
        </w:rPr>
      </w:pPr>
      <w:r>
        <w:rPr>
          <w:rFonts w:hint="eastAsia" w:ascii="宋体" w:hAnsi="宋体" w:cs="宋体"/>
          <w:sz w:val="24"/>
          <w:szCs w:val="24"/>
        </w:rPr>
        <w:t>其他资料</w:t>
      </w:r>
    </w:p>
    <w:p>
      <w:pPr>
        <w:spacing w:line="360" w:lineRule="auto"/>
        <w:ind w:firstLine="480" w:firstLineChars="200"/>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3.1.2投标人须知前附表规定不接受联合体投标的，或投标人没有组成联合体的，投标文件不包括本章第3.1.1（3）目所指的联合体协议书。</w:t>
      </w:r>
    </w:p>
    <w:p>
      <w:pPr>
        <w:spacing w:line="360" w:lineRule="auto"/>
        <w:ind w:firstLine="480" w:firstLineChars="200"/>
        <w:rPr>
          <w:rFonts w:ascii="宋体" w:hAnsi="宋体" w:cs="宋体"/>
          <w:sz w:val="24"/>
          <w:szCs w:val="24"/>
        </w:rPr>
      </w:pPr>
      <w:r>
        <w:rPr>
          <w:rFonts w:hint="eastAsia" w:ascii="宋体" w:hAnsi="宋体" w:cs="宋体"/>
          <w:strike/>
          <w:sz w:val="24"/>
          <w:szCs w:val="24"/>
        </w:rPr>
        <w:t>3.1.3投标人须知前附表未要求提交投标保证金的，投标文件不包括本章第3.1.1（4）目所指的投标保证金。</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3.2  投标价格</w:t>
      </w:r>
    </w:p>
    <w:p>
      <w:pPr>
        <w:spacing w:line="360" w:lineRule="auto"/>
        <w:ind w:firstLine="480" w:firstLineChars="200"/>
        <w:rPr>
          <w:rFonts w:ascii="宋体" w:hAnsi="宋体" w:cs="宋体"/>
          <w:sz w:val="24"/>
          <w:szCs w:val="24"/>
        </w:rPr>
      </w:pPr>
      <w:r>
        <w:rPr>
          <w:rFonts w:hint="eastAsia" w:ascii="宋体" w:hAnsi="宋体" w:cs="宋体"/>
          <w:sz w:val="24"/>
          <w:szCs w:val="24"/>
        </w:rPr>
        <w:t>3.2.1投标报价应包括国家规定的增值税税金，除投标人须知前附表另有规定外，增值税税金按一般计税方法计算。投标人应按第六章“投标文件格式”的要求在投标函中进行报价并填写分项报价表。</w:t>
      </w:r>
    </w:p>
    <w:p>
      <w:pPr>
        <w:spacing w:line="360" w:lineRule="auto"/>
        <w:ind w:firstLine="480" w:firstLineChars="200"/>
        <w:rPr>
          <w:rFonts w:ascii="宋体" w:hAnsi="宋体" w:cs="宋体"/>
          <w:sz w:val="24"/>
          <w:szCs w:val="24"/>
        </w:rPr>
      </w:pPr>
      <w:r>
        <w:rPr>
          <w:rFonts w:hint="eastAsia" w:ascii="宋体" w:hAnsi="宋体" w:cs="宋体"/>
          <w:sz w:val="24"/>
          <w:szCs w:val="24"/>
        </w:rPr>
        <w:t>3.2.2投标人应充分了解该项目的总体情况以及影响投标报价的其他要素。</w:t>
      </w:r>
    </w:p>
    <w:p>
      <w:pPr>
        <w:spacing w:line="360" w:lineRule="auto"/>
        <w:ind w:firstLine="480" w:firstLineChars="200"/>
        <w:rPr>
          <w:rFonts w:ascii="宋体" w:hAnsi="宋体" w:cs="宋体"/>
          <w:sz w:val="24"/>
          <w:szCs w:val="24"/>
        </w:rPr>
      </w:pPr>
      <w:r>
        <w:rPr>
          <w:rFonts w:hint="eastAsia" w:ascii="宋体" w:hAnsi="宋体" w:cs="宋体"/>
          <w:sz w:val="24"/>
          <w:szCs w:val="24"/>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360" w:lineRule="auto"/>
        <w:ind w:firstLine="480" w:firstLineChars="200"/>
        <w:rPr>
          <w:rFonts w:ascii="宋体" w:hAnsi="宋体" w:cs="宋体"/>
          <w:sz w:val="24"/>
          <w:szCs w:val="24"/>
        </w:rPr>
      </w:pPr>
      <w:r>
        <w:rPr>
          <w:rFonts w:hint="eastAsia" w:ascii="宋体" w:hAnsi="宋体" w:cs="宋体"/>
          <w:sz w:val="24"/>
          <w:szCs w:val="24"/>
        </w:rPr>
        <w:t>3.2.4招标人设有最高投标限价的，投标人的投标报价不得超过最高投标限价，最高投标限价在投标人须知前附表中载明。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sz w:val="24"/>
          <w:szCs w:val="24"/>
        </w:rPr>
      </w:pPr>
      <w:r>
        <w:rPr>
          <w:rFonts w:hint="eastAsia" w:ascii="宋体" w:hAnsi="宋体" w:cs="宋体"/>
          <w:sz w:val="24"/>
          <w:szCs w:val="24"/>
        </w:rPr>
        <w:t>3.2.5投标报价的其他要求见投标人须知前附表。</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3.3  投标有效期</w:t>
      </w:r>
    </w:p>
    <w:p>
      <w:pPr>
        <w:spacing w:line="360" w:lineRule="auto"/>
        <w:ind w:firstLine="480" w:firstLineChars="200"/>
        <w:rPr>
          <w:rFonts w:ascii="宋体" w:hAnsi="宋体" w:cs="宋体"/>
          <w:sz w:val="24"/>
          <w:szCs w:val="24"/>
        </w:rPr>
      </w:pPr>
      <w:r>
        <w:rPr>
          <w:rFonts w:hint="eastAsia" w:ascii="宋体" w:hAnsi="宋体" w:cs="宋体"/>
          <w:sz w:val="24"/>
          <w:szCs w:val="24"/>
        </w:rPr>
        <w:t>3.3.1除投标人须知前附表另有规定外，投标有效期为120天。</w:t>
      </w:r>
    </w:p>
    <w:p>
      <w:pPr>
        <w:spacing w:line="360" w:lineRule="auto"/>
        <w:ind w:firstLine="480" w:firstLineChars="200"/>
        <w:rPr>
          <w:rFonts w:ascii="宋体" w:hAnsi="宋体" w:cs="宋体"/>
          <w:sz w:val="24"/>
          <w:szCs w:val="24"/>
        </w:rPr>
      </w:pPr>
      <w:r>
        <w:rPr>
          <w:rFonts w:hint="eastAsia" w:ascii="宋体" w:hAnsi="宋体" w:cs="宋体"/>
          <w:sz w:val="24"/>
          <w:szCs w:val="24"/>
        </w:rPr>
        <w:t>3.3.2在投标有效期内，投标人撤销投标文件的，应承担招标文件和法律规定的责任。</w:t>
      </w:r>
    </w:p>
    <w:p>
      <w:pPr>
        <w:spacing w:line="360" w:lineRule="auto"/>
        <w:ind w:firstLine="480" w:firstLineChars="200"/>
        <w:rPr>
          <w:rFonts w:ascii="宋体" w:hAnsi="宋体" w:cs="宋体"/>
          <w:sz w:val="24"/>
          <w:szCs w:val="24"/>
        </w:rPr>
      </w:pPr>
      <w:r>
        <w:rPr>
          <w:rFonts w:hint="eastAsia" w:ascii="宋体" w:hAnsi="宋体" w:cs="宋体"/>
          <w:sz w:val="24"/>
          <w:szCs w:val="24"/>
        </w:rPr>
        <w:t>3.3.3出现特殊情况需要延长投标有效期的，招标人以书面形式通知所有投标人延长投标有效期。投标人应予以书面答复。</w:t>
      </w:r>
    </w:p>
    <w:p>
      <w:pPr>
        <w:kinsoku w:val="0"/>
        <w:overflowPunct w:val="0"/>
        <w:spacing w:line="360" w:lineRule="auto"/>
        <w:jc w:val="left"/>
        <w:rPr>
          <w:rFonts w:ascii="宋体" w:hAnsi="宋体" w:cs="宋体"/>
          <w:b/>
          <w:bCs/>
          <w:strike/>
          <w:sz w:val="24"/>
          <w:szCs w:val="24"/>
        </w:rPr>
      </w:pPr>
      <w:bookmarkStart w:id="44" w:name="_Toc511383850"/>
      <w:r>
        <w:rPr>
          <w:rFonts w:hint="eastAsia" w:ascii="宋体" w:hAnsi="宋体" w:cs="宋体"/>
          <w:b/>
          <w:bCs/>
          <w:strike/>
          <w:sz w:val="24"/>
          <w:szCs w:val="24"/>
        </w:rPr>
        <w:t>3.5 资格审查资料</w:t>
      </w:r>
      <w:bookmarkEnd w:id="44"/>
      <w:r>
        <w:rPr>
          <w:rFonts w:hint="eastAsia" w:ascii="宋体" w:hAnsi="宋体" w:cs="宋体"/>
          <w:b/>
          <w:bCs/>
          <w:strike/>
          <w:sz w:val="24"/>
          <w:szCs w:val="24"/>
        </w:rPr>
        <w:t>（适用于已进行资格预审的）</w:t>
      </w:r>
    </w:p>
    <w:p>
      <w:pPr>
        <w:spacing w:line="360" w:lineRule="auto"/>
        <w:ind w:firstLine="480" w:firstLineChars="200"/>
        <w:rPr>
          <w:rFonts w:ascii="宋体" w:hAnsi="宋体" w:cs="宋体"/>
          <w:strike/>
          <w:sz w:val="24"/>
          <w:szCs w:val="24"/>
        </w:rPr>
      </w:pPr>
      <w:r>
        <w:rPr>
          <w:rFonts w:hint="eastAsia" w:ascii="宋体" w:hAnsi="宋体" w:cs="宋体"/>
          <w:strike/>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kinsoku w:val="0"/>
        <w:overflowPunct w:val="0"/>
        <w:spacing w:line="360" w:lineRule="auto"/>
        <w:jc w:val="left"/>
        <w:rPr>
          <w:rFonts w:ascii="宋体" w:hAnsi="宋体" w:cs="宋体"/>
          <w:b/>
          <w:bCs/>
          <w:sz w:val="24"/>
          <w:szCs w:val="24"/>
        </w:rPr>
      </w:pPr>
      <w:r>
        <w:rPr>
          <w:rFonts w:hint="eastAsia" w:ascii="宋体" w:hAnsi="宋体" w:cs="宋体"/>
          <w:b/>
          <w:bCs/>
          <w:sz w:val="24"/>
          <w:szCs w:val="24"/>
        </w:rPr>
        <w:t>3.5 资格审查资料（适用于未进行资格预审的）</w:t>
      </w:r>
    </w:p>
    <w:p>
      <w:pPr>
        <w:pStyle w:val="7"/>
        <w:kinsoku w:val="0"/>
        <w:overflowPunct w:val="0"/>
        <w:autoSpaceDE w:val="0"/>
        <w:autoSpaceDN w:val="0"/>
        <w:adjustRightInd w:val="0"/>
        <w:snapToGrid w:val="0"/>
        <w:spacing w:line="360" w:lineRule="auto"/>
        <w:ind w:firstLine="448" w:firstLineChars="200"/>
        <w:rPr>
          <w:rFonts w:ascii="宋体" w:hAnsi="宋体" w:cs="宋体"/>
          <w:spacing w:val="-8"/>
          <w:sz w:val="24"/>
        </w:rPr>
      </w:pPr>
      <w:r>
        <w:rPr>
          <w:rFonts w:hint="eastAsia" w:ascii="宋体" w:hAnsi="宋体" w:cs="宋体"/>
          <w:spacing w:val="-8"/>
          <w:sz w:val="24"/>
        </w:rPr>
        <w:t>除投标人须知前附表另有规定外，投标人应按下列规定提供资格审查资料，以证明其满足本章第 1.4 款规定的资质、财务、业绩、信誉等要求。</w:t>
      </w:r>
    </w:p>
    <w:p>
      <w:pPr>
        <w:spacing w:line="360" w:lineRule="auto"/>
        <w:ind w:firstLine="448" w:firstLineChars="200"/>
        <w:rPr>
          <w:rFonts w:ascii="宋体" w:hAnsi="宋体" w:cs="宋体"/>
          <w:sz w:val="24"/>
          <w:szCs w:val="24"/>
        </w:rPr>
      </w:pPr>
      <w:r>
        <w:rPr>
          <w:rFonts w:hint="eastAsia" w:ascii="宋体" w:hAnsi="宋体" w:cs="宋体"/>
          <w:spacing w:val="-8"/>
          <w:sz w:val="24"/>
          <w:szCs w:val="24"/>
        </w:rPr>
        <w:t>3.5.1 “基本情况表”应附投标人营业执照或事业单位法人证书；制造商针对本项目出具的产品代理授权书（如有，适用于代理经销商投标的情形）</w:t>
      </w:r>
    </w:p>
    <w:p>
      <w:pPr>
        <w:kinsoku w:val="0"/>
        <w:overflowPunct w:val="0"/>
        <w:spacing w:line="360" w:lineRule="auto"/>
        <w:jc w:val="left"/>
        <w:rPr>
          <w:rFonts w:ascii="宋体" w:hAnsi="宋体" w:cs="宋体"/>
          <w:b/>
          <w:bCs/>
          <w:sz w:val="24"/>
          <w:szCs w:val="24"/>
        </w:rPr>
      </w:pPr>
      <w:r>
        <w:rPr>
          <w:rFonts w:hint="eastAsia" w:ascii="宋体" w:hAnsi="宋体" w:cs="宋体"/>
          <w:b/>
          <w:bCs/>
          <w:sz w:val="24"/>
          <w:szCs w:val="24"/>
        </w:rPr>
        <w:t>3.6 备选投标方案</w:t>
      </w:r>
    </w:p>
    <w:p>
      <w:pPr>
        <w:spacing w:line="360" w:lineRule="auto"/>
        <w:ind w:firstLine="480" w:firstLineChars="200"/>
        <w:rPr>
          <w:rFonts w:ascii="宋体" w:hAnsi="宋体" w:cs="宋体"/>
          <w:sz w:val="24"/>
          <w:szCs w:val="24"/>
        </w:rPr>
      </w:pPr>
      <w:r>
        <w:rPr>
          <w:rFonts w:hint="eastAsia" w:ascii="宋体" w:hAnsi="宋体" w:cs="宋体"/>
          <w:sz w:val="24"/>
          <w:szCs w:val="24"/>
        </w:rPr>
        <w:t>3.6.1除投标人须知前附表规定允许外，投标人不得递交备选投标方案，否则其投标将被否决。</w:t>
      </w:r>
    </w:p>
    <w:p>
      <w:pPr>
        <w:spacing w:line="360" w:lineRule="auto"/>
        <w:ind w:firstLine="480" w:firstLineChars="200"/>
        <w:rPr>
          <w:rFonts w:ascii="宋体" w:hAnsi="宋体" w:cs="宋体"/>
          <w:sz w:val="24"/>
          <w:szCs w:val="24"/>
        </w:rPr>
      </w:pPr>
      <w:r>
        <w:rPr>
          <w:rFonts w:hint="eastAsia" w:ascii="宋体" w:hAnsi="宋体" w:cs="宋体"/>
          <w:sz w:val="24"/>
          <w:szCs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sz w:val="24"/>
          <w:szCs w:val="24"/>
        </w:rPr>
      </w:pPr>
      <w:r>
        <w:rPr>
          <w:rFonts w:hint="eastAsia" w:ascii="宋体" w:hAnsi="宋体" w:cs="宋体"/>
          <w:sz w:val="24"/>
          <w:szCs w:val="24"/>
        </w:rPr>
        <w:t>3.6.3投标人提供两个或两个以上投标报价，或者在投标文件中提供一个报价，但同时提供两个或两个以上服务方案的，视为提供备选方案。</w:t>
      </w:r>
    </w:p>
    <w:p>
      <w:pPr>
        <w:kinsoku w:val="0"/>
        <w:overflowPunct w:val="0"/>
        <w:spacing w:line="360" w:lineRule="auto"/>
        <w:jc w:val="left"/>
        <w:rPr>
          <w:rFonts w:ascii="宋体" w:hAnsi="宋体" w:cs="宋体"/>
          <w:b/>
          <w:bCs/>
          <w:sz w:val="24"/>
          <w:szCs w:val="24"/>
        </w:rPr>
      </w:pPr>
      <w:bookmarkStart w:id="45" w:name="bookmark46"/>
      <w:bookmarkEnd w:id="45"/>
      <w:r>
        <w:rPr>
          <w:rFonts w:hint="eastAsia" w:ascii="宋体" w:hAnsi="宋体" w:cs="宋体"/>
          <w:b/>
          <w:bCs/>
          <w:sz w:val="24"/>
          <w:szCs w:val="24"/>
        </w:rPr>
        <w:t>3.7 投标文件的编制</w:t>
      </w:r>
    </w:p>
    <w:p>
      <w:pPr>
        <w:spacing w:line="360" w:lineRule="auto"/>
        <w:ind w:firstLine="480" w:firstLineChars="200"/>
        <w:rPr>
          <w:rFonts w:ascii="宋体" w:hAnsi="宋体" w:cs="宋体"/>
          <w:sz w:val="24"/>
          <w:szCs w:val="24"/>
        </w:rPr>
      </w:pPr>
      <w:r>
        <w:rPr>
          <w:rFonts w:hint="eastAsia" w:ascii="宋体" w:hAnsi="宋体" w:cs="宋体"/>
          <w:sz w:val="24"/>
          <w:szCs w:val="24"/>
        </w:rPr>
        <w:t>3.7.1投标文件应按第六章“投标文件格式”进行编写，如有必要，可以增加附页，作为投标文件的组成部分。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3.7.2投标文件应当对招标文件有关供货期、投标有效期、用户需求书、招标范围等实质性内容作出响应。投标文件在满足招标文件实质性要求的基础上，可以提出比招标文件要求更有利于招标人的承诺。</w:t>
      </w:r>
    </w:p>
    <w:p>
      <w:pPr>
        <w:spacing w:line="360" w:lineRule="auto"/>
        <w:ind w:firstLine="480" w:firstLineChars="200"/>
        <w:rPr>
          <w:rFonts w:ascii="宋体" w:hAnsi="宋体" w:cs="宋体"/>
          <w:sz w:val="24"/>
          <w:szCs w:val="24"/>
        </w:rPr>
      </w:pPr>
      <w:r>
        <w:rPr>
          <w:rFonts w:hint="eastAsia" w:ascii="宋体" w:hAnsi="宋体" w:cs="宋体"/>
          <w:sz w:val="24"/>
          <w:szCs w:val="24"/>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keepLines/>
        <w:spacing w:before="240" w:after="240" w:line="360" w:lineRule="auto"/>
        <w:jc w:val="left"/>
        <w:outlineLvl w:val="2"/>
        <w:rPr>
          <w:rFonts w:ascii="宋体" w:hAnsi="宋体" w:cs="宋体"/>
          <w:b/>
          <w:bCs/>
          <w:sz w:val="30"/>
          <w:szCs w:val="30"/>
        </w:rPr>
      </w:pPr>
      <w:bookmarkStart w:id="46" w:name="_Toc9342"/>
      <w:bookmarkStart w:id="47" w:name="_Toc24378"/>
      <w:bookmarkStart w:id="48" w:name="_Toc31557"/>
      <w:bookmarkStart w:id="49" w:name="_Toc23284"/>
      <w:bookmarkStart w:id="50" w:name="_Toc3554"/>
      <w:bookmarkStart w:id="51" w:name="_Toc23220"/>
      <w:bookmarkStart w:id="52" w:name="_Toc29593"/>
      <w:bookmarkStart w:id="53" w:name="_Toc25065"/>
      <w:bookmarkStart w:id="54" w:name="_Toc532367876"/>
      <w:bookmarkStart w:id="55" w:name="_Toc377719903"/>
      <w:r>
        <w:rPr>
          <w:rFonts w:hint="eastAsia" w:ascii="宋体" w:hAnsi="宋体" w:cs="宋体"/>
          <w:b/>
          <w:bCs/>
          <w:sz w:val="30"/>
          <w:szCs w:val="30"/>
        </w:rPr>
        <w:t>4. 投标</w:t>
      </w:r>
      <w:bookmarkEnd w:id="46"/>
      <w:bookmarkEnd w:id="47"/>
      <w:bookmarkEnd w:id="48"/>
      <w:bookmarkEnd w:id="49"/>
      <w:bookmarkEnd w:id="50"/>
      <w:bookmarkEnd w:id="51"/>
      <w:bookmarkEnd w:id="52"/>
      <w:bookmarkEnd w:id="53"/>
      <w:bookmarkEnd w:id="54"/>
      <w:bookmarkEnd w:id="55"/>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4.1 投标文件的密封和标记</w:t>
      </w:r>
    </w:p>
    <w:p>
      <w:pPr>
        <w:spacing w:line="360" w:lineRule="auto"/>
        <w:ind w:firstLine="480" w:firstLineChars="200"/>
        <w:rPr>
          <w:rFonts w:ascii="宋体" w:hAnsi="宋体" w:cs="宋体"/>
          <w:sz w:val="24"/>
          <w:szCs w:val="24"/>
        </w:rPr>
      </w:pPr>
      <w:r>
        <w:rPr>
          <w:rFonts w:hint="eastAsia" w:ascii="宋体" w:hAnsi="宋体" w:cs="宋体"/>
          <w:sz w:val="24"/>
          <w:szCs w:val="24"/>
        </w:rPr>
        <w:t>4.1.1（B）投标人应当按照招标文件和电子招标投标交易平台的要求加密投标文件，具体 要求见投标人须知前附表。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4.1.2投标文件封套上应写明的内容见投标人须知前附表。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4.1.3未按本章第4.1.1项要求密封的投标文件，招标人将予以拒收。</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4.2 投标文件的递交</w:t>
      </w:r>
    </w:p>
    <w:p>
      <w:pPr>
        <w:spacing w:line="360" w:lineRule="auto"/>
        <w:ind w:firstLine="480" w:firstLineChars="200"/>
        <w:rPr>
          <w:rFonts w:ascii="宋体" w:hAnsi="宋体" w:cs="宋体"/>
          <w:sz w:val="24"/>
          <w:szCs w:val="24"/>
        </w:rPr>
      </w:pPr>
      <w:r>
        <w:rPr>
          <w:rFonts w:hint="eastAsia" w:ascii="宋体" w:hAnsi="宋体" w:cs="宋体"/>
          <w:sz w:val="24"/>
          <w:szCs w:val="24"/>
        </w:rPr>
        <w:t>4.2.1投标人应在投标人须知前附表规定的投标截止时间前递交投标文件。</w:t>
      </w:r>
    </w:p>
    <w:p>
      <w:pPr>
        <w:spacing w:line="360" w:lineRule="auto"/>
        <w:ind w:firstLine="480" w:firstLineChars="200"/>
        <w:rPr>
          <w:rFonts w:ascii="宋体" w:hAnsi="宋体" w:cs="宋体"/>
          <w:sz w:val="24"/>
          <w:szCs w:val="24"/>
        </w:rPr>
      </w:pPr>
      <w:r>
        <w:rPr>
          <w:rFonts w:hint="eastAsia" w:ascii="宋体" w:hAnsi="宋体" w:cs="宋体"/>
          <w:sz w:val="24"/>
          <w:szCs w:val="24"/>
        </w:rPr>
        <w:t>4.2.2（B）投标人通过下载招标文件的电子招标投标交易平台递交电子投标文件。</w:t>
      </w:r>
    </w:p>
    <w:p>
      <w:pPr>
        <w:spacing w:line="360" w:lineRule="auto"/>
        <w:ind w:firstLine="480" w:firstLineChars="200"/>
        <w:rPr>
          <w:rFonts w:ascii="宋体" w:hAnsi="宋体" w:cs="宋体"/>
          <w:sz w:val="24"/>
          <w:szCs w:val="24"/>
        </w:rPr>
      </w:pPr>
      <w:r>
        <w:rPr>
          <w:rFonts w:hint="eastAsia" w:ascii="宋体" w:hAnsi="宋体" w:cs="宋体"/>
          <w:sz w:val="24"/>
          <w:szCs w:val="24"/>
        </w:rPr>
        <w:t>4.2.3除投标人须知前附表另有规定外，投标人所递交的投标文件不予退还。</w:t>
      </w:r>
    </w:p>
    <w:p>
      <w:pPr>
        <w:spacing w:line="360" w:lineRule="auto"/>
        <w:ind w:firstLine="480" w:firstLineChars="200"/>
        <w:rPr>
          <w:rFonts w:ascii="宋体" w:hAnsi="宋体" w:cs="宋体"/>
          <w:sz w:val="24"/>
          <w:szCs w:val="24"/>
        </w:rPr>
      </w:pPr>
      <w:r>
        <w:rPr>
          <w:rFonts w:hint="eastAsia" w:ascii="宋体" w:hAnsi="宋体" w:cs="宋体"/>
          <w:sz w:val="24"/>
          <w:szCs w:val="24"/>
        </w:rPr>
        <w:t>4.2.4（B）投标人完成电子投标文件上传后，电子招标投标交易平台即时向投标人发出递交回执通知。递交时间以递交回执通知载明的传输完成时间为准。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cs="宋体"/>
          <w:sz w:val="24"/>
          <w:szCs w:val="24"/>
        </w:rPr>
      </w:pPr>
      <w:r>
        <w:rPr>
          <w:rFonts w:hint="eastAsia" w:ascii="宋体" w:hAnsi="宋体" w:cs="宋体"/>
          <w:sz w:val="24"/>
          <w:szCs w:val="24"/>
        </w:rPr>
        <w:t>4.2.5（B）逾期送达的投标文件，电子招标投标交易平台将予以拒收。</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4.3  投标文件的修改与撤回</w:t>
      </w:r>
    </w:p>
    <w:p>
      <w:pPr>
        <w:spacing w:line="360" w:lineRule="auto"/>
        <w:ind w:firstLine="480" w:firstLineChars="200"/>
        <w:rPr>
          <w:rFonts w:ascii="宋体" w:hAnsi="宋体" w:cs="宋体"/>
          <w:sz w:val="24"/>
          <w:szCs w:val="24"/>
        </w:rPr>
      </w:pPr>
      <w:r>
        <w:rPr>
          <w:rFonts w:hint="eastAsia" w:ascii="宋体" w:hAnsi="宋体" w:cs="宋体"/>
          <w:sz w:val="24"/>
          <w:szCs w:val="24"/>
        </w:rPr>
        <w:t>4.3.1在本章第4.2.1项规定的投标截止时间前，投标人可以修改或撤回已递交的投标文件，但应以书面形式通知招标人。</w:t>
      </w:r>
    </w:p>
    <w:p>
      <w:pPr>
        <w:spacing w:line="360" w:lineRule="auto"/>
        <w:ind w:firstLine="480" w:firstLineChars="200"/>
        <w:rPr>
          <w:rFonts w:ascii="宋体" w:hAnsi="宋体" w:cs="宋体"/>
          <w:sz w:val="24"/>
          <w:szCs w:val="24"/>
        </w:rPr>
      </w:pPr>
      <w:r>
        <w:rPr>
          <w:rFonts w:hint="eastAsia" w:ascii="宋体" w:hAnsi="宋体" w:cs="宋体"/>
          <w:sz w:val="24"/>
          <w:szCs w:val="24"/>
        </w:rPr>
        <w:t>4.3.2（B）投标人修改或撤回已递交投标文件的通知，应按照本章第3.7.3（B）项的要求加盖电子印章。电子招标投标交易平台收到通知后，即时向投标人发出确认回执通知。</w:t>
      </w:r>
    </w:p>
    <w:p>
      <w:pPr>
        <w:spacing w:line="360" w:lineRule="auto"/>
        <w:ind w:firstLine="480" w:firstLineChars="200"/>
        <w:rPr>
          <w:rFonts w:ascii="宋体" w:hAnsi="宋体" w:cs="宋体"/>
          <w:sz w:val="24"/>
          <w:szCs w:val="24"/>
        </w:rPr>
      </w:pPr>
      <w:r>
        <w:rPr>
          <w:rFonts w:hint="eastAsia" w:ascii="宋体" w:hAnsi="宋体" w:cs="宋体"/>
          <w:sz w:val="24"/>
          <w:szCs w:val="24"/>
        </w:rPr>
        <w:t>4.3.3</w:t>
      </w:r>
      <w:r>
        <w:rPr>
          <w:rFonts w:hint="eastAsia" w:ascii="宋体" w:hAnsi="宋体" w:cs="宋体"/>
          <w:strike/>
          <w:sz w:val="24"/>
          <w:szCs w:val="24"/>
        </w:rPr>
        <w:t>投标人撤回投标文件的，招标人自收到投标人书面撤回通知之日起</w:t>
      </w:r>
      <w:r>
        <w:rPr>
          <w:rFonts w:ascii="宋体" w:hAnsi="宋体" w:cs="宋体"/>
          <w:strike/>
          <w:sz w:val="24"/>
          <w:szCs w:val="24"/>
        </w:rPr>
        <w:t>5日内退还已收取的投标保证金</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4.3.4修改的内容为投标文件的组成部分。修改的投标文件应按照本章第3条、第4条的规定进行编制、密封、标记和递交，并标明“修改”字样。</w:t>
      </w:r>
    </w:p>
    <w:p>
      <w:pPr>
        <w:keepNext/>
        <w:keepLines/>
        <w:spacing w:before="240" w:after="240" w:line="360" w:lineRule="auto"/>
        <w:outlineLvl w:val="2"/>
        <w:rPr>
          <w:rFonts w:ascii="宋体" w:hAnsi="宋体" w:cs="宋体"/>
          <w:b/>
          <w:bCs/>
          <w:sz w:val="30"/>
          <w:szCs w:val="30"/>
        </w:rPr>
      </w:pPr>
      <w:bookmarkStart w:id="56" w:name="_Toc532367877"/>
      <w:bookmarkStart w:id="57" w:name="_Toc377719904"/>
      <w:bookmarkStart w:id="58" w:name="_Toc31567"/>
      <w:bookmarkStart w:id="59" w:name="_Toc10549"/>
      <w:bookmarkStart w:id="60" w:name="_Toc11066"/>
      <w:bookmarkStart w:id="61" w:name="_Toc111"/>
      <w:bookmarkStart w:id="62" w:name="_Toc5302"/>
      <w:bookmarkStart w:id="63" w:name="_Toc17418"/>
      <w:bookmarkStart w:id="64" w:name="_Toc1684"/>
      <w:bookmarkStart w:id="65" w:name="_Toc19088"/>
      <w:r>
        <w:rPr>
          <w:rFonts w:hint="eastAsia" w:ascii="宋体" w:hAnsi="宋体" w:cs="宋体"/>
          <w:b/>
          <w:bCs/>
          <w:sz w:val="30"/>
          <w:szCs w:val="30"/>
        </w:rPr>
        <w:t>5. 开标</w:t>
      </w:r>
      <w:bookmarkEnd w:id="56"/>
      <w:bookmarkEnd w:id="57"/>
      <w:bookmarkEnd w:id="58"/>
      <w:bookmarkEnd w:id="59"/>
      <w:bookmarkEnd w:id="60"/>
      <w:bookmarkEnd w:id="61"/>
      <w:bookmarkEnd w:id="62"/>
      <w:bookmarkEnd w:id="63"/>
      <w:bookmarkEnd w:id="64"/>
      <w:bookmarkEnd w:id="65"/>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5.1 开标时间和地点（B）</w:t>
      </w:r>
    </w:p>
    <w:p>
      <w:pPr>
        <w:spacing w:line="360" w:lineRule="auto"/>
        <w:ind w:firstLine="480" w:firstLineChars="200"/>
        <w:rPr>
          <w:rFonts w:ascii="宋体" w:hAnsi="宋体" w:cs="宋体"/>
          <w:sz w:val="24"/>
          <w:szCs w:val="24"/>
        </w:rPr>
      </w:pPr>
      <w:r>
        <w:rPr>
          <w:rFonts w:hint="eastAsia" w:ascii="宋体" w:hAnsi="宋体" w:cs="宋体"/>
          <w:sz w:val="24"/>
          <w:szCs w:val="24"/>
        </w:rPr>
        <w:t>招标人在本章第4.2.1项规定的投标截止时间（开标时间）,通过电子招标投标交易平台公开开标，所有投标人的法定代表人或其委托代理人应当准时参加。</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5.2 开标程序</w:t>
      </w:r>
    </w:p>
    <w:p>
      <w:pPr>
        <w:spacing w:line="360" w:lineRule="auto"/>
        <w:ind w:firstLine="480" w:firstLineChars="200"/>
        <w:rPr>
          <w:rFonts w:ascii="宋体" w:hAnsi="宋体" w:cs="宋体"/>
          <w:sz w:val="24"/>
          <w:szCs w:val="24"/>
        </w:rPr>
      </w:pPr>
      <w:r>
        <w:rPr>
          <w:rFonts w:hint="eastAsia" w:ascii="宋体" w:hAnsi="宋体" w:cs="宋体"/>
          <w:sz w:val="24"/>
          <w:szCs w:val="24"/>
        </w:rPr>
        <w:t>主持人按下列程序进行开标：</w:t>
      </w:r>
    </w:p>
    <w:p>
      <w:pPr>
        <w:spacing w:line="360" w:lineRule="auto"/>
        <w:ind w:firstLine="480" w:firstLineChars="200"/>
        <w:rPr>
          <w:rFonts w:ascii="宋体" w:hAnsi="宋体" w:cs="宋体"/>
          <w:sz w:val="24"/>
          <w:szCs w:val="24"/>
        </w:rPr>
      </w:pPr>
      <w:r>
        <w:rPr>
          <w:rFonts w:hint="eastAsia" w:ascii="宋体" w:hAnsi="宋体" w:cs="宋体"/>
          <w:sz w:val="24"/>
          <w:szCs w:val="24"/>
        </w:rPr>
        <w:t>（1）宣布开标纪律；</w:t>
      </w:r>
    </w:p>
    <w:p>
      <w:pPr>
        <w:spacing w:line="360" w:lineRule="auto"/>
        <w:ind w:firstLine="480" w:firstLineChars="200"/>
        <w:rPr>
          <w:rFonts w:ascii="宋体" w:hAnsi="宋体" w:cs="宋体"/>
          <w:sz w:val="24"/>
          <w:szCs w:val="24"/>
        </w:rPr>
      </w:pPr>
      <w:r>
        <w:rPr>
          <w:rFonts w:hint="eastAsia" w:ascii="宋体" w:hAnsi="宋体" w:cs="宋体"/>
          <w:sz w:val="24"/>
          <w:szCs w:val="24"/>
        </w:rPr>
        <w:t>（2）公布在投标截止时间前递交投标文件的投标人名称；</w:t>
      </w:r>
    </w:p>
    <w:p>
      <w:pPr>
        <w:spacing w:line="360" w:lineRule="auto"/>
        <w:ind w:firstLine="480" w:firstLineChars="200"/>
        <w:rPr>
          <w:rFonts w:ascii="宋体" w:hAnsi="宋体" w:cs="宋体"/>
          <w:sz w:val="24"/>
          <w:szCs w:val="24"/>
        </w:rPr>
      </w:pPr>
      <w:r>
        <w:rPr>
          <w:rFonts w:hint="eastAsia" w:ascii="宋体" w:hAnsi="宋体" w:cs="宋体"/>
          <w:sz w:val="24"/>
          <w:szCs w:val="24"/>
        </w:rPr>
        <w:t>（3）宣布开标人、唱标人、记录人、监标人等有关人员姓名；</w:t>
      </w:r>
    </w:p>
    <w:p>
      <w:pPr>
        <w:spacing w:line="360" w:lineRule="auto"/>
        <w:ind w:firstLine="480" w:firstLineChars="200"/>
        <w:rPr>
          <w:rFonts w:ascii="宋体" w:hAnsi="宋体" w:cs="宋体"/>
          <w:sz w:val="24"/>
          <w:szCs w:val="24"/>
        </w:rPr>
      </w:pPr>
      <w:r>
        <w:rPr>
          <w:rFonts w:hint="eastAsia" w:ascii="宋体" w:hAnsi="宋体" w:cs="宋体"/>
          <w:sz w:val="24"/>
          <w:szCs w:val="24"/>
        </w:rPr>
        <w:t>（4）（B）投标人通过电子招标投标交易平台对已递交的电子投标文件进行解密，公布招 标项目名称、投标人名称、投标报价、交货期、交货地点及其他内容，并记录在案；</w:t>
      </w:r>
    </w:p>
    <w:p>
      <w:pPr>
        <w:spacing w:line="360" w:lineRule="auto"/>
        <w:ind w:firstLine="480" w:firstLineChars="200"/>
        <w:rPr>
          <w:rFonts w:ascii="宋体" w:hAnsi="宋体" w:cs="宋体"/>
          <w:sz w:val="24"/>
          <w:szCs w:val="24"/>
        </w:rPr>
      </w:pPr>
      <w:r>
        <w:rPr>
          <w:rFonts w:hint="eastAsia" w:ascii="宋体" w:hAnsi="宋体" w:cs="宋体"/>
          <w:sz w:val="24"/>
          <w:szCs w:val="24"/>
        </w:rPr>
        <w:t>（5）（A）投标人代表、招标人代表、监标人、记录人等有关人员在开标记录上签字确认；</w:t>
      </w:r>
    </w:p>
    <w:p>
      <w:pPr>
        <w:spacing w:line="360" w:lineRule="auto"/>
        <w:ind w:firstLine="480" w:firstLineChars="200"/>
        <w:rPr>
          <w:rFonts w:ascii="宋体" w:hAnsi="宋体" w:cs="宋体"/>
          <w:sz w:val="24"/>
          <w:szCs w:val="24"/>
        </w:rPr>
      </w:pPr>
      <w:r>
        <w:rPr>
          <w:rFonts w:hint="eastAsia" w:ascii="宋体" w:hAnsi="宋体" w:cs="宋体"/>
          <w:sz w:val="24"/>
          <w:szCs w:val="24"/>
        </w:rPr>
        <w:t>（6）开标结束。</w:t>
      </w:r>
    </w:p>
    <w:p>
      <w:pPr>
        <w:keepNext/>
        <w:keepLines/>
        <w:spacing w:before="120" w:after="120" w:line="360" w:lineRule="auto"/>
        <w:outlineLvl w:val="2"/>
        <w:rPr>
          <w:rFonts w:ascii="宋体" w:hAnsi="宋体" w:cs="宋体"/>
          <w:b/>
          <w:bCs/>
          <w:sz w:val="24"/>
          <w:szCs w:val="24"/>
        </w:rPr>
      </w:pPr>
      <w:r>
        <w:rPr>
          <w:rFonts w:hint="eastAsia" w:ascii="宋体" w:hAnsi="宋体" w:cs="宋体"/>
          <w:b/>
          <w:bCs/>
          <w:sz w:val="24"/>
          <w:szCs w:val="24"/>
        </w:rPr>
        <w:t>5.3 开标异议</w:t>
      </w:r>
    </w:p>
    <w:p>
      <w:pPr>
        <w:spacing w:line="360" w:lineRule="auto"/>
        <w:ind w:firstLine="480" w:firstLineChars="200"/>
        <w:rPr>
          <w:rFonts w:ascii="宋体" w:hAnsi="宋体" w:cs="宋体"/>
          <w:sz w:val="24"/>
          <w:szCs w:val="24"/>
        </w:rPr>
      </w:pPr>
      <w:r>
        <w:rPr>
          <w:rFonts w:hint="eastAsia" w:ascii="宋体" w:hAnsi="宋体" w:cs="宋体"/>
          <w:sz w:val="24"/>
          <w:szCs w:val="24"/>
        </w:rPr>
        <w:t>投标人对开标有异议的，应当在开标现场提出，招标人当场作出答复，并制作记录。</w:t>
      </w:r>
    </w:p>
    <w:p>
      <w:pPr>
        <w:keepNext/>
        <w:keepLines/>
        <w:spacing w:before="240" w:after="240" w:line="360" w:lineRule="auto"/>
        <w:jc w:val="left"/>
        <w:outlineLvl w:val="2"/>
        <w:rPr>
          <w:rFonts w:ascii="宋体" w:hAnsi="宋体" w:cs="宋体"/>
          <w:b/>
          <w:bCs/>
          <w:sz w:val="30"/>
          <w:szCs w:val="30"/>
        </w:rPr>
      </w:pPr>
      <w:bookmarkStart w:id="66" w:name="_Toc24608"/>
      <w:bookmarkStart w:id="67" w:name="_Toc11500"/>
      <w:bookmarkStart w:id="68" w:name="_Toc532367878"/>
      <w:r>
        <w:rPr>
          <w:rFonts w:hint="eastAsia" w:ascii="宋体" w:hAnsi="宋体" w:cs="宋体"/>
          <w:b/>
          <w:bCs/>
          <w:sz w:val="30"/>
          <w:szCs w:val="30"/>
        </w:rPr>
        <w:t>6. 评标</w:t>
      </w:r>
      <w:bookmarkEnd w:id="66"/>
      <w:bookmarkEnd w:id="67"/>
      <w:bookmarkEnd w:id="68"/>
    </w:p>
    <w:p>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6.1 评标委员会</w:t>
      </w:r>
    </w:p>
    <w:p>
      <w:pPr>
        <w:spacing w:line="360" w:lineRule="auto"/>
        <w:ind w:firstLine="480" w:firstLineChars="200"/>
        <w:rPr>
          <w:rFonts w:ascii="宋体" w:hAnsi="宋体" w:cs="宋体"/>
          <w:sz w:val="24"/>
          <w:szCs w:val="24"/>
        </w:rPr>
      </w:pPr>
      <w:r>
        <w:rPr>
          <w:rFonts w:hint="eastAsia" w:ascii="宋体" w:hAnsi="宋体" w:cs="宋体"/>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firstLineChars="200"/>
        <w:rPr>
          <w:rFonts w:ascii="宋体" w:hAnsi="宋体" w:cs="宋体"/>
          <w:sz w:val="24"/>
          <w:szCs w:val="24"/>
        </w:rPr>
      </w:pPr>
      <w:r>
        <w:rPr>
          <w:rFonts w:hint="eastAsia" w:ascii="宋体" w:hAnsi="宋体" w:cs="宋体"/>
          <w:sz w:val="24"/>
          <w:szCs w:val="24"/>
        </w:rPr>
        <w:t>（1）投标人或投标人主要负责人的近亲属；</w:t>
      </w:r>
    </w:p>
    <w:p>
      <w:pPr>
        <w:spacing w:line="360" w:lineRule="auto"/>
        <w:ind w:firstLine="480" w:firstLineChars="200"/>
        <w:rPr>
          <w:rFonts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firstLineChars="20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firstLineChars="20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0" w:firstLineChars="200"/>
        <w:rPr>
          <w:rFonts w:ascii="宋体" w:hAnsi="宋体" w:cs="宋体"/>
          <w:sz w:val="24"/>
          <w:szCs w:val="24"/>
        </w:rPr>
      </w:pPr>
      <w:r>
        <w:rPr>
          <w:rFonts w:hint="eastAsia" w:ascii="宋体" w:hAnsi="宋体" w:cs="宋体"/>
          <w:sz w:val="24"/>
          <w:szCs w:val="24"/>
        </w:rPr>
        <w:t>（5）与投标人有其他利害关系。</w:t>
      </w:r>
    </w:p>
    <w:p>
      <w:pPr>
        <w:spacing w:line="360" w:lineRule="auto"/>
        <w:ind w:firstLine="480" w:firstLineChars="200"/>
        <w:rPr>
          <w:rFonts w:ascii="宋体" w:hAnsi="宋体" w:cs="宋体"/>
          <w:sz w:val="24"/>
          <w:szCs w:val="24"/>
        </w:rPr>
      </w:pPr>
      <w:r>
        <w:rPr>
          <w:rFonts w:hint="eastAsia" w:ascii="宋体"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6.2 评标原则</w:t>
      </w:r>
    </w:p>
    <w:p>
      <w:pPr>
        <w:spacing w:line="360" w:lineRule="auto"/>
        <w:ind w:firstLine="480" w:firstLineChars="200"/>
        <w:rPr>
          <w:rFonts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6.3 评标</w:t>
      </w:r>
    </w:p>
    <w:p>
      <w:pPr>
        <w:spacing w:line="360" w:lineRule="auto"/>
        <w:ind w:firstLine="480" w:firstLineChars="200"/>
        <w:rPr>
          <w:rFonts w:ascii="宋体" w:hAnsi="宋体" w:cs="宋体"/>
          <w:sz w:val="24"/>
          <w:szCs w:val="24"/>
        </w:rPr>
      </w:pPr>
      <w:r>
        <w:rPr>
          <w:rFonts w:hint="eastAsia" w:ascii="宋体" w:hAnsi="宋体" w:cs="宋体"/>
          <w:sz w:val="24"/>
          <w:szCs w:val="24"/>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sz w:val="24"/>
          <w:szCs w:val="24"/>
        </w:rPr>
      </w:pPr>
      <w:r>
        <w:rPr>
          <w:rFonts w:hint="eastAsia" w:ascii="宋体" w:hAnsi="宋体" w:cs="宋体"/>
          <w:sz w:val="24"/>
          <w:szCs w:val="24"/>
        </w:rPr>
        <w:t>6.3.2 评标完成后，评标委员会应当向招标人提交书面评标报告和中标候选人名单。评标委员会推荐中标候选人的人数见投标人须知前附表。</w:t>
      </w:r>
    </w:p>
    <w:p>
      <w:pPr>
        <w:keepNext/>
        <w:keepLines/>
        <w:spacing w:before="240" w:after="240" w:line="360" w:lineRule="auto"/>
        <w:outlineLvl w:val="2"/>
        <w:rPr>
          <w:rFonts w:ascii="宋体" w:hAnsi="宋体" w:cs="宋体"/>
          <w:b/>
          <w:bCs/>
          <w:sz w:val="30"/>
          <w:szCs w:val="30"/>
        </w:rPr>
      </w:pPr>
      <w:bookmarkStart w:id="69" w:name="_Toc24971"/>
      <w:bookmarkStart w:id="70" w:name="_Toc377719905"/>
      <w:bookmarkStart w:id="71" w:name="_Toc23147"/>
      <w:bookmarkStart w:id="72" w:name="_Toc27928"/>
      <w:bookmarkStart w:id="73" w:name="_Toc15742"/>
      <w:bookmarkStart w:id="74" w:name="_Toc31080"/>
      <w:bookmarkStart w:id="75" w:name="_Toc17606"/>
      <w:bookmarkStart w:id="76" w:name="_Toc22463"/>
      <w:bookmarkStart w:id="77" w:name="_Toc21343"/>
      <w:bookmarkStart w:id="78" w:name="_Toc532367879"/>
      <w:r>
        <w:rPr>
          <w:rFonts w:hint="eastAsia" w:ascii="宋体" w:hAnsi="宋体" w:cs="宋体"/>
          <w:b/>
          <w:bCs/>
          <w:sz w:val="30"/>
          <w:szCs w:val="30"/>
        </w:rPr>
        <w:t>7. 合同</w:t>
      </w:r>
      <w:bookmarkEnd w:id="69"/>
      <w:bookmarkEnd w:id="70"/>
      <w:bookmarkEnd w:id="71"/>
      <w:bookmarkEnd w:id="72"/>
      <w:bookmarkEnd w:id="73"/>
      <w:bookmarkEnd w:id="74"/>
      <w:bookmarkEnd w:id="75"/>
      <w:r>
        <w:rPr>
          <w:rFonts w:hint="eastAsia" w:ascii="宋体" w:hAnsi="宋体" w:cs="宋体"/>
          <w:b/>
          <w:bCs/>
          <w:sz w:val="30"/>
          <w:szCs w:val="30"/>
        </w:rPr>
        <w:t>授予</w:t>
      </w:r>
      <w:bookmarkEnd w:id="76"/>
      <w:bookmarkEnd w:id="77"/>
      <w:bookmarkEnd w:id="78"/>
    </w:p>
    <w:p>
      <w:pPr>
        <w:spacing w:line="360" w:lineRule="auto"/>
        <w:jc w:val="left"/>
        <w:rPr>
          <w:rFonts w:ascii="宋体" w:hAnsi="宋体" w:cs="宋体"/>
          <w:b/>
          <w:bCs/>
          <w:sz w:val="24"/>
          <w:szCs w:val="24"/>
        </w:rPr>
      </w:pPr>
      <w:r>
        <w:rPr>
          <w:rFonts w:hint="eastAsia" w:ascii="宋体" w:hAnsi="宋体" w:cs="宋体"/>
          <w:b/>
          <w:bCs/>
          <w:sz w:val="24"/>
          <w:szCs w:val="24"/>
        </w:rPr>
        <w:t>7.1 中标候选人公示</w:t>
      </w:r>
    </w:p>
    <w:p>
      <w:pPr>
        <w:spacing w:line="360" w:lineRule="auto"/>
        <w:ind w:firstLine="480" w:firstLineChars="200"/>
        <w:rPr>
          <w:rFonts w:ascii="宋体" w:hAnsi="宋体" w:cs="宋体"/>
          <w:sz w:val="24"/>
          <w:szCs w:val="24"/>
        </w:rPr>
      </w:pPr>
      <w:r>
        <w:rPr>
          <w:rFonts w:hint="eastAsia" w:ascii="宋体" w:hAnsi="宋体" w:cs="宋体"/>
          <w:sz w:val="24"/>
          <w:szCs w:val="24"/>
        </w:rPr>
        <w:t>招标人在收到评标报告之日起3日内，按照投标人须知前附表规定的公示媒介和期限公示中标候选人，公示期不得少于3天。</w:t>
      </w:r>
    </w:p>
    <w:p>
      <w:pPr>
        <w:spacing w:line="360" w:lineRule="auto"/>
        <w:jc w:val="left"/>
        <w:rPr>
          <w:rFonts w:ascii="宋体" w:hAnsi="宋体" w:cs="宋体"/>
          <w:b/>
          <w:bCs/>
          <w:sz w:val="24"/>
          <w:szCs w:val="24"/>
        </w:rPr>
      </w:pPr>
      <w:r>
        <w:rPr>
          <w:rFonts w:hint="eastAsia" w:ascii="宋体" w:hAnsi="宋体" w:cs="宋体"/>
          <w:b/>
          <w:bCs/>
          <w:sz w:val="24"/>
          <w:szCs w:val="24"/>
        </w:rPr>
        <w:t>7.2 评标结果异议</w:t>
      </w:r>
    </w:p>
    <w:p>
      <w:pPr>
        <w:spacing w:line="360" w:lineRule="auto"/>
        <w:ind w:firstLine="480" w:firstLineChars="200"/>
        <w:rPr>
          <w:rFonts w:ascii="宋体" w:hAnsi="宋体" w:cs="宋体"/>
          <w:sz w:val="24"/>
          <w:szCs w:val="24"/>
        </w:rPr>
      </w:pPr>
      <w:r>
        <w:rPr>
          <w:rFonts w:hint="eastAsia" w:ascii="宋体" w:hAnsi="宋体" w:cs="宋体"/>
          <w:sz w:val="24"/>
          <w:szCs w:val="24"/>
        </w:rPr>
        <w:t>投标人或者其他利害关系人对评标结果有异议的，应当在中标候选人公示期间提出。招标人将在收到异议之日起3日内作出答复；作出答复前，将暂停招标投标活动。</w:t>
      </w:r>
    </w:p>
    <w:p>
      <w:pPr>
        <w:spacing w:line="360" w:lineRule="auto"/>
        <w:jc w:val="left"/>
        <w:rPr>
          <w:rFonts w:ascii="宋体" w:hAnsi="宋体" w:cs="宋体"/>
          <w:b/>
          <w:bCs/>
          <w:sz w:val="24"/>
          <w:szCs w:val="24"/>
        </w:rPr>
      </w:pPr>
      <w:r>
        <w:rPr>
          <w:rFonts w:hint="eastAsia" w:ascii="宋体" w:hAnsi="宋体" w:cs="宋体"/>
          <w:b/>
          <w:bCs/>
          <w:sz w:val="24"/>
          <w:szCs w:val="24"/>
        </w:rPr>
        <w:t>7.3 中标候选人履约能力审查</w:t>
      </w:r>
    </w:p>
    <w:p>
      <w:pPr>
        <w:spacing w:line="360" w:lineRule="auto"/>
        <w:ind w:firstLine="480" w:firstLineChars="200"/>
        <w:rPr>
          <w:rFonts w:ascii="宋体" w:hAnsi="宋体" w:cs="宋体"/>
          <w:sz w:val="24"/>
          <w:szCs w:val="24"/>
        </w:rPr>
      </w:pPr>
      <w:r>
        <w:rPr>
          <w:rFonts w:hint="eastAsia" w:ascii="宋体"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jc w:val="left"/>
        <w:rPr>
          <w:rFonts w:ascii="宋体" w:hAnsi="宋体" w:cs="宋体"/>
          <w:b/>
          <w:bCs/>
          <w:sz w:val="24"/>
          <w:szCs w:val="24"/>
        </w:rPr>
      </w:pPr>
      <w:r>
        <w:rPr>
          <w:rFonts w:hint="eastAsia" w:ascii="宋体" w:hAnsi="宋体" w:cs="宋体"/>
          <w:b/>
          <w:bCs/>
          <w:sz w:val="24"/>
          <w:szCs w:val="24"/>
        </w:rPr>
        <w:t>7.4 定标</w:t>
      </w:r>
    </w:p>
    <w:p>
      <w:pPr>
        <w:spacing w:line="360" w:lineRule="auto"/>
        <w:ind w:firstLine="480" w:firstLineChars="200"/>
        <w:rPr>
          <w:rFonts w:ascii="宋体" w:hAnsi="宋体" w:cs="宋体"/>
          <w:sz w:val="24"/>
          <w:szCs w:val="24"/>
        </w:rPr>
      </w:pPr>
      <w:r>
        <w:rPr>
          <w:rFonts w:hint="eastAsia" w:ascii="宋体" w:hAnsi="宋体" w:cs="宋体"/>
          <w:sz w:val="24"/>
          <w:szCs w:val="24"/>
        </w:rPr>
        <w:t>按照投标人须知前附表的规定，招标人或招标人授权的评标委员会依法确定中标人。</w:t>
      </w:r>
    </w:p>
    <w:p>
      <w:pPr>
        <w:spacing w:line="360" w:lineRule="auto"/>
        <w:jc w:val="left"/>
        <w:rPr>
          <w:rFonts w:ascii="宋体" w:hAnsi="宋体" w:cs="宋体"/>
          <w:b/>
          <w:bCs/>
          <w:sz w:val="24"/>
          <w:szCs w:val="24"/>
        </w:rPr>
      </w:pPr>
      <w:r>
        <w:rPr>
          <w:rFonts w:hint="eastAsia" w:ascii="宋体" w:hAnsi="宋体" w:cs="宋体"/>
          <w:b/>
          <w:bCs/>
          <w:sz w:val="24"/>
          <w:szCs w:val="24"/>
        </w:rPr>
        <w:t>7.5 中标通知</w:t>
      </w:r>
    </w:p>
    <w:p>
      <w:pPr>
        <w:spacing w:line="360" w:lineRule="auto"/>
        <w:ind w:firstLine="480" w:firstLineChars="200"/>
        <w:rPr>
          <w:rFonts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jc w:val="left"/>
        <w:rPr>
          <w:rFonts w:ascii="宋体" w:hAnsi="宋体" w:cs="宋体"/>
          <w:b/>
          <w:bCs/>
          <w:sz w:val="24"/>
          <w:szCs w:val="24"/>
        </w:rPr>
      </w:pPr>
      <w:r>
        <w:rPr>
          <w:rFonts w:hint="eastAsia" w:ascii="宋体" w:hAnsi="宋体" w:cs="宋体"/>
          <w:b/>
          <w:bCs/>
          <w:sz w:val="24"/>
          <w:szCs w:val="24"/>
        </w:rPr>
        <w:t>7.6 履约保证金</w:t>
      </w:r>
    </w:p>
    <w:p>
      <w:pPr>
        <w:spacing w:line="360" w:lineRule="auto"/>
        <w:ind w:firstLine="480" w:firstLineChars="200"/>
        <w:rPr>
          <w:rFonts w:ascii="宋体" w:hAnsi="宋体" w:cs="宋体"/>
          <w:sz w:val="24"/>
          <w:szCs w:val="24"/>
        </w:rPr>
      </w:pPr>
      <w:r>
        <w:rPr>
          <w:rFonts w:hint="eastAsia" w:ascii="宋体"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宋体" w:hAnsi="宋体" w:cs="宋体"/>
          <w:sz w:val="24"/>
          <w:szCs w:val="24"/>
        </w:rPr>
      </w:pPr>
      <w:r>
        <w:rPr>
          <w:rFonts w:hint="eastAsia" w:ascii="宋体" w:hAnsi="宋体" w:cs="宋体"/>
          <w:sz w:val="24"/>
          <w:szCs w:val="24"/>
        </w:rPr>
        <w:t>7.6.2 中标人不能按本章第7.6.1项要求提交履约保证金的，视为放弃中标，</w:t>
      </w:r>
      <w:r>
        <w:rPr>
          <w:rFonts w:hint="eastAsia" w:ascii="宋体" w:hAnsi="宋体" w:cs="宋体"/>
          <w:strike/>
          <w:sz w:val="24"/>
          <w:szCs w:val="24"/>
        </w:rPr>
        <w:t>其投标保证金不予退还</w:t>
      </w:r>
      <w:r>
        <w:rPr>
          <w:rFonts w:hint="eastAsia" w:ascii="宋体" w:hAnsi="宋体" w:cs="宋体"/>
          <w:sz w:val="24"/>
          <w:szCs w:val="24"/>
        </w:rPr>
        <w:t>，给招标人造成的经济损失的，中标人还应予以赔偿。</w:t>
      </w:r>
    </w:p>
    <w:p>
      <w:pPr>
        <w:spacing w:line="360" w:lineRule="auto"/>
        <w:jc w:val="left"/>
        <w:rPr>
          <w:rFonts w:ascii="宋体" w:hAnsi="宋体" w:cs="宋体"/>
          <w:b/>
          <w:bCs/>
          <w:sz w:val="24"/>
          <w:szCs w:val="24"/>
        </w:rPr>
      </w:pPr>
      <w:r>
        <w:rPr>
          <w:rFonts w:hint="eastAsia" w:ascii="宋体" w:hAnsi="宋体" w:cs="宋体"/>
          <w:b/>
          <w:bCs/>
          <w:sz w:val="24"/>
          <w:szCs w:val="24"/>
        </w:rPr>
        <w:t>7.7 签订合同</w:t>
      </w:r>
    </w:p>
    <w:p>
      <w:pPr>
        <w:spacing w:line="360" w:lineRule="auto"/>
        <w:ind w:firstLine="480" w:firstLineChars="200"/>
        <w:rPr>
          <w:rFonts w:ascii="宋体" w:hAnsi="宋体" w:cs="宋体"/>
          <w:sz w:val="24"/>
          <w:szCs w:val="24"/>
        </w:rPr>
      </w:pPr>
      <w:r>
        <w:rPr>
          <w:rFonts w:hint="eastAsia" w:ascii="宋体" w:hAnsi="宋体" w:cs="宋体"/>
          <w:sz w:val="24"/>
          <w:szCs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给招标人造成的经济损失的，中标人还应予以赔偿。</w:t>
      </w:r>
    </w:p>
    <w:p>
      <w:pPr>
        <w:spacing w:line="360" w:lineRule="auto"/>
        <w:ind w:firstLine="480" w:firstLineChars="200"/>
        <w:rPr>
          <w:rFonts w:ascii="宋体" w:hAnsi="宋体" w:cs="宋体"/>
          <w:sz w:val="24"/>
          <w:szCs w:val="24"/>
        </w:rPr>
      </w:pPr>
      <w:r>
        <w:rPr>
          <w:rFonts w:hint="eastAsia" w:ascii="宋体" w:hAnsi="宋体" w:cs="宋体"/>
          <w:sz w:val="24"/>
          <w:szCs w:val="24"/>
        </w:rPr>
        <w:t>7.7.2 发出中标通知书后，招标人无正当理由拒签合同，或者在签订合同时向中标人提出附加条件的，给中标人造成损失的，应当赔偿损失。</w:t>
      </w:r>
    </w:p>
    <w:p>
      <w:pPr>
        <w:spacing w:line="360" w:lineRule="auto"/>
        <w:ind w:firstLine="480" w:firstLineChars="200"/>
        <w:rPr>
          <w:rFonts w:ascii="宋体" w:hAnsi="宋体" w:cs="宋体"/>
          <w:sz w:val="24"/>
          <w:szCs w:val="24"/>
        </w:rPr>
      </w:pPr>
      <w:r>
        <w:rPr>
          <w:rFonts w:hint="eastAsia" w:ascii="宋体" w:hAnsi="宋体" w:cs="宋体"/>
          <w:sz w:val="24"/>
          <w:szCs w:val="24"/>
        </w:rPr>
        <w:t>7.7.3 联合体中标的，联合体各方应当共同与招标人签订合同，就中标项目向招标人承担连带责任。</w:t>
      </w:r>
    </w:p>
    <w:p>
      <w:pPr>
        <w:keepNext/>
        <w:keepLines/>
        <w:spacing w:before="240" w:after="240" w:line="360" w:lineRule="auto"/>
        <w:jc w:val="left"/>
        <w:outlineLvl w:val="2"/>
        <w:rPr>
          <w:rFonts w:ascii="宋体" w:hAnsi="宋体" w:cs="宋体"/>
          <w:b/>
          <w:bCs/>
          <w:sz w:val="30"/>
          <w:szCs w:val="30"/>
        </w:rPr>
      </w:pPr>
      <w:bookmarkStart w:id="79" w:name="_Toc25746"/>
      <w:bookmarkStart w:id="80" w:name="_Toc15378"/>
      <w:bookmarkStart w:id="81" w:name="_Toc532367880"/>
      <w:r>
        <w:rPr>
          <w:rFonts w:hint="eastAsia" w:ascii="宋体" w:hAnsi="宋体" w:cs="宋体"/>
          <w:b/>
          <w:bCs/>
          <w:sz w:val="30"/>
          <w:szCs w:val="30"/>
        </w:rPr>
        <w:t>8.纪律和监督</w:t>
      </w:r>
      <w:bookmarkEnd w:id="79"/>
      <w:bookmarkEnd w:id="80"/>
      <w:bookmarkEnd w:id="81"/>
    </w:p>
    <w:p>
      <w:pPr>
        <w:spacing w:line="360" w:lineRule="auto"/>
        <w:jc w:val="left"/>
        <w:rPr>
          <w:rFonts w:ascii="宋体" w:hAnsi="宋体" w:cs="宋体"/>
          <w:b/>
          <w:bCs/>
          <w:sz w:val="24"/>
          <w:szCs w:val="24"/>
        </w:rPr>
      </w:pPr>
      <w:r>
        <w:rPr>
          <w:rFonts w:hint="eastAsia" w:ascii="宋体" w:hAnsi="宋体" w:cs="宋体"/>
          <w:b/>
          <w:bCs/>
          <w:sz w:val="24"/>
          <w:szCs w:val="24"/>
        </w:rPr>
        <w:t>8.1 对招标人的纪律要求</w:t>
      </w:r>
    </w:p>
    <w:p>
      <w:pPr>
        <w:spacing w:line="360" w:lineRule="auto"/>
        <w:ind w:firstLine="480" w:firstLineChars="200"/>
        <w:rPr>
          <w:rFonts w:ascii="宋体" w:hAnsi="宋体" w:cs="宋体"/>
          <w:sz w:val="24"/>
          <w:szCs w:val="24"/>
        </w:rPr>
      </w:pPr>
      <w:r>
        <w:rPr>
          <w:rFonts w:hint="eastAsia" w:ascii="宋体" w:hAnsi="宋体" w:cs="宋体"/>
          <w:sz w:val="24"/>
          <w:szCs w:val="24"/>
        </w:rPr>
        <w:t>招标人不得泄露招标投标活动中应当保密的情况和资料，不得与投标人串通损害国家利益、社会公共利益或者他人合法权益。</w:t>
      </w:r>
    </w:p>
    <w:p>
      <w:pPr>
        <w:spacing w:line="360" w:lineRule="auto"/>
        <w:jc w:val="left"/>
        <w:rPr>
          <w:rFonts w:ascii="宋体" w:hAnsi="宋体" w:cs="宋体"/>
          <w:b/>
          <w:bCs/>
          <w:sz w:val="24"/>
          <w:szCs w:val="24"/>
        </w:rPr>
      </w:pPr>
      <w:r>
        <w:rPr>
          <w:rFonts w:hint="eastAsia" w:ascii="宋体" w:hAnsi="宋体" w:cs="宋体"/>
          <w:b/>
          <w:bCs/>
          <w:sz w:val="24"/>
          <w:szCs w:val="24"/>
        </w:rPr>
        <w:t>8.2 对投标人的纪律要求</w:t>
      </w:r>
    </w:p>
    <w:p>
      <w:pPr>
        <w:spacing w:line="360" w:lineRule="auto"/>
        <w:ind w:firstLine="480" w:firstLineChars="200"/>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宋体" w:hAnsi="宋体" w:cs="宋体"/>
          <w:b/>
          <w:bCs/>
          <w:sz w:val="24"/>
          <w:szCs w:val="24"/>
        </w:rPr>
      </w:pPr>
      <w:r>
        <w:rPr>
          <w:rFonts w:hint="eastAsia" w:ascii="宋体" w:hAnsi="宋体" w:cs="宋体"/>
          <w:b/>
          <w:bCs/>
          <w:sz w:val="24"/>
          <w:szCs w:val="24"/>
        </w:rPr>
        <w:t>8.3 对评标委员会成员的纪律要求</w:t>
      </w:r>
    </w:p>
    <w:p>
      <w:pPr>
        <w:spacing w:line="360" w:lineRule="auto"/>
        <w:ind w:firstLine="480" w:firstLineChars="200"/>
        <w:rPr>
          <w:rFonts w:ascii="宋体" w:hAnsi="宋体" w:cs="宋体"/>
          <w:sz w:val="24"/>
          <w:szCs w:val="24"/>
        </w:rPr>
      </w:pPr>
      <w:r>
        <w:rPr>
          <w:rFonts w:hint="eastAsia" w:ascii="宋体"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jc w:val="left"/>
        <w:rPr>
          <w:rFonts w:ascii="宋体" w:hAnsi="宋体" w:cs="宋体"/>
          <w:b/>
          <w:bCs/>
          <w:sz w:val="24"/>
          <w:szCs w:val="24"/>
        </w:rPr>
      </w:pPr>
      <w:r>
        <w:rPr>
          <w:rFonts w:hint="eastAsia" w:ascii="宋体" w:hAnsi="宋体" w:cs="宋体"/>
          <w:b/>
          <w:bCs/>
          <w:sz w:val="24"/>
          <w:szCs w:val="24"/>
        </w:rPr>
        <w:t>8.4 对与评标活动有关的工作人员的纪律要求</w:t>
      </w:r>
    </w:p>
    <w:p>
      <w:pPr>
        <w:spacing w:line="360" w:lineRule="auto"/>
        <w:ind w:firstLine="480" w:firstLineChars="200"/>
        <w:rPr>
          <w:rFonts w:ascii="宋体" w:hAnsi="宋体" w:cs="宋体"/>
          <w:sz w:val="24"/>
          <w:szCs w:val="24"/>
        </w:rPr>
      </w:pPr>
      <w:r>
        <w:rPr>
          <w:rFonts w:hint="eastAsia" w:ascii="宋体"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jc w:val="left"/>
        <w:rPr>
          <w:rFonts w:ascii="宋体" w:hAnsi="宋体" w:cs="宋体"/>
          <w:b/>
          <w:bCs/>
          <w:sz w:val="24"/>
          <w:szCs w:val="24"/>
        </w:rPr>
      </w:pPr>
      <w:r>
        <w:rPr>
          <w:rFonts w:hint="eastAsia" w:ascii="宋体" w:hAnsi="宋体" w:cs="宋体"/>
          <w:b/>
          <w:bCs/>
          <w:sz w:val="24"/>
          <w:szCs w:val="24"/>
        </w:rPr>
        <w:t>8.5 投诉</w:t>
      </w:r>
    </w:p>
    <w:p>
      <w:pPr>
        <w:spacing w:line="360" w:lineRule="auto"/>
        <w:ind w:firstLine="480" w:firstLineChars="200"/>
        <w:rPr>
          <w:rFonts w:ascii="宋体" w:hAnsi="宋体" w:cs="宋体"/>
          <w:sz w:val="24"/>
          <w:szCs w:val="24"/>
        </w:rPr>
      </w:pPr>
      <w:r>
        <w:rPr>
          <w:rFonts w:hint="eastAsia" w:ascii="宋体"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8.5.2 投标人或者其他利害关系人对招标文件、开标和评标结果提出投诉的，应当按照投标人须知第 2.4 款、第 5.3 款和第 7.2 款的规定先向招标人提出异议。异议答复期间不计算在第 8.5.1项规定的期限内。</w:t>
      </w:r>
    </w:p>
    <w:p>
      <w:pPr>
        <w:keepNext/>
        <w:keepLines/>
        <w:jc w:val="left"/>
        <w:outlineLvl w:val="2"/>
        <w:rPr>
          <w:rFonts w:ascii="宋体" w:hAnsi="宋体" w:cs="宋体"/>
          <w:b/>
          <w:bCs/>
          <w:sz w:val="30"/>
          <w:szCs w:val="30"/>
        </w:rPr>
      </w:pPr>
      <w:r>
        <w:rPr>
          <w:rFonts w:hint="eastAsia" w:ascii="宋体" w:hAnsi="宋体" w:cs="宋体"/>
          <w:b/>
          <w:bCs/>
          <w:sz w:val="30"/>
          <w:szCs w:val="30"/>
        </w:rPr>
        <w:t>9. 是否采用电子招标投标</w:t>
      </w:r>
    </w:p>
    <w:p>
      <w:pPr>
        <w:spacing w:line="360" w:lineRule="auto"/>
        <w:ind w:firstLine="480" w:firstLineChars="200"/>
        <w:rPr>
          <w:rFonts w:ascii="宋体" w:hAnsi="宋体" w:cs="宋体"/>
          <w:sz w:val="24"/>
          <w:szCs w:val="24"/>
        </w:rPr>
      </w:pPr>
      <w:r>
        <w:rPr>
          <w:rFonts w:hint="eastAsia" w:ascii="宋体" w:hAnsi="宋体" w:cs="宋体"/>
          <w:sz w:val="24"/>
          <w:szCs w:val="24"/>
        </w:rPr>
        <w:t>本招标项目是否采用电子招标投标方式，见投标人须知前附表。</w:t>
      </w:r>
    </w:p>
    <w:p>
      <w:pPr>
        <w:keepNext/>
        <w:keepLines/>
        <w:jc w:val="left"/>
        <w:outlineLvl w:val="2"/>
        <w:rPr>
          <w:rFonts w:ascii="宋体" w:hAnsi="宋体" w:cs="宋体"/>
          <w:b/>
          <w:bCs/>
          <w:sz w:val="30"/>
          <w:szCs w:val="30"/>
        </w:rPr>
      </w:pPr>
      <w:r>
        <w:rPr>
          <w:rFonts w:hint="eastAsia" w:ascii="宋体" w:hAnsi="宋体" w:cs="宋体"/>
          <w:b/>
          <w:bCs/>
          <w:sz w:val="30"/>
          <w:szCs w:val="30"/>
        </w:rPr>
        <w:t>10. 需要补充的其他内容</w:t>
      </w:r>
    </w:p>
    <w:p>
      <w:pPr>
        <w:spacing w:line="360" w:lineRule="auto"/>
        <w:ind w:firstLine="480" w:firstLineChars="200"/>
        <w:rPr>
          <w:rFonts w:ascii="宋体" w:hAnsi="宋体" w:cs="宋体"/>
          <w:sz w:val="24"/>
          <w:szCs w:val="24"/>
        </w:rPr>
      </w:pPr>
      <w:r>
        <w:rPr>
          <w:rFonts w:hint="eastAsia" w:ascii="宋体" w:hAnsi="宋体" w:cs="宋体"/>
          <w:sz w:val="24"/>
          <w:szCs w:val="24"/>
        </w:rPr>
        <w:t>需要补充的其他内容：见投标人须知前附表。</w:t>
      </w:r>
      <w:bookmarkEnd w:id="4"/>
      <w:bookmarkEnd w:id="5"/>
      <w:bookmarkEnd w:id="6"/>
    </w:p>
    <w:p>
      <w:pPr>
        <w:keepNext/>
        <w:keepLines/>
        <w:widowControl/>
        <w:spacing w:line="360" w:lineRule="auto"/>
        <w:jc w:val="left"/>
        <w:outlineLvl w:val="2"/>
        <w:rPr>
          <w:rFonts w:ascii="宋体" w:hAnsi="宋体"/>
          <w:kern w:val="0"/>
          <w:sz w:val="24"/>
          <w:szCs w:val="24"/>
        </w:rPr>
      </w:pPr>
      <w:r>
        <w:rPr>
          <w:rFonts w:ascii="宋体" w:hAnsi="宋体"/>
          <w:sz w:val="32"/>
          <w:szCs w:val="32"/>
        </w:rPr>
        <w:br w:type="page"/>
      </w:r>
      <w:r>
        <w:rPr>
          <w:rFonts w:hint="eastAsia" w:ascii="宋体" w:hAnsi="宋体"/>
          <w:kern w:val="0"/>
          <w:sz w:val="24"/>
          <w:szCs w:val="24"/>
        </w:rPr>
        <w:t>附件一：开标记录表</w:t>
      </w:r>
    </w:p>
    <w:p>
      <w:pPr>
        <w:keepNext/>
        <w:keepLines/>
        <w:widowControl/>
        <w:spacing w:line="360" w:lineRule="auto"/>
        <w:jc w:val="center"/>
        <w:outlineLvl w:val="4"/>
        <w:rPr>
          <w:rFonts w:ascii="宋体" w:hAnsi="宋体"/>
          <w:kern w:val="0"/>
          <w:sz w:val="24"/>
          <w:szCs w:val="24"/>
        </w:rPr>
      </w:pPr>
      <w:r>
        <w:rPr>
          <w:rFonts w:hint="eastAsia" w:ascii="宋体" w:hAnsi="宋体"/>
          <w:kern w:val="0"/>
          <w:sz w:val="24"/>
          <w:szCs w:val="24"/>
        </w:rPr>
        <w:t>开标记录表</w:t>
      </w:r>
    </w:p>
    <w:p>
      <w:pPr>
        <w:widowControl/>
        <w:spacing w:line="360" w:lineRule="auto"/>
        <w:jc w:val="left"/>
        <w:rPr>
          <w:rFonts w:ascii="宋体" w:hAnsi="宋体"/>
          <w:sz w:val="24"/>
          <w:szCs w:val="24"/>
        </w:rPr>
      </w:pPr>
      <w:r>
        <w:rPr>
          <w:rFonts w:hint="eastAsia" w:ascii="宋体" w:hAnsi="宋体" w:cs="宋体"/>
          <w:sz w:val="24"/>
          <w:szCs w:val="24"/>
        </w:rPr>
        <w:t>开标时间：年月日时分</w:t>
      </w:r>
    </w:p>
    <w:tbl>
      <w:tblPr>
        <w:tblStyle w:val="20"/>
        <w:tblW w:w="0" w:type="auto"/>
        <w:tblInd w:w="0" w:type="dxa"/>
        <w:tblLayout w:type="fixed"/>
        <w:tblCellMar>
          <w:top w:w="0" w:type="dxa"/>
          <w:left w:w="108" w:type="dxa"/>
          <w:bottom w:w="0" w:type="dxa"/>
          <w:right w:w="108" w:type="dxa"/>
        </w:tblCellMar>
      </w:tblPr>
      <w:tblGrid>
        <w:gridCol w:w="701"/>
        <w:gridCol w:w="880"/>
        <w:gridCol w:w="1262"/>
        <w:gridCol w:w="948"/>
        <w:gridCol w:w="948"/>
        <w:gridCol w:w="1656"/>
        <w:gridCol w:w="791"/>
        <w:gridCol w:w="634"/>
        <w:gridCol w:w="1422"/>
      </w:tblGrid>
      <w:tr>
        <w:tblPrEx>
          <w:tblCellMar>
            <w:top w:w="0" w:type="dxa"/>
            <w:left w:w="108" w:type="dxa"/>
            <w:bottom w:w="0" w:type="dxa"/>
            <w:right w:w="108" w:type="dxa"/>
          </w:tblCellMar>
        </w:tblPrEx>
        <w:trPr>
          <w:trHeight w:val="1038"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序号</w:t>
            </w: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投标人</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投标文件递交</w:t>
            </w: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解密情况</w:t>
            </w: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密封情况</w:t>
            </w: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投标报价（元）</w:t>
            </w: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交货期</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备注</w:t>
            </w: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投标人代表签名</w:t>
            </w:r>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CellMar>
            <w:top w:w="0" w:type="dxa"/>
            <w:left w:w="108" w:type="dxa"/>
            <w:bottom w:w="0" w:type="dxa"/>
            <w:right w:w="108" w:type="dxa"/>
          </w:tblCellMar>
        </w:tblPrEx>
        <w:trPr>
          <w:trHeight w:val="549"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CellMar>
            <w:top w:w="0" w:type="dxa"/>
            <w:left w:w="108" w:type="dxa"/>
            <w:bottom w:w="0" w:type="dxa"/>
            <w:right w:w="108" w:type="dxa"/>
          </w:tblCellMar>
        </w:tblPrEx>
        <w:trPr>
          <w:trHeight w:val="549"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bookmarkStart w:id="82" w:name="_Toc17638"/>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CellMar>
            <w:top w:w="0" w:type="dxa"/>
            <w:left w:w="108" w:type="dxa"/>
            <w:bottom w:w="0" w:type="dxa"/>
            <w:right w:w="108" w:type="dxa"/>
          </w:tblCellMar>
        </w:tblPrEx>
        <w:trPr>
          <w:trHeight w:val="547" w:hRule="atLeast"/>
        </w:trPr>
        <w:tc>
          <w:tcPr>
            <w:tcW w:w="9242" w:type="dxa"/>
            <w:gridSpan w:val="9"/>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ascii="宋体" w:hAnsi="宋体"/>
                <w:szCs w:val="21"/>
              </w:rPr>
              <w:t>最高投标限价：</w:t>
            </w:r>
          </w:p>
        </w:tc>
      </w:tr>
      <w:bookmarkEnd w:id="82"/>
    </w:tbl>
    <w:p>
      <w:pPr>
        <w:widowControl/>
        <w:spacing w:after="304" w:line="259" w:lineRule="auto"/>
        <w:jc w:val="left"/>
        <w:rPr>
          <w:rFonts w:ascii="宋体" w:hAnsi="宋体"/>
          <w:sz w:val="22"/>
        </w:rPr>
      </w:pPr>
    </w:p>
    <w:p>
      <w:pPr>
        <w:widowControl/>
        <w:spacing w:after="328" w:line="265" w:lineRule="auto"/>
        <w:ind w:left="10" w:right="103" w:hanging="10"/>
        <w:jc w:val="left"/>
        <w:rPr>
          <w:rFonts w:ascii="宋体" w:hAnsi="宋体"/>
          <w:sz w:val="22"/>
        </w:rPr>
      </w:pPr>
      <w:r>
        <w:rPr>
          <w:rFonts w:hint="eastAsia" w:ascii="宋体" w:hAnsi="宋体" w:cs="宋体"/>
        </w:rPr>
        <w:t>招标人代表：     记录人：     监标人：</w:t>
      </w:r>
    </w:p>
    <w:p>
      <w:pPr>
        <w:widowControl/>
        <w:spacing w:after="182" w:line="259" w:lineRule="auto"/>
        <w:ind w:left="10" w:right="198" w:hanging="10"/>
        <w:jc w:val="right"/>
        <w:rPr>
          <w:rFonts w:ascii="宋体" w:hAnsi="宋体" w:cs="宋体"/>
        </w:rPr>
      </w:pPr>
      <w:r>
        <w:rPr>
          <w:rFonts w:hint="eastAsia" w:ascii="宋体" w:hAnsi="宋体" w:cs="宋体"/>
        </w:rPr>
        <w:t xml:space="preserve">    年    月    日</w:t>
      </w:r>
    </w:p>
    <w:p>
      <w:pPr>
        <w:widowControl/>
        <w:spacing w:after="182" w:line="259" w:lineRule="auto"/>
        <w:ind w:left="10" w:right="198" w:hanging="10"/>
        <w:jc w:val="right"/>
        <w:rPr>
          <w:rFonts w:ascii="宋体" w:hAnsi="宋体" w:cs="宋体"/>
        </w:rPr>
      </w:pPr>
    </w:p>
    <w:p>
      <w:pPr>
        <w:widowControl/>
        <w:spacing w:after="182" w:line="259" w:lineRule="auto"/>
        <w:ind w:left="10" w:right="998" w:hanging="10"/>
        <w:rPr>
          <w:rFonts w:ascii="宋体" w:hAnsi="宋体" w:cs="宋体"/>
        </w:rPr>
      </w:pPr>
      <w:r>
        <w:rPr>
          <w:rFonts w:hint="eastAsia" w:ascii="宋体" w:hAnsi="宋体"/>
          <w:sz w:val="20"/>
          <w:u w:val="single"/>
        </w:rPr>
        <w:t>本表仅供参考，具体以开标时的开标记录表为准。</w:t>
      </w:r>
    </w:p>
    <w:p>
      <w:pPr>
        <w:widowControl/>
        <w:spacing w:line="360" w:lineRule="auto"/>
        <w:jc w:val="left"/>
        <w:rPr>
          <w:rFonts w:ascii="宋体" w:hAnsi="宋体"/>
          <w:kern w:val="0"/>
          <w:sz w:val="24"/>
          <w:szCs w:val="24"/>
        </w:rPr>
      </w:pPr>
      <w:r>
        <w:rPr>
          <w:rFonts w:ascii="宋体" w:hAnsi="宋体" w:cs="宋体"/>
        </w:rPr>
        <w:br w:type="page"/>
      </w:r>
      <w:r>
        <w:rPr>
          <w:rFonts w:hint="eastAsia" w:ascii="宋体" w:hAnsi="宋体"/>
          <w:kern w:val="0"/>
          <w:sz w:val="24"/>
          <w:szCs w:val="24"/>
        </w:rPr>
        <w:t>附件二：确认通知</w:t>
      </w:r>
    </w:p>
    <w:p>
      <w:pPr>
        <w:keepNext/>
        <w:keepLines/>
        <w:widowControl/>
        <w:spacing w:line="360" w:lineRule="auto"/>
        <w:jc w:val="center"/>
        <w:rPr>
          <w:rFonts w:ascii="宋体" w:hAnsi="宋体"/>
          <w:kern w:val="0"/>
          <w:sz w:val="24"/>
          <w:szCs w:val="24"/>
        </w:rPr>
      </w:pPr>
    </w:p>
    <w:p>
      <w:pPr>
        <w:keepNext/>
        <w:keepLines/>
        <w:widowControl/>
        <w:spacing w:line="360" w:lineRule="auto"/>
        <w:jc w:val="center"/>
        <w:outlineLvl w:val="4"/>
        <w:rPr>
          <w:rFonts w:ascii="宋体" w:hAnsi="宋体"/>
          <w:sz w:val="24"/>
          <w:szCs w:val="24"/>
        </w:rPr>
      </w:pPr>
      <w:r>
        <w:rPr>
          <w:rFonts w:hint="eastAsia" w:ascii="宋体" w:hAnsi="宋体"/>
          <w:kern w:val="0"/>
          <w:sz w:val="24"/>
          <w:szCs w:val="24"/>
        </w:rPr>
        <w:t>（按广州公共资源交易中心格式）</w:t>
      </w:r>
    </w:p>
    <w:p>
      <w:pPr>
        <w:keepNext/>
        <w:keepLines/>
        <w:widowControl/>
        <w:spacing w:line="360" w:lineRule="auto"/>
        <w:jc w:val="left"/>
        <w:outlineLvl w:val="2"/>
        <w:rPr>
          <w:rFonts w:ascii="宋体" w:hAnsi="宋体"/>
          <w:kern w:val="0"/>
          <w:sz w:val="24"/>
          <w:szCs w:val="24"/>
        </w:rPr>
      </w:pPr>
      <w:bookmarkStart w:id="83" w:name="_Toc508788667"/>
      <w:bookmarkStart w:id="84" w:name="_Toc508382150"/>
      <w:r>
        <w:rPr>
          <w:rFonts w:ascii="宋体" w:hAnsi="宋体"/>
          <w:kern w:val="0"/>
          <w:sz w:val="24"/>
          <w:szCs w:val="24"/>
        </w:rPr>
        <w:br w:type="page"/>
      </w:r>
      <w:bookmarkEnd w:id="83"/>
      <w:bookmarkEnd w:id="84"/>
      <w:r>
        <w:rPr>
          <w:rFonts w:hint="eastAsia" w:ascii="宋体" w:hAnsi="宋体"/>
          <w:kern w:val="0"/>
          <w:sz w:val="24"/>
          <w:szCs w:val="24"/>
        </w:rPr>
        <w:t>附件三：问题澄清通知</w:t>
      </w:r>
    </w:p>
    <w:p>
      <w:pPr>
        <w:keepNext/>
        <w:keepLines/>
        <w:widowControl/>
        <w:spacing w:line="360" w:lineRule="auto"/>
        <w:jc w:val="center"/>
        <w:outlineLvl w:val="2"/>
        <w:rPr>
          <w:rFonts w:ascii="宋体" w:hAnsi="宋体"/>
          <w:kern w:val="0"/>
          <w:sz w:val="24"/>
          <w:szCs w:val="24"/>
        </w:rPr>
      </w:pPr>
      <w:r>
        <w:rPr>
          <w:rFonts w:hint="eastAsia" w:ascii="宋体" w:hAnsi="宋体"/>
          <w:kern w:val="0"/>
          <w:sz w:val="24"/>
          <w:szCs w:val="24"/>
        </w:rPr>
        <w:t>（按广州公共资源交易中心格式）</w:t>
      </w:r>
    </w:p>
    <w:p>
      <w:pPr>
        <w:widowControl/>
        <w:spacing w:line="360" w:lineRule="auto"/>
        <w:jc w:val="left"/>
        <w:rPr>
          <w:rFonts w:ascii="宋体" w:hAnsi="宋体"/>
          <w:kern w:val="0"/>
          <w:sz w:val="24"/>
          <w:szCs w:val="24"/>
        </w:rPr>
      </w:pPr>
      <w:r>
        <w:rPr>
          <w:rFonts w:ascii="宋体" w:hAnsi="宋体"/>
          <w:sz w:val="24"/>
          <w:szCs w:val="24"/>
        </w:rPr>
        <w:br w:type="page"/>
      </w:r>
      <w:r>
        <w:rPr>
          <w:rFonts w:hint="eastAsia" w:ascii="宋体" w:hAnsi="宋体"/>
          <w:kern w:val="0"/>
          <w:sz w:val="24"/>
          <w:szCs w:val="24"/>
        </w:rPr>
        <w:t xml:space="preserve">附件四：问题的澄清 </w:t>
      </w:r>
    </w:p>
    <w:p>
      <w:pPr>
        <w:widowControl/>
        <w:spacing w:line="360" w:lineRule="auto"/>
        <w:jc w:val="left"/>
        <w:rPr>
          <w:rFonts w:ascii="宋体" w:hAnsi="宋体"/>
          <w:kern w:val="0"/>
          <w:sz w:val="24"/>
          <w:szCs w:val="24"/>
        </w:rPr>
      </w:pPr>
    </w:p>
    <w:p>
      <w:pPr>
        <w:widowControl/>
        <w:spacing w:line="360" w:lineRule="auto"/>
        <w:jc w:val="center"/>
        <w:rPr>
          <w:rFonts w:ascii="宋体" w:hAnsi="宋体"/>
          <w:sz w:val="24"/>
          <w:szCs w:val="24"/>
        </w:rPr>
      </w:pPr>
      <w:r>
        <w:rPr>
          <w:rFonts w:hint="eastAsia" w:ascii="宋体" w:hAnsi="宋体"/>
          <w:kern w:val="0"/>
          <w:sz w:val="24"/>
          <w:szCs w:val="24"/>
        </w:rPr>
        <w:t>（按广州公共资源交易中心格式）</w:t>
      </w:r>
    </w:p>
    <w:p>
      <w:pPr>
        <w:widowControl/>
        <w:spacing w:line="360" w:lineRule="auto"/>
        <w:jc w:val="left"/>
        <w:rPr>
          <w:rFonts w:ascii="宋体" w:hAnsi="宋体"/>
          <w:sz w:val="24"/>
          <w:szCs w:val="24"/>
        </w:rPr>
      </w:pPr>
      <w:r>
        <w:rPr>
          <w:rFonts w:ascii="宋体" w:hAnsi="宋体"/>
          <w:sz w:val="24"/>
          <w:szCs w:val="24"/>
        </w:rPr>
        <w:br w:type="page"/>
      </w:r>
      <w:r>
        <w:rPr>
          <w:rFonts w:hint="eastAsia" w:ascii="宋体" w:hAnsi="宋体"/>
          <w:sz w:val="24"/>
          <w:szCs w:val="24"/>
        </w:rPr>
        <w:t xml:space="preserve">附件五：中标通知书 </w:t>
      </w:r>
    </w:p>
    <w:p>
      <w:pPr>
        <w:widowControl/>
        <w:spacing w:line="360" w:lineRule="auto"/>
        <w:jc w:val="left"/>
        <w:rPr>
          <w:rFonts w:ascii="宋体" w:hAnsi="宋体"/>
          <w:sz w:val="24"/>
          <w:szCs w:val="24"/>
        </w:rPr>
      </w:pPr>
    </w:p>
    <w:p>
      <w:pPr>
        <w:spacing w:line="360" w:lineRule="auto"/>
        <w:jc w:val="center"/>
        <w:rPr>
          <w:rFonts w:ascii="宋体" w:hAnsi="宋体"/>
          <w:szCs w:val="21"/>
        </w:rPr>
      </w:pPr>
      <w:r>
        <w:rPr>
          <w:rFonts w:hint="eastAsia" w:ascii="宋体" w:hAnsi="宋体"/>
          <w:sz w:val="24"/>
          <w:szCs w:val="24"/>
        </w:rPr>
        <w:t>（按广州公共资源交易中心格式）</w:t>
      </w:r>
      <w:r>
        <w:rPr>
          <w:rFonts w:ascii="宋体" w:hAnsi="宋体"/>
          <w:sz w:val="24"/>
          <w:szCs w:val="24"/>
        </w:rPr>
        <w:br w:type="page"/>
      </w:r>
    </w:p>
    <w:p>
      <w:pPr>
        <w:spacing w:line="502" w:lineRule="exact"/>
        <w:ind w:left="1580"/>
        <w:outlineLvl w:val="0"/>
        <w:rPr>
          <w:rFonts w:ascii="宋体" w:hAnsi="宋体"/>
          <w:b/>
          <w:sz w:val="44"/>
        </w:rPr>
      </w:pPr>
      <w:bookmarkStart w:id="85" w:name="_Toc11153"/>
      <w:r>
        <w:rPr>
          <w:rFonts w:ascii="宋体" w:hAnsi="宋体"/>
          <w:b/>
          <w:sz w:val="44"/>
        </w:rPr>
        <w:t>第</w:t>
      </w:r>
      <w:r>
        <w:rPr>
          <w:rFonts w:hint="eastAsia" w:ascii="宋体" w:hAnsi="宋体"/>
          <w:b/>
          <w:sz w:val="44"/>
        </w:rPr>
        <w:t>三</w:t>
      </w:r>
      <w:r>
        <w:rPr>
          <w:rFonts w:ascii="宋体" w:hAnsi="宋体"/>
          <w:b/>
          <w:sz w:val="44"/>
        </w:rPr>
        <w:t>章评标办法（综合评估法）</w:t>
      </w:r>
      <w:bookmarkEnd w:id="85"/>
    </w:p>
    <w:p>
      <w:pPr>
        <w:spacing w:line="360" w:lineRule="auto"/>
        <w:rPr>
          <w:rFonts w:ascii="宋体" w:hAnsi="宋体"/>
          <w:szCs w:val="21"/>
        </w:rPr>
      </w:pPr>
    </w:p>
    <w:p>
      <w:pPr>
        <w:spacing w:line="366" w:lineRule="exact"/>
        <w:ind w:left="360"/>
        <w:jc w:val="center"/>
        <w:rPr>
          <w:rFonts w:ascii="宋体" w:hAnsi="宋体"/>
          <w:b/>
          <w:sz w:val="32"/>
        </w:rPr>
      </w:pPr>
      <w:r>
        <w:rPr>
          <w:rFonts w:ascii="宋体" w:hAnsi="宋体"/>
          <w:b/>
          <w:sz w:val="32"/>
        </w:rPr>
        <w:t>评标办法前附表</w:t>
      </w:r>
    </w:p>
    <w:tbl>
      <w:tblPr>
        <w:tblStyle w:val="20"/>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1804"/>
        <w:gridCol w:w="5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pPr>
              <w:jc w:val="center"/>
              <w:rPr>
                <w:rFonts w:ascii="宋体" w:hAnsi="宋体" w:cs="宋体"/>
                <w:b/>
                <w:szCs w:val="21"/>
              </w:rPr>
            </w:pPr>
            <w:r>
              <w:rPr>
                <w:rFonts w:hint="eastAsia" w:ascii="宋体" w:hAnsi="宋体" w:cs="宋体"/>
                <w:b/>
                <w:szCs w:val="21"/>
              </w:rPr>
              <w:t>条款号</w:t>
            </w:r>
          </w:p>
        </w:tc>
        <w:tc>
          <w:tcPr>
            <w:tcW w:w="1804"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评审因素</w:t>
            </w:r>
          </w:p>
        </w:tc>
        <w:tc>
          <w:tcPr>
            <w:tcW w:w="5352"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0" w:type="dxa"/>
            <w:tcBorders>
              <w:tl2br w:val="nil"/>
              <w:tr2bl w:val="nil"/>
            </w:tcBorders>
            <w:noWrap/>
            <w:vAlign w:val="center"/>
          </w:tcPr>
          <w:p>
            <w:pPr>
              <w:jc w:val="center"/>
              <w:rPr>
                <w:rFonts w:ascii="宋体" w:hAnsi="宋体" w:cs="宋体"/>
                <w:szCs w:val="21"/>
              </w:rPr>
            </w:pPr>
            <w:r>
              <w:rPr>
                <w:rFonts w:hint="eastAsia" w:ascii="宋体" w:hAnsi="宋体" w:cs="宋体"/>
                <w:szCs w:val="21"/>
              </w:rPr>
              <w:t>1</w:t>
            </w:r>
          </w:p>
        </w:tc>
        <w:tc>
          <w:tcPr>
            <w:tcW w:w="1124" w:type="dxa"/>
            <w:tcBorders>
              <w:tl2br w:val="nil"/>
              <w:tr2bl w:val="nil"/>
            </w:tcBorders>
            <w:noWrap/>
            <w:vAlign w:val="center"/>
          </w:tcPr>
          <w:p>
            <w:pPr>
              <w:jc w:val="center"/>
              <w:rPr>
                <w:rFonts w:ascii="宋体" w:hAnsi="宋体" w:cs="宋体"/>
                <w:szCs w:val="21"/>
              </w:rPr>
            </w:pPr>
            <w:r>
              <w:rPr>
                <w:rFonts w:hint="eastAsia" w:ascii="宋体" w:hAnsi="宋体" w:cs="宋体"/>
                <w:szCs w:val="21"/>
              </w:rPr>
              <w:t>评标方法</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中标候选人排序方法</w:t>
            </w:r>
          </w:p>
        </w:tc>
        <w:tc>
          <w:tcPr>
            <w:tcW w:w="5352" w:type="dxa"/>
            <w:tcBorders>
              <w:tl2br w:val="nil"/>
              <w:tr2bl w:val="nil"/>
            </w:tcBorders>
            <w:noWrap/>
          </w:tcPr>
          <w:p>
            <w:pPr>
              <w:jc w:val="left"/>
              <w:rPr>
                <w:rFonts w:ascii="宋体" w:hAnsi="宋体" w:cs="宋体"/>
                <w:szCs w:val="21"/>
              </w:rPr>
            </w:pPr>
            <w:r>
              <w:rPr>
                <w:rFonts w:hint="eastAsia" w:ascii="宋体" w:hAnsi="宋体" w:cs="宋体"/>
                <w:kern w:val="0"/>
                <w:szCs w:val="21"/>
              </w:rPr>
              <w:t>本次评标采用综合评估法。评标委员会对满足招标文件实质性要求的投标文件，按照本章第 2.2 款规定的评分标准进行打分，并按得分由高到低顺序推荐中标候选人，但投标报价低于其成本的除外。</w:t>
            </w:r>
            <w:r>
              <w:rPr>
                <w:rFonts w:hint="eastAsia" w:ascii="宋体" w:hAnsi="宋体" w:cs="宋体"/>
                <w:kern w:val="0"/>
                <w:szCs w:val="21"/>
                <w:u w:val="single"/>
              </w:rPr>
              <w:t>综合评分相等时，以投标报价低的优先；投标报价也相等的，以技术得分高的优先；如果技术得分也相等，以商务得分高的优先；如仍存在相同情况，则对具有相同情况的投标人，按中标候选人数量规定，由评标委员会采用记名投票的方式，确定中标候选人的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2.1.1</w:t>
            </w:r>
          </w:p>
        </w:tc>
        <w:tc>
          <w:tcPr>
            <w:tcW w:w="1124"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形式评审标准</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投标人名称</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投标函签字盖章</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有法定代表人或其委托代理人签字（或盖章或签章）</w:t>
            </w:r>
            <w:r>
              <w:rPr>
                <w:rFonts w:hint="eastAsia" w:ascii="宋体" w:hAnsi="宋体" w:cs="宋体"/>
                <w:szCs w:val="21"/>
                <w:u w:val="single"/>
              </w:rPr>
              <w:t>并</w:t>
            </w:r>
            <w:r>
              <w:rPr>
                <w:rFonts w:hint="eastAsia" w:ascii="宋体" w:hAnsi="宋体" w:cs="宋体"/>
                <w:szCs w:val="21"/>
              </w:rPr>
              <w:t>加盖单位章。由法定代表人签字（或盖章或签章）的，应附法定代表人身份证明，由代理人签字（或盖章或签章）的，应附授权委托书，身份证明或授权委托书应符合第六章“投标文件格式”的规定。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投标文件格式</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投标函符合第六章“投标文件格式”的规定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联合体投标人</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备选投标方案</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投标人机器码</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投标人与其他投标人加密打包投标文件电脑机器特征码一致的(以广州公共资源交易中心评标系统的检索信息为准),其投标将被否决。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2.1.2</w:t>
            </w:r>
          </w:p>
        </w:tc>
        <w:tc>
          <w:tcPr>
            <w:tcW w:w="1124"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资格评审标准</w:t>
            </w:r>
          </w:p>
        </w:tc>
        <w:tc>
          <w:tcPr>
            <w:tcW w:w="1804" w:type="dxa"/>
            <w:tcBorders>
              <w:tl2br w:val="nil"/>
              <w:tr2bl w:val="nil"/>
            </w:tcBorders>
            <w:noWrap/>
            <w:vAlign w:val="center"/>
          </w:tcPr>
          <w:p>
            <w:pPr>
              <w:snapToGrid w:val="0"/>
              <w:jc w:val="center"/>
              <w:rPr>
                <w:rFonts w:ascii="宋体" w:hAnsi="宋体" w:cs="宋体"/>
                <w:szCs w:val="21"/>
              </w:rPr>
            </w:pPr>
            <w:r>
              <w:rPr>
                <w:rFonts w:hint="eastAsia" w:ascii="宋体" w:hAnsi="宋体" w:cs="宋体"/>
                <w:szCs w:val="21"/>
              </w:rPr>
              <w:t>营业执照</w:t>
            </w:r>
          </w:p>
        </w:tc>
        <w:tc>
          <w:tcPr>
            <w:tcW w:w="5352" w:type="dxa"/>
            <w:tcBorders>
              <w:tl2br w:val="nil"/>
              <w:tr2bl w:val="nil"/>
            </w:tcBorders>
            <w:noWrap/>
            <w:vAlign w:val="center"/>
          </w:tcPr>
          <w:p>
            <w:pPr>
              <w:snapToGrid w:val="0"/>
              <w:rPr>
                <w:rFonts w:ascii="宋体" w:hAnsi="宋体" w:cs="宋体"/>
                <w:szCs w:val="21"/>
              </w:rPr>
            </w:pPr>
            <w:r>
              <w:rPr>
                <w:rFonts w:hint="eastAsia" w:ascii="宋体" w:hAnsi="宋体" w:cs="宋体"/>
                <w:szCs w:val="21"/>
              </w:rPr>
              <w:t>符合招标公告3.投标人资格要求</w:t>
            </w:r>
            <w:r>
              <w:rPr>
                <w:rFonts w:hint="eastAsia" w:ascii="宋体" w:hAnsi="宋体" w:cs="宋体"/>
                <w:spacing w:val="-6"/>
                <w:szCs w:val="21"/>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snapToGrid w:val="0"/>
              <w:jc w:val="center"/>
              <w:rPr>
                <w:rFonts w:ascii="宋体" w:hAnsi="宋体" w:cs="宋体"/>
                <w:szCs w:val="21"/>
              </w:rPr>
            </w:pPr>
            <w:r>
              <w:rPr>
                <w:rFonts w:hint="eastAsia" w:ascii="宋体" w:hAnsi="宋体" w:cs="宋体"/>
                <w:spacing w:val="-2"/>
                <w:szCs w:val="21"/>
                <w:u w:val="single"/>
              </w:rPr>
              <w:t>供货能力</w:t>
            </w:r>
          </w:p>
        </w:tc>
        <w:tc>
          <w:tcPr>
            <w:tcW w:w="5352" w:type="dxa"/>
            <w:tcBorders>
              <w:tl2br w:val="nil"/>
              <w:tr2bl w:val="nil"/>
            </w:tcBorders>
            <w:noWrap/>
            <w:vAlign w:val="center"/>
          </w:tcPr>
          <w:p>
            <w:pPr>
              <w:snapToGrid w:val="0"/>
              <w:rPr>
                <w:rFonts w:ascii="宋体" w:hAnsi="宋体" w:cs="宋体"/>
                <w:szCs w:val="21"/>
              </w:rPr>
            </w:pPr>
            <w:r>
              <w:rPr>
                <w:rFonts w:hint="eastAsia" w:ascii="宋体" w:hAnsi="宋体" w:cs="宋体"/>
                <w:szCs w:val="21"/>
              </w:rPr>
              <w:t>符合招标公告3.投标人资格要求</w:t>
            </w:r>
            <w:r>
              <w:rPr>
                <w:rFonts w:hint="eastAsia" w:ascii="宋体" w:hAnsi="宋体" w:cs="宋体"/>
                <w:spacing w:val="-6"/>
                <w:szCs w:val="21"/>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snapToGrid w:val="0"/>
              <w:jc w:val="center"/>
              <w:rPr>
                <w:rFonts w:ascii="宋体" w:hAnsi="宋体" w:cs="宋体"/>
                <w:szCs w:val="21"/>
              </w:rPr>
            </w:pPr>
            <w:r>
              <w:rPr>
                <w:rFonts w:hint="eastAsia" w:ascii="宋体" w:hAnsi="宋体" w:cs="宋体"/>
                <w:spacing w:val="-2"/>
                <w:szCs w:val="21"/>
                <w:u w:val="single"/>
              </w:rPr>
              <w:t>业绩要求</w:t>
            </w:r>
          </w:p>
        </w:tc>
        <w:tc>
          <w:tcPr>
            <w:tcW w:w="5352" w:type="dxa"/>
            <w:tcBorders>
              <w:tl2br w:val="nil"/>
              <w:tr2bl w:val="nil"/>
            </w:tcBorders>
            <w:noWrap/>
            <w:vAlign w:val="center"/>
          </w:tcPr>
          <w:p>
            <w:pPr>
              <w:snapToGrid w:val="0"/>
              <w:rPr>
                <w:rFonts w:ascii="宋体" w:hAnsi="宋体" w:cs="宋体"/>
                <w:szCs w:val="21"/>
              </w:rPr>
            </w:pPr>
            <w:r>
              <w:rPr>
                <w:rFonts w:hint="eastAsia" w:ascii="宋体" w:hAnsi="宋体" w:cs="宋体"/>
                <w:szCs w:val="21"/>
              </w:rPr>
              <w:t>符合招标公告3.投标人资格要求规定。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snapToGrid w:val="0"/>
              <w:jc w:val="center"/>
              <w:rPr>
                <w:rFonts w:ascii="宋体" w:hAnsi="宋体" w:cs="宋体"/>
                <w:szCs w:val="21"/>
              </w:rPr>
            </w:pPr>
            <w:r>
              <w:rPr>
                <w:rFonts w:hint="eastAsia" w:ascii="宋体" w:hAnsi="宋体" w:cs="宋体"/>
                <w:szCs w:val="21"/>
              </w:rPr>
              <w:t>联合体投标人</w:t>
            </w:r>
          </w:p>
        </w:tc>
        <w:tc>
          <w:tcPr>
            <w:tcW w:w="5352" w:type="dxa"/>
            <w:tcBorders>
              <w:tl2br w:val="nil"/>
              <w:tr2bl w:val="nil"/>
            </w:tcBorders>
            <w:noWrap/>
            <w:vAlign w:val="center"/>
          </w:tcPr>
          <w:p>
            <w:pPr>
              <w:snapToGrid w:val="0"/>
              <w:rPr>
                <w:rFonts w:ascii="宋体" w:hAnsi="宋体" w:cs="宋体"/>
                <w:szCs w:val="21"/>
              </w:rPr>
            </w:pPr>
            <w:r>
              <w:rPr>
                <w:rFonts w:hint="eastAsia" w:ascii="宋体" w:hAnsi="宋体" w:cs="宋体"/>
                <w:szCs w:val="21"/>
                <w:u w:val="single"/>
              </w:rPr>
              <w:t>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snapToGrid w:val="0"/>
              <w:jc w:val="center"/>
              <w:rPr>
                <w:rFonts w:ascii="宋体" w:hAnsi="宋体" w:cs="宋体"/>
                <w:szCs w:val="21"/>
              </w:rPr>
            </w:pPr>
            <w:r>
              <w:rPr>
                <w:rFonts w:hint="eastAsia" w:ascii="宋体" w:hAnsi="宋体" w:cs="宋体"/>
                <w:szCs w:val="21"/>
              </w:rPr>
              <w:t>不存在禁止投标的情形</w:t>
            </w:r>
          </w:p>
        </w:tc>
        <w:tc>
          <w:tcPr>
            <w:tcW w:w="5352" w:type="dxa"/>
            <w:tcBorders>
              <w:tl2br w:val="nil"/>
              <w:tr2bl w:val="nil"/>
            </w:tcBorders>
            <w:noWrap/>
            <w:vAlign w:val="center"/>
          </w:tcPr>
          <w:p>
            <w:pPr>
              <w:snapToGrid w:val="0"/>
            </w:pPr>
            <w:r>
              <w:rPr>
                <w:rFonts w:hint="eastAsia"/>
              </w:rPr>
              <w:t>(1)不存在第二章“投标人须知”第1.4.3项规定的任何一种情形（按投标人声明进行评审）。</w:t>
            </w:r>
          </w:p>
          <w:p>
            <w:pPr>
              <w:pStyle w:val="7"/>
            </w:pPr>
            <w:r>
              <w:rPr>
                <w:rFonts w:hint="eastAsia" w:ascii="宋体" w:hAnsi="宋体" w:cs="宋体"/>
                <w:szCs w:val="21"/>
                <w:u w:val="single"/>
              </w:rPr>
              <w:t>(2)未被列入拖欠农民工工资失信联合惩戒对象名单。（投标人无需提供资料，按交易系统比对的结果进行评审）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2.1.3</w:t>
            </w:r>
          </w:p>
        </w:tc>
        <w:tc>
          <w:tcPr>
            <w:tcW w:w="1124" w:type="dxa"/>
            <w:vMerge w:val="restart"/>
            <w:tcBorders>
              <w:tl2br w:val="nil"/>
              <w:tr2bl w:val="nil"/>
            </w:tcBorders>
            <w:noWrap/>
            <w:vAlign w:val="center"/>
          </w:tcPr>
          <w:p>
            <w:pPr>
              <w:jc w:val="center"/>
              <w:rPr>
                <w:rFonts w:ascii="宋体" w:hAnsi="宋体" w:cs="宋体"/>
                <w:szCs w:val="21"/>
              </w:rPr>
            </w:pPr>
            <w:r>
              <w:rPr>
                <w:rFonts w:hint="eastAsia" w:ascii="宋体" w:hAnsi="宋体" w:cs="宋体"/>
                <w:szCs w:val="21"/>
              </w:rPr>
              <w:t>响应性评审标准</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投标报价</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符合第二章“投标人须知”第3.2款规定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投标内容</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交货期</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符合第二章“投标人须知”第1.3.2项规定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jc w:val="center"/>
              <w:rPr>
                <w:rFonts w:ascii="宋体" w:hAnsi="宋体" w:cs="宋体"/>
                <w:szCs w:val="21"/>
              </w:rPr>
            </w:pPr>
          </w:p>
        </w:tc>
        <w:tc>
          <w:tcPr>
            <w:tcW w:w="1124" w:type="dxa"/>
            <w:vMerge w:val="continue"/>
            <w:tcBorders>
              <w:tl2br w:val="nil"/>
              <w:tr2bl w:val="nil"/>
            </w:tcBorders>
            <w:noWrap/>
            <w:vAlign w:val="center"/>
          </w:tcPr>
          <w:p>
            <w:pPr>
              <w:jc w:val="center"/>
              <w:rPr>
                <w:rFonts w:ascii="宋体" w:hAnsi="宋体" w:cs="宋体"/>
                <w:szCs w:val="21"/>
              </w:rPr>
            </w:pP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交货地点</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符合第二章“投标人须知”第1.3.3项规定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tcPr>
          <w:p>
            <w:pPr>
              <w:jc w:val="center"/>
              <w:rPr>
                <w:rFonts w:ascii="宋体" w:hAnsi="宋体" w:cs="宋体"/>
                <w:szCs w:val="21"/>
              </w:rPr>
            </w:pPr>
            <w:r>
              <w:rPr>
                <w:rFonts w:hint="eastAsia" w:ascii="宋体" w:hAnsi="宋体" w:cs="宋体"/>
                <w:szCs w:val="21"/>
              </w:rPr>
              <w:t>投标有效期</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Merge w:val="continue"/>
            <w:tcBorders>
              <w:tl2br w:val="nil"/>
              <w:tr2bl w:val="nil"/>
            </w:tcBorders>
            <w:noWrap/>
            <w:vAlign w:val="center"/>
          </w:tcPr>
          <w:p>
            <w:pPr>
              <w:rPr>
                <w:rFonts w:ascii="宋体" w:hAnsi="宋体" w:cs="宋体"/>
                <w:szCs w:val="21"/>
              </w:rPr>
            </w:pPr>
          </w:p>
        </w:tc>
        <w:tc>
          <w:tcPr>
            <w:tcW w:w="1124" w:type="dxa"/>
            <w:vMerge w:val="continue"/>
            <w:tcBorders>
              <w:tl2br w:val="nil"/>
              <w:tr2bl w:val="nil"/>
            </w:tcBorders>
            <w:noWrap/>
            <w:vAlign w:val="center"/>
          </w:tcPr>
          <w:p>
            <w:pPr>
              <w:rPr>
                <w:rFonts w:ascii="宋体" w:hAnsi="宋体" w:cs="宋体"/>
                <w:szCs w:val="21"/>
              </w:rPr>
            </w:pPr>
          </w:p>
        </w:tc>
        <w:tc>
          <w:tcPr>
            <w:tcW w:w="1804" w:type="dxa"/>
            <w:tcBorders>
              <w:tl2br w:val="nil"/>
              <w:tr2bl w:val="nil"/>
            </w:tcBorders>
            <w:noWrap/>
          </w:tcPr>
          <w:p>
            <w:pPr>
              <w:snapToGrid w:val="0"/>
              <w:jc w:val="center"/>
              <w:rPr>
                <w:rFonts w:ascii="宋体" w:hAnsi="宋体" w:cs="宋体"/>
                <w:szCs w:val="21"/>
              </w:rPr>
            </w:pPr>
            <w:r>
              <w:rPr>
                <w:rFonts w:hint="eastAsia" w:ascii="宋体" w:hAnsi="宋体" w:cs="宋体"/>
                <w:szCs w:val="21"/>
              </w:rPr>
              <w:t>商务和技术性能指标</w:t>
            </w:r>
          </w:p>
        </w:tc>
        <w:tc>
          <w:tcPr>
            <w:tcW w:w="5352" w:type="dxa"/>
            <w:tcBorders>
              <w:tl2br w:val="nil"/>
              <w:tr2bl w:val="nil"/>
            </w:tcBorders>
            <w:noWrap/>
            <w:vAlign w:val="center"/>
          </w:tcPr>
          <w:p>
            <w:pPr>
              <w:snapToGrid w:val="0"/>
              <w:jc w:val="left"/>
              <w:rPr>
                <w:rFonts w:ascii="宋体" w:hAnsi="宋体" w:cs="宋体"/>
                <w:szCs w:val="21"/>
              </w:rPr>
            </w:pPr>
            <w:r>
              <w:rPr>
                <w:rFonts w:hint="eastAsia" w:ascii="宋体" w:hAnsi="宋体" w:cs="宋体"/>
                <w:szCs w:val="21"/>
              </w:rPr>
              <w:t>符合招标文件及技术需求书中打“</w:t>
            </w:r>
            <w:r>
              <w:rPr>
                <w:rFonts w:hint="eastAsia" w:ascii="宋体" w:hAnsi="宋体" w:cs="宋体"/>
                <w:color w:val="000000" w:themeColor="text1"/>
                <w:sz w:val="22"/>
                <w14:textFill>
                  <w14:solidFill>
                    <w14:schemeClr w14:val="tx1"/>
                  </w14:solidFill>
                </w14:textFill>
              </w:rPr>
              <w:t>★</w:t>
            </w:r>
            <w:r>
              <w:rPr>
                <w:rFonts w:hint="eastAsia" w:ascii="宋体" w:hAnsi="宋体" w:cs="宋体"/>
                <w:szCs w:val="21"/>
              </w:rPr>
              <w:t>”号条款规定。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pPr>
              <w:jc w:val="center"/>
              <w:rPr>
                <w:rFonts w:ascii="宋体" w:hAnsi="宋体" w:cs="宋体"/>
                <w:b/>
                <w:szCs w:val="21"/>
              </w:rPr>
            </w:pPr>
            <w:r>
              <w:rPr>
                <w:rFonts w:hint="eastAsia" w:ascii="宋体" w:hAnsi="宋体" w:cs="宋体"/>
                <w:b/>
                <w:szCs w:val="21"/>
              </w:rPr>
              <w:t>条款号</w:t>
            </w:r>
          </w:p>
        </w:tc>
        <w:tc>
          <w:tcPr>
            <w:tcW w:w="1804"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条款内容</w:t>
            </w:r>
          </w:p>
        </w:tc>
        <w:tc>
          <w:tcPr>
            <w:tcW w:w="5352"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2024" w:type="dxa"/>
            <w:gridSpan w:val="2"/>
            <w:tcBorders>
              <w:tl2br w:val="nil"/>
              <w:tr2bl w:val="nil"/>
            </w:tcBorders>
            <w:noWrap/>
            <w:vAlign w:val="center"/>
          </w:tcPr>
          <w:p>
            <w:pPr>
              <w:jc w:val="center"/>
              <w:rPr>
                <w:rFonts w:ascii="宋体" w:hAnsi="宋体" w:cs="宋体"/>
                <w:szCs w:val="21"/>
              </w:rPr>
            </w:pPr>
            <w:r>
              <w:rPr>
                <w:rFonts w:hint="eastAsia" w:ascii="宋体" w:hAnsi="宋体" w:cs="宋体"/>
                <w:szCs w:val="21"/>
              </w:rPr>
              <w:t>2.2.1</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分值构成</w:t>
            </w:r>
          </w:p>
          <w:p>
            <w:pPr>
              <w:jc w:val="center"/>
              <w:rPr>
                <w:rFonts w:ascii="宋体" w:hAnsi="宋体" w:cs="宋体"/>
                <w:szCs w:val="21"/>
              </w:rPr>
            </w:pPr>
            <w:r>
              <w:rPr>
                <w:rFonts w:hint="eastAsia" w:ascii="宋体" w:hAnsi="宋体" w:cs="宋体"/>
                <w:szCs w:val="21"/>
              </w:rPr>
              <w:t>(总分100分)</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商务部分：10分</w:t>
            </w:r>
          </w:p>
          <w:p>
            <w:pPr>
              <w:rPr>
                <w:rFonts w:ascii="宋体" w:hAnsi="宋体" w:cs="宋体"/>
                <w:szCs w:val="21"/>
              </w:rPr>
            </w:pPr>
            <w:r>
              <w:rPr>
                <w:rFonts w:hint="eastAsia" w:ascii="宋体" w:hAnsi="宋体" w:cs="宋体"/>
                <w:szCs w:val="21"/>
              </w:rPr>
              <w:t>技术部分：40分</w:t>
            </w:r>
          </w:p>
          <w:p>
            <w:pPr>
              <w:rPr>
                <w:rFonts w:ascii="宋体" w:hAnsi="宋体" w:cs="宋体"/>
                <w:szCs w:val="21"/>
              </w:rPr>
            </w:pPr>
            <w:r>
              <w:rPr>
                <w:rFonts w:hint="eastAsia" w:ascii="宋体" w:hAnsi="宋体" w:cs="宋体"/>
                <w:szCs w:val="21"/>
              </w:rPr>
              <w:t>投标报价：50分</w:t>
            </w:r>
          </w:p>
          <w:p>
            <w:pPr>
              <w:rPr>
                <w:rFonts w:ascii="宋体" w:hAnsi="宋体" w:cs="宋体"/>
                <w:szCs w:val="21"/>
              </w:rPr>
            </w:pPr>
            <w:r>
              <w:rPr>
                <w:rFonts w:hint="eastAsia" w:ascii="宋体" w:hAnsi="宋体" w:cs="宋体"/>
                <w:szCs w:val="21"/>
              </w:rPr>
              <w:t>其他评分因素：</w:t>
            </w:r>
            <w:r>
              <w:rPr>
                <w:rFonts w:hint="eastAsia" w:ascii="宋体" w:hAnsi="宋体" w:cs="宋体"/>
                <w:szCs w:val="21"/>
                <w:u w:val="single"/>
              </w:rPr>
              <w:t xml:space="preserve">  /  </w:t>
            </w:r>
            <w:r>
              <w:rPr>
                <w:rFonts w:hint="eastAsia" w:ascii="宋体" w:hAnsi="宋体" w:cs="宋体"/>
                <w:szCs w:val="21"/>
              </w:rPr>
              <w:t>分</w:t>
            </w:r>
          </w:p>
          <w:p>
            <w:pPr>
              <w:rPr>
                <w:rFonts w:ascii="宋体" w:hAnsi="宋体" w:cs="宋体"/>
                <w:szCs w:val="21"/>
              </w:rPr>
            </w:pPr>
            <w:r>
              <w:rPr>
                <w:rFonts w:hint="eastAsia" w:ascii="宋体" w:hAnsi="宋体" w:cs="宋体"/>
                <w:szCs w:val="21"/>
              </w:rPr>
              <w:t>投标人总得分为</w:t>
            </w:r>
            <w:r>
              <w:rPr>
                <w:rFonts w:hint="eastAsia" w:ascii="宋体" w:hAnsi="宋体"/>
                <w:szCs w:val="21"/>
              </w:rPr>
              <w:t>汇集每一评委的评分，进行算术平均，</w:t>
            </w:r>
            <w:r>
              <w:rPr>
                <w:rFonts w:hint="eastAsia" w:ascii="宋体" w:hAnsi="宋体" w:cs="宋体"/>
                <w:szCs w:val="21"/>
              </w:rPr>
              <w:t>（分数出现小数点时，保留小数点后二位，第三位小数四舍五入）。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2024" w:type="dxa"/>
            <w:gridSpan w:val="2"/>
            <w:tcBorders>
              <w:tl2br w:val="nil"/>
              <w:tr2bl w:val="nil"/>
            </w:tcBorders>
            <w:noWrap/>
            <w:vAlign w:val="center"/>
          </w:tcPr>
          <w:p>
            <w:pPr>
              <w:jc w:val="center"/>
              <w:rPr>
                <w:rFonts w:ascii="宋体" w:hAnsi="宋体" w:cs="宋体"/>
                <w:szCs w:val="21"/>
              </w:rPr>
            </w:pPr>
            <w:r>
              <w:rPr>
                <w:rFonts w:hint="eastAsia" w:ascii="宋体" w:hAnsi="宋体" w:cs="宋体"/>
                <w:szCs w:val="21"/>
              </w:rPr>
              <w:t>2.2.2</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评标基准价计算方法</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取通过形式、资格、响应性评审且低于招标控制价的投标报价，大于5名时，以去掉一个最高价和一个最低价后的算术平均值作为评标基准价；少于或等于5名时，以算术平均值作为评标基准价；当没有投标报价低于招标控制价时则由招标人依法重新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24" w:type="dxa"/>
            <w:gridSpan w:val="2"/>
            <w:tcBorders>
              <w:tl2br w:val="nil"/>
              <w:tr2bl w:val="nil"/>
            </w:tcBorders>
            <w:noWrap/>
            <w:vAlign w:val="center"/>
          </w:tcPr>
          <w:p>
            <w:pPr>
              <w:jc w:val="center"/>
              <w:rPr>
                <w:rFonts w:ascii="宋体" w:hAnsi="宋体" w:cs="宋体"/>
                <w:szCs w:val="21"/>
              </w:rPr>
            </w:pPr>
            <w:r>
              <w:rPr>
                <w:rFonts w:hint="eastAsia" w:ascii="宋体" w:hAnsi="宋体" w:cs="宋体"/>
                <w:szCs w:val="21"/>
              </w:rPr>
              <w:t>2.2.3</w:t>
            </w:r>
          </w:p>
        </w:tc>
        <w:tc>
          <w:tcPr>
            <w:tcW w:w="1804" w:type="dxa"/>
            <w:tcBorders>
              <w:tl2br w:val="nil"/>
              <w:tr2bl w:val="nil"/>
            </w:tcBorders>
            <w:noWrap/>
            <w:vAlign w:val="center"/>
          </w:tcPr>
          <w:p>
            <w:pPr>
              <w:jc w:val="center"/>
              <w:rPr>
                <w:rFonts w:ascii="宋体" w:hAnsi="宋体" w:cs="宋体"/>
                <w:szCs w:val="21"/>
              </w:rPr>
            </w:pPr>
            <w:r>
              <w:rPr>
                <w:rFonts w:hint="eastAsia" w:ascii="宋体" w:hAnsi="宋体" w:cs="宋体"/>
                <w:szCs w:val="21"/>
              </w:rPr>
              <w:t>投标报价的偏差率计算公式</w:t>
            </w:r>
          </w:p>
        </w:tc>
        <w:tc>
          <w:tcPr>
            <w:tcW w:w="5352" w:type="dxa"/>
            <w:tcBorders>
              <w:tl2br w:val="nil"/>
              <w:tr2bl w:val="nil"/>
            </w:tcBorders>
            <w:noWrap/>
            <w:vAlign w:val="center"/>
          </w:tcPr>
          <w:p>
            <w:pPr>
              <w:rPr>
                <w:rFonts w:ascii="宋体" w:hAnsi="宋体" w:cs="宋体"/>
                <w:szCs w:val="21"/>
              </w:rPr>
            </w:pPr>
            <w:r>
              <w:rPr>
                <w:rFonts w:hint="eastAsia" w:ascii="宋体" w:hAnsi="宋体" w:cs="宋体"/>
                <w:szCs w:val="21"/>
              </w:rPr>
              <w:t>偏差率= ∣投标报价 — 评标基准价∣ / 评标基准价*100% ，</w:t>
            </w:r>
          </w:p>
          <w:p>
            <w:pPr>
              <w:rPr>
                <w:rFonts w:ascii="宋体" w:hAnsi="宋体" w:cs="宋体"/>
                <w:b/>
                <w:szCs w:val="21"/>
              </w:rPr>
            </w:pPr>
            <w:r>
              <w:rPr>
                <w:rFonts w:hint="eastAsia" w:ascii="宋体" w:hAnsi="宋体" w:cs="宋体"/>
                <w:b/>
                <w:szCs w:val="21"/>
              </w:rPr>
              <w:t>（偏差率四舍五入保留2位小数，报价偏差率不足1%的，按直线内插法计算投标报价得分）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pPr>
              <w:jc w:val="center"/>
              <w:rPr>
                <w:rFonts w:ascii="宋体" w:hAnsi="宋体" w:cs="宋体"/>
                <w:b/>
                <w:szCs w:val="21"/>
              </w:rPr>
            </w:pPr>
            <w:r>
              <w:rPr>
                <w:rFonts w:hint="eastAsia" w:ascii="宋体" w:hAnsi="宋体" w:cs="宋体"/>
                <w:b/>
                <w:szCs w:val="21"/>
              </w:rPr>
              <w:t>条款号</w:t>
            </w:r>
          </w:p>
        </w:tc>
        <w:tc>
          <w:tcPr>
            <w:tcW w:w="1804"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评分因素</w:t>
            </w:r>
          </w:p>
          <w:p>
            <w:pPr>
              <w:jc w:val="center"/>
              <w:rPr>
                <w:rFonts w:ascii="宋体" w:hAnsi="宋体" w:cs="宋体"/>
                <w:b/>
                <w:szCs w:val="21"/>
              </w:rPr>
            </w:pPr>
            <w:r>
              <w:rPr>
                <w:rFonts w:hint="eastAsia" w:ascii="宋体" w:hAnsi="宋体" w:cs="宋体"/>
                <w:b/>
                <w:szCs w:val="21"/>
              </w:rPr>
              <w:t>（偏差率）</w:t>
            </w:r>
          </w:p>
        </w:tc>
        <w:tc>
          <w:tcPr>
            <w:tcW w:w="5352" w:type="dxa"/>
            <w:tcBorders>
              <w:tl2br w:val="nil"/>
              <w:tr2bl w:val="nil"/>
            </w:tcBorders>
            <w:noWrap/>
            <w:vAlign w:val="center"/>
          </w:tcPr>
          <w:p>
            <w:pPr>
              <w:jc w:val="center"/>
              <w:rPr>
                <w:rFonts w:ascii="宋体" w:hAnsi="宋体" w:cs="宋体"/>
                <w:b/>
                <w:szCs w:val="21"/>
              </w:rPr>
            </w:pPr>
            <w:r>
              <w:rPr>
                <w:rFonts w:hint="eastAsia" w:ascii="宋体" w:hAnsi="宋体" w:cs="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900" w:type="dxa"/>
            <w:vMerge w:val="restart"/>
            <w:tcBorders>
              <w:tl2br w:val="nil"/>
              <w:tr2bl w:val="nil"/>
            </w:tcBorders>
            <w:noWrap/>
            <w:vAlign w:val="center"/>
          </w:tcPr>
          <w:p>
            <w:pPr>
              <w:snapToGrid w:val="0"/>
              <w:spacing w:line="360" w:lineRule="auto"/>
              <w:outlineLvl w:val="2"/>
              <w:rPr>
                <w:rFonts w:ascii="宋体" w:hAnsi="宋体"/>
              </w:rPr>
            </w:pPr>
            <w:r>
              <w:rPr>
                <w:rFonts w:hint="eastAsia" w:ascii="宋体" w:hAnsi="宋体"/>
              </w:rPr>
              <w:t>2.2.4（1）</w:t>
            </w:r>
          </w:p>
        </w:tc>
        <w:tc>
          <w:tcPr>
            <w:tcW w:w="1124" w:type="dxa"/>
            <w:vMerge w:val="restart"/>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商务评分标准</w:t>
            </w:r>
          </w:p>
          <w:p>
            <w:pPr>
              <w:snapToGrid w:val="0"/>
              <w:spacing w:line="400" w:lineRule="exact"/>
              <w:jc w:val="center"/>
              <w:outlineLvl w:val="2"/>
              <w:rPr>
                <w:rFonts w:ascii="宋体" w:hAnsi="宋体"/>
                <w:szCs w:val="21"/>
              </w:rPr>
            </w:pPr>
            <w:r>
              <w:rPr>
                <w:rFonts w:hint="eastAsia" w:ascii="宋体" w:hAnsi="宋体"/>
                <w:szCs w:val="21"/>
              </w:rPr>
              <w:t>（10分）</w:t>
            </w:r>
          </w:p>
        </w:tc>
        <w:tc>
          <w:tcPr>
            <w:tcW w:w="1804" w:type="dxa"/>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类似项目业绩</w:t>
            </w:r>
          </w:p>
          <w:p>
            <w:pPr>
              <w:snapToGrid w:val="0"/>
              <w:spacing w:line="400" w:lineRule="exact"/>
              <w:jc w:val="center"/>
              <w:outlineLvl w:val="2"/>
              <w:rPr>
                <w:rFonts w:ascii="宋体" w:hAnsi="宋体"/>
                <w:szCs w:val="21"/>
              </w:rPr>
            </w:pPr>
            <w:r>
              <w:rPr>
                <w:rFonts w:hint="eastAsia" w:ascii="宋体" w:hAnsi="宋体"/>
                <w:szCs w:val="21"/>
              </w:rPr>
              <w:t>（7分）</w:t>
            </w:r>
          </w:p>
        </w:tc>
        <w:tc>
          <w:tcPr>
            <w:tcW w:w="5352" w:type="dxa"/>
            <w:tcBorders>
              <w:tl2br w:val="nil"/>
              <w:tr2bl w:val="nil"/>
            </w:tcBorders>
            <w:noWrap/>
            <w:vAlign w:val="center"/>
          </w:tcPr>
          <w:p>
            <w:pPr>
              <w:snapToGrid w:val="0"/>
              <w:spacing w:line="400" w:lineRule="exact"/>
              <w:outlineLvl w:val="2"/>
              <w:rPr>
                <w:rFonts w:ascii="宋体" w:hAnsi="宋体"/>
                <w:szCs w:val="21"/>
              </w:rPr>
            </w:pPr>
            <w:r>
              <w:rPr>
                <w:rFonts w:hint="eastAsia" w:ascii="宋体" w:hAnsi="宋体"/>
                <w:szCs w:val="21"/>
              </w:rPr>
              <w:t>投标人自2019年1月1日至今具有饮用水处理及自动饮水系统供货业绩：</w:t>
            </w:r>
          </w:p>
          <w:p>
            <w:pPr>
              <w:snapToGrid w:val="0"/>
              <w:spacing w:line="400" w:lineRule="exact"/>
              <w:outlineLvl w:val="2"/>
              <w:rPr>
                <w:rFonts w:ascii="宋体" w:hAnsi="宋体"/>
                <w:szCs w:val="21"/>
              </w:rPr>
            </w:pPr>
            <w:r>
              <w:rPr>
                <w:rFonts w:hint="eastAsia" w:ascii="宋体" w:hAnsi="宋体"/>
                <w:szCs w:val="21"/>
              </w:rPr>
              <w:t>1.合同金额大于或等于100万元的，每提供1个得1分；</w:t>
            </w:r>
          </w:p>
          <w:p>
            <w:pPr>
              <w:snapToGrid w:val="0"/>
              <w:spacing w:line="400" w:lineRule="exact"/>
              <w:outlineLvl w:val="2"/>
              <w:rPr>
                <w:rFonts w:ascii="宋体" w:hAnsi="宋体"/>
                <w:szCs w:val="21"/>
              </w:rPr>
            </w:pPr>
            <w:r>
              <w:rPr>
                <w:rFonts w:hint="eastAsia" w:ascii="宋体" w:hAnsi="宋体"/>
                <w:szCs w:val="21"/>
              </w:rPr>
              <w:t>2.合同金额大于或等于350万元的，每提供1个得2分本项最高得7分</w:t>
            </w:r>
            <w:r>
              <w:rPr>
                <w:rStyle w:val="24"/>
                <w:rFonts w:hint="eastAsia"/>
                <w:kern w:val="0"/>
              </w:rPr>
              <w:t>，投标人满足多个档次的，按最高档得分</w:t>
            </w:r>
            <w:r>
              <w:rPr>
                <w:rFonts w:hint="eastAsia" w:ascii="宋体" w:hAnsi="宋体"/>
                <w:szCs w:val="21"/>
              </w:rPr>
              <w:t xml:space="preserve">。 </w:t>
            </w:r>
          </w:p>
          <w:p>
            <w:pPr>
              <w:snapToGrid w:val="0"/>
              <w:spacing w:line="400" w:lineRule="exact"/>
              <w:outlineLvl w:val="2"/>
              <w:rPr>
                <w:rFonts w:ascii="宋体" w:hAnsi="宋体"/>
                <w:szCs w:val="21"/>
              </w:rPr>
            </w:pPr>
            <w:r>
              <w:rPr>
                <w:rFonts w:hint="eastAsia" w:ascii="宋体" w:hAnsi="宋体"/>
                <w:szCs w:val="21"/>
              </w:rPr>
              <w:t>注：（1）投标人需同时提供①采购合同关键页（至少包括首页、含相关供货</w:t>
            </w:r>
            <w:r>
              <w:rPr>
                <w:rFonts w:hint="eastAsia" w:ascii="宋体" w:hAnsi="宋体"/>
                <w:szCs w:val="21"/>
                <w:lang w:val="en-US" w:eastAsia="zh-CN"/>
              </w:rPr>
              <w:t>清单等</w:t>
            </w:r>
            <w:r>
              <w:rPr>
                <w:rFonts w:hint="eastAsia" w:ascii="宋体" w:hAnsi="宋体"/>
                <w:szCs w:val="21"/>
              </w:rPr>
              <w:t>内容的合同页、</w:t>
            </w:r>
            <w:r>
              <w:rPr>
                <w:rFonts w:hint="eastAsia" w:ascii="宋体" w:hAnsi="宋体"/>
                <w:szCs w:val="21"/>
                <w:lang w:val="en-US" w:eastAsia="zh-CN"/>
              </w:rPr>
              <w:t>使用方和投标人</w:t>
            </w:r>
            <w:r>
              <w:rPr>
                <w:rFonts w:hint="eastAsia" w:ascii="宋体" w:hAnsi="宋体"/>
                <w:szCs w:val="21"/>
              </w:rPr>
              <w:t>签字盖章页、合同签订日期页等）②经建设单位确认的验收报告或验收证明或用户证明等作为业绩证明材料（扫描件加盖投标人电子印章）。</w:t>
            </w:r>
          </w:p>
          <w:p>
            <w:pPr>
              <w:snapToGrid w:val="0"/>
              <w:spacing w:line="400" w:lineRule="exact"/>
              <w:outlineLvl w:val="2"/>
              <w:rPr>
                <w:rFonts w:ascii="宋体" w:hAnsi="宋体"/>
                <w:szCs w:val="21"/>
              </w:rPr>
            </w:pPr>
            <w:r>
              <w:rPr>
                <w:rFonts w:hint="eastAsia" w:ascii="宋体" w:hAnsi="宋体"/>
                <w:szCs w:val="21"/>
              </w:rPr>
              <w:t>（2）上述①或②需体现自动饮水系统符合GB14925-2010《实验动物环境及设施》动物饮水无菌标准要求。</w:t>
            </w:r>
          </w:p>
          <w:p>
            <w:pPr>
              <w:snapToGrid w:val="0"/>
              <w:spacing w:line="400" w:lineRule="exact"/>
              <w:outlineLvl w:val="2"/>
              <w:rPr>
                <w:rFonts w:ascii="宋体" w:hAnsi="宋体"/>
                <w:szCs w:val="21"/>
              </w:rPr>
            </w:pPr>
            <w:r>
              <w:rPr>
                <w:rFonts w:hint="eastAsia" w:ascii="宋体" w:hAnsi="宋体"/>
                <w:szCs w:val="21"/>
              </w:rPr>
              <w:t>（3）金额以采购合同（不含补充合同）中饮用水处理及自动饮水系统的金额为准。业绩时间以采购合同的签订时间为准。如采购合同不能体现单项供货业绩，需提供饮用水处理及自动饮水系统在合同内的金额。注：饮用水处理及自动饮水系统包含且仅包含自动饮水系统制水设备、管道系统、减压站系统、饮水阀系统及直接与之关联的设备。</w:t>
            </w:r>
          </w:p>
          <w:p>
            <w:pPr>
              <w:snapToGrid w:val="0"/>
              <w:spacing w:line="400" w:lineRule="exact"/>
              <w:outlineLvl w:val="2"/>
              <w:rPr>
                <w:rFonts w:ascii="宋体" w:hAnsi="宋体"/>
                <w:szCs w:val="21"/>
              </w:rPr>
            </w:pPr>
            <w:r>
              <w:rPr>
                <w:rFonts w:hint="eastAsia" w:ascii="宋体" w:hAnsi="宋体"/>
                <w:szCs w:val="21"/>
              </w:rPr>
              <w:t>（4）如不能体现上述指标的，可提供该业绩甲方加盖公章的证明资料扫描件并加盖投标人电子印章，否则视为无效证明材料。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jc w:val="center"/>
              <w:outlineLvl w:val="2"/>
              <w:rPr>
                <w:rFonts w:ascii="宋体" w:hAnsi="宋体"/>
                <w:szCs w:val="21"/>
              </w:rPr>
            </w:pPr>
          </w:p>
        </w:tc>
        <w:tc>
          <w:tcPr>
            <w:tcW w:w="1804" w:type="dxa"/>
            <w:tcBorders>
              <w:tl2br w:val="nil"/>
              <w:tr2bl w:val="nil"/>
            </w:tcBorders>
            <w:noWrap/>
            <w:vAlign w:val="center"/>
          </w:tcPr>
          <w:p>
            <w:pPr>
              <w:pStyle w:val="26"/>
              <w:spacing w:line="400" w:lineRule="exact"/>
              <w:ind w:left="63" w:right="50"/>
              <w:jc w:val="center"/>
              <w:rPr>
                <w:rFonts w:ascii="宋体" w:hAnsi="宋体"/>
                <w:sz w:val="21"/>
                <w:szCs w:val="21"/>
              </w:rPr>
            </w:pPr>
            <w:r>
              <w:rPr>
                <w:rFonts w:hint="eastAsia" w:ascii="宋体" w:hAnsi="宋体" w:cs="宋体"/>
                <w:sz w:val="21"/>
                <w:szCs w:val="21"/>
              </w:rPr>
              <w:t>第三方评价（1.5分）</w:t>
            </w:r>
          </w:p>
        </w:tc>
        <w:tc>
          <w:tcPr>
            <w:tcW w:w="5352" w:type="dxa"/>
            <w:tcBorders>
              <w:tl2br w:val="nil"/>
              <w:tr2bl w:val="nil"/>
            </w:tcBorders>
            <w:noWrap/>
            <w:vAlign w:val="center"/>
          </w:tcPr>
          <w:p>
            <w:pPr>
              <w:snapToGrid w:val="0"/>
              <w:spacing w:line="400" w:lineRule="exact"/>
              <w:outlineLvl w:val="2"/>
              <w:rPr>
                <w:rFonts w:ascii="宋体" w:hAnsi="宋体"/>
                <w:szCs w:val="21"/>
              </w:rPr>
            </w:pPr>
            <w:r>
              <w:rPr>
                <w:rFonts w:hint="eastAsia" w:ascii="宋体" w:hAnsi="宋体"/>
                <w:szCs w:val="21"/>
              </w:rPr>
              <w:t>投标人至今（须含2023年度）获得“A级纳税人”称号情况：</w:t>
            </w:r>
          </w:p>
          <w:p>
            <w:pPr>
              <w:snapToGrid w:val="0"/>
              <w:spacing w:line="400" w:lineRule="exact"/>
              <w:outlineLvl w:val="2"/>
              <w:rPr>
                <w:rFonts w:ascii="宋体" w:hAnsi="宋体"/>
                <w:szCs w:val="21"/>
              </w:rPr>
            </w:pPr>
            <w:r>
              <w:rPr>
                <w:rFonts w:hint="eastAsia" w:ascii="宋体" w:hAnsi="宋体"/>
                <w:szCs w:val="21"/>
              </w:rPr>
              <w:t>（1）获得5次或以上“A级纳税人”称号的，得1.5分；</w:t>
            </w:r>
          </w:p>
          <w:p>
            <w:pPr>
              <w:snapToGrid w:val="0"/>
              <w:spacing w:line="400" w:lineRule="exact"/>
              <w:outlineLvl w:val="2"/>
              <w:rPr>
                <w:rFonts w:ascii="宋体" w:hAnsi="宋体"/>
                <w:szCs w:val="21"/>
              </w:rPr>
            </w:pPr>
            <w:r>
              <w:rPr>
                <w:rFonts w:hint="eastAsia" w:ascii="宋体" w:hAnsi="宋体"/>
                <w:szCs w:val="21"/>
              </w:rPr>
              <w:t>（2）获得3-4次“A级纳税人”称号的，得1分；</w:t>
            </w:r>
          </w:p>
          <w:p>
            <w:pPr>
              <w:snapToGrid w:val="0"/>
              <w:spacing w:line="400" w:lineRule="exact"/>
              <w:outlineLvl w:val="2"/>
              <w:rPr>
                <w:rFonts w:ascii="宋体" w:hAnsi="宋体"/>
                <w:szCs w:val="21"/>
              </w:rPr>
            </w:pPr>
            <w:r>
              <w:rPr>
                <w:rFonts w:hint="eastAsia" w:ascii="宋体" w:hAnsi="宋体"/>
                <w:szCs w:val="21"/>
              </w:rPr>
              <w:t>（3）获得1-2次“A级纳税人”称号的，得0.5分；</w:t>
            </w:r>
          </w:p>
          <w:p>
            <w:pPr>
              <w:snapToGrid w:val="0"/>
              <w:spacing w:line="400" w:lineRule="exact"/>
              <w:outlineLvl w:val="2"/>
              <w:rPr>
                <w:rFonts w:ascii="宋体" w:hAnsi="宋体"/>
                <w:szCs w:val="21"/>
              </w:rPr>
            </w:pPr>
            <w:r>
              <w:rPr>
                <w:rFonts w:hint="eastAsia" w:ascii="宋体" w:hAnsi="宋体"/>
                <w:szCs w:val="21"/>
              </w:rPr>
              <w:t>未获得过的或不满足上述要求的不得分。</w:t>
            </w:r>
          </w:p>
          <w:p>
            <w:pPr>
              <w:snapToGrid w:val="0"/>
              <w:spacing w:line="400" w:lineRule="exact"/>
              <w:outlineLvl w:val="2"/>
              <w:rPr>
                <w:rFonts w:ascii="宋体" w:hAnsi="宋体"/>
                <w:szCs w:val="21"/>
              </w:rPr>
            </w:pPr>
            <w:r>
              <w:rPr>
                <w:rFonts w:hint="eastAsia" w:ascii="宋体" w:hAnsi="宋体"/>
                <w:szCs w:val="21"/>
              </w:rPr>
              <w:t>注：（1）“纳税信用A级”证书须</w:t>
            </w:r>
            <w:r>
              <w:rPr>
                <w:rFonts w:hint="eastAsia" w:ascii="宋体" w:hAnsi="宋体"/>
                <w:szCs w:val="21"/>
                <w:highlight w:val="none"/>
              </w:rPr>
              <w:t>包含202</w:t>
            </w:r>
            <w:r>
              <w:rPr>
                <w:rFonts w:hint="eastAsia" w:ascii="宋体" w:hAnsi="宋体"/>
                <w:szCs w:val="21"/>
                <w:highlight w:val="none"/>
                <w:lang w:eastAsia="zh-CN"/>
              </w:rPr>
              <w:t>3</w:t>
            </w:r>
            <w:r>
              <w:rPr>
                <w:rFonts w:hint="eastAsia" w:ascii="宋体" w:hAnsi="宋体"/>
                <w:szCs w:val="21"/>
                <w:highlight w:val="none"/>
              </w:rPr>
              <w:t>年度，只计算投标人自身（不含投标人的子公司或分公</w:t>
            </w:r>
            <w:r>
              <w:rPr>
                <w:rFonts w:hint="eastAsia" w:ascii="宋体" w:hAnsi="宋体"/>
                <w:szCs w:val="21"/>
              </w:rPr>
              <w:t>司）。投标人须提供税务部门颁发的“纳税信用A级”证书扫描件或提供省级或以上税务局网站查询结果网页截图加盖投标人电子印章；评定时间以前述证明资料上注明的评价（评定）年度为准。不符合条件或无提交上述证明材料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jc w:val="center"/>
              <w:outlineLvl w:val="2"/>
              <w:rPr>
                <w:rFonts w:ascii="宋体" w:hAnsi="宋体"/>
                <w:szCs w:val="21"/>
              </w:rPr>
            </w:pPr>
          </w:p>
        </w:tc>
        <w:tc>
          <w:tcPr>
            <w:tcW w:w="1804" w:type="dxa"/>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体系认证</w:t>
            </w:r>
          </w:p>
          <w:p>
            <w:pPr>
              <w:snapToGrid w:val="0"/>
              <w:spacing w:line="400" w:lineRule="exact"/>
              <w:jc w:val="center"/>
              <w:outlineLvl w:val="2"/>
              <w:rPr>
                <w:rFonts w:ascii="宋体" w:hAnsi="宋体"/>
                <w:szCs w:val="21"/>
              </w:rPr>
            </w:pPr>
            <w:r>
              <w:rPr>
                <w:rFonts w:hint="eastAsia" w:ascii="宋体" w:hAnsi="宋体"/>
                <w:szCs w:val="21"/>
              </w:rPr>
              <w:t>（1.5分）</w:t>
            </w:r>
          </w:p>
        </w:tc>
        <w:tc>
          <w:tcPr>
            <w:tcW w:w="5352" w:type="dxa"/>
            <w:tcBorders>
              <w:tl2br w:val="nil"/>
              <w:tr2bl w:val="nil"/>
            </w:tcBorders>
            <w:noWrap/>
            <w:vAlign w:val="center"/>
          </w:tcPr>
          <w:p>
            <w:pPr>
              <w:snapToGrid w:val="0"/>
              <w:spacing w:line="400" w:lineRule="exact"/>
              <w:outlineLvl w:val="2"/>
              <w:rPr>
                <w:rFonts w:ascii="宋体" w:hAnsi="宋体"/>
                <w:szCs w:val="21"/>
              </w:rPr>
            </w:pPr>
            <w:r>
              <w:rPr>
                <w:rFonts w:hint="eastAsia" w:ascii="宋体" w:hAnsi="宋体"/>
                <w:szCs w:val="21"/>
              </w:rPr>
              <w:t>投标人具有有效的质量管理体系认证、环境管理体系认证、职业健康安全管理体系认证，每提供一份得0.5分。不满足不得分。</w:t>
            </w:r>
          </w:p>
          <w:p>
            <w:pPr>
              <w:snapToGrid w:val="0"/>
              <w:spacing w:line="400" w:lineRule="exact"/>
              <w:outlineLvl w:val="2"/>
              <w:rPr>
                <w:rFonts w:ascii="宋体" w:hAnsi="宋体"/>
                <w:szCs w:val="21"/>
              </w:rPr>
            </w:pPr>
            <w:r>
              <w:rPr>
                <w:rFonts w:hint="eastAsia" w:ascii="宋体" w:hAnsi="宋体"/>
                <w:szCs w:val="21"/>
              </w:rPr>
              <w:t>注：</w:t>
            </w:r>
            <w:r>
              <w:rPr>
                <w:rFonts w:hint="eastAsia" w:ascii="宋体" w:hAnsi="宋体" w:cs="宋体"/>
                <w:bCs/>
                <w:szCs w:val="21"/>
              </w:rPr>
              <w:t>①</w:t>
            </w:r>
            <w:r>
              <w:rPr>
                <w:rFonts w:hint="eastAsia" w:ascii="宋体" w:hAnsi="宋体" w:cs="宋体"/>
                <w:szCs w:val="21"/>
              </w:rPr>
              <w:t>需提供管理证书扫描件</w:t>
            </w:r>
            <w:r>
              <w:rPr>
                <w:rFonts w:hint="eastAsia" w:ascii="宋体" w:hAnsi="宋体" w:cs="宋体"/>
                <w:bCs/>
                <w:szCs w:val="21"/>
              </w:rPr>
              <w:t>；②需提供</w:t>
            </w:r>
            <w:r>
              <w:rPr>
                <w:rFonts w:hint="eastAsia" w:ascii="宋体" w:hAnsi="宋体" w:cs="宋体"/>
                <w:szCs w:val="21"/>
              </w:rPr>
              <w:t>管理体系证书在全国认证认可信息公共服务平台（网址：http://cx.cnca.cn/CertECloud/index/index/page）上的查询信息网页截图。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restart"/>
            <w:tcBorders>
              <w:tl2br w:val="nil"/>
              <w:tr2bl w:val="nil"/>
            </w:tcBorders>
            <w:noWrap/>
            <w:vAlign w:val="center"/>
          </w:tcPr>
          <w:p>
            <w:pPr>
              <w:snapToGrid w:val="0"/>
              <w:spacing w:line="360" w:lineRule="auto"/>
              <w:outlineLvl w:val="2"/>
              <w:rPr>
                <w:rFonts w:ascii="宋体" w:hAnsi="宋体"/>
              </w:rPr>
            </w:pPr>
            <w:r>
              <w:rPr>
                <w:rFonts w:hint="eastAsia" w:ascii="宋体" w:hAnsi="宋体"/>
              </w:rPr>
              <w:t>2.2.4（2）</w:t>
            </w:r>
          </w:p>
        </w:tc>
        <w:tc>
          <w:tcPr>
            <w:tcW w:w="1124" w:type="dxa"/>
            <w:vMerge w:val="restart"/>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技术评分标准</w:t>
            </w:r>
          </w:p>
          <w:p>
            <w:pPr>
              <w:snapToGrid w:val="0"/>
              <w:spacing w:line="400" w:lineRule="exact"/>
              <w:jc w:val="center"/>
              <w:outlineLvl w:val="2"/>
              <w:rPr>
                <w:rFonts w:ascii="宋体" w:hAnsi="宋体"/>
                <w:szCs w:val="21"/>
              </w:rPr>
            </w:pPr>
            <w:r>
              <w:rPr>
                <w:rFonts w:hint="eastAsia" w:ascii="宋体" w:hAnsi="宋体"/>
                <w:szCs w:val="21"/>
              </w:rPr>
              <w:t>（40分）</w:t>
            </w:r>
          </w:p>
        </w:tc>
        <w:tc>
          <w:tcPr>
            <w:tcW w:w="1804" w:type="dxa"/>
            <w:vMerge w:val="restart"/>
            <w:tcBorders>
              <w:tl2br w:val="nil"/>
              <w:tr2bl w:val="nil"/>
            </w:tcBorders>
            <w:noWrap/>
            <w:vAlign w:val="center"/>
          </w:tcPr>
          <w:p>
            <w:pPr>
              <w:spacing w:line="400" w:lineRule="exact"/>
              <w:jc w:val="center"/>
              <w:rPr>
                <w:rFonts w:ascii="宋体" w:hAnsi="宋体"/>
                <w:szCs w:val="21"/>
              </w:rPr>
            </w:pPr>
            <w:r>
              <w:rPr>
                <w:rFonts w:hint="eastAsia"/>
                <w:szCs w:val="21"/>
              </w:rPr>
              <w:t>对招标文件的技术响应（15分）</w:t>
            </w:r>
          </w:p>
        </w:tc>
        <w:tc>
          <w:tcPr>
            <w:tcW w:w="5352" w:type="dxa"/>
            <w:tcBorders>
              <w:tl2br w:val="nil"/>
              <w:tr2bl w:val="nil"/>
            </w:tcBorders>
            <w:noWrap/>
            <w:vAlign w:val="center"/>
          </w:tcPr>
          <w:p>
            <w:pPr>
              <w:pStyle w:val="16"/>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根据投标文件“4.1商务和技术偏差表”中 “▲”条款的响应情况进行评价：</w:t>
            </w:r>
          </w:p>
          <w:p>
            <w:pPr>
              <w:pStyle w:val="16"/>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1、完全响应招标文件的技术要求，没有技术偏离，有优于招标文件要求的技术指标，得10分；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2、完全响应招标文件的技术要求，技术负偏离条数≤3条的，得6分；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3、响应招标文件的技术要求，3条＜技术负偏离条数≤5条的，得3分。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4、部分或全部不响应招标文件技术要求，技术负偏离条数＞5条的，得0分。</w:t>
            </w:r>
          </w:p>
          <w:p>
            <w:pPr>
              <w:pStyle w:val="16"/>
              <w:widowControl/>
              <w:spacing w:beforeAutospacing="1" w:afterAutospacing="1"/>
              <w:rPr>
                <w:rFonts w:hint="eastAsia" w:ascii="宋体" w:hAnsi="宋体"/>
                <w:sz w:val="21"/>
                <w:szCs w:val="21"/>
              </w:rPr>
            </w:pPr>
            <w:r>
              <w:rPr>
                <w:rFonts w:hint="eastAsia" w:ascii="宋体" w:hAnsi="宋体"/>
                <w:sz w:val="21"/>
                <w:szCs w:val="21"/>
              </w:rPr>
              <w:t>注：《技术需求书》中凡是标有序号的一般条款均以一项单独的条款计算，无论是否隶属于上一级编号。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0"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jc w:val="center"/>
              <w:outlineLvl w:val="2"/>
              <w:rPr>
                <w:rFonts w:ascii="宋体" w:hAnsi="宋体"/>
                <w:szCs w:val="21"/>
              </w:rPr>
            </w:pPr>
          </w:p>
        </w:tc>
        <w:tc>
          <w:tcPr>
            <w:tcW w:w="1804" w:type="dxa"/>
            <w:vMerge w:val="continue"/>
            <w:tcBorders>
              <w:tl2br w:val="nil"/>
              <w:tr2bl w:val="nil"/>
            </w:tcBorders>
            <w:noWrap/>
            <w:vAlign w:val="center"/>
          </w:tcPr>
          <w:p>
            <w:pPr>
              <w:spacing w:line="400" w:lineRule="exact"/>
              <w:jc w:val="center"/>
              <w:rPr>
                <w:szCs w:val="21"/>
              </w:rPr>
            </w:pPr>
          </w:p>
        </w:tc>
        <w:tc>
          <w:tcPr>
            <w:tcW w:w="5352" w:type="dxa"/>
            <w:tcBorders>
              <w:tl2br w:val="nil"/>
              <w:tr2bl w:val="nil"/>
            </w:tcBorders>
            <w:noWrap/>
            <w:vAlign w:val="center"/>
          </w:tcPr>
          <w:p>
            <w:pPr>
              <w:pStyle w:val="16"/>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根据投标文件“4.2商务和技术偏差表”中 非“▲”条款的响应情况进行评价：</w:t>
            </w:r>
          </w:p>
          <w:p>
            <w:pPr>
              <w:pStyle w:val="16"/>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1、完全响应招标文件的技术要求，没有技术偏离，有优于招标文件要求的技术指标，得5分；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2、部分响应招标文件的技术要求，技术负偏离条数≤5条的，得3分；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3、部分响应招标文件的技术要求，5条＜技术负偏离条数≤10条的，得1分。</w:t>
            </w:r>
          </w:p>
          <w:p>
            <w:pPr>
              <w:pStyle w:val="16"/>
              <w:widowControl/>
              <w:spacing w:beforeAutospacing="0" w:afterAutospacing="0"/>
              <w:rPr>
                <w:rFonts w:ascii="宋体" w:hAnsi="宋体" w:cs="宋体"/>
                <w:color w:val="000000"/>
                <w:sz w:val="21"/>
                <w:szCs w:val="21"/>
              </w:rPr>
            </w:pPr>
            <w:r>
              <w:rPr>
                <w:rFonts w:hint="eastAsia" w:ascii="宋体" w:hAnsi="宋体" w:cs="宋体"/>
                <w:color w:val="000000"/>
                <w:sz w:val="21"/>
                <w:szCs w:val="21"/>
              </w:rPr>
              <w:t>4、部分或全部不响应招标文件技术要求，技术负偏离条数＞10条的，得0分。</w:t>
            </w:r>
          </w:p>
          <w:p>
            <w:pPr>
              <w:pStyle w:val="16"/>
              <w:widowControl/>
              <w:spacing w:beforeAutospacing="0" w:afterAutospacing="0"/>
              <w:rPr>
                <w:rFonts w:hint="eastAsia" w:ascii="宋体" w:hAnsi="宋体" w:cs="宋体"/>
                <w:color w:val="000000"/>
                <w:sz w:val="21"/>
                <w:szCs w:val="21"/>
              </w:rPr>
            </w:pPr>
          </w:p>
          <w:p>
            <w:pPr>
              <w:pStyle w:val="16"/>
              <w:widowControl/>
              <w:spacing w:beforeAutospacing="0" w:afterAutospacing="0"/>
              <w:rPr>
                <w:rFonts w:hint="eastAsia" w:ascii="宋体" w:hAnsi="宋体" w:cs="宋体"/>
                <w:color w:val="000000"/>
                <w:sz w:val="21"/>
                <w:szCs w:val="21"/>
              </w:rPr>
            </w:pPr>
            <w:r>
              <w:rPr>
                <w:rFonts w:hint="eastAsia" w:ascii="宋体" w:hAnsi="宋体" w:cs="宋体"/>
                <w:color w:val="000000"/>
                <w:sz w:val="21"/>
                <w:szCs w:val="21"/>
              </w:rPr>
              <w:t>注：《技术需求书》中凡是标有序号的一般条款均以一项单独的条款计算，无论是否隶属于上一级编号。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0"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jc w:val="center"/>
              <w:outlineLvl w:val="2"/>
              <w:rPr>
                <w:rFonts w:ascii="宋体" w:hAnsi="宋体"/>
                <w:szCs w:val="21"/>
              </w:rPr>
            </w:pPr>
          </w:p>
        </w:tc>
        <w:tc>
          <w:tcPr>
            <w:tcW w:w="1804" w:type="dxa"/>
            <w:tcBorders>
              <w:tl2br w:val="nil"/>
              <w:tr2bl w:val="nil"/>
            </w:tcBorders>
            <w:noWrap/>
            <w:vAlign w:val="center"/>
          </w:tcPr>
          <w:p>
            <w:pPr>
              <w:spacing w:line="400" w:lineRule="exact"/>
              <w:jc w:val="center"/>
              <w:rPr>
                <w:szCs w:val="21"/>
              </w:rPr>
            </w:pPr>
            <w:r>
              <w:rPr>
                <w:rFonts w:hint="eastAsia"/>
                <w:szCs w:val="21"/>
              </w:rPr>
              <w:t>设备供应</w:t>
            </w:r>
          </w:p>
          <w:p>
            <w:pPr>
              <w:spacing w:line="400" w:lineRule="exact"/>
              <w:jc w:val="center"/>
              <w:rPr>
                <w:rFonts w:ascii="宋体" w:hAnsi="宋体"/>
                <w:szCs w:val="21"/>
              </w:rPr>
            </w:pPr>
            <w:r>
              <w:rPr>
                <w:rFonts w:hint="eastAsia"/>
                <w:szCs w:val="21"/>
              </w:rPr>
              <w:t>（5分）</w:t>
            </w:r>
          </w:p>
        </w:tc>
        <w:tc>
          <w:tcPr>
            <w:tcW w:w="5352" w:type="dxa"/>
            <w:tcBorders>
              <w:tl2br w:val="nil"/>
              <w:tr2bl w:val="nil"/>
            </w:tcBorders>
            <w:noWrap/>
            <w:vAlign w:val="center"/>
          </w:tcPr>
          <w:p>
            <w:pPr>
              <w:spacing w:line="400" w:lineRule="exact"/>
              <w:rPr>
                <w:szCs w:val="21"/>
              </w:rPr>
            </w:pPr>
            <w:r>
              <w:rPr>
                <w:rFonts w:hint="eastAsia"/>
                <w:szCs w:val="21"/>
              </w:rPr>
              <w:t>根据投标人提供的设备供应计划方案、供应保证措施方案进行综合评定。</w:t>
            </w:r>
          </w:p>
          <w:p>
            <w:pPr>
              <w:spacing w:line="400" w:lineRule="exact"/>
              <w:rPr>
                <w:szCs w:val="21"/>
              </w:rPr>
            </w:pPr>
            <w:r>
              <w:rPr>
                <w:rFonts w:hint="eastAsia"/>
                <w:szCs w:val="21"/>
              </w:rPr>
              <w:t>1、能够按照业主要求的工期计划完成设备供货，措施可行合理的得5分；</w:t>
            </w:r>
          </w:p>
          <w:p>
            <w:pPr>
              <w:spacing w:line="400" w:lineRule="exact"/>
              <w:rPr>
                <w:szCs w:val="21"/>
              </w:rPr>
            </w:pPr>
            <w:r>
              <w:rPr>
                <w:rFonts w:hint="eastAsia"/>
                <w:szCs w:val="21"/>
              </w:rPr>
              <w:t>2、较全面、有可行度的得3分；</w:t>
            </w:r>
          </w:p>
          <w:p>
            <w:pPr>
              <w:spacing w:line="400" w:lineRule="exact"/>
              <w:rPr>
                <w:szCs w:val="21"/>
              </w:rPr>
            </w:pPr>
            <w:r>
              <w:rPr>
                <w:rFonts w:hint="eastAsia"/>
                <w:szCs w:val="21"/>
              </w:rPr>
              <w:t>3、一般的得1分；</w:t>
            </w:r>
          </w:p>
          <w:p>
            <w:pPr>
              <w:spacing w:line="400" w:lineRule="exact"/>
              <w:rPr>
                <w:rFonts w:ascii="宋体" w:hAnsi="宋体"/>
                <w:szCs w:val="21"/>
              </w:rPr>
            </w:pPr>
            <w:r>
              <w:rPr>
                <w:rFonts w:hint="eastAsia"/>
                <w:szCs w:val="21"/>
                <w:lang w:val="en-US" w:eastAsia="zh-CN"/>
              </w:rPr>
              <w:t>4、</w:t>
            </w:r>
            <w:r>
              <w:rPr>
                <w:rFonts w:hint="eastAsia"/>
                <w:szCs w:val="21"/>
              </w:rPr>
              <w:t>未提供的得0分。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outlineLvl w:val="2"/>
              <w:rPr>
                <w:rFonts w:ascii="宋体" w:hAnsi="宋体"/>
                <w:szCs w:val="21"/>
              </w:rPr>
            </w:pPr>
          </w:p>
        </w:tc>
        <w:tc>
          <w:tcPr>
            <w:tcW w:w="1804" w:type="dxa"/>
            <w:tcBorders>
              <w:tl2br w:val="nil"/>
              <w:tr2bl w:val="nil"/>
            </w:tcBorders>
            <w:noWrap/>
            <w:vAlign w:val="center"/>
          </w:tcPr>
          <w:p>
            <w:pPr>
              <w:spacing w:line="400" w:lineRule="exact"/>
              <w:jc w:val="center"/>
              <w:rPr>
                <w:szCs w:val="21"/>
              </w:rPr>
            </w:pPr>
            <w:r>
              <w:rPr>
                <w:rFonts w:hint="eastAsia"/>
                <w:szCs w:val="21"/>
              </w:rPr>
              <w:t>安装调试及</w:t>
            </w:r>
          </w:p>
          <w:p>
            <w:pPr>
              <w:spacing w:line="400" w:lineRule="exact"/>
              <w:jc w:val="center"/>
              <w:rPr>
                <w:szCs w:val="21"/>
              </w:rPr>
            </w:pPr>
            <w:r>
              <w:rPr>
                <w:rFonts w:hint="eastAsia"/>
                <w:szCs w:val="21"/>
              </w:rPr>
              <w:t>试运行方案</w:t>
            </w:r>
          </w:p>
          <w:p>
            <w:pPr>
              <w:spacing w:line="400" w:lineRule="exact"/>
              <w:jc w:val="center"/>
              <w:rPr>
                <w:szCs w:val="21"/>
              </w:rPr>
            </w:pPr>
            <w:r>
              <w:rPr>
                <w:rFonts w:hint="eastAsia"/>
                <w:szCs w:val="21"/>
              </w:rPr>
              <w:t>（5分）</w:t>
            </w:r>
          </w:p>
        </w:tc>
        <w:tc>
          <w:tcPr>
            <w:tcW w:w="5352" w:type="dxa"/>
            <w:tcBorders>
              <w:tl2br w:val="nil"/>
              <w:tr2bl w:val="nil"/>
            </w:tcBorders>
            <w:noWrap/>
            <w:vAlign w:val="center"/>
          </w:tcPr>
          <w:p>
            <w:pPr>
              <w:spacing w:line="400" w:lineRule="exact"/>
              <w:rPr>
                <w:szCs w:val="21"/>
              </w:rPr>
            </w:pPr>
            <w:r>
              <w:rPr>
                <w:rFonts w:hint="eastAsia"/>
                <w:szCs w:val="21"/>
              </w:rPr>
              <w:t>根据投标人提供的安装调试及试运行总体方案、进度计划及保证措施、安装、调试及试运行人员配备进行综合评定。</w:t>
            </w:r>
          </w:p>
          <w:p>
            <w:pPr>
              <w:spacing w:line="400" w:lineRule="exact"/>
              <w:rPr>
                <w:szCs w:val="21"/>
              </w:rPr>
            </w:pPr>
            <w:r>
              <w:rPr>
                <w:rFonts w:hint="eastAsia"/>
                <w:szCs w:val="21"/>
              </w:rPr>
              <w:t>1、全面、合理、可行得5分；</w:t>
            </w:r>
          </w:p>
          <w:p>
            <w:pPr>
              <w:spacing w:line="400" w:lineRule="exact"/>
              <w:rPr>
                <w:szCs w:val="21"/>
              </w:rPr>
            </w:pPr>
            <w:r>
              <w:rPr>
                <w:rFonts w:hint="eastAsia"/>
                <w:szCs w:val="21"/>
              </w:rPr>
              <w:t>2、较全面、较合理、较可行得3分；</w:t>
            </w:r>
          </w:p>
          <w:p>
            <w:pPr>
              <w:spacing w:line="400" w:lineRule="exact"/>
              <w:rPr>
                <w:szCs w:val="21"/>
              </w:rPr>
            </w:pPr>
            <w:r>
              <w:rPr>
                <w:rFonts w:hint="eastAsia"/>
                <w:szCs w:val="21"/>
              </w:rPr>
              <w:t>3、一般的得1分；</w:t>
            </w:r>
          </w:p>
          <w:p>
            <w:pPr>
              <w:spacing w:line="400" w:lineRule="exact"/>
              <w:rPr>
                <w:szCs w:val="21"/>
              </w:rPr>
            </w:pPr>
            <w:r>
              <w:rPr>
                <w:rFonts w:hint="eastAsia"/>
                <w:szCs w:val="21"/>
                <w:lang w:val="en-US" w:eastAsia="zh-CN"/>
              </w:rPr>
              <w:t>4、</w:t>
            </w:r>
            <w:r>
              <w:rPr>
                <w:rFonts w:hint="eastAsia"/>
                <w:szCs w:val="21"/>
              </w:rPr>
              <w:t>未提供得0分。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900" w:type="dxa"/>
            <w:vMerge w:val="continue"/>
            <w:tcBorders>
              <w:tl2br w:val="nil"/>
              <w:tr2bl w:val="nil"/>
            </w:tcBorders>
            <w:noWrap/>
            <w:vAlign w:val="center"/>
          </w:tcPr>
          <w:p>
            <w:pPr>
              <w:snapToGrid w:val="0"/>
              <w:spacing w:line="360" w:lineRule="auto"/>
              <w:outlineLvl w:val="2"/>
              <w:rPr>
                <w:rFonts w:ascii="宋体" w:hAnsi="宋体"/>
              </w:rPr>
            </w:pPr>
          </w:p>
        </w:tc>
        <w:tc>
          <w:tcPr>
            <w:tcW w:w="1124" w:type="dxa"/>
            <w:vMerge w:val="continue"/>
            <w:tcBorders>
              <w:tl2br w:val="nil"/>
              <w:tr2bl w:val="nil"/>
            </w:tcBorders>
            <w:noWrap/>
            <w:vAlign w:val="center"/>
          </w:tcPr>
          <w:p>
            <w:pPr>
              <w:snapToGrid w:val="0"/>
              <w:spacing w:line="400" w:lineRule="exact"/>
              <w:outlineLvl w:val="2"/>
              <w:rPr>
                <w:rFonts w:ascii="宋体" w:hAnsi="宋体"/>
                <w:szCs w:val="21"/>
              </w:rPr>
            </w:pPr>
          </w:p>
        </w:tc>
        <w:tc>
          <w:tcPr>
            <w:tcW w:w="1804" w:type="dxa"/>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技术服务支持及</w:t>
            </w:r>
          </w:p>
          <w:p>
            <w:pPr>
              <w:snapToGrid w:val="0"/>
              <w:spacing w:line="400" w:lineRule="exact"/>
              <w:jc w:val="center"/>
              <w:outlineLvl w:val="2"/>
              <w:rPr>
                <w:rFonts w:ascii="宋体" w:hAnsi="宋体"/>
                <w:szCs w:val="21"/>
              </w:rPr>
            </w:pPr>
            <w:r>
              <w:rPr>
                <w:rFonts w:hint="eastAsia" w:ascii="宋体" w:hAnsi="宋体"/>
                <w:szCs w:val="21"/>
              </w:rPr>
              <w:t>售后服务承诺</w:t>
            </w:r>
          </w:p>
          <w:p>
            <w:pPr>
              <w:snapToGrid w:val="0"/>
              <w:spacing w:line="400" w:lineRule="exact"/>
              <w:jc w:val="center"/>
              <w:outlineLvl w:val="2"/>
              <w:rPr>
                <w:szCs w:val="21"/>
              </w:rPr>
            </w:pPr>
            <w:r>
              <w:rPr>
                <w:rFonts w:hint="eastAsia" w:ascii="宋体" w:hAnsi="宋体"/>
                <w:szCs w:val="21"/>
              </w:rPr>
              <w:t>（5分）</w:t>
            </w:r>
          </w:p>
        </w:tc>
        <w:tc>
          <w:tcPr>
            <w:tcW w:w="5352" w:type="dxa"/>
            <w:tcBorders>
              <w:tl2br w:val="nil"/>
              <w:tr2bl w:val="nil"/>
            </w:tcBorders>
            <w:noWrap/>
          </w:tcPr>
          <w:p>
            <w:pPr>
              <w:spacing w:line="400" w:lineRule="exact"/>
              <w:rPr>
                <w:szCs w:val="21"/>
              </w:rPr>
            </w:pPr>
            <w:r>
              <w:rPr>
                <w:rFonts w:hint="eastAsia" w:ascii="宋体" w:hAnsi="宋体"/>
                <w:szCs w:val="21"/>
              </w:rPr>
              <w:t>根</w:t>
            </w:r>
            <w:r>
              <w:rPr>
                <w:rFonts w:hint="eastAsia"/>
                <w:szCs w:val="21"/>
              </w:rPr>
              <w:t>据投标人提供的技术服务支持、技术培训方案及售后服务承诺进行综合评定。</w:t>
            </w:r>
          </w:p>
          <w:p>
            <w:pPr>
              <w:spacing w:line="400" w:lineRule="exact"/>
              <w:rPr>
                <w:szCs w:val="21"/>
              </w:rPr>
            </w:pPr>
            <w:r>
              <w:rPr>
                <w:rFonts w:hint="eastAsia"/>
                <w:szCs w:val="21"/>
              </w:rPr>
              <w:t>1、全面、合理、可行得5分；</w:t>
            </w:r>
          </w:p>
          <w:p>
            <w:pPr>
              <w:spacing w:line="400" w:lineRule="exact"/>
              <w:rPr>
                <w:szCs w:val="21"/>
              </w:rPr>
            </w:pPr>
            <w:r>
              <w:rPr>
                <w:rFonts w:hint="eastAsia"/>
                <w:szCs w:val="21"/>
              </w:rPr>
              <w:t>2、较全面、较合理、较可行得3分；</w:t>
            </w:r>
          </w:p>
          <w:p>
            <w:pPr>
              <w:spacing w:line="400" w:lineRule="exact"/>
              <w:rPr>
                <w:szCs w:val="21"/>
              </w:rPr>
            </w:pPr>
            <w:r>
              <w:rPr>
                <w:rFonts w:hint="eastAsia"/>
                <w:szCs w:val="21"/>
              </w:rPr>
              <w:t>3、一般的得1分；</w:t>
            </w:r>
          </w:p>
          <w:p>
            <w:pPr>
              <w:spacing w:line="400" w:lineRule="exact"/>
              <w:rPr>
                <w:szCs w:val="21"/>
              </w:rPr>
            </w:pPr>
            <w:r>
              <w:rPr>
                <w:rFonts w:hint="eastAsia"/>
                <w:szCs w:val="21"/>
                <w:lang w:val="en-US" w:eastAsia="zh-CN"/>
              </w:rPr>
              <w:t>4、</w:t>
            </w:r>
            <w:r>
              <w:rPr>
                <w:rFonts w:hint="eastAsia"/>
                <w:szCs w:val="21"/>
              </w:rPr>
              <w:t>未提供得0分。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900" w:type="dxa"/>
            <w:vMerge w:val="continue"/>
            <w:tcBorders>
              <w:tl2br w:val="nil"/>
              <w:tr2bl w:val="nil"/>
            </w:tcBorders>
            <w:noWrap/>
          </w:tcPr>
          <w:p>
            <w:pPr>
              <w:snapToGrid w:val="0"/>
              <w:spacing w:line="360" w:lineRule="auto"/>
              <w:outlineLvl w:val="2"/>
              <w:rPr>
                <w:rFonts w:ascii="宋体" w:hAnsi="宋体"/>
              </w:rPr>
            </w:pPr>
          </w:p>
        </w:tc>
        <w:tc>
          <w:tcPr>
            <w:tcW w:w="1124" w:type="dxa"/>
            <w:vMerge w:val="continue"/>
            <w:tcBorders>
              <w:tl2br w:val="nil"/>
              <w:tr2bl w:val="nil"/>
            </w:tcBorders>
            <w:noWrap/>
          </w:tcPr>
          <w:p>
            <w:pPr>
              <w:snapToGrid w:val="0"/>
              <w:spacing w:line="400" w:lineRule="exact"/>
              <w:outlineLvl w:val="2"/>
              <w:rPr>
                <w:rFonts w:ascii="宋体" w:hAnsi="宋体"/>
                <w:szCs w:val="21"/>
              </w:rPr>
            </w:pPr>
          </w:p>
        </w:tc>
        <w:tc>
          <w:tcPr>
            <w:tcW w:w="1804" w:type="dxa"/>
            <w:tcBorders>
              <w:tl2br w:val="nil"/>
              <w:tr2bl w:val="nil"/>
            </w:tcBorders>
            <w:noWrap/>
            <w:tcMar>
              <w:left w:w="57" w:type="dxa"/>
              <w:right w:w="57" w:type="dxa"/>
            </w:tcMar>
            <w:vAlign w:val="center"/>
          </w:tcPr>
          <w:p>
            <w:pPr>
              <w:snapToGrid w:val="0"/>
              <w:spacing w:line="400" w:lineRule="exact"/>
              <w:jc w:val="center"/>
              <w:rPr>
                <w:rFonts w:ascii="宋体" w:hAnsi="宋体" w:cs="宋体"/>
                <w:szCs w:val="21"/>
              </w:rPr>
            </w:pPr>
            <w:r>
              <w:rPr>
                <w:rFonts w:hint="eastAsia" w:ascii="宋体" w:hAnsi="宋体" w:cs="宋体"/>
                <w:szCs w:val="21"/>
              </w:rPr>
              <w:t>合理化建议</w:t>
            </w:r>
          </w:p>
          <w:p>
            <w:pPr>
              <w:spacing w:line="400" w:lineRule="exact"/>
              <w:jc w:val="center"/>
              <w:rPr>
                <w:szCs w:val="21"/>
              </w:rPr>
            </w:pPr>
            <w:r>
              <w:rPr>
                <w:rFonts w:hint="eastAsia" w:ascii="宋体" w:hAnsi="宋体" w:cs="宋体"/>
                <w:szCs w:val="21"/>
              </w:rPr>
              <w:t>（5分）</w:t>
            </w:r>
          </w:p>
        </w:tc>
        <w:tc>
          <w:tcPr>
            <w:tcW w:w="5352" w:type="dxa"/>
            <w:tcBorders>
              <w:tl2br w:val="nil"/>
              <w:tr2bl w:val="nil"/>
            </w:tcBorders>
            <w:noWrap/>
            <w:tcMar>
              <w:left w:w="57" w:type="dxa"/>
              <w:right w:w="57" w:type="dxa"/>
            </w:tcMar>
            <w:vAlign w:val="center"/>
          </w:tcPr>
          <w:p>
            <w:pPr>
              <w:tabs>
                <w:tab w:val="left" w:pos="0"/>
              </w:tabs>
              <w:spacing w:line="400" w:lineRule="exact"/>
              <w:rPr>
                <w:rFonts w:ascii="宋体" w:hAnsi="宋体" w:cs="宋体"/>
                <w:szCs w:val="21"/>
              </w:rPr>
            </w:pPr>
            <w:r>
              <w:rPr>
                <w:rFonts w:hint="eastAsia" w:ascii="宋体" w:hAnsi="宋体" w:cs="宋体"/>
                <w:szCs w:val="21"/>
              </w:rPr>
              <w:t>根据投标人提供的对本项目合理化建议进行综合评定。</w:t>
            </w:r>
          </w:p>
          <w:p>
            <w:pPr>
              <w:tabs>
                <w:tab w:val="left" w:pos="0"/>
              </w:tabs>
              <w:spacing w:line="400" w:lineRule="exact"/>
              <w:rPr>
                <w:rFonts w:ascii="宋体" w:hAnsi="宋体" w:cs="宋体"/>
                <w:szCs w:val="21"/>
              </w:rPr>
            </w:pPr>
            <w:r>
              <w:rPr>
                <w:rFonts w:hint="eastAsia" w:ascii="宋体" w:hAnsi="宋体" w:cs="宋体"/>
                <w:szCs w:val="21"/>
              </w:rPr>
              <w:t>1、全面、合理、可行得5分；</w:t>
            </w:r>
          </w:p>
          <w:p>
            <w:pPr>
              <w:tabs>
                <w:tab w:val="left" w:pos="0"/>
              </w:tabs>
              <w:spacing w:line="400" w:lineRule="exact"/>
              <w:rPr>
                <w:rFonts w:ascii="宋体" w:hAnsi="宋体" w:cs="宋体"/>
                <w:szCs w:val="21"/>
              </w:rPr>
            </w:pPr>
            <w:r>
              <w:rPr>
                <w:rFonts w:hint="eastAsia" w:ascii="宋体" w:hAnsi="宋体" w:cs="宋体"/>
                <w:szCs w:val="21"/>
              </w:rPr>
              <w:t>2、较全面、较合理、较可行得3分；</w:t>
            </w:r>
          </w:p>
          <w:p>
            <w:pPr>
              <w:tabs>
                <w:tab w:val="left" w:pos="0"/>
              </w:tabs>
              <w:spacing w:line="400" w:lineRule="exact"/>
              <w:rPr>
                <w:rFonts w:ascii="宋体" w:hAnsi="宋体" w:cs="宋体"/>
                <w:szCs w:val="21"/>
              </w:rPr>
            </w:pPr>
            <w:r>
              <w:rPr>
                <w:rFonts w:hint="eastAsia" w:ascii="宋体" w:hAnsi="宋体" w:cs="宋体"/>
                <w:szCs w:val="21"/>
              </w:rPr>
              <w:t>3、一般的得1分；</w:t>
            </w:r>
          </w:p>
          <w:p>
            <w:pPr>
              <w:tabs>
                <w:tab w:val="left" w:pos="0"/>
              </w:tabs>
              <w:spacing w:line="400" w:lineRule="exact"/>
              <w:rPr>
                <w:szCs w:val="21"/>
              </w:rPr>
            </w:pPr>
            <w:r>
              <w:rPr>
                <w:rFonts w:hint="eastAsia" w:ascii="宋体" w:hAnsi="宋体" w:cs="宋体"/>
                <w:szCs w:val="21"/>
                <w:lang w:val="en-US" w:eastAsia="zh-CN"/>
              </w:rPr>
              <w:t>4、</w:t>
            </w:r>
            <w:r>
              <w:rPr>
                <w:rFonts w:hint="eastAsia" w:ascii="宋体" w:hAnsi="宋体" w:cs="宋体"/>
                <w:szCs w:val="21"/>
              </w:rPr>
              <w:t>未提供得0分。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900" w:type="dxa"/>
            <w:vMerge w:val="continue"/>
            <w:tcBorders>
              <w:tl2br w:val="nil"/>
              <w:tr2bl w:val="nil"/>
            </w:tcBorders>
            <w:noWrap/>
          </w:tcPr>
          <w:p>
            <w:pPr>
              <w:snapToGrid w:val="0"/>
              <w:spacing w:line="360" w:lineRule="auto"/>
              <w:outlineLvl w:val="2"/>
              <w:rPr>
                <w:rFonts w:ascii="宋体" w:hAnsi="宋体"/>
              </w:rPr>
            </w:pPr>
          </w:p>
        </w:tc>
        <w:tc>
          <w:tcPr>
            <w:tcW w:w="1124" w:type="dxa"/>
            <w:vMerge w:val="continue"/>
            <w:tcBorders>
              <w:tl2br w:val="nil"/>
              <w:tr2bl w:val="nil"/>
            </w:tcBorders>
            <w:noWrap/>
          </w:tcPr>
          <w:p>
            <w:pPr>
              <w:snapToGrid w:val="0"/>
              <w:spacing w:line="400" w:lineRule="exact"/>
              <w:outlineLvl w:val="2"/>
              <w:rPr>
                <w:rFonts w:ascii="宋体" w:hAnsi="宋体"/>
                <w:szCs w:val="21"/>
              </w:rPr>
            </w:pPr>
          </w:p>
        </w:tc>
        <w:tc>
          <w:tcPr>
            <w:tcW w:w="1804" w:type="dxa"/>
            <w:tcBorders>
              <w:tl2br w:val="nil"/>
              <w:tr2bl w:val="nil"/>
            </w:tcBorders>
            <w:noWrap/>
            <w:tcMar>
              <w:left w:w="57" w:type="dxa"/>
              <w:right w:w="57" w:type="dxa"/>
            </w:tcMar>
            <w:vAlign w:val="center"/>
          </w:tcPr>
          <w:p>
            <w:pPr>
              <w:snapToGrid w:val="0"/>
              <w:spacing w:line="400" w:lineRule="exact"/>
              <w:jc w:val="center"/>
              <w:rPr>
                <w:rFonts w:ascii="宋体" w:hAnsi="宋体" w:cs="宋体"/>
                <w:szCs w:val="21"/>
              </w:rPr>
            </w:pPr>
            <w:r>
              <w:rPr>
                <w:rFonts w:hint="eastAsia" w:ascii="宋体" w:hAnsi="宋体" w:cs="宋体"/>
                <w:szCs w:val="21"/>
              </w:rPr>
              <w:t>质保期承诺</w:t>
            </w:r>
          </w:p>
          <w:p>
            <w:pPr>
              <w:snapToGrid w:val="0"/>
              <w:spacing w:line="400" w:lineRule="exact"/>
              <w:jc w:val="center"/>
              <w:rPr>
                <w:rFonts w:ascii="宋体" w:hAnsi="宋体"/>
                <w:szCs w:val="21"/>
              </w:rPr>
            </w:pPr>
            <w:r>
              <w:rPr>
                <w:rFonts w:hint="eastAsia" w:ascii="宋体" w:hAnsi="宋体" w:cs="宋体"/>
                <w:szCs w:val="21"/>
              </w:rPr>
              <w:t>（5分）</w:t>
            </w:r>
          </w:p>
        </w:tc>
        <w:tc>
          <w:tcPr>
            <w:tcW w:w="5352" w:type="dxa"/>
            <w:tcBorders>
              <w:tl2br w:val="nil"/>
              <w:tr2bl w:val="nil"/>
            </w:tcBorders>
            <w:noWrap/>
            <w:tcMar>
              <w:left w:w="57" w:type="dxa"/>
              <w:right w:w="57" w:type="dxa"/>
            </w:tcMar>
            <w:vAlign w:val="center"/>
          </w:tcPr>
          <w:p>
            <w:pPr>
              <w:widowControl/>
              <w:spacing w:line="400" w:lineRule="exact"/>
              <w:rPr>
                <w:rFonts w:ascii="宋体" w:hAnsi="宋体" w:cs="宋体"/>
                <w:szCs w:val="21"/>
              </w:rPr>
            </w:pPr>
            <w:r>
              <w:rPr>
                <w:rFonts w:hint="eastAsia" w:ascii="宋体" w:hAnsi="宋体" w:cs="宋体"/>
                <w:szCs w:val="21"/>
              </w:rPr>
              <w:t>质保期在满足招标文件要求的基础上，每增加12个月的加2.5分，最多加5分。</w:t>
            </w:r>
          </w:p>
          <w:p>
            <w:pPr>
              <w:widowControl/>
              <w:spacing w:line="400" w:lineRule="exact"/>
              <w:rPr>
                <w:rFonts w:ascii="宋体" w:hAnsi="宋体"/>
                <w:szCs w:val="21"/>
              </w:rPr>
            </w:pPr>
            <w:r>
              <w:rPr>
                <w:rFonts w:hint="eastAsia" w:ascii="宋体" w:hAnsi="宋体" w:cs="宋体"/>
                <w:szCs w:val="21"/>
              </w:rPr>
              <w:t>注：提供承诺书（格式自拟）并加盖投标人电子印章，未提供得0分。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900" w:type="dxa"/>
            <w:tcBorders>
              <w:tl2br w:val="nil"/>
              <w:tr2bl w:val="nil"/>
            </w:tcBorders>
            <w:noWrap/>
            <w:vAlign w:val="center"/>
          </w:tcPr>
          <w:p>
            <w:pPr>
              <w:snapToGrid w:val="0"/>
              <w:spacing w:line="360" w:lineRule="auto"/>
              <w:outlineLvl w:val="2"/>
              <w:rPr>
                <w:rFonts w:ascii="宋体" w:hAnsi="宋体"/>
              </w:rPr>
            </w:pPr>
            <w:r>
              <w:rPr>
                <w:rFonts w:hint="eastAsia" w:ascii="宋体" w:hAnsi="宋体"/>
              </w:rPr>
              <w:t>2.2.4（3）</w:t>
            </w:r>
          </w:p>
        </w:tc>
        <w:tc>
          <w:tcPr>
            <w:tcW w:w="1124" w:type="dxa"/>
            <w:tcBorders>
              <w:tl2br w:val="nil"/>
              <w:tr2bl w:val="nil"/>
            </w:tcBorders>
            <w:noWrap/>
            <w:vAlign w:val="center"/>
          </w:tcPr>
          <w:p>
            <w:pPr>
              <w:snapToGrid w:val="0"/>
              <w:spacing w:line="400" w:lineRule="exact"/>
              <w:outlineLvl w:val="2"/>
              <w:rPr>
                <w:rFonts w:ascii="宋体" w:hAnsi="宋体"/>
                <w:szCs w:val="21"/>
              </w:rPr>
            </w:pPr>
            <w:r>
              <w:rPr>
                <w:rFonts w:hint="eastAsia" w:ascii="宋体" w:hAnsi="宋体"/>
                <w:szCs w:val="21"/>
              </w:rPr>
              <w:t>投标报价评分标准（50分）</w:t>
            </w:r>
          </w:p>
        </w:tc>
        <w:tc>
          <w:tcPr>
            <w:tcW w:w="1804" w:type="dxa"/>
            <w:tcBorders>
              <w:tl2br w:val="nil"/>
              <w:tr2bl w:val="nil"/>
            </w:tcBorders>
            <w:noWrap/>
            <w:vAlign w:val="center"/>
          </w:tcPr>
          <w:p>
            <w:pPr>
              <w:snapToGrid w:val="0"/>
              <w:spacing w:line="400" w:lineRule="exact"/>
              <w:jc w:val="center"/>
              <w:outlineLvl w:val="2"/>
              <w:rPr>
                <w:rFonts w:ascii="宋体" w:hAnsi="宋体"/>
                <w:szCs w:val="21"/>
              </w:rPr>
            </w:pPr>
            <w:r>
              <w:rPr>
                <w:rFonts w:hint="eastAsia" w:ascii="宋体" w:hAnsi="宋体"/>
                <w:szCs w:val="21"/>
              </w:rPr>
              <w:t>投标报价得分</w:t>
            </w:r>
          </w:p>
          <w:p>
            <w:pPr>
              <w:snapToGrid w:val="0"/>
              <w:spacing w:line="400" w:lineRule="exact"/>
              <w:jc w:val="center"/>
              <w:outlineLvl w:val="2"/>
              <w:rPr>
                <w:rFonts w:ascii="宋体" w:hAnsi="宋体"/>
                <w:szCs w:val="21"/>
              </w:rPr>
            </w:pPr>
            <w:r>
              <w:rPr>
                <w:rFonts w:hint="eastAsia" w:ascii="宋体" w:hAnsi="宋体"/>
                <w:szCs w:val="21"/>
              </w:rPr>
              <w:t>（50分）</w:t>
            </w:r>
          </w:p>
        </w:tc>
        <w:tc>
          <w:tcPr>
            <w:tcW w:w="5352" w:type="dxa"/>
            <w:tcBorders>
              <w:tl2br w:val="nil"/>
              <w:tr2bl w:val="nil"/>
            </w:tcBorders>
            <w:noWrap/>
            <w:vAlign w:val="center"/>
          </w:tcPr>
          <w:p>
            <w:pPr>
              <w:snapToGrid w:val="0"/>
              <w:spacing w:line="400" w:lineRule="exact"/>
              <w:outlineLvl w:val="2"/>
              <w:rPr>
                <w:rFonts w:ascii="宋体" w:hAnsi="宋体"/>
                <w:szCs w:val="21"/>
              </w:rPr>
            </w:pPr>
            <w:r>
              <w:rPr>
                <w:rFonts w:hint="eastAsia" w:ascii="宋体" w:hAnsi="宋体"/>
                <w:szCs w:val="21"/>
              </w:rPr>
              <w:t>投标报价等于评标基准价时得50分，投标报价每高于评标基准价1%，扣1分，每低于评标基准价1%，扣0.6分，扣至0分为止，中间采用插值法计算，得分精确到小数点后两位。</w:t>
            </w:r>
          </w:p>
        </w:tc>
      </w:tr>
    </w:tbl>
    <w:p>
      <w:pPr>
        <w:snapToGrid w:val="0"/>
        <w:spacing w:line="360" w:lineRule="auto"/>
        <w:outlineLvl w:val="2"/>
        <w:rPr>
          <w:rFonts w:ascii="宋体" w:hAnsi="宋体"/>
        </w:rPr>
      </w:pPr>
      <w:r>
        <w:rPr>
          <w:rFonts w:hint="eastAsia" w:ascii="宋体" w:hAnsi="宋体"/>
        </w:rPr>
        <w:t>注：</w:t>
      </w:r>
    </w:p>
    <w:p>
      <w:pPr>
        <w:snapToGrid w:val="0"/>
        <w:spacing w:line="360" w:lineRule="auto"/>
        <w:outlineLvl w:val="2"/>
        <w:rPr>
          <w:rFonts w:ascii="宋体" w:hAnsi="宋体"/>
        </w:rPr>
      </w:pPr>
      <w:r>
        <w:rPr>
          <w:rFonts w:hint="eastAsia" w:ascii="宋体" w:hAnsi="宋体"/>
        </w:rPr>
        <w:t>1、投标人须提供各项评审因素的有效证明材料的扫描件并加盖投标人电子印章，否则不得分。</w:t>
      </w:r>
    </w:p>
    <w:p>
      <w:pPr>
        <w:snapToGrid w:val="0"/>
        <w:spacing w:line="360" w:lineRule="auto"/>
        <w:outlineLvl w:val="2"/>
        <w:rPr>
          <w:rFonts w:ascii="宋体" w:hAnsi="宋体"/>
        </w:rPr>
      </w:pPr>
      <w:r>
        <w:rPr>
          <w:rFonts w:hint="eastAsia" w:ascii="宋体" w:hAnsi="宋体"/>
        </w:rPr>
        <w:t>2、各项评审因素按百分制评分，所有评委每个分项的分数汇总后的算术平均值为投标人的最终得分。分数出现小数点，保留小数点后二位小数，第三位小数四舍五入。</w:t>
      </w:r>
      <w:r>
        <w:rPr>
          <w:rFonts w:hint="eastAsia" w:ascii="宋体" w:hAnsi="宋体"/>
        </w:rPr>
        <w:br w:type="page"/>
      </w:r>
    </w:p>
    <w:p>
      <w:pPr>
        <w:numPr>
          <w:ilvl w:val="0"/>
          <w:numId w:val="2"/>
        </w:numPr>
        <w:snapToGrid w:val="0"/>
        <w:spacing w:line="360" w:lineRule="auto"/>
        <w:outlineLvl w:val="2"/>
        <w:rPr>
          <w:rFonts w:ascii="宋体" w:hAnsi="宋体" w:cs="宋体"/>
          <w:b/>
          <w:bCs/>
          <w:sz w:val="30"/>
          <w:szCs w:val="30"/>
        </w:rPr>
      </w:pPr>
      <w:bookmarkStart w:id="86" w:name="_Toc7454659"/>
      <w:bookmarkStart w:id="87" w:name="_Toc508382165"/>
      <w:bookmarkStart w:id="88" w:name="_Toc508788682"/>
      <w:r>
        <w:rPr>
          <w:rFonts w:hint="eastAsia" w:ascii="宋体" w:hAnsi="宋体" w:cs="宋体"/>
          <w:b/>
          <w:bCs/>
          <w:sz w:val="30"/>
          <w:szCs w:val="30"/>
        </w:rPr>
        <w:t xml:space="preserve">评标方法 </w:t>
      </w:r>
    </w:p>
    <w:p>
      <w:pPr>
        <w:spacing w:line="360" w:lineRule="auto"/>
        <w:ind w:firstLine="480" w:firstLineChars="200"/>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snapToGrid w:val="0"/>
        <w:spacing w:line="360" w:lineRule="auto"/>
        <w:outlineLvl w:val="2"/>
        <w:rPr>
          <w:rFonts w:ascii="宋体" w:hAnsi="宋体" w:cs="宋体"/>
          <w:b/>
          <w:bCs/>
          <w:sz w:val="30"/>
          <w:szCs w:val="30"/>
        </w:rPr>
      </w:pPr>
      <w:r>
        <w:rPr>
          <w:rFonts w:hint="eastAsia" w:ascii="宋体" w:hAnsi="宋体" w:cs="宋体"/>
          <w:b/>
          <w:bCs/>
          <w:sz w:val="30"/>
          <w:szCs w:val="30"/>
        </w:rPr>
        <w:t>2. 评审标准</w:t>
      </w:r>
    </w:p>
    <w:p>
      <w:pPr>
        <w:tabs>
          <w:tab w:val="left" w:pos="720"/>
        </w:tabs>
        <w:spacing w:line="360" w:lineRule="auto"/>
        <w:rPr>
          <w:rFonts w:ascii="宋体" w:hAnsi="宋体" w:cs="宋体"/>
          <w:b/>
          <w:bCs/>
          <w:sz w:val="24"/>
          <w:szCs w:val="24"/>
        </w:rPr>
      </w:pPr>
      <w:r>
        <w:rPr>
          <w:rFonts w:hint="eastAsia" w:ascii="宋体" w:hAnsi="宋体" w:cs="宋体"/>
          <w:b/>
          <w:bCs/>
          <w:sz w:val="24"/>
          <w:szCs w:val="24"/>
        </w:rPr>
        <w:t>2.1 初步评审标准</w:t>
      </w:r>
    </w:p>
    <w:p>
      <w:pPr>
        <w:spacing w:line="360" w:lineRule="auto"/>
        <w:ind w:firstLine="480" w:firstLineChars="200"/>
        <w:rPr>
          <w:rFonts w:ascii="宋体" w:hAnsi="宋体" w:cs="宋体"/>
          <w:sz w:val="24"/>
          <w:szCs w:val="24"/>
        </w:rPr>
      </w:pPr>
      <w:r>
        <w:rPr>
          <w:rFonts w:hint="eastAsia" w:ascii="宋体" w:hAnsi="宋体" w:cs="宋体"/>
          <w:sz w:val="24"/>
          <w:szCs w:val="24"/>
        </w:rPr>
        <w:t>2.1.1形式评审标准：见评标办法前附表。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2.1.2资格评审标准：见评标办法前附表。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2.1.3响应性评审标准：见评标办法前附表。</w:t>
      </w:r>
    </w:p>
    <w:p>
      <w:pPr>
        <w:tabs>
          <w:tab w:val="left" w:pos="720"/>
        </w:tabs>
        <w:spacing w:line="360" w:lineRule="auto"/>
        <w:rPr>
          <w:rFonts w:ascii="宋体" w:hAnsi="宋体" w:cs="宋体"/>
          <w:b/>
          <w:bCs/>
          <w:sz w:val="24"/>
          <w:szCs w:val="24"/>
        </w:rPr>
      </w:pPr>
      <w:r>
        <w:rPr>
          <w:rFonts w:hint="eastAsia" w:ascii="宋体" w:hAnsi="宋体" w:cs="宋体"/>
          <w:b/>
          <w:bCs/>
          <w:sz w:val="24"/>
          <w:szCs w:val="24"/>
        </w:rPr>
        <w:t>2.2 分值构成与评分标准</w:t>
      </w:r>
    </w:p>
    <w:p>
      <w:pPr>
        <w:spacing w:line="360" w:lineRule="auto"/>
        <w:ind w:firstLine="480" w:firstLineChars="200"/>
        <w:rPr>
          <w:rFonts w:ascii="宋体" w:hAnsi="宋体" w:cs="宋体"/>
          <w:sz w:val="24"/>
          <w:szCs w:val="24"/>
        </w:rPr>
      </w:pPr>
      <w:r>
        <w:rPr>
          <w:rFonts w:hint="eastAsia" w:ascii="宋体" w:hAnsi="宋体" w:cs="宋体"/>
          <w:sz w:val="24"/>
          <w:szCs w:val="24"/>
        </w:rPr>
        <w:t>2.2.1分值构成</w:t>
      </w:r>
    </w:p>
    <w:p>
      <w:pPr>
        <w:spacing w:line="360" w:lineRule="auto"/>
        <w:ind w:firstLine="480" w:firstLineChars="200"/>
        <w:rPr>
          <w:rFonts w:ascii="宋体" w:hAnsi="宋体" w:cs="宋体"/>
          <w:sz w:val="24"/>
          <w:szCs w:val="24"/>
        </w:rPr>
      </w:pPr>
      <w:r>
        <w:rPr>
          <w:rFonts w:hint="eastAsia" w:ascii="宋体" w:hAnsi="宋体" w:cs="宋体"/>
          <w:sz w:val="24"/>
          <w:szCs w:val="24"/>
        </w:rPr>
        <w:t>（1）商务部分：见评标办法前附表；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（2）技术部分：见评标办法前附表；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（3）投标报价：见评标办法前附表；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2.2.2评标基准价计算</w:t>
      </w:r>
    </w:p>
    <w:p>
      <w:pPr>
        <w:spacing w:line="360" w:lineRule="auto"/>
        <w:ind w:firstLine="480" w:firstLineChars="200"/>
        <w:rPr>
          <w:rFonts w:ascii="宋体" w:hAnsi="宋体" w:cs="宋体"/>
          <w:sz w:val="24"/>
          <w:szCs w:val="24"/>
        </w:rPr>
      </w:pPr>
      <w:r>
        <w:rPr>
          <w:rFonts w:hint="eastAsia" w:ascii="宋体" w:hAnsi="宋体" w:cs="宋体"/>
          <w:sz w:val="24"/>
          <w:szCs w:val="24"/>
        </w:rPr>
        <w:t>评标基准价计算方法：见评标办法前附表。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2.2.3投标报价的偏差率计算</w:t>
      </w:r>
    </w:p>
    <w:p>
      <w:pPr>
        <w:spacing w:line="360" w:lineRule="auto"/>
        <w:ind w:firstLine="480" w:firstLineChars="200"/>
        <w:rPr>
          <w:rFonts w:ascii="宋体" w:hAnsi="宋体" w:cs="宋体"/>
          <w:sz w:val="24"/>
          <w:szCs w:val="24"/>
        </w:rPr>
      </w:pPr>
      <w:r>
        <w:rPr>
          <w:rFonts w:hint="eastAsia" w:ascii="宋体" w:hAnsi="宋体" w:cs="宋体"/>
          <w:sz w:val="24"/>
          <w:szCs w:val="24"/>
        </w:rPr>
        <w:t>投标报价的偏差率计算公式：见评标办法前附表。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2.2.4评分标准</w:t>
      </w:r>
    </w:p>
    <w:p>
      <w:pPr>
        <w:spacing w:line="360" w:lineRule="auto"/>
        <w:ind w:firstLine="480" w:firstLineChars="200"/>
        <w:rPr>
          <w:rFonts w:ascii="宋体" w:hAnsi="宋体" w:cs="宋体"/>
          <w:sz w:val="24"/>
          <w:szCs w:val="24"/>
        </w:rPr>
      </w:pPr>
      <w:r>
        <w:rPr>
          <w:rFonts w:hint="eastAsia" w:ascii="宋体" w:hAnsi="宋体" w:cs="宋体"/>
          <w:sz w:val="24"/>
          <w:szCs w:val="24"/>
        </w:rPr>
        <w:t>（1）商务评分标准：见评标办法前附表；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（2）技术评分标准：见评标办法前附表；</w:t>
      </w:r>
    </w:p>
    <w:p>
      <w:pPr>
        <w:spacing w:line="360" w:lineRule="auto"/>
        <w:ind w:firstLine="480" w:firstLineChars="200"/>
        <w:rPr>
          <w:rFonts w:ascii="宋体" w:hAnsi="宋体" w:cs="宋体"/>
          <w:sz w:val="24"/>
          <w:szCs w:val="24"/>
        </w:rPr>
      </w:pPr>
      <w:r>
        <w:rPr>
          <w:rFonts w:hint="eastAsia" w:ascii="宋体" w:hAnsi="宋体" w:cs="宋体"/>
          <w:sz w:val="24"/>
          <w:szCs w:val="24"/>
        </w:rPr>
        <w:t>（3）投标报价评分标准：见评标办法前附表；</w:t>
      </w:r>
    </w:p>
    <w:p>
      <w:pPr>
        <w:snapToGrid w:val="0"/>
        <w:spacing w:line="360" w:lineRule="auto"/>
        <w:outlineLvl w:val="2"/>
        <w:rPr>
          <w:rFonts w:ascii="宋体" w:hAnsi="宋体" w:cs="宋体"/>
          <w:b/>
          <w:bCs/>
          <w:sz w:val="30"/>
          <w:szCs w:val="30"/>
        </w:rPr>
      </w:pPr>
      <w:r>
        <w:rPr>
          <w:rFonts w:hint="eastAsia" w:ascii="宋体" w:hAnsi="宋体" w:cs="宋体"/>
          <w:b/>
          <w:bCs/>
          <w:sz w:val="30"/>
          <w:szCs w:val="30"/>
        </w:rPr>
        <w:t>3. 评标程序</w:t>
      </w:r>
    </w:p>
    <w:p>
      <w:pPr>
        <w:snapToGrid w:val="0"/>
        <w:spacing w:line="360" w:lineRule="auto"/>
        <w:rPr>
          <w:rFonts w:ascii="宋体" w:hAnsi="宋体" w:cs="宋体"/>
          <w:b/>
          <w:bCs/>
          <w:sz w:val="24"/>
          <w:szCs w:val="24"/>
        </w:rPr>
      </w:pPr>
      <w:r>
        <w:rPr>
          <w:rFonts w:hint="eastAsia" w:ascii="宋体" w:hAnsi="宋体" w:cs="宋体"/>
          <w:b/>
          <w:bCs/>
          <w:sz w:val="24"/>
          <w:szCs w:val="24"/>
        </w:rPr>
        <w:t>3.1 初步评审</w:t>
      </w:r>
    </w:p>
    <w:p>
      <w:pPr>
        <w:spacing w:line="360" w:lineRule="auto"/>
        <w:ind w:firstLine="480" w:firstLineChars="200"/>
        <w:rPr>
          <w:rFonts w:ascii="宋体" w:hAnsi="宋体" w:cs="宋体"/>
          <w:sz w:val="24"/>
          <w:szCs w:val="24"/>
        </w:rPr>
      </w:pPr>
      <w:r>
        <w:rPr>
          <w:rFonts w:hint="eastAsia" w:ascii="宋体" w:hAnsi="宋体" w:cs="宋体"/>
          <w:sz w:val="24"/>
          <w:szCs w:val="24"/>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ascii="宋体" w:hAnsi="宋体" w:cs="宋体"/>
          <w:sz w:val="24"/>
          <w:szCs w:val="24"/>
        </w:rPr>
      </w:pPr>
      <w:r>
        <w:rPr>
          <w:rFonts w:hint="eastAsia" w:ascii="宋体" w:hAnsi="宋体" w:cs="宋体"/>
          <w:sz w:val="24"/>
          <w:szCs w:val="24"/>
        </w:rPr>
        <w:t>3.1.2投标人有以下情形之一的，评标委员会应当否决其投标：</w:t>
      </w:r>
    </w:p>
    <w:p>
      <w:pPr>
        <w:spacing w:line="360" w:lineRule="auto"/>
        <w:ind w:firstLine="480" w:firstLineChars="200"/>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360" w:lineRule="auto"/>
        <w:ind w:firstLine="480" w:firstLineChars="200"/>
        <w:rPr>
          <w:rFonts w:ascii="宋体" w:hAnsi="宋体" w:cs="宋体"/>
          <w:sz w:val="24"/>
          <w:szCs w:val="24"/>
        </w:rPr>
      </w:pPr>
      <w:r>
        <w:rPr>
          <w:rFonts w:hint="eastAsia" w:ascii="宋体" w:hAnsi="宋体" w:cs="宋体"/>
          <w:sz w:val="24"/>
          <w:szCs w:val="24"/>
        </w:rPr>
        <w:t>（2）有串通投标、弄虚作假、行贿等违法行为。</w:t>
      </w:r>
    </w:p>
    <w:p>
      <w:pPr>
        <w:spacing w:line="360" w:lineRule="auto"/>
        <w:ind w:firstLine="480" w:firstLineChars="200"/>
        <w:rPr>
          <w:rFonts w:ascii="宋体" w:hAnsi="宋体" w:cs="宋体"/>
          <w:sz w:val="24"/>
          <w:szCs w:val="24"/>
        </w:rPr>
      </w:pPr>
      <w:r>
        <w:rPr>
          <w:rFonts w:hint="eastAsia" w:ascii="宋体" w:hAnsi="宋体" w:cs="宋体"/>
          <w:sz w:val="24"/>
          <w:szCs w:val="24"/>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360" w:lineRule="auto"/>
        <w:ind w:firstLine="480" w:firstLineChars="200"/>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spacing w:line="360" w:lineRule="auto"/>
        <w:ind w:firstLine="480" w:firstLineChars="200"/>
        <w:rPr>
          <w:rFonts w:ascii="宋体" w:hAnsi="宋体" w:cs="宋体"/>
          <w:sz w:val="24"/>
          <w:szCs w:val="24"/>
        </w:rPr>
      </w:pPr>
      <w:r>
        <w:rPr>
          <w:rFonts w:hint="eastAsia" w:ascii="宋体" w:hAnsi="宋体" w:cs="宋体"/>
          <w:sz w:val="24"/>
          <w:szCs w:val="24"/>
        </w:rPr>
        <w:t>（3）投标报价为各分项报价金额之和，投标报价与分项报价的合价不一致的，应以各分项合价累计数为准，修正投标报价；</w:t>
      </w:r>
    </w:p>
    <w:p>
      <w:pPr>
        <w:spacing w:line="360" w:lineRule="auto"/>
        <w:ind w:firstLine="480" w:firstLineChars="200"/>
        <w:rPr>
          <w:rFonts w:ascii="宋体" w:hAnsi="宋体" w:cs="宋体"/>
          <w:sz w:val="24"/>
          <w:szCs w:val="24"/>
        </w:rPr>
      </w:pPr>
      <w:r>
        <w:rPr>
          <w:rFonts w:hint="eastAsia" w:ascii="宋体" w:hAnsi="宋体" w:cs="宋体"/>
          <w:sz w:val="24"/>
          <w:szCs w:val="24"/>
        </w:rPr>
        <w:t>（4）如果分项报价中存在缺漏项，则视为缺漏项价格已包含在其他分项报价之中。</w:t>
      </w:r>
    </w:p>
    <w:p>
      <w:pPr>
        <w:snapToGrid w:val="0"/>
        <w:spacing w:line="360" w:lineRule="auto"/>
        <w:rPr>
          <w:rFonts w:ascii="宋体" w:hAnsi="宋体" w:cs="宋体"/>
          <w:b/>
          <w:bCs/>
          <w:sz w:val="24"/>
          <w:szCs w:val="24"/>
        </w:rPr>
      </w:pPr>
      <w:r>
        <w:rPr>
          <w:rFonts w:hint="eastAsia" w:ascii="宋体" w:hAnsi="宋体" w:cs="宋体"/>
          <w:b/>
          <w:bCs/>
          <w:sz w:val="24"/>
          <w:szCs w:val="24"/>
        </w:rPr>
        <w:t>3.2 详细评审</w:t>
      </w:r>
    </w:p>
    <w:p>
      <w:pPr>
        <w:spacing w:line="360" w:lineRule="auto"/>
        <w:ind w:firstLine="480" w:firstLineChars="200"/>
        <w:rPr>
          <w:rFonts w:ascii="宋体" w:hAnsi="宋体" w:cs="宋体"/>
          <w:sz w:val="24"/>
          <w:szCs w:val="24"/>
        </w:rPr>
      </w:pPr>
      <w:r>
        <w:rPr>
          <w:rFonts w:hint="eastAsia" w:ascii="宋体" w:hAnsi="宋体" w:cs="宋体"/>
          <w:sz w:val="24"/>
          <w:szCs w:val="24"/>
        </w:rPr>
        <w:t>3.2.1评标委员会按本章第2.2款规定的量化因素和分值进行打分，并计算出综合评估得分。</w:t>
      </w:r>
    </w:p>
    <w:p>
      <w:pPr>
        <w:spacing w:line="360" w:lineRule="auto"/>
        <w:ind w:firstLine="480" w:firstLineChars="200"/>
        <w:rPr>
          <w:rFonts w:ascii="宋体" w:hAnsi="宋体" w:cs="宋体"/>
          <w:sz w:val="24"/>
          <w:szCs w:val="24"/>
        </w:rPr>
      </w:pPr>
      <w:r>
        <w:rPr>
          <w:rFonts w:hint="eastAsia" w:ascii="宋体" w:hAnsi="宋体" w:cs="宋体"/>
          <w:sz w:val="24"/>
          <w:szCs w:val="24"/>
        </w:rPr>
        <w:t>（1）按本章第2.2.4（1）目规定的评审因素和分值对商务部分计算出得分A；</w:t>
      </w:r>
    </w:p>
    <w:p>
      <w:pPr>
        <w:spacing w:line="360" w:lineRule="auto"/>
        <w:ind w:firstLine="480" w:firstLineChars="200"/>
        <w:rPr>
          <w:rFonts w:ascii="宋体" w:hAnsi="宋体" w:cs="宋体"/>
          <w:sz w:val="24"/>
          <w:szCs w:val="24"/>
        </w:rPr>
      </w:pPr>
      <w:r>
        <w:rPr>
          <w:rFonts w:hint="eastAsia" w:ascii="宋体" w:hAnsi="宋体" w:cs="宋体"/>
          <w:sz w:val="24"/>
          <w:szCs w:val="24"/>
        </w:rPr>
        <w:t>（2）按本章第2.2.4（2）目规定的评审因素和分值对技术部分计算出得分B；</w:t>
      </w:r>
    </w:p>
    <w:p>
      <w:pPr>
        <w:spacing w:line="360" w:lineRule="auto"/>
        <w:ind w:firstLine="480" w:firstLineChars="200"/>
        <w:rPr>
          <w:rFonts w:ascii="宋体" w:hAnsi="宋体" w:cs="宋体"/>
          <w:sz w:val="24"/>
          <w:szCs w:val="24"/>
        </w:rPr>
      </w:pPr>
      <w:r>
        <w:rPr>
          <w:rFonts w:hint="eastAsia" w:ascii="宋体" w:hAnsi="宋体" w:cs="宋体"/>
          <w:sz w:val="24"/>
          <w:szCs w:val="24"/>
        </w:rPr>
        <w:t>（3）按本章第2.2.4（3）目规定的评审因素和分值对投标报价计算出得分C。</w:t>
      </w:r>
    </w:p>
    <w:p>
      <w:pPr>
        <w:spacing w:line="360" w:lineRule="auto"/>
        <w:ind w:firstLine="480" w:firstLineChars="200"/>
        <w:rPr>
          <w:rFonts w:ascii="宋体" w:hAnsi="宋体" w:cs="宋体"/>
          <w:sz w:val="24"/>
          <w:szCs w:val="24"/>
        </w:rPr>
      </w:pPr>
      <w:r>
        <w:rPr>
          <w:rFonts w:hint="eastAsia" w:ascii="宋体" w:hAnsi="宋体" w:cs="宋体"/>
          <w:sz w:val="24"/>
          <w:szCs w:val="24"/>
        </w:rPr>
        <w:t>3.2.2评分分值计算保留小数点后两位，小数点后第三位“四舍五入”。</w:t>
      </w:r>
    </w:p>
    <w:p>
      <w:pPr>
        <w:spacing w:line="360" w:lineRule="auto"/>
        <w:ind w:firstLine="480" w:firstLineChars="200"/>
        <w:rPr>
          <w:rFonts w:ascii="宋体" w:hAnsi="宋体" w:cs="宋体"/>
          <w:sz w:val="24"/>
          <w:szCs w:val="24"/>
        </w:rPr>
      </w:pPr>
      <w:r>
        <w:rPr>
          <w:rFonts w:hint="eastAsia" w:ascii="宋体" w:hAnsi="宋体" w:cs="宋体"/>
          <w:sz w:val="24"/>
          <w:szCs w:val="24"/>
        </w:rPr>
        <w:t>3.2.3投标人得分=A+B+C。</w:t>
      </w:r>
    </w:p>
    <w:p>
      <w:pPr>
        <w:spacing w:line="360" w:lineRule="auto"/>
        <w:ind w:firstLine="480" w:firstLineChars="200"/>
        <w:rPr>
          <w:rFonts w:ascii="宋体" w:hAnsi="宋体" w:cs="宋体"/>
          <w:sz w:val="24"/>
          <w:szCs w:val="24"/>
        </w:rPr>
      </w:pPr>
      <w:r>
        <w:rPr>
          <w:rFonts w:hint="eastAsia" w:ascii="宋体" w:hAnsi="宋体" w:cs="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napToGrid w:val="0"/>
        <w:spacing w:line="360" w:lineRule="auto"/>
        <w:rPr>
          <w:rFonts w:ascii="宋体" w:hAnsi="宋体" w:cs="宋体"/>
          <w:b/>
          <w:bCs/>
          <w:sz w:val="24"/>
          <w:szCs w:val="24"/>
        </w:rPr>
      </w:pPr>
      <w:r>
        <w:rPr>
          <w:rFonts w:hint="eastAsia" w:ascii="宋体" w:hAnsi="宋体" w:cs="宋体"/>
          <w:b/>
          <w:bCs/>
          <w:sz w:val="24"/>
          <w:szCs w:val="24"/>
        </w:rPr>
        <w:t>3.3 投标文件的澄清</w:t>
      </w:r>
    </w:p>
    <w:p>
      <w:pPr>
        <w:spacing w:line="360" w:lineRule="auto"/>
        <w:ind w:firstLine="480" w:firstLineChars="200"/>
        <w:rPr>
          <w:rFonts w:ascii="宋体" w:hAnsi="宋体" w:cs="宋体"/>
          <w:sz w:val="24"/>
          <w:szCs w:val="24"/>
        </w:rPr>
      </w:pPr>
      <w:r>
        <w:rPr>
          <w:rFonts w:hint="eastAsia" w:ascii="宋体" w:hAnsi="宋体" w:cs="宋体"/>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3.3.3评标委员会对投标人提交的澄清、说明或补正有疑问的，可以要求投标人进一步澄清、说明或补正，直至满足评标委员会的要求。</w:t>
      </w:r>
    </w:p>
    <w:p>
      <w:pPr>
        <w:snapToGrid w:val="0"/>
        <w:spacing w:line="360" w:lineRule="auto"/>
        <w:rPr>
          <w:rFonts w:ascii="宋体" w:hAnsi="宋体" w:cs="宋体"/>
          <w:sz w:val="24"/>
          <w:szCs w:val="24"/>
        </w:rPr>
      </w:pPr>
      <w:r>
        <w:rPr>
          <w:rFonts w:hint="eastAsia" w:ascii="宋体" w:hAnsi="宋体" w:cs="宋体"/>
          <w:b/>
          <w:bCs/>
          <w:sz w:val="24"/>
          <w:szCs w:val="24"/>
        </w:rPr>
        <w:t>3.4 评标结果</w:t>
      </w:r>
    </w:p>
    <w:p>
      <w:pPr>
        <w:spacing w:line="360" w:lineRule="auto"/>
        <w:ind w:firstLine="480" w:firstLineChars="200"/>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360" w:lineRule="auto"/>
        <w:ind w:firstLine="480" w:firstLineChars="200"/>
        <w:rPr>
          <w:rFonts w:ascii="宋体" w:hAnsi="宋体" w:cs="宋体"/>
          <w:sz w:val="24"/>
          <w:szCs w:val="24"/>
        </w:rPr>
      </w:pPr>
      <w:r>
        <w:rPr>
          <w:rFonts w:hint="eastAsia" w:ascii="宋体" w:hAnsi="宋体" w:cs="宋体"/>
          <w:sz w:val="24"/>
          <w:szCs w:val="24"/>
        </w:rPr>
        <w:t>3.4.2评标委员会完成评标后，应当向招标人提交书面评标报告和中标候选人名单。</w:t>
      </w:r>
    </w:p>
    <w:p>
      <w:pPr>
        <w:spacing w:line="502" w:lineRule="exact"/>
        <w:ind w:right="220"/>
        <w:jc w:val="center"/>
        <w:outlineLvl w:val="0"/>
        <w:rPr>
          <w:rFonts w:ascii="宋体" w:hAnsi="宋体"/>
          <w:b/>
          <w:sz w:val="44"/>
        </w:rPr>
      </w:pPr>
      <w:r>
        <w:rPr>
          <w:rFonts w:ascii="宋体" w:hAnsi="宋体"/>
          <w:sz w:val="32"/>
          <w:szCs w:val="32"/>
        </w:rPr>
        <w:br w:type="page"/>
      </w:r>
      <w:bookmarkStart w:id="89" w:name="_Toc10389"/>
      <w:r>
        <w:rPr>
          <w:rFonts w:hint="eastAsia" w:ascii="宋体" w:hAnsi="宋体"/>
          <w:b/>
          <w:sz w:val="44"/>
        </w:rPr>
        <w:t>第四章  合同条款及格式</w:t>
      </w:r>
      <w:bookmarkEnd w:id="86"/>
      <w:bookmarkEnd w:id="87"/>
      <w:bookmarkEnd w:id="88"/>
      <w:bookmarkEnd w:id="89"/>
    </w:p>
    <w:p>
      <w:pPr>
        <w:widowControl/>
        <w:spacing w:after="160" w:line="259" w:lineRule="auto"/>
        <w:jc w:val="center"/>
        <w:rPr>
          <w:rFonts w:ascii="宋体" w:hAnsi="宋体"/>
          <w:sz w:val="32"/>
          <w:szCs w:val="32"/>
        </w:rPr>
      </w:pPr>
      <w:bookmarkStart w:id="90" w:name="_Toc7454660"/>
      <w:bookmarkStart w:id="91" w:name="_Toc16292"/>
    </w:p>
    <w:p>
      <w:pPr>
        <w:widowControl/>
        <w:spacing w:line="360" w:lineRule="auto"/>
        <w:jc w:val="center"/>
        <w:rPr>
          <w:rFonts w:ascii="宋体" w:hAnsi="宋体" w:cs="宋体"/>
          <w:snapToGrid w:val="0"/>
          <w:sz w:val="24"/>
          <w:szCs w:val="24"/>
          <w:lang w:val="zh-CN"/>
        </w:rPr>
      </w:pPr>
      <w:r>
        <w:rPr>
          <w:rFonts w:hint="eastAsia" w:ascii="宋体" w:hAnsi="宋体"/>
          <w:sz w:val="32"/>
          <w:szCs w:val="32"/>
        </w:rPr>
        <w:t>（另册）</w:t>
      </w:r>
      <w:bookmarkEnd w:id="90"/>
      <w:bookmarkEnd w:id="91"/>
      <w:r>
        <w:rPr>
          <w:rFonts w:ascii="宋体" w:hAnsi="宋体"/>
          <w:sz w:val="24"/>
          <w:szCs w:val="24"/>
        </w:rPr>
        <w:br w:type="page"/>
      </w:r>
    </w:p>
    <w:p>
      <w:pPr>
        <w:spacing w:line="502" w:lineRule="exact"/>
        <w:ind w:right="220"/>
        <w:jc w:val="center"/>
        <w:outlineLvl w:val="0"/>
        <w:rPr>
          <w:rFonts w:ascii="宋体" w:hAnsi="宋体"/>
          <w:b/>
          <w:kern w:val="44"/>
          <w:sz w:val="44"/>
          <w:szCs w:val="20"/>
        </w:rPr>
      </w:pPr>
      <w:bookmarkStart w:id="92" w:name="_Toc7454661"/>
      <w:bookmarkStart w:id="93" w:name="_Toc25173"/>
      <w:bookmarkStart w:id="94" w:name="_Toc31242"/>
      <w:bookmarkStart w:id="95" w:name="_Toc508788683"/>
      <w:r>
        <w:rPr>
          <w:rFonts w:hint="eastAsia" w:ascii="宋体" w:hAnsi="宋体"/>
          <w:b/>
          <w:kern w:val="44"/>
          <w:sz w:val="44"/>
          <w:szCs w:val="20"/>
        </w:rPr>
        <w:t>第二卷</w:t>
      </w:r>
      <w:bookmarkEnd w:id="92"/>
      <w:bookmarkEnd w:id="93"/>
      <w:bookmarkEnd w:id="94"/>
      <w:bookmarkEnd w:id="95"/>
    </w:p>
    <w:p>
      <w:pPr>
        <w:widowControl/>
        <w:spacing w:line="259" w:lineRule="auto"/>
        <w:ind w:right="1604"/>
        <w:jc w:val="right"/>
        <w:rPr>
          <w:rFonts w:ascii="宋体" w:hAnsi="宋体"/>
          <w:sz w:val="22"/>
        </w:rPr>
      </w:pPr>
      <w:r>
        <w:rPr>
          <w:rFonts w:ascii="宋体" w:hAnsi="宋体"/>
          <w:b/>
          <w:sz w:val="44"/>
        </w:rPr>
        <w:br w:type="page"/>
      </w:r>
    </w:p>
    <w:p>
      <w:pPr>
        <w:spacing w:line="502" w:lineRule="exact"/>
        <w:ind w:right="220"/>
        <w:jc w:val="center"/>
        <w:outlineLvl w:val="0"/>
        <w:rPr>
          <w:rFonts w:ascii="宋体" w:hAnsi="宋体"/>
          <w:b/>
          <w:sz w:val="44"/>
        </w:rPr>
      </w:pPr>
      <w:bookmarkStart w:id="96" w:name="_Toc508788684"/>
      <w:bookmarkStart w:id="97" w:name="_Toc7454662"/>
      <w:bookmarkStart w:id="98" w:name="_Toc15324"/>
      <w:r>
        <w:rPr>
          <w:rFonts w:hint="eastAsia" w:ascii="宋体" w:hAnsi="宋体"/>
          <w:b/>
          <w:sz w:val="44"/>
        </w:rPr>
        <w:t>第五章</w:t>
      </w:r>
      <w:bookmarkEnd w:id="96"/>
      <w:bookmarkEnd w:id="97"/>
      <w:r>
        <w:rPr>
          <w:rFonts w:hint="eastAsia" w:ascii="宋体" w:hAnsi="宋体"/>
          <w:b/>
          <w:sz w:val="44"/>
        </w:rPr>
        <w:t xml:space="preserve">  用户需求书</w:t>
      </w:r>
      <w:bookmarkEnd w:id="98"/>
    </w:p>
    <w:p>
      <w:pPr>
        <w:snapToGrid w:val="0"/>
        <w:spacing w:before="156" w:beforeLines="50" w:line="360" w:lineRule="auto"/>
        <w:jc w:val="center"/>
        <w:rPr>
          <w:rFonts w:ascii="宋体" w:hAnsi="宋体"/>
          <w:sz w:val="32"/>
          <w:szCs w:val="32"/>
        </w:rPr>
      </w:pPr>
      <w:r>
        <w:rPr>
          <w:rFonts w:hint="eastAsia" w:ascii="宋体" w:hAnsi="宋体"/>
          <w:sz w:val="32"/>
          <w:szCs w:val="32"/>
        </w:rPr>
        <w:t>（另册）</w:t>
      </w:r>
    </w:p>
    <w:p>
      <w:pPr>
        <w:pStyle w:val="10"/>
        <w:rPr>
          <w:rFonts w:hAnsi="宋体"/>
          <w:sz w:val="32"/>
          <w:szCs w:val="32"/>
        </w:rPr>
      </w:pPr>
    </w:p>
    <w:p>
      <w:pPr>
        <w:pStyle w:val="10"/>
        <w:rPr>
          <w:rFonts w:hAnsi="宋体"/>
          <w:sz w:val="32"/>
          <w:szCs w:val="32"/>
        </w:rPr>
      </w:pPr>
    </w:p>
    <w:p>
      <w:pPr>
        <w:pStyle w:val="3"/>
        <w:spacing w:before="0" w:after="0" w:line="240" w:lineRule="auto"/>
        <w:jc w:val="center"/>
        <w:rPr>
          <w:rFonts w:ascii="宋体" w:hAnsi="宋体"/>
          <w:sz w:val="22"/>
        </w:rPr>
      </w:pPr>
      <w:r>
        <w:rPr>
          <w:rFonts w:ascii="宋体" w:hAnsi="宋体"/>
          <w:sz w:val="24"/>
          <w:szCs w:val="24"/>
        </w:rPr>
        <w:br w:type="page"/>
      </w:r>
      <w:bookmarkStart w:id="99" w:name="_Toc508788695"/>
      <w:bookmarkStart w:id="100" w:name="_Toc7454664"/>
      <w:bookmarkStart w:id="101" w:name="_Toc8315"/>
      <w:bookmarkStart w:id="102" w:name="_Toc10983"/>
      <w:r>
        <w:rPr>
          <w:rFonts w:hint="eastAsia" w:ascii="宋体" w:hAnsi="宋体"/>
          <w:b w:val="0"/>
        </w:rPr>
        <w:t>第三卷</w:t>
      </w:r>
      <w:bookmarkEnd w:id="99"/>
      <w:bookmarkEnd w:id="100"/>
      <w:bookmarkEnd w:id="101"/>
      <w:r>
        <w:rPr>
          <w:rFonts w:ascii="宋体" w:hAnsi="宋体"/>
          <w:b w:val="0"/>
        </w:rPr>
        <w:br w:type="page"/>
      </w:r>
      <w:bookmarkEnd w:id="102"/>
    </w:p>
    <w:p>
      <w:pPr>
        <w:spacing w:line="502" w:lineRule="exact"/>
        <w:ind w:right="220"/>
        <w:jc w:val="center"/>
        <w:outlineLvl w:val="0"/>
        <w:rPr>
          <w:rFonts w:ascii="宋体" w:hAnsi="宋体"/>
          <w:b/>
          <w:sz w:val="44"/>
        </w:rPr>
      </w:pPr>
      <w:bookmarkStart w:id="103" w:name="_Toc508788696"/>
      <w:bookmarkStart w:id="104" w:name="_Toc15259"/>
      <w:bookmarkStart w:id="105" w:name="_Toc7454665"/>
      <w:r>
        <w:rPr>
          <w:rFonts w:hint="eastAsia" w:ascii="宋体" w:hAnsi="宋体"/>
          <w:b/>
          <w:sz w:val="44"/>
        </w:rPr>
        <w:t>第六章  投标文件格式</w:t>
      </w:r>
      <w:bookmarkEnd w:id="103"/>
      <w:bookmarkEnd w:id="104"/>
      <w:bookmarkEnd w:id="105"/>
    </w:p>
    <w:p>
      <w:pPr>
        <w:spacing w:line="360" w:lineRule="auto"/>
        <w:jc w:val="center"/>
        <w:rPr>
          <w:rFonts w:ascii="宋体" w:hAnsi="宋体"/>
          <w:sz w:val="22"/>
        </w:rPr>
      </w:pPr>
      <w:r>
        <w:rPr>
          <w:rFonts w:ascii="宋体" w:hAnsi="宋体"/>
          <w:sz w:val="22"/>
        </w:rPr>
        <w:br w:type="page"/>
      </w:r>
    </w:p>
    <w:p>
      <w:pPr>
        <w:spacing w:line="360" w:lineRule="auto"/>
        <w:jc w:val="center"/>
        <w:rPr>
          <w:rFonts w:ascii="宋体" w:hAnsi="宋体"/>
          <w:sz w:val="22"/>
        </w:rPr>
      </w:pPr>
    </w:p>
    <w:p>
      <w:pPr>
        <w:spacing w:line="360" w:lineRule="auto"/>
        <w:jc w:val="center"/>
        <w:rPr>
          <w:rFonts w:ascii="宋体" w:hAnsi="宋体"/>
          <w:sz w:val="22"/>
        </w:rPr>
      </w:pPr>
    </w:p>
    <w:p>
      <w:pPr>
        <w:spacing w:line="360" w:lineRule="auto"/>
        <w:jc w:val="center"/>
        <w:rPr>
          <w:rFonts w:ascii="宋体" w:hAnsi="宋体"/>
          <w:sz w:val="22"/>
        </w:rPr>
      </w:pPr>
    </w:p>
    <w:p>
      <w:pPr>
        <w:spacing w:line="360" w:lineRule="auto"/>
        <w:jc w:val="center"/>
        <w:rPr>
          <w:rFonts w:ascii="宋体" w:hAnsi="宋体"/>
          <w:sz w:val="22"/>
        </w:rPr>
      </w:pPr>
    </w:p>
    <w:p>
      <w:pPr>
        <w:spacing w:line="360" w:lineRule="auto"/>
        <w:jc w:val="center"/>
        <w:rPr>
          <w:rFonts w:ascii="宋体" w:hAnsi="宋体"/>
          <w:sz w:val="20"/>
          <w:u w:val="single"/>
        </w:rPr>
      </w:pPr>
      <w:r>
        <w:rPr>
          <w:rFonts w:hint="eastAsia" w:ascii="宋体" w:hAnsi="宋体" w:cs="黑体"/>
          <w:sz w:val="36"/>
          <w:u w:val="single"/>
        </w:rPr>
        <w:t>（招标项目名称）</w:t>
      </w:r>
    </w:p>
    <w:p>
      <w:pPr>
        <w:spacing w:line="360" w:lineRule="auto"/>
        <w:jc w:val="center"/>
        <w:rPr>
          <w:rFonts w:ascii="宋体" w:hAnsi="宋体"/>
          <w:sz w:val="22"/>
        </w:rPr>
      </w:pPr>
    </w:p>
    <w:p>
      <w:pPr>
        <w:widowControl/>
        <w:spacing w:line="360" w:lineRule="auto"/>
        <w:jc w:val="center"/>
        <w:rPr>
          <w:rFonts w:ascii="宋体" w:hAnsi="宋体"/>
          <w:sz w:val="44"/>
        </w:rPr>
      </w:pPr>
      <w:r>
        <w:rPr>
          <w:rFonts w:hint="eastAsia" w:ascii="宋体" w:hAnsi="宋体" w:cs="黑体"/>
          <w:sz w:val="44"/>
        </w:rPr>
        <w:t>投标文件</w:t>
      </w:r>
    </w:p>
    <w:p>
      <w:pPr>
        <w:widowControl/>
        <w:spacing w:line="360" w:lineRule="auto"/>
        <w:jc w:val="center"/>
        <w:rPr>
          <w:rFonts w:ascii="宋体" w:hAnsi="宋体"/>
          <w:sz w:val="44"/>
        </w:rPr>
      </w:pPr>
    </w:p>
    <w:p>
      <w:pPr>
        <w:widowControl/>
        <w:spacing w:line="360" w:lineRule="auto"/>
        <w:jc w:val="center"/>
        <w:rPr>
          <w:rFonts w:ascii="宋体" w:hAnsi="宋体"/>
          <w:sz w:val="44"/>
        </w:rPr>
      </w:pPr>
    </w:p>
    <w:p>
      <w:pPr>
        <w:widowControl/>
        <w:spacing w:line="360" w:lineRule="auto"/>
        <w:jc w:val="center"/>
        <w:rPr>
          <w:rFonts w:ascii="宋体" w:hAnsi="宋体"/>
          <w:sz w:val="44"/>
        </w:rPr>
      </w:pPr>
    </w:p>
    <w:p>
      <w:pPr>
        <w:widowControl/>
        <w:spacing w:line="360" w:lineRule="auto"/>
        <w:jc w:val="center"/>
        <w:rPr>
          <w:rFonts w:ascii="宋体" w:hAnsi="宋体"/>
          <w:sz w:val="44"/>
        </w:rPr>
      </w:pPr>
    </w:p>
    <w:p>
      <w:pPr>
        <w:widowControl/>
        <w:spacing w:line="360" w:lineRule="auto"/>
        <w:jc w:val="center"/>
        <w:rPr>
          <w:rFonts w:ascii="宋体" w:hAnsi="宋体"/>
          <w:sz w:val="44"/>
        </w:rPr>
      </w:pPr>
    </w:p>
    <w:p>
      <w:pPr>
        <w:widowControl/>
        <w:spacing w:line="360" w:lineRule="auto"/>
        <w:jc w:val="center"/>
        <w:rPr>
          <w:rFonts w:ascii="宋体" w:hAnsi="宋体"/>
          <w:sz w:val="44"/>
        </w:rPr>
      </w:pPr>
    </w:p>
    <w:p>
      <w:pPr>
        <w:widowControl/>
        <w:spacing w:line="360" w:lineRule="auto"/>
        <w:jc w:val="center"/>
        <w:rPr>
          <w:rFonts w:ascii="宋体" w:hAnsi="宋体"/>
          <w:sz w:val="22"/>
        </w:rPr>
      </w:pPr>
    </w:p>
    <w:p>
      <w:pPr>
        <w:widowControl/>
        <w:spacing w:line="360" w:lineRule="auto"/>
        <w:ind w:left="1690" w:leftChars="800" w:hanging="10"/>
        <w:jc w:val="left"/>
        <w:rPr>
          <w:rFonts w:ascii="宋体" w:hAnsi="宋体" w:cs="黑体"/>
          <w:sz w:val="28"/>
        </w:rPr>
      </w:pPr>
      <w:r>
        <w:rPr>
          <w:rFonts w:hint="eastAsia" w:ascii="宋体" w:hAnsi="宋体" w:cs="黑体"/>
          <w:sz w:val="28"/>
        </w:rPr>
        <w:t>投标人：（盖单位章）</w:t>
      </w:r>
    </w:p>
    <w:p>
      <w:pPr>
        <w:widowControl/>
        <w:spacing w:line="360" w:lineRule="auto"/>
        <w:ind w:left="1690" w:leftChars="800" w:hanging="10"/>
        <w:jc w:val="left"/>
        <w:rPr>
          <w:rFonts w:ascii="宋体" w:hAnsi="宋体"/>
          <w:sz w:val="22"/>
        </w:rPr>
      </w:pPr>
      <w:r>
        <w:rPr>
          <w:rFonts w:hint="eastAsia" w:ascii="宋体" w:hAnsi="宋体" w:cs="黑体"/>
          <w:sz w:val="28"/>
        </w:rPr>
        <w:t>法定代表人或其委托代理人：（签字或盖章）</w:t>
      </w:r>
    </w:p>
    <w:p>
      <w:pPr>
        <w:widowControl/>
        <w:tabs>
          <w:tab w:val="center" w:pos="4320"/>
          <w:tab w:val="center" w:pos="8723"/>
        </w:tabs>
        <w:spacing w:line="360" w:lineRule="auto"/>
        <w:jc w:val="center"/>
        <w:rPr>
          <w:rFonts w:ascii="宋体" w:hAnsi="宋体"/>
        </w:rPr>
      </w:pPr>
      <w:r>
        <w:rPr>
          <w:rFonts w:hint="eastAsia" w:ascii="宋体" w:hAnsi="宋体" w:cs="黑体"/>
          <w:sz w:val="28"/>
        </w:rPr>
        <w:t>年    月    日</w:t>
      </w:r>
    </w:p>
    <w:p>
      <w:pPr>
        <w:widowControl/>
        <w:tabs>
          <w:tab w:val="center" w:pos="4320"/>
          <w:tab w:val="center" w:pos="8723"/>
        </w:tabs>
        <w:spacing w:after="127" w:line="259" w:lineRule="auto"/>
        <w:jc w:val="left"/>
        <w:rPr>
          <w:rFonts w:ascii="宋体" w:hAnsi="宋体"/>
          <w:sz w:val="22"/>
        </w:rPr>
      </w:pPr>
      <w:r>
        <w:rPr>
          <w:rFonts w:ascii="宋体" w:hAnsi="宋体"/>
        </w:rPr>
        <w:br w:type="page"/>
      </w:r>
    </w:p>
    <w:p>
      <w:pPr>
        <w:keepNext/>
        <w:keepLines/>
        <w:widowControl/>
        <w:spacing w:line="360" w:lineRule="auto"/>
        <w:jc w:val="center"/>
        <w:rPr>
          <w:rFonts w:ascii="宋体" w:hAnsi="宋体"/>
          <w:kern w:val="0"/>
          <w:sz w:val="32"/>
          <w:szCs w:val="20"/>
        </w:rPr>
      </w:pPr>
      <w:bookmarkStart w:id="106" w:name="_Toc7454666"/>
      <w:bookmarkStart w:id="107" w:name="_Toc508788697"/>
      <w:bookmarkStart w:id="108" w:name="_Toc19186"/>
      <w:r>
        <w:rPr>
          <w:rFonts w:hint="eastAsia" w:ascii="宋体" w:hAnsi="宋体"/>
          <w:kern w:val="0"/>
          <w:sz w:val="32"/>
          <w:szCs w:val="20"/>
        </w:rPr>
        <w:t>目录</w:t>
      </w:r>
      <w:bookmarkEnd w:id="106"/>
      <w:bookmarkEnd w:id="107"/>
      <w:bookmarkEnd w:id="108"/>
    </w:p>
    <w:p>
      <w:pPr>
        <w:pStyle w:val="10"/>
      </w:pPr>
    </w:p>
    <w:p>
      <w:pPr>
        <w:widowControl/>
        <w:numPr>
          <w:ilvl w:val="0"/>
          <w:numId w:val="3"/>
        </w:numPr>
        <w:spacing w:line="360" w:lineRule="auto"/>
        <w:jc w:val="left"/>
        <w:rPr>
          <w:rFonts w:ascii="宋体" w:hAnsi="宋体"/>
          <w:sz w:val="24"/>
          <w:szCs w:val="24"/>
        </w:rPr>
      </w:pPr>
      <w:r>
        <w:rPr>
          <w:rFonts w:hint="eastAsia" w:ascii="宋体" w:hAnsi="宋体" w:cs="宋体"/>
          <w:sz w:val="24"/>
          <w:szCs w:val="24"/>
        </w:rPr>
        <w:t>投标函及投标函附录</w:t>
      </w:r>
    </w:p>
    <w:p>
      <w:pPr>
        <w:widowControl/>
        <w:numPr>
          <w:ilvl w:val="0"/>
          <w:numId w:val="3"/>
        </w:numPr>
        <w:spacing w:line="360" w:lineRule="auto"/>
        <w:jc w:val="left"/>
        <w:rPr>
          <w:rFonts w:ascii="宋体" w:hAnsi="宋体"/>
          <w:sz w:val="24"/>
          <w:szCs w:val="24"/>
        </w:rPr>
      </w:pPr>
      <w:r>
        <w:rPr>
          <w:rFonts w:hint="eastAsia" w:ascii="宋体" w:hAnsi="宋体" w:cs="宋体"/>
          <w:sz w:val="24"/>
          <w:szCs w:val="24"/>
        </w:rPr>
        <w:t>法定代表人身份证明（适用于无委托代理人的情况）</w:t>
      </w:r>
    </w:p>
    <w:p>
      <w:pPr>
        <w:widowControl/>
        <w:numPr>
          <w:ilvl w:val="0"/>
          <w:numId w:val="3"/>
        </w:numPr>
        <w:spacing w:line="360" w:lineRule="auto"/>
        <w:jc w:val="left"/>
        <w:rPr>
          <w:rFonts w:ascii="宋体" w:hAnsi="宋体"/>
          <w:sz w:val="24"/>
          <w:szCs w:val="24"/>
        </w:rPr>
      </w:pPr>
      <w:r>
        <w:rPr>
          <w:rFonts w:hint="eastAsia" w:ascii="宋体" w:hAnsi="宋体" w:cs="宋体"/>
          <w:sz w:val="24"/>
          <w:szCs w:val="24"/>
        </w:rPr>
        <w:t>授权委托书（适用于有委托代理人的情况）</w:t>
      </w:r>
    </w:p>
    <w:p>
      <w:pPr>
        <w:widowControl/>
        <w:numPr>
          <w:ilvl w:val="0"/>
          <w:numId w:val="3"/>
        </w:numPr>
        <w:spacing w:line="360" w:lineRule="auto"/>
        <w:jc w:val="left"/>
        <w:rPr>
          <w:rFonts w:ascii="宋体" w:hAnsi="宋体" w:cs="宋体"/>
          <w:sz w:val="24"/>
          <w:szCs w:val="24"/>
        </w:rPr>
      </w:pPr>
      <w:r>
        <w:rPr>
          <w:rFonts w:hint="eastAsia" w:ascii="宋体" w:hAnsi="宋体" w:cs="宋体"/>
          <w:sz w:val="24"/>
          <w:szCs w:val="24"/>
        </w:rPr>
        <w:t>商务和技术偏差表</w:t>
      </w:r>
    </w:p>
    <w:p>
      <w:pPr>
        <w:widowControl/>
        <w:numPr>
          <w:ilvl w:val="0"/>
          <w:numId w:val="3"/>
        </w:numPr>
        <w:spacing w:line="360" w:lineRule="auto"/>
        <w:jc w:val="left"/>
        <w:rPr>
          <w:rFonts w:ascii="宋体" w:hAnsi="宋体"/>
          <w:sz w:val="24"/>
          <w:szCs w:val="24"/>
        </w:rPr>
      </w:pPr>
      <w:r>
        <w:rPr>
          <w:rFonts w:hint="eastAsia" w:ascii="宋体" w:hAnsi="宋体"/>
          <w:sz w:val="24"/>
          <w:szCs w:val="24"/>
        </w:rPr>
        <w:t>分项报价表</w:t>
      </w:r>
    </w:p>
    <w:p>
      <w:pPr>
        <w:widowControl/>
        <w:numPr>
          <w:ilvl w:val="0"/>
          <w:numId w:val="3"/>
        </w:numPr>
        <w:spacing w:line="360" w:lineRule="auto"/>
        <w:jc w:val="left"/>
        <w:rPr>
          <w:rFonts w:ascii="宋体" w:hAnsi="宋体" w:cs="宋体"/>
          <w:sz w:val="24"/>
          <w:szCs w:val="24"/>
        </w:rPr>
      </w:pPr>
      <w:r>
        <w:rPr>
          <w:rFonts w:hint="eastAsia" w:ascii="宋体" w:hAnsi="宋体" w:cs="宋体"/>
          <w:sz w:val="24"/>
          <w:szCs w:val="24"/>
        </w:rPr>
        <w:t>资格审查资料</w:t>
      </w:r>
    </w:p>
    <w:p>
      <w:pPr>
        <w:widowControl/>
        <w:numPr>
          <w:ilvl w:val="0"/>
          <w:numId w:val="3"/>
        </w:numPr>
        <w:spacing w:line="360" w:lineRule="auto"/>
        <w:jc w:val="left"/>
        <w:rPr>
          <w:rFonts w:ascii="宋体" w:hAnsi="宋体" w:cs="宋体"/>
          <w:sz w:val="24"/>
          <w:szCs w:val="24"/>
        </w:rPr>
      </w:pPr>
      <w:r>
        <w:rPr>
          <w:rFonts w:hint="eastAsia" w:ascii="宋体" w:hAnsi="宋体" w:cs="宋体"/>
          <w:sz w:val="24"/>
          <w:szCs w:val="24"/>
        </w:rPr>
        <w:t>供货业绩情况表</w:t>
      </w:r>
    </w:p>
    <w:p>
      <w:pPr>
        <w:widowControl/>
        <w:numPr>
          <w:ilvl w:val="0"/>
          <w:numId w:val="3"/>
        </w:numPr>
        <w:spacing w:line="360" w:lineRule="auto"/>
        <w:jc w:val="left"/>
        <w:rPr>
          <w:rFonts w:ascii="宋体" w:hAnsi="宋体"/>
          <w:sz w:val="24"/>
          <w:szCs w:val="24"/>
        </w:rPr>
      </w:pPr>
      <w:r>
        <w:rPr>
          <w:rFonts w:hint="eastAsia" w:ascii="宋体" w:hAnsi="宋体"/>
          <w:sz w:val="24"/>
          <w:szCs w:val="24"/>
        </w:rPr>
        <w:t>投标设备技术性能指标的详细描述</w:t>
      </w:r>
    </w:p>
    <w:p>
      <w:pPr>
        <w:widowControl/>
        <w:numPr>
          <w:ilvl w:val="0"/>
          <w:numId w:val="3"/>
        </w:numPr>
        <w:spacing w:line="360" w:lineRule="auto"/>
        <w:jc w:val="left"/>
        <w:rPr>
          <w:rFonts w:ascii="宋体" w:hAnsi="宋体"/>
          <w:sz w:val="24"/>
          <w:szCs w:val="24"/>
        </w:rPr>
      </w:pPr>
      <w:r>
        <w:rPr>
          <w:rFonts w:hint="eastAsia" w:ascii="宋体" w:hAnsi="宋体"/>
          <w:sz w:val="24"/>
          <w:szCs w:val="24"/>
        </w:rPr>
        <w:t>技术支持资料</w:t>
      </w:r>
    </w:p>
    <w:p>
      <w:pPr>
        <w:widowControl/>
        <w:numPr>
          <w:ilvl w:val="0"/>
          <w:numId w:val="3"/>
        </w:numPr>
        <w:spacing w:line="360" w:lineRule="auto"/>
        <w:jc w:val="left"/>
        <w:rPr>
          <w:rFonts w:ascii="宋体" w:hAnsi="宋体"/>
          <w:sz w:val="24"/>
          <w:szCs w:val="24"/>
        </w:rPr>
      </w:pPr>
      <w:r>
        <w:rPr>
          <w:rFonts w:hint="eastAsia" w:ascii="宋体" w:hAnsi="宋体" w:cs="宋体"/>
          <w:sz w:val="24"/>
          <w:szCs w:val="24"/>
        </w:rPr>
        <w:t>技术服务和质保期服务计划</w:t>
      </w:r>
    </w:p>
    <w:p>
      <w:pPr>
        <w:widowControl/>
        <w:numPr>
          <w:ilvl w:val="0"/>
          <w:numId w:val="3"/>
        </w:numPr>
        <w:spacing w:line="360" w:lineRule="auto"/>
        <w:jc w:val="left"/>
        <w:rPr>
          <w:rFonts w:ascii="宋体" w:hAnsi="宋体" w:cs="宋体"/>
          <w:sz w:val="24"/>
          <w:szCs w:val="24"/>
        </w:rPr>
      </w:pPr>
      <w:r>
        <w:rPr>
          <w:rFonts w:hint="eastAsia" w:ascii="宋体" w:hAnsi="宋体" w:cs="宋体"/>
          <w:sz w:val="24"/>
          <w:szCs w:val="24"/>
        </w:rPr>
        <w:t>实施方案</w:t>
      </w:r>
    </w:p>
    <w:p>
      <w:pPr>
        <w:widowControl/>
        <w:numPr>
          <w:ilvl w:val="0"/>
          <w:numId w:val="3"/>
        </w:numPr>
        <w:spacing w:line="360" w:lineRule="auto"/>
        <w:jc w:val="left"/>
        <w:rPr>
          <w:rFonts w:ascii="宋体" w:hAnsi="宋体" w:cs="宋体"/>
          <w:sz w:val="24"/>
          <w:szCs w:val="24"/>
        </w:rPr>
      </w:pPr>
      <w:r>
        <w:rPr>
          <w:rFonts w:hint="eastAsia" w:ascii="宋体" w:hAnsi="宋体" w:cs="宋体"/>
          <w:sz w:val="24"/>
          <w:szCs w:val="24"/>
        </w:rPr>
        <w:t>其他资料</w:t>
      </w:r>
    </w:p>
    <w:p>
      <w:pPr>
        <w:keepNext/>
        <w:keepLines/>
        <w:widowControl/>
        <w:spacing w:line="360" w:lineRule="auto"/>
        <w:jc w:val="left"/>
        <w:outlineLvl w:val="1"/>
        <w:rPr>
          <w:rFonts w:ascii="宋体" w:hAnsi="宋体"/>
          <w:kern w:val="0"/>
          <w:sz w:val="22"/>
          <w:szCs w:val="20"/>
        </w:rPr>
      </w:pPr>
      <w:bookmarkStart w:id="109" w:name="_Toc508788698"/>
      <w:r>
        <w:rPr>
          <w:rFonts w:ascii="宋体" w:hAnsi="宋体"/>
          <w:kern w:val="0"/>
          <w:sz w:val="32"/>
          <w:szCs w:val="20"/>
        </w:rPr>
        <w:br w:type="page"/>
      </w:r>
      <w:bookmarkStart w:id="110" w:name="_Toc7454667"/>
      <w:bookmarkStart w:id="111" w:name="_Toc132"/>
      <w:r>
        <w:rPr>
          <w:rFonts w:hint="eastAsia" w:ascii="宋体" w:hAnsi="宋体"/>
          <w:kern w:val="0"/>
          <w:sz w:val="32"/>
          <w:szCs w:val="20"/>
        </w:rPr>
        <w:t>一、投标函及投标函附录</w:t>
      </w:r>
      <w:bookmarkEnd w:id="109"/>
      <w:bookmarkEnd w:id="110"/>
      <w:bookmarkEnd w:id="111"/>
    </w:p>
    <w:p>
      <w:pPr>
        <w:keepNext/>
        <w:keepLines/>
        <w:widowControl/>
        <w:spacing w:line="360" w:lineRule="auto"/>
        <w:ind w:firstLine="480" w:firstLineChars="200"/>
        <w:jc w:val="left"/>
        <w:outlineLvl w:val="1"/>
        <w:rPr>
          <w:rFonts w:ascii="宋体" w:hAnsi="宋体"/>
          <w:kern w:val="0"/>
          <w:sz w:val="24"/>
          <w:szCs w:val="24"/>
        </w:rPr>
      </w:pPr>
      <w:bookmarkStart w:id="112" w:name="_Toc359594235"/>
      <w:bookmarkStart w:id="113" w:name="_Toc482188651"/>
      <w:bookmarkStart w:id="114" w:name="_Toc7454668"/>
      <w:bookmarkStart w:id="115" w:name="_Toc370676426"/>
      <w:bookmarkStart w:id="116" w:name="_Toc385943065"/>
      <w:bookmarkStart w:id="117" w:name="_Toc492300721"/>
      <w:bookmarkStart w:id="118" w:name="_Toc391394111"/>
      <w:bookmarkStart w:id="119" w:name="_Toc25543"/>
      <w:bookmarkStart w:id="120" w:name="_Toc508788699"/>
      <w:r>
        <w:rPr>
          <w:rFonts w:ascii="宋体" w:hAnsi="宋体"/>
          <w:kern w:val="0"/>
          <w:sz w:val="24"/>
          <w:szCs w:val="24"/>
        </w:rPr>
        <w:t>（一）投标函</w:t>
      </w:r>
      <w:bookmarkEnd w:id="112"/>
      <w:bookmarkEnd w:id="113"/>
      <w:bookmarkEnd w:id="114"/>
      <w:bookmarkEnd w:id="115"/>
      <w:bookmarkEnd w:id="116"/>
      <w:bookmarkEnd w:id="117"/>
      <w:bookmarkEnd w:id="118"/>
      <w:bookmarkEnd w:id="119"/>
    </w:p>
    <w:p>
      <w:pPr>
        <w:widowControl/>
        <w:spacing w:line="360" w:lineRule="auto"/>
        <w:jc w:val="left"/>
        <w:rPr>
          <w:rFonts w:ascii="宋体" w:hAnsi="宋体"/>
          <w:sz w:val="24"/>
          <w:szCs w:val="24"/>
          <w:u w:val="single"/>
        </w:rPr>
      </w:pPr>
      <w:r>
        <w:rPr>
          <w:rFonts w:hint="eastAsia" w:ascii="宋体" w:hAnsi="宋体"/>
          <w:sz w:val="24"/>
          <w:szCs w:val="24"/>
          <w:u w:val="single"/>
        </w:rPr>
        <w:t>（</w:t>
      </w:r>
      <w:r>
        <w:rPr>
          <w:rFonts w:ascii="宋体" w:hAnsi="宋体"/>
          <w:sz w:val="24"/>
          <w:szCs w:val="24"/>
          <w:u w:val="single"/>
        </w:rPr>
        <w:t>招标人名称）：</w:t>
      </w:r>
    </w:p>
    <w:p>
      <w:pPr>
        <w:widowControl/>
        <w:spacing w:line="360" w:lineRule="auto"/>
        <w:ind w:firstLine="480" w:firstLineChars="200"/>
        <w:jc w:val="left"/>
        <w:rPr>
          <w:rFonts w:ascii="宋体" w:hAnsi="宋体"/>
          <w:sz w:val="24"/>
          <w:szCs w:val="24"/>
        </w:rPr>
      </w:pPr>
      <w:r>
        <w:rPr>
          <w:rFonts w:ascii="宋体" w:hAnsi="宋体"/>
          <w:sz w:val="24"/>
          <w:szCs w:val="24"/>
        </w:rPr>
        <w:t>1．我方已仔细研究了</w:t>
      </w:r>
      <w:r>
        <w:rPr>
          <w:rFonts w:ascii="宋体" w:hAnsi="宋体"/>
          <w:sz w:val="24"/>
          <w:szCs w:val="24"/>
          <w:u w:val="single"/>
        </w:rPr>
        <w:t>（项目名称）</w:t>
      </w:r>
      <w:r>
        <w:rPr>
          <w:rFonts w:ascii="宋体" w:hAnsi="宋体"/>
          <w:sz w:val="24"/>
          <w:szCs w:val="24"/>
        </w:rPr>
        <w:t>招标文件的全部内容，愿意以人民币（大写</w:t>
      </w:r>
      <w:r>
        <w:rPr>
          <w:rFonts w:hint="eastAsia" w:ascii="宋体" w:hAnsi="宋体"/>
          <w:sz w:val="24"/>
          <w:szCs w:val="24"/>
        </w:rPr>
        <w:t>：</w:t>
      </w:r>
      <w:r>
        <w:rPr>
          <w:rFonts w:ascii="宋体" w:hAnsi="宋体"/>
          <w:sz w:val="24"/>
          <w:szCs w:val="24"/>
        </w:rPr>
        <w:t>）（¥）的投标总报价，</w:t>
      </w:r>
      <w:r>
        <w:rPr>
          <w:rFonts w:hint="eastAsia" w:ascii="宋体" w:hAnsi="宋体"/>
          <w:sz w:val="24"/>
          <w:szCs w:val="24"/>
        </w:rPr>
        <w:t>提供本招标项所有设备及技术服务和质保期服务，并</w:t>
      </w:r>
      <w:r>
        <w:rPr>
          <w:rFonts w:ascii="宋体" w:hAnsi="宋体"/>
          <w:sz w:val="24"/>
          <w:szCs w:val="24"/>
        </w:rPr>
        <w:t>按合同约定</w:t>
      </w:r>
      <w:r>
        <w:rPr>
          <w:rFonts w:hint="eastAsia" w:ascii="宋体" w:hAnsi="宋体"/>
          <w:sz w:val="24"/>
          <w:szCs w:val="24"/>
        </w:rPr>
        <w:t>履行义务</w:t>
      </w:r>
      <w:r>
        <w:rPr>
          <w:rFonts w:ascii="宋体" w:hAnsi="宋体"/>
          <w:sz w:val="24"/>
          <w:szCs w:val="24"/>
        </w:rPr>
        <w:t>。</w:t>
      </w:r>
    </w:p>
    <w:p>
      <w:pPr>
        <w:widowControl/>
        <w:spacing w:line="360" w:lineRule="auto"/>
        <w:ind w:firstLine="480" w:firstLineChars="200"/>
        <w:jc w:val="left"/>
        <w:rPr>
          <w:rFonts w:ascii="宋体" w:hAnsi="宋体"/>
          <w:sz w:val="24"/>
          <w:szCs w:val="24"/>
        </w:rPr>
      </w:pPr>
      <w:r>
        <w:rPr>
          <w:rFonts w:ascii="宋体" w:hAnsi="宋体"/>
          <w:sz w:val="24"/>
          <w:szCs w:val="24"/>
        </w:rPr>
        <w:t>2. 我方的投标文件包括下列内容：</w:t>
      </w:r>
    </w:p>
    <w:p>
      <w:pPr>
        <w:widowControl/>
        <w:numPr>
          <w:ilvl w:val="0"/>
          <w:numId w:val="4"/>
        </w:numPr>
        <w:spacing w:line="360" w:lineRule="auto"/>
        <w:jc w:val="left"/>
        <w:rPr>
          <w:rFonts w:ascii="宋体" w:hAnsi="宋体"/>
          <w:sz w:val="24"/>
          <w:szCs w:val="24"/>
        </w:rPr>
      </w:pPr>
      <w:r>
        <w:rPr>
          <w:rFonts w:ascii="宋体" w:hAnsi="宋体"/>
          <w:sz w:val="24"/>
          <w:szCs w:val="24"/>
        </w:rPr>
        <w:t>投标函及投标函附录；</w:t>
      </w:r>
    </w:p>
    <w:p>
      <w:pPr>
        <w:widowControl/>
        <w:numPr>
          <w:ilvl w:val="0"/>
          <w:numId w:val="4"/>
        </w:numPr>
        <w:spacing w:line="360" w:lineRule="auto"/>
        <w:jc w:val="left"/>
        <w:rPr>
          <w:rFonts w:ascii="宋体" w:hAnsi="宋体"/>
          <w:sz w:val="24"/>
          <w:szCs w:val="24"/>
        </w:rPr>
      </w:pPr>
      <w:r>
        <w:rPr>
          <w:rFonts w:hint="eastAsia" w:ascii="宋体" w:hAnsi="宋体" w:cs="宋体"/>
          <w:sz w:val="24"/>
          <w:szCs w:val="24"/>
        </w:rPr>
        <w:t>法定代表人身份证明（适用于无委托代理人的情况）、授权委托书（适用于有委托代理人的情况）</w:t>
      </w:r>
      <w:r>
        <w:rPr>
          <w:rFonts w:ascii="宋体" w:hAnsi="宋体"/>
          <w:sz w:val="24"/>
          <w:szCs w:val="24"/>
        </w:rPr>
        <w:t>；</w:t>
      </w:r>
    </w:p>
    <w:p>
      <w:pPr>
        <w:widowControl/>
        <w:numPr>
          <w:ilvl w:val="0"/>
          <w:numId w:val="4"/>
        </w:numPr>
        <w:spacing w:line="360" w:lineRule="auto"/>
        <w:jc w:val="left"/>
        <w:rPr>
          <w:rFonts w:ascii="宋体" w:hAnsi="宋体"/>
          <w:sz w:val="24"/>
          <w:szCs w:val="24"/>
        </w:rPr>
      </w:pPr>
      <w:r>
        <w:rPr>
          <w:rFonts w:hint="eastAsia" w:ascii="宋体" w:hAnsi="宋体"/>
          <w:sz w:val="24"/>
          <w:szCs w:val="24"/>
        </w:rPr>
        <w:t xml:space="preserve">商务和技术偏差表； </w:t>
      </w:r>
    </w:p>
    <w:p>
      <w:pPr>
        <w:widowControl/>
        <w:numPr>
          <w:ilvl w:val="0"/>
          <w:numId w:val="4"/>
        </w:numPr>
        <w:spacing w:line="360" w:lineRule="auto"/>
        <w:jc w:val="left"/>
        <w:rPr>
          <w:rFonts w:ascii="宋体" w:hAnsi="宋体"/>
          <w:sz w:val="24"/>
          <w:szCs w:val="24"/>
        </w:rPr>
      </w:pPr>
      <w:r>
        <w:rPr>
          <w:rFonts w:hint="eastAsia" w:ascii="宋体" w:hAnsi="宋体"/>
          <w:sz w:val="24"/>
          <w:szCs w:val="24"/>
        </w:rPr>
        <w:t xml:space="preserve">分项报价表； </w:t>
      </w:r>
    </w:p>
    <w:p>
      <w:pPr>
        <w:widowControl/>
        <w:numPr>
          <w:ilvl w:val="0"/>
          <w:numId w:val="4"/>
        </w:numPr>
        <w:spacing w:line="360" w:lineRule="auto"/>
        <w:jc w:val="left"/>
        <w:rPr>
          <w:rFonts w:ascii="宋体" w:hAnsi="宋体"/>
          <w:sz w:val="24"/>
          <w:szCs w:val="24"/>
        </w:rPr>
      </w:pPr>
      <w:r>
        <w:rPr>
          <w:rFonts w:hint="eastAsia" w:ascii="宋体" w:hAnsi="宋体"/>
          <w:sz w:val="24"/>
          <w:szCs w:val="24"/>
        </w:rPr>
        <w:t xml:space="preserve">资格审查资料； </w:t>
      </w:r>
    </w:p>
    <w:p>
      <w:pPr>
        <w:widowControl/>
        <w:numPr>
          <w:ilvl w:val="0"/>
          <w:numId w:val="4"/>
        </w:numPr>
        <w:spacing w:line="360" w:lineRule="auto"/>
        <w:jc w:val="left"/>
        <w:rPr>
          <w:rFonts w:ascii="宋体" w:hAnsi="宋体"/>
          <w:sz w:val="24"/>
          <w:szCs w:val="24"/>
        </w:rPr>
      </w:pPr>
      <w:r>
        <w:rPr>
          <w:rFonts w:hint="eastAsia" w:ascii="宋体" w:hAnsi="宋体" w:cs="宋体"/>
          <w:sz w:val="24"/>
          <w:szCs w:val="24"/>
        </w:rPr>
        <w:t>供货业绩情况表</w:t>
      </w:r>
      <w:r>
        <w:rPr>
          <w:rFonts w:hint="eastAsia" w:ascii="宋体" w:hAnsi="宋体"/>
          <w:sz w:val="24"/>
          <w:szCs w:val="24"/>
        </w:rPr>
        <w:t xml:space="preserve">； </w:t>
      </w:r>
    </w:p>
    <w:p>
      <w:pPr>
        <w:widowControl/>
        <w:numPr>
          <w:ilvl w:val="0"/>
          <w:numId w:val="4"/>
        </w:numPr>
        <w:spacing w:line="360" w:lineRule="auto"/>
        <w:jc w:val="left"/>
        <w:rPr>
          <w:rFonts w:ascii="宋体" w:hAnsi="宋体"/>
          <w:sz w:val="24"/>
          <w:szCs w:val="24"/>
        </w:rPr>
      </w:pPr>
      <w:r>
        <w:rPr>
          <w:rFonts w:hint="eastAsia" w:ascii="宋体" w:hAnsi="宋体"/>
          <w:sz w:val="24"/>
          <w:szCs w:val="24"/>
        </w:rPr>
        <w:t>投标设备技术性能指标的详细描述；</w:t>
      </w:r>
    </w:p>
    <w:p>
      <w:pPr>
        <w:widowControl/>
        <w:numPr>
          <w:ilvl w:val="0"/>
          <w:numId w:val="4"/>
        </w:numPr>
        <w:spacing w:line="360" w:lineRule="auto"/>
        <w:jc w:val="left"/>
        <w:rPr>
          <w:rFonts w:ascii="宋体" w:hAnsi="宋体"/>
          <w:sz w:val="24"/>
          <w:szCs w:val="24"/>
        </w:rPr>
      </w:pPr>
      <w:r>
        <w:rPr>
          <w:rFonts w:hint="eastAsia" w:ascii="宋体" w:hAnsi="宋体"/>
          <w:sz w:val="24"/>
          <w:szCs w:val="24"/>
        </w:rPr>
        <w:t>技术支持资料；</w:t>
      </w:r>
    </w:p>
    <w:p>
      <w:pPr>
        <w:widowControl/>
        <w:numPr>
          <w:ilvl w:val="0"/>
          <w:numId w:val="4"/>
        </w:numPr>
        <w:spacing w:line="360" w:lineRule="auto"/>
        <w:jc w:val="left"/>
        <w:rPr>
          <w:rFonts w:ascii="宋体" w:hAnsi="宋体"/>
          <w:sz w:val="24"/>
          <w:szCs w:val="24"/>
        </w:rPr>
      </w:pPr>
      <w:r>
        <w:rPr>
          <w:rFonts w:hint="eastAsia" w:ascii="宋体" w:hAnsi="宋体"/>
          <w:sz w:val="24"/>
          <w:szCs w:val="24"/>
        </w:rPr>
        <w:t>技术服务和质保期服务计划；</w:t>
      </w:r>
    </w:p>
    <w:p>
      <w:pPr>
        <w:widowControl/>
        <w:numPr>
          <w:ilvl w:val="0"/>
          <w:numId w:val="4"/>
        </w:numPr>
        <w:spacing w:line="360" w:lineRule="auto"/>
        <w:jc w:val="left"/>
        <w:rPr>
          <w:rFonts w:ascii="宋体" w:hAnsi="宋体"/>
          <w:sz w:val="24"/>
          <w:szCs w:val="24"/>
        </w:rPr>
      </w:pPr>
      <w:r>
        <w:rPr>
          <w:rFonts w:hint="eastAsia" w:ascii="宋体" w:hAnsi="宋体"/>
          <w:sz w:val="24"/>
          <w:szCs w:val="24"/>
        </w:rPr>
        <w:t>实施方案</w:t>
      </w:r>
    </w:p>
    <w:p>
      <w:pPr>
        <w:widowControl/>
        <w:numPr>
          <w:ilvl w:val="0"/>
          <w:numId w:val="4"/>
        </w:numPr>
        <w:spacing w:line="360" w:lineRule="auto"/>
        <w:jc w:val="left"/>
        <w:rPr>
          <w:rFonts w:ascii="宋体" w:hAnsi="宋体"/>
          <w:sz w:val="24"/>
          <w:szCs w:val="24"/>
        </w:rPr>
      </w:pPr>
      <w:r>
        <w:rPr>
          <w:rFonts w:hint="eastAsia" w:ascii="宋体" w:hAnsi="宋体"/>
          <w:sz w:val="24"/>
          <w:szCs w:val="24"/>
        </w:rPr>
        <w:t>其他资料；</w:t>
      </w:r>
    </w:p>
    <w:p>
      <w:pPr>
        <w:widowControl/>
        <w:spacing w:line="360" w:lineRule="auto"/>
        <w:ind w:firstLine="480" w:firstLineChars="200"/>
        <w:jc w:val="left"/>
        <w:rPr>
          <w:rFonts w:ascii="宋体" w:hAnsi="宋体"/>
          <w:sz w:val="24"/>
          <w:szCs w:val="24"/>
        </w:rPr>
      </w:pPr>
      <w:r>
        <w:rPr>
          <w:rFonts w:ascii="宋体" w:hAnsi="宋体"/>
          <w:sz w:val="24"/>
          <w:szCs w:val="24"/>
        </w:rPr>
        <w:t>投标文件的上述组成部分如存在内容不一致的，以投标函为准。</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3．我方承诺除商务和技术偏差表列出的偏差外，我方响应招标文件的全部要求。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4．我方承诺在招标文件规定的投标有效期内不撤销投标文件。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5．如我方中标，我方承诺：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（1）在收到中标通知书后，在中标通知书规定的期限内与你方签订合同；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（2）在签订合同时不向你方提出附加条件；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（3）按照招标文件要求提交履约保证金； </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（4）在合同约定的期限内完成合同规定的全部义务。 </w:t>
      </w:r>
    </w:p>
    <w:p>
      <w:pPr>
        <w:widowControl/>
        <w:spacing w:line="360" w:lineRule="auto"/>
        <w:ind w:firstLine="480" w:firstLineChars="200"/>
        <w:jc w:val="left"/>
        <w:rPr>
          <w:rFonts w:ascii="宋体" w:hAnsi="宋体"/>
          <w:sz w:val="24"/>
          <w:szCs w:val="24"/>
        </w:rPr>
      </w:pPr>
      <w:r>
        <w:rPr>
          <w:rFonts w:hint="eastAsia" w:ascii="宋体" w:hAnsi="宋体"/>
          <w:sz w:val="24"/>
          <w:szCs w:val="24"/>
        </w:rPr>
        <w:t>6．我方在此声明，所递交的投标文件及有关资料内容完整、真实和准确，且不存在第二章“投标人须知”第 1.4.3 项规定的任何一种情形。</w:t>
      </w:r>
    </w:p>
    <w:p>
      <w:pPr>
        <w:widowControl/>
        <w:spacing w:line="360" w:lineRule="auto"/>
        <w:ind w:firstLine="480" w:firstLineChars="200"/>
        <w:jc w:val="left"/>
        <w:rPr>
          <w:rFonts w:ascii="宋体" w:hAnsi="宋体"/>
          <w:sz w:val="24"/>
          <w:szCs w:val="24"/>
          <w:u w:val="single"/>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ab/>
      </w:r>
      <w:r>
        <w:rPr>
          <w:rFonts w:hint="eastAsia" w:ascii="宋体" w:hAnsi="宋体"/>
          <w:sz w:val="24"/>
          <w:szCs w:val="24"/>
          <w:u w:val="single"/>
        </w:rPr>
        <w:t>（其他补充说明）</w:t>
      </w:r>
    </w:p>
    <w:p>
      <w:pPr>
        <w:widowControl/>
        <w:spacing w:line="360" w:lineRule="auto"/>
        <w:ind w:firstLine="480" w:firstLineChars="200"/>
        <w:jc w:val="left"/>
        <w:rPr>
          <w:rFonts w:ascii="宋体" w:hAnsi="宋体"/>
          <w:sz w:val="24"/>
          <w:szCs w:val="24"/>
        </w:rPr>
      </w:pPr>
      <w:bookmarkStart w:id="121" w:name="_Toc16824"/>
      <w:bookmarkEnd w:id="121"/>
      <w:bookmarkStart w:id="122" w:name="_Toc352691659"/>
      <w:bookmarkEnd w:id="122"/>
      <w:bookmarkStart w:id="123" w:name="_Toc352691660"/>
      <w:bookmarkEnd w:id="123"/>
      <w:bookmarkStart w:id="124" w:name="_Toc369531696"/>
      <w:bookmarkEnd w:id="124"/>
      <w:bookmarkStart w:id="125" w:name="_Toc16568"/>
      <w:bookmarkEnd w:id="125"/>
      <w:bookmarkStart w:id="126" w:name="_Toc369531695"/>
      <w:bookmarkEnd w:id="126"/>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ascii="宋体" w:hAnsi="宋体"/>
          <w:sz w:val="24"/>
          <w:szCs w:val="24"/>
        </w:rPr>
        <w:t>投标人：（盖单位章）</w:t>
      </w:r>
    </w:p>
    <w:p>
      <w:pPr>
        <w:widowControl/>
        <w:spacing w:line="360" w:lineRule="auto"/>
        <w:ind w:firstLine="480" w:firstLineChars="200"/>
        <w:jc w:val="left"/>
        <w:rPr>
          <w:rFonts w:ascii="宋体" w:hAnsi="宋体"/>
          <w:sz w:val="24"/>
          <w:szCs w:val="24"/>
        </w:rPr>
      </w:pPr>
      <w:r>
        <w:rPr>
          <w:rFonts w:ascii="宋体" w:hAnsi="宋体"/>
          <w:sz w:val="24"/>
          <w:szCs w:val="24"/>
        </w:rPr>
        <w:t>法定代表人或其委托代理人：（签字或盖章）</w:t>
      </w:r>
    </w:p>
    <w:p>
      <w:pPr>
        <w:widowControl/>
        <w:spacing w:line="360" w:lineRule="auto"/>
        <w:ind w:firstLine="480" w:firstLineChars="200"/>
        <w:jc w:val="left"/>
        <w:rPr>
          <w:rFonts w:ascii="宋体" w:hAnsi="宋体"/>
          <w:sz w:val="24"/>
          <w:szCs w:val="24"/>
        </w:rPr>
      </w:pPr>
      <w:r>
        <w:rPr>
          <w:rFonts w:ascii="宋体" w:hAnsi="宋体"/>
          <w:sz w:val="24"/>
          <w:szCs w:val="24"/>
        </w:rPr>
        <w:t>地址：</w:t>
      </w:r>
    </w:p>
    <w:p>
      <w:pPr>
        <w:widowControl/>
        <w:spacing w:line="360" w:lineRule="auto"/>
        <w:ind w:firstLine="480" w:firstLineChars="200"/>
        <w:jc w:val="left"/>
        <w:rPr>
          <w:rFonts w:ascii="宋体" w:hAnsi="宋体"/>
          <w:sz w:val="24"/>
          <w:szCs w:val="24"/>
        </w:rPr>
      </w:pPr>
      <w:r>
        <w:rPr>
          <w:rFonts w:ascii="宋体" w:hAnsi="宋体"/>
          <w:sz w:val="24"/>
          <w:szCs w:val="24"/>
        </w:rPr>
        <w:t>网址：</w:t>
      </w:r>
    </w:p>
    <w:p>
      <w:pPr>
        <w:widowControl/>
        <w:spacing w:line="360" w:lineRule="auto"/>
        <w:ind w:firstLine="480" w:firstLineChars="200"/>
        <w:jc w:val="left"/>
        <w:rPr>
          <w:rFonts w:ascii="宋体" w:hAnsi="宋体"/>
          <w:sz w:val="24"/>
          <w:szCs w:val="24"/>
        </w:rPr>
      </w:pPr>
      <w:r>
        <w:rPr>
          <w:rFonts w:ascii="宋体" w:hAnsi="宋体"/>
          <w:sz w:val="24"/>
          <w:szCs w:val="24"/>
        </w:rPr>
        <w:t>电话：</w:t>
      </w:r>
    </w:p>
    <w:p>
      <w:pPr>
        <w:widowControl/>
        <w:spacing w:line="360" w:lineRule="auto"/>
        <w:ind w:firstLine="480" w:firstLineChars="200"/>
        <w:jc w:val="left"/>
        <w:rPr>
          <w:rFonts w:ascii="宋体" w:hAnsi="宋体"/>
          <w:sz w:val="24"/>
          <w:szCs w:val="24"/>
        </w:rPr>
      </w:pPr>
      <w:r>
        <w:rPr>
          <w:rFonts w:ascii="宋体" w:hAnsi="宋体"/>
          <w:sz w:val="24"/>
          <w:szCs w:val="24"/>
        </w:rPr>
        <w:t>传真：</w:t>
      </w:r>
    </w:p>
    <w:p>
      <w:pPr>
        <w:widowControl/>
        <w:spacing w:line="360" w:lineRule="auto"/>
        <w:ind w:firstLine="480" w:firstLineChars="200"/>
        <w:jc w:val="left"/>
        <w:rPr>
          <w:rFonts w:ascii="宋体" w:hAnsi="宋体"/>
          <w:sz w:val="24"/>
          <w:szCs w:val="24"/>
          <w:u w:val="single"/>
        </w:rPr>
      </w:pPr>
      <w:r>
        <w:rPr>
          <w:rFonts w:ascii="宋体" w:hAnsi="宋体"/>
          <w:sz w:val="24"/>
          <w:szCs w:val="24"/>
        </w:rPr>
        <w:t>邮政编码：</w:t>
      </w:r>
    </w:p>
    <w:p>
      <w:pPr>
        <w:widowControl/>
        <w:spacing w:line="360" w:lineRule="auto"/>
        <w:ind w:firstLine="480" w:firstLineChars="200"/>
        <w:jc w:val="left"/>
        <w:rPr>
          <w:rFonts w:ascii="宋体" w:hAnsi="宋体"/>
          <w:sz w:val="24"/>
          <w:szCs w:val="24"/>
        </w:rPr>
      </w:pPr>
      <w:r>
        <w:rPr>
          <w:rFonts w:ascii="宋体" w:hAnsi="宋体"/>
          <w:sz w:val="24"/>
          <w:szCs w:val="24"/>
        </w:rPr>
        <w:t>年月日</w:t>
      </w:r>
      <w:bookmarkEnd w:id="120"/>
    </w:p>
    <w:p>
      <w:pPr>
        <w:keepNext/>
        <w:keepLines/>
        <w:widowControl/>
        <w:spacing w:line="360" w:lineRule="auto"/>
        <w:ind w:firstLine="480" w:firstLineChars="200"/>
        <w:jc w:val="left"/>
        <w:outlineLvl w:val="1"/>
        <w:rPr>
          <w:rFonts w:ascii="宋体" w:hAnsi="宋体"/>
          <w:kern w:val="0"/>
          <w:sz w:val="24"/>
          <w:szCs w:val="24"/>
        </w:rPr>
      </w:pPr>
      <w:bookmarkStart w:id="127" w:name="_Toc508788700"/>
      <w:r>
        <w:rPr>
          <w:rFonts w:ascii="宋体" w:hAnsi="宋体"/>
          <w:kern w:val="0"/>
          <w:sz w:val="24"/>
          <w:szCs w:val="24"/>
        </w:rPr>
        <w:br w:type="page"/>
      </w:r>
      <w:bookmarkStart w:id="128" w:name="_Toc7454669"/>
      <w:bookmarkStart w:id="129" w:name="_Toc28358"/>
      <w:r>
        <w:rPr>
          <w:rFonts w:hint="eastAsia" w:ascii="宋体" w:hAnsi="宋体"/>
          <w:kern w:val="0"/>
          <w:sz w:val="24"/>
          <w:szCs w:val="24"/>
        </w:rPr>
        <w:t>（二）投标函附录</w:t>
      </w:r>
      <w:bookmarkEnd w:id="127"/>
      <w:bookmarkEnd w:id="128"/>
      <w:bookmarkEnd w:id="12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425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条款名称</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约定内容</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1</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交货期</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2</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投标内容</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交货地点</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4</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合同价款确定方式</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5</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投标有效期</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6</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r>
              <w:rPr>
                <w:rFonts w:hint="eastAsia" w:ascii="宋体" w:hAnsi="宋体"/>
                <w:bCs/>
              </w:rPr>
              <w:t>法 人 营 业</w:t>
            </w:r>
          </w:p>
          <w:p>
            <w:pPr>
              <w:jc w:val="center"/>
              <w:rPr>
                <w:rFonts w:ascii="宋体" w:hAnsi="宋体"/>
                <w:bCs/>
              </w:rPr>
            </w:pPr>
            <w:r>
              <w:rPr>
                <w:rFonts w:hint="eastAsia" w:ascii="宋体" w:hAnsi="宋体"/>
                <w:bCs/>
              </w:rPr>
              <w:t>执 照 证 号</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rPr>
            </w:pPr>
            <w:r>
              <w:rPr>
                <w:rFonts w:hint="eastAsia" w:ascii="宋体" w:hAnsi="宋体"/>
                <w:bCs/>
              </w:rPr>
              <w:t>法 人 营 业</w:t>
            </w:r>
          </w:p>
          <w:p>
            <w:pPr>
              <w:jc w:val="left"/>
              <w:rPr>
                <w:rFonts w:ascii="宋体" w:hAnsi="宋体"/>
                <w:bCs/>
              </w:rPr>
            </w:pPr>
            <w:r>
              <w:rPr>
                <w:rFonts w:hint="eastAsia" w:ascii="宋体" w:hAnsi="宋体"/>
                <w:bCs/>
              </w:rPr>
              <w:t>执 照 证 号：</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bl>
    <w:p>
      <w:pPr>
        <w:spacing w:line="360" w:lineRule="auto"/>
        <w:jc w:val="right"/>
        <w:rPr>
          <w:rFonts w:ascii="宋体" w:hAnsi="宋体"/>
          <w:sz w:val="24"/>
          <w:szCs w:val="24"/>
        </w:rPr>
      </w:pPr>
    </w:p>
    <w:p>
      <w:pPr>
        <w:spacing w:line="360" w:lineRule="auto"/>
        <w:jc w:val="right"/>
        <w:rPr>
          <w:rFonts w:ascii="宋体" w:hAnsi="宋体"/>
          <w:sz w:val="24"/>
          <w:szCs w:val="24"/>
        </w:rPr>
      </w:pPr>
      <w:r>
        <w:rPr>
          <w:rFonts w:ascii="宋体" w:hAnsi="宋体"/>
          <w:sz w:val="24"/>
          <w:szCs w:val="24"/>
        </w:rPr>
        <w:t>投 标 人：（盖单位章）</w:t>
      </w:r>
    </w:p>
    <w:p>
      <w:pPr>
        <w:spacing w:line="360" w:lineRule="auto"/>
        <w:jc w:val="right"/>
        <w:rPr>
          <w:rFonts w:ascii="宋体" w:hAnsi="宋体"/>
          <w:sz w:val="24"/>
          <w:szCs w:val="24"/>
        </w:rPr>
      </w:pPr>
      <w:r>
        <w:rPr>
          <w:rFonts w:ascii="宋体" w:hAnsi="宋体"/>
          <w:sz w:val="24"/>
          <w:szCs w:val="24"/>
        </w:rPr>
        <w:t>法定代表人或其委托代理人：（签字</w:t>
      </w:r>
      <w:r>
        <w:rPr>
          <w:rFonts w:hint="eastAsia" w:ascii="宋体" w:hAnsi="宋体"/>
          <w:sz w:val="24"/>
          <w:szCs w:val="24"/>
        </w:rPr>
        <w:t>或盖章</w:t>
      </w:r>
      <w:r>
        <w:rPr>
          <w:rFonts w:ascii="宋体" w:hAnsi="宋体"/>
          <w:sz w:val="24"/>
          <w:szCs w:val="24"/>
        </w:rPr>
        <w:t>）</w:t>
      </w:r>
    </w:p>
    <w:p>
      <w:pPr>
        <w:keepNext/>
        <w:keepLines/>
        <w:widowControl/>
        <w:spacing w:line="360" w:lineRule="auto"/>
        <w:jc w:val="right"/>
        <w:rPr>
          <w:rFonts w:ascii="宋体" w:hAnsi="宋体"/>
          <w:kern w:val="0"/>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keepNext/>
        <w:keepLines/>
        <w:widowControl/>
        <w:spacing w:line="360" w:lineRule="auto"/>
        <w:jc w:val="left"/>
        <w:outlineLvl w:val="1"/>
        <w:rPr>
          <w:rFonts w:ascii="宋体" w:hAnsi="宋体"/>
          <w:kern w:val="0"/>
          <w:sz w:val="32"/>
          <w:szCs w:val="20"/>
        </w:rPr>
      </w:pPr>
      <w:bookmarkStart w:id="130" w:name="_Toc508788701"/>
      <w:bookmarkStart w:id="131" w:name="_Toc11621"/>
      <w:r>
        <w:rPr>
          <w:rFonts w:ascii="宋体" w:hAnsi="宋体"/>
          <w:kern w:val="0"/>
          <w:sz w:val="24"/>
          <w:szCs w:val="24"/>
        </w:rPr>
        <w:br w:type="page"/>
      </w:r>
      <w:bookmarkStart w:id="132" w:name="_Toc7454670"/>
      <w:r>
        <w:rPr>
          <w:rFonts w:hint="eastAsia" w:ascii="宋体" w:hAnsi="宋体"/>
          <w:kern w:val="0"/>
          <w:sz w:val="32"/>
          <w:szCs w:val="20"/>
        </w:rPr>
        <w:t>二、法定代表人身份证明</w:t>
      </w:r>
      <w:bookmarkEnd w:id="130"/>
      <w:bookmarkEnd w:id="131"/>
      <w:bookmarkEnd w:id="132"/>
    </w:p>
    <w:p>
      <w:pPr>
        <w:widowControl/>
        <w:spacing w:line="360" w:lineRule="auto"/>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投标人名称：</w:t>
      </w: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姓名：    性别：    年龄：     职务：     系</w:t>
      </w:r>
      <w:r>
        <w:rPr>
          <w:rFonts w:hint="eastAsia" w:ascii="宋体" w:hAnsi="宋体" w:cs="宋体"/>
          <w:sz w:val="24"/>
          <w:szCs w:val="24"/>
          <w:u w:val="single"/>
        </w:rPr>
        <w:t>（投标人名称）</w:t>
      </w:r>
      <w:r>
        <w:rPr>
          <w:rFonts w:hint="eastAsia" w:ascii="宋体" w:hAnsi="宋体" w:cs="宋体"/>
          <w:sz w:val="24"/>
          <w:szCs w:val="24"/>
        </w:rPr>
        <w:t>的法定代表人。</w:t>
      </w: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特此证明。</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附：法定代表人身份证扫描件。</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注：本身份证明需由投标人加盖单位公章。</w:t>
      </w:r>
    </w:p>
    <w:p>
      <w:pPr>
        <w:widowControl/>
        <w:spacing w:line="360" w:lineRule="auto"/>
        <w:jc w:val="left"/>
        <w:rPr>
          <w:rFonts w:ascii="宋体" w:hAnsi="宋体"/>
          <w:sz w:val="24"/>
          <w:szCs w:val="24"/>
        </w:rPr>
      </w:pPr>
    </w:p>
    <w:p>
      <w:pPr>
        <w:widowControl/>
        <w:spacing w:line="360" w:lineRule="auto"/>
        <w:jc w:val="left"/>
        <w:rPr>
          <w:rFonts w:ascii="宋体" w:hAnsi="宋体"/>
          <w:sz w:val="24"/>
          <w:szCs w:val="24"/>
        </w:rPr>
      </w:pPr>
    </w:p>
    <w:p>
      <w:pPr>
        <w:widowControl/>
        <w:tabs>
          <w:tab w:val="center" w:pos="2956"/>
          <w:tab w:val="center" w:pos="7052"/>
        </w:tabs>
        <w:spacing w:line="360" w:lineRule="auto"/>
        <w:jc w:val="right"/>
        <w:rPr>
          <w:rFonts w:ascii="宋体" w:hAnsi="宋体"/>
          <w:sz w:val="24"/>
          <w:szCs w:val="24"/>
        </w:rPr>
      </w:pPr>
      <w:r>
        <w:rPr>
          <w:rFonts w:hint="eastAsia" w:ascii="宋体" w:hAnsi="宋体" w:cs="宋体"/>
          <w:sz w:val="24"/>
          <w:szCs w:val="24"/>
        </w:rPr>
        <w:t>投标人：（盖单位章）</w:t>
      </w:r>
    </w:p>
    <w:p>
      <w:pPr>
        <w:widowControl/>
        <w:spacing w:line="360" w:lineRule="auto"/>
        <w:jc w:val="right"/>
        <w:rPr>
          <w:rFonts w:ascii="宋体" w:hAnsi="宋体"/>
          <w:sz w:val="24"/>
          <w:szCs w:val="24"/>
        </w:rPr>
      </w:pPr>
      <w:r>
        <w:rPr>
          <w:rFonts w:hint="eastAsia" w:ascii="宋体" w:hAnsi="宋体" w:cs="宋体"/>
          <w:sz w:val="24"/>
          <w:szCs w:val="24"/>
        </w:rPr>
        <w:t>年    月    日</w:t>
      </w:r>
    </w:p>
    <w:p>
      <w:pPr>
        <w:widowControl/>
        <w:spacing w:after="192" w:line="259" w:lineRule="auto"/>
        <w:jc w:val="left"/>
        <w:outlineLvl w:val="1"/>
        <w:rPr>
          <w:rFonts w:ascii="宋体" w:hAnsi="宋体"/>
          <w:kern w:val="0"/>
          <w:sz w:val="32"/>
          <w:szCs w:val="20"/>
        </w:rPr>
      </w:pPr>
      <w:r>
        <w:rPr>
          <w:rFonts w:ascii="宋体" w:hAnsi="宋体"/>
          <w:sz w:val="20"/>
        </w:rPr>
        <w:br w:type="page"/>
      </w:r>
      <w:bookmarkStart w:id="133" w:name="_Toc7454671"/>
      <w:bookmarkStart w:id="134" w:name="_Toc508788702"/>
      <w:bookmarkStart w:id="135" w:name="_Toc6371"/>
      <w:r>
        <w:rPr>
          <w:rFonts w:hint="eastAsia" w:ascii="宋体" w:hAnsi="宋体"/>
          <w:kern w:val="0"/>
          <w:sz w:val="32"/>
          <w:szCs w:val="20"/>
        </w:rPr>
        <w:t>三、授权委托书</w:t>
      </w:r>
      <w:bookmarkEnd w:id="133"/>
      <w:bookmarkEnd w:id="134"/>
      <w:bookmarkEnd w:id="135"/>
    </w:p>
    <w:p>
      <w:pPr>
        <w:widowControl/>
        <w:spacing w:line="360" w:lineRule="auto"/>
        <w:ind w:firstLine="480" w:firstLineChars="200"/>
        <w:jc w:val="left"/>
        <w:rPr>
          <w:rFonts w:ascii="宋体" w:hAnsi="宋体"/>
          <w:sz w:val="24"/>
          <w:szCs w:val="24"/>
        </w:rPr>
      </w:pPr>
    </w:p>
    <w:p>
      <w:pPr>
        <w:widowControl/>
        <w:spacing w:line="360" w:lineRule="auto"/>
        <w:ind w:firstLine="480" w:firstLineChars="200"/>
        <w:rPr>
          <w:rFonts w:ascii="宋体" w:hAnsi="宋体"/>
          <w:sz w:val="24"/>
          <w:szCs w:val="24"/>
        </w:rPr>
      </w:pPr>
      <w:r>
        <w:rPr>
          <w:rFonts w:hint="eastAsia" w:ascii="宋体" w:hAnsi="宋体" w:cs="宋体"/>
          <w:sz w:val="24"/>
          <w:szCs w:val="24"/>
        </w:rPr>
        <w:t>本人</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的法定代表人，现委托</w:t>
      </w:r>
      <w:r>
        <w:rPr>
          <w:rFonts w:hint="eastAsia" w:ascii="宋体" w:hAnsi="宋体" w:cs="宋体"/>
          <w:sz w:val="24"/>
          <w:szCs w:val="24"/>
          <w:u w:val="single"/>
        </w:rPr>
        <w:t>（姓名）</w:t>
      </w:r>
      <w:r>
        <w:rPr>
          <w:rFonts w:hint="eastAsia" w:ascii="宋体" w:hAnsi="宋体" w:cs="宋体"/>
          <w:sz w:val="24"/>
          <w:szCs w:val="24"/>
        </w:rPr>
        <w:t>为我方代理人。代理人根据授权，以我方名义签署、澄清确认、递交、撤回、修改设备招标项目投标文件、签订合同和处理有关事宜，其法律后果由我方承担。</w:t>
      </w: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委托期限：</w:t>
      </w:r>
      <w:r>
        <w:rPr>
          <w:rFonts w:hint="eastAsia" w:ascii="宋体" w:hAnsi="宋体"/>
          <w:sz w:val="24"/>
          <w:szCs w:val="24"/>
          <w:u w:val="single"/>
        </w:rPr>
        <w:t>投标截止之日起</w:t>
      </w:r>
      <w:r>
        <w:rPr>
          <w:rFonts w:ascii="宋体" w:hAnsi="宋体"/>
          <w:sz w:val="24"/>
          <w:szCs w:val="24"/>
          <w:u w:val="single"/>
        </w:rPr>
        <w:t>1</w:t>
      </w:r>
      <w:r>
        <w:rPr>
          <w:rFonts w:hint="eastAsia" w:ascii="宋体" w:hAnsi="宋体"/>
          <w:sz w:val="24"/>
          <w:szCs w:val="24"/>
          <w:u w:val="single"/>
        </w:rPr>
        <w:t>20日历天</w:t>
      </w:r>
      <w:r>
        <w:rPr>
          <w:rFonts w:hint="eastAsia" w:ascii="宋体" w:hAnsi="宋体" w:cs="宋体"/>
          <w:sz w:val="24"/>
          <w:szCs w:val="24"/>
        </w:rPr>
        <w:t>。</w:t>
      </w: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代理人无转委托权。</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附：法定代表人身份证扫描件及委托代理人身份证扫描件</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注：本授权委托书需由投标人加盖单位公章并由其法定代表人和委托代理人签字或盖章。</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w:t>投  标  人：（</w:t>
      </w:r>
      <w:r>
        <w:rPr>
          <w:rFonts w:hint="eastAsia" w:ascii="宋体" w:hAnsi="宋体"/>
          <w:sz w:val="24"/>
          <w:szCs w:val="24"/>
        </w:rPr>
        <w:t>盖</w:t>
      </w:r>
      <w:r>
        <w:rPr>
          <w:rFonts w:ascii="宋体" w:hAnsi="宋体"/>
          <w:sz w:val="24"/>
          <w:szCs w:val="24"/>
        </w:rPr>
        <w:t>单位</w:t>
      </w:r>
      <w:r>
        <w:rPr>
          <w:rFonts w:hint="eastAsia" w:ascii="宋体" w:hAnsi="宋体"/>
          <w:sz w:val="24"/>
          <w:szCs w:val="24"/>
        </w:rPr>
        <w:t>章</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法定代表人：（签字或盖章）</w:t>
      </w:r>
    </w:p>
    <w:p>
      <w:pPr>
        <w:spacing w:line="360" w:lineRule="auto"/>
        <w:ind w:firstLine="480" w:firstLineChars="200"/>
        <w:rPr>
          <w:rFonts w:ascii="宋体" w:hAnsi="宋体"/>
          <w:sz w:val="24"/>
          <w:szCs w:val="24"/>
        </w:rPr>
      </w:pPr>
      <w:r>
        <w:rPr>
          <w:rFonts w:ascii="宋体" w:hAnsi="宋体"/>
          <w:sz w:val="24"/>
          <w:szCs w:val="24"/>
        </w:rPr>
        <w:t>身份证号码：</w:t>
      </w:r>
    </w:p>
    <w:p>
      <w:pPr>
        <w:spacing w:line="360" w:lineRule="auto"/>
        <w:ind w:firstLine="480" w:firstLineChars="200"/>
        <w:rPr>
          <w:rFonts w:ascii="宋体" w:hAnsi="宋体"/>
          <w:sz w:val="24"/>
          <w:szCs w:val="24"/>
        </w:rPr>
      </w:pPr>
      <w:r>
        <w:rPr>
          <w:rFonts w:ascii="宋体" w:hAnsi="宋体"/>
          <w:sz w:val="24"/>
          <w:szCs w:val="24"/>
        </w:rPr>
        <w:t>委托代理人：（签字或盖章）</w:t>
      </w:r>
    </w:p>
    <w:p>
      <w:pPr>
        <w:spacing w:line="360" w:lineRule="auto"/>
        <w:ind w:firstLine="480" w:firstLineChars="200"/>
        <w:rPr>
          <w:rFonts w:ascii="宋体" w:hAnsi="宋体"/>
          <w:sz w:val="24"/>
          <w:szCs w:val="24"/>
        </w:rPr>
      </w:pPr>
      <w:r>
        <w:rPr>
          <w:rFonts w:ascii="宋体" w:hAnsi="宋体"/>
          <w:sz w:val="24"/>
          <w:szCs w:val="24"/>
        </w:rPr>
        <w:t>身份证号码：</w:t>
      </w:r>
    </w:p>
    <w:p>
      <w:pPr>
        <w:spacing w:line="360" w:lineRule="auto"/>
        <w:ind w:firstLine="960" w:firstLineChars="400"/>
        <w:jc w:val="left"/>
        <w:rPr>
          <w:rFonts w:ascii="宋体" w:hAnsi="宋体"/>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widowControl/>
        <w:spacing w:line="360" w:lineRule="auto"/>
        <w:ind w:firstLine="480" w:firstLineChars="200"/>
        <w:jc w:val="right"/>
        <w:rPr>
          <w:rFonts w:ascii="宋体" w:hAnsi="宋体"/>
          <w:sz w:val="22"/>
        </w:rPr>
      </w:pPr>
      <w:r>
        <w:rPr>
          <w:rFonts w:ascii="宋体" w:hAnsi="宋体"/>
          <w:sz w:val="24"/>
          <w:szCs w:val="24"/>
        </w:rPr>
        <w:br w:type="page"/>
      </w:r>
    </w:p>
    <w:p>
      <w:pPr>
        <w:keepNext/>
        <w:keepLines/>
        <w:widowControl/>
        <w:spacing w:line="360" w:lineRule="auto"/>
        <w:outlineLvl w:val="1"/>
        <w:rPr>
          <w:rFonts w:ascii="宋体" w:hAnsi="宋体"/>
          <w:kern w:val="0"/>
          <w:sz w:val="32"/>
          <w:szCs w:val="20"/>
        </w:rPr>
      </w:pPr>
      <w:bookmarkStart w:id="136" w:name="_Toc520184746"/>
      <w:bookmarkStart w:id="137" w:name="_Toc7454674"/>
      <w:bookmarkStart w:id="138" w:name="_Toc3024"/>
      <w:bookmarkStart w:id="139" w:name="_Toc25513677"/>
      <w:r>
        <w:rPr>
          <w:rFonts w:hint="eastAsia" w:ascii="宋体" w:hAnsi="宋体"/>
          <w:kern w:val="0"/>
          <w:sz w:val="32"/>
          <w:szCs w:val="20"/>
        </w:rPr>
        <w:t>四、</w:t>
      </w:r>
      <w:bookmarkEnd w:id="136"/>
      <w:bookmarkEnd w:id="137"/>
      <w:bookmarkEnd w:id="138"/>
      <w:r>
        <w:rPr>
          <w:rFonts w:hint="eastAsia" w:ascii="宋体" w:hAnsi="宋体"/>
          <w:kern w:val="0"/>
          <w:sz w:val="32"/>
          <w:szCs w:val="20"/>
        </w:rPr>
        <w:t>商务和技术偏差表</w:t>
      </w:r>
      <w:bookmarkEnd w:id="139"/>
    </w:p>
    <w:p>
      <w:pPr>
        <w:tabs>
          <w:tab w:val="left" w:pos="1200"/>
        </w:tabs>
        <w:spacing w:line="360" w:lineRule="auto"/>
        <w:jc w:val="center"/>
        <w:rPr>
          <w:rFonts w:ascii="宋体" w:hAnsi="宋体"/>
          <w:bCs/>
          <w:sz w:val="24"/>
          <w:szCs w:val="24"/>
        </w:rPr>
      </w:pPr>
      <w:r>
        <w:rPr>
          <w:rFonts w:hint="eastAsia" w:ascii="宋体" w:hAnsi="宋体"/>
          <w:bCs/>
          <w:sz w:val="24"/>
          <w:szCs w:val="24"/>
        </w:rPr>
        <w:t>4.1</w:t>
      </w:r>
      <w:r>
        <w:rPr>
          <w:rFonts w:ascii="宋体" w:hAnsi="宋体"/>
          <w:bCs/>
          <w:sz w:val="24"/>
          <w:szCs w:val="24"/>
        </w:rPr>
        <w:t>商务和技术偏差表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vAlign w:val="center"/>
          </w:tcPr>
          <w:p>
            <w:pPr>
              <w:jc w:val="center"/>
              <w:rPr>
                <w:rFonts w:ascii="宋体" w:hAnsi="宋体"/>
                <w:szCs w:val="21"/>
              </w:rPr>
            </w:pPr>
            <w:r>
              <w:rPr>
                <w:rFonts w:hint="eastAsia" w:ascii="宋体" w:hAnsi="宋体"/>
                <w:szCs w:val="21"/>
              </w:rPr>
              <w:t>序号</w:t>
            </w:r>
          </w:p>
        </w:tc>
        <w:tc>
          <w:tcPr>
            <w:tcW w:w="2673" w:type="dxa"/>
            <w:vAlign w:val="center"/>
          </w:tcPr>
          <w:p>
            <w:pPr>
              <w:jc w:val="center"/>
              <w:rPr>
                <w:rFonts w:ascii="宋体" w:hAnsi="宋体"/>
                <w:szCs w:val="21"/>
              </w:rPr>
            </w:pPr>
            <w:r>
              <w:rPr>
                <w:rFonts w:hint="eastAsia" w:ascii="宋体" w:hAnsi="宋体"/>
                <w:szCs w:val="21"/>
              </w:rPr>
              <w:t>招标文件章节及条款号</w:t>
            </w:r>
          </w:p>
        </w:tc>
        <w:tc>
          <w:tcPr>
            <w:tcW w:w="1630" w:type="dxa"/>
            <w:vAlign w:val="center"/>
          </w:tcPr>
          <w:p>
            <w:pPr>
              <w:jc w:val="center"/>
              <w:rPr>
                <w:rFonts w:ascii="宋体" w:hAnsi="宋体"/>
                <w:szCs w:val="21"/>
              </w:rPr>
            </w:pPr>
            <w:r>
              <w:rPr>
                <w:rFonts w:hint="eastAsia" w:ascii="宋体" w:hAnsi="宋体"/>
                <w:szCs w:val="21"/>
              </w:rPr>
              <w:t>投标文件章节及条款号</w:t>
            </w:r>
          </w:p>
        </w:tc>
        <w:tc>
          <w:tcPr>
            <w:tcW w:w="851" w:type="dxa"/>
            <w:vAlign w:val="center"/>
          </w:tcPr>
          <w:p>
            <w:pPr>
              <w:jc w:val="center"/>
              <w:rPr>
                <w:rFonts w:ascii="宋体" w:hAnsi="宋体"/>
                <w:szCs w:val="21"/>
              </w:rPr>
            </w:pPr>
            <w:r>
              <w:rPr>
                <w:rFonts w:hint="eastAsia" w:ascii="宋体" w:hAnsi="宋体"/>
                <w:szCs w:val="21"/>
              </w:rPr>
              <w:t>要求</w:t>
            </w:r>
          </w:p>
        </w:tc>
        <w:tc>
          <w:tcPr>
            <w:tcW w:w="1417" w:type="dxa"/>
          </w:tcPr>
          <w:p>
            <w:pPr>
              <w:jc w:val="center"/>
              <w:rPr>
                <w:rFonts w:ascii="宋体" w:hAnsi="宋体"/>
                <w:szCs w:val="21"/>
              </w:rPr>
            </w:pPr>
            <w:r>
              <w:rPr>
                <w:rFonts w:hint="eastAsia" w:ascii="宋体" w:hAnsi="宋体"/>
                <w:szCs w:val="21"/>
              </w:rPr>
              <w:t>是否偏离（无偏离</w:t>
            </w:r>
            <w:r>
              <w:rPr>
                <w:rFonts w:ascii="宋体" w:hAnsi="宋体"/>
                <w:szCs w:val="21"/>
              </w:rPr>
              <w:t>/</w:t>
            </w:r>
            <w:r>
              <w:rPr>
                <w:rFonts w:hint="eastAsia" w:ascii="宋体" w:hAnsi="宋体"/>
                <w:szCs w:val="21"/>
              </w:rPr>
              <w:t>正偏离</w:t>
            </w:r>
            <w:r>
              <w:rPr>
                <w:rFonts w:ascii="宋体" w:hAnsi="宋体"/>
                <w:szCs w:val="21"/>
              </w:rPr>
              <w:t>/</w:t>
            </w:r>
            <w:r>
              <w:rPr>
                <w:rFonts w:hint="eastAsia" w:ascii="宋体" w:hAnsi="宋体"/>
                <w:szCs w:val="21"/>
              </w:rPr>
              <w:t>负偏离）</w:t>
            </w:r>
          </w:p>
        </w:tc>
        <w:tc>
          <w:tcPr>
            <w:tcW w:w="1417" w:type="dxa"/>
            <w:vAlign w:val="center"/>
          </w:tcPr>
          <w:p>
            <w:pPr>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vAlign w:val="center"/>
          </w:tcPr>
          <w:p>
            <w:pPr>
              <w:rPr>
                <w:rFonts w:ascii="宋体" w:hAnsi="宋体"/>
                <w:szCs w:val="21"/>
              </w:rPr>
            </w:pPr>
            <w:r>
              <w:rPr>
                <w:rFonts w:hint="eastAsia" w:ascii="宋体" w:hAnsi="宋体"/>
                <w:szCs w:val="21"/>
              </w:rPr>
              <w:t>1</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vAlign w:val="center"/>
          </w:tcPr>
          <w:p>
            <w:pPr>
              <w:rPr>
                <w:rFonts w:ascii="宋体" w:hAnsi="宋体"/>
                <w:szCs w:val="21"/>
              </w:rPr>
            </w:pPr>
            <w:r>
              <w:rPr>
                <w:rFonts w:hint="eastAsia" w:ascii="宋体" w:hAnsi="宋体"/>
                <w:szCs w:val="21"/>
              </w:rPr>
              <w:t>2</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vAlign w:val="center"/>
          </w:tcPr>
          <w:p>
            <w:pPr>
              <w:rPr>
                <w:rFonts w:ascii="宋体" w:hAnsi="宋体"/>
                <w:szCs w:val="21"/>
              </w:rPr>
            </w:pPr>
            <w:r>
              <w:rPr>
                <w:rFonts w:hint="eastAsia" w:ascii="宋体" w:hAnsi="宋体"/>
                <w:szCs w:val="21"/>
              </w:rPr>
              <w:t>3</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vAlign w:val="center"/>
          </w:tcPr>
          <w:p>
            <w:pPr>
              <w:rPr>
                <w:rFonts w:ascii="宋体" w:hAnsi="宋体"/>
                <w:szCs w:val="21"/>
              </w:rPr>
            </w:pPr>
            <w:r>
              <w:rPr>
                <w:rFonts w:hint="eastAsia" w:ascii="宋体" w:hAnsi="宋体"/>
                <w:szCs w:val="21"/>
              </w:rPr>
              <w:t>4</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5</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6</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7</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8</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9</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10</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11</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ascii="宋体" w:hAnsi="宋体"/>
                <w:szCs w:val="21"/>
              </w:rPr>
              <w:t>……</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bl>
    <w:p>
      <w:pPr>
        <w:spacing w:line="360" w:lineRule="auto"/>
        <w:rPr>
          <w:rFonts w:ascii="宋体" w:hAnsi="宋体"/>
          <w:b/>
          <w:sz w:val="24"/>
          <w:szCs w:val="24"/>
        </w:rPr>
      </w:pPr>
    </w:p>
    <w:p>
      <w:pPr>
        <w:ind w:firstLine="480"/>
        <w:rPr>
          <w:rFonts w:ascii="宋体" w:hAnsi="宋体"/>
        </w:rPr>
      </w:pPr>
      <w:r>
        <w:t>注</w:t>
      </w:r>
      <w:r>
        <w:rPr>
          <w:rFonts w:ascii="宋体" w:hAnsi="宋体"/>
        </w:rPr>
        <w:t>：</w:t>
      </w:r>
      <w:r>
        <w:rPr>
          <w:rFonts w:hint="eastAsia" w:ascii="宋体" w:hAnsi="宋体"/>
        </w:rPr>
        <w:t>1</w:t>
      </w:r>
      <w:r>
        <w:rPr>
          <w:rFonts w:ascii="宋体" w:hAnsi="宋体"/>
        </w:rPr>
        <w:t>.</w:t>
      </w:r>
      <w:r>
        <w:rPr>
          <w:rFonts w:hint="eastAsia" w:ascii="宋体" w:hAnsi="宋体"/>
        </w:rPr>
        <w:t>投</w:t>
      </w:r>
      <w:r>
        <w:rPr>
          <w:rFonts w:ascii="宋体" w:hAnsi="宋体"/>
        </w:rPr>
        <w:t>标</w:t>
      </w:r>
      <w:r>
        <w:rPr>
          <w:rFonts w:hint="eastAsia" w:ascii="宋体" w:hAnsi="宋体"/>
        </w:rPr>
        <w:t>人</w:t>
      </w:r>
      <w:r>
        <w:rPr>
          <w:rFonts w:ascii="宋体" w:hAnsi="宋体"/>
        </w:rPr>
        <w:t>按招标文件有标注的“</w:t>
      </w:r>
      <w:r>
        <w:rPr>
          <w:rFonts w:hint="eastAsia" w:ascii="宋体" w:hAnsi="宋体" w:cs="宋体"/>
        </w:rPr>
        <w:t>★</w:t>
      </w:r>
      <w:r>
        <w:rPr>
          <w:rFonts w:ascii="宋体" w:hAnsi="宋体" w:cs="Calibri"/>
        </w:rPr>
        <w:t>”</w:t>
      </w:r>
      <w:r>
        <w:rPr>
          <w:rFonts w:ascii="宋体" w:hAnsi="宋体"/>
        </w:rPr>
        <w:t>、“</w:t>
      </w:r>
      <w:r>
        <w:rPr>
          <w:rFonts w:ascii="宋体" w:hAnsi="宋体" w:cs="Arial"/>
        </w:rPr>
        <w:t>▲</w:t>
      </w:r>
      <w:r>
        <w:rPr>
          <w:rFonts w:ascii="宋体" w:hAnsi="宋体" w:cs="Calibri"/>
        </w:rPr>
        <w:t>”</w:t>
      </w:r>
      <w:r>
        <w:rPr>
          <w:rFonts w:ascii="宋体" w:hAnsi="宋体"/>
        </w:rPr>
        <w:t>号条款进行填写，</w:t>
      </w:r>
      <w:r>
        <w:rPr>
          <w:rFonts w:hint="eastAsia" w:ascii="宋体" w:hAnsi="宋体"/>
        </w:rPr>
        <w:t>条款号对应到最小一级编号如“①”，</w:t>
      </w:r>
      <w:r>
        <w:rPr>
          <w:rFonts w:ascii="宋体" w:hAnsi="宋体"/>
        </w:rPr>
        <w:t>打“</w:t>
      </w:r>
      <w:r>
        <w:rPr>
          <w:rFonts w:hint="eastAsia" w:ascii="宋体" w:hAnsi="宋体" w:cs="宋体"/>
        </w:rPr>
        <w:t>★</w:t>
      </w:r>
      <w:r>
        <w:rPr>
          <w:rFonts w:ascii="宋体" w:hAnsi="宋体" w:cs="Calibri"/>
        </w:rPr>
        <w:t>”</w:t>
      </w:r>
      <w:r>
        <w:rPr>
          <w:rFonts w:ascii="宋体" w:hAnsi="宋体"/>
        </w:rPr>
        <w:t>号条款为实质性条款，若有任何一条负偏离或不满足则导致投标无效。打“</w:t>
      </w:r>
      <w:r>
        <w:rPr>
          <w:rFonts w:ascii="宋体" w:hAnsi="宋体" w:cs="Arial"/>
        </w:rPr>
        <w:t>▲</w:t>
      </w:r>
      <w:r>
        <w:rPr>
          <w:rFonts w:ascii="宋体" w:hAnsi="宋体" w:cs="Calibri"/>
        </w:rPr>
        <w:t>”</w:t>
      </w:r>
      <w:r>
        <w:rPr>
          <w:rFonts w:ascii="宋体" w:hAnsi="宋体"/>
        </w:rPr>
        <w:t>号条款为重要技术参数（如有），若有部分“</w:t>
      </w:r>
      <w:r>
        <w:rPr>
          <w:rFonts w:ascii="宋体" w:hAnsi="宋体" w:cs="Arial"/>
        </w:rPr>
        <w:t>▲</w:t>
      </w:r>
      <w:r>
        <w:rPr>
          <w:rFonts w:ascii="宋体" w:hAnsi="宋体" w:cs="Calibri"/>
        </w:rPr>
        <w:t>”</w:t>
      </w:r>
      <w:r>
        <w:rPr>
          <w:rFonts w:ascii="宋体" w:hAnsi="宋体"/>
        </w:rPr>
        <w:t>条款未响应或不满足，将根据评审要求影响其得分，但不作为无效投标条款。</w:t>
      </w:r>
    </w:p>
    <w:p>
      <w:pPr>
        <w:ind w:firstLine="480"/>
        <w:rPr>
          <w:rFonts w:ascii="宋体" w:hAnsi="宋体"/>
        </w:rPr>
      </w:pPr>
      <w:r>
        <w:rPr>
          <w:rFonts w:hint="eastAsia" w:ascii="宋体" w:hAnsi="宋体"/>
        </w:rPr>
        <w:t>2</w:t>
      </w:r>
      <w:r>
        <w:rPr>
          <w:rFonts w:ascii="宋体" w:hAnsi="宋体"/>
        </w:rPr>
        <w:t>. “是否偏离”项下应按下列规定填写：优于的，填写“正偏离”；符合的，填写“无偏离”；低于的，填写“负偏离”。</w:t>
      </w:r>
    </w:p>
    <w:p>
      <w:pPr>
        <w:ind w:firstLine="480"/>
        <w:rPr>
          <w:rFonts w:ascii="宋体" w:hAnsi="宋体"/>
        </w:rPr>
      </w:pPr>
      <w:r>
        <w:rPr>
          <w:rFonts w:ascii="宋体" w:hAnsi="宋体"/>
        </w:rPr>
        <w:t>3.投标人须在“偏离说明”栏内说明偏离情况</w:t>
      </w:r>
      <w:r>
        <w:rPr>
          <w:rFonts w:hint="eastAsia" w:ascii="宋体" w:hAnsi="宋体"/>
        </w:rPr>
        <w:t>，如描述不能清晰表达偏离情况，将按评分标准相应扣分或作否决投标处理</w:t>
      </w:r>
      <w:r>
        <w:rPr>
          <w:rFonts w:ascii="宋体" w:hAnsi="宋体"/>
        </w:rPr>
        <w:t>。</w:t>
      </w:r>
    </w:p>
    <w:p>
      <w:pPr>
        <w:ind w:firstLine="480"/>
        <w:rPr>
          <w:rFonts w:ascii="宋体" w:hAnsi="宋体"/>
        </w:rPr>
      </w:pPr>
      <w:r>
        <w:rPr>
          <w:rFonts w:ascii="宋体" w:hAnsi="宋体"/>
        </w:rPr>
        <w:t>4.投标人保证：除商务和技术偏差表列出的偏差外，投标人响应招标文件的全部要求。</w:t>
      </w:r>
    </w:p>
    <w:p>
      <w:pPr>
        <w:pStyle w:val="7"/>
      </w:pPr>
    </w:p>
    <w:p>
      <w:pPr>
        <w:pStyle w:val="7"/>
      </w:pPr>
    </w:p>
    <w:p>
      <w:pPr>
        <w:spacing w:line="360" w:lineRule="auto"/>
        <w:jc w:val="right"/>
        <w:rPr>
          <w:rFonts w:ascii="宋体" w:hAnsi="宋体"/>
          <w:sz w:val="24"/>
          <w:szCs w:val="24"/>
        </w:rPr>
      </w:pPr>
      <w:r>
        <w:rPr>
          <w:rFonts w:ascii="宋体" w:hAnsi="宋体"/>
          <w:sz w:val="24"/>
          <w:szCs w:val="24"/>
        </w:rPr>
        <w:t>投 标 人：</w:t>
      </w:r>
      <w:r>
        <w:rPr>
          <w:rFonts w:hint="eastAsia" w:ascii="宋体" w:hAnsi="宋体"/>
          <w:sz w:val="24"/>
          <w:szCs w:val="24"/>
          <w:u w:val="single"/>
        </w:rPr>
        <w:t xml:space="preserve">     </w:t>
      </w:r>
      <w:r>
        <w:rPr>
          <w:rFonts w:ascii="宋体" w:hAnsi="宋体"/>
          <w:sz w:val="24"/>
          <w:szCs w:val="24"/>
        </w:rPr>
        <w:t>（盖单位章）</w:t>
      </w:r>
    </w:p>
    <w:p>
      <w:pPr>
        <w:spacing w:line="360" w:lineRule="auto"/>
        <w:jc w:val="right"/>
        <w:rPr>
          <w:rFonts w:ascii="宋体" w:hAnsi="宋体"/>
          <w:sz w:val="24"/>
          <w:szCs w:val="24"/>
        </w:rPr>
      </w:pPr>
      <w:r>
        <w:rPr>
          <w:rFonts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pStyle w:val="7"/>
        <w:spacing w:line="360" w:lineRule="auto"/>
        <w:ind w:firstLine="5880" w:firstLineChars="2450"/>
        <w:rPr>
          <w:rFonts w:ascii="宋体" w:hAnsi="宋体"/>
          <w:sz w:val="24"/>
        </w:rPr>
      </w:pP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ind w:firstLine="5880" w:firstLineChars="2450"/>
        <w:rPr>
          <w:rFonts w:ascii="宋体" w:hAnsi="宋体"/>
          <w:sz w:val="24"/>
        </w:rPr>
      </w:pPr>
      <w:r>
        <w:rPr>
          <w:rFonts w:ascii="宋体" w:hAnsi="宋体"/>
          <w:sz w:val="24"/>
          <w:szCs w:val="24"/>
        </w:rPr>
        <w:br w:type="page"/>
      </w:r>
    </w:p>
    <w:p>
      <w:pPr>
        <w:tabs>
          <w:tab w:val="left" w:pos="1200"/>
        </w:tabs>
        <w:spacing w:line="360" w:lineRule="auto"/>
        <w:jc w:val="center"/>
        <w:rPr>
          <w:rFonts w:ascii="宋体" w:hAnsi="宋体"/>
          <w:bCs/>
          <w:sz w:val="24"/>
          <w:szCs w:val="24"/>
        </w:rPr>
      </w:pPr>
      <w:r>
        <w:rPr>
          <w:rFonts w:hint="eastAsia" w:ascii="宋体" w:hAnsi="宋体"/>
          <w:bCs/>
          <w:sz w:val="24"/>
          <w:szCs w:val="24"/>
        </w:rPr>
        <w:t>4.2</w:t>
      </w:r>
      <w:r>
        <w:rPr>
          <w:rFonts w:ascii="宋体" w:hAnsi="宋体"/>
          <w:bCs/>
          <w:sz w:val="24"/>
          <w:szCs w:val="24"/>
        </w:rPr>
        <w:t>商务和技术</w:t>
      </w:r>
      <w:r>
        <w:rPr>
          <w:rFonts w:hint="eastAsia" w:ascii="宋体" w:hAnsi="宋体"/>
          <w:bCs/>
          <w:sz w:val="24"/>
          <w:szCs w:val="24"/>
        </w:rPr>
        <w:t>一般条款</w:t>
      </w:r>
      <w:r>
        <w:rPr>
          <w:rFonts w:ascii="宋体" w:hAnsi="宋体"/>
          <w:bCs/>
          <w:sz w:val="24"/>
          <w:szCs w:val="24"/>
        </w:rPr>
        <w:t>偏差表</w:t>
      </w:r>
      <w:r>
        <w:rPr>
          <w:rFonts w:hint="eastAsia" w:ascii="宋体" w:hAnsi="宋体"/>
          <w:bCs/>
          <w:sz w:val="24"/>
          <w:szCs w:val="24"/>
        </w:rPr>
        <w:t>（非</w:t>
      </w:r>
      <w:r>
        <w:rPr>
          <w:rFonts w:ascii="宋体" w:hAnsi="宋体"/>
        </w:rPr>
        <w:t>“</w:t>
      </w:r>
      <w:r>
        <w:rPr>
          <w:rFonts w:hint="eastAsia" w:ascii="宋体" w:hAnsi="宋体" w:cs="宋体"/>
        </w:rPr>
        <w:t>★</w:t>
      </w:r>
      <w:r>
        <w:rPr>
          <w:rFonts w:ascii="宋体" w:hAnsi="宋体" w:cs="Calibri"/>
        </w:rPr>
        <w:t>”</w:t>
      </w:r>
      <w:r>
        <w:rPr>
          <w:rFonts w:hint="eastAsia" w:ascii="宋体" w:hAnsi="宋体"/>
        </w:rPr>
        <w:t>和</w:t>
      </w:r>
      <w:r>
        <w:rPr>
          <w:rFonts w:ascii="宋体" w:hAnsi="宋体"/>
        </w:rPr>
        <w:t>“</w:t>
      </w:r>
      <w:r>
        <w:rPr>
          <w:rFonts w:ascii="宋体" w:hAnsi="宋体" w:cs="Arial"/>
        </w:rPr>
        <w:t>▲</w:t>
      </w:r>
      <w:r>
        <w:rPr>
          <w:rFonts w:ascii="宋体" w:hAnsi="宋体" w:cs="Calibri"/>
        </w:rPr>
        <w:t>”</w:t>
      </w:r>
      <w:r>
        <w:rPr>
          <w:rFonts w:ascii="宋体" w:hAnsi="宋体"/>
        </w:rPr>
        <w:t>号条款</w:t>
      </w:r>
      <w:r>
        <w:rPr>
          <w:rFonts w:hint="eastAsia" w:ascii="宋体" w:hAnsi="宋体"/>
          <w:bCs/>
          <w:sz w:val="24"/>
          <w:szCs w:val="24"/>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vAlign w:val="center"/>
          </w:tcPr>
          <w:p>
            <w:pPr>
              <w:jc w:val="center"/>
              <w:rPr>
                <w:rFonts w:ascii="宋体" w:hAnsi="宋体"/>
                <w:szCs w:val="21"/>
              </w:rPr>
            </w:pPr>
            <w:r>
              <w:rPr>
                <w:rFonts w:hint="eastAsia" w:ascii="宋体" w:hAnsi="宋体"/>
                <w:szCs w:val="21"/>
              </w:rPr>
              <w:t>序号</w:t>
            </w:r>
          </w:p>
        </w:tc>
        <w:tc>
          <w:tcPr>
            <w:tcW w:w="2673" w:type="dxa"/>
            <w:vAlign w:val="center"/>
          </w:tcPr>
          <w:p>
            <w:pPr>
              <w:jc w:val="center"/>
              <w:rPr>
                <w:rFonts w:ascii="宋体" w:hAnsi="宋体"/>
                <w:szCs w:val="21"/>
              </w:rPr>
            </w:pPr>
            <w:r>
              <w:rPr>
                <w:rFonts w:hint="eastAsia" w:ascii="宋体" w:hAnsi="宋体"/>
                <w:szCs w:val="21"/>
              </w:rPr>
              <w:t>招标文件章节及条款号</w:t>
            </w:r>
          </w:p>
        </w:tc>
        <w:tc>
          <w:tcPr>
            <w:tcW w:w="1630" w:type="dxa"/>
            <w:vAlign w:val="center"/>
          </w:tcPr>
          <w:p>
            <w:pPr>
              <w:jc w:val="center"/>
              <w:rPr>
                <w:rFonts w:ascii="宋体" w:hAnsi="宋体"/>
                <w:szCs w:val="21"/>
              </w:rPr>
            </w:pPr>
            <w:r>
              <w:rPr>
                <w:rFonts w:hint="eastAsia" w:ascii="宋体" w:hAnsi="宋体"/>
                <w:szCs w:val="21"/>
              </w:rPr>
              <w:t>投标文件章节及条款号</w:t>
            </w:r>
          </w:p>
        </w:tc>
        <w:tc>
          <w:tcPr>
            <w:tcW w:w="851" w:type="dxa"/>
            <w:vAlign w:val="center"/>
          </w:tcPr>
          <w:p>
            <w:pPr>
              <w:jc w:val="center"/>
              <w:rPr>
                <w:rFonts w:ascii="宋体" w:hAnsi="宋体"/>
                <w:szCs w:val="21"/>
              </w:rPr>
            </w:pPr>
            <w:r>
              <w:rPr>
                <w:rFonts w:hint="eastAsia" w:ascii="宋体" w:hAnsi="宋体"/>
                <w:szCs w:val="21"/>
              </w:rPr>
              <w:t>要求</w:t>
            </w:r>
          </w:p>
        </w:tc>
        <w:tc>
          <w:tcPr>
            <w:tcW w:w="1417" w:type="dxa"/>
          </w:tcPr>
          <w:p>
            <w:pPr>
              <w:jc w:val="center"/>
              <w:rPr>
                <w:rFonts w:ascii="宋体" w:hAnsi="宋体"/>
                <w:szCs w:val="21"/>
              </w:rPr>
            </w:pPr>
            <w:r>
              <w:rPr>
                <w:rFonts w:hint="eastAsia" w:ascii="宋体" w:hAnsi="宋体"/>
                <w:szCs w:val="21"/>
              </w:rPr>
              <w:t>是否偏离（无偏离</w:t>
            </w:r>
            <w:r>
              <w:rPr>
                <w:rFonts w:ascii="宋体" w:hAnsi="宋体"/>
                <w:szCs w:val="21"/>
              </w:rPr>
              <w:t>/</w:t>
            </w:r>
            <w:r>
              <w:rPr>
                <w:rFonts w:hint="eastAsia" w:ascii="宋体" w:hAnsi="宋体"/>
                <w:szCs w:val="21"/>
              </w:rPr>
              <w:t>正偏离</w:t>
            </w:r>
            <w:r>
              <w:rPr>
                <w:rFonts w:ascii="宋体" w:hAnsi="宋体"/>
                <w:szCs w:val="21"/>
              </w:rPr>
              <w:t>/</w:t>
            </w:r>
            <w:r>
              <w:rPr>
                <w:rFonts w:hint="eastAsia" w:ascii="宋体" w:hAnsi="宋体"/>
                <w:szCs w:val="21"/>
              </w:rPr>
              <w:t>负偏离）</w:t>
            </w:r>
          </w:p>
        </w:tc>
        <w:tc>
          <w:tcPr>
            <w:tcW w:w="1417" w:type="dxa"/>
            <w:vAlign w:val="center"/>
          </w:tcPr>
          <w:p>
            <w:pPr>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vAlign w:val="center"/>
          </w:tcPr>
          <w:p>
            <w:pPr>
              <w:rPr>
                <w:rFonts w:ascii="宋体" w:hAnsi="宋体"/>
                <w:szCs w:val="21"/>
              </w:rPr>
            </w:pPr>
            <w:r>
              <w:rPr>
                <w:rFonts w:hint="eastAsia" w:ascii="宋体" w:hAnsi="宋体"/>
                <w:szCs w:val="21"/>
              </w:rPr>
              <w:t>1</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vAlign w:val="center"/>
          </w:tcPr>
          <w:p>
            <w:pPr>
              <w:rPr>
                <w:rFonts w:ascii="宋体" w:hAnsi="宋体"/>
                <w:szCs w:val="21"/>
              </w:rPr>
            </w:pPr>
            <w:r>
              <w:rPr>
                <w:rFonts w:hint="eastAsia" w:ascii="宋体" w:hAnsi="宋体"/>
                <w:szCs w:val="21"/>
              </w:rPr>
              <w:t>2</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vAlign w:val="center"/>
          </w:tcPr>
          <w:p>
            <w:pPr>
              <w:rPr>
                <w:rFonts w:ascii="宋体" w:hAnsi="宋体"/>
                <w:szCs w:val="21"/>
              </w:rPr>
            </w:pPr>
            <w:r>
              <w:rPr>
                <w:rFonts w:hint="eastAsia" w:ascii="宋体" w:hAnsi="宋体"/>
                <w:szCs w:val="21"/>
              </w:rPr>
              <w:t>3</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vAlign w:val="center"/>
          </w:tcPr>
          <w:p>
            <w:pPr>
              <w:rPr>
                <w:rFonts w:ascii="宋体" w:hAnsi="宋体"/>
                <w:szCs w:val="21"/>
              </w:rPr>
            </w:pPr>
            <w:r>
              <w:rPr>
                <w:rFonts w:hint="eastAsia" w:ascii="宋体" w:hAnsi="宋体"/>
                <w:szCs w:val="21"/>
              </w:rPr>
              <w:t>4</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5</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6</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7</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vAlign w:val="center"/>
          </w:tcPr>
          <w:p>
            <w:pPr>
              <w:jc w:val="center"/>
              <w:rPr>
                <w:rFonts w:ascii="宋体" w:hAnsi="宋体"/>
                <w:bCs/>
                <w:szCs w:val="21"/>
              </w:rPr>
            </w:pPr>
          </w:p>
        </w:tc>
        <w:tc>
          <w:tcPr>
            <w:tcW w:w="1417" w:type="dxa"/>
          </w:tcPr>
          <w:p>
            <w:pPr>
              <w:jc w:val="center"/>
              <w:rPr>
                <w:rFonts w:ascii="宋体" w:hAnsi="宋体"/>
                <w:b/>
                <w:bCs/>
                <w:szCs w:val="21"/>
              </w:rPr>
            </w:pPr>
          </w:p>
        </w:tc>
        <w:tc>
          <w:tcPr>
            <w:tcW w:w="14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8</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9</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10</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hint="eastAsia" w:ascii="宋体" w:hAnsi="宋体"/>
                <w:szCs w:val="21"/>
              </w:rPr>
              <w:t>11</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vAlign w:val="center"/>
          </w:tcPr>
          <w:p>
            <w:pPr>
              <w:rPr>
                <w:rFonts w:ascii="宋体" w:hAnsi="宋体"/>
                <w:szCs w:val="21"/>
              </w:rPr>
            </w:pPr>
            <w:r>
              <w:rPr>
                <w:rFonts w:ascii="宋体" w:hAnsi="宋体"/>
                <w:szCs w:val="21"/>
              </w:rPr>
              <w:t>……</w:t>
            </w:r>
          </w:p>
        </w:tc>
        <w:tc>
          <w:tcPr>
            <w:tcW w:w="2673" w:type="dxa"/>
            <w:vAlign w:val="center"/>
          </w:tcPr>
          <w:p>
            <w:pPr>
              <w:rPr>
                <w:rFonts w:ascii="宋体" w:hAnsi="宋体"/>
                <w:szCs w:val="21"/>
              </w:rPr>
            </w:pPr>
          </w:p>
        </w:tc>
        <w:tc>
          <w:tcPr>
            <w:tcW w:w="1630" w:type="dxa"/>
            <w:vAlign w:val="center"/>
          </w:tcPr>
          <w:p>
            <w:pPr>
              <w:rPr>
                <w:rFonts w:ascii="宋体" w:hAnsi="宋体"/>
                <w:szCs w:val="21"/>
              </w:rPr>
            </w:pPr>
          </w:p>
        </w:tc>
        <w:tc>
          <w:tcPr>
            <w:tcW w:w="851" w:type="dxa"/>
          </w:tcPr>
          <w:p>
            <w:pPr>
              <w:rPr>
                <w:rFonts w:ascii="宋体" w:hAnsi="宋体"/>
                <w:szCs w:val="21"/>
              </w:rPr>
            </w:pPr>
          </w:p>
        </w:tc>
        <w:tc>
          <w:tcPr>
            <w:tcW w:w="1417" w:type="dxa"/>
          </w:tcPr>
          <w:p>
            <w:pPr>
              <w:rPr>
                <w:rFonts w:ascii="宋体" w:hAnsi="宋体"/>
                <w:szCs w:val="21"/>
              </w:rPr>
            </w:pPr>
          </w:p>
        </w:tc>
        <w:tc>
          <w:tcPr>
            <w:tcW w:w="1417" w:type="dxa"/>
            <w:vAlign w:val="center"/>
          </w:tcPr>
          <w:p>
            <w:pPr>
              <w:rPr>
                <w:rFonts w:ascii="宋体" w:hAnsi="宋体"/>
                <w:szCs w:val="21"/>
              </w:rPr>
            </w:pPr>
          </w:p>
        </w:tc>
      </w:tr>
    </w:tbl>
    <w:p>
      <w:pPr>
        <w:spacing w:line="360" w:lineRule="auto"/>
        <w:rPr>
          <w:rFonts w:ascii="宋体" w:hAnsi="宋体"/>
          <w:b/>
          <w:sz w:val="24"/>
          <w:szCs w:val="24"/>
        </w:rPr>
      </w:pPr>
    </w:p>
    <w:p>
      <w:pPr>
        <w:ind w:firstLine="480"/>
        <w:rPr>
          <w:rFonts w:ascii="宋体" w:hAnsi="宋体"/>
        </w:rPr>
      </w:pPr>
      <w:r>
        <w:t>注</w:t>
      </w:r>
      <w:r>
        <w:rPr>
          <w:rFonts w:ascii="宋体" w:hAnsi="宋体"/>
        </w:rPr>
        <w:t>：</w:t>
      </w:r>
      <w:r>
        <w:rPr>
          <w:rFonts w:hint="eastAsia" w:ascii="宋体" w:hAnsi="宋体"/>
        </w:rPr>
        <w:t>1</w:t>
      </w:r>
      <w:r>
        <w:rPr>
          <w:rFonts w:ascii="宋体" w:hAnsi="宋体"/>
        </w:rPr>
        <w:t>.</w:t>
      </w:r>
      <w:r>
        <w:rPr>
          <w:rFonts w:hint="eastAsia" w:ascii="宋体" w:hAnsi="宋体"/>
        </w:rPr>
        <w:t>投</w:t>
      </w:r>
      <w:r>
        <w:rPr>
          <w:rFonts w:ascii="宋体" w:hAnsi="宋体"/>
        </w:rPr>
        <w:t>标</w:t>
      </w:r>
      <w:r>
        <w:rPr>
          <w:rFonts w:hint="eastAsia" w:ascii="宋体" w:hAnsi="宋体"/>
        </w:rPr>
        <w:t>人</w:t>
      </w:r>
      <w:r>
        <w:rPr>
          <w:rFonts w:ascii="宋体" w:hAnsi="宋体"/>
        </w:rPr>
        <w:t>按招标文件</w:t>
      </w:r>
      <w:r>
        <w:rPr>
          <w:rFonts w:hint="eastAsia" w:ascii="宋体" w:hAnsi="宋体"/>
        </w:rPr>
        <w:t>、技术需求书没</w:t>
      </w:r>
      <w:r>
        <w:rPr>
          <w:rFonts w:ascii="宋体" w:hAnsi="宋体"/>
        </w:rPr>
        <w:t>有标注的“</w:t>
      </w:r>
      <w:r>
        <w:rPr>
          <w:rFonts w:hint="eastAsia" w:ascii="宋体" w:hAnsi="宋体" w:cs="宋体"/>
        </w:rPr>
        <w:t>★</w:t>
      </w:r>
      <w:r>
        <w:rPr>
          <w:rFonts w:ascii="宋体" w:hAnsi="宋体" w:cs="Calibri"/>
        </w:rPr>
        <w:t>”</w:t>
      </w:r>
      <w:r>
        <w:rPr>
          <w:rFonts w:hint="eastAsia" w:ascii="宋体" w:hAnsi="宋体"/>
        </w:rPr>
        <w:t>和</w:t>
      </w:r>
      <w:r>
        <w:rPr>
          <w:rFonts w:ascii="宋体" w:hAnsi="宋体"/>
        </w:rPr>
        <w:t>“</w:t>
      </w:r>
      <w:r>
        <w:rPr>
          <w:rFonts w:ascii="宋体" w:hAnsi="宋体" w:cs="Arial"/>
        </w:rPr>
        <w:t>▲</w:t>
      </w:r>
      <w:r>
        <w:rPr>
          <w:rFonts w:ascii="宋体" w:hAnsi="宋体" w:cs="Calibri"/>
        </w:rPr>
        <w:t>”</w:t>
      </w:r>
      <w:r>
        <w:rPr>
          <w:rFonts w:ascii="宋体" w:hAnsi="宋体"/>
        </w:rPr>
        <w:t>号条款进行填写。</w:t>
      </w:r>
      <w:r>
        <w:rPr>
          <w:rFonts w:hint="eastAsia" w:ascii="宋体" w:hAnsi="宋体"/>
        </w:rPr>
        <w:t>条款号对应到最小一级编号如“①”</w:t>
      </w:r>
    </w:p>
    <w:p>
      <w:pPr>
        <w:ind w:firstLine="480"/>
        <w:rPr>
          <w:rFonts w:ascii="宋体" w:hAnsi="宋体"/>
        </w:rPr>
      </w:pPr>
      <w:r>
        <w:rPr>
          <w:rFonts w:hint="eastAsia" w:ascii="宋体" w:hAnsi="宋体"/>
        </w:rPr>
        <w:t>2</w:t>
      </w:r>
      <w:r>
        <w:rPr>
          <w:rFonts w:ascii="宋体" w:hAnsi="宋体"/>
        </w:rPr>
        <w:t>. “是否偏离”项下应按下列规定填写：优于的，填写“正偏离”；符合的，填写“无偏离”；低于的，填写“负偏离”。</w:t>
      </w:r>
    </w:p>
    <w:p>
      <w:pPr>
        <w:ind w:firstLine="480"/>
        <w:rPr>
          <w:rFonts w:ascii="宋体" w:hAnsi="宋体"/>
        </w:rPr>
      </w:pPr>
      <w:r>
        <w:rPr>
          <w:rFonts w:ascii="宋体" w:hAnsi="宋体"/>
        </w:rPr>
        <w:t>3.</w:t>
      </w:r>
      <w:r>
        <w:rPr>
          <w:rFonts w:hint="eastAsia" w:ascii="宋体" w:hAnsi="宋体"/>
        </w:rPr>
        <w:t>如不填写的视为对招标文件要求</w:t>
      </w:r>
      <w:r>
        <w:rPr>
          <w:rFonts w:ascii="宋体" w:hAnsi="宋体"/>
        </w:rPr>
        <w:t>“无偏离”。</w:t>
      </w:r>
    </w:p>
    <w:p>
      <w:pPr>
        <w:pStyle w:val="7"/>
      </w:pPr>
    </w:p>
    <w:p>
      <w:pPr>
        <w:pStyle w:val="7"/>
      </w:pPr>
    </w:p>
    <w:p>
      <w:pPr>
        <w:spacing w:line="360" w:lineRule="auto"/>
        <w:jc w:val="right"/>
        <w:rPr>
          <w:rFonts w:ascii="宋体" w:hAnsi="宋体"/>
          <w:sz w:val="24"/>
          <w:szCs w:val="24"/>
        </w:rPr>
      </w:pPr>
      <w:r>
        <w:rPr>
          <w:rFonts w:ascii="宋体" w:hAnsi="宋体"/>
          <w:sz w:val="24"/>
          <w:szCs w:val="24"/>
        </w:rPr>
        <w:t>投 标 人：</w:t>
      </w:r>
      <w:r>
        <w:rPr>
          <w:rFonts w:hint="eastAsia" w:ascii="宋体" w:hAnsi="宋体"/>
          <w:sz w:val="24"/>
          <w:szCs w:val="24"/>
          <w:u w:val="single"/>
        </w:rPr>
        <w:t xml:space="preserve">     </w:t>
      </w:r>
      <w:r>
        <w:rPr>
          <w:rFonts w:ascii="宋体" w:hAnsi="宋体"/>
          <w:sz w:val="24"/>
          <w:szCs w:val="24"/>
        </w:rPr>
        <w:t>（盖单位章）</w:t>
      </w:r>
    </w:p>
    <w:p>
      <w:pPr>
        <w:spacing w:line="360" w:lineRule="auto"/>
        <w:jc w:val="right"/>
        <w:rPr>
          <w:rFonts w:ascii="宋体" w:hAnsi="宋体"/>
          <w:sz w:val="24"/>
          <w:szCs w:val="24"/>
        </w:rPr>
      </w:pPr>
      <w:r>
        <w:rPr>
          <w:rFonts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pStyle w:val="7"/>
        <w:ind w:firstLine="5880" w:firstLineChars="2450"/>
        <w:rPr>
          <w:rFonts w:ascii="宋体" w:hAnsi="宋体"/>
          <w:sz w:val="24"/>
        </w:rPr>
      </w:pP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rPr>
      </w:pPr>
    </w:p>
    <w:p>
      <w:pPr>
        <w:widowControl/>
        <w:jc w:val="left"/>
      </w:pPr>
      <w:r>
        <w:rPr>
          <w:rFonts w:hint="eastAsia"/>
        </w:rPr>
        <w:br w:type="page"/>
      </w:r>
    </w:p>
    <w:p>
      <w:pPr>
        <w:keepNext/>
        <w:keepLines/>
        <w:widowControl/>
        <w:spacing w:line="360" w:lineRule="auto"/>
        <w:jc w:val="left"/>
        <w:outlineLvl w:val="1"/>
        <w:rPr>
          <w:rFonts w:ascii="宋体" w:hAnsi="宋体"/>
          <w:kern w:val="0"/>
          <w:sz w:val="32"/>
          <w:szCs w:val="20"/>
        </w:rPr>
      </w:pPr>
      <w:r>
        <w:rPr>
          <w:rFonts w:hint="eastAsia" w:ascii="宋体" w:hAnsi="宋体"/>
          <w:b/>
          <w:kern w:val="0"/>
          <w:sz w:val="32"/>
          <w:szCs w:val="20"/>
        </w:rPr>
        <w:t>五</w:t>
      </w:r>
      <w:r>
        <w:rPr>
          <w:rFonts w:ascii="宋体" w:hAnsi="宋体"/>
          <w:b/>
          <w:kern w:val="0"/>
          <w:sz w:val="32"/>
          <w:szCs w:val="20"/>
        </w:rPr>
        <w:t>、</w:t>
      </w:r>
      <w:r>
        <w:rPr>
          <w:rFonts w:hint="eastAsia" w:ascii="宋体" w:hAnsi="宋体"/>
          <w:b/>
          <w:kern w:val="0"/>
          <w:sz w:val="32"/>
          <w:szCs w:val="20"/>
        </w:rPr>
        <w:t>分项报价表</w:t>
      </w:r>
    </w:p>
    <w:p>
      <w:pPr>
        <w:spacing w:line="360" w:lineRule="auto"/>
        <w:outlineLvl w:val="1"/>
        <w:rPr>
          <w:rFonts w:ascii="宋体" w:hAnsi="宋体"/>
          <w:bCs/>
          <w:sz w:val="24"/>
          <w:szCs w:val="24"/>
        </w:rPr>
      </w:pPr>
      <w:bookmarkStart w:id="140" w:name="_Toc29623"/>
      <w:bookmarkStart w:id="141" w:name="_Toc7454675"/>
      <w:bookmarkStart w:id="142" w:name="_Toc520184747"/>
      <w:r>
        <w:rPr>
          <w:rFonts w:hint="eastAsia" w:ascii="宋体" w:hAnsi="宋体"/>
          <w:bCs/>
          <w:sz w:val="24"/>
          <w:szCs w:val="24"/>
        </w:rPr>
        <w:t>（一）分项报价表说明</w:t>
      </w:r>
      <w:bookmarkEnd w:id="140"/>
      <w:bookmarkEnd w:id="141"/>
    </w:p>
    <w:p>
      <w:pPr>
        <w:spacing w:line="360" w:lineRule="auto"/>
        <w:rPr>
          <w:rFonts w:ascii="宋体" w:hAnsi="宋体"/>
          <w:bCs/>
          <w:sz w:val="24"/>
          <w:szCs w:val="24"/>
        </w:rPr>
      </w:pPr>
      <w:r>
        <w:rPr>
          <w:rFonts w:hint="eastAsia" w:ascii="宋体" w:hAnsi="宋体"/>
          <w:bCs/>
          <w:sz w:val="24"/>
          <w:szCs w:val="24"/>
        </w:rPr>
        <w:t>（投标单位自拟说明）</w:t>
      </w:r>
    </w:p>
    <w:p>
      <w:pPr>
        <w:spacing w:line="360" w:lineRule="auto"/>
        <w:rPr>
          <w:rFonts w:ascii="宋体" w:hAnsi="宋体"/>
          <w:bCs/>
          <w:sz w:val="24"/>
          <w:szCs w:val="24"/>
        </w:rPr>
      </w:pPr>
      <w:bookmarkStart w:id="143" w:name="_Toc7454676"/>
      <w:bookmarkStart w:id="144" w:name="_Toc330"/>
    </w:p>
    <w:p>
      <w:pPr>
        <w:pStyle w:val="7"/>
        <w:jc w:val="left"/>
        <w:outlineLvl w:val="1"/>
        <w:rPr>
          <w:rFonts w:ascii="宋体" w:hAnsi="宋体"/>
          <w:bCs/>
          <w:sz w:val="24"/>
        </w:rPr>
      </w:pPr>
      <w:r>
        <w:rPr>
          <w:rFonts w:hint="eastAsia" w:ascii="宋体" w:hAnsi="宋体"/>
          <w:bCs/>
          <w:sz w:val="24"/>
        </w:rPr>
        <w:br w:type="page"/>
      </w:r>
      <w:r>
        <w:rPr>
          <w:rFonts w:hint="eastAsia" w:ascii="宋体" w:hAnsi="宋体"/>
          <w:bCs/>
          <w:sz w:val="24"/>
        </w:rPr>
        <w:t>（二）分项报价汇总表</w:t>
      </w:r>
    </w:p>
    <w:tbl>
      <w:tblPr>
        <w:tblStyle w:val="20"/>
        <w:tblW w:w="4997" w:type="pct"/>
        <w:jc w:val="cente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shd w:val="clear" w:color="auto" w:fill="FFFFFF"/>
        <w:tblLayout w:type="autofit"/>
        <w:tblCellMar>
          <w:top w:w="0" w:type="dxa"/>
          <w:left w:w="108" w:type="dxa"/>
          <w:bottom w:w="0" w:type="dxa"/>
          <w:right w:w="108" w:type="dxa"/>
        </w:tblCellMar>
      </w:tblPr>
      <w:tblGrid>
        <w:gridCol w:w="1493"/>
        <w:gridCol w:w="3233"/>
        <w:gridCol w:w="1984"/>
        <w:gridCol w:w="2526"/>
      </w:tblGrid>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shd w:val="clear" w:color="auto" w:fill="FFFFFF"/>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jc w:val="left"/>
            </w:pPr>
            <w:r>
              <w:t>序号</w:t>
            </w:r>
          </w:p>
        </w:tc>
        <w:tc>
          <w:tcPr>
            <w:tcW w:w="1750" w:type="pct"/>
            <w:tcBorders>
              <w:tl2br w:val="nil"/>
              <w:tr2bl w:val="nil"/>
            </w:tcBorders>
            <w:shd w:val="clear" w:color="auto" w:fill="FFFFFF"/>
            <w:noWrap/>
            <w:vAlign w:val="center"/>
          </w:tcPr>
          <w:p>
            <w:pPr>
              <w:pStyle w:val="7"/>
              <w:jc w:val="left"/>
            </w:pPr>
            <w:r>
              <w:rPr>
                <w:rFonts w:hint="eastAsia"/>
              </w:rPr>
              <w:t>分项</w:t>
            </w:r>
            <w:r>
              <w:t>名称</w:t>
            </w:r>
          </w:p>
        </w:tc>
        <w:tc>
          <w:tcPr>
            <w:tcW w:w="1074" w:type="pct"/>
            <w:tcBorders>
              <w:tl2br w:val="nil"/>
              <w:tr2bl w:val="nil"/>
            </w:tcBorders>
            <w:shd w:val="clear" w:color="auto" w:fill="FFFFFF"/>
            <w:noWrap/>
            <w:vAlign w:val="center"/>
          </w:tcPr>
          <w:p>
            <w:pPr>
              <w:pStyle w:val="7"/>
              <w:jc w:val="left"/>
            </w:pPr>
            <w:r>
              <w:rPr>
                <w:rFonts w:hint="eastAsia"/>
              </w:rPr>
              <w:t>报价（元）</w:t>
            </w:r>
          </w:p>
        </w:tc>
        <w:tc>
          <w:tcPr>
            <w:tcW w:w="1367" w:type="pct"/>
            <w:tcBorders>
              <w:tl2br w:val="nil"/>
              <w:tr2bl w:val="nil"/>
            </w:tcBorders>
            <w:shd w:val="clear" w:color="auto" w:fill="FFFFFF"/>
            <w:noWrap/>
            <w:vAlign w:val="center"/>
          </w:tcPr>
          <w:p>
            <w:pPr>
              <w:pStyle w:val="7"/>
              <w:jc w:val="center"/>
            </w:pPr>
            <w:r>
              <w:t>备注</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jc w:val="left"/>
            </w:pPr>
            <w:r>
              <w:t>1</w:t>
            </w:r>
          </w:p>
        </w:tc>
        <w:tc>
          <w:tcPr>
            <w:tcW w:w="1750" w:type="pct"/>
            <w:tcBorders>
              <w:tl2br w:val="nil"/>
              <w:tr2bl w:val="nil"/>
            </w:tcBorders>
            <w:shd w:val="clear" w:color="auto" w:fill="FFFFFF"/>
            <w:noWrap/>
            <w:vAlign w:val="center"/>
          </w:tcPr>
          <w:p>
            <w:pPr>
              <w:pStyle w:val="7"/>
              <w:jc w:val="left"/>
            </w:pPr>
            <w:r>
              <w:rPr>
                <w:rFonts w:hint="eastAsia"/>
              </w:rPr>
              <w:t>普通级大动物自动饮水系统</w:t>
            </w:r>
          </w:p>
        </w:tc>
        <w:tc>
          <w:tcPr>
            <w:tcW w:w="1074" w:type="pct"/>
            <w:tcBorders>
              <w:tl2br w:val="nil"/>
              <w:tr2bl w:val="nil"/>
            </w:tcBorders>
            <w:shd w:val="clear" w:color="auto" w:fill="FFFFFF"/>
            <w:noWrap/>
            <w:vAlign w:val="center"/>
          </w:tcPr>
          <w:p>
            <w:pPr>
              <w:pStyle w:val="7"/>
              <w:jc w:val="left"/>
            </w:pPr>
          </w:p>
        </w:tc>
        <w:tc>
          <w:tcPr>
            <w:tcW w:w="1367" w:type="pct"/>
            <w:vMerge w:val="restart"/>
            <w:tcBorders>
              <w:tl2br w:val="nil"/>
              <w:tr2bl w:val="nil"/>
            </w:tcBorders>
            <w:shd w:val="clear" w:color="auto" w:fill="FFFFFF"/>
            <w:noWrap/>
            <w:vAlign w:val="center"/>
          </w:tcPr>
          <w:p>
            <w:pPr>
              <w:pStyle w:val="7"/>
            </w:pPr>
            <w:r>
              <w:rPr>
                <w:rFonts w:hint="eastAsia"/>
              </w:rPr>
              <w:t>具体要求详见技术需求书</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jc w:val="left"/>
            </w:pPr>
            <w:r>
              <w:rPr>
                <w:rFonts w:hint="eastAsia"/>
              </w:rPr>
              <w:t>2</w:t>
            </w:r>
          </w:p>
        </w:tc>
        <w:tc>
          <w:tcPr>
            <w:tcW w:w="1750" w:type="pct"/>
            <w:tcBorders>
              <w:tl2br w:val="nil"/>
              <w:tr2bl w:val="nil"/>
            </w:tcBorders>
            <w:shd w:val="clear" w:color="auto" w:fill="FFFFFF"/>
            <w:noWrap/>
            <w:vAlign w:val="center"/>
          </w:tcPr>
          <w:p>
            <w:pPr>
              <w:pStyle w:val="7"/>
              <w:jc w:val="left"/>
            </w:pPr>
            <w:r>
              <w:rPr>
                <w:rFonts w:hint="eastAsia"/>
              </w:rPr>
              <w:t>SPF级大小鼠自动饮水系统</w:t>
            </w:r>
          </w:p>
        </w:tc>
        <w:tc>
          <w:tcPr>
            <w:tcW w:w="1074" w:type="pct"/>
            <w:tcBorders>
              <w:tl2br w:val="nil"/>
              <w:tr2bl w:val="nil"/>
            </w:tcBorders>
            <w:shd w:val="clear" w:color="auto" w:fill="FFFFFF"/>
            <w:noWrap/>
            <w:vAlign w:val="center"/>
          </w:tcPr>
          <w:p>
            <w:pPr>
              <w:pStyle w:val="7"/>
              <w:jc w:val="left"/>
            </w:pPr>
          </w:p>
        </w:tc>
        <w:tc>
          <w:tcPr>
            <w:tcW w:w="1367" w:type="pct"/>
            <w:vMerge w:val="continue"/>
            <w:tcBorders>
              <w:tl2br w:val="nil"/>
              <w:tr2bl w:val="nil"/>
            </w:tcBorders>
            <w:shd w:val="clear" w:color="auto" w:fill="FFFFFF"/>
            <w:noWrap/>
            <w:vAlign w:val="center"/>
          </w:tcPr>
          <w:p>
            <w:pPr>
              <w:pStyle w:val="7"/>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jc w:val="left"/>
            </w:pPr>
            <w:r>
              <w:rPr>
                <w:rFonts w:hint="eastAsia"/>
              </w:rPr>
              <w:t>3</w:t>
            </w:r>
          </w:p>
        </w:tc>
        <w:tc>
          <w:tcPr>
            <w:tcW w:w="1750" w:type="pct"/>
            <w:tcBorders>
              <w:tl2br w:val="nil"/>
              <w:tr2bl w:val="nil"/>
            </w:tcBorders>
            <w:shd w:val="clear" w:color="auto" w:fill="FFFFFF"/>
            <w:noWrap/>
            <w:vAlign w:val="center"/>
          </w:tcPr>
          <w:p>
            <w:pPr>
              <w:pStyle w:val="7"/>
              <w:jc w:val="left"/>
            </w:pPr>
            <w:r>
              <w:rPr>
                <w:rFonts w:hint="eastAsia"/>
              </w:rPr>
              <w:t>水处理系统</w:t>
            </w:r>
          </w:p>
        </w:tc>
        <w:tc>
          <w:tcPr>
            <w:tcW w:w="1074" w:type="pct"/>
            <w:tcBorders>
              <w:tl2br w:val="nil"/>
              <w:tr2bl w:val="nil"/>
            </w:tcBorders>
            <w:shd w:val="clear" w:color="auto" w:fill="FFFFFF"/>
            <w:noWrap/>
            <w:vAlign w:val="center"/>
          </w:tcPr>
          <w:p>
            <w:pPr>
              <w:pStyle w:val="7"/>
              <w:jc w:val="left"/>
            </w:pPr>
          </w:p>
        </w:tc>
        <w:tc>
          <w:tcPr>
            <w:tcW w:w="1367" w:type="pct"/>
            <w:vMerge w:val="continue"/>
            <w:tcBorders>
              <w:tl2br w:val="nil"/>
              <w:tr2bl w:val="nil"/>
            </w:tcBorders>
            <w:shd w:val="clear" w:color="auto" w:fill="FFFFFF"/>
            <w:noWrap/>
            <w:vAlign w:val="center"/>
          </w:tcPr>
          <w:p>
            <w:pPr>
              <w:pStyle w:val="7"/>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jc w:val="left"/>
            </w:pPr>
            <w:r>
              <w:rPr>
                <w:rFonts w:hint="eastAsia"/>
              </w:rPr>
              <w:t>4</w:t>
            </w:r>
          </w:p>
        </w:tc>
        <w:tc>
          <w:tcPr>
            <w:tcW w:w="1750" w:type="pct"/>
            <w:tcBorders>
              <w:tl2br w:val="nil"/>
              <w:tr2bl w:val="nil"/>
            </w:tcBorders>
            <w:shd w:val="clear" w:color="auto" w:fill="FFFFFF"/>
            <w:noWrap/>
            <w:vAlign w:val="center"/>
          </w:tcPr>
          <w:p>
            <w:pPr>
              <w:pStyle w:val="7"/>
              <w:jc w:val="left"/>
            </w:pPr>
            <w:r>
              <w:t>其它</w:t>
            </w:r>
          </w:p>
        </w:tc>
        <w:tc>
          <w:tcPr>
            <w:tcW w:w="1074" w:type="pct"/>
            <w:tcBorders>
              <w:tl2br w:val="nil"/>
              <w:tr2bl w:val="nil"/>
            </w:tcBorders>
            <w:shd w:val="clear" w:color="auto" w:fill="FFFFFF"/>
            <w:noWrap/>
            <w:vAlign w:val="center"/>
          </w:tcPr>
          <w:p>
            <w:pPr>
              <w:pStyle w:val="7"/>
              <w:jc w:val="left"/>
            </w:pPr>
          </w:p>
        </w:tc>
        <w:tc>
          <w:tcPr>
            <w:tcW w:w="1367" w:type="pct"/>
            <w:vMerge w:val="continue"/>
            <w:tcBorders>
              <w:tl2br w:val="nil"/>
              <w:tr2bl w:val="nil"/>
            </w:tcBorders>
            <w:shd w:val="clear" w:color="auto" w:fill="FFFFFF"/>
            <w:noWrap/>
            <w:vAlign w:val="center"/>
          </w:tcPr>
          <w:p>
            <w:pPr>
              <w:pStyle w:val="7"/>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808" w:type="pct"/>
            <w:tcBorders>
              <w:tl2br w:val="nil"/>
              <w:tr2bl w:val="nil"/>
            </w:tcBorders>
            <w:shd w:val="clear" w:color="auto" w:fill="FFFFFF"/>
            <w:noWrap/>
            <w:vAlign w:val="center"/>
          </w:tcPr>
          <w:p>
            <w:pPr>
              <w:pStyle w:val="7"/>
            </w:pPr>
            <w:r>
              <w:rPr>
                <w:rFonts w:hint="eastAsia"/>
              </w:rPr>
              <w:t>5</w:t>
            </w:r>
          </w:p>
        </w:tc>
        <w:tc>
          <w:tcPr>
            <w:tcW w:w="1750" w:type="pct"/>
            <w:tcBorders>
              <w:tl2br w:val="nil"/>
              <w:tr2bl w:val="nil"/>
            </w:tcBorders>
            <w:shd w:val="clear" w:color="auto" w:fill="FFFFFF"/>
            <w:noWrap/>
            <w:vAlign w:val="center"/>
          </w:tcPr>
          <w:p>
            <w:pPr>
              <w:pStyle w:val="7"/>
            </w:pPr>
            <w:r>
              <w:rPr>
                <w:rFonts w:hint="eastAsia"/>
              </w:rPr>
              <w:t>总价（含税）</w:t>
            </w:r>
          </w:p>
        </w:tc>
        <w:tc>
          <w:tcPr>
            <w:tcW w:w="2441" w:type="pct"/>
            <w:gridSpan w:val="2"/>
            <w:tcBorders>
              <w:tl2br w:val="nil"/>
              <w:tr2bl w:val="nil"/>
            </w:tcBorders>
            <w:shd w:val="clear" w:color="auto" w:fill="FFFFFF"/>
            <w:noWrap/>
            <w:vAlign w:val="center"/>
          </w:tcPr>
          <w:p>
            <w:pPr>
              <w:pStyle w:val="7"/>
            </w:pPr>
          </w:p>
        </w:tc>
      </w:tr>
    </w:tbl>
    <w:p>
      <w:pPr>
        <w:rPr>
          <w:rFonts w:ascii="宋体" w:hAnsi="宋体"/>
          <w:bCs/>
          <w:sz w:val="24"/>
          <w:szCs w:val="24"/>
        </w:rPr>
      </w:pPr>
    </w:p>
    <w:p>
      <w:pPr>
        <w:rPr>
          <w:rFonts w:ascii="宋体" w:hAnsi="宋体"/>
          <w:bCs/>
          <w:sz w:val="24"/>
          <w:szCs w:val="24"/>
        </w:rPr>
      </w:pPr>
    </w:p>
    <w:p>
      <w:pPr>
        <w:spacing w:line="360" w:lineRule="auto"/>
      </w:pPr>
      <w:r>
        <w:rPr>
          <w:rFonts w:hint="eastAsia" w:ascii="宋体" w:hAnsi="宋体"/>
          <w:bCs/>
          <w:sz w:val="24"/>
          <w:szCs w:val="24"/>
        </w:rPr>
        <w:t>备注：本项目承包方式为总价包干，合同总价为货到暨南大学校内招标人指定地点含税全包价，合同金额包含但不限于货物的设计、制造、包装、仓储、运输、保管、保险（至货物运抵使用单位放置、拆箱、就位）、装卸、搬运、安装调试、随机零配件、标配工具、验收、培训、技术服务（包括技术资料、图纸的提供）、检测费用、总包配合服务费、质保期服务、各项税费及合同实施过程中可预见及不可预见费用等的全部费用。</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w:t>投  标  人：（</w:t>
      </w:r>
      <w:r>
        <w:rPr>
          <w:rFonts w:hint="eastAsia" w:ascii="宋体" w:hAnsi="宋体"/>
          <w:sz w:val="24"/>
          <w:szCs w:val="24"/>
        </w:rPr>
        <w:t>盖</w:t>
      </w:r>
      <w:r>
        <w:rPr>
          <w:rFonts w:ascii="宋体" w:hAnsi="宋体"/>
          <w:sz w:val="24"/>
          <w:szCs w:val="24"/>
        </w:rPr>
        <w:t>单位</w:t>
      </w:r>
      <w:r>
        <w:rPr>
          <w:rFonts w:hint="eastAsia" w:ascii="宋体" w:hAnsi="宋体"/>
          <w:sz w:val="24"/>
          <w:szCs w:val="24"/>
        </w:rPr>
        <w:t>章</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法定代表人或其委托代理人：（签字</w:t>
      </w:r>
      <w:r>
        <w:rPr>
          <w:rFonts w:hint="eastAsia" w:ascii="宋体" w:hAnsi="宋体"/>
          <w:sz w:val="24"/>
          <w:szCs w:val="24"/>
        </w:rPr>
        <w:t>或盖章）</w:t>
      </w:r>
    </w:p>
    <w:p>
      <w:pPr>
        <w:spacing w:line="360" w:lineRule="auto"/>
        <w:ind w:firstLine="960" w:firstLineChars="400"/>
        <w:jc w:val="left"/>
        <w:rPr>
          <w:rFonts w:ascii="宋体" w:hAnsi="宋体"/>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spacing w:line="360" w:lineRule="auto"/>
      </w:pPr>
    </w:p>
    <w:p>
      <w:pPr>
        <w:pStyle w:val="7"/>
        <w:spacing w:line="360" w:lineRule="auto"/>
        <w:sectPr>
          <w:footerReference r:id="rId4" w:type="default"/>
          <w:footerReference r:id="rId5" w:type="even"/>
          <w:pgSz w:w="11906" w:h="16838"/>
          <w:pgMar w:top="1440" w:right="1440" w:bottom="1440" w:left="1440" w:header="851" w:footer="992" w:gutter="0"/>
          <w:cols w:space="720" w:num="1"/>
          <w:titlePg/>
          <w:docGrid w:type="lines" w:linePitch="312" w:charSpace="0"/>
        </w:sectPr>
      </w:pPr>
    </w:p>
    <w:bookmarkEnd w:id="143"/>
    <w:bookmarkEnd w:id="144"/>
    <w:p>
      <w:pPr>
        <w:spacing w:line="360" w:lineRule="auto"/>
        <w:outlineLvl w:val="1"/>
        <w:rPr>
          <w:rFonts w:ascii="宋体" w:hAnsi="宋体"/>
          <w:bCs/>
          <w:sz w:val="24"/>
          <w:szCs w:val="24"/>
        </w:rPr>
      </w:pPr>
      <w:r>
        <w:rPr>
          <w:rFonts w:hint="eastAsia" w:ascii="宋体" w:hAnsi="宋体"/>
          <w:bCs/>
          <w:sz w:val="24"/>
          <w:szCs w:val="24"/>
        </w:rPr>
        <w:t>（三）分项报价表</w:t>
      </w:r>
      <w:bookmarkEnd w:id="142"/>
    </w:p>
    <w:p>
      <w:pPr>
        <w:spacing w:line="360" w:lineRule="auto"/>
        <w:jc w:val="right"/>
        <w:rPr>
          <w:rFonts w:ascii="宋体" w:hAnsi="宋体"/>
          <w:bCs/>
          <w:sz w:val="24"/>
          <w:szCs w:val="24"/>
        </w:rPr>
      </w:pPr>
      <w:r>
        <w:rPr>
          <w:rFonts w:hint="eastAsia" w:ascii="宋体" w:hAnsi="宋体"/>
          <w:bCs/>
          <w:sz w:val="24"/>
          <w:szCs w:val="24"/>
        </w:rPr>
        <w:t>单位：人民币元</w:t>
      </w:r>
    </w:p>
    <w:p>
      <w:pPr>
        <w:adjustRightInd w:val="0"/>
        <w:snapToGrid w:val="0"/>
        <w:spacing w:line="360" w:lineRule="auto"/>
        <w:jc w:val="center"/>
        <w:rPr>
          <w:sz w:val="22"/>
        </w:rPr>
      </w:pPr>
      <w:r>
        <w:rPr>
          <w:rFonts w:hint="eastAsia"/>
          <w:sz w:val="22"/>
        </w:rPr>
        <w:t>设备主要采购清单</w:t>
      </w:r>
    </w:p>
    <w:tbl>
      <w:tblPr>
        <w:tblStyle w:val="20"/>
        <w:tblW w:w="5190" w:type="pct"/>
        <w:jc w:val="cente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shd w:val="clear" w:color="auto" w:fill="FFFFFF"/>
        <w:tblLayout w:type="fixed"/>
        <w:tblCellMar>
          <w:top w:w="0" w:type="dxa"/>
          <w:left w:w="108" w:type="dxa"/>
          <w:bottom w:w="0" w:type="dxa"/>
          <w:right w:w="108" w:type="dxa"/>
        </w:tblCellMar>
      </w:tblPr>
      <w:tblGrid>
        <w:gridCol w:w="1177"/>
        <w:gridCol w:w="1827"/>
        <w:gridCol w:w="938"/>
        <w:gridCol w:w="850"/>
        <w:gridCol w:w="623"/>
        <w:gridCol w:w="1399"/>
        <w:gridCol w:w="456"/>
        <w:gridCol w:w="748"/>
        <w:gridCol w:w="748"/>
        <w:gridCol w:w="827"/>
      </w:tblGrid>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shd w:val="clear" w:color="auto" w:fill="FFFFFF"/>
          <w:tblCellMar>
            <w:top w:w="0" w:type="dxa"/>
            <w:left w:w="108" w:type="dxa"/>
            <w:bottom w:w="0" w:type="dxa"/>
            <w:right w:w="108" w:type="dxa"/>
          </w:tblCellMar>
        </w:tblPrEx>
        <w:trPr>
          <w:trHeight w:val="397" w:hRule="atLeast"/>
          <w:tblHeader/>
          <w:jc w:val="center"/>
        </w:trPr>
        <w:tc>
          <w:tcPr>
            <w:tcW w:w="613"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951"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488"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442"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325"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w:t>
            </w:r>
          </w:p>
        </w:tc>
        <w:tc>
          <w:tcPr>
            <w:tcW w:w="728"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制造商名称</w:t>
            </w:r>
          </w:p>
        </w:tc>
        <w:tc>
          <w:tcPr>
            <w:tcW w:w="238"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w:t>
            </w:r>
          </w:p>
        </w:tc>
        <w:tc>
          <w:tcPr>
            <w:tcW w:w="389"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389"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合计（元）</w:t>
            </w:r>
          </w:p>
        </w:tc>
        <w:tc>
          <w:tcPr>
            <w:tcW w:w="430" w:type="pct"/>
            <w:tcBorders>
              <w:tl2br w:val="nil"/>
              <w:tr2bl w:val="nil"/>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普通级大动物自动饮水系统</w:t>
            </w:r>
          </w:p>
        </w:tc>
        <w:tc>
          <w:tcPr>
            <w:tcW w:w="488" w:type="pct"/>
            <w:tcBorders>
              <w:tl2br w:val="nil"/>
              <w:tr2bl w:val="nil"/>
            </w:tcBorders>
            <w:shd w:val="clear" w:color="auto" w:fill="FFFFFF"/>
            <w:noWrap/>
            <w:vAlign w:val="center"/>
          </w:tcPr>
          <w:p>
            <w:pPr>
              <w:jc w:val="left"/>
              <w:rPr>
                <w:rFonts w:hint="eastAsia" w:ascii="宋体" w:hAnsi="宋体" w:eastAsia="宋体" w:cs="宋体"/>
                <w:b/>
                <w:bCs/>
                <w:color w:val="000000"/>
                <w:sz w:val="24"/>
                <w:szCs w:val="24"/>
              </w:rPr>
            </w:pPr>
          </w:p>
        </w:tc>
        <w:tc>
          <w:tcPr>
            <w:tcW w:w="442"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325"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728"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238"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389"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389"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c>
          <w:tcPr>
            <w:tcW w:w="430" w:type="pct"/>
            <w:tcBorders>
              <w:tl2br w:val="nil"/>
              <w:tr2bl w:val="nil"/>
            </w:tcBorders>
            <w:shd w:val="clear" w:color="auto" w:fill="FFFFFF"/>
            <w:noWrap/>
            <w:vAlign w:val="center"/>
          </w:tcPr>
          <w:p>
            <w:pPr>
              <w:jc w:val="center"/>
              <w:rPr>
                <w:rFonts w:hint="eastAsia" w:ascii="宋体" w:hAnsi="宋体" w:eastAsia="宋体" w:cs="宋体"/>
                <w:b/>
                <w:bCs/>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系统主管道</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房间管道≥25.4*1.65mm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50m</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房间管道≥19.05*1.65mm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300m</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房间管道≥12.7*1.0mm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800m</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减压站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高压减压阀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低压减压阀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流量传感器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压力传感器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压力表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控制板</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触摸屏</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电控箱</w:t>
            </w:r>
          </w:p>
        </w:tc>
        <w:tc>
          <w:tcPr>
            <w:tcW w:w="488" w:type="pct"/>
            <w:tcBorders>
              <w:tl2br w:val="nil"/>
              <w:tr2bl w:val="nil"/>
            </w:tcBorders>
            <w:shd w:val="clear" w:color="auto" w:fill="FFFFFF"/>
            <w:noWrap/>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服务器</w:t>
            </w:r>
          </w:p>
        </w:tc>
        <w:tc>
          <w:tcPr>
            <w:tcW w:w="488" w:type="pct"/>
            <w:tcBorders>
              <w:tl2br w:val="nil"/>
              <w:tr2bl w:val="nil"/>
            </w:tcBorders>
            <w:shd w:val="clear" w:color="auto" w:fill="FFFFFF"/>
            <w:noWrap/>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1.2.10</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显示器</w:t>
            </w:r>
            <w:r>
              <w:rPr>
                <w:rFonts w:hint="eastAsia" w:ascii="宋体" w:hAnsi="宋体" w:eastAsia="宋体" w:cs="宋体"/>
                <w:i w:val="0"/>
                <w:iCs w:val="0"/>
                <w:color w:val="000000"/>
                <w:kern w:val="0"/>
                <w:sz w:val="24"/>
                <w:szCs w:val="24"/>
                <w:u w:val="none"/>
                <w:lang w:val="en-US" w:eastAsia="zh-CN" w:bidi="ar"/>
              </w:rPr>
              <w:t>（≥19英寸）</w:t>
            </w:r>
          </w:p>
        </w:tc>
        <w:tc>
          <w:tcPr>
            <w:tcW w:w="488" w:type="pct"/>
            <w:tcBorders>
              <w:tl2br w:val="nil"/>
              <w:tr2bl w:val="nil"/>
            </w:tcBorders>
            <w:shd w:val="clear" w:color="auto" w:fill="FFFFFF"/>
            <w:noWrap/>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全千兆</w:t>
            </w:r>
            <w:r>
              <w:rPr>
                <w:rFonts w:hint="eastAsia" w:ascii="宋体" w:hAnsi="宋体" w:eastAsia="宋体" w:cs="宋体"/>
                <w:color w:val="000000" w:themeColor="text1"/>
                <w:sz w:val="24"/>
                <w:szCs w:val="24"/>
                <w14:textFill>
                  <w14:solidFill>
                    <w14:schemeClr w14:val="tx1"/>
                  </w14:solidFill>
                </w14:textFill>
              </w:rPr>
              <w:t>交换机</w:t>
            </w:r>
            <w:r>
              <w:rPr>
                <w:rFonts w:hint="eastAsia" w:ascii="宋体" w:hAnsi="宋体" w:eastAsia="宋体" w:cs="宋体"/>
                <w:i w:val="0"/>
                <w:iCs w:val="0"/>
                <w:color w:val="000000"/>
                <w:kern w:val="0"/>
                <w:sz w:val="24"/>
                <w:szCs w:val="24"/>
                <w:u w:val="none"/>
                <w:lang w:val="en-US" w:eastAsia="zh-CN" w:bidi="ar"/>
              </w:rPr>
              <w:t>（≥16口）</w:t>
            </w:r>
          </w:p>
        </w:tc>
        <w:tc>
          <w:tcPr>
            <w:tcW w:w="488" w:type="pct"/>
            <w:tcBorders>
              <w:tl2br w:val="nil"/>
              <w:tr2bl w:val="nil"/>
            </w:tcBorders>
            <w:shd w:val="clear" w:color="auto" w:fill="FFFFFF"/>
            <w:noWrap/>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内联站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128个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进水快接装置</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128个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房间排放电磁阀及取样阀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13个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管道连接件</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1批</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自动饮用水控制软件系统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大动物自动饮水系统笼架支管</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笼架饮水支管（猴）</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80套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笼架饮水支管（犬）</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20套</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笼架饮水支管（猪）</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14套</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笼架饮水支管（兔）</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16套</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笼架饮水支管（豚鼠）</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8套</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大动物自动饮水系统饮水阀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猴</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160个</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犬</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40个</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猪</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28个</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兔（快插式）</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96个</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themeColor="text1"/>
                <w:sz w:val="24"/>
                <w:szCs w:val="24"/>
                <w14:textFill>
                  <w14:solidFill>
                    <w14:schemeClr w14:val="tx1"/>
                  </w14:solidFill>
                </w14:textFill>
              </w:rPr>
              <w:t>豚鼠（快插式</w:t>
            </w:r>
            <w:r>
              <w:rPr>
                <w:rFonts w:hint="eastAsia" w:ascii="宋体" w:hAnsi="宋体" w:eastAsia="宋体" w:cs="宋体"/>
                <w:color w:val="000000" w:themeColor="text1"/>
                <w:sz w:val="24"/>
                <w:szCs w:val="24"/>
                <w:lang w:eastAsia="zh-CN"/>
                <w14:textFill>
                  <w14:solidFill>
                    <w14:schemeClr w14:val="tx1"/>
                  </w14:solidFill>
                </w14:textFill>
              </w:rPr>
              <w:t>）</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96个</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1.10</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消毒设备</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联合冲洗站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移动消毒站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2套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SPF级大小鼠自动饮水系统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b/>
                <w:bCs/>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系统主管道</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房间管道25.4*1.65mm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150m</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房间管道19.05*1.65mm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500m</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房间管道12.7*1.0mm</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1700m</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减压站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25"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28"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238"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89"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89" w:type="pct"/>
            <w:tcBorders>
              <w:tl2br w:val="nil"/>
              <w:tr2bl w:val="nil"/>
            </w:tcBorders>
            <w:shd w:val="clear" w:color="auto" w:fill="FFFFFF"/>
            <w:noWrap/>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（6层9套）</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高压减压阀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77"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低压减压阀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流量传感器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压力传感器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压力表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控制板</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触摸屏</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电控箱</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服务器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2.2.10</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显示器</w:t>
            </w:r>
            <w:r>
              <w:rPr>
                <w:rFonts w:hint="eastAsia" w:ascii="宋体" w:hAnsi="宋体" w:eastAsia="宋体" w:cs="宋体"/>
                <w:i w:val="0"/>
                <w:iCs w:val="0"/>
                <w:color w:val="000000"/>
                <w:kern w:val="0"/>
                <w:sz w:val="24"/>
                <w:szCs w:val="24"/>
                <w:u w:val="none"/>
                <w:lang w:val="en-US" w:eastAsia="zh-CN" w:bidi="ar"/>
              </w:rPr>
              <w:t>（≥19英寸）</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2.2.10</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全千兆</w:t>
            </w:r>
            <w:r>
              <w:rPr>
                <w:rFonts w:hint="eastAsia" w:ascii="宋体" w:hAnsi="宋体" w:eastAsia="宋体" w:cs="宋体"/>
                <w:color w:val="000000" w:themeColor="text1"/>
                <w:sz w:val="24"/>
                <w:szCs w:val="24"/>
                <w14:textFill>
                  <w14:solidFill>
                    <w14:schemeClr w14:val="tx1"/>
                  </w14:solidFill>
                </w14:textFill>
              </w:rPr>
              <w:t>交换机</w:t>
            </w:r>
            <w:r>
              <w:rPr>
                <w:rFonts w:hint="eastAsia" w:ascii="宋体" w:hAnsi="宋体" w:eastAsia="宋体" w:cs="宋体"/>
                <w:i w:val="0"/>
                <w:iCs w:val="0"/>
                <w:color w:val="000000"/>
                <w:kern w:val="0"/>
                <w:sz w:val="24"/>
                <w:szCs w:val="24"/>
                <w:u w:val="none"/>
                <w:lang w:val="en-US" w:eastAsia="zh-CN" w:bidi="ar"/>
              </w:rPr>
              <w:t>（≥16口）</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内联站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912个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（6层为296个，3-5层为616个）</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进水快接装置</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296个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大小鼠快插式饮水阀</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小鼠</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8478个</w:t>
            </w:r>
          </w:p>
        </w:tc>
        <w:tc>
          <w:tcPr>
            <w:tcW w:w="442" w:type="pct"/>
            <w:tcBorders>
              <w:tl2br w:val="nil"/>
              <w:tr2bl w:val="nil"/>
            </w:tcBorders>
            <w:shd w:val="clear" w:color="auto" w:fill="FFFFFF"/>
            <w:noWrap/>
            <w:vAlign w:val="center"/>
          </w:tcPr>
          <w:p>
            <w:pPr>
              <w:rPr>
                <w:rFonts w:hint="eastAsia" w:ascii="宋体" w:hAnsi="宋体" w:eastAsia="宋体" w:cs="宋体"/>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大鼠</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720个</w:t>
            </w:r>
          </w:p>
        </w:tc>
        <w:tc>
          <w:tcPr>
            <w:tcW w:w="442" w:type="pct"/>
            <w:tcBorders>
              <w:tl2br w:val="nil"/>
              <w:tr2bl w:val="nil"/>
            </w:tcBorders>
            <w:shd w:val="clear" w:color="auto" w:fill="FFFFFF"/>
            <w:noWrap/>
            <w:vAlign w:val="center"/>
          </w:tcPr>
          <w:p>
            <w:pPr>
              <w:rPr>
                <w:rFonts w:hint="eastAsia" w:ascii="宋体" w:hAnsi="宋体" w:eastAsia="宋体" w:cs="宋体"/>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管道连接件</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1批</w:t>
            </w:r>
          </w:p>
        </w:tc>
        <w:tc>
          <w:tcPr>
            <w:tcW w:w="442"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b/>
                <w:bCs/>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b/>
                <w:bCs/>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IVC自动饮水系统笼架支管及控制系统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148套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（按需配置，不调增调减）</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6列*9层小鼠笼架支管及控制系统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25套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8列*9层小鼠笼架支管及控制系统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32套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8列*9层小鼠笼架支管及控制系统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67套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5列*6层大鼠笼架支管及控制系统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24套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自动饮用水控制软件系统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消毒设备</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联合冲洗站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移动消毒站</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1套</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水处理系统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预处理系统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3.1.1</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原水泵（增压泵） </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3.1.2</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机械过滤器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3.1.3</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活性炭过滤器  </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3.1.4</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软化过滤器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3.1.5</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保安过滤器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3.2</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双级反渗透系统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3.3</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EDI系统 </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3.4</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恒压供水系统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5套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sz w:val="24"/>
                <w:szCs w:val="24"/>
                <w:lang w:val="en-US" w:eastAsia="zh-CN"/>
              </w:rPr>
              <w:t>3.5</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消毒系统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5套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3.6</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氯化复压系统</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3.7</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循环管路在线UV装置</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5套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3.8</w:t>
            </w:r>
          </w:p>
        </w:tc>
        <w:tc>
          <w:tcPr>
            <w:tcW w:w="951" w:type="pct"/>
            <w:tcBorders>
              <w:tl2br w:val="nil"/>
              <w:tr2bl w:val="nil"/>
            </w:tcBorders>
            <w:shd w:val="clear" w:color="auto" w:fill="FFFFFF"/>
            <w:noWrap/>
            <w:vAlign w:val="bottom"/>
          </w:tcPr>
          <w:p>
            <w:pPr>
              <w:widowControl/>
              <w:jc w:val="left"/>
              <w:textAlignment w:val="bottom"/>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阻菌器</w:t>
            </w:r>
          </w:p>
        </w:tc>
        <w:tc>
          <w:tcPr>
            <w:tcW w:w="488"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5套</w:t>
            </w:r>
          </w:p>
        </w:tc>
        <w:tc>
          <w:tcPr>
            <w:tcW w:w="442"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25"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72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238"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389"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c>
          <w:tcPr>
            <w:tcW w:w="430" w:type="pct"/>
            <w:tcBorders>
              <w:tl2br w:val="nil"/>
              <w:tr2bl w:val="nil"/>
            </w:tcBorders>
            <w:shd w:val="clear" w:color="auto" w:fill="FFFFFF"/>
            <w:noWrap/>
            <w:vAlign w:val="bottom"/>
          </w:tcPr>
          <w:p>
            <w:pPr>
              <w:widowControl/>
              <w:jc w:val="left"/>
              <w:textAlignment w:val="bottom"/>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4</w:t>
            </w:r>
          </w:p>
        </w:tc>
        <w:tc>
          <w:tcPr>
            <w:tcW w:w="951" w:type="pct"/>
            <w:tcBorders>
              <w:tl2br w:val="nil"/>
              <w:tr2bl w:val="nil"/>
            </w:tcBorders>
            <w:shd w:val="clear" w:color="auto" w:fill="FFFFFF"/>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其它</w:t>
            </w:r>
          </w:p>
        </w:tc>
        <w:tc>
          <w:tcPr>
            <w:tcW w:w="488" w:type="pct"/>
            <w:tcBorders>
              <w:tl2br w:val="nil"/>
              <w:tr2bl w:val="nil"/>
            </w:tcBorders>
            <w:shd w:val="clear" w:color="auto" w:fill="FFFFFF"/>
            <w:noWrap/>
            <w:vAlign w:val="center"/>
          </w:tcPr>
          <w:p>
            <w:pPr>
              <w:jc w:val="left"/>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4.1</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备品备件</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4.1.1</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大动物自动饮水系统饮水阀-猴</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不少于16个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4.1.2</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大动物自动饮水系统饮水阀-犬</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不少于4个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4.1.3</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大动物自动饮水系统饮水阀-猪</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不少于3个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4.1.4</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大动物自动饮水系统饮水阀-兔（快插式）</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不少于10个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4.1.5</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大动物自动饮水系统饮水阀-豚鼠（快插式）</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不少于10个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4.1.6</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大小鼠快插式饮水阀-小鼠</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不少于424个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4.1.7</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大小鼠快插式饮水阀-大鼠</w:t>
            </w:r>
          </w:p>
        </w:tc>
        <w:tc>
          <w:tcPr>
            <w:tcW w:w="488"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不少于36个</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调试、验收、培训和技术服务</w:t>
            </w:r>
          </w:p>
        </w:tc>
        <w:tc>
          <w:tcPr>
            <w:tcW w:w="488" w:type="pct"/>
            <w:tcBorders>
              <w:tl2br w:val="nil"/>
              <w:tr2bl w:val="nil"/>
            </w:tcBorders>
            <w:shd w:val="clear" w:color="auto" w:fill="FFFFFF"/>
            <w:noWrap/>
            <w:vAlign w:val="center"/>
          </w:tcPr>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99" w:hRule="atLeast"/>
          <w:jc w:val="center"/>
        </w:trPr>
        <w:tc>
          <w:tcPr>
            <w:tcW w:w="613"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4.3</w:t>
            </w:r>
          </w:p>
        </w:tc>
        <w:tc>
          <w:tcPr>
            <w:tcW w:w="951" w:type="pct"/>
            <w:tcBorders>
              <w:tl2br w:val="nil"/>
              <w:tr2bl w:val="nil"/>
            </w:tcBorders>
            <w:shd w:val="clear" w:color="auto" w:fill="FFFFFF"/>
            <w:noWrap/>
            <w:vAlign w:val="center"/>
          </w:tcPr>
          <w:p>
            <w:pPr>
              <w:widowControl/>
              <w:spacing w:line="44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运输和保险</w:t>
            </w:r>
          </w:p>
        </w:tc>
        <w:tc>
          <w:tcPr>
            <w:tcW w:w="488" w:type="pct"/>
            <w:tcBorders>
              <w:tl2br w:val="nil"/>
              <w:tr2bl w:val="nil"/>
            </w:tcBorders>
            <w:shd w:val="clear" w:color="auto" w:fill="FFFFFF"/>
            <w:noWrap/>
            <w:vAlign w:val="center"/>
          </w:tcPr>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442"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25"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72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238"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389"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c>
          <w:tcPr>
            <w:tcW w:w="430" w:type="pct"/>
            <w:tcBorders>
              <w:tl2br w:val="nil"/>
              <w:tr2bl w:val="nil"/>
            </w:tcBorders>
            <w:shd w:val="clear" w:color="auto" w:fill="FFFFFF"/>
            <w:noWrap/>
            <w:vAlign w:val="center"/>
          </w:tcPr>
          <w:p>
            <w:pPr>
              <w:rPr>
                <w:rFonts w:hint="eastAsia" w:ascii="宋体" w:hAnsi="宋体" w:eastAsia="宋体" w:cs="宋体"/>
                <w:color w:val="000000"/>
                <w:sz w:val="24"/>
                <w:szCs w:val="24"/>
              </w:rPr>
            </w:pPr>
          </w:p>
        </w:tc>
      </w:tr>
    </w:tbl>
    <w:p>
      <w:pPr>
        <w:adjustRightInd w:val="0"/>
        <w:snapToGrid w:val="0"/>
        <w:spacing w:line="360" w:lineRule="auto"/>
        <w:rPr>
          <w:sz w:val="24"/>
          <w:szCs w:val="24"/>
        </w:rPr>
      </w:pPr>
      <w:r>
        <w:rPr>
          <w:rFonts w:hint="eastAsia"/>
          <w:sz w:val="22"/>
        </w:rPr>
        <w:t>注：</w:t>
      </w:r>
    </w:p>
    <w:p>
      <w:pPr>
        <w:adjustRightInd w:val="0"/>
        <w:snapToGrid w:val="0"/>
        <w:spacing w:line="360" w:lineRule="auto"/>
        <w:ind w:firstLine="220" w:firstLineChars="100"/>
        <w:rPr>
          <w:sz w:val="22"/>
        </w:rPr>
      </w:pPr>
      <w:r>
        <w:rPr>
          <w:rFonts w:hint="eastAsia"/>
          <w:sz w:val="22"/>
        </w:rPr>
        <w:t>1.表中未列设备属于设备必不可缺的，投标人须在投标文件标明。</w:t>
      </w:r>
    </w:p>
    <w:p>
      <w:pPr>
        <w:adjustRightInd w:val="0"/>
        <w:snapToGrid w:val="0"/>
        <w:spacing w:line="360" w:lineRule="auto"/>
        <w:ind w:firstLine="220" w:firstLineChars="100"/>
        <w:rPr>
          <w:sz w:val="22"/>
        </w:rPr>
      </w:pPr>
      <w:r>
        <w:rPr>
          <w:rFonts w:hint="eastAsia"/>
          <w:sz w:val="22"/>
        </w:rPr>
        <w:t>2.本项目承包方式为总价包干，合同总价为货到暨南大学校内甲方指定地点含税全包价，合同金额包含但不限于货物的设计、制造、包装、仓储、运输、保管、保险（至货物运抵使用单位放置、拆箱、就位）、装卸、搬运、安装调试、随机零配件、标配工具、验收、培训、技术服务（包括技术资料、图纸的提供）、检测费用、总包配合服务费、质保期服务、各项税费及合同实施过程中可预见及不可预见费用等的全部费用。</w:t>
      </w:r>
    </w:p>
    <w:p>
      <w:pPr>
        <w:adjustRightInd w:val="0"/>
        <w:snapToGrid w:val="0"/>
        <w:spacing w:line="360" w:lineRule="auto"/>
        <w:rPr>
          <w:b/>
          <w:bCs/>
          <w:sz w:val="24"/>
          <w:szCs w:val="24"/>
        </w:rPr>
      </w:pPr>
      <w:r>
        <w:rPr>
          <w:rFonts w:hint="eastAsia"/>
          <w:b/>
          <w:bCs/>
          <w:sz w:val="24"/>
          <w:szCs w:val="24"/>
        </w:rPr>
        <w:br w:type="page"/>
      </w:r>
    </w:p>
    <w:p>
      <w:pPr>
        <w:keepNext/>
        <w:keepLines/>
        <w:widowControl/>
        <w:spacing w:line="360" w:lineRule="auto"/>
        <w:jc w:val="left"/>
        <w:outlineLvl w:val="1"/>
        <w:rPr>
          <w:rFonts w:ascii="宋体" w:hAnsi="宋体"/>
          <w:kern w:val="0"/>
          <w:sz w:val="32"/>
          <w:szCs w:val="20"/>
        </w:rPr>
      </w:pPr>
      <w:bookmarkStart w:id="145" w:name="_Toc11379"/>
      <w:bookmarkStart w:id="146" w:name="_Toc520184749"/>
      <w:bookmarkStart w:id="147" w:name="_Toc7454678"/>
      <w:r>
        <w:rPr>
          <w:rFonts w:hint="eastAsia" w:ascii="宋体" w:hAnsi="宋体"/>
          <w:kern w:val="0"/>
          <w:sz w:val="32"/>
          <w:szCs w:val="20"/>
        </w:rPr>
        <w:t>六</w:t>
      </w:r>
      <w:r>
        <w:rPr>
          <w:rFonts w:ascii="宋体" w:hAnsi="宋体"/>
          <w:kern w:val="0"/>
          <w:sz w:val="32"/>
          <w:szCs w:val="20"/>
        </w:rPr>
        <w:t>、</w:t>
      </w:r>
      <w:bookmarkEnd w:id="145"/>
      <w:bookmarkEnd w:id="146"/>
      <w:bookmarkEnd w:id="147"/>
      <w:r>
        <w:rPr>
          <w:rFonts w:hint="eastAsia" w:ascii="宋体" w:hAnsi="宋体"/>
          <w:kern w:val="0"/>
          <w:sz w:val="32"/>
          <w:szCs w:val="20"/>
        </w:rPr>
        <w:t>资格审查资料</w:t>
      </w:r>
    </w:p>
    <w:p>
      <w:pPr>
        <w:spacing w:line="360" w:lineRule="auto"/>
        <w:jc w:val="center"/>
        <w:outlineLvl w:val="1"/>
        <w:rPr>
          <w:rFonts w:ascii="宋体" w:hAnsi="宋体"/>
          <w:b/>
          <w:bCs/>
          <w:sz w:val="24"/>
          <w:szCs w:val="24"/>
        </w:rPr>
      </w:pPr>
      <w:bookmarkStart w:id="148" w:name="_Toc19280"/>
      <w:bookmarkStart w:id="149" w:name="_Toc7454679"/>
      <w:bookmarkStart w:id="150" w:name="_Toc520184750"/>
      <w:r>
        <w:rPr>
          <w:rFonts w:hint="eastAsia" w:ascii="宋体" w:hAnsi="宋体"/>
          <w:b/>
          <w:bCs/>
          <w:sz w:val="24"/>
          <w:szCs w:val="24"/>
        </w:rPr>
        <w:t>（一）</w:t>
      </w:r>
      <w:r>
        <w:rPr>
          <w:rFonts w:ascii="宋体" w:hAnsi="宋体"/>
          <w:b/>
          <w:bCs/>
          <w:sz w:val="24"/>
          <w:szCs w:val="24"/>
        </w:rPr>
        <w:t>基本情况表</w:t>
      </w:r>
      <w:bookmarkEnd w:id="148"/>
      <w:bookmarkEnd w:id="149"/>
      <w:bookmarkEnd w:id="150"/>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0"/>
        <w:gridCol w:w="995"/>
        <w:gridCol w:w="2566"/>
        <w:gridCol w:w="1427"/>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投标人名称</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注册</w:t>
            </w:r>
            <w:r>
              <w:rPr>
                <w:rFonts w:hint="eastAsia" w:ascii="宋体" w:hAnsi="宋体"/>
                <w:szCs w:val="21"/>
              </w:rPr>
              <w:t>资金</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hint="eastAsia" w:ascii="宋体" w:hAnsi="宋体"/>
                <w:szCs w:val="21"/>
              </w:rPr>
              <w:t>成立时间</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注册地址</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邮政编码</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hint="eastAsia" w:ascii="宋体" w:hAnsi="宋体"/>
                <w:szCs w:val="21"/>
              </w:rPr>
              <w:t>员工总数</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restar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联系方式</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联系人</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电 话</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网 址</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传  真</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法定代表人</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姓名</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电话</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hint="eastAsia" w:ascii="宋体" w:hAnsi="宋体"/>
                <w:szCs w:val="21"/>
              </w:rPr>
              <w:t>投标人须知要求投标</w:t>
            </w:r>
          </w:p>
          <w:p>
            <w:pPr>
              <w:topLinePunct/>
              <w:jc w:val="center"/>
              <w:rPr>
                <w:rFonts w:ascii="宋体" w:hAnsi="宋体"/>
                <w:szCs w:val="21"/>
              </w:rPr>
            </w:pPr>
            <w:r>
              <w:rPr>
                <w:rFonts w:hint="eastAsia" w:ascii="宋体" w:hAnsi="宋体"/>
                <w:szCs w:val="21"/>
              </w:rPr>
              <w:t>人需具有的各类资质</w:t>
            </w:r>
          </w:p>
          <w:p>
            <w:pPr>
              <w:topLinePunct/>
              <w:jc w:val="center"/>
              <w:rPr>
                <w:rFonts w:ascii="宋体" w:hAnsi="宋体"/>
                <w:szCs w:val="21"/>
              </w:rPr>
            </w:pPr>
            <w:r>
              <w:rPr>
                <w:rFonts w:hint="eastAsia" w:ascii="宋体" w:hAnsi="宋体"/>
                <w:szCs w:val="21"/>
              </w:rPr>
              <w:t>证书</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left"/>
              <w:rPr>
                <w:rFonts w:ascii="宋体" w:hAnsi="宋体"/>
                <w:szCs w:val="21"/>
              </w:rPr>
            </w:pPr>
            <w:r>
              <w:rPr>
                <w:rFonts w:ascii="宋体" w:hAnsi="宋体"/>
                <w:szCs w:val="21"/>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基本账户开户银行</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基本账户银行账号</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pPr>
              <w:rPr>
                <w:rFonts w:ascii="宋体" w:hAnsi="宋体"/>
                <w:szCs w:val="21"/>
              </w:rPr>
            </w:pPr>
            <w:r>
              <w:rPr>
                <w:rFonts w:hint="eastAsia" w:ascii="宋体" w:hAnsi="宋体"/>
                <w:szCs w:val="21"/>
              </w:rPr>
              <w:t>投标人关联企业情况（包括但不限于：母公司、全资子公司或与投</w:t>
            </w:r>
          </w:p>
          <w:p>
            <w:pPr>
              <w:rPr>
                <w:rFonts w:ascii="宋体" w:hAnsi="宋体"/>
                <w:szCs w:val="21"/>
              </w:rPr>
            </w:pPr>
            <w:r>
              <w:rPr>
                <w:rFonts w:hint="eastAsia" w:ascii="宋体" w:hAnsi="宋体"/>
                <w:szCs w:val="21"/>
              </w:rPr>
              <w:t>标人法定代表人（单</w:t>
            </w:r>
          </w:p>
          <w:p>
            <w:pPr>
              <w:rPr>
                <w:rFonts w:ascii="宋体" w:hAnsi="宋体"/>
                <w:szCs w:val="21"/>
              </w:rPr>
            </w:pPr>
            <w:r>
              <w:rPr>
                <w:rFonts w:hint="eastAsia" w:ascii="宋体" w:hAnsi="宋体"/>
                <w:szCs w:val="21"/>
              </w:rPr>
              <w:t>位负责人）为同一人或存在控股管理关系的不同单位）</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270" w:type="dxa"/>
            <w:tcBorders>
              <w:top w:val="single" w:color="auto" w:sz="4" w:space="0"/>
              <w:left w:val="single" w:color="auto" w:sz="4" w:space="0"/>
              <w:right w:val="single" w:color="auto" w:sz="4" w:space="0"/>
            </w:tcBorders>
            <w:noWrap/>
          </w:tcPr>
          <w:p>
            <w:pPr>
              <w:rPr>
                <w:rFonts w:ascii="宋体" w:hAnsi="宋体"/>
                <w:szCs w:val="21"/>
              </w:rPr>
            </w:pPr>
            <w:r>
              <w:rPr>
                <w:rFonts w:hint="eastAsia" w:ascii="宋体" w:hAnsi="宋体"/>
                <w:szCs w:val="21"/>
              </w:rPr>
              <w:t>投标设备制造商名称</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pPr>
              <w:rPr>
                <w:rFonts w:ascii="宋体" w:hAnsi="宋体"/>
                <w:szCs w:val="21"/>
              </w:rPr>
            </w:pPr>
            <w:r>
              <w:rPr>
                <w:rFonts w:hint="eastAsia" w:ascii="宋体" w:hAnsi="宋体"/>
                <w:szCs w:val="21"/>
              </w:rPr>
              <w:t>投标人须知要求投标设备制造商需具有的资质证书</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r>
              <w:rPr>
                <w:rFonts w:ascii="宋体" w:hAnsi="宋体"/>
                <w:szCs w:val="21"/>
              </w:rPr>
              <w:t>备注</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1"/>
              </w:rPr>
            </w:pPr>
          </w:p>
        </w:tc>
      </w:tr>
    </w:tbl>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 投标人应根据</w:t>
      </w:r>
      <w:r>
        <w:rPr>
          <w:rFonts w:hint="eastAsia" w:ascii="宋体" w:hAnsi="宋体" w:cs="宋体"/>
          <w:b/>
          <w:sz w:val="24"/>
          <w:szCs w:val="24"/>
          <w:u w:val="single"/>
        </w:rPr>
        <w:t>投标人资格要求</w:t>
      </w:r>
      <w:r>
        <w:rPr>
          <w:rFonts w:hint="eastAsia" w:ascii="宋体" w:hAnsi="宋体" w:cs="宋体"/>
          <w:sz w:val="24"/>
          <w:szCs w:val="24"/>
        </w:rPr>
        <w:t>在本表后附相关证明材料。</w:t>
      </w:r>
    </w:p>
    <w:p>
      <w:pPr>
        <w:spacing w:line="360" w:lineRule="auto"/>
        <w:rPr>
          <w:rFonts w:ascii="宋体" w:hAnsi="宋体" w:cs="宋体"/>
          <w:sz w:val="24"/>
          <w:szCs w:val="24"/>
        </w:rPr>
      </w:pPr>
      <w:r>
        <w:rPr>
          <w:rFonts w:hint="eastAsia" w:ascii="宋体" w:hAnsi="宋体" w:cs="宋体"/>
          <w:sz w:val="24"/>
          <w:szCs w:val="24"/>
        </w:rPr>
        <w:t>2. 如果投标人须知第1.4.1项对投标设备制造商的资质提出了要求，投标人应根据</w:t>
      </w:r>
      <w:r>
        <w:rPr>
          <w:rFonts w:hint="eastAsia" w:ascii="宋体" w:hAnsi="宋体" w:cs="宋体"/>
          <w:b/>
          <w:sz w:val="24"/>
          <w:szCs w:val="24"/>
          <w:u w:val="single"/>
        </w:rPr>
        <w:t>投标人须知前附表第3.5项</w:t>
      </w:r>
      <w:r>
        <w:rPr>
          <w:rFonts w:hint="eastAsia" w:ascii="宋体" w:hAnsi="宋体" w:cs="宋体"/>
          <w:sz w:val="24"/>
          <w:szCs w:val="24"/>
        </w:rPr>
        <w:t>的要求在本表后附相关资质证书扫描件。</w:t>
      </w:r>
    </w:p>
    <w:p>
      <w:pPr>
        <w:spacing w:line="360" w:lineRule="auto"/>
        <w:jc w:val="left"/>
        <w:rPr>
          <w:rFonts w:ascii="宋体" w:hAnsi="宋体"/>
          <w:b/>
          <w:bCs/>
          <w:sz w:val="32"/>
          <w:szCs w:val="32"/>
        </w:rPr>
      </w:pPr>
    </w:p>
    <w:p>
      <w:pPr>
        <w:spacing w:line="360" w:lineRule="auto"/>
        <w:jc w:val="left"/>
        <w:rPr>
          <w:rFonts w:ascii="宋体" w:hAnsi="宋体"/>
          <w:b/>
          <w:bCs/>
          <w:sz w:val="32"/>
          <w:szCs w:val="32"/>
        </w:rPr>
      </w:pPr>
    </w:p>
    <w:p>
      <w:pPr>
        <w:spacing w:line="360" w:lineRule="auto"/>
        <w:jc w:val="center"/>
        <w:outlineLvl w:val="1"/>
        <w:rPr>
          <w:rFonts w:ascii="宋体" w:hAnsi="宋体"/>
          <w:b/>
          <w:bCs/>
          <w:sz w:val="32"/>
          <w:szCs w:val="32"/>
        </w:rPr>
      </w:pPr>
      <w:r>
        <w:rPr>
          <w:rFonts w:hint="eastAsia" w:ascii="宋体" w:hAnsi="宋体"/>
          <w:b/>
          <w:bCs/>
          <w:sz w:val="32"/>
          <w:szCs w:val="32"/>
        </w:rPr>
        <w:br w:type="page"/>
      </w:r>
      <w:r>
        <w:rPr>
          <w:rFonts w:hint="eastAsia" w:ascii="宋体" w:hAnsi="宋体"/>
          <w:b/>
          <w:bCs/>
          <w:sz w:val="24"/>
          <w:szCs w:val="24"/>
        </w:rPr>
        <w:t>（二）投标人声明</w:t>
      </w:r>
    </w:p>
    <w:p>
      <w:pPr>
        <w:spacing w:line="360" w:lineRule="auto"/>
        <w:rPr>
          <w:rFonts w:ascii="宋体" w:hAnsi="宋体"/>
          <w:b/>
          <w:bCs/>
          <w:sz w:val="32"/>
          <w:szCs w:val="32"/>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广州市</w:t>
      </w:r>
      <w:r>
        <w:rPr>
          <w:rFonts w:hint="eastAsia" w:ascii="ˎ̥" w:hAnsi="ˎ̥" w:cs="宋体"/>
          <w:kern w:val="0"/>
          <w:szCs w:val="21"/>
        </w:rPr>
        <w:t>住房</w:t>
      </w:r>
      <w:r>
        <w:rPr>
          <w:rFonts w:hint="eastAsia" w:ascii="宋体" w:hAnsi="宋体" w:cs="宋体"/>
          <w:kern w:val="0"/>
          <w:szCs w:val="21"/>
        </w:rPr>
        <w:t>和城乡建设局、本招标项目招标人及招标监管机构：</w:t>
      </w:r>
    </w:p>
    <w:p>
      <w:pPr>
        <w:snapToGrid w:val="0"/>
        <w:spacing w:line="360" w:lineRule="auto"/>
        <w:ind w:firstLine="420" w:firstLineChars="200"/>
        <w:jc w:val="left"/>
        <w:rPr>
          <w:rFonts w:ascii="ˎ̥" w:hAnsi="ˎ̥" w:cs="宋体"/>
          <w:kern w:val="0"/>
          <w:szCs w:val="21"/>
        </w:rPr>
      </w:pPr>
      <w:r>
        <w:rPr>
          <w:rFonts w:ascii="ˎ̥" w:hAnsi="ˎ̥" w:cs="宋体"/>
          <w:kern w:val="0"/>
          <w:szCs w:val="21"/>
        </w:rPr>
        <w:t>本公司就参加</w:t>
      </w:r>
      <w:r>
        <w:rPr>
          <w:rFonts w:hint="eastAsia" w:ascii="ˎ̥" w:hAnsi="ˎ̥" w:cs="宋体"/>
          <w:color w:val="000000"/>
          <w:kern w:val="0"/>
          <w:szCs w:val="21"/>
          <w:u w:val="single"/>
        </w:rPr>
        <w:t xml:space="preserve">   （项目名称）             </w:t>
      </w:r>
      <w:r>
        <w:rPr>
          <w:rFonts w:ascii="ˎ̥" w:hAnsi="ˎ̥" w:cs="宋体"/>
          <w:kern w:val="0"/>
          <w:szCs w:val="21"/>
        </w:rPr>
        <w:t>投标工作，作出郑重声明：</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一、本公司保证</w:t>
      </w:r>
      <w:r>
        <w:rPr>
          <w:rFonts w:ascii="宋体" w:hAnsi="宋体" w:cs="宋体"/>
          <w:kern w:val="0"/>
          <w:szCs w:val="21"/>
        </w:rPr>
        <w:t>投标文件</w:t>
      </w:r>
      <w:r>
        <w:rPr>
          <w:rFonts w:hint="eastAsia" w:ascii="宋体" w:hAnsi="宋体" w:cs="宋体"/>
          <w:kern w:val="0"/>
          <w:szCs w:val="21"/>
        </w:rPr>
        <w:t>及其后提供的一切材料都是真实的。</w:t>
      </w:r>
      <w:r>
        <w:rPr>
          <w:rFonts w:ascii="宋体" w:hAnsi="宋体" w:cs="宋体"/>
          <w:kern w:val="0"/>
          <w:szCs w:val="21"/>
        </w:rPr>
        <w:t>如我司成为本项目中标候选人，我司同意并授权招标人将我司投标文件商务部分的人员、业绩、奖项等资料进行公示。</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二、本公司保证不与其他单位围标、串标，不出让投标资格，不向招标人或评标委员会成员行贿。</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三、本公司不存在招标文件第二章投标人须知第1.4.3项所规定的任何一种情形。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四、本公司及其有隶属关系的机构，没有参加本项目招标文件的编写工作；本公司与本次招标的招标代理机构没有隶属关系或其他利害关系。</w:t>
      </w:r>
    </w:p>
    <w:p>
      <w:pPr>
        <w:pStyle w:val="27"/>
        <w:ind w:firstLine="420" w:firstLineChars="200"/>
        <w:rPr>
          <w:rFonts w:ascii="宋体" w:hAnsi="宋体" w:eastAsia="宋体" w:cs="宋体"/>
          <w:szCs w:val="21"/>
        </w:rPr>
      </w:pPr>
      <w:r>
        <w:rPr>
          <w:rFonts w:hint="eastAsia" w:ascii="宋体" w:hAnsi="宋体" w:eastAsia="宋体" w:cs="宋体"/>
          <w:color w:val="auto"/>
          <w:sz w:val="21"/>
          <w:szCs w:val="21"/>
        </w:rPr>
        <w:t>五、与本公司单位负责人为同一人或者与本公司存在控股、管理关系的其他单位包括。（注：本条由投标人如实填写，如有，应列出全部满足招标公告资质要求的相关单位的名称；如无，则填写“无”。）</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六</w:t>
      </w:r>
      <w:r>
        <w:rPr>
          <w:rFonts w:ascii="宋体" w:hAnsi="宋体" w:cs="宋体"/>
          <w:kern w:val="0"/>
          <w:szCs w:val="21"/>
        </w:rPr>
        <w:t>、本公司承诺，中标后严格执行安全生产相关管理规定。</w:t>
      </w:r>
    </w:p>
    <w:p>
      <w:pPr>
        <w:snapToGrid w:val="0"/>
        <w:spacing w:line="360" w:lineRule="auto"/>
        <w:ind w:firstLine="420" w:firstLineChars="200"/>
        <w:jc w:val="left"/>
        <w:rPr>
          <w:rFonts w:ascii="宋体" w:hAnsi="宋体" w:cs="宋体"/>
          <w:kern w:val="0"/>
          <w:szCs w:val="21"/>
        </w:rPr>
      </w:pPr>
      <w:r>
        <w:rPr>
          <w:rFonts w:ascii="宋体" w:hAnsi="宋体" w:cs="宋体"/>
          <w:kern w:val="0"/>
          <w:szCs w:val="21"/>
        </w:rPr>
        <w:t>本公司违反上述保证，或本声明陈述与事实不符，经查实，本公司愿意接受公开通报，</w:t>
      </w:r>
      <w:r>
        <w:rPr>
          <w:rFonts w:hint="eastAsia" w:ascii="宋体" w:hAnsi="宋体" w:cs="宋体"/>
          <w:szCs w:val="21"/>
        </w:rPr>
        <w:t>愿意按照《广州市建筑市场信用管理办法》（穗建规字﹝20</w:t>
      </w:r>
      <w:r>
        <w:rPr>
          <w:rFonts w:ascii="宋体" w:hAnsi="宋体" w:cs="宋体"/>
          <w:szCs w:val="21"/>
        </w:rPr>
        <w:t>19</w:t>
      </w:r>
      <w:r>
        <w:rPr>
          <w:rFonts w:hint="eastAsia" w:ascii="宋体" w:hAnsi="宋体" w:cs="宋体"/>
          <w:szCs w:val="21"/>
        </w:rPr>
        <w:t>﹞16号）的规定被记录为失信信息，承担由此带来的法律后果，并自愿停止参加广州市行政辖区内的招标投标活动三个月</w:t>
      </w:r>
      <w:r>
        <w:rPr>
          <w:rFonts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pPr>
        <w:snapToGrid w:val="0"/>
        <w:spacing w:line="360" w:lineRule="auto"/>
        <w:ind w:firstLine="3780" w:firstLineChars="1800"/>
        <w:jc w:val="right"/>
        <w:rPr>
          <w:rFonts w:ascii="宋体" w:hAnsi="宋体" w:cs="宋体"/>
          <w:kern w:val="0"/>
          <w:szCs w:val="21"/>
        </w:rPr>
      </w:pPr>
    </w:p>
    <w:p>
      <w:pPr>
        <w:snapToGrid w:val="0"/>
        <w:spacing w:line="360" w:lineRule="auto"/>
        <w:ind w:firstLine="3780" w:firstLineChars="1800"/>
        <w:jc w:val="right"/>
        <w:rPr>
          <w:rFonts w:ascii="宋体" w:hAnsi="宋体" w:cs="宋体"/>
          <w:kern w:val="0"/>
          <w:szCs w:val="21"/>
        </w:rPr>
      </w:pPr>
      <w:r>
        <w:rPr>
          <w:rFonts w:hint="eastAsia" w:ascii="宋体" w:hAnsi="宋体" w:cs="宋体"/>
          <w:kern w:val="0"/>
          <w:szCs w:val="21"/>
        </w:rPr>
        <w:t>声明企业：            (企业公章)</w:t>
      </w:r>
    </w:p>
    <w:p>
      <w:pPr>
        <w:snapToGrid w:val="0"/>
        <w:spacing w:line="360" w:lineRule="auto"/>
        <w:ind w:firstLine="5611" w:firstLineChars="2672"/>
        <w:jc w:val="left"/>
        <w:rPr>
          <w:rFonts w:ascii="宋体" w:hAnsi="宋体" w:cs="宋体"/>
          <w:kern w:val="0"/>
          <w:szCs w:val="21"/>
        </w:rPr>
      </w:pPr>
    </w:p>
    <w:p>
      <w:pPr>
        <w:snapToGrid w:val="0"/>
        <w:spacing w:line="360" w:lineRule="auto"/>
        <w:ind w:firstLine="5611" w:firstLineChars="2672"/>
        <w:jc w:val="left"/>
        <w:rPr>
          <w:rFonts w:ascii="宋体" w:hAnsi="宋体" w:cs="宋体"/>
          <w:kern w:val="0"/>
          <w:szCs w:val="21"/>
        </w:rPr>
      </w:pPr>
      <w:r>
        <w:rPr>
          <w:rFonts w:hint="eastAsia" w:ascii="宋体" w:hAnsi="宋体" w:cs="宋体"/>
          <w:kern w:val="0"/>
          <w:szCs w:val="21"/>
        </w:rPr>
        <w:t>法定代表人签字：</w:t>
      </w:r>
    </w:p>
    <w:p>
      <w:pPr>
        <w:widowControl/>
        <w:spacing w:line="360" w:lineRule="auto"/>
        <w:jc w:val="right"/>
        <w:rPr>
          <w:rFonts w:ascii="宋体" w:hAnsi="宋体" w:cs="宋体"/>
          <w:kern w:val="0"/>
          <w:szCs w:val="21"/>
        </w:rPr>
      </w:pPr>
    </w:p>
    <w:p>
      <w:pPr>
        <w:widowControl/>
        <w:spacing w:line="360" w:lineRule="auto"/>
        <w:jc w:val="right"/>
        <w:rPr>
          <w:rFonts w:ascii="ˎ̥" w:hAnsi="ˎ̥" w:cs="宋体"/>
          <w:kern w:val="0"/>
          <w:szCs w:val="21"/>
        </w:rPr>
      </w:pPr>
      <w:r>
        <w:rPr>
          <w:rFonts w:hint="eastAsia" w:ascii="宋体" w:hAnsi="宋体" w:cs="宋体"/>
          <w:kern w:val="0"/>
          <w:szCs w:val="21"/>
        </w:rPr>
        <w:t>年   月   日</w:t>
      </w:r>
    </w:p>
    <w:p>
      <w:pPr>
        <w:spacing w:line="400" w:lineRule="exact"/>
        <w:jc w:val="left"/>
        <w:outlineLvl w:val="1"/>
        <w:rPr>
          <w:rFonts w:ascii="宋体" w:hAnsi="宋体"/>
          <w:kern w:val="0"/>
          <w:sz w:val="32"/>
          <w:szCs w:val="20"/>
        </w:rPr>
      </w:pPr>
      <w:r>
        <w:rPr>
          <w:rFonts w:ascii="宋体" w:hAnsi="宋体"/>
          <w:b/>
          <w:bCs/>
          <w:sz w:val="32"/>
          <w:szCs w:val="32"/>
        </w:rPr>
        <w:br w:type="page"/>
      </w:r>
      <w:bookmarkStart w:id="151" w:name="_Toc520184751"/>
      <w:bookmarkStart w:id="152" w:name="_Toc7454680"/>
      <w:bookmarkStart w:id="153" w:name="_Toc26682"/>
      <w:r>
        <w:rPr>
          <w:rFonts w:hint="eastAsia" w:ascii="宋体" w:hAnsi="宋体"/>
          <w:kern w:val="0"/>
          <w:sz w:val="32"/>
          <w:szCs w:val="20"/>
        </w:rPr>
        <w:t>七、</w:t>
      </w:r>
      <w:bookmarkEnd w:id="151"/>
      <w:bookmarkEnd w:id="152"/>
      <w:bookmarkEnd w:id="153"/>
      <w:bookmarkStart w:id="154" w:name="_Toc7454681"/>
      <w:bookmarkStart w:id="155" w:name="_Toc6823"/>
      <w:bookmarkStart w:id="156" w:name="_Toc520184752"/>
      <w:r>
        <w:rPr>
          <w:rFonts w:hint="eastAsia" w:ascii="宋体" w:hAnsi="宋体"/>
          <w:kern w:val="0"/>
          <w:sz w:val="32"/>
          <w:szCs w:val="20"/>
        </w:rPr>
        <w:t>供货业绩</w:t>
      </w:r>
      <w:r>
        <w:rPr>
          <w:rFonts w:ascii="宋体" w:hAnsi="宋体"/>
          <w:kern w:val="0"/>
          <w:sz w:val="32"/>
          <w:szCs w:val="20"/>
        </w:rPr>
        <w:t>情况表</w:t>
      </w:r>
      <w:bookmarkEnd w:id="154"/>
      <w:bookmarkEnd w:id="155"/>
      <w:bookmarkEnd w:id="156"/>
    </w:p>
    <w:p>
      <w:pPr>
        <w:spacing w:line="360" w:lineRule="auto"/>
        <w:jc w:val="center"/>
        <w:rPr>
          <w:rFonts w:ascii="宋体" w:hAnsi="宋体"/>
          <w:b/>
          <w:bCs/>
          <w:sz w:val="28"/>
          <w:szCs w:val="28"/>
        </w:rPr>
      </w:pPr>
      <w:r>
        <w:rPr>
          <w:rFonts w:hint="eastAsia" w:ascii="宋体" w:hAnsi="宋体"/>
          <w:b/>
          <w:bCs/>
          <w:sz w:val="28"/>
          <w:szCs w:val="28"/>
        </w:rPr>
        <w:t>供货业绩情况表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4"/>
              </w:rPr>
            </w:pPr>
            <w:r>
              <w:rPr>
                <w:rFonts w:hint="eastAsia" w:ascii="宋体" w:hAnsi="宋体"/>
                <w:szCs w:val="24"/>
              </w:rPr>
              <w:t>设备名称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规格和型号</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项目名称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招标人名称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招标人联系人及电话</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合同价格</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4"/>
              </w:rPr>
            </w:pPr>
            <w:r>
              <w:rPr>
                <w:rFonts w:hint="eastAsia" w:ascii="宋体" w:hAnsi="宋体"/>
                <w:szCs w:val="24"/>
              </w:rPr>
              <w:t>项目概况及投标人履</w:t>
            </w:r>
          </w:p>
          <w:p>
            <w:pPr>
              <w:topLinePunct/>
              <w:jc w:val="center"/>
              <w:rPr>
                <w:rFonts w:ascii="宋体" w:hAnsi="宋体"/>
                <w:szCs w:val="24"/>
              </w:rPr>
            </w:pPr>
            <w:r>
              <w:rPr>
                <w:rFonts w:hint="eastAsia" w:ascii="宋体" w:hAnsi="宋体"/>
                <w:szCs w:val="24"/>
              </w:rPr>
              <w:t>约情况</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p>
            <w:pPr>
              <w:topLinePunct/>
              <w:rPr>
                <w:rFonts w:ascii="宋体" w:hAnsi="宋体"/>
                <w:szCs w:val="24"/>
              </w:rPr>
            </w:pPr>
          </w:p>
          <w:p>
            <w:pPr>
              <w:topLinePunct/>
              <w:rPr>
                <w:rFonts w:ascii="宋体" w:hAnsi="宋体"/>
                <w:szCs w:val="24"/>
              </w:rPr>
            </w:pPr>
          </w:p>
          <w:p>
            <w:pPr>
              <w:topLinePunct/>
              <w:rPr>
                <w:rFonts w:ascii="宋体" w:hAnsi="宋体"/>
                <w:szCs w:val="24"/>
              </w:rPr>
            </w:pPr>
          </w:p>
          <w:p>
            <w:pPr>
              <w:topLinePunct/>
              <w:rPr>
                <w:rFonts w:ascii="宋体" w:hAnsi="宋体"/>
                <w:szCs w:val="24"/>
              </w:rPr>
            </w:pPr>
          </w:p>
          <w:p>
            <w:pPr>
              <w:topLinePunct/>
              <w:rPr>
                <w:rFonts w:ascii="宋体" w:hAnsi="宋体"/>
                <w:szCs w:val="24"/>
              </w:rPr>
            </w:pPr>
          </w:p>
          <w:p>
            <w:pPr>
              <w:topLinePun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szCs w:val="24"/>
              </w:rPr>
            </w:pPr>
            <w:r>
              <w:rPr>
                <w:rFonts w:ascii="宋体" w:hAnsi="宋体"/>
                <w:szCs w:val="24"/>
              </w:rPr>
              <w:t>备注</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szCs w:val="24"/>
              </w:rPr>
            </w:pPr>
          </w:p>
        </w:tc>
      </w:tr>
    </w:tbl>
    <w:p>
      <w:pPr>
        <w:spacing w:line="360" w:lineRule="auto"/>
        <w:rPr>
          <w:rFonts w:ascii="宋体" w:hAnsi="宋体"/>
          <w:sz w:val="24"/>
          <w:szCs w:val="24"/>
        </w:rPr>
      </w:pPr>
      <w:r>
        <w:rPr>
          <w:rFonts w:hint="eastAsia" w:ascii="宋体" w:hAnsi="宋体"/>
          <w:sz w:val="24"/>
          <w:szCs w:val="24"/>
        </w:rPr>
        <w:t>注：投标人应根据评标办法的要求在本表后附相关证明材料。</w:t>
      </w:r>
    </w:p>
    <w:p>
      <w:pPr>
        <w:spacing w:line="360" w:lineRule="auto"/>
        <w:rPr>
          <w:rFonts w:ascii="宋体" w:hAnsi="宋体"/>
          <w:strike/>
          <w:sz w:val="24"/>
          <w:szCs w:val="24"/>
        </w:rPr>
      </w:pPr>
    </w:p>
    <w:p>
      <w:pPr>
        <w:spacing w:line="400" w:lineRule="exact"/>
        <w:jc w:val="left"/>
        <w:outlineLvl w:val="1"/>
        <w:rPr>
          <w:rFonts w:ascii="宋体" w:hAnsi="宋体"/>
          <w:kern w:val="0"/>
          <w:sz w:val="32"/>
          <w:szCs w:val="20"/>
        </w:rPr>
      </w:pPr>
      <w:bookmarkStart w:id="157" w:name="_Toc520184754"/>
      <w:r>
        <w:rPr>
          <w:rFonts w:ascii="宋体" w:hAnsi="宋体"/>
          <w:b/>
          <w:bCs/>
          <w:sz w:val="32"/>
          <w:szCs w:val="32"/>
        </w:rPr>
        <w:br w:type="page"/>
      </w:r>
      <w:bookmarkEnd w:id="157"/>
      <w:bookmarkStart w:id="158" w:name="_Toc520184757"/>
      <w:r>
        <w:rPr>
          <w:rFonts w:hint="eastAsia" w:ascii="宋体" w:hAnsi="宋体"/>
          <w:kern w:val="0"/>
          <w:sz w:val="32"/>
          <w:szCs w:val="20"/>
        </w:rPr>
        <w:t>八、</w:t>
      </w:r>
      <w:bookmarkEnd w:id="158"/>
      <w:r>
        <w:rPr>
          <w:rFonts w:hint="eastAsia" w:ascii="宋体" w:hAnsi="宋体"/>
          <w:kern w:val="0"/>
          <w:sz w:val="32"/>
          <w:szCs w:val="20"/>
        </w:rPr>
        <w:t>投标设备技术性能指标的详细描述</w:t>
      </w:r>
    </w:p>
    <w:p>
      <w:pPr>
        <w:pStyle w:val="10"/>
      </w:pPr>
    </w:p>
    <w:p>
      <w:pPr>
        <w:jc w:val="center"/>
        <w:rPr>
          <w:b/>
          <w:sz w:val="28"/>
          <w:szCs w:val="28"/>
        </w:rPr>
      </w:pPr>
      <w:r>
        <w:rPr>
          <w:rFonts w:hint="eastAsia"/>
          <w:b/>
          <w:sz w:val="28"/>
          <w:szCs w:val="28"/>
        </w:rPr>
        <w:t>投标货物说明书</w:t>
      </w:r>
    </w:p>
    <w:p>
      <w:pPr>
        <w:jc w:val="center"/>
        <w:rPr>
          <w:b/>
          <w:sz w:val="28"/>
          <w:szCs w:val="28"/>
        </w:rPr>
      </w:pPr>
    </w:p>
    <w:p>
      <w:pPr>
        <w:spacing w:line="360" w:lineRule="auto"/>
        <w:ind w:firstLine="501" w:firstLineChars="239"/>
        <w:rPr>
          <w:szCs w:val="21"/>
        </w:rPr>
      </w:pPr>
      <w:r>
        <w:rPr>
          <w:rFonts w:hint="eastAsia"/>
          <w:szCs w:val="21"/>
        </w:rPr>
        <w:t>投标人应根据</w:t>
      </w:r>
      <w:r>
        <w:rPr>
          <w:szCs w:val="21"/>
        </w:rPr>
        <w:t>“</w:t>
      </w:r>
      <w:r>
        <w:rPr>
          <w:rFonts w:hint="eastAsia"/>
          <w:szCs w:val="21"/>
        </w:rPr>
        <w:t>用户需求书</w:t>
      </w:r>
      <w:r>
        <w:rPr>
          <w:szCs w:val="21"/>
        </w:rPr>
        <w:t>“</w:t>
      </w:r>
      <w:r>
        <w:rPr>
          <w:rFonts w:hint="eastAsia"/>
          <w:szCs w:val="21"/>
        </w:rPr>
        <w:t>的要求，详细阐述所提供产品型号规格、技术性能、产地及投入市场时间。投标人必须对应本次招标货物的技术要求，提交投标拟提供的各投标货物的（包括但不限于）以下内容：</w:t>
      </w:r>
    </w:p>
    <w:p>
      <w:pPr>
        <w:spacing w:line="360" w:lineRule="auto"/>
        <w:ind w:firstLine="501" w:firstLineChars="239"/>
        <w:rPr>
          <w:szCs w:val="21"/>
        </w:rPr>
      </w:pPr>
      <w:r>
        <w:rPr>
          <w:rFonts w:hint="eastAsia"/>
          <w:szCs w:val="21"/>
        </w:rPr>
        <w:t>1.</w:t>
      </w:r>
      <w:r>
        <w:rPr>
          <w:rFonts w:hint="eastAsia"/>
          <w:szCs w:val="21"/>
        </w:rPr>
        <w:tab/>
      </w:r>
      <w:r>
        <w:rPr>
          <w:rFonts w:hint="eastAsia"/>
          <w:szCs w:val="21"/>
        </w:rPr>
        <w:t>投标货物的结构特点、性能、功能或特性的说明以及产品样本。</w:t>
      </w:r>
    </w:p>
    <w:p>
      <w:pPr>
        <w:spacing w:line="360" w:lineRule="auto"/>
        <w:ind w:firstLine="501" w:firstLineChars="239"/>
        <w:rPr>
          <w:szCs w:val="21"/>
        </w:rPr>
      </w:pPr>
      <w:r>
        <w:rPr>
          <w:rFonts w:hint="eastAsia"/>
          <w:szCs w:val="21"/>
        </w:rPr>
        <w:t>2.</w:t>
      </w:r>
      <w:r>
        <w:rPr>
          <w:rFonts w:hint="eastAsia"/>
          <w:szCs w:val="21"/>
        </w:rPr>
        <w:tab/>
      </w:r>
      <w:r>
        <w:rPr>
          <w:rFonts w:hint="eastAsia"/>
          <w:szCs w:val="21"/>
        </w:rPr>
        <w:t>货物通过有关部门的验收的国家有关部门批准生产或使用的有效文件扫描件。</w:t>
      </w:r>
    </w:p>
    <w:p>
      <w:pPr>
        <w:spacing w:line="360" w:lineRule="auto"/>
        <w:ind w:firstLine="501" w:firstLineChars="239"/>
      </w:pPr>
      <w:r>
        <w:rPr>
          <w:rFonts w:hint="eastAsia"/>
          <w:szCs w:val="21"/>
        </w:rPr>
        <w:t>...</w:t>
      </w:r>
    </w:p>
    <w:p>
      <w:pPr>
        <w:keepNext/>
        <w:keepLines/>
        <w:widowControl/>
        <w:spacing w:line="360" w:lineRule="auto"/>
        <w:jc w:val="left"/>
        <w:outlineLvl w:val="1"/>
        <w:rPr>
          <w:rFonts w:ascii="宋体" w:hAnsi="宋体"/>
          <w:kern w:val="0"/>
          <w:sz w:val="32"/>
          <w:szCs w:val="20"/>
        </w:rPr>
      </w:pPr>
      <w:bookmarkStart w:id="159" w:name="_Toc7454687"/>
      <w:bookmarkStart w:id="160" w:name="_Toc21972"/>
      <w:r>
        <w:rPr>
          <w:rFonts w:ascii="宋体" w:hAnsi="宋体"/>
          <w:kern w:val="0"/>
          <w:sz w:val="32"/>
          <w:szCs w:val="20"/>
        </w:rPr>
        <w:br w:type="page"/>
      </w:r>
      <w:r>
        <w:rPr>
          <w:rFonts w:hint="eastAsia" w:ascii="宋体" w:hAnsi="宋体"/>
          <w:kern w:val="0"/>
          <w:sz w:val="32"/>
          <w:szCs w:val="20"/>
        </w:rPr>
        <w:t>九、技术支持资料</w:t>
      </w:r>
    </w:p>
    <w:p>
      <w:pPr>
        <w:ind w:firstLine="420"/>
      </w:pPr>
      <w:r>
        <w:rPr>
          <w:rFonts w:hint="eastAsia"/>
        </w:rPr>
        <w:t>（格式由投标人自拟）</w:t>
      </w:r>
    </w:p>
    <w:p>
      <w:pPr>
        <w:pStyle w:val="10"/>
      </w:pPr>
    </w:p>
    <w:p>
      <w:pPr>
        <w:numPr>
          <w:ilvl w:val="0"/>
          <w:numId w:val="5"/>
        </w:numPr>
        <w:spacing w:line="360" w:lineRule="auto"/>
        <w:rPr>
          <w:rFonts w:ascii="宋体" w:hAnsi="宋体"/>
        </w:rPr>
      </w:pPr>
      <w:r>
        <w:rPr>
          <w:rFonts w:hint="eastAsia" w:ascii="宋体" w:hAnsi="宋体"/>
        </w:rPr>
        <w:t>投标人应列明本合同项下所供货物的设计与制造标准、技术规范等。</w:t>
      </w:r>
    </w:p>
    <w:p>
      <w:pPr>
        <w:numPr>
          <w:ilvl w:val="0"/>
          <w:numId w:val="5"/>
        </w:numPr>
        <w:spacing w:line="360" w:lineRule="auto"/>
        <w:rPr>
          <w:rFonts w:ascii="宋体" w:hAnsi="宋体"/>
        </w:rPr>
      </w:pPr>
      <w:r>
        <w:rPr>
          <w:rFonts w:hint="eastAsia" w:ascii="宋体" w:hAnsi="宋体"/>
        </w:rPr>
        <w:t>投标人应列明工厂制造检查和测试的合格标准。</w:t>
      </w:r>
    </w:p>
    <w:p>
      <w:pPr>
        <w:spacing w:line="360" w:lineRule="auto"/>
        <w:ind w:firstLine="319" w:firstLineChars="152"/>
        <w:rPr>
          <w:rFonts w:ascii="宋体" w:hAnsi="宋体"/>
        </w:rPr>
      </w:pPr>
      <w:r>
        <w:rPr>
          <w:rFonts w:hint="eastAsia" w:ascii="宋体" w:hAnsi="宋体"/>
        </w:rPr>
        <w:t>投标人应指出投标文件中本合同项下应提供货物的初步检查和检验项目。</w:t>
      </w:r>
    </w:p>
    <w:p>
      <w:pPr>
        <w:numPr>
          <w:ilvl w:val="0"/>
          <w:numId w:val="5"/>
        </w:numPr>
        <w:spacing w:line="360" w:lineRule="auto"/>
        <w:rPr>
          <w:rFonts w:ascii="宋体" w:hAnsi="宋体"/>
        </w:rPr>
      </w:pPr>
      <w:r>
        <w:rPr>
          <w:rFonts w:hint="eastAsia" w:ascii="宋体" w:hAnsi="宋体"/>
        </w:rPr>
        <w:t>投标人应列明正式验收检查和测试的合格标准和验收方案。</w:t>
      </w:r>
    </w:p>
    <w:p>
      <w:pPr>
        <w:spacing w:line="360" w:lineRule="auto"/>
        <w:rPr>
          <w:rFonts w:ascii="宋体" w:hAnsi="宋体"/>
        </w:rPr>
      </w:pPr>
    </w:p>
    <w:p>
      <w:pPr>
        <w:keepNext/>
        <w:keepLines/>
        <w:widowControl/>
        <w:spacing w:line="360" w:lineRule="auto"/>
        <w:jc w:val="left"/>
        <w:outlineLvl w:val="1"/>
        <w:rPr>
          <w:rFonts w:ascii="宋体" w:hAnsi="宋体"/>
          <w:kern w:val="0"/>
          <w:sz w:val="32"/>
          <w:szCs w:val="20"/>
        </w:rPr>
      </w:pPr>
      <w:r>
        <w:rPr>
          <w:rFonts w:ascii="宋体" w:hAnsi="宋体"/>
          <w:kern w:val="0"/>
          <w:sz w:val="32"/>
          <w:szCs w:val="20"/>
        </w:rPr>
        <w:br w:type="page"/>
      </w:r>
      <w:r>
        <w:rPr>
          <w:rFonts w:hint="eastAsia" w:ascii="宋体" w:hAnsi="宋体"/>
          <w:kern w:val="0"/>
          <w:sz w:val="32"/>
          <w:szCs w:val="20"/>
        </w:rPr>
        <w:t>十、技术服务和质保期服务计划</w:t>
      </w:r>
    </w:p>
    <w:p>
      <w:pPr>
        <w:spacing w:line="360" w:lineRule="auto"/>
        <w:ind w:firstLine="420"/>
        <w:rPr>
          <w:szCs w:val="21"/>
        </w:rPr>
      </w:pPr>
      <w:r>
        <w:rPr>
          <w:rFonts w:hint="eastAsia"/>
          <w:szCs w:val="21"/>
        </w:rPr>
        <w:t>（格式由投标人自拟）</w:t>
      </w:r>
    </w:p>
    <w:p>
      <w:pPr>
        <w:pStyle w:val="10"/>
        <w:spacing w:line="360" w:lineRule="auto"/>
        <w:rPr>
          <w:sz w:val="21"/>
        </w:rPr>
      </w:pPr>
    </w:p>
    <w:p>
      <w:pPr>
        <w:spacing w:line="360" w:lineRule="auto"/>
        <w:ind w:firstLine="420" w:firstLineChars="200"/>
        <w:rPr>
          <w:rFonts w:ascii="宋体" w:hAnsi="宋体"/>
          <w:szCs w:val="21"/>
        </w:rPr>
      </w:pPr>
      <w:r>
        <w:rPr>
          <w:rFonts w:hint="eastAsia" w:ascii="宋体" w:hAnsi="宋体"/>
          <w:szCs w:val="21"/>
        </w:rPr>
        <w:t>1、中标人应阐述采取何种措施的培训，以保证招标人运行人员能最终熟练操作使用其货物和进行维护。培训计划应包括培训的目标、培训的时间、地点、授课人员的简介，培训内容包括理论培训和实际操作的培训。</w:t>
      </w:r>
    </w:p>
    <w:p>
      <w:pPr>
        <w:spacing w:line="360" w:lineRule="auto"/>
        <w:ind w:firstLine="420" w:firstLineChars="200"/>
        <w:rPr>
          <w:rFonts w:ascii="宋体" w:hAnsi="宋体"/>
          <w:szCs w:val="21"/>
        </w:rPr>
      </w:pPr>
      <w:r>
        <w:rPr>
          <w:rFonts w:hint="eastAsia" w:ascii="宋体" w:hAnsi="宋体"/>
          <w:szCs w:val="21"/>
        </w:rPr>
        <w:t>2、中标人应给出针对本项目的详细的售后服务计划和承诺。</w:t>
      </w:r>
    </w:p>
    <w:p>
      <w:pPr>
        <w:spacing w:line="360" w:lineRule="auto"/>
        <w:ind w:firstLine="420" w:firstLineChars="200"/>
        <w:rPr>
          <w:rFonts w:ascii="宋体" w:hAnsi="宋体"/>
          <w:szCs w:val="21"/>
        </w:rPr>
      </w:pPr>
      <w:r>
        <w:rPr>
          <w:rFonts w:hint="eastAsia" w:ascii="宋体" w:hAnsi="宋体"/>
          <w:szCs w:val="21"/>
        </w:rPr>
        <w:t>3、质保和维护维修承诺书：附件1</w:t>
      </w:r>
    </w:p>
    <w:p>
      <w:pPr>
        <w:spacing w:line="360" w:lineRule="auto"/>
        <w:ind w:firstLine="420" w:firstLineChars="200"/>
        <w:rPr>
          <w:rFonts w:ascii="宋体" w:hAnsi="宋体"/>
          <w:szCs w:val="21"/>
        </w:rPr>
      </w:pPr>
      <w:r>
        <w:rPr>
          <w:rFonts w:hint="eastAsia" w:ascii="宋体" w:hAnsi="宋体"/>
          <w:szCs w:val="21"/>
        </w:rPr>
        <w:t>4、技术培训计划及售后服务承诺：附件2</w:t>
      </w:r>
    </w:p>
    <w:p>
      <w:pPr>
        <w:pStyle w:val="10"/>
        <w:spacing w:line="360" w:lineRule="auto"/>
        <w:rPr>
          <w:sz w:val="21"/>
        </w:rPr>
      </w:pPr>
    </w:p>
    <w:p>
      <w:pPr>
        <w:pStyle w:val="10"/>
        <w:spacing w:line="360" w:lineRule="auto"/>
        <w:rPr>
          <w:sz w:val="21"/>
        </w:rPr>
      </w:pPr>
      <w:r>
        <w:rPr>
          <w:rFonts w:hint="eastAsia" w:hAnsi="宋体"/>
          <w:sz w:val="21"/>
        </w:rPr>
        <w:t>附件1：</w:t>
      </w:r>
    </w:p>
    <w:p>
      <w:pPr>
        <w:jc w:val="center"/>
        <w:rPr>
          <w:b/>
          <w:sz w:val="28"/>
          <w:szCs w:val="28"/>
        </w:rPr>
      </w:pPr>
      <w:r>
        <w:rPr>
          <w:rFonts w:hint="eastAsia"/>
          <w:b/>
          <w:sz w:val="28"/>
          <w:szCs w:val="28"/>
        </w:rPr>
        <w:t>质保和维护维修承诺书</w:t>
      </w:r>
    </w:p>
    <w:p>
      <w:pPr>
        <w:pStyle w:val="28"/>
        <w:ind w:firstLine="198" w:firstLineChars="91"/>
        <w:rPr>
          <w:spacing w:val="0"/>
          <w:sz w:val="21"/>
          <w:szCs w:val="21"/>
        </w:rPr>
      </w:pPr>
      <w:r>
        <w:rPr>
          <w:rFonts w:hint="eastAsia"/>
          <w:sz w:val="21"/>
          <w:szCs w:val="21"/>
        </w:rPr>
        <w:t>致：</w:t>
      </w:r>
      <w:r>
        <w:rPr>
          <w:rFonts w:hint="eastAsia"/>
          <w:sz w:val="21"/>
          <w:szCs w:val="21"/>
          <w:u w:val="single"/>
        </w:rPr>
        <w:t xml:space="preserve">   （招标人）        </w:t>
      </w:r>
    </w:p>
    <w:p>
      <w:pPr>
        <w:pStyle w:val="28"/>
        <w:ind w:firstLine="436"/>
        <w:rPr>
          <w:sz w:val="21"/>
          <w:szCs w:val="21"/>
        </w:rPr>
      </w:pPr>
      <w:r>
        <w:rPr>
          <w:rFonts w:hint="eastAsia"/>
          <w:sz w:val="21"/>
          <w:szCs w:val="21"/>
        </w:rPr>
        <w:t>经详细阅读本工程招标文件，我司已理解招标人对本招标项目工程管理的高标准及严格要求，在此，我司郑重作出以下承诺：</w:t>
      </w:r>
    </w:p>
    <w:p>
      <w:pPr>
        <w:pStyle w:val="5"/>
        <w:spacing w:line="360" w:lineRule="auto"/>
        <w:ind w:firstLine="413" w:firstLineChars="196"/>
        <w:rPr>
          <w:b/>
        </w:rPr>
      </w:pPr>
      <w:r>
        <w:rPr>
          <w:rFonts w:hint="eastAsia"/>
          <w:b/>
        </w:rPr>
        <w:t>一、</w:t>
      </w:r>
      <w:r>
        <w:rPr>
          <w:b/>
        </w:rPr>
        <w:t>提供</w:t>
      </w:r>
      <w:r>
        <w:rPr>
          <w:rFonts w:hint="eastAsia"/>
          <w:b/>
          <w:u w:val="single"/>
        </w:rPr>
        <w:t xml:space="preserve">    </w:t>
      </w:r>
      <w:r>
        <w:rPr>
          <w:b/>
          <w:u w:val="single"/>
        </w:rPr>
        <w:t>年</w:t>
      </w:r>
      <w:r>
        <w:rPr>
          <w:rFonts w:hint="eastAsia"/>
          <w:b/>
        </w:rPr>
        <w:t>（不少于5年）</w:t>
      </w:r>
      <w:r>
        <w:rPr>
          <w:b/>
        </w:rPr>
        <w:t>免费质保和维护维修</w:t>
      </w:r>
      <w:r>
        <w:rPr>
          <w:rFonts w:hint="eastAsia"/>
          <w:b/>
        </w:rPr>
        <w:t>服务。</w:t>
      </w:r>
    </w:p>
    <w:p>
      <w:pPr>
        <w:pStyle w:val="5"/>
        <w:spacing w:line="360" w:lineRule="auto"/>
        <w:ind w:firstLine="411" w:firstLineChars="196"/>
      </w:pPr>
      <w:r>
        <w:rPr>
          <w:rFonts w:hint="eastAsia"/>
        </w:rPr>
        <w:t>二、质保及</w:t>
      </w:r>
      <w:r>
        <w:t>维护维修</w:t>
      </w:r>
      <w:r>
        <w:rPr>
          <w:rFonts w:hint="eastAsia"/>
        </w:rPr>
        <w:t>均由我司派专业技术人员负责。</w:t>
      </w:r>
    </w:p>
    <w:p>
      <w:pPr>
        <w:pStyle w:val="5"/>
        <w:spacing w:line="360" w:lineRule="auto"/>
        <w:ind w:firstLine="411" w:firstLineChars="196"/>
      </w:pPr>
      <w:r>
        <w:rPr>
          <w:rFonts w:hint="eastAsia"/>
        </w:rPr>
        <w:t>三、我司承诺完全按照招标文件要求做好配合安装调试、验收，保证全程派专业技术人员参与安装调试、验收。</w:t>
      </w:r>
    </w:p>
    <w:p>
      <w:pPr>
        <w:pStyle w:val="5"/>
        <w:spacing w:line="360" w:lineRule="auto"/>
        <w:ind w:firstLine="411" w:firstLineChars="196"/>
      </w:pPr>
      <w:r>
        <w:rPr>
          <w:rFonts w:hint="eastAsia"/>
        </w:rPr>
        <w:t>四、我司保证设有固定的售后服务机构，在质保期内，一旦发生质量问题，中标人保证在接到通知后2小时内响应，4 小时内赶到现场进行修理或更换。中标人负责对其提供的货物上门进行硬件维修、软件维护和升级等免费服务，采购人不再支付任何费用，但人为因素或自然灾害造成的损坏除外。</w:t>
      </w:r>
    </w:p>
    <w:p>
      <w:pPr>
        <w:pStyle w:val="5"/>
        <w:spacing w:line="360" w:lineRule="auto"/>
        <w:ind w:firstLine="411" w:firstLineChars="196"/>
      </w:pPr>
      <w:r>
        <w:rPr>
          <w:rFonts w:hint="eastAsia"/>
        </w:rPr>
        <w:t>五、</w:t>
      </w:r>
      <w:r>
        <w:t>………</w:t>
      </w:r>
    </w:p>
    <w:p>
      <w:pPr>
        <w:pStyle w:val="5"/>
        <w:ind w:firstLine="411" w:firstLineChars="196"/>
      </w:pPr>
    </w:p>
    <w:p>
      <w:pPr>
        <w:pStyle w:val="5"/>
        <w:ind w:firstLine="411" w:firstLineChars="196"/>
        <w:rPr>
          <w:u w:val="single"/>
        </w:rPr>
      </w:pPr>
      <w:r>
        <w:rPr>
          <w:rFonts w:hint="eastAsia"/>
          <w:u w:val="single"/>
        </w:rPr>
        <w:t>(其它服务承诺由投标人自行填写)</w:t>
      </w:r>
    </w:p>
    <w:p>
      <w:pPr>
        <w:pStyle w:val="5"/>
      </w:pPr>
    </w:p>
    <w:p>
      <w:pPr>
        <w:tabs>
          <w:tab w:val="left" w:pos="8364"/>
        </w:tabs>
        <w:snapToGrid w:val="0"/>
        <w:spacing w:line="360" w:lineRule="exact"/>
        <w:ind w:right="-58"/>
        <w:rPr>
          <w:rFonts w:ascii="宋体" w:hAnsi="宋体"/>
          <w:szCs w:val="21"/>
        </w:rPr>
      </w:pPr>
      <w:r>
        <w:rPr>
          <w:rFonts w:hint="eastAsia" w:ascii="宋体" w:hAnsi="宋体"/>
          <w:szCs w:val="21"/>
        </w:rPr>
        <w:t>投标人名称：（公章）</w:t>
      </w:r>
      <w:r>
        <w:rPr>
          <w:rFonts w:ascii="宋体" w:hAnsi="宋体"/>
          <w:szCs w:val="21"/>
        </w:rPr>
        <w:t>.</w:t>
      </w:r>
    </w:p>
    <w:p>
      <w:pPr>
        <w:rPr>
          <w:szCs w:val="21"/>
        </w:rPr>
      </w:pPr>
    </w:p>
    <w:p>
      <w:pPr>
        <w:rPr>
          <w:sz w:val="24"/>
        </w:rPr>
      </w:pPr>
      <w:r>
        <w:rPr>
          <w:rFonts w:hint="eastAsia"/>
          <w:szCs w:val="21"/>
        </w:rPr>
        <w:t>日期：   年   月   日</w:t>
      </w:r>
    </w:p>
    <w:p>
      <w:pPr>
        <w:pStyle w:val="10"/>
        <w:rPr>
          <w:rFonts w:ascii="Arial" w:hAnsi="Arial" w:cs="Arial"/>
        </w:rPr>
      </w:pPr>
    </w:p>
    <w:p>
      <w:pPr>
        <w:pStyle w:val="10"/>
        <w:rPr>
          <w:rFonts w:ascii="Arial" w:hAnsi="Arial" w:cs="Arial"/>
        </w:rPr>
      </w:pPr>
    </w:p>
    <w:p>
      <w:pPr>
        <w:pStyle w:val="10"/>
        <w:spacing w:line="360" w:lineRule="auto"/>
        <w:rPr>
          <w:rFonts w:ascii="Arial" w:hAnsi="Arial" w:cs="Arial"/>
        </w:rPr>
      </w:pPr>
      <w:r>
        <w:rPr>
          <w:rFonts w:hint="eastAsia" w:hAnsi="宋体"/>
          <w:sz w:val="21"/>
        </w:rPr>
        <w:t>附件2：</w:t>
      </w:r>
    </w:p>
    <w:p>
      <w:pPr>
        <w:jc w:val="center"/>
        <w:rPr>
          <w:bCs/>
          <w:sz w:val="24"/>
        </w:rPr>
      </w:pPr>
      <w:r>
        <w:rPr>
          <w:rFonts w:hint="eastAsia"/>
          <w:b/>
          <w:sz w:val="28"/>
          <w:szCs w:val="28"/>
        </w:rPr>
        <w:t>技术培训计划及售后服务承诺</w:t>
      </w:r>
    </w:p>
    <w:p>
      <w:pPr>
        <w:spacing w:line="500" w:lineRule="exact"/>
        <w:ind w:firstLine="420" w:firstLineChars="200"/>
        <w:rPr>
          <w:rFonts w:ascii="宋体" w:hAnsi="宋体"/>
        </w:rPr>
      </w:pPr>
      <w:r>
        <w:rPr>
          <w:rFonts w:hint="eastAsia" w:ascii="宋体" w:hAnsi="宋体"/>
        </w:rPr>
        <w:t>1、乙方应阐述采取何种措施的培训，以保证发包人运行人员能最终熟练操作使用其货物和进行维护。培训计划应包括培训的目标、培训的时间、地点、授课人员的简介,培训内容包括理论培训和实际操作的培训。</w:t>
      </w:r>
    </w:p>
    <w:p>
      <w:pPr>
        <w:spacing w:line="500" w:lineRule="exact"/>
        <w:ind w:firstLine="420" w:firstLineChars="200"/>
      </w:pPr>
      <w:r>
        <w:rPr>
          <w:rFonts w:hint="eastAsia" w:ascii="宋体" w:hAnsi="宋体"/>
        </w:rPr>
        <w:t>2、乙方应给出针对本项目的详细的售后服务计划和承诺。</w:t>
      </w:r>
    </w:p>
    <w:p>
      <w:pPr>
        <w:spacing w:line="360" w:lineRule="auto"/>
        <w:ind w:firstLine="420" w:firstLineChars="200"/>
      </w:pPr>
    </w:p>
    <w:p>
      <w:pPr>
        <w:spacing w:line="360" w:lineRule="auto"/>
        <w:ind w:firstLine="420" w:firstLineChars="200"/>
      </w:pPr>
    </w:p>
    <w:p>
      <w:pPr>
        <w:spacing w:line="360" w:lineRule="auto"/>
        <w:ind w:firstLine="420" w:firstLineChars="200"/>
      </w:pPr>
    </w:p>
    <w:p>
      <w:pPr>
        <w:tabs>
          <w:tab w:val="left" w:pos="8364"/>
        </w:tabs>
        <w:snapToGrid w:val="0"/>
        <w:spacing w:line="360" w:lineRule="exact"/>
        <w:ind w:right="-58"/>
        <w:rPr>
          <w:rFonts w:ascii="宋体" w:hAnsi="宋体"/>
        </w:rPr>
      </w:pPr>
      <w:r>
        <w:rPr>
          <w:rFonts w:hint="eastAsia" w:ascii="宋体" w:hAnsi="宋体"/>
        </w:rPr>
        <w:t>投 标 人（法人公章）：</w:t>
      </w:r>
    </w:p>
    <w:p>
      <w:pPr>
        <w:tabs>
          <w:tab w:val="left" w:pos="8364"/>
        </w:tabs>
        <w:snapToGrid w:val="0"/>
        <w:spacing w:line="360" w:lineRule="exact"/>
        <w:ind w:right="-58"/>
        <w:rPr>
          <w:rFonts w:ascii="宋体" w:hAnsi="宋体"/>
        </w:rPr>
      </w:pPr>
    </w:p>
    <w:p>
      <w:pPr>
        <w:tabs>
          <w:tab w:val="left" w:pos="8364"/>
        </w:tabs>
        <w:snapToGrid w:val="0"/>
        <w:spacing w:line="360" w:lineRule="exact"/>
        <w:ind w:right="-58"/>
        <w:rPr>
          <w:rFonts w:ascii="宋体" w:hAnsi="宋体"/>
        </w:rPr>
      </w:pPr>
      <w:r>
        <w:rPr>
          <w:rFonts w:hint="eastAsia" w:ascii="宋体" w:cs="宋体"/>
          <w:lang w:val="zh-CN"/>
        </w:rPr>
        <w:t>法定代表人或授权委托代理人（签名）</w:t>
      </w:r>
      <w:r>
        <w:rPr>
          <w:rFonts w:hint="eastAsia" w:ascii="宋体" w:hAnsi="宋体"/>
        </w:rPr>
        <w:t>：</w:t>
      </w:r>
    </w:p>
    <w:p>
      <w:pPr>
        <w:tabs>
          <w:tab w:val="left" w:pos="8364"/>
        </w:tabs>
        <w:snapToGrid w:val="0"/>
        <w:spacing w:line="360" w:lineRule="exact"/>
        <w:ind w:right="-58"/>
        <w:rPr>
          <w:rFonts w:ascii="宋体" w:hAnsi="宋体"/>
        </w:rPr>
      </w:pPr>
      <w:r>
        <w:rPr>
          <w:rFonts w:hint="eastAsia" w:ascii="宋体" w:hAnsi="宋体"/>
        </w:rPr>
        <w:t>日期：   年   月   日</w:t>
      </w:r>
    </w:p>
    <w:p>
      <w:pPr>
        <w:spacing w:line="360" w:lineRule="auto"/>
        <w:rPr>
          <w:rFonts w:ascii="Arial" w:hAnsi="Arial" w:cs="Arial"/>
        </w:rPr>
      </w:pPr>
    </w:p>
    <w:p>
      <w:pPr>
        <w:spacing w:line="360" w:lineRule="auto"/>
        <w:outlineLvl w:val="1"/>
        <w:rPr>
          <w:rFonts w:ascii="宋体" w:hAnsi="宋体"/>
          <w:kern w:val="0"/>
          <w:sz w:val="32"/>
          <w:szCs w:val="20"/>
        </w:rPr>
      </w:pPr>
      <w:r>
        <w:rPr>
          <w:rFonts w:ascii="Arial" w:hAnsi="Arial" w:cs="Arial"/>
        </w:rPr>
        <w:br w:type="page"/>
      </w:r>
      <w:r>
        <w:rPr>
          <w:rFonts w:hint="eastAsia" w:ascii="宋体" w:hAnsi="宋体"/>
          <w:kern w:val="0"/>
          <w:sz w:val="32"/>
          <w:szCs w:val="20"/>
        </w:rPr>
        <w:t>十一、实施方案</w:t>
      </w:r>
    </w:p>
    <w:p>
      <w:pPr>
        <w:jc w:val="center"/>
        <w:rPr>
          <w:b/>
          <w:sz w:val="28"/>
          <w:szCs w:val="28"/>
        </w:rPr>
      </w:pPr>
      <w:r>
        <w:rPr>
          <w:rFonts w:hint="eastAsia"/>
          <w:b/>
          <w:sz w:val="28"/>
          <w:szCs w:val="28"/>
        </w:rPr>
        <w:t>项目实施方案及工作进度计划</w:t>
      </w:r>
    </w:p>
    <w:p>
      <w:pPr>
        <w:spacing w:line="360" w:lineRule="auto"/>
        <w:ind w:firstLine="480" w:firstLineChars="200"/>
        <w:rPr>
          <w:rFonts w:ascii="宋体" w:hAnsi="宋体"/>
          <w:sz w:val="24"/>
          <w:szCs w:val="24"/>
        </w:rPr>
      </w:pPr>
    </w:p>
    <w:p>
      <w:pPr>
        <w:spacing w:line="500" w:lineRule="exact"/>
        <w:ind w:firstLine="420" w:firstLineChars="200"/>
        <w:rPr>
          <w:rFonts w:ascii="宋体" w:hAnsi="宋体"/>
          <w:szCs w:val="21"/>
        </w:rPr>
      </w:pPr>
      <w:r>
        <w:rPr>
          <w:rFonts w:hint="eastAsia" w:ascii="宋体" w:hAnsi="宋体"/>
          <w:szCs w:val="21"/>
        </w:rPr>
        <w:t>1、承包商应提出针对本项目的实施方案，实施</w:t>
      </w:r>
      <w:r>
        <w:rPr>
          <w:rFonts w:ascii="宋体" w:hAnsi="宋体"/>
          <w:szCs w:val="24"/>
        </w:rPr>
        <w:t>应结合本项目特点来制定，必须满足本次货物设计、生产、供货和安装的特殊要求，投标人要根据以上特点，针对货物生产、供货、安装各个关键环节，制定符合本项目质量、进度的要求人员保证方案、设备保证方案和交货期保证方案，提出详细具体的方法和措施满足交货期和质量要求</w:t>
      </w:r>
      <w:r>
        <w:rPr>
          <w:rFonts w:hint="eastAsia" w:ascii="宋体" w:hAnsi="宋体"/>
          <w:szCs w:val="21"/>
        </w:rPr>
        <w:t>包括项目部成员组成及资格，制造、安装、调试、验收各个环节的实施与协调等。实施方案包括：</w:t>
      </w:r>
    </w:p>
    <w:p>
      <w:pPr>
        <w:spacing w:line="500" w:lineRule="exact"/>
        <w:ind w:firstLine="420" w:firstLineChars="200"/>
        <w:rPr>
          <w:rFonts w:ascii="宋体" w:hAnsi="宋体"/>
          <w:szCs w:val="24"/>
        </w:rPr>
      </w:pPr>
      <w:r>
        <w:rPr>
          <w:rFonts w:hint="eastAsia" w:ascii="宋体" w:hAnsi="宋体"/>
          <w:szCs w:val="21"/>
        </w:rPr>
        <w:t>1）</w:t>
      </w:r>
      <w:r>
        <w:rPr>
          <w:rFonts w:ascii="宋体" w:hAnsi="宋体"/>
          <w:szCs w:val="24"/>
        </w:rPr>
        <w:t>人员保证方案</w:t>
      </w:r>
    </w:p>
    <w:p>
      <w:pPr>
        <w:spacing w:line="500" w:lineRule="exact"/>
        <w:ind w:firstLine="420" w:firstLineChars="200"/>
        <w:rPr>
          <w:rFonts w:ascii="宋体" w:hAnsi="宋体"/>
          <w:szCs w:val="24"/>
        </w:rPr>
      </w:pPr>
      <w:r>
        <w:rPr>
          <w:rFonts w:ascii="宋体" w:hAnsi="宋体"/>
          <w:szCs w:val="24"/>
        </w:rPr>
        <w:t>对本企业的人员总数、构成情况作出说明；详细列出拟投入本次货物供货的人员组成、数量。说明如何保证生产和供货的需要。</w:t>
      </w:r>
    </w:p>
    <w:p>
      <w:pPr>
        <w:spacing w:line="500" w:lineRule="exact"/>
        <w:ind w:firstLine="420" w:firstLineChars="200"/>
        <w:rPr>
          <w:rFonts w:ascii="宋体" w:hAnsi="宋体"/>
          <w:szCs w:val="24"/>
        </w:rPr>
      </w:pPr>
      <w:r>
        <w:rPr>
          <w:rFonts w:ascii="宋体" w:hAnsi="宋体"/>
          <w:szCs w:val="24"/>
        </w:rPr>
        <w:t>2）设备保证方案</w:t>
      </w:r>
    </w:p>
    <w:p>
      <w:pPr>
        <w:spacing w:line="500" w:lineRule="exact"/>
        <w:ind w:firstLine="420" w:firstLineChars="200"/>
        <w:rPr>
          <w:rFonts w:ascii="宋体" w:hAnsi="宋体"/>
          <w:szCs w:val="24"/>
        </w:rPr>
      </w:pPr>
      <w:r>
        <w:rPr>
          <w:rFonts w:ascii="宋体" w:hAnsi="宋体"/>
          <w:szCs w:val="24"/>
        </w:rPr>
        <w:t>对本企业的设备和生产线总数、构成情况作出说明；详细列出拟投入本次货物生产的设备组成、数量。说明如何保证生产和供货的需要。</w:t>
      </w:r>
    </w:p>
    <w:p>
      <w:pPr>
        <w:spacing w:line="500" w:lineRule="exact"/>
        <w:ind w:firstLine="420" w:firstLineChars="200"/>
        <w:rPr>
          <w:rFonts w:ascii="宋体" w:hAnsi="宋体"/>
          <w:szCs w:val="24"/>
        </w:rPr>
      </w:pPr>
      <w:r>
        <w:rPr>
          <w:rFonts w:hint="eastAsia" w:ascii="宋体" w:hAnsi="宋体"/>
          <w:szCs w:val="21"/>
        </w:rPr>
        <w:t>3）</w:t>
      </w:r>
      <w:r>
        <w:rPr>
          <w:rFonts w:ascii="宋体" w:hAnsi="宋体"/>
          <w:szCs w:val="24"/>
        </w:rPr>
        <w:t>交货期保证方案</w:t>
      </w:r>
    </w:p>
    <w:p>
      <w:pPr>
        <w:spacing w:line="500" w:lineRule="exact"/>
        <w:ind w:firstLine="420" w:firstLineChars="200"/>
        <w:rPr>
          <w:rFonts w:ascii="宋体" w:hAnsi="宋体"/>
          <w:szCs w:val="21"/>
        </w:rPr>
      </w:pPr>
      <w:r>
        <w:rPr>
          <w:rFonts w:ascii="宋体" w:hAnsi="宋体"/>
          <w:szCs w:val="24"/>
        </w:rPr>
        <w:t>请详细说明将采取何种特殊措施保证满足交货期要求。</w:t>
      </w:r>
    </w:p>
    <w:p>
      <w:pPr>
        <w:spacing w:line="500" w:lineRule="exact"/>
        <w:ind w:firstLine="420" w:firstLineChars="200"/>
        <w:rPr>
          <w:rFonts w:ascii="宋体" w:hAnsi="宋体"/>
          <w:szCs w:val="21"/>
        </w:rPr>
      </w:pPr>
      <w:r>
        <w:rPr>
          <w:rFonts w:hint="eastAsia" w:ascii="宋体" w:hAnsi="宋体"/>
          <w:szCs w:val="21"/>
        </w:rPr>
        <w:t>4）</w:t>
      </w:r>
      <w:r>
        <w:rPr>
          <w:rFonts w:hint="eastAsia" w:ascii="宋体" w:hAnsi="宋体"/>
          <w:szCs w:val="24"/>
        </w:rPr>
        <w:t>与监理单位</w:t>
      </w:r>
      <w:r>
        <w:rPr>
          <w:rFonts w:hint="eastAsia" w:ascii="宋体" w:hAnsi="宋体"/>
          <w:szCs w:val="21"/>
        </w:rPr>
        <w:t>、主体土建施工总承包单位、机电安装总承包单位和其他专业承包单位的协调配合措施</w:t>
      </w:r>
    </w:p>
    <w:p>
      <w:pPr>
        <w:spacing w:line="500" w:lineRule="exact"/>
        <w:ind w:firstLine="718" w:firstLineChars="342"/>
        <w:rPr>
          <w:rFonts w:ascii="宋体" w:hAnsi="宋体"/>
          <w:szCs w:val="21"/>
        </w:rPr>
      </w:pPr>
      <w:r>
        <w:rPr>
          <w:rFonts w:hint="eastAsia" w:ascii="宋体" w:hAnsi="宋体"/>
          <w:szCs w:val="21"/>
        </w:rPr>
        <w:t>要求投标人详细描述如何做好与机电安装总承包单位和其他专业的协调配合措施且必须服从总包单位和监理单位管理，在永久电未接入之前，利用临电进行安装调试并做好竣工验收后到正式移交给使用方之前的成品保护及维护。</w:t>
      </w:r>
    </w:p>
    <w:p>
      <w:pPr>
        <w:spacing w:line="500" w:lineRule="exact"/>
        <w:ind w:firstLine="420" w:firstLineChars="200"/>
        <w:rPr>
          <w:rFonts w:ascii="宋体" w:hAnsi="宋体"/>
          <w:szCs w:val="21"/>
        </w:rPr>
      </w:pPr>
      <w:r>
        <w:rPr>
          <w:rFonts w:hint="eastAsia" w:ascii="宋体" w:hAnsi="宋体"/>
          <w:szCs w:val="21"/>
        </w:rPr>
        <w:t>5）安全保证措施</w:t>
      </w:r>
    </w:p>
    <w:p>
      <w:pPr>
        <w:spacing w:line="500" w:lineRule="exact"/>
        <w:ind w:firstLine="718" w:firstLineChars="342"/>
        <w:rPr>
          <w:rFonts w:ascii="宋体" w:hAnsi="宋体"/>
          <w:szCs w:val="21"/>
        </w:rPr>
      </w:pPr>
      <w:r>
        <w:rPr>
          <w:rFonts w:hint="eastAsia" w:ascii="宋体" w:hAnsi="宋体"/>
          <w:szCs w:val="21"/>
        </w:rPr>
        <w:t>投标人必需按照本项目施工的特点，提供适合本项目的安全保证措施，其中包含电梯井围护人员安全保证措施等。</w:t>
      </w:r>
    </w:p>
    <w:p>
      <w:pPr>
        <w:spacing w:line="500" w:lineRule="exact"/>
        <w:ind w:firstLine="420" w:firstLineChars="200"/>
        <w:rPr>
          <w:rFonts w:ascii="宋体" w:hAnsi="宋体"/>
          <w:szCs w:val="21"/>
        </w:rPr>
      </w:pPr>
      <w:r>
        <w:rPr>
          <w:rFonts w:hint="eastAsia" w:ascii="宋体" w:hAnsi="宋体"/>
          <w:szCs w:val="21"/>
        </w:rPr>
        <w:t>6）维修保养服务方案</w:t>
      </w:r>
    </w:p>
    <w:p>
      <w:pPr>
        <w:spacing w:line="500" w:lineRule="exact"/>
        <w:ind w:firstLine="718" w:firstLineChars="342"/>
        <w:rPr>
          <w:rFonts w:ascii="宋体" w:hAnsi="宋体"/>
          <w:szCs w:val="21"/>
        </w:rPr>
      </w:pPr>
      <w:r>
        <w:rPr>
          <w:rFonts w:hint="eastAsia" w:ascii="宋体" w:hAnsi="宋体"/>
          <w:szCs w:val="21"/>
        </w:rPr>
        <w:t>投标人应提交本项目质保期内的正常维修保养服务方案。同时提交质保期满后起三年的正常维修保养服务方案（此费用无需列入投标总价中）。</w:t>
      </w:r>
    </w:p>
    <w:p>
      <w:pPr>
        <w:keepNext/>
        <w:keepLines/>
        <w:widowControl/>
        <w:spacing w:line="360" w:lineRule="auto"/>
        <w:jc w:val="left"/>
        <w:outlineLvl w:val="1"/>
        <w:rPr>
          <w:rFonts w:ascii="宋体" w:hAnsi="宋体"/>
          <w:kern w:val="0"/>
          <w:sz w:val="32"/>
          <w:szCs w:val="20"/>
        </w:rPr>
      </w:pPr>
      <w:r>
        <w:rPr>
          <w:rFonts w:hint="eastAsia" w:ascii="宋体" w:hAnsi="宋体"/>
          <w:kern w:val="0"/>
          <w:sz w:val="32"/>
          <w:szCs w:val="20"/>
        </w:rPr>
        <w:t>十二、其他资料</w:t>
      </w:r>
      <w:bookmarkEnd w:id="159"/>
      <w:bookmarkEnd w:id="160"/>
    </w:p>
    <w:p>
      <w:pPr>
        <w:rPr>
          <w:sz w:val="24"/>
          <w:szCs w:val="24"/>
        </w:rPr>
      </w:pPr>
      <w:r>
        <w:rPr>
          <w:rFonts w:hint="eastAsia"/>
          <w:sz w:val="24"/>
          <w:szCs w:val="24"/>
        </w:rPr>
        <w:t>投标人认为其他应该提供的材料</w:t>
      </w:r>
    </w:p>
    <w:p>
      <w:pPr>
        <w:widowControl/>
        <w:spacing w:after="160" w:line="259" w:lineRule="auto"/>
        <w:jc w:val="left"/>
        <w:rPr>
          <w:rFonts w:ascii="宋体" w:hAnsi="宋体"/>
          <w:sz w:val="22"/>
        </w:rPr>
      </w:pPr>
      <w:r>
        <w:rPr>
          <w:rFonts w:hint="eastAsia"/>
          <w:spacing w:val="-2"/>
        </w:rPr>
        <w:t>（投</w:t>
      </w:r>
      <w:r>
        <w:rPr>
          <w:rFonts w:hint="eastAsia"/>
        </w:rPr>
        <w:t>标</w:t>
      </w:r>
      <w:r>
        <w:rPr>
          <w:rFonts w:hint="eastAsia"/>
          <w:spacing w:val="-2"/>
        </w:rPr>
        <w:t>人</w:t>
      </w:r>
      <w:r>
        <w:rPr>
          <w:rFonts w:hint="eastAsia"/>
        </w:rPr>
        <w:t>应</w:t>
      </w:r>
      <w:r>
        <w:rPr>
          <w:rFonts w:hint="eastAsia"/>
          <w:spacing w:val="-2"/>
        </w:rPr>
        <w:t>根</w:t>
      </w:r>
      <w:r>
        <w:rPr>
          <w:rFonts w:hint="eastAsia"/>
        </w:rPr>
        <w:t>据</w:t>
      </w:r>
      <w:r>
        <w:rPr>
          <w:rFonts w:hint="eastAsia"/>
          <w:spacing w:val="-2"/>
        </w:rPr>
        <w:t>评标办法的</w:t>
      </w:r>
      <w:r>
        <w:rPr>
          <w:rFonts w:hint="eastAsia"/>
        </w:rPr>
        <w:t>要</w:t>
      </w:r>
      <w:r>
        <w:rPr>
          <w:rFonts w:hint="eastAsia"/>
          <w:spacing w:val="-2"/>
        </w:rPr>
        <w:t>求在</w:t>
      </w:r>
      <w:r>
        <w:rPr>
          <w:rFonts w:hint="eastAsia"/>
        </w:rPr>
        <w:t>本表</w:t>
      </w:r>
      <w:r>
        <w:rPr>
          <w:rFonts w:hint="eastAsia"/>
          <w:spacing w:val="-2"/>
        </w:rPr>
        <w:t>后</w:t>
      </w:r>
      <w:r>
        <w:rPr>
          <w:rFonts w:hint="eastAsia"/>
        </w:rPr>
        <w:t>附</w:t>
      </w:r>
      <w:r>
        <w:rPr>
          <w:rFonts w:hint="eastAsia"/>
          <w:spacing w:val="-2"/>
        </w:rPr>
        <w:t>相</w:t>
      </w:r>
      <w:r>
        <w:rPr>
          <w:rFonts w:hint="eastAsia"/>
        </w:rPr>
        <w:t>关</w:t>
      </w:r>
      <w:r>
        <w:rPr>
          <w:rFonts w:hint="eastAsia"/>
          <w:spacing w:val="-2"/>
        </w:rPr>
        <w:t>证</w:t>
      </w:r>
      <w:r>
        <w:rPr>
          <w:rFonts w:hint="eastAsia"/>
        </w:rPr>
        <w:t>明</w:t>
      </w:r>
      <w:r>
        <w:rPr>
          <w:rFonts w:hint="eastAsia"/>
          <w:spacing w:val="-2"/>
        </w:rPr>
        <w:t>材</w:t>
      </w:r>
      <w:r>
        <w:rPr>
          <w:rFonts w:hint="eastAsia"/>
        </w:rPr>
        <w:t>料。</w:t>
      </w:r>
      <w:r>
        <w:rPr>
          <w:rFonts w:hint="eastAsia"/>
          <w:spacing w:val="-2"/>
        </w:rPr>
        <w:t>）</w:t>
      </w:r>
    </w:p>
    <w:p>
      <w:pPr>
        <w:widowControl/>
        <w:tabs>
          <w:tab w:val="left" w:pos="720"/>
        </w:tabs>
        <w:spacing w:line="500" w:lineRule="exact"/>
        <w:jc w:val="center"/>
        <w:rPr>
          <w:rFonts w:cs="仿宋"/>
          <w:b/>
          <w:bCs/>
          <w:kern w:val="44"/>
          <w:sz w:val="40"/>
        </w:rPr>
      </w:pPr>
    </w:p>
    <w:sectPr>
      <w:headerReference r:id="rId6" w:type="default"/>
      <w:footerReference r:id="rId7"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18</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23"/>
        <w:sz w:val="18"/>
        <w:szCs w:val="18"/>
      </w:rPr>
    </w:pPr>
    <w:r>
      <w:rPr>
        <w:sz w:val="18"/>
        <w:szCs w:val="18"/>
      </w:rPr>
      <w:fldChar w:fldCharType="begin"/>
    </w:r>
    <w:r>
      <w:rPr>
        <w:rStyle w:val="23"/>
        <w:sz w:val="18"/>
        <w:szCs w:val="18"/>
      </w:rPr>
      <w:instrText xml:space="preserve">PAGE  </w:instrText>
    </w:r>
    <w:r>
      <w:rPr>
        <w:sz w:val="18"/>
        <w:szCs w:val="18"/>
      </w:rPr>
      <w:fldChar w:fldCharType="end"/>
    </w:r>
  </w:p>
  <w:p>
    <w:pPr>
      <w:snapToGrid w:val="0"/>
      <w:ind w:right="36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55</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CED49"/>
    <w:multiLevelType w:val="singleLevel"/>
    <w:tmpl w:val="868CED49"/>
    <w:lvl w:ilvl="0" w:tentative="0">
      <w:start w:val="1"/>
      <w:numFmt w:val="decimal"/>
      <w:suff w:val="nothing"/>
      <w:lvlText w:val="(%1)"/>
      <w:lvlJc w:val="left"/>
      <w:pPr>
        <w:ind w:left="845" w:hanging="425"/>
      </w:pPr>
      <w:rPr>
        <w:rFonts w:hint="default"/>
      </w:rPr>
    </w:lvl>
  </w:abstractNum>
  <w:abstractNum w:abstractNumId="1">
    <w:nsid w:val="37796029"/>
    <w:multiLevelType w:val="singleLevel"/>
    <w:tmpl w:val="37796029"/>
    <w:lvl w:ilvl="0" w:tentative="0">
      <w:start w:val="1"/>
      <w:numFmt w:val="decimal"/>
      <w:lvlText w:val="(%1)"/>
      <w:lvlJc w:val="left"/>
      <w:pPr>
        <w:tabs>
          <w:tab w:val="left" w:pos="1417"/>
        </w:tabs>
        <w:ind w:left="1417" w:hanging="577"/>
      </w:pPr>
      <w:rPr>
        <w:rFonts w:hint="default"/>
      </w:rPr>
    </w:lvl>
  </w:abstractNum>
  <w:abstractNum w:abstractNumId="2">
    <w:nsid w:val="4C0CDC45"/>
    <w:multiLevelType w:val="singleLevel"/>
    <w:tmpl w:val="4C0CDC45"/>
    <w:lvl w:ilvl="0" w:tentative="0">
      <w:start w:val="1"/>
      <w:numFmt w:val="decimal"/>
      <w:suff w:val="nothing"/>
      <w:lvlText w:val="%1、"/>
      <w:lvlJc w:val="left"/>
    </w:lvl>
  </w:abstractNum>
  <w:abstractNum w:abstractNumId="3">
    <w:nsid w:val="5D484B00"/>
    <w:multiLevelType w:val="singleLevel"/>
    <w:tmpl w:val="5D484B00"/>
    <w:lvl w:ilvl="0" w:tentative="0">
      <w:start w:val="1"/>
      <w:numFmt w:val="decimal"/>
      <w:suff w:val="space"/>
      <w:lvlText w:val="%1."/>
      <w:lvlJc w:val="left"/>
    </w:lvl>
  </w:abstractNum>
  <w:abstractNum w:abstractNumId="4">
    <w:nsid w:val="6DB8887C"/>
    <w:multiLevelType w:val="singleLevel"/>
    <w:tmpl w:val="6DB8887C"/>
    <w:lvl w:ilvl="0" w:tentative="0">
      <w:start w:val="1"/>
      <w:numFmt w:val="chineseCounting"/>
      <w:lvlText w:val="%1、"/>
      <w:lvlJc w:val="left"/>
      <w:pPr>
        <w:tabs>
          <w:tab w:val="left" w:pos="1417"/>
        </w:tabs>
        <w:ind w:left="1417" w:hanging="850"/>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ODQ5MzQ1ZWFlZWNkOWFhOWI3MmEwMjc5YTljZTAifQ=="/>
  </w:docVars>
  <w:rsids>
    <w:rsidRoot w:val="00157949"/>
    <w:rsid w:val="000160E9"/>
    <w:rsid w:val="000208D1"/>
    <w:rsid w:val="00034560"/>
    <w:rsid w:val="000450D4"/>
    <w:rsid w:val="000B6089"/>
    <w:rsid w:val="000E1223"/>
    <w:rsid w:val="00157949"/>
    <w:rsid w:val="001A0C52"/>
    <w:rsid w:val="001A13BF"/>
    <w:rsid w:val="001F3570"/>
    <w:rsid w:val="0020009D"/>
    <w:rsid w:val="00260A93"/>
    <w:rsid w:val="002C5FA7"/>
    <w:rsid w:val="002D45CF"/>
    <w:rsid w:val="003B2E70"/>
    <w:rsid w:val="00407384"/>
    <w:rsid w:val="00452D9A"/>
    <w:rsid w:val="00480DF8"/>
    <w:rsid w:val="004C6902"/>
    <w:rsid w:val="004F53DD"/>
    <w:rsid w:val="00531A7E"/>
    <w:rsid w:val="005D1721"/>
    <w:rsid w:val="005F4D69"/>
    <w:rsid w:val="00646F64"/>
    <w:rsid w:val="0067170F"/>
    <w:rsid w:val="006E2850"/>
    <w:rsid w:val="00751DF7"/>
    <w:rsid w:val="007546E7"/>
    <w:rsid w:val="00775B5D"/>
    <w:rsid w:val="007A3CDC"/>
    <w:rsid w:val="007E5CD4"/>
    <w:rsid w:val="00816336"/>
    <w:rsid w:val="00894B36"/>
    <w:rsid w:val="00906E81"/>
    <w:rsid w:val="0093202B"/>
    <w:rsid w:val="00A30C20"/>
    <w:rsid w:val="00A96CE3"/>
    <w:rsid w:val="00AA5F11"/>
    <w:rsid w:val="00B07CAF"/>
    <w:rsid w:val="00B34646"/>
    <w:rsid w:val="00BD2D56"/>
    <w:rsid w:val="00BF3FDB"/>
    <w:rsid w:val="00C3644C"/>
    <w:rsid w:val="00C535E7"/>
    <w:rsid w:val="00D00B3D"/>
    <w:rsid w:val="00DA588C"/>
    <w:rsid w:val="00DC4031"/>
    <w:rsid w:val="00E90023"/>
    <w:rsid w:val="00EE2569"/>
    <w:rsid w:val="00F940D2"/>
    <w:rsid w:val="05195983"/>
    <w:rsid w:val="072531B4"/>
    <w:rsid w:val="09AE72E5"/>
    <w:rsid w:val="0AF14CBA"/>
    <w:rsid w:val="0BC542BE"/>
    <w:rsid w:val="115F615E"/>
    <w:rsid w:val="1295234A"/>
    <w:rsid w:val="12A704E7"/>
    <w:rsid w:val="13862984"/>
    <w:rsid w:val="16D22960"/>
    <w:rsid w:val="172577D0"/>
    <w:rsid w:val="18E338BB"/>
    <w:rsid w:val="1AB919B3"/>
    <w:rsid w:val="1E943EE3"/>
    <w:rsid w:val="1F0C2A52"/>
    <w:rsid w:val="229924ED"/>
    <w:rsid w:val="24A53232"/>
    <w:rsid w:val="26EA0036"/>
    <w:rsid w:val="270A69E3"/>
    <w:rsid w:val="298567F4"/>
    <w:rsid w:val="2A760B32"/>
    <w:rsid w:val="2E195C87"/>
    <w:rsid w:val="345419BF"/>
    <w:rsid w:val="349E66D0"/>
    <w:rsid w:val="34C1339B"/>
    <w:rsid w:val="39A700C1"/>
    <w:rsid w:val="3B5A34EB"/>
    <w:rsid w:val="3D99653E"/>
    <w:rsid w:val="3DB65F40"/>
    <w:rsid w:val="45F72217"/>
    <w:rsid w:val="46515E34"/>
    <w:rsid w:val="466330F8"/>
    <w:rsid w:val="4C946F9D"/>
    <w:rsid w:val="4EC02C82"/>
    <w:rsid w:val="4F6345DB"/>
    <w:rsid w:val="4F874504"/>
    <w:rsid w:val="50172B89"/>
    <w:rsid w:val="52FB4BEA"/>
    <w:rsid w:val="54AF09F6"/>
    <w:rsid w:val="571F58C0"/>
    <w:rsid w:val="57653A43"/>
    <w:rsid w:val="5AFA1C8F"/>
    <w:rsid w:val="5CA61BAE"/>
    <w:rsid w:val="5E874266"/>
    <w:rsid w:val="5F055D0C"/>
    <w:rsid w:val="616A652B"/>
    <w:rsid w:val="62DB0913"/>
    <w:rsid w:val="650B1038"/>
    <w:rsid w:val="66F12748"/>
    <w:rsid w:val="6D8B3250"/>
    <w:rsid w:val="6E4856DF"/>
    <w:rsid w:val="6EDD3C8C"/>
    <w:rsid w:val="6EEF5DA7"/>
    <w:rsid w:val="6F723E26"/>
    <w:rsid w:val="73A11102"/>
    <w:rsid w:val="741D2ACD"/>
    <w:rsid w:val="78986BE9"/>
    <w:rsid w:val="7955121E"/>
    <w:rsid w:val="79772333"/>
    <w:rsid w:val="7A314852"/>
    <w:rsid w:val="7DDD5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autoRedefine/>
    <w:qFormat/>
    <w:uiPriority w:val="0"/>
    <w:pPr>
      <w:keepNext/>
      <w:keepLines/>
      <w:tabs>
        <w:tab w:val="left" w:pos="720"/>
      </w:tabs>
      <w:spacing w:before="260" w:after="260" w:line="416" w:lineRule="auto"/>
      <w:outlineLvl w:val="1"/>
    </w:pPr>
    <w:rPr>
      <w:rFonts w:ascii="Arial" w:hAnsi="Arial" w:eastAsia="黑体"/>
      <w:b/>
      <w:bCs/>
      <w:kern w:val="0"/>
      <w:sz w:val="32"/>
      <w:szCs w:val="32"/>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四号 首行缩进:  2 字符"/>
    <w:basedOn w:val="1"/>
    <w:autoRedefine/>
    <w:qFormat/>
    <w:uiPriority w:val="0"/>
    <w:pPr>
      <w:widowControl/>
    </w:pPr>
    <w:rPr>
      <w:rFonts w:cs="宋体"/>
      <w:color w:val="000000"/>
      <w:kern w:val="0"/>
      <w:szCs w:val="20"/>
    </w:rPr>
  </w:style>
  <w:style w:type="paragraph" w:styleId="5">
    <w:name w:val="Normal Indent"/>
    <w:basedOn w:val="1"/>
    <w:next w:val="1"/>
    <w:autoRedefine/>
    <w:qFormat/>
    <w:uiPriority w:val="0"/>
    <w:pPr>
      <w:ind w:firstLine="420" w:firstLineChars="200"/>
    </w:pPr>
    <w:rPr>
      <w:szCs w:val="24"/>
    </w:rPr>
  </w:style>
  <w:style w:type="paragraph" w:styleId="6">
    <w:name w:val="annotation text"/>
    <w:basedOn w:val="1"/>
    <w:link w:val="33"/>
    <w:autoRedefine/>
    <w:qFormat/>
    <w:uiPriority w:val="99"/>
    <w:pPr>
      <w:jc w:val="left"/>
    </w:pPr>
    <w:rPr>
      <w:kern w:val="0"/>
      <w:sz w:val="20"/>
      <w:szCs w:val="20"/>
    </w:rPr>
  </w:style>
  <w:style w:type="paragraph" w:styleId="7">
    <w:name w:val="Body Text"/>
    <w:basedOn w:val="1"/>
    <w:next w:val="1"/>
    <w:autoRedefine/>
    <w:qFormat/>
    <w:uiPriority w:val="0"/>
    <w:rPr>
      <w:szCs w:val="24"/>
    </w:rPr>
  </w:style>
  <w:style w:type="paragraph" w:styleId="8">
    <w:name w:val="Body Text Indent"/>
    <w:basedOn w:val="1"/>
    <w:next w:val="9"/>
    <w:autoRedefine/>
    <w:qFormat/>
    <w:uiPriority w:val="99"/>
    <w:pPr>
      <w:tabs>
        <w:tab w:val="left" w:pos="567"/>
      </w:tabs>
      <w:spacing w:line="360" w:lineRule="auto"/>
      <w:ind w:left="420" w:leftChars="200"/>
    </w:pPr>
    <w:rPr>
      <w:kern w:val="0"/>
      <w:sz w:val="20"/>
      <w:szCs w:val="21"/>
    </w:rPr>
  </w:style>
  <w:style w:type="paragraph" w:styleId="9">
    <w:name w:val="envelope return"/>
    <w:basedOn w:val="1"/>
    <w:autoRedefine/>
    <w:qFormat/>
    <w:uiPriority w:val="0"/>
    <w:pPr>
      <w:snapToGrid w:val="0"/>
    </w:pPr>
    <w:rPr>
      <w:rFonts w:ascii="Arial" w:hAnsi="Arial"/>
      <w:szCs w:val="24"/>
    </w:rPr>
  </w:style>
  <w:style w:type="paragraph" w:styleId="10">
    <w:name w:val="Plain Text"/>
    <w:basedOn w:val="1"/>
    <w:autoRedefine/>
    <w:qFormat/>
    <w:uiPriority w:val="99"/>
    <w:rPr>
      <w:rFonts w:ascii="宋体" w:hAnsi="Courier New"/>
      <w:kern w:val="0"/>
      <w:sz w:val="20"/>
      <w:szCs w:val="21"/>
    </w:rPr>
  </w:style>
  <w:style w:type="paragraph" w:styleId="11">
    <w:name w:val="Balloon Text"/>
    <w:basedOn w:val="1"/>
    <w:link w:val="31"/>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kern w:val="0"/>
      <w:sz w:val="18"/>
      <w:szCs w:val="18"/>
    </w:rPr>
  </w:style>
  <w:style w:type="paragraph" w:styleId="13">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spacing w:after="100" w:line="276" w:lineRule="auto"/>
      <w:jc w:val="left"/>
    </w:pPr>
    <w:rPr>
      <w:rFonts w:ascii="Calibri" w:hAnsi="Calibri"/>
      <w:kern w:val="0"/>
      <w:sz w:val="22"/>
    </w:rPr>
  </w:style>
  <w:style w:type="paragraph" w:styleId="15">
    <w:name w:val="toc 2"/>
    <w:basedOn w:val="1"/>
    <w:next w:val="1"/>
    <w:autoRedefine/>
    <w:qFormat/>
    <w:uiPriority w:val="39"/>
    <w:pPr>
      <w:ind w:left="200" w:leftChars="200"/>
    </w:p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autoRedefine/>
    <w:qFormat/>
    <w:uiPriority w:val="0"/>
    <w:pPr>
      <w:jc w:val="center"/>
      <w:outlineLvl w:val="0"/>
    </w:pPr>
    <w:rPr>
      <w:rFonts w:ascii="Cambria" w:hAnsi="Cambria"/>
      <w:b/>
      <w:bCs/>
      <w:sz w:val="32"/>
      <w:szCs w:val="32"/>
    </w:rPr>
  </w:style>
  <w:style w:type="paragraph" w:styleId="18">
    <w:name w:val="annotation subject"/>
    <w:basedOn w:val="6"/>
    <w:next w:val="6"/>
    <w:link w:val="34"/>
    <w:autoRedefine/>
    <w:qFormat/>
    <w:uiPriority w:val="0"/>
    <w:rPr>
      <w:b/>
      <w:bCs/>
      <w:kern w:val="2"/>
      <w:sz w:val="21"/>
      <w:szCs w:val="22"/>
    </w:rPr>
  </w:style>
  <w:style w:type="paragraph" w:styleId="19">
    <w:name w:val="Body Text First Indent 2"/>
    <w:basedOn w:val="8"/>
    <w:autoRedefine/>
    <w:qFormat/>
    <w:uiPriority w:val="0"/>
    <w:pPr>
      <w:spacing w:after="120" w:line="240" w:lineRule="auto"/>
      <w:ind w:left="200" w:firstLine="200" w:firstLineChars="200"/>
    </w:pPr>
    <w:rPr>
      <w:rFonts w:ascii="Calibri" w:hAnsi="Calibri"/>
      <w:kern w:val="2"/>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autoRedefine/>
    <w:qFormat/>
    <w:uiPriority w:val="0"/>
  </w:style>
  <w:style w:type="character" w:styleId="24">
    <w:name w:val="annotation reference"/>
    <w:basedOn w:val="22"/>
    <w:autoRedefine/>
    <w:qFormat/>
    <w:uiPriority w:val="0"/>
    <w:rPr>
      <w:sz w:val="21"/>
      <w:szCs w:val="21"/>
    </w:rPr>
  </w:style>
  <w:style w:type="paragraph" w:customStyle="1" w:styleId="25">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paragraph" w:customStyle="1" w:styleId="26">
    <w:name w:val="Table Paragraph"/>
    <w:basedOn w:val="1"/>
    <w:autoRedefine/>
    <w:unhideWhenUsed/>
    <w:qFormat/>
    <w:uiPriority w:val="1"/>
    <w:rPr>
      <w:sz w:val="24"/>
    </w:rPr>
  </w:style>
  <w:style w:type="paragraph" w:customStyle="1" w:styleId="2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29">
    <w:name w:val="首行缩进"/>
    <w:basedOn w:val="1"/>
    <w:autoRedefine/>
    <w:qFormat/>
    <w:uiPriority w:val="0"/>
    <w:pPr>
      <w:ind w:firstLine="480" w:firstLineChars="200"/>
    </w:pPr>
    <w:rPr>
      <w:kern w:val="0"/>
      <w:szCs w:val="20"/>
      <w:lang w:val="zh-CN"/>
    </w:rPr>
  </w:style>
  <w:style w:type="character" w:customStyle="1" w:styleId="30">
    <w:name w:val="页眉 字符"/>
    <w:basedOn w:val="22"/>
    <w:link w:val="13"/>
    <w:autoRedefine/>
    <w:qFormat/>
    <w:uiPriority w:val="0"/>
    <w:rPr>
      <w:rFonts w:ascii="Times New Roman" w:hAnsi="Times New Roman" w:eastAsia="宋体" w:cs="Times New Roman"/>
      <w:kern w:val="2"/>
      <w:sz w:val="18"/>
      <w:szCs w:val="18"/>
    </w:rPr>
  </w:style>
  <w:style w:type="character" w:customStyle="1" w:styleId="31">
    <w:name w:val="批注框文本 字符"/>
    <w:basedOn w:val="22"/>
    <w:link w:val="11"/>
    <w:autoRedefine/>
    <w:qFormat/>
    <w:uiPriority w:val="0"/>
    <w:rPr>
      <w:rFonts w:ascii="Times New Roman" w:hAnsi="Times New Roman" w:eastAsia="宋体" w:cs="Times New Roman"/>
      <w:kern w:val="2"/>
      <w:sz w:val="18"/>
      <w:szCs w:val="18"/>
    </w:rPr>
  </w:style>
  <w:style w:type="paragraph" w:customStyle="1" w:styleId="32">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33">
    <w:name w:val="批注文字 字符"/>
    <w:basedOn w:val="22"/>
    <w:link w:val="6"/>
    <w:autoRedefine/>
    <w:qFormat/>
    <w:uiPriority w:val="99"/>
  </w:style>
  <w:style w:type="character" w:customStyle="1" w:styleId="34">
    <w:name w:val="批注主题 字符"/>
    <w:basedOn w:val="33"/>
    <w:link w:val="18"/>
    <w:autoRedefine/>
    <w:qFormat/>
    <w:uiPriority w:val="0"/>
    <w:rPr>
      <w:b/>
      <w:bCs/>
      <w:kern w:val="2"/>
      <w:sz w:val="21"/>
      <w:szCs w:val="22"/>
    </w:rPr>
  </w:style>
  <w:style w:type="paragraph" w:customStyle="1" w:styleId="35">
    <w:name w:val="修订2"/>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36">
    <w:name w:val="修订3"/>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37">
    <w:name w:val="Revision"/>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824AC-9605-4BFB-9823-29AF6F4441EF}">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23456</Words>
  <Characters>25057</Characters>
  <Lines>200</Lines>
  <Paragraphs>56</Paragraphs>
  <TotalTime>16</TotalTime>
  <ScaleCrop>false</ScaleCrop>
  <LinksUpToDate>false</LinksUpToDate>
  <CharactersWithSpaces>25526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2024-05-20T07:35:00Z</dcterms:created>
  <dc:creator>Administrator</dc:creator>
  <cp:lastModifiedBy>省机电</cp:lastModifiedBy>
  <cp:lastPrinted>2024-05-20T01:09:00Z</cp:lastPrinted>
  <dcterms:modified xsi:type="dcterms:W3CDTF">2024-06-05T08:24:11Z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4EDD5D018BE040A1998AD5222A922280_13</vt:lpwstr>
  </property>
</Properties>
</file>