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中宋" w:hAnsi="华文中宋" w:eastAsia="华文中宋"/>
          <w:bCs/>
          <w:sz w:val="44"/>
          <w:szCs w:val="32"/>
        </w:rPr>
      </w:pPr>
      <w:r>
        <w:rPr>
          <w:rFonts w:hint="eastAsia" w:ascii="华文中宋" w:hAnsi="华文中宋" w:eastAsia="华文中宋"/>
          <w:bCs/>
          <w:sz w:val="44"/>
          <w:szCs w:val="32"/>
        </w:rPr>
        <w:t>越秀区城市更新改造补短板项目（二期）——老旧小区改造项目(矿泉街老旧小区改造补短板项目（铁通社区、站西社区）)</w:t>
      </w:r>
    </w:p>
    <w:p>
      <w:pPr>
        <w:spacing w:line="360" w:lineRule="auto"/>
        <w:jc w:val="center"/>
        <w:rPr>
          <w:rFonts w:ascii="华文中宋" w:hAnsi="华文中宋" w:eastAsia="华文中宋"/>
          <w:bCs/>
          <w:sz w:val="44"/>
          <w:szCs w:val="32"/>
        </w:rPr>
      </w:pPr>
      <w:r>
        <w:rPr>
          <w:rFonts w:hint="eastAsia" w:ascii="华文中宋" w:hAnsi="华文中宋" w:eastAsia="华文中宋"/>
          <w:bCs/>
          <w:sz w:val="44"/>
          <w:szCs w:val="32"/>
        </w:rPr>
        <w:t>设计任务书</w:t>
      </w:r>
    </w:p>
    <w:p>
      <w:pPr>
        <w:adjustRightInd w:val="0"/>
        <w:spacing w:line="360" w:lineRule="auto"/>
        <w:ind w:firstLine="880" w:firstLineChars="200"/>
        <w:jc w:val="center"/>
        <w:textAlignment w:val="baseline"/>
        <w:rPr>
          <w:rFonts w:eastAsia="黑体"/>
          <w:sz w:val="44"/>
          <w:szCs w:val="44"/>
        </w:rPr>
      </w:pPr>
    </w:p>
    <w:p>
      <w:pPr>
        <w:numPr>
          <w:ilvl w:val="0"/>
          <w:numId w:val="3"/>
        </w:numPr>
        <w:spacing w:line="360" w:lineRule="auto"/>
        <w:ind w:firstLine="562" w:firstLineChars="200"/>
        <w:rPr>
          <w:rFonts w:ascii="宋体" w:hAnsi="宋体"/>
          <w:b/>
        </w:rPr>
      </w:pPr>
      <w:r>
        <w:rPr>
          <w:rFonts w:hint="eastAsia" w:ascii="宋体" w:hAnsi="宋体"/>
          <w:b/>
        </w:rPr>
        <w:t>项目背景</w:t>
      </w:r>
    </w:p>
    <w:p>
      <w:pPr>
        <w:spacing w:line="360" w:lineRule="auto"/>
        <w:ind w:firstLine="560" w:firstLineChars="200"/>
        <w:rPr>
          <w:rFonts w:ascii="宋体" w:hAnsi="宋体"/>
        </w:rPr>
      </w:pPr>
      <w:r>
        <w:rPr>
          <w:rFonts w:ascii="宋体" w:hAnsi="宋体"/>
        </w:rPr>
        <w:t>越秀区是广州最古老的中心城区，越秀区作为广州行政、商贸、金融、文化中心，形成了以第三产业为主体，特色经济为带动，商贸服务业为支撑的产业格局。中山五路一带是广州最繁华商贸中心和古城文化旅游区，有北京路、海印地区、英雄广场、一德路等一批知名商贸区，有环市东国际中央商务、东风路现代服务、流花会展等商务区。</w:t>
      </w:r>
      <w:r>
        <w:rPr>
          <w:rFonts w:hint="eastAsia" w:ascii="宋体" w:hAnsi="宋体"/>
        </w:rPr>
        <w:t>随着越秀区经济建设的发展，人口规模的不断增加，城市基础设施存在一些问题，</w:t>
      </w:r>
      <w:r>
        <w:rPr>
          <w:rFonts w:ascii="宋体" w:hAnsi="宋体"/>
        </w:rPr>
        <w:t>主要表现在：经济发展质量和效益还有待进一步提高；城区环境建设还存在不少短板；民生保障水平仍需提升。</w:t>
      </w:r>
    </w:p>
    <w:p>
      <w:pPr>
        <w:spacing w:line="360" w:lineRule="auto"/>
        <w:ind w:firstLine="560" w:firstLineChars="200"/>
        <w:rPr>
          <w:rFonts w:ascii="宋体" w:hAnsi="宋体"/>
        </w:rPr>
      </w:pPr>
      <w:r>
        <w:rPr>
          <w:rFonts w:ascii="宋体" w:hAnsi="宋体"/>
        </w:rPr>
        <w:t>《广州市越秀区国民经济和社会发展第十四个五年规划和2035年远景目标纲要》指出</w:t>
      </w:r>
      <w:r>
        <w:rPr>
          <w:rFonts w:hint="eastAsia" w:ascii="宋体" w:hAnsi="宋体"/>
        </w:rPr>
        <w:t>越秀区十四五期间发展目标是</w:t>
      </w:r>
      <w:r>
        <w:rPr>
          <w:rFonts w:ascii="宋体" w:hAnsi="宋体"/>
        </w:rPr>
        <w:t>“力优化提升中心城区功能，打造城市更新典范。树立全周期管理理念，聚焦产城融合、产业转型、职住平衡、智慧建设等关键领域，科学布局生产、生活、生态空间，着力推进以人为核心的新型城镇化，优化提升中心城区功能，提高城区能级，建设一流城区。”</w:t>
      </w:r>
    </w:p>
    <w:p>
      <w:pPr>
        <w:spacing w:line="360" w:lineRule="auto"/>
        <w:ind w:firstLine="560" w:firstLineChars="200"/>
        <w:rPr>
          <w:rFonts w:ascii="宋体" w:hAnsi="宋体"/>
        </w:rPr>
      </w:pPr>
      <w:r>
        <w:rPr>
          <w:rFonts w:hint="eastAsia" w:ascii="宋体" w:hAnsi="宋体"/>
        </w:rPr>
        <w:t>为</w:t>
      </w:r>
      <w:r>
        <w:rPr>
          <w:rFonts w:ascii="宋体" w:hAnsi="宋体"/>
        </w:rPr>
        <w:t>不断完善</w:t>
      </w:r>
      <w:r>
        <w:rPr>
          <w:rFonts w:hint="eastAsia" w:ascii="宋体" w:hAnsi="宋体"/>
        </w:rPr>
        <w:t>老</w:t>
      </w:r>
      <w:r>
        <w:rPr>
          <w:rFonts w:ascii="宋体" w:hAnsi="宋体"/>
        </w:rPr>
        <w:t>城区基础设施、补强短板，</w:t>
      </w:r>
      <w:r>
        <w:rPr>
          <w:rFonts w:hint="eastAsia" w:ascii="宋体" w:hAnsi="宋体"/>
        </w:rPr>
        <w:t>越秀区在2020年开始建设实施城市更新改造补短板项目一期工程，针对越秀区基础设施中存在的问题，筹划实施了水环境治理、片区品质提升、公园基础设施升级改造、环卫基础设施品质4大类型，共计26个子项内容。</w:t>
      </w:r>
    </w:p>
    <w:p>
      <w:pPr>
        <w:spacing w:line="360" w:lineRule="auto"/>
        <w:ind w:firstLine="560" w:firstLineChars="200"/>
        <w:rPr>
          <w:rFonts w:ascii="宋体" w:hAnsi="宋体"/>
        </w:rPr>
      </w:pPr>
      <w:r>
        <w:rPr>
          <w:rFonts w:hint="eastAsia" w:ascii="宋体" w:hAnsi="宋体"/>
        </w:rPr>
        <w:t>随着一期项目建设，对越秀区城市基础设施起到了提升作用，特别是针对雨污分流、人行系统完善改造等，极大地方便了人民的生活。因此，为进一步落实越秀区十四五规划的目标，提升人居环境，谋划新一轮微改造，打造城市更新典范，越秀区人民政府提出了越秀区城市更新改造补短板项目(二期）建设，项目以“三线”下地、“四网”融合为重点，推动老旧小区实现设施智能、服务便捷、管理精细。以重要节点、重要路段、重点片区为抓手，围绕建筑立面、市政设施、标识标匾等要素，加强城市公共空间基础设施建设管理，巩固提升旧楼加装电梯、厕所革命、垃圾分类成效，推动一批背街小巷整治提升、一批老旧设施升级改造，最终努力建设品质化的美丽越秀。</w:t>
      </w:r>
    </w:p>
    <w:p>
      <w:pPr>
        <w:spacing w:line="360" w:lineRule="auto"/>
        <w:ind w:firstLine="560" w:firstLineChars="200"/>
        <w:rPr>
          <w:rFonts w:ascii="宋体" w:hAnsi="宋体"/>
        </w:rPr>
      </w:pPr>
      <w:r>
        <w:rPr>
          <w:rFonts w:ascii="宋体" w:hAnsi="宋体"/>
        </w:rPr>
        <w:t>通过对</w:t>
      </w:r>
      <w:r>
        <w:rPr>
          <w:rFonts w:hint="eastAsia" w:ascii="宋体" w:hAnsi="宋体"/>
        </w:rPr>
        <w:t>越秀区城市更新改造补短板项目(二期）建设</w:t>
      </w:r>
      <w:r>
        <w:rPr>
          <w:rFonts w:ascii="宋体" w:hAnsi="宋体"/>
        </w:rPr>
        <w:t>的建设，促进越秀区及广州市人口集中、产业集聚、要素集约，充分发挥城市在区域协调发展、促进经济社会发展及粤港澳大湾区核心城市的辐射带动作用，打造生态之城、宜居之城、人文之城，为越秀区在未来“十四五”的发展迎来新机遇。</w:t>
      </w:r>
    </w:p>
    <w:p>
      <w:pPr>
        <w:spacing w:line="360" w:lineRule="auto"/>
        <w:ind w:firstLine="560" w:firstLineChars="200"/>
        <w:rPr>
          <w:rFonts w:ascii="宋体" w:hAnsi="宋体"/>
        </w:rPr>
      </w:pPr>
      <w:r>
        <w:rPr>
          <w:rFonts w:ascii="宋体" w:hAnsi="宋体"/>
        </w:rPr>
        <w:t>因此，为了加快推进项目的前期工作，广州市越秀区建设和水务局</w:t>
      </w:r>
      <w:r>
        <w:rPr>
          <w:rFonts w:hint="eastAsia" w:ascii="宋体" w:hAnsi="宋体"/>
        </w:rPr>
        <w:t>牵头开展项目建设方案等前期程序。2021年11月，越秀区建水局</w:t>
      </w:r>
      <w:r>
        <w:rPr>
          <w:rFonts w:ascii="宋体" w:hAnsi="宋体"/>
        </w:rPr>
        <w:t>委托广州市国际工程咨询有限公司编制《越秀区城市更新改造补短板项目（二期）</w:t>
      </w:r>
      <w:r>
        <w:rPr>
          <w:rFonts w:hint="eastAsia" w:ascii="宋体" w:hAnsi="宋体"/>
        </w:rPr>
        <w:t>建设方案</w:t>
      </w:r>
      <w:r>
        <w:rPr>
          <w:rFonts w:ascii="宋体" w:hAnsi="宋体"/>
        </w:rPr>
        <w:t>》。</w:t>
      </w:r>
    </w:p>
    <w:p>
      <w:pPr>
        <w:spacing w:line="360" w:lineRule="auto"/>
        <w:ind w:firstLine="560" w:firstLineChars="200"/>
        <w:rPr>
          <w:rFonts w:ascii="宋体" w:hAnsi="宋体"/>
        </w:rPr>
      </w:pPr>
      <w:r>
        <w:rPr>
          <w:rFonts w:hint="eastAsia" w:ascii="宋体" w:hAnsi="宋体"/>
        </w:rPr>
        <w:t>按照越秀区</w:t>
      </w:r>
      <w:r>
        <w:rPr>
          <w:rFonts w:ascii="宋体" w:hAnsi="宋体"/>
        </w:rPr>
        <w:t>工程建设项目建设方案联审决策</w:t>
      </w:r>
      <w:r>
        <w:rPr>
          <w:rFonts w:hint="eastAsia" w:ascii="宋体" w:hAnsi="宋体"/>
        </w:rPr>
        <w:t>程序，2021年12月27日，《</w:t>
      </w:r>
      <w:r>
        <w:rPr>
          <w:rFonts w:ascii="宋体" w:hAnsi="宋体"/>
        </w:rPr>
        <w:t>越秀区城市更新改造补短板项目（二期）</w:t>
      </w:r>
      <w:r>
        <w:rPr>
          <w:rFonts w:hint="eastAsia" w:ascii="宋体" w:hAnsi="宋体"/>
        </w:rPr>
        <w:t>建设方案》经广州市越秀区政府投资工程建设项目建设方案联审决策委员会市政建设专业委员会和房屋建设专业委员会联合评审以及联审决策审议通过（越市政联审〔2021〕1号、越联决〔2022〕1号）。随后，项目《建设方案》根据联合评审会议意见及建议进行修改完善。2021年12月31日，本项目《决策风险分析报告》取得《广州市越秀区发展和改革局关于越秀区城市更新改造补短板项目（二期）决策风险评估论证的意见》（越发改〔2021〕71号）。</w:t>
      </w:r>
    </w:p>
    <w:p>
      <w:pPr>
        <w:spacing w:line="360" w:lineRule="auto"/>
        <w:ind w:firstLine="560" w:firstLineChars="200"/>
        <w:rPr>
          <w:rFonts w:ascii="宋体" w:hAnsi="宋体"/>
        </w:rPr>
      </w:pPr>
      <w:r>
        <w:rPr>
          <w:rFonts w:hint="eastAsia" w:ascii="宋体" w:hAnsi="宋体"/>
        </w:rPr>
        <w:t>2022年1月下旬，根据越秀区政府最新的指示精神，在“越秀区城市更新改造补短板项目（二期）”已完成决策风险分析与评估、建设方案联审决策的基础上，选定《建设方案》中部分老旧小区改造项目，单独编制《项目可行性研究报告》。</w:t>
      </w:r>
      <w:r>
        <w:rPr>
          <w:rFonts w:ascii="宋体" w:hAnsi="宋体"/>
        </w:rPr>
        <w:t>越秀区</w:t>
      </w:r>
      <w:r>
        <w:rPr>
          <w:rFonts w:hint="eastAsia" w:ascii="宋体" w:hAnsi="宋体"/>
        </w:rPr>
        <w:t>建设和水务</w:t>
      </w:r>
      <w:r>
        <w:rPr>
          <w:rFonts w:ascii="宋体" w:hAnsi="宋体"/>
        </w:rPr>
        <w:t>局委托广州市国际工程咨询有限公司</w:t>
      </w:r>
      <w:r>
        <w:rPr>
          <w:rFonts w:hint="eastAsia" w:ascii="宋体" w:hAnsi="宋体"/>
        </w:rPr>
        <w:t>沿用</w:t>
      </w:r>
      <w:r>
        <w:rPr>
          <w:rFonts w:ascii="宋体" w:hAnsi="宋体"/>
        </w:rPr>
        <w:t>《越秀区城市更新改造补短板项目（二期）</w:t>
      </w:r>
      <w:r>
        <w:rPr>
          <w:rFonts w:hint="eastAsia" w:ascii="宋体" w:hAnsi="宋体"/>
        </w:rPr>
        <w:t>建设方案</w:t>
      </w:r>
      <w:r>
        <w:rPr>
          <w:rFonts w:ascii="宋体" w:hAnsi="宋体"/>
        </w:rPr>
        <w:t>》</w:t>
      </w:r>
      <w:r>
        <w:rPr>
          <w:rFonts w:hint="eastAsia" w:ascii="宋体" w:hAnsi="宋体"/>
        </w:rPr>
        <w:t>的决策成果，编制《</w:t>
      </w:r>
      <w:r>
        <w:rPr>
          <w:rFonts w:ascii="宋体" w:hAnsi="宋体"/>
        </w:rPr>
        <w:t>越秀区城市更新改造补短板项目（二期）——</w:t>
      </w:r>
      <w:r>
        <w:rPr>
          <w:rFonts w:hint="eastAsia" w:ascii="宋体" w:hAnsi="宋体"/>
        </w:rPr>
        <w:t>老旧小区改造</w:t>
      </w:r>
      <w:r>
        <w:rPr>
          <w:rFonts w:ascii="宋体" w:hAnsi="宋体"/>
        </w:rPr>
        <w:t>项目</w:t>
      </w:r>
      <w:r>
        <w:rPr>
          <w:rFonts w:hint="eastAsia" w:ascii="宋体" w:hAnsi="宋体"/>
        </w:rPr>
        <w:t>可行性研究报告》。</w:t>
      </w:r>
    </w:p>
    <w:p>
      <w:pPr>
        <w:spacing w:line="360" w:lineRule="auto"/>
        <w:rPr>
          <w:rFonts w:ascii="宋体" w:hAnsi="宋体"/>
          <w:b/>
        </w:rPr>
      </w:pPr>
    </w:p>
    <w:p>
      <w:pPr>
        <w:spacing w:line="360" w:lineRule="auto"/>
        <w:ind w:firstLine="562" w:firstLineChars="200"/>
        <w:rPr>
          <w:rFonts w:ascii="宋体" w:hAnsi="宋体"/>
          <w:b/>
        </w:rPr>
      </w:pPr>
      <w:r>
        <w:rPr>
          <w:rFonts w:hint="eastAsia" w:ascii="宋体" w:hAnsi="宋体"/>
          <w:b/>
        </w:rPr>
        <w:t>二</w:t>
      </w:r>
      <w:r>
        <w:rPr>
          <w:rFonts w:ascii="宋体" w:hAnsi="宋体"/>
          <w:b/>
        </w:rPr>
        <w:t>、</w:t>
      </w:r>
      <w:r>
        <w:rPr>
          <w:rFonts w:hint="eastAsia" w:ascii="宋体" w:hAnsi="宋体"/>
          <w:b/>
        </w:rPr>
        <w:t>设计依据</w:t>
      </w:r>
    </w:p>
    <w:p>
      <w:pPr>
        <w:numPr>
          <w:ilvl w:val="0"/>
          <w:numId w:val="4"/>
        </w:numPr>
        <w:spacing w:line="360" w:lineRule="auto"/>
        <w:ind w:firstLine="560" w:firstLineChars="200"/>
      </w:pPr>
      <w:r>
        <w:rPr>
          <w:rFonts w:hint="eastAsia" w:ascii="宋体" w:hAnsi="宋体"/>
          <w:szCs w:val="21"/>
        </w:rPr>
        <w:t>《公园设计规范》（CJJ48-92）</w:t>
      </w:r>
      <w:r>
        <w:rPr>
          <w:rFonts w:hint="eastAsia" w:ascii="仿宋" w:hAnsi="仿宋"/>
          <w:szCs w:val="28"/>
        </w:rPr>
        <w:t>；</w:t>
      </w:r>
    </w:p>
    <w:p>
      <w:pPr>
        <w:pStyle w:val="22"/>
        <w:numPr>
          <w:ilvl w:val="0"/>
          <w:numId w:val="4"/>
        </w:numPr>
        <w:ind w:firstLine="560"/>
        <w:rPr>
          <w:rFonts w:eastAsia="仿宋"/>
          <w:sz w:val="28"/>
        </w:rPr>
      </w:pPr>
      <w:r>
        <w:rPr>
          <w:rFonts w:hint="eastAsia" w:eastAsia="仿宋"/>
          <w:sz w:val="28"/>
        </w:rPr>
        <w:t>《城市道路绿化规划与设计规划》（CJJ75-97）；</w:t>
      </w:r>
    </w:p>
    <w:p>
      <w:pPr>
        <w:pStyle w:val="22"/>
        <w:numPr>
          <w:ilvl w:val="0"/>
          <w:numId w:val="4"/>
        </w:numPr>
        <w:ind w:firstLine="560"/>
        <w:rPr>
          <w:rFonts w:eastAsia="仿宋"/>
          <w:sz w:val="28"/>
        </w:rPr>
      </w:pPr>
      <w:r>
        <w:rPr>
          <w:rFonts w:hint="eastAsia" w:eastAsia="仿宋"/>
          <w:sz w:val="28"/>
        </w:rPr>
        <w:t>《城市绿地设计规范》（GB50420-2007）；</w:t>
      </w:r>
    </w:p>
    <w:p>
      <w:pPr>
        <w:pStyle w:val="22"/>
        <w:numPr>
          <w:ilvl w:val="0"/>
          <w:numId w:val="4"/>
        </w:numPr>
        <w:ind w:firstLine="560"/>
        <w:rPr>
          <w:rFonts w:eastAsia="仿宋"/>
          <w:sz w:val="28"/>
        </w:rPr>
      </w:pPr>
      <w:r>
        <w:rPr>
          <w:rFonts w:hint="eastAsia" w:eastAsia="仿宋"/>
          <w:sz w:val="28"/>
        </w:rPr>
        <w:t>《城市道路照明设计标准》（CJJ45-2006）；</w:t>
      </w:r>
    </w:p>
    <w:p>
      <w:pPr>
        <w:pStyle w:val="22"/>
        <w:numPr>
          <w:ilvl w:val="0"/>
          <w:numId w:val="4"/>
        </w:numPr>
        <w:ind w:firstLine="560"/>
        <w:rPr>
          <w:rFonts w:eastAsia="仿宋"/>
          <w:sz w:val="28"/>
        </w:rPr>
      </w:pPr>
      <w:r>
        <w:rPr>
          <w:rFonts w:hint="eastAsia" w:eastAsia="仿宋"/>
          <w:sz w:val="28"/>
        </w:rPr>
        <w:t>《建筑与小区雨水利用工程技术规范》（GB50400-2006）；</w:t>
      </w:r>
    </w:p>
    <w:p>
      <w:pPr>
        <w:pStyle w:val="22"/>
        <w:numPr>
          <w:ilvl w:val="0"/>
          <w:numId w:val="4"/>
        </w:numPr>
        <w:ind w:firstLine="560"/>
        <w:rPr>
          <w:rFonts w:eastAsia="仿宋"/>
          <w:sz w:val="28"/>
        </w:rPr>
      </w:pPr>
      <w:r>
        <w:rPr>
          <w:rFonts w:hint="eastAsia" w:eastAsia="仿宋"/>
          <w:sz w:val="28"/>
        </w:rPr>
        <w:t>《室外给水设计规范》（GB50013-2006）；</w:t>
      </w:r>
    </w:p>
    <w:p>
      <w:pPr>
        <w:pStyle w:val="22"/>
        <w:numPr>
          <w:ilvl w:val="0"/>
          <w:numId w:val="4"/>
        </w:numPr>
        <w:ind w:firstLine="560"/>
        <w:rPr>
          <w:rFonts w:eastAsia="仿宋"/>
          <w:sz w:val="28"/>
        </w:rPr>
      </w:pPr>
      <w:r>
        <w:rPr>
          <w:rFonts w:hint="eastAsia" w:eastAsia="仿宋"/>
          <w:sz w:val="28"/>
        </w:rPr>
        <w:t>《室外排水设计规范》（GB50014-2006）（2014年版）；</w:t>
      </w:r>
    </w:p>
    <w:p>
      <w:pPr>
        <w:pStyle w:val="22"/>
        <w:numPr>
          <w:ilvl w:val="0"/>
          <w:numId w:val="4"/>
        </w:numPr>
        <w:ind w:firstLine="560"/>
        <w:rPr>
          <w:rFonts w:eastAsia="仿宋"/>
          <w:sz w:val="28"/>
        </w:rPr>
      </w:pPr>
      <w:r>
        <w:rPr>
          <w:rFonts w:hint="eastAsia" w:eastAsia="仿宋"/>
          <w:sz w:val="28"/>
        </w:rPr>
        <w:t>《民用建筑节水设计标准》（GB50555-2010）；</w:t>
      </w:r>
    </w:p>
    <w:p>
      <w:pPr>
        <w:pStyle w:val="22"/>
        <w:numPr>
          <w:ilvl w:val="0"/>
          <w:numId w:val="4"/>
        </w:numPr>
        <w:ind w:firstLine="560"/>
        <w:rPr>
          <w:rFonts w:eastAsia="仿宋"/>
          <w:sz w:val="28"/>
        </w:rPr>
      </w:pPr>
      <w:r>
        <w:rPr>
          <w:rFonts w:hint="eastAsia" w:eastAsia="仿宋"/>
          <w:sz w:val="28"/>
        </w:rPr>
        <w:t>《城市电力规划规范》（GB50293-2014）；</w:t>
      </w:r>
    </w:p>
    <w:p>
      <w:pPr>
        <w:pStyle w:val="22"/>
        <w:numPr>
          <w:ilvl w:val="0"/>
          <w:numId w:val="4"/>
        </w:numPr>
        <w:ind w:firstLine="560"/>
        <w:rPr>
          <w:rFonts w:eastAsia="仿宋"/>
          <w:sz w:val="28"/>
        </w:rPr>
      </w:pPr>
      <w:r>
        <w:rPr>
          <w:rFonts w:hint="eastAsia" w:eastAsia="仿宋"/>
          <w:sz w:val="28"/>
        </w:rPr>
        <w:t>《无障碍设计规范》（GB50763-2012）；</w:t>
      </w:r>
    </w:p>
    <w:p>
      <w:pPr>
        <w:pStyle w:val="22"/>
        <w:numPr>
          <w:ilvl w:val="0"/>
          <w:numId w:val="4"/>
        </w:numPr>
        <w:ind w:firstLine="560"/>
        <w:rPr>
          <w:rFonts w:eastAsia="仿宋"/>
          <w:sz w:val="28"/>
        </w:rPr>
      </w:pPr>
      <w:r>
        <w:rPr>
          <w:rFonts w:hint="eastAsia" w:eastAsia="仿宋"/>
          <w:sz w:val="28"/>
        </w:rPr>
        <w:t>《城市公园规划及设计规范》（DBJ440100/T23-2009）；</w:t>
      </w:r>
    </w:p>
    <w:p>
      <w:pPr>
        <w:pStyle w:val="22"/>
        <w:numPr>
          <w:ilvl w:val="0"/>
          <w:numId w:val="4"/>
        </w:numPr>
        <w:ind w:firstLine="560"/>
        <w:rPr>
          <w:rFonts w:eastAsia="仿宋"/>
          <w:sz w:val="28"/>
        </w:rPr>
      </w:pPr>
      <w:r>
        <w:rPr>
          <w:rFonts w:hint="eastAsia" w:eastAsia="仿宋"/>
          <w:sz w:val="28"/>
        </w:rPr>
        <w:t>《广东省城市绿化条例》(1999年)；</w:t>
      </w:r>
    </w:p>
    <w:p>
      <w:pPr>
        <w:pStyle w:val="22"/>
        <w:numPr>
          <w:ilvl w:val="0"/>
          <w:numId w:val="4"/>
        </w:numPr>
        <w:ind w:firstLine="560"/>
        <w:rPr>
          <w:rFonts w:eastAsia="仿宋"/>
          <w:sz w:val="28"/>
        </w:rPr>
      </w:pPr>
      <w:r>
        <w:rPr>
          <w:rFonts w:hint="eastAsia" w:eastAsia="仿宋"/>
          <w:sz w:val="28"/>
        </w:rPr>
        <w:t>《广州城市绿化管理条例》(1996年)；</w:t>
      </w:r>
    </w:p>
    <w:p>
      <w:pPr>
        <w:pStyle w:val="22"/>
        <w:numPr>
          <w:ilvl w:val="0"/>
          <w:numId w:val="4"/>
        </w:numPr>
        <w:ind w:firstLine="560"/>
        <w:rPr>
          <w:rFonts w:eastAsia="仿宋"/>
          <w:sz w:val="28"/>
        </w:rPr>
      </w:pPr>
      <w:r>
        <w:rPr>
          <w:rFonts w:hint="eastAsia" w:eastAsia="仿宋"/>
          <w:sz w:val="28"/>
        </w:rPr>
        <w:t>《广州市公园管理条例》（1997年）；</w:t>
      </w:r>
    </w:p>
    <w:p>
      <w:pPr>
        <w:pStyle w:val="22"/>
        <w:numPr>
          <w:ilvl w:val="0"/>
          <w:numId w:val="4"/>
        </w:numPr>
        <w:ind w:firstLine="560"/>
        <w:rPr>
          <w:rFonts w:eastAsia="仿宋"/>
          <w:sz w:val="28"/>
        </w:rPr>
      </w:pPr>
      <w:r>
        <w:rPr>
          <w:rFonts w:hint="eastAsia" w:eastAsia="仿宋"/>
          <w:sz w:val="28"/>
        </w:rPr>
        <w:t>《广州市海绵城市建设指标体系的通知》（穗水[2017]16号）</w:t>
      </w:r>
    </w:p>
    <w:p>
      <w:pPr>
        <w:numPr>
          <w:ilvl w:val="0"/>
          <w:numId w:val="4"/>
        </w:numPr>
        <w:spacing w:line="360" w:lineRule="auto"/>
        <w:ind w:firstLine="560" w:firstLineChars="200"/>
      </w:pPr>
      <w:r>
        <w:rPr>
          <w:rFonts w:hint="eastAsia"/>
        </w:rPr>
        <w:t>《城市古树名木保护管理办法》（2000）；</w:t>
      </w:r>
    </w:p>
    <w:p>
      <w:pPr>
        <w:numPr>
          <w:ilvl w:val="0"/>
          <w:numId w:val="4"/>
        </w:numPr>
        <w:spacing w:line="360" w:lineRule="auto"/>
        <w:ind w:firstLine="560" w:firstLineChars="200"/>
        <w:rPr>
          <w:rFonts w:ascii="仿宋" w:hAnsi="仿宋"/>
          <w:szCs w:val="28"/>
        </w:rPr>
      </w:pPr>
      <w:r>
        <w:rPr>
          <w:rFonts w:hint="eastAsia" w:ascii="仿宋" w:hAnsi="仿宋"/>
          <w:szCs w:val="28"/>
        </w:rPr>
        <w:t>《广州市城市家具建设操作手册》；</w:t>
      </w:r>
    </w:p>
    <w:p>
      <w:pPr>
        <w:numPr>
          <w:ilvl w:val="0"/>
          <w:numId w:val="4"/>
        </w:numPr>
        <w:spacing w:line="360" w:lineRule="auto"/>
        <w:ind w:firstLine="560" w:firstLineChars="200"/>
        <w:rPr>
          <w:rFonts w:ascii="仿宋" w:hAnsi="仿宋"/>
          <w:szCs w:val="28"/>
        </w:rPr>
      </w:pPr>
      <w:r>
        <w:rPr>
          <w:rFonts w:hint="eastAsia" w:ascii="仿宋" w:hAnsi="仿宋"/>
          <w:szCs w:val="28"/>
        </w:rPr>
        <w:t>《广州市既有建筑外立面空调机罩整治指引》；</w:t>
      </w:r>
    </w:p>
    <w:p>
      <w:pPr>
        <w:numPr>
          <w:ilvl w:val="0"/>
          <w:numId w:val="4"/>
        </w:numPr>
        <w:spacing w:line="360" w:lineRule="auto"/>
        <w:ind w:firstLine="560" w:firstLineChars="200"/>
        <w:rPr>
          <w:rFonts w:ascii="仿宋" w:hAnsi="仿宋"/>
          <w:szCs w:val="28"/>
        </w:rPr>
      </w:pPr>
      <w:r>
        <w:rPr>
          <w:rFonts w:hint="eastAsia" w:ascii="仿宋" w:hAnsi="仿宋"/>
          <w:szCs w:val="28"/>
        </w:rPr>
        <w:t>其他国家、省、市有关园林绿化的政策、法规及规定等；</w:t>
      </w:r>
    </w:p>
    <w:p>
      <w:pPr>
        <w:numPr>
          <w:ilvl w:val="0"/>
          <w:numId w:val="4"/>
        </w:numPr>
        <w:spacing w:line="360" w:lineRule="auto"/>
        <w:ind w:firstLine="560" w:firstLineChars="200"/>
        <w:rPr>
          <w:rFonts w:ascii="仿宋" w:hAnsi="仿宋"/>
          <w:szCs w:val="28"/>
        </w:rPr>
      </w:pPr>
      <w:r>
        <w:rPr>
          <w:rFonts w:hint="eastAsia" w:ascii="仿宋" w:hAnsi="仿宋"/>
          <w:szCs w:val="28"/>
        </w:rPr>
        <w:t>建设单位提交的基础资料等；</w:t>
      </w:r>
    </w:p>
    <w:p>
      <w:pPr>
        <w:numPr>
          <w:ilvl w:val="0"/>
          <w:numId w:val="4"/>
        </w:numPr>
        <w:spacing w:line="360" w:lineRule="auto"/>
        <w:ind w:firstLine="560" w:firstLineChars="200"/>
        <w:rPr>
          <w:rFonts w:ascii="宋体" w:hAnsi="宋体"/>
        </w:rPr>
      </w:pPr>
      <w:r>
        <w:rPr>
          <w:rFonts w:hint="eastAsia" w:ascii="仿宋" w:hAnsi="仿宋"/>
          <w:szCs w:val="28"/>
        </w:rPr>
        <w:t>本设计任务书。</w:t>
      </w:r>
    </w:p>
    <w:p>
      <w:pPr>
        <w:spacing w:line="360" w:lineRule="auto"/>
        <w:ind w:firstLine="560" w:firstLineChars="200"/>
        <w:rPr>
          <w:rFonts w:ascii="宋体" w:hAnsi="宋体"/>
        </w:rPr>
      </w:pPr>
    </w:p>
    <w:p>
      <w:pPr>
        <w:spacing w:line="360" w:lineRule="auto"/>
        <w:ind w:firstLine="560" w:firstLineChars="200"/>
        <w:rPr>
          <w:rFonts w:ascii="宋体" w:hAnsi="宋体"/>
          <w:b/>
        </w:rPr>
      </w:pPr>
      <w:r>
        <w:rPr>
          <w:rFonts w:hint="eastAsia" w:ascii="宋体" w:hAnsi="宋体"/>
        </w:rPr>
        <w:t>三</w:t>
      </w:r>
      <w:r>
        <w:rPr>
          <w:rFonts w:ascii="宋体" w:hAnsi="宋体"/>
          <w:b/>
        </w:rPr>
        <w:t>、</w:t>
      </w:r>
      <w:r>
        <w:rPr>
          <w:rFonts w:hint="eastAsia" w:ascii="宋体" w:hAnsi="宋体"/>
          <w:b/>
        </w:rPr>
        <w:t>设计范围</w:t>
      </w:r>
    </w:p>
    <w:p>
      <w:pPr>
        <w:spacing w:line="360" w:lineRule="auto"/>
        <w:ind w:firstLine="560" w:firstLineChars="200"/>
        <w:rPr>
          <w:rFonts w:hint="eastAsia" w:ascii="宋体" w:hAnsi="宋体"/>
          <w:lang w:val="en-US" w:eastAsia="zh-CN"/>
        </w:rPr>
      </w:pPr>
      <w:r>
        <w:rPr>
          <w:rFonts w:hint="eastAsia"/>
        </w:rPr>
        <w:t>本次工作范围：包括</w:t>
      </w:r>
      <w:r>
        <w:rPr>
          <w:rFonts w:hint="eastAsia"/>
          <w:lang w:val="en-US" w:eastAsia="zh-CN"/>
        </w:rPr>
        <w:t>两</w:t>
      </w:r>
      <w:r>
        <w:rPr>
          <w:rFonts w:hint="eastAsia"/>
        </w:rPr>
        <w:t>个片区</w:t>
      </w:r>
      <w:r>
        <w:rPr>
          <w:rFonts w:hint="eastAsia"/>
          <w:lang w:eastAsia="zh-CN"/>
        </w:rPr>
        <w:t>（铁通社区、站西社区）</w:t>
      </w:r>
      <w:r>
        <w:rPr>
          <w:rFonts w:hint="eastAsia"/>
        </w:rPr>
        <w:t>，改造范围</w:t>
      </w:r>
      <w:r>
        <w:rPr>
          <w:rFonts w:hint="eastAsia"/>
          <w:lang w:val="en-US" w:eastAsia="zh-CN"/>
        </w:rPr>
        <w:t>约</w:t>
      </w:r>
      <w:r>
        <w:rPr>
          <w:rFonts w:hint="eastAsia"/>
        </w:rPr>
        <w:t>总面积4.73公顷（详见附图1）。</w:t>
      </w:r>
      <w:r>
        <w:rPr>
          <w:rFonts w:hint="eastAsia"/>
          <w:lang w:val="en-US" w:eastAsia="zh-CN"/>
        </w:rPr>
        <w:t>具体地点为：</w:t>
      </w:r>
      <w:r>
        <w:rPr>
          <w:rFonts w:hint="eastAsia"/>
        </w:rPr>
        <w:t>铁通社区（客技站小区）</w:t>
      </w:r>
      <w:r>
        <w:rPr>
          <w:rFonts w:hint="eastAsia"/>
          <w:lang w:eastAsia="zh-CN"/>
        </w:rPr>
        <w:t>；</w:t>
      </w:r>
      <w:r>
        <w:rPr>
          <w:rFonts w:hint="eastAsia"/>
        </w:rPr>
        <w:t>铁通社区（公安宿舍）</w:t>
      </w:r>
      <w:r>
        <w:rPr>
          <w:rFonts w:hint="eastAsia"/>
          <w:lang w:eastAsia="zh-CN"/>
        </w:rPr>
        <w:t>；</w:t>
      </w:r>
      <w:r>
        <w:rPr>
          <w:rFonts w:hint="eastAsia"/>
        </w:rPr>
        <w:t>广铁一住宅（广园西路 107）</w:t>
      </w:r>
      <w:r>
        <w:rPr>
          <w:rFonts w:hint="eastAsia"/>
          <w:lang w:eastAsia="zh-CN"/>
        </w:rPr>
        <w:t>；</w:t>
      </w:r>
      <w:r>
        <w:rPr>
          <w:rFonts w:hint="eastAsia"/>
        </w:rPr>
        <w:t>站西北街 20-28 号32、34、36、38、40、42、44 号</w:t>
      </w:r>
      <w:r>
        <w:rPr>
          <w:rFonts w:hint="eastAsia"/>
          <w:lang w:eastAsia="zh-CN"/>
        </w:rPr>
        <w:t>；</w:t>
      </w:r>
      <w:r>
        <w:rPr>
          <w:rFonts w:hint="eastAsia"/>
        </w:rPr>
        <w:t>站西路 67、69、85、87、89、91、93 号；广园西路铁路小区 32、34、36、38、40、42、44、46 号；广园西路 58 号路灯所宿舍；百兴街 39 号周边等。</w:t>
      </w:r>
      <w:r>
        <w:rPr>
          <w:rFonts w:hint="eastAsia" w:ascii="宋体" w:hAnsi="宋体"/>
        </w:rPr>
        <w:t>完成本项目的勘察设计工作（包括但不限于工程测量、工程物探（含管线探测）、地形实测（含1:500现状地形图实测）、岩土勘察、立面测量、</w:t>
      </w:r>
      <w:r>
        <w:rPr>
          <w:rFonts w:hint="eastAsia" w:ascii="宋体" w:hAnsi="宋体"/>
          <w:lang w:val="en-US" w:eastAsia="zh-CN"/>
        </w:rPr>
        <w:t>实施方案编制、</w:t>
      </w:r>
      <w:r>
        <w:rPr>
          <w:rFonts w:hint="eastAsia" w:ascii="宋体" w:hAnsi="宋体"/>
        </w:rPr>
        <w:t>方案及初步设计深化、投资估算、投资概算、施工图设计、施工图预算、造价变更、竣工图编制等后续所有勘察设计和现场驻场服务工作）；设计内容包括1.房屋建筑本体改造：主要包含楼梯和公共空间更新改造、适老化设施、消防设施、照明设施改造等。2.社区公共部分改造：主要包含小区出入口整治；人行安全设施改造、新增无障碍设施、垃圾分类与环卫设施、“三线”整治、小区公共空间改造（包括地面铺装、城市家具、儿童娱乐设施等）等设计工作</w:t>
      </w:r>
      <w:r>
        <w:rPr>
          <w:rFonts w:hint="eastAsia" w:ascii="宋体" w:hAnsi="宋体"/>
          <w:lang w:val="en-US" w:eastAsia="zh-CN"/>
        </w:rPr>
        <w:t>。</w:t>
      </w:r>
      <w:r>
        <w:rPr>
          <w:rFonts w:hint="eastAsia" w:ascii="宋体" w:hAnsi="宋体"/>
        </w:rPr>
        <w:t>具体内容以</w:t>
      </w:r>
      <w:r>
        <w:rPr>
          <w:rFonts w:hint="eastAsia" w:ascii="宋体" w:hAnsi="宋体"/>
          <w:lang w:val="en-US" w:eastAsia="zh-CN"/>
        </w:rPr>
        <w:t>相关批复文件</w:t>
      </w:r>
      <w:r>
        <w:rPr>
          <w:rFonts w:hint="eastAsia" w:ascii="宋体" w:hAnsi="宋体"/>
        </w:rPr>
        <w:t>及有关资料</w:t>
      </w:r>
      <w:r>
        <w:rPr>
          <w:rFonts w:hint="eastAsia" w:ascii="宋体" w:hAnsi="宋体"/>
          <w:lang w:val="en-US" w:eastAsia="zh-CN"/>
        </w:rPr>
        <w:t>要求</w:t>
      </w:r>
      <w:r>
        <w:rPr>
          <w:rFonts w:hint="eastAsia" w:ascii="宋体" w:hAnsi="宋体"/>
        </w:rPr>
        <w:t>为准。</w:t>
      </w:r>
    </w:p>
    <w:p>
      <w:pPr>
        <w:spacing w:line="360" w:lineRule="auto"/>
        <w:rPr>
          <w:rFonts w:hint="eastAsia" w:eastAsia="仿宋"/>
          <w:lang w:eastAsia="zh-CN"/>
        </w:rPr>
      </w:pPr>
      <w:bookmarkStart w:id="0" w:name="_GoBack"/>
      <w:bookmarkEnd w:id="0"/>
      <w:r>
        <w:rPr>
          <w:rFonts w:hint="eastAsia"/>
          <w:lang w:val="en-US" w:eastAsia="zh-CN"/>
        </w:rPr>
        <w:t xml:space="preserve">   </w:t>
      </w:r>
      <w:r>
        <w:rPr>
          <w:rFonts w:hint="eastAsia" w:eastAsia="仿宋"/>
          <w:lang w:eastAsia="zh-CN"/>
        </w:rPr>
        <w:drawing>
          <wp:inline distT="0" distB="0" distL="114300" distR="114300">
            <wp:extent cx="4754245" cy="5681345"/>
            <wp:effectExtent l="0" t="0" r="8255" b="14605"/>
            <wp:docPr id="1" name="图片 1" descr="05ebb798dccabeb5f19f45adbf6b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ebb798dccabeb5f19f45adbf6bc40"/>
                    <pic:cNvPicPr>
                      <a:picLocks noChangeAspect="1"/>
                    </pic:cNvPicPr>
                  </pic:nvPicPr>
                  <pic:blipFill>
                    <a:blip r:embed="rId4"/>
                    <a:stretch>
                      <a:fillRect/>
                    </a:stretch>
                  </pic:blipFill>
                  <pic:spPr>
                    <a:xfrm>
                      <a:off x="0" y="0"/>
                      <a:ext cx="4754245" cy="5681345"/>
                    </a:xfrm>
                    <a:prstGeom prst="rect">
                      <a:avLst/>
                    </a:prstGeom>
                  </pic:spPr>
                </pic:pic>
              </a:graphicData>
            </a:graphic>
          </wp:inline>
        </w:drawing>
      </w:r>
    </w:p>
    <w:p>
      <w:pPr>
        <w:spacing w:line="360" w:lineRule="auto"/>
        <w:ind w:left="480" w:firstLine="480" w:firstLineChars="200"/>
        <w:jc w:val="center"/>
        <w:rPr>
          <w:rFonts w:hint="eastAsia"/>
        </w:rPr>
      </w:pPr>
      <w:r>
        <w:rPr>
          <w:rFonts w:hint="eastAsia"/>
          <w:sz w:val="24"/>
        </w:rPr>
        <w:t>图</w:t>
      </w:r>
      <w:r>
        <w:rPr>
          <w:sz w:val="24"/>
        </w:rPr>
        <w:t>1</w:t>
      </w:r>
      <w:r>
        <w:rPr>
          <w:rFonts w:hint="eastAsia"/>
          <w:sz w:val="24"/>
        </w:rPr>
        <w:t>设计范围</w:t>
      </w:r>
    </w:p>
    <w:p>
      <w:pPr>
        <w:spacing w:line="360" w:lineRule="auto"/>
        <w:ind w:firstLine="562" w:firstLineChars="200"/>
        <w:rPr>
          <w:rFonts w:ascii="宋体" w:hAnsi="宋体"/>
          <w:b/>
        </w:rPr>
      </w:pPr>
      <w:r>
        <w:rPr>
          <w:rFonts w:hint="eastAsia" w:ascii="宋体" w:hAnsi="宋体"/>
          <w:b/>
        </w:rPr>
        <w:t>四、工作原则</w:t>
      </w:r>
    </w:p>
    <w:p>
      <w:pPr>
        <w:spacing w:line="360" w:lineRule="auto"/>
        <w:ind w:firstLine="560" w:firstLineChars="200"/>
        <w:rPr>
          <w:rFonts w:ascii="宋体" w:hAnsi="宋体"/>
        </w:rPr>
      </w:pPr>
      <w:r>
        <w:rPr>
          <w:rFonts w:ascii="宋体" w:hAnsi="宋体"/>
        </w:rPr>
        <w:t>坚持以人为本，遵循创新、协调、绿色、开放、共享发展理念，系统推进老旧小区微改造，开展城市修补，完善小区功能，改善人居环境，营造干净整洁平安有序的城市环境，提升适宜居住、适宜创新创业的城市品质，让更多老旧小区居民共享改革发展成果，将老旧小区打造为“温暖、宜居”的居所。</w:t>
      </w:r>
    </w:p>
    <w:p>
      <w:pPr>
        <w:spacing w:line="360" w:lineRule="auto"/>
        <w:ind w:firstLine="560" w:firstLineChars="200"/>
        <w:rPr>
          <w:rFonts w:ascii="宋体" w:hAnsi="宋体"/>
        </w:rPr>
      </w:pPr>
      <w:r>
        <w:rPr>
          <w:rFonts w:ascii="宋体" w:hAnsi="宋体"/>
        </w:rPr>
        <w:t>以低碳绿色环保、地方特色、公众参与、保护城市历史文脉、可持续发展理念为指导，老旧小区微改造实施方案编制应注重增进公众利益和人民福祉，提升基础设施与公共服务设施建设，改善社区人居环境，加快推进老旧小区更新步伐。</w:t>
      </w:r>
    </w:p>
    <w:p>
      <w:pPr>
        <w:spacing w:line="360" w:lineRule="auto"/>
        <w:ind w:firstLine="560" w:firstLineChars="200"/>
        <w:rPr>
          <w:rFonts w:ascii="宋体" w:hAnsi="宋体"/>
        </w:rPr>
      </w:pPr>
      <w:r>
        <w:rPr>
          <w:rFonts w:hint="eastAsia" w:ascii="宋体" w:hAnsi="宋体"/>
        </w:rPr>
        <w:t>1.</w:t>
      </w:r>
      <w:r>
        <w:rPr>
          <w:rFonts w:ascii="宋体" w:hAnsi="宋体"/>
        </w:rPr>
        <w:t>政府主导，社会参与。坚持政府在老旧小区微改造中的主导作用，强化统筹协调力度，加大财政资金投入；搭建社区居民议事平台，发动小区居民积极参与；建立多方共同参与机制，合力推进更新改造。</w:t>
      </w:r>
    </w:p>
    <w:p>
      <w:pPr>
        <w:spacing w:line="360" w:lineRule="auto"/>
        <w:ind w:firstLine="560" w:firstLineChars="200"/>
        <w:rPr>
          <w:rFonts w:ascii="宋体" w:hAnsi="宋体"/>
        </w:rPr>
      </w:pPr>
      <w:r>
        <w:rPr>
          <w:rFonts w:hint="eastAsia" w:ascii="宋体" w:hAnsi="宋体"/>
        </w:rPr>
        <w:t>2.</w:t>
      </w:r>
      <w:r>
        <w:rPr>
          <w:rFonts w:ascii="宋体" w:hAnsi="宋体"/>
        </w:rPr>
        <w:t>因地制宜，分类实施。坚持立足实际，统筹兼顾，结合老旧小区建筑年代、街区肌理、居民意愿、文化、特色产业等因素，采取完善基础、置换功能、产城融合等改造方式，分门别类，突出重点，先易后难，有序推进。</w:t>
      </w:r>
    </w:p>
    <w:p>
      <w:pPr>
        <w:spacing w:line="360" w:lineRule="auto"/>
        <w:ind w:firstLine="560" w:firstLineChars="200"/>
        <w:rPr>
          <w:rFonts w:ascii="宋体" w:hAnsi="宋体"/>
        </w:rPr>
      </w:pPr>
      <w:r>
        <w:rPr>
          <w:rFonts w:hint="eastAsia" w:ascii="宋体" w:hAnsi="宋体"/>
        </w:rPr>
        <w:t>3.</w:t>
      </w:r>
      <w:r>
        <w:rPr>
          <w:rFonts w:ascii="宋体" w:hAnsi="宋体"/>
        </w:rPr>
        <w:t>连接联通，便民利民。坚持以点带面，串点成线，在提升公共空间的基础上，促进连接联通社区医疗、教育、交通、商业服务网点等重要节点；以居民生活便利为导向，构建社区15分钟便民利民生活圈；促进社区与山脉、水脉、文脉连接联通，打造宜居宜业宜游广州。</w:t>
      </w:r>
    </w:p>
    <w:p>
      <w:pPr>
        <w:spacing w:line="360" w:lineRule="auto"/>
        <w:ind w:firstLine="560" w:firstLineChars="200"/>
        <w:rPr>
          <w:rFonts w:ascii="宋体" w:hAnsi="宋体"/>
        </w:rPr>
      </w:pPr>
      <w:r>
        <w:rPr>
          <w:rFonts w:hint="eastAsia" w:ascii="宋体" w:hAnsi="宋体"/>
        </w:rPr>
        <w:t>4.</w:t>
      </w:r>
      <w:r>
        <w:rPr>
          <w:rFonts w:ascii="宋体" w:hAnsi="宋体"/>
        </w:rPr>
        <w:t>建管并重，标本兼治。坚持老旧小区微改造与建立老旧小区长效管养机制并重，引导老旧小区建立自治组织，加强社区自治、社会管理，实现老旧小区自治管理和设施设备长效管养，巩固微改造成果。</w:t>
      </w:r>
    </w:p>
    <w:p>
      <w:pPr>
        <w:spacing w:before="312" w:beforeLines="100" w:line="360" w:lineRule="auto"/>
        <w:rPr>
          <w:rFonts w:ascii="宋体" w:hAnsi="宋体"/>
          <w:b/>
        </w:rPr>
      </w:pPr>
      <w:r>
        <w:rPr>
          <w:rFonts w:hint="eastAsia" w:ascii="宋体" w:hAnsi="宋体"/>
          <w:b/>
        </w:rPr>
        <w:t>五、设计要求及技术任务</w:t>
      </w:r>
    </w:p>
    <w:p>
      <w:pPr>
        <w:spacing w:line="360" w:lineRule="auto"/>
        <w:ind w:firstLine="425" w:firstLineChars="152"/>
        <w:rPr>
          <w:rFonts w:ascii="宋体" w:hAnsi="宋体"/>
        </w:rPr>
      </w:pPr>
      <w:r>
        <w:rPr>
          <w:rFonts w:ascii="宋体" w:hAnsi="宋体"/>
        </w:rPr>
        <w:t>项目参考2021年4月27日</w:t>
      </w:r>
      <w:r>
        <w:rPr>
          <w:rFonts w:hint="eastAsia" w:ascii="宋体" w:hAnsi="宋体"/>
        </w:rPr>
        <w:t>发布的</w:t>
      </w:r>
      <w:r>
        <w:rPr>
          <w:rFonts w:ascii="宋体" w:hAnsi="宋体"/>
        </w:rPr>
        <w:t>《广州市住房和城乡建设局关于印发广州市老旧小区改造内容及标准指引的通知》</w:t>
      </w:r>
      <w:r>
        <w:rPr>
          <w:rFonts w:hint="eastAsia" w:ascii="宋体" w:hAnsi="宋体"/>
        </w:rPr>
        <w:t>里面的建设标准进行改造，具体如下表所示：</w:t>
      </w:r>
    </w:p>
    <w:p>
      <w:pPr>
        <w:widowControl/>
        <w:spacing w:line="360" w:lineRule="auto"/>
        <w:rPr>
          <w:rFonts w:eastAsia="黑体" w:cs="黑体"/>
          <w:szCs w:val="21"/>
        </w:rPr>
      </w:pPr>
      <w:r>
        <w:rPr>
          <w:rFonts w:hint="eastAsia" w:eastAsia="黑体" w:cs="黑体"/>
          <w:sz w:val="21"/>
          <w:szCs w:val="21"/>
        </w:rPr>
        <w:t>表</w:t>
      </w:r>
      <w:r>
        <w:rPr>
          <w:rFonts w:hint="eastAsia" w:eastAsia="黑体" w:cs="黑体"/>
          <w:szCs w:val="21"/>
        </w:rPr>
        <w:t>5-1《广州市老旧小区改造内容及标准》建设标准</w:t>
      </w:r>
    </w:p>
    <w:p>
      <w:pPr>
        <w:pStyle w:val="23"/>
        <w:ind w:firstLine="560"/>
      </w:pPr>
      <w:r>
        <w:drawing>
          <wp:inline distT="0" distB="0" distL="114300" distR="114300">
            <wp:extent cx="5204460" cy="8065770"/>
            <wp:effectExtent l="0" t="0" r="15240" b="1143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
                    <a:stretch>
                      <a:fillRect/>
                    </a:stretch>
                  </pic:blipFill>
                  <pic:spPr>
                    <a:xfrm>
                      <a:off x="0" y="0"/>
                      <a:ext cx="5204460" cy="8065770"/>
                    </a:xfrm>
                    <a:prstGeom prst="rect">
                      <a:avLst/>
                    </a:prstGeom>
                    <a:noFill/>
                    <a:ln>
                      <a:noFill/>
                    </a:ln>
                  </pic:spPr>
                </pic:pic>
              </a:graphicData>
            </a:graphic>
          </wp:inline>
        </w:drawing>
      </w:r>
    </w:p>
    <w:p>
      <w:pPr>
        <w:pStyle w:val="23"/>
        <w:ind w:firstLine="0" w:firstLineChars="0"/>
      </w:pPr>
      <w:r>
        <w:drawing>
          <wp:inline distT="0" distB="0" distL="114300" distR="114300">
            <wp:extent cx="5695950" cy="7590155"/>
            <wp:effectExtent l="0" t="0" r="0" b="1079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
                    <a:stretch>
                      <a:fillRect/>
                    </a:stretch>
                  </pic:blipFill>
                  <pic:spPr>
                    <a:xfrm>
                      <a:off x="0" y="0"/>
                      <a:ext cx="5695950" cy="7590155"/>
                    </a:xfrm>
                    <a:prstGeom prst="rect">
                      <a:avLst/>
                    </a:prstGeom>
                    <a:noFill/>
                    <a:ln>
                      <a:noFill/>
                    </a:ln>
                  </pic:spPr>
                </pic:pic>
              </a:graphicData>
            </a:graphic>
          </wp:inline>
        </w:drawing>
      </w:r>
    </w:p>
    <w:p>
      <w:pPr>
        <w:pStyle w:val="23"/>
        <w:ind w:firstLine="0" w:firstLineChars="0"/>
      </w:pPr>
      <w:r>
        <w:drawing>
          <wp:inline distT="0" distB="0" distL="114300" distR="114300">
            <wp:extent cx="5269865" cy="8526780"/>
            <wp:effectExtent l="0" t="0" r="6985"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7"/>
                    <a:stretch>
                      <a:fillRect/>
                    </a:stretch>
                  </pic:blipFill>
                  <pic:spPr>
                    <a:xfrm>
                      <a:off x="0" y="0"/>
                      <a:ext cx="5269865" cy="8526780"/>
                    </a:xfrm>
                    <a:prstGeom prst="rect">
                      <a:avLst/>
                    </a:prstGeom>
                    <a:noFill/>
                    <a:ln>
                      <a:noFill/>
                    </a:ln>
                  </pic:spPr>
                </pic:pic>
              </a:graphicData>
            </a:graphic>
          </wp:inline>
        </w:drawing>
      </w:r>
    </w:p>
    <w:p>
      <w:pPr>
        <w:pStyle w:val="23"/>
        <w:ind w:firstLine="0" w:firstLineChars="0"/>
      </w:pPr>
      <w:r>
        <w:drawing>
          <wp:inline distT="0" distB="0" distL="114300" distR="114300">
            <wp:extent cx="5273675" cy="8651875"/>
            <wp:effectExtent l="0" t="0" r="3175"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8"/>
                    <a:stretch>
                      <a:fillRect/>
                    </a:stretch>
                  </pic:blipFill>
                  <pic:spPr>
                    <a:xfrm>
                      <a:off x="0" y="0"/>
                      <a:ext cx="5273675" cy="8651875"/>
                    </a:xfrm>
                    <a:prstGeom prst="rect">
                      <a:avLst/>
                    </a:prstGeom>
                    <a:noFill/>
                    <a:ln>
                      <a:noFill/>
                    </a:ln>
                  </pic:spPr>
                </pic:pic>
              </a:graphicData>
            </a:graphic>
          </wp:inline>
        </w:drawing>
      </w:r>
    </w:p>
    <w:p>
      <w:pPr>
        <w:pStyle w:val="23"/>
        <w:ind w:firstLine="0" w:firstLineChars="0"/>
      </w:pPr>
      <w:r>
        <w:drawing>
          <wp:inline distT="0" distB="0" distL="114300" distR="114300">
            <wp:extent cx="5269865" cy="8697595"/>
            <wp:effectExtent l="0" t="0" r="6985" b="825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9"/>
                    <a:stretch>
                      <a:fillRect/>
                    </a:stretch>
                  </pic:blipFill>
                  <pic:spPr>
                    <a:xfrm>
                      <a:off x="0" y="0"/>
                      <a:ext cx="5269865" cy="8697595"/>
                    </a:xfrm>
                    <a:prstGeom prst="rect">
                      <a:avLst/>
                    </a:prstGeom>
                    <a:noFill/>
                    <a:ln>
                      <a:noFill/>
                    </a:ln>
                  </pic:spPr>
                </pic:pic>
              </a:graphicData>
            </a:graphic>
          </wp:inline>
        </w:drawing>
      </w:r>
    </w:p>
    <w:p>
      <w:pPr>
        <w:pStyle w:val="23"/>
        <w:ind w:firstLine="0" w:firstLineChars="0"/>
      </w:pPr>
      <w:r>
        <w:drawing>
          <wp:inline distT="0" distB="0" distL="114300" distR="114300">
            <wp:extent cx="5273040" cy="8663305"/>
            <wp:effectExtent l="0" t="0" r="3810" b="444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0"/>
                    <a:stretch>
                      <a:fillRect/>
                    </a:stretch>
                  </pic:blipFill>
                  <pic:spPr>
                    <a:xfrm>
                      <a:off x="0" y="0"/>
                      <a:ext cx="5273040" cy="8663305"/>
                    </a:xfrm>
                    <a:prstGeom prst="rect">
                      <a:avLst/>
                    </a:prstGeom>
                    <a:noFill/>
                    <a:ln>
                      <a:noFill/>
                    </a:ln>
                  </pic:spPr>
                </pic:pic>
              </a:graphicData>
            </a:graphic>
          </wp:inline>
        </w:drawing>
      </w:r>
    </w:p>
    <w:p>
      <w:pPr>
        <w:pStyle w:val="23"/>
        <w:ind w:firstLine="0" w:firstLineChars="0"/>
      </w:pPr>
      <w:r>
        <w:drawing>
          <wp:inline distT="0" distB="0" distL="114300" distR="114300">
            <wp:extent cx="5273675" cy="8605520"/>
            <wp:effectExtent l="0" t="0" r="3175" b="508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1"/>
                    <a:stretch>
                      <a:fillRect/>
                    </a:stretch>
                  </pic:blipFill>
                  <pic:spPr>
                    <a:xfrm>
                      <a:off x="0" y="0"/>
                      <a:ext cx="5273675" cy="8605520"/>
                    </a:xfrm>
                    <a:prstGeom prst="rect">
                      <a:avLst/>
                    </a:prstGeom>
                    <a:noFill/>
                    <a:ln>
                      <a:noFill/>
                    </a:ln>
                  </pic:spPr>
                </pic:pic>
              </a:graphicData>
            </a:graphic>
          </wp:inline>
        </w:drawing>
      </w:r>
    </w:p>
    <w:p>
      <w:pPr>
        <w:pStyle w:val="23"/>
        <w:ind w:firstLine="0" w:firstLineChars="0"/>
      </w:pPr>
      <w:r>
        <w:drawing>
          <wp:inline distT="0" distB="0" distL="114300" distR="114300">
            <wp:extent cx="5273675" cy="8599170"/>
            <wp:effectExtent l="0" t="0" r="3175" b="1143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2"/>
                    <a:stretch>
                      <a:fillRect/>
                    </a:stretch>
                  </pic:blipFill>
                  <pic:spPr>
                    <a:xfrm>
                      <a:off x="0" y="0"/>
                      <a:ext cx="5273675" cy="8599170"/>
                    </a:xfrm>
                    <a:prstGeom prst="rect">
                      <a:avLst/>
                    </a:prstGeom>
                    <a:noFill/>
                    <a:ln>
                      <a:noFill/>
                    </a:ln>
                  </pic:spPr>
                </pic:pic>
              </a:graphicData>
            </a:graphic>
          </wp:inline>
        </w:drawing>
      </w:r>
    </w:p>
    <w:p>
      <w:pPr>
        <w:pStyle w:val="23"/>
        <w:ind w:firstLine="0" w:firstLineChars="0"/>
      </w:pPr>
      <w:r>
        <w:drawing>
          <wp:inline distT="0" distB="0" distL="114300" distR="114300">
            <wp:extent cx="5269865" cy="8545195"/>
            <wp:effectExtent l="0" t="0" r="6985" b="825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3"/>
                    <a:stretch>
                      <a:fillRect/>
                    </a:stretch>
                  </pic:blipFill>
                  <pic:spPr>
                    <a:xfrm>
                      <a:off x="0" y="0"/>
                      <a:ext cx="5269865" cy="8545195"/>
                    </a:xfrm>
                    <a:prstGeom prst="rect">
                      <a:avLst/>
                    </a:prstGeom>
                    <a:noFill/>
                    <a:ln>
                      <a:noFill/>
                    </a:ln>
                  </pic:spPr>
                </pic:pic>
              </a:graphicData>
            </a:graphic>
          </wp:inline>
        </w:drawing>
      </w:r>
    </w:p>
    <w:p>
      <w:pPr>
        <w:pStyle w:val="23"/>
        <w:ind w:firstLine="0" w:firstLineChars="0"/>
      </w:pPr>
      <w:r>
        <w:drawing>
          <wp:inline distT="0" distB="0" distL="114300" distR="114300">
            <wp:extent cx="5269865" cy="8519160"/>
            <wp:effectExtent l="0" t="0" r="6985" b="1524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4"/>
                    <a:stretch>
                      <a:fillRect/>
                    </a:stretch>
                  </pic:blipFill>
                  <pic:spPr>
                    <a:xfrm>
                      <a:off x="0" y="0"/>
                      <a:ext cx="5269865" cy="8519160"/>
                    </a:xfrm>
                    <a:prstGeom prst="rect">
                      <a:avLst/>
                    </a:prstGeom>
                    <a:noFill/>
                    <a:ln>
                      <a:noFill/>
                    </a:ln>
                  </pic:spPr>
                </pic:pic>
              </a:graphicData>
            </a:graphic>
          </wp:inline>
        </w:drawing>
      </w:r>
    </w:p>
    <w:p>
      <w:pPr>
        <w:pStyle w:val="23"/>
        <w:ind w:firstLine="0" w:firstLineChars="0"/>
      </w:pPr>
      <w:r>
        <w:drawing>
          <wp:inline distT="0" distB="0" distL="114300" distR="114300">
            <wp:extent cx="5271770" cy="5960110"/>
            <wp:effectExtent l="0" t="0" r="5080" b="254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5"/>
                    <a:stretch>
                      <a:fillRect/>
                    </a:stretch>
                  </pic:blipFill>
                  <pic:spPr>
                    <a:xfrm>
                      <a:off x="0" y="0"/>
                      <a:ext cx="5271770" cy="5960110"/>
                    </a:xfrm>
                    <a:prstGeom prst="rect">
                      <a:avLst/>
                    </a:prstGeom>
                    <a:noFill/>
                    <a:ln>
                      <a:noFill/>
                    </a:ln>
                  </pic:spPr>
                </pic:pic>
              </a:graphicData>
            </a:graphic>
          </wp:inline>
        </w:drawing>
      </w:r>
    </w:p>
    <w:p>
      <w:pPr>
        <w:spacing w:line="360" w:lineRule="auto"/>
        <w:ind w:firstLine="560" w:firstLineChars="200"/>
      </w:pPr>
      <w:r>
        <w:rPr>
          <w:rFonts w:hint="eastAsia"/>
        </w:rPr>
        <w:t>六、设计工期要求</w:t>
      </w:r>
    </w:p>
    <w:p>
      <w:pPr>
        <w:spacing w:line="360" w:lineRule="auto"/>
        <w:ind w:firstLine="560" w:firstLineChars="200"/>
      </w:pPr>
      <w:r>
        <w:rPr>
          <w:rFonts w:hint="eastAsia"/>
        </w:rPr>
        <w:t>按合同节点要求。</w:t>
      </w:r>
    </w:p>
    <w:p>
      <w:pPr>
        <w:spacing w:line="360" w:lineRule="auto"/>
        <w:ind w:firstLine="562" w:firstLineChars="200"/>
        <w:rPr>
          <w:rFonts w:ascii="宋体" w:hAnsi="宋体"/>
          <w:b/>
        </w:rPr>
      </w:pPr>
      <w:r>
        <w:rPr>
          <w:rFonts w:hint="eastAsia" w:ascii="宋体" w:hAnsi="宋体"/>
          <w:b/>
        </w:rPr>
        <w:t>七</w:t>
      </w:r>
      <w:r>
        <w:rPr>
          <w:rFonts w:ascii="宋体" w:hAnsi="宋体"/>
          <w:b/>
        </w:rPr>
        <w:t>、</w:t>
      </w:r>
      <w:r>
        <w:rPr>
          <w:rFonts w:hint="eastAsia" w:ascii="宋体" w:hAnsi="宋体"/>
          <w:b/>
        </w:rPr>
        <w:t>设计成果及深度要求（包含但不限于）</w:t>
      </w:r>
    </w:p>
    <w:p>
      <w:pPr>
        <w:spacing w:line="360" w:lineRule="auto"/>
        <w:ind w:firstLine="562" w:firstLineChars="200"/>
        <w:rPr>
          <w:rFonts w:ascii="宋体" w:hAnsi="宋体"/>
          <w:b/>
        </w:rPr>
      </w:pPr>
      <w:r>
        <w:rPr>
          <w:rFonts w:hint="eastAsia" w:ascii="宋体" w:hAnsi="宋体"/>
          <w:b/>
        </w:rPr>
        <w:t>1）方案设计阶段</w:t>
      </w:r>
    </w:p>
    <w:p>
      <w:pPr>
        <w:spacing w:line="360" w:lineRule="auto"/>
        <w:ind w:firstLine="560" w:firstLineChars="200"/>
        <w:rPr>
          <w:rFonts w:ascii="宋体" w:hAnsi="宋体"/>
        </w:rPr>
      </w:pPr>
      <w:r>
        <w:rPr>
          <w:rFonts w:hint="eastAsia" w:ascii="宋体" w:hAnsi="宋体"/>
        </w:rPr>
        <w:t>1、现状分析图</w:t>
      </w:r>
    </w:p>
    <w:p>
      <w:pPr>
        <w:spacing w:line="360" w:lineRule="auto"/>
        <w:ind w:firstLine="560" w:firstLineChars="200"/>
        <w:rPr>
          <w:rFonts w:ascii="宋体" w:hAnsi="宋体"/>
        </w:rPr>
      </w:pPr>
      <w:r>
        <w:rPr>
          <w:rFonts w:hint="eastAsia" w:ascii="宋体" w:hAnsi="宋体"/>
        </w:rPr>
        <w:t>2、总体平面图</w:t>
      </w:r>
    </w:p>
    <w:p>
      <w:pPr>
        <w:spacing w:line="360" w:lineRule="auto"/>
        <w:ind w:firstLine="560" w:firstLineChars="200"/>
        <w:rPr>
          <w:rFonts w:ascii="宋体" w:hAnsi="宋体"/>
        </w:rPr>
      </w:pPr>
      <w:r>
        <w:rPr>
          <w:rFonts w:hint="eastAsia" w:ascii="宋体" w:hAnsi="宋体"/>
        </w:rPr>
        <w:t>3、交通组织图（表达节点、场地的关系）</w:t>
      </w:r>
    </w:p>
    <w:p>
      <w:pPr>
        <w:pStyle w:val="7"/>
        <w:ind w:left="560"/>
      </w:pPr>
      <w:r>
        <w:rPr>
          <w:rFonts w:hint="eastAsia" w:ascii="宋体" w:hAnsi="宋体"/>
        </w:rPr>
        <w:t>4、建筑楼内公共部分整饰效果图</w:t>
      </w:r>
    </w:p>
    <w:p>
      <w:pPr>
        <w:spacing w:line="360" w:lineRule="auto"/>
        <w:ind w:firstLine="560" w:firstLineChars="200"/>
        <w:rPr>
          <w:rFonts w:ascii="宋体" w:hAnsi="宋体"/>
        </w:rPr>
      </w:pPr>
      <w:r>
        <w:rPr>
          <w:rFonts w:hint="eastAsia" w:ascii="宋体" w:hAnsi="宋体"/>
        </w:rPr>
        <w:t>5、重要景观节点效果图</w:t>
      </w:r>
    </w:p>
    <w:p>
      <w:pPr>
        <w:spacing w:line="360" w:lineRule="auto"/>
        <w:ind w:firstLine="560" w:firstLineChars="200"/>
        <w:rPr>
          <w:rFonts w:ascii="宋体" w:hAnsi="宋体"/>
        </w:rPr>
      </w:pPr>
      <w:r>
        <w:rPr>
          <w:rFonts w:hint="eastAsia" w:ascii="宋体" w:hAnsi="宋体"/>
        </w:rPr>
        <w:t>6、铺装、装修、照明、运动器具、标识、公共与市政服务设施等设计意向图</w:t>
      </w:r>
      <w:r>
        <w:rPr>
          <w:rFonts w:ascii="宋体" w:hAnsi="宋体"/>
        </w:rPr>
        <w:t xml:space="preserve"> </w:t>
      </w:r>
    </w:p>
    <w:p>
      <w:pPr>
        <w:spacing w:line="360" w:lineRule="auto"/>
        <w:ind w:firstLine="560" w:firstLineChars="200"/>
        <w:rPr>
          <w:rFonts w:ascii="宋体" w:hAnsi="宋体"/>
        </w:rPr>
      </w:pPr>
      <w:r>
        <w:rPr>
          <w:rFonts w:ascii="宋体" w:hAnsi="宋体"/>
        </w:rPr>
        <w:t>7</w:t>
      </w:r>
      <w:r>
        <w:rPr>
          <w:rFonts w:hint="eastAsia" w:ascii="宋体" w:hAnsi="宋体"/>
        </w:rPr>
        <w:t>、设计说明书</w:t>
      </w:r>
    </w:p>
    <w:p>
      <w:pPr>
        <w:spacing w:line="360" w:lineRule="auto"/>
        <w:ind w:firstLine="562" w:firstLineChars="200"/>
        <w:rPr>
          <w:rFonts w:ascii="宋体" w:hAnsi="宋体"/>
          <w:b/>
        </w:rPr>
      </w:pPr>
      <w:r>
        <w:rPr>
          <w:rFonts w:hint="eastAsia" w:ascii="宋体" w:hAnsi="宋体"/>
          <w:b/>
        </w:rPr>
        <w:t>2）初步设计阶段</w:t>
      </w:r>
    </w:p>
    <w:p>
      <w:pPr>
        <w:spacing w:line="360" w:lineRule="auto"/>
        <w:ind w:firstLine="560" w:firstLineChars="200"/>
        <w:rPr>
          <w:rFonts w:ascii="宋体" w:hAnsi="宋体"/>
        </w:rPr>
      </w:pPr>
      <w:r>
        <w:rPr>
          <w:rFonts w:hint="eastAsia" w:ascii="宋体" w:hAnsi="宋体"/>
        </w:rPr>
        <w:t>1、方案深化平面图</w:t>
      </w:r>
    </w:p>
    <w:p>
      <w:pPr>
        <w:spacing w:line="360" w:lineRule="auto"/>
        <w:ind w:firstLine="560" w:firstLineChars="200"/>
        <w:rPr>
          <w:rFonts w:ascii="宋体" w:hAnsi="宋体"/>
        </w:rPr>
      </w:pPr>
      <w:r>
        <w:rPr>
          <w:rFonts w:hint="eastAsia" w:ascii="宋体" w:hAnsi="宋体"/>
        </w:rPr>
        <w:t>2、主要剖面图</w:t>
      </w:r>
    </w:p>
    <w:p>
      <w:pPr>
        <w:spacing w:line="360" w:lineRule="auto"/>
        <w:ind w:firstLine="560" w:firstLineChars="200"/>
        <w:rPr>
          <w:rFonts w:ascii="宋体" w:hAnsi="宋体"/>
        </w:rPr>
      </w:pPr>
      <w:r>
        <w:rPr>
          <w:rFonts w:hint="eastAsia" w:ascii="宋体" w:hAnsi="宋体"/>
        </w:rPr>
        <w:t>3、定位总图、尺寸总图、标高总图</w:t>
      </w:r>
    </w:p>
    <w:p>
      <w:pPr>
        <w:spacing w:line="360" w:lineRule="auto"/>
        <w:ind w:firstLine="560" w:firstLineChars="200"/>
        <w:rPr>
          <w:rFonts w:ascii="宋体" w:hAnsi="宋体"/>
        </w:rPr>
      </w:pPr>
      <w:r>
        <w:rPr>
          <w:rFonts w:hint="eastAsia" w:ascii="宋体" w:hAnsi="宋体"/>
        </w:rPr>
        <w:t>4、场地铺装平面总图</w:t>
      </w:r>
    </w:p>
    <w:p>
      <w:pPr>
        <w:spacing w:line="360" w:lineRule="auto"/>
        <w:ind w:firstLine="560" w:firstLineChars="200"/>
        <w:rPr>
          <w:rFonts w:ascii="宋体" w:hAnsi="宋体"/>
        </w:rPr>
      </w:pPr>
      <w:r>
        <w:rPr>
          <w:rFonts w:hint="eastAsia" w:ascii="宋体" w:hAnsi="宋体"/>
        </w:rPr>
        <w:t>5、道路工程图纸、给排水工程图纸、照明工程图纸、立面</w:t>
      </w:r>
      <w:r>
        <w:rPr>
          <w:rFonts w:ascii="宋体" w:hAnsi="宋体"/>
        </w:rPr>
        <w:t>工程图纸</w:t>
      </w:r>
      <w:r>
        <w:rPr>
          <w:rFonts w:hint="eastAsia" w:ascii="宋体" w:hAnsi="宋体"/>
        </w:rPr>
        <w:t>、</w:t>
      </w:r>
      <w:r>
        <w:rPr>
          <w:rFonts w:ascii="宋体" w:hAnsi="宋体"/>
        </w:rPr>
        <w:t>天面工程图纸</w:t>
      </w:r>
      <w:r>
        <w:rPr>
          <w:rFonts w:hint="eastAsia" w:ascii="宋体" w:hAnsi="宋体"/>
        </w:rPr>
        <w:t>、景观绿化工程图纸、建筑工程图纸、结构工程图纸</w:t>
      </w:r>
    </w:p>
    <w:p>
      <w:pPr>
        <w:spacing w:line="360" w:lineRule="auto"/>
        <w:ind w:firstLine="560" w:firstLineChars="200"/>
        <w:rPr>
          <w:rFonts w:ascii="宋体" w:hAnsi="宋体"/>
        </w:rPr>
      </w:pPr>
      <w:r>
        <w:rPr>
          <w:rFonts w:hint="eastAsia" w:ascii="宋体" w:hAnsi="宋体"/>
        </w:rPr>
        <w:t>6、主要材料及成品示意图</w:t>
      </w:r>
    </w:p>
    <w:p>
      <w:pPr>
        <w:spacing w:line="360" w:lineRule="auto"/>
        <w:ind w:firstLine="560" w:firstLineChars="200"/>
        <w:rPr>
          <w:rFonts w:ascii="宋体" w:hAnsi="宋体"/>
        </w:rPr>
      </w:pPr>
      <w:r>
        <w:rPr>
          <w:rFonts w:hint="eastAsia" w:ascii="宋体" w:hAnsi="宋体"/>
        </w:rPr>
        <w:t>7、绿化总图、绿化苗木表</w:t>
      </w:r>
    </w:p>
    <w:p>
      <w:pPr>
        <w:spacing w:line="360" w:lineRule="auto"/>
        <w:ind w:firstLine="560" w:firstLineChars="200"/>
        <w:rPr>
          <w:rFonts w:ascii="宋体" w:hAnsi="宋体"/>
        </w:rPr>
      </w:pPr>
      <w:r>
        <w:rPr>
          <w:rFonts w:hint="eastAsia" w:ascii="宋体" w:hAnsi="宋体"/>
        </w:rPr>
        <w:t>8、初步设计概算</w:t>
      </w:r>
    </w:p>
    <w:p>
      <w:pPr>
        <w:spacing w:line="360" w:lineRule="auto"/>
        <w:ind w:firstLine="560" w:firstLineChars="200"/>
        <w:rPr>
          <w:rFonts w:ascii="宋体" w:hAnsi="宋体"/>
        </w:rPr>
      </w:pPr>
      <w:r>
        <w:rPr>
          <w:rFonts w:hint="eastAsia" w:ascii="宋体" w:hAnsi="宋体"/>
        </w:rPr>
        <w:t>9、勘察设计成果文件（测量、物探等）</w:t>
      </w:r>
    </w:p>
    <w:p>
      <w:pPr>
        <w:spacing w:line="360" w:lineRule="auto"/>
        <w:ind w:firstLine="560" w:firstLineChars="200"/>
        <w:rPr>
          <w:rFonts w:ascii="宋体" w:hAnsi="宋体"/>
        </w:rPr>
      </w:pPr>
      <w:r>
        <w:rPr>
          <w:rFonts w:hint="eastAsia" w:ascii="宋体" w:hAnsi="宋体"/>
        </w:rPr>
        <w:t>1</w:t>
      </w:r>
      <w:r>
        <w:rPr>
          <w:rFonts w:ascii="宋体" w:hAnsi="宋体"/>
        </w:rPr>
        <w:t>0</w:t>
      </w:r>
      <w:r>
        <w:rPr>
          <w:rFonts w:hint="eastAsia" w:ascii="宋体" w:hAnsi="宋体"/>
        </w:rPr>
        <w:t>、建筑立面修缮改造方案；</w:t>
      </w:r>
    </w:p>
    <w:p>
      <w:pPr>
        <w:spacing w:line="360" w:lineRule="auto"/>
        <w:ind w:firstLine="562" w:firstLineChars="200"/>
        <w:rPr>
          <w:rFonts w:ascii="宋体" w:hAnsi="宋体"/>
          <w:b/>
        </w:rPr>
      </w:pPr>
      <w:r>
        <w:rPr>
          <w:rFonts w:hint="eastAsia" w:ascii="宋体" w:hAnsi="宋体"/>
          <w:b/>
        </w:rPr>
        <w:t>3）施工图设计阶段</w:t>
      </w:r>
    </w:p>
    <w:p>
      <w:pPr>
        <w:spacing w:line="360" w:lineRule="auto"/>
        <w:ind w:firstLine="560" w:firstLineChars="200"/>
        <w:rPr>
          <w:rFonts w:ascii="宋体" w:hAnsi="宋体"/>
        </w:rPr>
      </w:pPr>
      <w:r>
        <w:rPr>
          <w:rFonts w:hint="eastAsia" w:ascii="宋体" w:hAnsi="宋体"/>
        </w:rPr>
        <w:t>1、社区微改造工程总说明、绿化设计说明、小区内道路设计总说明、给排水设计说明、景观照明说明、</w:t>
      </w:r>
      <w:r>
        <w:rPr>
          <w:rFonts w:ascii="宋体" w:hAnsi="宋体"/>
        </w:rPr>
        <w:t>建筑立面</w:t>
      </w:r>
      <w:r>
        <w:rPr>
          <w:rFonts w:hint="eastAsia" w:ascii="宋体" w:hAnsi="宋体"/>
        </w:rPr>
        <w:t>修缮设计</w:t>
      </w:r>
      <w:r>
        <w:rPr>
          <w:rFonts w:ascii="宋体" w:hAnsi="宋体"/>
        </w:rPr>
        <w:t>说明</w:t>
      </w:r>
      <w:r>
        <w:rPr>
          <w:rFonts w:hint="eastAsia" w:ascii="宋体" w:hAnsi="宋体"/>
        </w:rPr>
        <w:t>、</w:t>
      </w:r>
      <w:r>
        <w:rPr>
          <w:rFonts w:ascii="宋体" w:hAnsi="宋体"/>
        </w:rPr>
        <w:t>建筑天面设计说明</w:t>
      </w:r>
      <w:r>
        <w:rPr>
          <w:rFonts w:hint="eastAsia" w:ascii="宋体" w:hAnsi="宋体"/>
        </w:rPr>
        <w:t>、电气设计说明</w:t>
      </w:r>
    </w:p>
    <w:p>
      <w:pPr>
        <w:spacing w:line="360" w:lineRule="auto"/>
        <w:ind w:firstLine="560" w:firstLineChars="200"/>
        <w:rPr>
          <w:rFonts w:ascii="宋体" w:hAnsi="宋体"/>
        </w:rPr>
      </w:pPr>
      <w:r>
        <w:rPr>
          <w:rFonts w:hint="eastAsia" w:ascii="宋体" w:hAnsi="宋体"/>
        </w:rPr>
        <w:t>2、总体平面图</w:t>
      </w:r>
    </w:p>
    <w:p>
      <w:pPr>
        <w:spacing w:line="360" w:lineRule="auto"/>
        <w:ind w:firstLine="560" w:firstLineChars="200"/>
        <w:rPr>
          <w:rFonts w:ascii="宋体" w:hAnsi="宋体"/>
        </w:rPr>
      </w:pPr>
      <w:r>
        <w:rPr>
          <w:rFonts w:hint="eastAsia" w:ascii="宋体" w:hAnsi="宋体"/>
        </w:rPr>
        <w:t>3、详图索引总图</w:t>
      </w:r>
    </w:p>
    <w:p>
      <w:pPr>
        <w:spacing w:line="360" w:lineRule="auto"/>
        <w:ind w:firstLine="560" w:firstLineChars="200"/>
        <w:rPr>
          <w:rFonts w:ascii="宋体" w:hAnsi="宋体"/>
        </w:rPr>
      </w:pPr>
      <w:r>
        <w:rPr>
          <w:rFonts w:hint="eastAsia" w:ascii="宋体" w:hAnsi="宋体"/>
        </w:rPr>
        <w:t>4、定位总图、尺寸总图、标高总图、铺装总图、道路总图、给排水总图</w:t>
      </w:r>
    </w:p>
    <w:p>
      <w:pPr>
        <w:spacing w:line="360" w:lineRule="auto"/>
        <w:ind w:firstLine="560" w:firstLineChars="200"/>
        <w:rPr>
          <w:rFonts w:ascii="宋体" w:hAnsi="宋体"/>
        </w:rPr>
      </w:pPr>
      <w:r>
        <w:rPr>
          <w:rFonts w:hint="eastAsia" w:ascii="宋体" w:hAnsi="宋体"/>
        </w:rPr>
        <w:t>5、主要剖面、立面图</w:t>
      </w:r>
    </w:p>
    <w:p>
      <w:pPr>
        <w:pStyle w:val="7"/>
        <w:ind w:left="560"/>
      </w:pPr>
      <w:r>
        <w:rPr>
          <w:rFonts w:hint="eastAsia" w:ascii="宋体" w:hAnsi="宋体"/>
        </w:rPr>
        <w:t>6、楼内公共部分修缮性装修图</w:t>
      </w:r>
    </w:p>
    <w:p>
      <w:pPr>
        <w:spacing w:line="360" w:lineRule="auto"/>
        <w:ind w:firstLine="560" w:firstLineChars="200"/>
        <w:rPr>
          <w:rFonts w:ascii="宋体" w:hAnsi="宋体"/>
        </w:rPr>
      </w:pPr>
      <w:r>
        <w:rPr>
          <w:rFonts w:hint="eastAsia" w:ascii="宋体" w:hAnsi="宋体"/>
        </w:rPr>
        <w:t>7、公共及园建大样图、铺装大样图、道路大样图、交通工程大样图、排水及照明大样图、</w:t>
      </w:r>
      <w:r>
        <w:rPr>
          <w:rFonts w:ascii="宋体" w:hAnsi="宋体"/>
        </w:rPr>
        <w:t>建筑立面大样图</w:t>
      </w:r>
      <w:r>
        <w:rPr>
          <w:rFonts w:hint="eastAsia" w:ascii="宋体" w:hAnsi="宋体"/>
        </w:rPr>
        <w:t>、</w:t>
      </w:r>
      <w:r>
        <w:rPr>
          <w:rFonts w:ascii="宋体" w:hAnsi="宋体"/>
        </w:rPr>
        <w:t>建筑天</w:t>
      </w:r>
      <w:r>
        <w:rPr>
          <w:rFonts w:hint="eastAsia" w:ascii="宋体" w:hAnsi="宋体"/>
        </w:rPr>
        <w:t>面</w:t>
      </w:r>
      <w:r>
        <w:rPr>
          <w:rFonts w:ascii="宋体" w:hAnsi="宋体"/>
        </w:rPr>
        <w:t>大样图</w:t>
      </w:r>
    </w:p>
    <w:p>
      <w:pPr>
        <w:spacing w:line="360" w:lineRule="auto"/>
        <w:ind w:firstLine="560" w:firstLineChars="200"/>
        <w:rPr>
          <w:rFonts w:ascii="宋体" w:hAnsi="宋体"/>
        </w:rPr>
      </w:pPr>
      <w:r>
        <w:rPr>
          <w:rFonts w:hint="eastAsia" w:ascii="宋体" w:hAnsi="宋体"/>
        </w:rPr>
        <w:t>8、主要材料及成品示意图</w:t>
      </w:r>
    </w:p>
    <w:p>
      <w:pPr>
        <w:spacing w:line="360" w:lineRule="auto"/>
        <w:ind w:firstLine="560" w:firstLineChars="200"/>
        <w:rPr>
          <w:rFonts w:ascii="宋体" w:hAnsi="宋体"/>
        </w:rPr>
      </w:pPr>
      <w:r>
        <w:rPr>
          <w:rFonts w:hint="eastAsia" w:ascii="宋体" w:hAnsi="宋体"/>
        </w:rPr>
        <w:t>9、公共照明总图</w:t>
      </w:r>
    </w:p>
    <w:p>
      <w:pPr>
        <w:spacing w:line="360" w:lineRule="auto"/>
        <w:ind w:firstLine="560" w:firstLineChars="200"/>
        <w:rPr>
          <w:rFonts w:ascii="宋体" w:hAnsi="宋体"/>
        </w:rPr>
      </w:pPr>
      <w:r>
        <w:rPr>
          <w:rFonts w:hint="eastAsia" w:ascii="宋体" w:hAnsi="宋体"/>
        </w:rPr>
        <w:t>10、0</w:t>
      </w:r>
      <w:r>
        <w:rPr>
          <w:rFonts w:ascii="宋体" w:hAnsi="宋体"/>
        </w:rPr>
        <w:t>.4kV</w:t>
      </w:r>
      <w:r>
        <w:rPr>
          <w:rFonts w:hint="eastAsia" w:ascii="宋体" w:hAnsi="宋体"/>
        </w:rPr>
        <w:t>架空线下地图或遮档整饰图</w:t>
      </w:r>
    </w:p>
    <w:p>
      <w:pPr>
        <w:spacing w:line="360" w:lineRule="auto"/>
        <w:ind w:firstLine="560" w:firstLineChars="200"/>
        <w:rPr>
          <w:rFonts w:ascii="宋体" w:hAnsi="宋体"/>
        </w:rPr>
      </w:pPr>
      <w:r>
        <w:rPr>
          <w:rFonts w:hint="eastAsia" w:ascii="宋体" w:hAnsi="宋体"/>
        </w:rPr>
        <w:t>11、弱电下地图或遮档整饰图</w:t>
      </w:r>
    </w:p>
    <w:p>
      <w:pPr>
        <w:spacing w:line="360" w:lineRule="auto"/>
        <w:ind w:firstLine="560" w:firstLineChars="200"/>
        <w:rPr>
          <w:rFonts w:ascii="宋体" w:hAnsi="宋体"/>
        </w:rPr>
      </w:pPr>
      <w:r>
        <w:rPr>
          <w:rFonts w:hint="eastAsia" w:ascii="宋体" w:hAnsi="宋体"/>
        </w:rPr>
        <w:t>12、文物建筑建控范围内报建资料</w:t>
      </w:r>
    </w:p>
    <w:p>
      <w:pPr>
        <w:spacing w:line="360" w:lineRule="auto"/>
        <w:ind w:firstLine="560" w:firstLineChars="200"/>
        <w:rPr>
          <w:rFonts w:ascii="宋体" w:hAnsi="宋体"/>
        </w:rPr>
      </w:pPr>
      <w:r>
        <w:rPr>
          <w:rFonts w:hint="eastAsia" w:ascii="宋体" w:hAnsi="宋体"/>
        </w:rPr>
        <w:t>13、历史街区规划报批资料</w:t>
      </w:r>
    </w:p>
    <w:p>
      <w:pPr>
        <w:spacing w:line="360" w:lineRule="auto"/>
        <w:ind w:firstLine="562" w:firstLineChars="200"/>
        <w:rPr>
          <w:rFonts w:ascii="宋体" w:hAnsi="宋体"/>
          <w:b/>
        </w:rPr>
      </w:pPr>
      <w:r>
        <w:rPr>
          <w:rFonts w:hint="eastAsia" w:ascii="宋体" w:hAnsi="宋体"/>
          <w:b/>
        </w:rPr>
        <w:t>4）其他要求</w:t>
      </w:r>
    </w:p>
    <w:p>
      <w:pPr>
        <w:spacing w:line="360" w:lineRule="auto"/>
        <w:ind w:firstLine="560" w:firstLineChars="200"/>
        <w:rPr>
          <w:rFonts w:ascii="宋体" w:hAnsi="宋体"/>
        </w:rPr>
      </w:pPr>
      <w:r>
        <w:rPr>
          <w:rFonts w:hint="eastAsia" w:ascii="宋体" w:hAnsi="宋体"/>
        </w:rPr>
        <w:t>1、设计成果纸质版文件按合同有关规定提交。</w:t>
      </w:r>
    </w:p>
    <w:p>
      <w:pPr>
        <w:spacing w:line="360" w:lineRule="auto"/>
        <w:ind w:firstLine="560" w:firstLineChars="200"/>
        <w:rPr>
          <w:rFonts w:ascii="宋体" w:hAnsi="宋体"/>
        </w:rPr>
      </w:pPr>
      <w:r>
        <w:rPr>
          <w:rFonts w:hint="eastAsia" w:ascii="宋体" w:hAnsi="宋体"/>
        </w:rPr>
        <w:t>2、设计成果电子版文件按合同有关规定提交，文本文件采用Microsoft office2003或以上的格式文件，图形文件采用DWG格式文件和JPG格式。</w:t>
      </w:r>
    </w:p>
    <w:p>
      <w:pPr>
        <w:spacing w:line="360" w:lineRule="auto"/>
        <w:ind w:firstLine="560" w:firstLineChars="200"/>
        <w:rPr>
          <w:rFonts w:ascii="宋体" w:hAnsi="宋体"/>
        </w:rPr>
      </w:pPr>
    </w:p>
    <w:p>
      <w:pPr>
        <w:keepNext/>
        <w:keepLines/>
        <w:spacing w:before="260" w:after="260" w:line="360" w:lineRule="auto"/>
        <w:ind w:firstLine="562" w:firstLineChars="200"/>
        <w:outlineLvl w:val="3"/>
        <w:rPr>
          <w:rFonts w:ascii="黑体" w:hAnsi="黑体" w:eastAsia="黑体"/>
          <w:bCs/>
          <w:kern w:val="0"/>
          <w:szCs w:val="32"/>
        </w:rPr>
      </w:pPr>
      <w:r>
        <w:rPr>
          <w:rFonts w:hint="eastAsia" w:ascii="宋体" w:hAnsi="宋体"/>
          <w:b/>
          <w:bCs/>
        </w:rPr>
        <w:t>八、</w:t>
      </w:r>
      <w:r>
        <w:rPr>
          <w:rFonts w:hint="eastAsia" w:ascii="黑体" w:hAnsi="黑体" w:eastAsia="黑体"/>
          <w:bCs/>
          <w:kern w:val="0"/>
          <w:szCs w:val="32"/>
        </w:rPr>
        <w:t>设计人员组织管理</w:t>
      </w:r>
    </w:p>
    <w:p>
      <w:pPr>
        <w:spacing w:line="360" w:lineRule="auto"/>
        <w:ind w:firstLine="560" w:firstLineChars="200"/>
        <w:rPr>
          <w:rFonts w:ascii="宋体" w:hAnsi="宋体"/>
        </w:rPr>
      </w:pPr>
      <w:r>
        <w:rPr>
          <w:rFonts w:hint="eastAsia" w:ascii="宋体" w:hAnsi="宋体"/>
        </w:rPr>
        <w:t>1、为便于甲方与乙方及时沟通及协调，以保证乙方的设计成果文件能更好地体现甲方的建设意图，乙方应根据甲方的要求，分阶段在指定的地点投入本合同约定的专业人员、设备及设施，实施本合同工程的设计工作。</w:t>
      </w:r>
    </w:p>
    <w:p>
      <w:pPr>
        <w:spacing w:line="360" w:lineRule="auto"/>
        <w:ind w:firstLine="560" w:firstLineChars="200"/>
        <w:rPr>
          <w:rFonts w:ascii="宋体" w:hAnsi="宋体"/>
        </w:rPr>
      </w:pPr>
      <w:r>
        <w:rPr>
          <w:rFonts w:hint="eastAsia" w:ascii="宋体" w:hAnsi="宋体"/>
        </w:rPr>
        <w:t>乙方应根据项目设计任务及工期要求建立项目组。有关设计人员要求详见本项目招标文件第五章发包人要求。</w:t>
      </w:r>
    </w:p>
    <w:p>
      <w:pPr>
        <w:spacing w:line="360" w:lineRule="auto"/>
        <w:ind w:firstLine="560" w:firstLineChars="200"/>
        <w:rPr>
          <w:rFonts w:ascii="宋体" w:hAnsi="宋体"/>
        </w:rPr>
      </w:pPr>
      <w:r>
        <w:rPr>
          <w:rFonts w:hint="eastAsia" w:ascii="宋体" w:hAnsi="宋体"/>
        </w:rPr>
        <w:t>2、在设计高峰或项目承建单位认为有必要时，设计方必须集中力量确保设计进度。</w:t>
      </w:r>
    </w:p>
    <w:p>
      <w:pPr>
        <w:spacing w:line="360" w:lineRule="auto"/>
        <w:ind w:firstLine="560" w:firstLineChars="200"/>
        <w:rPr>
          <w:rFonts w:ascii="宋体" w:hAnsi="宋体"/>
        </w:rPr>
      </w:pPr>
      <w:r>
        <w:rPr>
          <w:rFonts w:hint="eastAsia" w:ascii="宋体" w:hAnsi="宋体"/>
        </w:rPr>
        <w:t>3、设计单位在明确分工各负其责的基础上，按照招标文件所列要求承诺为本项目合同约定项目指定的设计总负责人、各专业设计负责人、各专业设计人、报建协调人，并向建设管理单位出具相应的授权文件。</w:t>
      </w:r>
    </w:p>
    <w:p>
      <w:pPr>
        <w:spacing w:line="360" w:lineRule="auto"/>
        <w:ind w:firstLine="560" w:firstLineChars="200"/>
        <w:rPr>
          <w:rFonts w:ascii="宋体" w:hAnsi="宋体"/>
        </w:rPr>
      </w:pPr>
      <w:r>
        <w:rPr>
          <w:rFonts w:hint="eastAsia" w:ascii="宋体" w:hAnsi="宋体"/>
        </w:rPr>
        <w:t>4、项目设计总负责人，各专业设计负责人应能够胜任所承担任务的设计、组织、计划、协调工作。</w:t>
      </w:r>
    </w:p>
    <w:p>
      <w:pPr>
        <w:spacing w:line="360" w:lineRule="auto"/>
        <w:ind w:firstLine="560" w:firstLineChars="200"/>
        <w:rPr>
          <w:rFonts w:ascii="宋体" w:hAnsi="宋体"/>
        </w:rPr>
      </w:pPr>
      <w:r>
        <w:rPr>
          <w:rFonts w:hint="eastAsia" w:ascii="宋体" w:hAnsi="宋体"/>
        </w:rPr>
        <w:t>5、须报送项目设计总负责人、各专业设计负责人、其他参与设计工作的人员姓名、年龄、学历、专业、职称、职务、相关经历和主要技术成果以及在本合同约定项目中负责的设计任务等资料。</w:t>
      </w:r>
    </w:p>
    <w:p>
      <w:pPr>
        <w:spacing w:line="360" w:lineRule="auto"/>
        <w:ind w:firstLine="560" w:firstLineChars="200"/>
        <w:rPr>
          <w:rFonts w:ascii="宋体" w:hAnsi="宋体"/>
        </w:rPr>
      </w:pPr>
      <w:r>
        <w:rPr>
          <w:rFonts w:hint="eastAsia" w:ascii="宋体" w:hAnsi="宋体"/>
        </w:rPr>
        <w:t>6、设计单位的设计人员数量、专业水平、专业配套等达不到设计所需时，需更换及补充设计人员；未能在指定时间内及时更换和补充的，将视为违约行为,项目承建单位将根据项目设计(咨询)单位综合考评办法予以相应的处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4E542F8"/>
    <w:multiLevelType w:val="singleLevel"/>
    <w:tmpl w:val="04E542F8"/>
    <w:lvl w:ilvl="0" w:tentative="0">
      <w:start w:val="1"/>
      <w:numFmt w:val="chineseCounting"/>
      <w:suff w:val="nothing"/>
      <w:lvlText w:val="%1、"/>
      <w:lvlJc w:val="left"/>
      <w:rPr>
        <w:rFonts w:hint="eastAsia"/>
      </w:rPr>
    </w:lvl>
  </w:abstractNum>
  <w:abstractNum w:abstractNumId="2">
    <w:nsid w:val="1918561C"/>
    <w:multiLevelType w:val="multilevel"/>
    <w:tmpl w:val="1918561C"/>
    <w:lvl w:ilvl="0" w:tentative="0">
      <w:start w:val="1"/>
      <w:numFmt w:val="chineseCountingThousand"/>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4511ECD"/>
    <w:multiLevelType w:val="multilevel"/>
    <w:tmpl w:val="74511ECD"/>
    <w:lvl w:ilvl="0" w:tentative="0">
      <w:start w:val="1"/>
      <w:numFmt w:val="chineseCountingThousand"/>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04"/>
    <w:rsid w:val="00012ED2"/>
    <w:rsid w:val="00013809"/>
    <w:rsid w:val="00027363"/>
    <w:rsid w:val="00033D95"/>
    <w:rsid w:val="00040B80"/>
    <w:rsid w:val="000506AE"/>
    <w:rsid w:val="000518C3"/>
    <w:rsid w:val="00053C85"/>
    <w:rsid w:val="00053F0D"/>
    <w:rsid w:val="0005477F"/>
    <w:rsid w:val="00097E69"/>
    <w:rsid w:val="000A031F"/>
    <w:rsid w:val="000A6283"/>
    <w:rsid w:val="000E65F3"/>
    <w:rsid w:val="000E74F9"/>
    <w:rsid w:val="000E784F"/>
    <w:rsid w:val="000F017E"/>
    <w:rsid w:val="000F4480"/>
    <w:rsid w:val="000F6ED8"/>
    <w:rsid w:val="00112CFC"/>
    <w:rsid w:val="00123E7E"/>
    <w:rsid w:val="0013277C"/>
    <w:rsid w:val="00134DF3"/>
    <w:rsid w:val="00137D23"/>
    <w:rsid w:val="001429D0"/>
    <w:rsid w:val="001438AF"/>
    <w:rsid w:val="00152123"/>
    <w:rsid w:val="0015532D"/>
    <w:rsid w:val="00161D4C"/>
    <w:rsid w:val="001711E6"/>
    <w:rsid w:val="00173995"/>
    <w:rsid w:val="001768F1"/>
    <w:rsid w:val="00180100"/>
    <w:rsid w:val="00185A8E"/>
    <w:rsid w:val="00196116"/>
    <w:rsid w:val="001A1DEA"/>
    <w:rsid w:val="001B2054"/>
    <w:rsid w:val="001B411E"/>
    <w:rsid w:val="001C1CA5"/>
    <w:rsid w:val="001C58D9"/>
    <w:rsid w:val="001C6610"/>
    <w:rsid w:val="001E16DF"/>
    <w:rsid w:val="001E6657"/>
    <w:rsid w:val="0020364A"/>
    <w:rsid w:val="00223D4C"/>
    <w:rsid w:val="00235894"/>
    <w:rsid w:val="00236C9B"/>
    <w:rsid w:val="00240506"/>
    <w:rsid w:val="0026799C"/>
    <w:rsid w:val="00275413"/>
    <w:rsid w:val="00276071"/>
    <w:rsid w:val="00277BB8"/>
    <w:rsid w:val="0028058F"/>
    <w:rsid w:val="00290BFD"/>
    <w:rsid w:val="00297A3C"/>
    <w:rsid w:val="002A68E1"/>
    <w:rsid w:val="002B0D21"/>
    <w:rsid w:val="002B3A3B"/>
    <w:rsid w:val="002C4218"/>
    <w:rsid w:val="002C64CF"/>
    <w:rsid w:val="002C7505"/>
    <w:rsid w:val="002D5B66"/>
    <w:rsid w:val="002D679C"/>
    <w:rsid w:val="002E2DD3"/>
    <w:rsid w:val="003000EF"/>
    <w:rsid w:val="003016C1"/>
    <w:rsid w:val="00301718"/>
    <w:rsid w:val="00303948"/>
    <w:rsid w:val="00312007"/>
    <w:rsid w:val="00313891"/>
    <w:rsid w:val="00324C53"/>
    <w:rsid w:val="00332ACF"/>
    <w:rsid w:val="00334C02"/>
    <w:rsid w:val="00341A9A"/>
    <w:rsid w:val="00342544"/>
    <w:rsid w:val="00342876"/>
    <w:rsid w:val="003440F1"/>
    <w:rsid w:val="003546A2"/>
    <w:rsid w:val="003604A5"/>
    <w:rsid w:val="00367740"/>
    <w:rsid w:val="00374EDF"/>
    <w:rsid w:val="00375771"/>
    <w:rsid w:val="00382611"/>
    <w:rsid w:val="0038784D"/>
    <w:rsid w:val="003A0F10"/>
    <w:rsid w:val="003A7013"/>
    <w:rsid w:val="003A7D1D"/>
    <w:rsid w:val="003B06F9"/>
    <w:rsid w:val="003B390E"/>
    <w:rsid w:val="003B4C44"/>
    <w:rsid w:val="003C5CD0"/>
    <w:rsid w:val="003D24EC"/>
    <w:rsid w:val="003D37E9"/>
    <w:rsid w:val="003E7AE5"/>
    <w:rsid w:val="003F5537"/>
    <w:rsid w:val="003F7FC3"/>
    <w:rsid w:val="004106DE"/>
    <w:rsid w:val="00411B56"/>
    <w:rsid w:val="00423AD0"/>
    <w:rsid w:val="00430641"/>
    <w:rsid w:val="0044211B"/>
    <w:rsid w:val="00461ABD"/>
    <w:rsid w:val="00471244"/>
    <w:rsid w:val="00490E5C"/>
    <w:rsid w:val="00496EC3"/>
    <w:rsid w:val="004A10F1"/>
    <w:rsid w:val="004D526C"/>
    <w:rsid w:val="004E4F7E"/>
    <w:rsid w:val="004F4608"/>
    <w:rsid w:val="00502CE7"/>
    <w:rsid w:val="005043C8"/>
    <w:rsid w:val="005048C6"/>
    <w:rsid w:val="00506105"/>
    <w:rsid w:val="00521CB0"/>
    <w:rsid w:val="00527BA6"/>
    <w:rsid w:val="0053092E"/>
    <w:rsid w:val="00533A98"/>
    <w:rsid w:val="00540792"/>
    <w:rsid w:val="0056646E"/>
    <w:rsid w:val="005722E1"/>
    <w:rsid w:val="00576CDE"/>
    <w:rsid w:val="005822F9"/>
    <w:rsid w:val="00584225"/>
    <w:rsid w:val="005923D9"/>
    <w:rsid w:val="00596298"/>
    <w:rsid w:val="005A68C6"/>
    <w:rsid w:val="005B0391"/>
    <w:rsid w:val="005B1B58"/>
    <w:rsid w:val="005B7EFF"/>
    <w:rsid w:val="005D534E"/>
    <w:rsid w:val="005D64A3"/>
    <w:rsid w:val="005E0EA3"/>
    <w:rsid w:val="005E4B7C"/>
    <w:rsid w:val="005F048D"/>
    <w:rsid w:val="006074D0"/>
    <w:rsid w:val="00621413"/>
    <w:rsid w:val="00626E87"/>
    <w:rsid w:val="0063420F"/>
    <w:rsid w:val="00640601"/>
    <w:rsid w:val="00645C1B"/>
    <w:rsid w:val="006555D2"/>
    <w:rsid w:val="00655FD3"/>
    <w:rsid w:val="006677A5"/>
    <w:rsid w:val="006862AC"/>
    <w:rsid w:val="00692BE8"/>
    <w:rsid w:val="006939C3"/>
    <w:rsid w:val="006B3EB5"/>
    <w:rsid w:val="006B7FEF"/>
    <w:rsid w:val="006D6483"/>
    <w:rsid w:val="006F01BB"/>
    <w:rsid w:val="006F5142"/>
    <w:rsid w:val="00702A68"/>
    <w:rsid w:val="007103CD"/>
    <w:rsid w:val="0074029D"/>
    <w:rsid w:val="0074114B"/>
    <w:rsid w:val="00747398"/>
    <w:rsid w:val="007551E6"/>
    <w:rsid w:val="00765122"/>
    <w:rsid w:val="0077119F"/>
    <w:rsid w:val="007863EA"/>
    <w:rsid w:val="007A2AD7"/>
    <w:rsid w:val="007A5E4A"/>
    <w:rsid w:val="007B66F1"/>
    <w:rsid w:val="007C2228"/>
    <w:rsid w:val="007C3888"/>
    <w:rsid w:val="007C49E7"/>
    <w:rsid w:val="007C5330"/>
    <w:rsid w:val="007C7C75"/>
    <w:rsid w:val="007D796D"/>
    <w:rsid w:val="00825F88"/>
    <w:rsid w:val="00837477"/>
    <w:rsid w:val="0085573B"/>
    <w:rsid w:val="008A3A76"/>
    <w:rsid w:val="008B3AD3"/>
    <w:rsid w:val="008C08BA"/>
    <w:rsid w:val="008C5CD0"/>
    <w:rsid w:val="008D4384"/>
    <w:rsid w:val="008F3679"/>
    <w:rsid w:val="008F72C5"/>
    <w:rsid w:val="00900F33"/>
    <w:rsid w:val="00904F5B"/>
    <w:rsid w:val="00914357"/>
    <w:rsid w:val="00914998"/>
    <w:rsid w:val="00915DF9"/>
    <w:rsid w:val="009432EC"/>
    <w:rsid w:val="00961913"/>
    <w:rsid w:val="0096407D"/>
    <w:rsid w:val="00964D43"/>
    <w:rsid w:val="00975235"/>
    <w:rsid w:val="00990158"/>
    <w:rsid w:val="009A070A"/>
    <w:rsid w:val="009A2608"/>
    <w:rsid w:val="009A5369"/>
    <w:rsid w:val="009B088F"/>
    <w:rsid w:val="009B2070"/>
    <w:rsid w:val="009B533E"/>
    <w:rsid w:val="009C23F4"/>
    <w:rsid w:val="009D335A"/>
    <w:rsid w:val="009E1AB3"/>
    <w:rsid w:val="009E208F"/>
    <w:rsid w:val="009E29EA"/>
    <w:rsid w:val="00A03DB2"/>
    <w:rsid w:val="00A60E5B"/>
    <w:rsid w:val="00A618E5"/>
    <w:rsid w:val="00A632F2"/>
    <w:rsid w:val="00A700D9"/>
    <w:rsid w:val="00A86235"/>
    <w:rsid w:val="00A86DA8"/>
    <w:rsid w:val="00A87BAE"/>
    <w:rsid w:val="00AA255C"/>
    <w:rsid w:val="00AA718A"/>
    <w:rsid w:val="00AB6E2B"/>
    <w:rsid w:val="00AC5E14"/>
    <w:rsid w:val="00AE656B"/>
    <w:rsid w:val="00AF6870"/>
    <w:rsid w:val="00AF69D8"/>
    <w:rsid w:val="00AF7371"/>
    <w:rsid w:val="00B04374"/>
    <w:rsid w:val="00B13624"/>
    <w:rsid w:val="00B1569B"/>
    <w:rsid w:val="00B1700D"/>
    <w:rsid w:val="00B23D0C"/>
    <w:rsid w:val="00B24DDB"/>
    <w:rsid w:val="00B60B1B"/>
    <w:rsid w:val="00B627DA"/>
    <w:rsid w:val="00B75404"/>
    <w:rsid w:val="00B802C3"/>
    <w:rsid w:val="00B8427E"/>
    <w:rsid w:val="00B92223"/>
    <w:rsid w:val="00BA3246"/>
    <w:rsid w:val="00BA52ED"/>
    <w:rsid w:val="00BA5E5F"/>
    <w:rsid w:val="00BB09BF"/>
    <w:rsid w:val="00BB21C8"/>
    <w:rsid w:val="00BB3D9B"/>
    <w:rsid w:val="00BC0C76"/>
    <w:rsid w:val="00BC29B5"/>
    <w:rsid w:val="00BE4A00"/>
    <w:rsid w:val="00C029ED"/>
    <w:rsid w:val="00C1154A"/>
    <w:rsid w:val="00C16556"/>
    <w:rsid w:val="00C24AE4"/>
    <w:rsid w:val="00C41222"/>
    <w:rsid w:val="00C47016"/>
    <w:rsid w:val="00C60C34"/>
    <w:rsid w:val="00C8333A"/>
    <w:rsid w:val="00C96603"/>
    <w:rsid w:val="00CA0DDD"/>
    <w:rsid w:val="00CD0AE1"/>
    <w:rsid w:val="00CD2F5B"/>
    <w:rsid w:val="00CD6256"/>
    <w:rsid w:val="00D021A2"/>
    <w:rsid w:val="00D0381D"/>
    <w:rsid w:val="00D07E70"/>
    <w:rsid w:val="00D23F0F"/>
    <w:rsid w:val="00D24BA1"/>
    <w:rsid w:val="00D25B51"/>
    <w:rsid w:val="00D31349"/>
    <w:rsid w:val="00D503D8"/>
    <w:rsid w:val="00D8690F"/>
    <w:rsid w:val="00D904D8"/>
    <w:rsid w:val="00D92DB3"/>
    <w:rsid w:val="00DA1B94"/>
    <w:rsid w:val="00DA786F"/>
    <w:rsid w:val="00DB60B2"/>
    <w:rsid w:val="00DC3E96"/>
    <w:rsid w:val="00DD04CE"/>
    <w:rsid w:val="00DE0637"/>
    <w:rsid w:val="00E20A69"/>
    <w:rsid w:val="00E2306B"/>
    <w:rsid w:val="00E25DA1"/>
    <w:rsid w:val="00E419F5"/>
    <w:rsid w:val="00E5157A"/>
    <w:rsid w:val="00E56A77"/>
    <w:rsid w:val="00E73501"/>
    <w:rsid w:val="00E902D5"/>
    <w:rsid w:val="00EA0B84"/>
    <w:rsid w:val="00ED560F"/>
    <w:rsid w:val="00ED5D57"/>
    <w:rsid w:val="00EE641B"/>
    <w:rsid w:val="00EF2282"/>
    <w:rsid w:val="00EF3FB3"/>
    <w:rsid w:val="00EF41B4"/>
    <w:rsid w:val="00F019AD"/>
    <w:rsid w:val="00F046E1"/>
    <w:rsid w:val="00F147D2"/>
    <w:rsid w:val="00F328E4"/>
    <w:rsid w:val="00F3524D"/>
    <w:rsid w:val="00F42C93"/>
    <w:rsid w:val="00F442C9"/>
    <w:rsid w:val="00F527A0"/>
    <w:rsid w:val="00F57FD0"/>
    <w:rsid w:val="00F602C5"/>
    <w:rsid w:val="00F62E22"/>
    <w:rsid w:val="00F64A1E"/>
    <w:rsid w:val="00F64B33"/>
    <w:rsid w:val="00F70351"/>
    <w:rsid w:val="00F84435"/>
    <w:rsid w:val="00F87986"/>
    <w:rsid w:val="00F909D5"/>
    <w:rsid w:val="00F93BA4"/>
    <w:rsid w:val="00F94DE4"/>
    <w:rsid w:val="00FC40F3"/>
    <w:rsid w:val="00FE17E2"/>
    <w:rsid w:val="00FE2CA8"/>
    <w:rsid w:val="00FE7370"/>
    <w:rsid w:val="00FF33C0"/>
    <w:rsid w:val="00FF4259"/>
    <w:rsid w:val="0A44522A"/>
    <w:rsid w:val="0F9C3998"/>
    <w:rsid w:val="18EB73C9"/>
    <w:rsid w:val="1DA26D60"/>
    <w:rsid w:val="271E2221"/>
    <w:rsid w:val="2AC2579E"/>
    <w:rsid w:val="32D338CB"/>
    <w:rsid w:val="3D3E04C6"/>
    <w:rsid w:val="49F363FD"/>
    <w:rsid w:val="5040697E"/>
    <w:rsid w:val="5A454B9F"/>
    <w:rsid w:val="616C3DAB"/>
    <w:rsid w:val="6F173861"/>
    <w:rsid w:val="73387C0F"/>
    <w:rsid w:val="7E8E0A1E"/>
    <w:rsid w:val="7FF632E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17"/>
    <w:qFormat/>
    <w:uiPriority w:val="9"/>
    <w:pPr>
      <w:keepNext/>
      <w:keepLines/>
      <w:numPr>
        <w:ilvl w:val="0"/>
        <w:numId w:val="1"/>
      </w:numPr>
      <w:spacing w:after="120" w:line="578" w:lineRule="auto"/>
      <w:outlineLvl w:val="0"/>
    </w:pPr>
    <w:rPr>
      <w:rFonts w:eastAsia="黑体"/>
      <w:bCs/>
      <w:kern w:val="44"/>
      <w:sz w:val="30"/>
      <w:szCs w:val="44"/>
    </w:rPr>
  </w:style>
  <w:style w:type="paragraph" w:styleId="3">
    <w:name w:val="heading 2"/>
    <w:basedOn w:val="1"/>
    <w:next w:val="1"/>
    <w:link w:val="18"/>
    <w:unhideWhenUsed/>
    <w:qFormat/>
    <w:uiPriority w:val="9"/>
    <w:pPr>
      <w:keepNext/>
      <w:keepLines/>
      <w:numPr>
        <w:ilvl w:val="0"/>
        <w:numId w:val="2"/>
      </w:numPr>
      <w:spacing w:after="120"/>
      <w:outlineLvl w:val="1"/>
    </w:pPr>
    <w:rPr>
      <w:rFonts w:asciiTheme="majorHAnsi" w:hAnsiTheme="majorHAnsi" w:cstheme="majorBidi"/>
      <w:b/>
      <w:bCs/>
      <w:szCs w:val="32"/>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1"/>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2"/>
    <w:basedOn w:val="1"/>
    <w:next w:val="1"/>
    <w:unhideWhenUsed/>
    <w:qFormat/>
    <w:uiPriority w:val="39"/>
    <w:pPr>
      <w:ind w:left="420" w:leftChars="200"/>
    </w:p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22"/>
    <w:rPr>
      <w:b/>
      <w:bCs/>
    </w:rPr>
  </w:style>
  <w:style w:type="character" w:styleId="13">
    <w:name w:val="Hyperlink"/>
    <w:unhideWhenUsed/>
    <w:qFormat/>
    <w:uiPriority w:val="99"/>
    <w:rPr>
      <w:color w:val="000000"/>
      <w:u w:val="none"/>
    </w:rPr>
  </w:style>
  <w:style w:type="character" w:customStyle="1" w:styleId="14">
    <w:name w:val="页眉 字符"/>
    <w:basedOn w:val="11"/>
    <w:link w:val="6"/>
    <w:qFormat/>
    <w:uiPriority w:val="99"/>
    <w:rPr>
      <w:sz w:val="18"/>
      <w:szCs w:val="18"/>
    </w:rPr>
  </w:style>
  <w:style w:type="character" w:customStyle="1" w:styleId="15">
    <w:name w:val="页脚 字符"/>
    <w:basedOn w:val="11"/>
    <w:link w:val="5"/>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1"/>
    <w:link w:val="2"/>
    <w:qFormat/>
    <w:uiPriority w:val="9"/>
    <w:rPr>
      <w:rFonts w:ascii="Times New Roman" w:hAnsi="Times New Roman" w:eastAsia="黑体" w:cs="Times New Roman"/>
      <w:bCs/>
      <w:kern w:val="44"/>
      <w:sz w:val="30"/>
      <w:szCs w:val="44"/>
    </w:rPr>
  </w:style>
  <w:style w:type="character" w:customStyle="1" w:styleId="18">
    <w:name w:val="标题 2 字符"/>
    <w:basedOn w:val="11"/>
    <w:link w:val="3"/>
    <w:qFormat/>
    <w:uiPriority w:val="9"/>
    <w:rPr>
      <w:rFonts w:eastAsia="仿宋" w:asciiTheme="majorHAnsi" w:hAnsiTheme="majorHAnsi" w:cstheme="majorBidi"/>
      <w:b/>
      <w:bCs/>
      <w:sz w:val="28"/>
      <w:szCs w:val="32"/>
    </w:rPr>
  </w:style>
  <w:style w:type="paragraph" w:customStyle="1" w:styleId="19">
    <w:name w:val="表"/>
    <w:basedOn w:val="1"/>
    <w:link w:val="20"/>
    <w:qFormat/>
    <w:uiPriority w:val="0"/>
  </w:style>
  <w:style w:type="character" w:customStyle="1" w:styleId="20">
    <w:name w:val="表 Char"/>
    <w:basedOn w:val="11"/>
    <w:link w:val="19"/>
    <w:qFormat/>
    <w:uiPriority w:val="0"/>
    <w:rPr>
      <w:rFonts w:ascii="Times New Roman" w:hAnsi="Times New Roman" w:eastAsia="仿宋" w:cs="Times New Roman"/>
      <w:sz w:val="28"/>
      <w:szCs w:val="24"/>
    </w:rPr>
  </w:style>
  <w:style w:type="character" w:customStyle="1" w:styleId="21">
    <w:name w:val="批注框文本 字符"/>
    <w:basedOn w:val="11"/>
    <w:link w:val="4"/>
    <w:semiHidden/>
    <w:qFormat/>
    <w:uiPriority w:val="99"/>
    <w:rPr>
      <w:rFonts w:ascii="Times New Roman" w:hAnsi="Times New Roman" w:eastAsia="仿宋" w:cs="Times New Roman"/>
      <w:sz w:val="18"/>
      <w:szCs w:val="18"/>
    </w:rPr>
  </w:style>
  <w:style w:type="paragraph" w:customStyle="1" w:styleId="22">
    <w:name w:val="正文+文字"/>
    <w:basedOn w:val="1"/>
    <w:qFormat/>
    <w:uiPriority w:val="99"/>
    <w:pPr>
      <w:spacing w:line="360" w:lineRule="auto"/>
      <w:ind w:firstLine="200" w:firstLineChars="200"/>
    </w:pPr>
    <w:rPr>
      <w:rFonts w:eastAsia="宋体"/>
      <w:sz w:val="24"/>
    </w:rPr>
  </w:style>
  <w:style w:type="paragraph" w:customStyle="1" w:styleId="23">
    <w:name w:val="正文缩进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D6246B-6370-4945-8C79-095C7F6A906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680</Words>
  <Characters>3881</Characters>
  <Lines>32</Lines>
  <Paragraphs>9</Paragraphs>
  <TotalTime>1</TotalTime>
  <ScaleCrop>false</ScaleCrop>
  <LinksUpToDate>false</LinksUpToDate>
  <CharactersWithSpaces>4552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2022-03-02T04:00:00Z</dcterms:created>
  <dc:creator>冯倚天</dc:creator>
  <cp:lastModifiedBy>X1 Carbon 7th</cp:lastModifiedBy>
  <cp:lastPrinted>2021-06-03T01:44:00Z</cp:lastPrinted>
  <dcterms:modified xsi:type="dcterms:W3CDTF">2022-03-03T15:50:56Z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96C83BE6C23C4EC7BB530A660BBB9942</vt:lpwstr>
  </property>
</Properties>
</file>