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4"/>
        <w:ind w:left="0"/>
        <w:rPr>
          <w:rFonts w:ascii="Times New Roman"/>
          <w:color w:val="auto"/>
          <w:sz w:val="17"/>
        </w:rPr>
      </w:pPr>
    </w:p>
    <w:p>
      <w:pPr>
        <w:pStyle w:val="7"/>
        <w:spacing w:before="4"/>
        <w:ind w:left="0"/>
        <w:rPr>
          <w:rFonts w:ascii="Times New Roman"/>
          <w:color w:val="auto"/>
          <w:sz w:val="17"/>
        </w:rPr>
      </w:pPr>
    </w:p>
    <w:p>
      <w:pPr>
        <w:pStyle w:val="7"/>
        <w:spacing w:before="4"/>
        <w:ind w:left="0"/>
        <w:rPr>
          <w:rFonts w:ascii="Times New Roman"/>
          <w:color w:val="auto"/>
          <w:sz w:val="17"/>
        </w:rPr>
      </w:pPr>
    </w:p>
    <w:p>
      <w:pPr>
        <w:pStyle w:val="7"/>
        <w:spacing w:before="4"/>
        <w:ind w:left="0"/>
        <w:rPr>
          <w:rFonts w:ascii="Times New Roman"/>
          <w:color w:val="auto"/>
          <w:sz w:val="17"/>
        </w:rPr>
      </w:pPr>
    </w:p>
    <w:p>
      <w:pPr>
        <w:autoSpaceDE w:val="0"/>
        <w:autoSpaceDN w:val="0"/>
        <w:adjustRightInd w:val="0"/>
        <w:spacing w:line="360" w:lineRule="auto"/>
        <w:jc w:val="center"/>
        <w:rPr>
          <w:rFonts w:hint="eastAsia" w:ascii="宋体" w:hAnsi="宋体" w:cs="宋体"/>
          <w:b/>
          <w:color w:val="auto"/>
          <w:kern w:val="0"/>
          <w:sz w:val="44"/>
          <w:szCs w:val="44"/>
          <w:lang w:eastAsia="zh-CN"/>
        </w:rPr>
      </w:pPr>
      <w:r>
        <w:rPr>
          <w:rFonts w:hint="eastAsia" w:ascii="宋体" w:hAnsi="宋体" w:cs="宋体"/>
          <w:b/>
          <w:color w:val="auto"/>
          <w:kern w:val="0"/>
          <w:sz w:val="44"/>
          <w:szCs w:val="44"/>
          <w:lang w:eastAsia="zh-CN"/>
        </w:rPr>
        <w:t>平远县东石镇美丽圩镇建设攻坚行动项目(一期)</w:t>
      </w:r>
    </w:p>
    <w:p>
      <w:pPr>
        <w:autoSpaceDE w:val="0"/>
        <w:autoSpaceDN w:val="0"/>
        <w:adjustRightInd w:val="0"/>
        <w:spacing w:line="360" w:lineRule="auto"/>
        <w:jc w:val="center"/>
        <w:rPr>
          <w:rFonts w:hint="default" w:ascii="宋体" w:hAnsi="宋体" w:cs="宋体"/>
          <w:b/>
          <w:color w:val="auto"/>
          <w:kern w:val="0"/>
          <w:sz w:val="44"/>
          <w:szCs w:val="44"/>
          <w:lang w:val="en-US" w:eastAsia="zh-CN"/>
        </w:rPr>
      </w:pPr>
      <w:r>
        <w:rPr>
          <w:rFonts w:hint="eastAsia" w:cs="宋体"/>
          <w:b/>
          <w:color w:val="auto"/>
          <w:kern w:val="0"/>
          <w:sz w:val="44"/>
          <w:szCs w:val="44"/>
          <w:lang w:val="en-US" w:eastAsia="zh-CN"/>
        </w:rPr>
        <w:t>监理</w:t>
      </w:r>
    </w:p>
    <w:p>
      <w:pPr>
        <w:spacing w:after="0"/>
        <w:jc w:val="center"/>
        <w:rPr>
          <w:rFonts w:hint="eastAsia" w:ascii="黑体" w:hAnsi="黑体" w:eastAsia="黑体" w:cs="黑体"/>
          <w:b/>
          <w:bCs/>
          <w:color w:val="auto"/>
          <w:sz w:val="96"/>
          <w:szCs w:val="200"/>
          <w:lang w:val="en-US" w:eastAsia="zh-CN"/>
        </w:rPr>
      </w:pPr>
    </w:p>
    <w:p>
      <w:pPr>
        <w:spacing w:after="0"/>
        <w:jc w:val="both"/>
        <w:rPr>
          <w:rFonts w:hint="eastAsia" w:ascii="黑体" w:hAnsi="黑体" w:eastAsia="黑体" w:cs="黑体"/>
          <w:b/>
          <w:bCs/>
          <w:color w:val="auto"/>
          <w:sz w:val="96"/>
          <w:szCs w:val="200"/>
          <w:lang w:val="en-US" w:eastAsia="zh-CN"/>
        </w:rPr>
      </w:pPr>
    </w:p>
    <w:p>
      <w:pPr>
        <w:pStyle w:val="7"/>
        <w:ind w:left="0" w:leftChars="0" w:firstLine="0" w:firstLineChars="0"/>
        <w:rPr>
          <w:rFonts w:hint="eastAsia" w:ascii="黑体" w:hAnsi="黑体" w:eastAsia="黑体" w:cs="黑体"/>
          <w:b/>
          <w:bCs/>
          <w:color w:val="auto"/>
          <w:sz w:val="96"/>
          <w:szCs w:val="200"/>
          <w:lang w:val="en-US" w:eastAsia="zh-CN"/>
        </w:rPr>
      </w:pPr>
    </w:p>
    <w:p>
      <w:pPr>
        <w:spacing w:after="0"/>
        <w:jc w:val="center"/>
        <w:rPr>
          <w:rFonts w:hint="eastAsia" w:ascii="黑体" w:hAnsi="黑体" w:eastAsia="黑体" w:cs="黑体"/>
          <w:b/>
          <w:bCs/>
          <w:color w:val="auto"/>
          <w:sz w:val="96"/>
          <w:szCs w:val="200"/>
          <w:lang w:val="en-US" w:eastAsia="zh-CN"/>
        </w:rPr>
      </w:pPr>
      <w:r>
        <w:rPr>
          <w:rFonts w:hint="eastAsia" w:ascii="黑体" w:hAnsi="黑体" w:eastAsia="黑体" w:cs="黑体"/>
          <w:b/>
          <w:bCs/>
          <w:color w:val="auto"/>
          <w:sz w:val="96"/>
          <w:szCs w:val="200"/>
          <w:lang w:val="en-US" w:eastAsia="zh-CN"/>
        </w:rPr>
        <w:t>招标文件</w:t>
      </w:r>
    </w:p>
    <w:p>
      <w:pPr>
        <w:spacing w:after="0"/>
        <w:jc w:val="center"/>
        <w:rPr>
          <w:rFonts w:hint="eastAsia" w:ascii="黑体" w:hAnsi="黑体" w:eastAsia="黑体" w:cs="黑体"/>
          <w:b/>
          <w:bCs/>
          <w:color w:val="auto"/>
          <w:sz w:val="96"/>
          <w:szCs w:val="200"/>
          <w:lang w:val="en-US" w:eastAsia="zh-CN"/>
        </w:rPr>
      </w:pPr>
    </w:p>
    <w:p>
      <w:pPr>
        <w:spacing w:after="0"/>
        <w:jc w:val="both"/>
        <w:rPr>
          <w:rFonts w:hint="eastAsia" w:ascii="黑体" w:hAnsi="黑体" w:eastAsia="黑体" w:cs="黑体"/>
          <w:b/>
          <w:bCs/>
          <w:color w:val="auto"/>
          <w:sz w:val="96"/>
          <w:szCs w:val="200"/>
          <w:lang w:val="en-US" w:eastAsia="zh-CN"/>
        </w:rPr>
      </w:pPr>
    </w:p>
    <w:p>
      <w:pPr>
        <w:pStyle w:val="7"/>
        <w:ind w:left="0" w:leftChars="0" w:firstLine="0" w:firstLineChars="0"/>
        <w:rPr>
          <w:rFonts w:hint="eastAsia" w:ascii="黑体" w:hAnsi="黑体" w:eastAsia="黑体" w:cs="黑体"/>
          <w:b/>
          <w:bCs/>
          <w:color w:val="auto"/>
          <w:sz w:val="96"/>
          <w:szCs w:val="200"/>
          <w:lang w:val="en-US" w:eastAsia="zh-CN"/>
        </w:rPr>
      </w:pPr>
    </w:p>
    <w:p>
      <w:pPr>
        <w:spacing w:after="0"/>
        <w:jc w:val="center"/>
        <w:rPr>
          <w:rFonts w:hint="eastAsia" w:ascii="黑体" w:hAnsi="黑体" w:eastAsia="黑体" w:cs="黑体"/>
          <w:b/>
          <w:bCs/>
          <w:color w:val="auto"/>
          <w:sz w:val="96"/>
          <w:szCs w:val="200"/>
          <w:lang w:val="en-US" w:eastAsia="zh-CN"/>
        </w:rPr>
      </w:pPr>
    </w:p>
    <w:p>
      <w:pPr>
        <w:spacing w:line="360" w:lineRule="auto"/>
        <w:jc w:val="center"/>
        <w:rPr>
          <w:rFonts w:hint="eastAsia" w:ascii="宋体" w:hAnsi="宋体" w:eastAsia="宋体" w:cs="宋体"/>
          <w:color w:val="auto"/>
          <w:sz w:val="28"/>
          <w:szCs w:val="28"/>
          <w:lang w:eastAsia="zh-CN"/>
        </w:rPr>
      </w:pPr>
      <w:r>
        <w:rPr>
          <w:rFonts w:hint="eastAsia" w:ascii="宋体" w:hAnsi="宋体" w:cs="宋体"/>
          <w:color w:val="auto"/>
          <w:sz w:val="28"/>
          <w:szCs w:val="28"/>
        </w:rPr>
        <w:t>招   标   人：</w:t>
      </w:r>
      <w:r>
        <w:rPr>
          <w:rFonts w:hint="eastAsia" w:ascii="宋体" w:hAnsi="宋体" w:cs="宋体"/>
          <w:color w:val="auto"/>
          <w:sz w:val="28"/>
          <w:szCs w:val="28"/>
          <w:lang w:eastAsia="zh-CN"/>
        </w:rPr>
        <w:t>平远县东石镇人民政府</w:t>
      </w:r>
    </w:p>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招标代理机构：</w:t>
      </w:r>
      <w:r>
        <w:rPr>
          <w:rFonts w:hint="eastAsia" w:ascii="宋体" w:hAnsi="宋体" w:cs="宋体"/>
          <w:color w:val="auto"/>
          <w:sz w:val="28"/>
          <w:szCs w:val="28"/>
          <w:lang w:eastAsia="zh-CN"/>
        </w:rPr>
        <w:t>广东华工工程建设监理有限公司</w:t>
      </w:r>
      <w:r>
        <w:rPr>
          <w:rFonts w:hint="eastAsia" w:ascii="宋体" w:hAnsi="宋体" w:cs="宋体"/>
          <w:color w:val="auto"/>
          <w:sz w:val="28"/>
          <w:szCs w:val="28"/>
        </w:rPr>
        <w:t xml:space="preserve">        </w:t>
      </w:r>
    </w:p>
    <w:p>
      <w:pPr>
        <w:jc w:val="center"/>
        <w:rPr>
          <w:rFonts w:hint="eastAsia" w:ascii="宋体" w:hAnsi="宋体" w:cs="宋体"/>
          <w:color w:val="auto"/>
          <w:sz w:val="28"/>
          <w:szCs w:val="28"/>
        </w:rPr>
      </w:pPr>
      <w:r>
        <w:rPr>
          <w:rFonts w:hint="eastAsia" w:ascii="宋体" w:hAnsi="宋体" w:cs="宋体"/>
          <w:color w:val="auto"/>
          <w:sz w:val="28"/>
          <w:szCs w:val="28"/>
        </w:rPr>
        <w:t>日期：二0二</w:t>
      </w:r>
      <w:r>
        <w:rPr>
          <w:rFonts w:hint="eastAsia" w:ascii="宋体" w:hAnsi="宋体" w:cs="宋体"/>
          <w:color w:val="auto"/>
          <w:sz w:val="28"/>
          <w:szCs w:val="28"/>
          <w:lang w:val="en-US" w:eastAsia="zh-CN"/>
        </w:rPr>
        <w:t>二</w:t>
      </w:r>
      <w:r>
        <w:rPr>
          <w:rFonts w:hint="eastAsia" w:ascii="宋体" w:hAnsi="宋体" w:cs="宋体"/>
          <w:color w:val="auto"/>
          <w:sz w:val="28"/>
          <w:szCs w:val="28"/>
        </w:rPr>
        <w:t xml:space="preserve">年 月 </w:t>
      </w:r>
    </w:p>
    <w:p>
      <w:pPr>
        <w:tabs>
          <w:tab w:val="left" w:pos="1455"/>
        </w:tabs>
        <w:spacing w:before="43"/>
        <w:ind w:left="495" w:right="0" w:firstLine="0"/>
        <w:jc w:val="center"/>
        <w:rPr>
          <w:b/>
          <w:color w:val="auto"/>
          <w:sz w:val="32"/>
        </w:rPr>
      </w:pPr>
    </w:p>
    <w:p>
      <w:pPr>
        <w:tabs>
          <w:tab w:val="left" w:pos="1455"/>
        </w:tabs>
        <w:spacing w:before="43"/>
        <w:ind w:right="0"/>
        <w:jc w:val="both"/>
        <w:rPr>
          <w:b/>
          <w:color w:val="auto"/>
          <w:sz w:val="32"/>
        </w:rPr>
      </w:pPr>
    </w:p>
    <w:p>
      <w:pPr>
        <w:tabs>
          <w:tab w:val="left" w:pos="1455"/>
        </w:tabs>
        <w:spacing w:before="43"/>
        <w:ind w:left="495" w:right="0" w:firstLine="0"/>
        <w:jc w:val="center"/>
        <w:rPr>
          <w:b/>
          <w:color w:val="auto"/>
          <w:sz w:val="32"/>
        </w:rPr>
      </w:pPr>
      <w:r>
        <w:rPr>
          <w:b/>
          <w:color w:val="auto"/>
          <w:sz w:val="32"/>
        </w:rPr>
        <w:t>目</w:t>
      </w:r>
      <w:r>
        <w:rPr>
          <w:b/>
          <w:color w:val="auto"/>
          <w:sz w:val="32"/>
        </w:rPr>
        <w:tab/>
      </w:r>
      <w:r>
        <w:rPr>
          <w:b/>
          <w:color w:val="auto"/>
          <w:sz w:val="32"/>
        </w:rPr>
        <w:t>录</w:t>
      </w:r>
    </w:p>
    <w:sdt>
      <w:sdtPr>
        <w:rPr>
          <w:color w:val="auto"/>
        </w:rPr>
        <w:id w:val="1"/>
        <w:docPartObj>
          <w:docPartGallery w:val="Table of Contents"/>
          <w:docPartUnique/>
        </w:docPartObj>
      </w:sdtPr>
      <w:sdtEndPr>
        <w:rPr>
          <w:color w:val="auto"/>
        </w:rPr>
      </w:sdtEndPr>
      <w:sdtContent>
        <w:p>
          <w:pPr>
            <w:pStyle w:val="11"/>
            <w:tabs>
              <w:tab w:val="right" w:leader="dot" w:pos="9469"/>
            </w:tabs>
            <w:spacing w:before="938"/>
            <w:rPr>
              <w:color w:val="auto"/>
            </w:rPr>
          </w:pPr>
          <w:r>
            <w:rPr>
              <w:color w:val="auto"/>
            </w:rPr>
            <w:fldChar w:fldCharType="begin"/>
          </w:r>
          <w:r>
            <w:rPr>
              <w:color w:val="auto"/>
            </w:rPr>
            <w:instrText xml:space="preserve"> HYPERLINK \l "_TOC_250006" </w:instrText>
          </w:r>
          <w:r>
            <w:rPr>
              <w:color w:val="auto"/>
            </w:rPr>
            <w:fldChar w:fldCharType="separate"/>
          </w:r>
          <w:r>
            <w:rPr>
              <w:color w:val="auto"/>
            </w:rPr>
            <w:t>投</w:t>
          </w:r>
          <w:r>
            <w:rPr>
              <w:color w:val="auto"/>
              <w:spacing w:val="-3"/>
            </w:rPr>
            <w:t>标</w:t>
          </w:r>
          <w:r>
            <w:rPr>
              <w:color w:val="auto"/>
            </w:rPr>
            <w:t>文件</w:t>
          </w:r>
          <w:r>
            <w:rPr>
              <w:color w:val="auto"/>
              <w:spacing w:val="-3"/>
            </w:rPr>
            <w:t>否</w:t>
          </w:r>
          <w:r>
            <w:rPr>
              <w:color w:val="auto"/>
            </w:rPr>
            <w:t>决性</w:t>
          </w:r>
          <w:r>
            <w:rPr>
              <w:color w:val="auto"/>
              <w:spacing w:val="-3"/>
            </w:rPr>
            <w:t>条</w:t>
          </w:r>
          <w:r>
            <w:rPr>
              <w:color w:val="auto"/>
            </w:rPr>
            <w:t>款摘要</w:t>
          </w:r>
          <w:r>
            <w:rPr>
              <w:color w:val="auto"/>
            </w:rPr>
            <w:tab/>
          </w:r>
          <w:r>
            <w:rPr>
              <w:color w:val="auto"/>
            </w:rPr>
            <w:t>1</w:t>
          </w:r>
          <w:r>
            <w:rPr>
              <w:color w:val="auto"/>
            </w:rPr>
            <w:fldChar w:fldCharType="end"/>
          </w:r>
        </w:p>
        <w:p>
          <w:pPr>
            <w:pStyle w:val="11"/>
            <w:tabs>
              <w:tab w:val="right" w:leader="dot" w:pos="9582"/>
            </w:tabs>
            <w:rPr>
              <w:color w:val="auto"/>
            </w:rPr>
          </w:pPr>
          <w:r>
            <w:rPr>
              <w:color w:val="auto"/>
            </w:rPr>
            <w:fldChar w:fldCharType="begin"/>
          </w:r>
          <w:r>
            <w:rPr>
              <w:color w:val="auto"/>
            </w:rPr>
            <w:instrText xml:space="preserve"> HYPERLINK \l "_TOC_250005" </w:instrText>
          </w:r>
          <w:r>
            <w:rPr>
              <w:color w:val="auto"/>
            </w:rPr>
            <w:fldChar w:fldCharType="separate"/>
          </w:r>
          <w:r>
            <w:rPr>
              <w:color w:val="auto"/>
            </w:rPr>
            <w:t>第</w:t>
          </w:r>
          <w:r>
            <w:rPr>
              <w:color w:val="auto"/>
              <w:spacing w:val="-3"/>
            </w:rPr>
            <w:t>一</w:t>
          </w:r>
          <w:r>
            <w:rPr>
              <w:color w:val="auto"/>
            </w:rPr>
            <w:t>章</w:t>
          </w:r>
          <w:r>
            <w:rPr>
              <w:color w:val="auto"/>
              <w:spacing w:val="1"/>
            </w:rPr>
            <w:t xml:space="preserve"> </w:t>
          </w:r>
          <w:r>
            <w:rPr>
              <w:color w:val="auto"/>
            </w:rPr>
            <w:t>招</w:t>
          </w:r>
          <w:r>
            <w:rPr>
              <w:color w:val="auto"/>
              <w:spacing w:val="-3"/>
            </w:rPr>
            <w:t>标</w:t>
          </w:r>
          <w:r>
            <w:rPr>
              <w:color w:val="auto"/>
            </w:rPr>
            <w:t>公告</w:t>
          </w:r>
          <w:r>
            <w:rPr>
              <w:color w:val="auto"/>
            </w:rPr>
            <w:tab/>
          </w:r>
          <w:r>
            <w:rPr>
              <w:color w:val="auto"/>
            </w:rPr>
            <w:t>7</w:t>
          </w:r>
          <w:r>
            <w:rPr>
              <w:color w:val="auto"/>
            </w:rPr>
            <w:fldChar w:fldCharType="end"/>
          </w:r>
        </w:p>
        <w:p>
          <w:pPr>
            <w:pStyle w:val="11"/>
            <w:tabs>
              <w:tab w:val="right" w:leader="dot" w:pos="9582"/>
            </w:tabs>
            <w:spacing w:before="143"/>
            <w:rPr>
              <w:color w:val="auto"/>
            </w:rPr>
          </w:pPr>
          <w:r>
            <w:rPr>
              <w:color w:val="auto"/>
            </w:rPr>
            <w:fldChar w:fldCharType="begin"/>
          </w:r>
          <w:r>
            <w:rPr>
              <w:color w:val="auto"/>
            </w:rPr>
            <w:instrText xml:space="preserve"> HYPERLINK \l "_TOC_250004" </w:instrText>
          </w:r>
          <w:r>
            <w:rPr>
              <w:color w:val="auto"/>
            </w:rPr>
            <w:fldChar w:fldCharType="separate"/>
          </w:r>
          <w:r>
            <w:rPr>
              <w:color w:val="auto"/>
            </w:rPr>
            <w:t>第</w:t>
          </w:r>
          <w:r>
            <w:rPr>
              <w:color w:val="auto"/>
              <w:spacing w:val="-3"/>
            </w:rPr>
            <w:t>二</w:t>
          </w:r>
          <w:r>
            <w:rPr>
              <w:color w:val="auto"/>
            </w:rPr>
            <w:t>章</w:t>
          </w:r>
          <w:r>
            <w:rPr>
              <w:color w:val="auto"/>
              <w:spacing w:val="1"/>
            </w:rPr>
            <w:t xml:space="preserve"> </w:t>
          </w:r>
          <w:r>
            <w:rPr>
              <w:color w:val="auto"/>
            </w:rPr>
            <w:t>投</w:t>
          </w:r>
          <w:r>
            <w:rPr>
              <w:color w:val="auto"/>
              <w:spacing w:val="-3"/>
            </w:rPr>
            <w:t>标</w:t>
          </w:r>
          <w:r>
            <w:rPr>
              <w:color w:val="auto"/>
            </w:rPr>
            <w:t>人须知</w:t>
          </w:r>
          <w:r>
            <w:rPr>
              <w:color w:val="auto"/>
            </w:rPr>
            <w:tab/>
          </w:r>
          <w:r>
            <w:rPr>
              <w:color w:val="auto"/>
            </w:rPr>
            <w:t>10</w:t>
          </w:r>
          <w:r>
            <w:rPr>
              <w:color w:val="auto"/>
            </w:rPr>
            <w:fldChar w:fldCharType="end"/>
          </w:r>
        </w:p>
        <w:p>
          <w:pPr>
            <w:pStyle w:val="11"/>
            <w:tabs>
              <w:tab w:val="right" w:leader="dot" w:pos="9582"/>
            </w:tabs>
            <w:rPr>
              <w:rFonts w:hint="eastAsia" w:eastAsia="宋体"/>
              <w:color w:val="auto"/>
              <w:lang w:val="en-US" w:eastAsia="zh-CN"/>
            </w:rPr>
          </w:pPr>
          <w:r>
            <w:rPr>
              <w:color w:val="auto"/>
            </w:rPr>
            <w:fldChar w:fldCharType="begin"/>
          </w:r>
          <w:r>
            <w:rPr>
              <w:color w:val="auto"/>
            </w:rPr>
            <w:instrText xml:space="preserve"> HYPERLINK \l "_TOC_250003" </w:instrText>
          </w:r>
          <w:r>
            <w:rPr>
              <w:color w:val="auto"/>
            </w:rPr>
            <w:fldChar w:fldCharType="separate"/>
          </w:r>
          <w:r>
            <w:rPr>
              <w:color w:val="auto"/>
            </w:rPr>
            <w:t>第</w:t>
          </w:r>
          <w:r>
            <w:rPr>
              <w:color w:val="auto"/>
              <w:spacing w:val="-3"/>
            </w:rPr>
            <w:t>三</w:t>
          </w:r>
          <w:r>
            <w:rPr>
              <w:color w:val="auto"/>
            </w:rPr>
            <w:t>章</w:t>
          </w:r>
          <w:r>
            <w:rPr>
              <w:color w:val="auto"/>
              <w:spacing w:val="1"/>
            </w:rPr>
            <w:t xml:space="preserve"> </w:t>
          </w:r>
          <w:r>
            <w:rPr>
              <w:color w:val="auto"/>
            </w:rPr>
            <w:t>评</w:t>
          </w:r>
          <w:r>
            <w:rPr>
              <w:color w:val="auto"/>
              <w:spacing w:val="-3"/>
            </w:rPr>
            <w:t>标</w:t>
          </w:r>
          <w:r>
            <w:rPr>
              <w:color w:val="auto"/>
            </w:rPr>
            <w:t>办</w:t>
          </w:r>
          <w:r>
            <w:rPr>
              <w:color w:val="auto"/>
              <w:spacing w:val="-3"/>
            </w:rPr>
            <w:t>法</w:t>
          </w:r>
          <w:r>
            <w:rPr>
              <w:color w:val="auto"/>
            </w:rPr>
            <w:t>(综</w:t>
          </w:r>
          <w:r>
            <w:rPr>
              <w:color w:val="auto"/>
              <w:spacing w:val="-3"/>
            </w:rPr>
            <w:t>合</w:t>
          </w:r>
          <w:r>
            <w:rPr>
              <w:color w:val="auto"/>
            </w:rPr>
            <w:t>评估</w:t>
          </w:r>
          <w:r>
            <w:rPr>
              <w:color w:val="auto"/>
              <w:spacing w:val="-3"/>
            </w:rPr>
            <w:t>法</w:t>
          </w:r>
          <w:r>
            <w:rPr>
              <w:color w:val="auto"/>
            </w:rPr>
            <w:t>)</w:t>
          </w:r>
          <w:r>
            <w:rPr>
              <w:color w:val="auto"/>
            </w:rPr>
            <w:tab/>
          </w:r>
          <w:r>
            <w:rPr>
              <w:rFonts w:hint="eastAsia"/>
              <w:color w:val="auto"/>
              <w:lang w:val="en-US" w:eastAsia="zh-CN"/>
            </w:rPr>
            <w:t>3</w:t>
          </w:r>
          <w:r>
            <w:rPr>
              <w:color w:val="auto"/>
            </w:rPr>
            <w:fldChar w:fldCharType="end"/>
          </w:r>
          <w:r>
            <w:rPr>
              <w:rFonts w:hint="eastAsia"/>
              <w:color w:val="auto"/>
              <w:lang w:val="en-US" w:eastAsia="zh-CN"/>
            </w:rPr>
            <w:t>1</w:t>
          </w:r>
        </w:p>
        <w:p>
          <w:pPr>
            <w:pStyle w:val="11"/>
            <w:tabs>
              <w:tab w:val="right" w:leader="dot" w:pos="9582"/>
            </w:tabs>
            <w:spacing w:before="141"/>
            <w:rPr>
              <w:color w:val="auto"/>
            </w:rPr>
          </w:pPr>
          <w:r>
            <w:rPr>
              <w:color w:val="auto"/>
            </w:rPr>
            <w:fldChar w:fldCharType="begin"/>
          </w:r>
          <w:r>
            <w:rPr>
              <w:color w:val="auto"/>
            </w:rPr>
            <w:instrText xml:space="preserve"> HYPERLINK \l "_TOC_250002" </w:instrText>
          </w:r>
          <w:r>
            <w:rPr>
              <w:color w:val="auto"/>
            </w:rPr>
            <w:fldChar w:fldCharType="separate"/>
          </w:r>
          <w:r>
            <w:rPr>
              <w:color w:val="auto"/>
            </w:rPr>
            <w:t>第</w:t>
          </w:r>
          <w:r>
            <w:rPr>
              <w:color w:val="auto"/>
              <w:spacing w:val="-3"/>
            </w:rPr>
            <w:t>四</w:t>
          </w:r>
          <w:r>
            <w:rPr>
              <w:color w:val="auto"/>
            </w:rPr>
            <w:t>章</w:t>
          </w:r>
          <w:r>
            <w:rPr>
              <w:color w:val="auto"/>
              <w:spacing w:val="1"/>
            </w:rPr>
            <w:t xml:space="preserve"> </w:t>
          </w:r>
          <w:r>
            <w:rPr>
              <w:color w:val="auto"/>
            </w:rPr>
            <w:t>合</w:t>
          </w:r>
          <w:r>
            <w:rPr>
              <w:color w:val="auto"/>
              <w:spacing w:val="-3"/>
            </w:rPr>
            <w:t>同</w:t>
          </w:r>
          <w:r>
            <w:rPr>
              <w:color w:val="auto"/>
            </w:rPr>
            <w:t>条款</w:t>
          </w:r>
          <w:r>
            <w:rPr>
              <w:color w:val="auto"/>
              <w:spacing w:val="-3"/>
            </w:rPr>
            <w:t>及</w:t>
          </w:r>
          <w:r>
            <w:rPr>
              <w:color w:val="auto"/>
            </w:rPr>
            <w:t>格式</w:t>
          </w:r>
          <w:r>
            <w:rPr>
              <w:color w:val="auto"/>
            </w:rPr>
            <w:tab/>
          </w:r>
          <w:r>
            <w:rPr>
              <w:color w:val="auto"/>
            </w:rPr>
            <w:t>3</w:t>
          </w:r>
          <w:r>
            <w:rPr>
              <w:rFonts w:hint="eastAsia"/>
              <w:color w:val="auto"/>
              <w:lang w:val="en-US" w:eastAsia="zh-CN"/>
            </w:rPr>
            <w:t>8</w:t>
          </w:r>
          <w:r>
            <w:rPr>
              <w:color w:val="auto"/>
            </w:rPr>
            <w:fldChar w:fldCharType="end"/>
          </w:r>
        </w:p>
        <w:p>
          <w:pPr>
            <w:pStyle w:val="11"/>
            <w:tabs>
              <w:tab w:val="right" w:leader="dot" w:pos="9582"/>
            </w:tabs>
            <w:spacing w:before="143"/>
            <w:rPr>
              <w:rFonts w:hint="eastAsia" w:eastAsia="宋体"/>
              <w:color w:val="auto"/>
              <w:lang w:val="en-US" w:eastAsia="zh-CN"/>
            </w:rPr>
          </w:pPr>
          <w:r>
            <w:rPr>
              <w:color w:val="auto"/>
            </w:rPr>
            <w:fldChar w:fldCharType="begin"/>
          </w:r>
          <w:r>
            <w:rPr>
              <w:color w:val="auto"/>
            </w:rPr>
            <w:instrText xml:space="preserve"> HYPERLINK \l "_TOC_250001" </w:instrText>
          </w:r>
          <w:r>
            <w:rPr>
              <w:color w:val="auto"/>
            </w:rPr>
            <w:fldChar w:fldCharType="separate"/>
          </w:r>
          <w:r>
            <w:rPr>
              <w:color w:val="auto"/>
            </w:rPr>
            <w:t>第</w:t>
          </w:r>
          <w:r>
            <w:rPr>
              <w:color w:val="auto"/>
              <w:spacing w:val="-3"/>
            </w:rPr>
            <w:t>五</w:t>
          </w:r>
          <w:r>
            <w:rPr>
              <w:color w:val="auto"/>
            </w:rPr>
            <w:t>章</w:t>
          </w:r>
          <w:r>
            <w:rPr>
              <w:color w:val="auto"/>
              <w:spacing w:val="1"/>
            </w:rPr>
            <w:t xml:space="preserve"> </w:t>
          </w:r>
          <w:r>
            <w:rPr>
              <w:color w:val="auto"/>
            </w:rPr>
            <w:t>委</w:t>
          </w:r>
          <w:r>
            <w:rPr>
              <w:color w:val="auto"/>
              <w:spacing w:val="-3"/>
            </w:rPr>
            <w:t>托</w:t>
          </w:r>
          <w:r>
            <w:rPr>
              <w:color w:val="auto"/>
            </w:rPr>
            <w:t>人要求</w:t>
          </w:r>
          <w:r>
            <w:rPr>
              <w:color w:val="auto"/>
            </w:rPr>
            <w:tab/>
          </w:r>
          <w:r>
            <w:rPr>
              <w:rFonts w:hint="eastAsia"/>
              <w:color w:val="auto"/>
              <w:lang w:val="en-US" w:eastAsia="zh-CN"/>
            </w:rPr>
            <w:t>6</w:t>
          </w:r>
          <w:r>
            <w:rPr>
              <w:color w:val="auto"/>
            </w:rPr>
            <w:fldChar w:fldCharType="end"/>
          </w:r>
          <w:r>
            <w:rPr>
              <w:rFonts w:hint="eastAsia"/>
              <w:color w:val="auto"/>
              <w:lang w:val="en-US" w:eastAsia="zh-CN"/>
            </w:rPr>
            <w:t>0</w:t>
          </w:r>
        </w:p>
        <w:p>
          <w:pPr>
            <w:pStyle w:val="11"/>
            <w:tabs>
              <w:tab w:val="left" w:pos="1516"/>
              <w:tab w:val="right" w:leader="dot" w:pos="9582"/>
            </w:tabs>
            <w:rPr>
              <w:color w:val="auto"/>
            </w:rPr>
          </w:pPr>
          <w:r>
            <w:rPr>
              <w:color w:val="auto"/>
            </w:rPr>
            <w:fldChar w:fldCharType="begin"/>
          </w:r>
          <w:r>
            <w:rPr>
              <w:color w:val="auto"/>
            </w:rPr>
            <w:instrText xml:space="preserve"> HYPERLINK \l "_TOC_250000" </w:instrText>
          </w:r>
          <w:r>
            <w:rPr>
              <w:color w:val="auto"/>
            </w:rPr>
            <w:fldChar w:fldCharType="separate"/>
          </w:r>
          <w:r>
            <w:rPr>
              <w:color w:val="auto"/>
            </w:rPr>
            <w:t>第</w:t>
          </w:r>
          <w:r>
            <w:rPr>
              <w:color w:val="auto"/>
              <w:spacing w:val="-3"/>
            </w:rPr>
            <w:t>六</w:t>
          </w:r>
          <w:r>
            <w:rPr>
              <w:color w:val="auto"/>
            </w:rPr>
            <w:t>章</w:t>
          </w:r>
          <w:r>
            <w:rPr>
              <w:rFonts w:hint="eastAsia"/>
              <w:color w:val="auto"/>
              <w:lang w:val="en-US" w:eastAsia="zh-CN"/>
            </w:rPr>
            <w:t xml:space="preserve"> </w:t>
          </w:r>
          <w:r>
            <w:rPr>
              <w:color w:val="auto"/>
            </w:rPr>
            <w:t>投</w:t>
          </w:r>
          <w:r>
            <w:rPr>
              <w:color w:val="auto"/>
              <w:spacing w:val="-3"/>
            </w:rPr>
            <w:t>标</w:t>
          </w:r>
          <w:r>
            <w:rPr>
              <w:color w:val="auto"/>
            </w:rPr>
            <w:t>文件</w:t>
          </w:r>
          <w:r>
            <w:rPr>
              <w:color w:val="auto"/>
              <w:spacing w:val="-3"/>
            </w:rPr>
            <w:t>格</w:t>
          </w:r>
          <w:r>
            <w:rPr>
              <w:color w:val="auto"/>
            </w:rPr>
            <w:t>式</w:t>
          </w:r>
          <w:r>
            <w:rPr>
              <w:color w:val="auto"/>
            </w:rPr>
            <w:tab/>
          </w:r>
          <w:r>
            <w:rPr>
              <w:rFonts w:hint="eastAsia"/>
              <w:color w:val="auto"/>
              <w:lang w:val="en-US" w:eastAsia="zh-CN"/>
            </w:rPr>
            <w:t>6</w:t>
          </w:r>
          <w:r>
            <w:rPr>
              <w:color w:val="auto"/>
            </w:rPr>
            <w:fldChar w:fldCharType="end"/>
          </w:r>
          <w:r>
            <w:rPr>
              <w:rFonts w:hint="eastAsia"/>
              <w:color w:val="auto"/>
              <w:lang w:val="en-US" w:eastAsia="zh-CN"/>
            </w:rPr>
            <w:t>2</w:t>
          </w:r>
        </w:p>
      </w:sdtContent>
    </w:sdt>
    <w:p>
      <w:pPr>
        <w:spacing w:after="0"/>
        <w:rPr>
          <w:color w:val="auto"/>
        </w:rPr>
        <w:sectPr>
          <w:pgSz w:w="11910" w:h="16840"/>
          <w:pgMar w:top="1360" w:right="1020" w:bottom="280" w:left="1020" w:header="720" w:footer="720" w:gutter="0"/>
          <w:pgBorders>
            <w:top w:val="none" w:sz="0" w:space="0"/>
            <w:left w:val="none" w:sz="0" w:space="0"/>
            <w:bottom w:val="none" w:sz="0" w:space="0"/>
            <w:right w:val="none" w:sz="0" w:space="0"/>
          </w:pgBorders>
          <w:cols w:space="720" w:num="1"/>
        </w:sectPr>
      </w:pPr>
    </w:p>
    <w:p>
      <w:pPr>
        <w:pStyle w:val="3"/>
        <w:spacing w:before="42"/>
        <w:ind w:left="0"/>
        <w:jc w:val="center"/>
        <w:rPr>
          <w:color w:val="auto"/>
        </w:rPr>
      </w:pPr>
      <w:bookmarkStart w:id="0" w:name="_TOC_250006"/>
      <w:bookmarkEnd w:id="0"/>
      <w:r>
        <w:rPr>
          <w:color w:val="auto"/>
        </w:rPr>
        <w:t>投标文件否决性条款摘要</w:t>
      </w:r>
    </w:p>
    <w:p>
      <w:pPr>
        <w:pStyle w:val="7"/>
        <w:spacing w:before="183" w:line="340" w:lineRule="auto"/>
        <w:ind w:right="396" w:firstLine="480"/>
        <w:jc w:val="both"/>
        <w:rPr>
          <w:color w:val="auto"/>
        </w:rPr>
      </w:pPr>
      <w:r>
        <w:rPr>
          <w:color w:val="auto"/>
          <w:spacing w:val="-7"/>
        </w:rPr>
        <w:t>重要提示：本摘要是本招标文件(含招标文件的澄清、修改、补充文件等)中涉及的</w:t>
      </w:r>
      <w:r>
        <w:rPr>
          <w:color w:val="auto"/>
          <w:spacing w:val="-5"/>
        </w:rPr>
        <w:t>所有否决性条款的集中列示，包括：招标文件规定的在开标会上当场宣布投标文件不予受理或为无效投标的情形，初步评审、详细评审阶段发现重大偏差的情形。除出现本摘</w:t>
      </w:r>
      <w:r>
        <w:rPr>
          <w:color w:val="auto"/>
          <w:spacing w:val="-4"/>
        </w:rPr>
        <w:t>要集中列示的否决性条款规定的情形以外，投标文件出现的其他任何情形均不得作否决</w:t>
      </w:r>
      <w:r>
        <w:rPr>
          <w:color w:val="auto"/>
          <w:spacing w:val="-7"/>
        </w:rPr>
        <w:t>处理。招标文件中有关否决性条款的阐述与本摘要所列内容不一致的，以本摘要列示的</w:t>
      </w:r>
      <w:r>
        <w:rPr>
          <w:color w:val="auto"/>
        </w:rPr>
        <w:t>内容为准。</w:t>
      </w:r>
    </w:p>
    <w:p>
      <w:pPr>
        <w:pStyle w:val="7"/>
        <w:spacing w:line="340" w:lineRule="auto"/>
        <w:ind w:right="348" w:firstLine="480"/>
        <w:jc w:val="both"/>
        <w:rPr>
          <w:color w:val="auto"/>
        </w:rPr>
      </w:pPr>
      <w:r>
        <w:rPr>
          <w:color w:val="auto"/>
        </w:rPr>
        <w:t>如招标人通过招标文件的澄清（答疑）</w:t>
      </w:r>
      <w:r>
        <w:rPr>
          <w:color w:val="auto"/>
          <w:spacing w:val="-1"/>
        </w:rPr>
        <w:t xml:space="preserve">、修改、补充文件予以增加否决性条款的， </w:t>
      </w:r>
      <w:r>
        <w:rPr>
          <w:color w:val="auto"/>
          <w:spacing w:val="-14"/>
        </w:rPr>
        <w:t>招标人应当重新编写本摘要内容，将新增否决性条款列入本摘要，并发布新的完整的《投标文件否决性条款摘要》。否则，增加的否决性条款无效。</w:t>
      </w:r>
    </w:p>
    <w:p>
      <w:pPr>
        <w:pStyle w:val="7"/>
        <w:spacing w:line="338" w:lineRule="auto"/>
        <w:ind w:right="335" w:firstLine="480"/>
        <w:rPr>
          <w:color w:val="auto"/>
        </w:rPr>
      </w:pPr>
      <w:r>
        <w:rPr>
          <w:color w:val="auto"/>
        </w:rPr>
        <w:t>招标人应派代表参加开标会，并负责在开标会上判定投标文件不予受理或为无效投标的情形。</w:t>
      </w:r>
    </w:p>
    <w:p>
      <w:pPr>
        <w:pStyle w:val="7"/>
        <w:spacing w:line="340" w:lineRule="auto"/>
        <w:ind w:right="392" w:firstLine="480"/>
        <w:jc w:val="both"/>
        <w:rPr>
          <w:color w:val="auto"/>
        </w:rPr>
      </w:pPr>
      <w:r>
        <w:rPr>
          <w:color w:val="auto"/>
          <w:spacing w:val="3"/>
        </w:rPr>
        <w:t>评标委员会应将在初步评审阶段和详细评审阶段发现的投标文件中的重大偏差情</w:t>
      </w:r>
      <w:r>
        <w:rPr>
          <w:color w:val="auto"/>
          <w:spacing w:val="-4"/>
        </w:rPr>
        <w:t>况列入评标报告中的“否决投标情况说明”，对该投标文件作否决处理；对于发现的其他偏差情况应列入细微偏差，向招标人提出相关意见和建议，但不得对该投标作否决处</w:t>
      </w:r>
      <w:r>
        <w:rPr>
          <w:color w:val="auto"/>
        </w:rPr>
        <w:t>理。</w:t>
      </w:r>
    </w:p>
    <w:p>
      <w:pPr>
        <w:pStyle w:val="5"/>
        <w:spacing w:line="303" w:lineRule="exact"/>
        <w:ind w:left="876"/>
        <w:rPr>
          <w:rFonts w:ascii="宋体" w:hAnsi="宋体" w:eastAsia="宋体" w:cs="宋体"/>
          <w:b/>
          <w:bCs/>
          <w:color w:val="auto"/>
          <w:sz w:val="24"/>
          <w:szCs w:val="24"/>
          <w:lang w:val="zh-CN" w:eastAsia="zh-CN" w:bidi="zh-CN"/>
        </w:rPr>
      </w:pPr>
      <w:bookmarkStart w:id="1" w:name="一、在开标会上，判定投标文件不予受理或为无效投标的情形（由招标人负责判定）： "/>
      <w:bookmarkEnd w:id="1"/>
      <w:r>
        <w:rPr>
          <w:rFonts w:ascii="宋体" w:hAnsi="宋体" w:eastAsia="宋体" w:cs="宋体"/>
          <w:b/>
          <w:bCs/>
          <w:color w:val="auto"/>
          <w:sz w:val="24"/>
          <w:szCs w:val="24"/>
          <w:lang w:val="zh-CN" w:eastAsia="zh-CN" w:bidi="zh-CN"/>
        </w:rPr>
        <w:t>一、在开标会上，判定投标文件不予受理或为无效投标的情形（由招标人负责判定）：</w:t>
      </w:r>
    </w:p>
    <w:p>
      <w:pPr>
        <w:pStyle w:val="7"/>
        <w:spacing w:before="125"/>
        <w:ind w:left="876"/>
        <w:rPr>
          <w:b/>
          <w:bCs/>
          <w:color w:val="auto"/>
        </w:rPr>
      </w:pPr>
      <w:r>
        <w:rPr>
          <w:b/>
          <w:bCs/>
          <w:color w:val="auto"/>
        </w:rPr>
        <w:t>（一）判定投标文件不予受理的情形：</w:t>
      </w:r>
    </w:p>
    <w:p>
      <w:pPr>
        <w:pStyle w:val="7"/>
        <w:spacing w:before="129"/>
        <w:ind w:left="876"/>
        <w:rPr>
          <w:color w:val="auto"/>
        </w:rPr>
      </w:pPr>
      <w:r>
        <w:rPr>
          <w:color w:val="auto"/>
        </w:rPr>
        <w:t>1、无投标邀请书原件（适用于邀请招标）；</w:t>
      </w:r>
    </w:p>
    <w:p>
      <w:pPr>
        <w:pStyle w:val="7"/>
        <w:spacing w:before="129"/>
        <w:ind w:left="876"/>
        <w:rPr>
          <w:color w:val="auto"/>
        </w:rPr>
      </w:pPr>
      <w:r>
        <w:rPr>
          <w:color w:val="auto"/>
        </w:rPr>
        <w:t>2、未按规定办理投标登记手续或未向招标代理机构购买招标文件的；</w:t>
      </w:r>
    </w:p>
    <w:p>
      <w:pPr>
        <w:pStyle w:val="7"/>
        <w:spacing w:before="127"/>
        <w:ind w:left="876"/>
        <w:rPr>
          <w:color w:val="auto"/>
        </w:rPr>
      </w:pPr>
      <w:r>
        <w:rPr>
          <w:color w:val="auto"/>
        </w:rPr>
        <w:t>3、投标文件在投标截止时间以后送达或者未送达指定地点；</w:t>
      </w:r>
    </w:p>
    <w:p>
      <w:pPr>
        <w:pStyle w:val="7"/>
        <w:spacing w:before="130" w:line="340" w:lineRule="auto"/>
        <w:ind w:right="348" w:firstLine="480"/>
        <w:jc w:val="both"/>
        <w:rPr>
          <w:color w:val="auto"/>
        </w:rPr>
      </w:pPr>
      <w:r>
        <w:rPr>
          <w:color w:val="auto"/>
        </w:rPr>
        <w:t>4、投标文件外封套上载明的投标人名称与投标登记时的投标人名称不一致（已在市场监督管理部门及建设行政主管部门办理了工商更名登记手续及相关证书更名手续， 且在开标的 1 个工作日之前已向招标代理机构和集中交易机构报备的除外）；</w:t>
      </w:r>
    </w:p>
    <w:p>
      <w:pPr>
        <w:pStyle w:val="7"/>
        <w:spacing w:line="303" w:lineRule="exact"/>
        <w:ind w:left="876"/>
        <w:rPr>
          <w:color w:val="auto"/>
        </w:rPr>
      </w:pPr>
      <w:r>
        <w:rPr>
          <w:color w:val="auto"/>
        </w:rPr>
        <w:t>5、投标人未按要求出示投标担保金提交凭证或投标担保金未按规定要求提交；</w:t>
      </w:r>
    </w:p>
    <w:p>
      <w:pPr>
        <w:pStyle w:val="7"/>
        <w:spacing w:before="129" w:line="340" w:lineRule="auto"/>
        <w:ind w:right="395" w:firstLine="480"/>
        <w:rPr>
          <w:color w:val="auto"/>
        </w:rPr>
      </w:pPr>
      <w:r>
        <w:rPr>
          <w:color w:val="auto"/>
        </w:rPr>
        <w:t>6、投标文件未按要求密封、标记，或因错放或密封不牢靠而造成提前开封的，具体要求见本招标文件相应条款；</w:t>
      </w:r>
    </w:p>
    <w:p>
      <w:pPr>
        <w:pStyle w:val="7"/>
        <w:spacing w:line="340" w:lineRule="auto"/>
        <w:ind w:right="395" w:firstLine="480"/>
        <w:rPr>
          <w:color w:val="auto"/>
        </w:rPr>
      </w:pPr>
      <w:r>
        <w:rPr>
          <w:color w:val="auto"/>
        </w:rPr>
        <w:t>7、在本招标项目历次招标时，无正当理由放弃中标或者在投标截止后撤销投标文件，造成招标人重新招标的。</w:t>
      </w:r>
    </w:p>
    <w:p>
      <w:pPr>
        <w:pStyle w:val="5"/>
        <w:spacing w:line="305" w:lineRule="exact"/>
        <w:ind w:left="876"/>
        <w:rPr>
          <w:color w:val="auto"/>
        </w:rPr>
      </w:pPr>
      <w:r>
        <w:rPr>
          <w:color w:val="auto"/>
        </w:rPr>
        <w:t>注：投标文件出现上述情形被判定不予受理的，招标人将原封退回该投标文件。</w:t>
      </w:r>
    </w:p>
    <w:p>
      <w:pPr>
        <w:pStyle w:val="5"/>
        <w:spacing w:before="127"/>
        <w:ind w:left="876"/>
        <w:rPr>
          <w:color w:val="auto"/>
        </w:rPr>
      </w:pPr>
      <w:r>
        <w:rPr>
          <w:color w:val="auto"/>
        </w:rPr>
        <w:t>（二）宣布投标文件为无效投标的情形：</w:t>
      </w:r>
    </w:p>
    <w:p>
      <w:pPr>
        <w:pStyle w:val="7"/>
        <w:spacing w:before="129"/>
        <w:ind w:left="876"/>
        <w:rPr>
          <w:color w:val="auto"/>
        </w:rPr>
        <w:sectPr>
          <w:footerReference r:id="rId5" w:type="default"/>
          <w:pgSz w:w="11910" w:h="16840"/>
          <w:pgMar w:top="1360" w:right="1020" w:bottom="900" w:left="1020" w:header="0" w:footer="720" w:gutter="0"/>
          <w:pgBorders>
            <w:top w:val="none" w:sz="0" w:space="0"/>
            <w:left w:val="none" w:sz="0" w:space="0"/>
            <w:bottom w:val="none" w:sz="0" w:space="0"/>
            <w:right w:val="none" w:sz="0" w:space="0"/>
          </w:pgBorders>
          <w:pgNumType w:fmt="decimal" w:start="1"/>
          <w:cols w:space="720" w:num="1"/>
        </w:sectPr>
      </w:pPr>
      <w:r>
        <w:rPr>
          <w:color w:val="auto"/>
        </w:rPr>
        <w:t>1、投标文件中投标人名称与投标登记的名称不符的（已在市场监督管理部门及建</w:t>
      </w:r>
    </w:p>
    <w:p>
      <w:pPr>
        <w:pStyle w:val="7"/>
        <w:spacing w:before="41" w:line="338" w:lineRule="auto"/>
        <w:ind w:right="396"/>
        <w:rPr>
          <w:color w:val="auto"/>
        </w:rPr>
      </w:pPr>
      <w:r>
        <w:rPr>
          <w:color w:val="auto"/>
          <w:spacing w:val="-4"/>
        </w:rPr>
        <w:t xml:space="preserve">设行政主管部门办理了工商更名登记手续及相关证书更名手续，且在开标的 </w:t>
      </w:r>
      <w:r>
        <w:rPr>
          <w:color w:val="auto"/>
        </w:rPr>
        <w:t>1</w:t>
      </w:r>
      <w:r>
        <w:rPr>
          <w:color w:val="auto"/>
          <w:spacing w:val="-16"/>
        </w:rPr>
        <w:t xml:space="preserve"> 个工作日</w:t>
      </w:r>
      <w:r>
        <w:rPr>
          <w:color w:val="auto"/>
        </w:rPr>
        <w:t>之前已向招标代理机构和集中交易机构报备的除外）；</w:t>
      </w:r>
    </w:p>
    <w:p>
      <w:pPr>
        <w:pStyle w:val="7"/>
        <w:spacing w:before="4"/>
        <w:ind w:left="876"/>
        <w:rPr>
          <w:color w:val="auto"/>
        </w:rPr>
      </w:pPr>
      <w:r>
        <w:rPr>
          <w:color w:val="auto"/>
        </w:rPr>
        <w:t>2、投标文件的装订不符合要求，具体要求见本招标文件相应条款；</w:t>
      </w:r>
    </w:p>
    <w:p>
      <w:pPr>
        <w:pStyle w:val="7"/>
        <w:spacing w:before="127"/>
        <w:ind w:left="876"/>
        <w:rPr>
          <w:color w:val="auto"/>
        </w:rPr>
      </w:pPr>
      <w:r>
        <w:rPr>
          <w:color w:val="auto"/>
        </w:rPr>
        <w:t>3、投标文件的份数不满足要求，具体要求见本招标文件相应条款；</w:t>
      </w:r>
    </w:p>
    <w:p>
      <w:pPr>
        <w:pStyle w:val="7"/>
        <w:spacing w:before="129" w:line="338" w:lineRule="auto"/>
        <w:ind w:right="395" w:firstLine="480"/>
        <w:rPr>
          <w:color w:val="auto"/>
        </w:rPr>
      </w:pPr>
      <w:r>
        <w:rPr>
          <w:color w:val="auto"/>
        </w:rPr>
        <w:t>4、未在投标函上填写投标报价或投标报价高于招标控制价（最高投标限价）或投标报价形式不符合招标文件要求。</w:t>
      </w:r>
    </w:p>
    <w:p>
      <w:pPr>
        <w:pStyle w:val="7"/>
        <w:spacing w:before="4" w:line="340" w:lineRule="auto"/>
        <w:ind w:right="396" w:firstLine="480"/>
        <w:rPr>
          <w:b/>
          <w:bCs/>
          <w:color w:val="auto"/>
        </w:rPr>
      </w:pPr>
      <w:r>
        <w:rPr>
          <w:b/>
          <w:bCs/>
          <w:color w:val="auto"/>
          <w:spacing w:val="-7"/>
        </w:rPr>
        <w:t>注：投标文件出现上述情形在开标会上被宣布为无效投标后，不再经评标委员会确</w:t>
      </w:r>
      <w:r>
        <w:rPr>
          <w:b/>
          <w:bCs/>
          <w:color w:val="auto"/>
        </w:rPr>
        <w:t>认，亦不进入评标程序，该投标文件不予退回。</w:t>
      </w:r>
    </w:p>
    <w:p>
      <w:pPr>
        <w:pStyle w:val="7"/>
        <w:spacing w:before="3"/>
        <w:ind w:left="0"/>
        <w:rPr>
          <w:color w:val="auto"/>
          <w:sz w:val="26"/>
        </w:rPr>
      </w:pPr>
    </w:p>
    <w:p>
      <w:pPr>
        <w:numPr>
          <w:ilvl w:val="0"/>
          <w:numId w:val="1"/>
        </w:numPr>
        <w:spacing w:before="1" w:line="338" w:lineRule="auto"/>
        <w:ind w:left="876" w:right="276" w:firstLine="0"/>
        <w:jc w:val="left"/>
        <w:rPr>
          <w:b/>
          <w:color w:val="auto"/>
          <w:spacing w:val="-15"/>
          <w:sz w:val="24"/>
        </w:rPr>
      </w:pPr>
      <w:bookmarkStart w:id="2" w:name="二、初步评审阶段和详细评审阶段有下列情形之一的，评标委员会应当否决其投标： "/>
      <w:bookmarkEnd w:id="2"/>
      <w:r>
        <w:rPr>
          <w:b/>
          <w:color w:val="auto"/>
          <w:spacing w:val="-15"/>
          <w:sz w:val="24"/>
        </w:rPr>
        <w:t>初步评审阶段和详细评审阶段有下列情形之一的，评标委员会应当否决其投标：</w:t>
      </w:r>
    </w:p>
    <w:p>
      <w:pPr>
        <w:numPr>
          <w:ilvl w:val="0"/>
          <w:numId w:val="0"/>
        </w:numPr>
        <w:spacing w:before="1" w:line="338" w:lineRule="auto"/>
        <w:ind w:left="876" w:leftChars="0" w:right="276" w:rightChars="0"/>
        <w:jc w:val="left"/>
        <w:rPr>
          <w:color w:val="auto"/>
          <w:sz w:val="24"/>
        </w:rPr>
      </w:pPr>
      <w:r>
        <w:rPr>
          <w:color w:val="auto"/>
          <w:sz w:val="24"/>
        </w:rPr>
        <w:t>1、投标人不符合国家或者招标文件规定的资格条件；</w:t>
      </w:r>
    </w:p>
    <w:p>
      <w:pPr>
        <w:pStyle w:val="7"/>
        <w:spacing w:before="4" w:line="340" w:lineRule="auto"/>
        <w:ind w:right="396" w:firstLine="480"/>
        <w:jc w:val="both"/>
        <w:rPr>
          <w:color w:val="auto"/>
        </w:rPr>
      </w:pPr>
      <w:r>
        <w:rPr>
          <w:color w:val="auto"/>
        </w:rPr>
        <w:t>2、评标委员会要求澄清、说明、补正，投标人拒不进行澄清、说明、补正的；或</w:t>
      </w:r>
      <w:r>
        <w:rPr>
          <w:color w:val="auto"/>
          <w:spacing w:val="-3"/>
        </w:rPr>
        <w:t>评标委员会根据评标办法对投标文件的计算错误进行修正后，投标人不接受修正后的投</w:t>
      </w:r>
      <w:r>
        <w:rPr>
          <w:color w:val="auto"/>
        </w:rPr>
        <w:t>标报价；</w:t>
      </w:r>
    </w:p>
    <w:p>
      <w:pPr>
        <w:pStyle w:val="7"/>
        <w:spacing w:line="306" w:lineRule="exact"/>
        <w:ind w:left="876"/>
        <w:rPr>
          <w:color w:val="auto"/>
        </w:rPr>
      </w:pPr>
      <w:r>
        <w:rPr>
          <w:color w:val="auto"/>
        </w:rPr>
        <w:t>3、投标报价更改了不可竞争费用或低于投标人的成本；</w:t>
      </w:r>
    </w:p>
    <w:p>
      <w:pPr>
        <w:pStyle w:val="7"/>
        <w:spacing w:before="127"/>
        <w:ind w:left="876"/>
        <w:rPr>
          <w:color w:val="auto"/>
        </w:rPr>
      </w:pPr>
      <w:r>
        <w:rPr>
          <w:color w:val="auto"/>
        </w:rPr>
        <w:t>4、投标文件附有明显有失公允，招标人不能接受的条件；</w:t>
      </w:r>
    </w:p>
    <w:p>
      <w:pPr>
        <w:pStyle w:val="7"/>
        <w:spacing w:before="129"/>
        <w:ind w:left="876"/>
        <w:rPr>
          <w:color w:val="auto"/>
        </w:rPr>
      </w:pPr>
      <w:r>
        <w:rPr>
          <w:color w:val="auto"/>
        </w:rPr>
        <w:t>5、投标人有以他人的名义投标、串通投标、弄虚作假、行贿等违法行为；</w:t>
      </w:r>
    </w:p>
    <w:p>
      <w:pPr>
        <w:pStyle w:val="7"/>
        <w:spacing w:before="129"/>
        <w:ind w:left="876"/>
        <w:rPr>
          <w:color w:val="auto"/>
        </w:rPr>
      </w:pPr>
      <w:r>
        <w:rPr>
          <w:color w:val="auto"/>
        </w:rPr>
        <w:t>6、技术文件（如有）经评标委员会评审为不合格的；</w:t>
      </w:r>
    </w:p>
    <w:p>
      <w:pPr>
        <w:pStyle w:val="7"/>
        <w:spacing w:before="127"/>
        <w:ind w:left="876"/>
        <w:rPr>
          <w:color w:val="auto"/>
        </w:rPr>
      </w:pPr>
      <w:r>
        <w:rPr>
          <w:color w:val="auto"/>
        </w:rPr>
        <w:t>7、法律、法规、规章规定的其他情形。</w:t>
      </w:r>
    </w:p>
    <w:p>
      <w:pPr>
        <w:pStyle w:val="7"/>
        <w:spacing w:before="129"/>
        <w:ind w:left="876"/>
        <w:rPr>
          <w:b/>
          <w:bCs/>
          <w:color w:val="auto"/>
        </w:rPr>
      </w:pPr>
      <w:r>
        <w:rPr>
          <w:b/>
          <w:bCs/>
          <w:color w:val="auto"/>
        </w:rPr>
        <w:t>注：以他人的名义投标、串通投标、弄虚作假的行为认定</w:t>
      </w:r>
    </w:p>
    <w:p>
      <w:pPr>
        <w:pStyle w:val="15"/>
        <w:numPr>
          <w:ilvl w:val="0"/>
          <w:numId w:val="2"/>
        </w:numPr>
        <w:tabs>
          <w:tab w:val="left" w:pos="1357"/>
        </w:tabs>
        <w:spacing w:before="127" w:after="0" w:line="340" w:lineRule="auto"/>
        <w:ind w:left="395" w:right="396" w:firstLine="360"/>
        <w:jc w:val="left"/>
        <w:rPr>
          <w:color w:val="auto"/>
          <w:sz w:val="24"/>
        </w:rPr>
      </w:pPr>
      <w:r>
        <w:rPr>
          <w:color w:val="auto"/>
          <w:spacing w:val="-3"/>
          <w:sz w:val="24"/>
        </w:rPr>
        <w:t>使用通过受让或者租借等方式获取的资格、资质证书投标的，属于以他人名义</w:t>
      </w:r>
      <w:r>
        <w:rPr>
          <w:color w:val="auto"/>
          <w:sz w:val="24"/>
        </w:rPr>
        <w:t>投标。</w:t>
      </w:r>
    </w:p>
    <w:p>
      <w:pPr>
        <w:pStyle w:val="15"/>
        <w:numPr>
          <w:ilvl w:val="0"/>
          <w:numId w:val="2"/>
        </w:numPr>
        <w:tabs>
          <w:tab w:val="left" w:pos="1357"/>
        </w:tabs>
        <w:spacing w:before="0" w:after="0" w:line="305" w:lineRule="exact"/>
        <w:ind w:left="1357" w:right="0" w:hanging="601"/>
        <w:jc w:val="left"/>
        <w:rPr>
          <w:color w:val="auto"/>
          <w:sz w:val="24"/>
        </w:rPr>
      </w:pPr>
      <w:r>
        <w:rPr>
          <w:color w:val="auto"/>
          <w:sz w:val="24"/>
        </w:rPr>
        <w:t>有下列情形之一的，属于投标人相互串通投标：</w:t>
      </w:r>
    </w:p>
    <w:p>
      <w:pPr>
        <w:pStyle w:val="7"/>
        <w:spacing w:before="129"/>
        <w:ind w:left="876"/>
        <w:rPr>
          <w:color w:val="auto"/>
        </w:rPr>
      </w:pPr>
      <w:r>
        <w:rPr>
          <w:color w:val="auto"/>
        </w:rPr>
        <w:t>① 投标人之间协商投标报价等投标文件的实质性内容；</w:t>
      </w:r>
    </w:p>
    <w:p>
      <w:pPr>
        <w:pStyle w:val="7"/>
        <w:spacing w:before="127"/>
        <w:ind w:left="876"/>
        <w:rPr>
          <w:color w:val="auto"/>
        </w:rPr>
      </w:pPr>
      <w:r>
        <w:rPr>
          <w:color w:val="auto"/>
        </w:rPr>
        <w:t>② 投标人之间约定中标人；</w:t>
      </w:r>
    </w:p>
    <w:p>
      <w:pPr>
        <w:pStyle w:val="7"/>
        <w:spacing w:before="130"/>
        <w:ind w:left="876"/>
        <w:rPr>
          <w:color w:val="auto"/>
        </w:rPr>
      </w:pPr>
      <w:r>
        <w:rPr>
          <w:color w:val="auto"/>
        </w:rPr>
        <w:t>③ 投标人之间约定部分投标人放弃投标或者中标；</w:t>
      </w:r>
    </w:p>
    <w:p>
      <w:pPr>
        <w:pStyle w:val="7"/>
        <w:spacing w:before="127"/>
        <w:ind w:left="876"/>
        <w:rPr>
          <w:color w:val="auto"/>
        </w:rPr>
      </w:pPr>
      <w:r>
        <w:rPr>
          <w:color w:val="auto"/>
        </w:rPr>
        <w:t>④ 属于同一集团、协会、商会等组织成员的投标人按照该组织要求协同投标；</w:t>
      </w:r>
    </w:p>
    <w:p>
      <w:pPr>
        <w:pStyle w:val="7"/>
        <w:spacing w:before="129" w:line="360" w:lineRule="auto"/>
        <w:ind w:left="876"/>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⑤ 投标人之间为谋取中标或者排斥特定投标人而采取的其他联合行动。</w:t>
      </w:r>
    </w:p>
    <w:p>
      <w:pPr>
        <w:pStyle w:val="15"/>
        <w:numPr>
          <w:ilvl w:val="0"/>
          <w:numId w:val="2"/>
        </w:numPr>
        <w:tabs>
          <w:tab w:val="left" w:pos="1357"/>
        </w:tabs>
        <w:spacing w:before="0" w:after="0" w:line="240" w:lineRule="auto"/>
        <w:ind w:left="1357" w:right="0" w:hanging="601"/>
        <w:jc w:val="left"/>
        <w:rPr>
          <w:color w:val="auto"/>
          <w:sz w:val="24"/>
        </w:rPr>
      </w:pPr>
      <w:r>
        <w:rPr>
          <w:color w:val="auto"/>
          <w:sz w:val="24"/>
        </w:rPr>
        <w:t>有下列情形之一的，视为投标人相互串通投标：</w:t>
      </w:r>
    </w:p>
    <w:p>
      <w:pPr>
        <w:pStyle w:val="7"/>
        <w:spacing w:before="127"/>
        <w:ind w:left="876"/>
        <w:rPr>
          <w:color w:val="auto"/>
        </w:rPr>
      </w:pPr>
      <w:r>
        <w:rPr>
          <w:color w:val="auto"/>
        </w:rPr>
        <w:t>① 不同投标人的投标文件由同一单位或者个人编制；</w:t>
      </w:r>
    </w:p>
    <w:p>
      <w:pPr>
        <w:pStyle w:val="7"/>
        <w:spacing w:before="129"/>
        <w:ind w:left="876"/>
        <w:rPr>
          <w:color w:val="auto"/>
        </w:rPr>
      </w:pPr>
      <w:r>
        <w:rPr>
          <w:color w:val="auto"/>
        </w:rPr>
        <w:t>② 不同投标人委托同一单位或者个人办理投标事宜；</w:t>
      </w:r>
    </w:p>
    <w:p>
      <w:pPr>
        <w:pStyle w:val="7"/>
        <w:spacing w:before="127"/>
        <w:ind w:left="876"/>
        <w:rPr>
          <w:color w:val="auto"/>
        </w:rPr>
      </w:pPr>
      <w:r>
        <w:rPr>
          <w:color w:val="auto"/>
        </w:rPr>
        <w:t>③ 不同投标人的投标文件载明的项目管理成员为同一人；</w:t>
      </w:r>
    </w:p>
    <w:p>
      <w:pPr>
        <w:spacing w:after="0"/>
        <w:rPr>
          <w:color w:val="auto"/>
        </w:rPr>
        <w:sectPr>
          <w:pgSz w:w="11910" w:h="16840"/>
          <w:pgMar w:top="1360" w:right="1020" w:bottom="900" w:left="1020" w:header="0" w:footer="720" w:gutter="0"/>
          <w:pgBorders>
            <w:top w:val="none" w:sz="0" w:space="0"/>
            <w:left w:val="none" w:sz="0" w:space="0"/>
            <w:bottom w:val="none" w:sz="0" w:space="0"/>
            <w:right w:val="none" w:sz="0" w:space="0"/>
          </w:pgBorders>
          <w:pgNumType w:fmt="decimal"/>
          <w:cols w:space="720" w:num="1"/>
        </w:sectPr>
      </w:pPr>
    </w:p>
    <w:p>
      <w:pPr>
        <w:pStyle w:val="7"/>
        <w:spacing w:before="41"/>
        <w:ind w:left="876"/>
        <w:rPr>
          <w:color w:val="auto"/>
        </w:rPr>
      </w:pPr>
      <w:r>
        <w:rPr>
          <w:color w:val="auto"/>
        </w:rPr>
        <w:t>④ 不同投标人编制的投标文件的实质性内容存在两处以上细节错误一致；</w:t>
      </w:r>
    </w:p>
    <w:p>
      <w:pPr>
        <w:pStyle w:val="7"/>
        <w:spacing w:before="127"/>
        <w:ind w:left="876"/>
        <w:rPr>
          <w:color w:val="auto"/>
        </w:rPr>
      </w:pPr>
      <w:r>
        <w:rPr>
          <w:color w:val="auto"/>
        </w:rPr>
        <w:t>⑤ 不同投标人的投标文件相互混装；</w:t>
      </w:r>
    </w:p>
    <w:p>
      <w:pPr>
        <w:pStyle w:val="7"/>
        <w:spacing w:before="129" w:line="338" w:lineRule="auto"/>
        <w:ind w:right="635" w:firstLine="480"/>
        <w:rPr>
          <w:color w:val="auto"/>
        </w:rPr>
      </w:pPr>
      <w:r>
        <w:rPr>
          <w:color w:val="auto"/>
        </w:rPr>
        <w:t>⑥ 不同投标人的投标保证金从投标人各自的基本账户转出，但是，所需资金来自同一单位或者个人账户；</w:t>
      </w:r>
    </w:p>
    <w:p>
      <w:pPr>
        <w:pStyle w:val="7"/>
        <w:spacing w:before="4" w:line="338" w:lineRule="auto"/>
        <w:ind w:right="635" w:firstLine="480"/>
        <w:rPr>
          <w:color w:val="auto"/>
        </w:rPr>
      </w:pPr>
      <w:r>
        <w:rPr>
          <w:color w:val="auto"/>
        </w:rPr>
        <w:t>⑦ 不同投标人的投标文件由同一电子设备编制、打包加密或者上传，不同投标人的投标文件由同一投标人的电子设备打印、复印；</w:t>
      </w:r>
    </w:p>
    <w:p>
      <w:pPr>
        <w:pStyle w:val="7"/>
        <w:spacing w:before="4"/>
        <w:ind w:left="876"/>
        <w:rPr>
          <w:color w:val="auto"/>
        </w:rPr>
      </w:pPr>
      <w:r>
        <w:rPr>
          <w:color w:val="auto"/>
        </w:rPr>
        <w:t>⑧ 不同投标人的投标文件由同一投标人送达或者分发；</w:t>
      </w:r>
    </w:p>
    <w:p>
      <w:pPr>
        <w:pStyle w:val="7"/>
        <w:spacing w:before="130"/>
        <w:ind w:left="876"/>
        <w:rPr>
          <w:color w:val="auto"/>
        </w:rPr>
      </w:pPr>
      <w:r>
        <w:rPr>
          <w:color w:val="auto"/>
        </w:rPr>
        <w:t>⑨ 参加投标活动的人员为同一标段其他投标人的在职人员。</w:t>
      </w:r>
    </w:p>
    <w:p>
      <w:pPr>
        <w:pStyle w:val="7"/>
        <w:spacing w:before="127"/>
        <w:ind w:left="876"/>
        <w:rPr>
          <w:color w:val="auto"/>
        </w:rPr>
      </w:pPr>
      <w:r>
        <w:rPr>
          <w:color w:val="auto"/>
        </w:rPr>
        <w:t>⑩ 法律、行政法规规定的其他禁止情形。</w:t>
      </w:r>
    </w:p>
    <w:p>
      <w:pPr>
        <w:pStyle w:val="15"/>
        <w:numPr>
          <w:ilvl w:val="0"/>
          <w:numId w:val="2"/>
        </w:numPr>
        <w:tabs>
          <w:tab w:val="left" w:pos="1456"/>
        </w:tabs>
        <w:spacing w:before="129" w:after="0" w:line="240" w:lineRule="auto"/>
        <w:ind w:left="1455" w:right="0" w:hanging="602"/>
        <w:jc w:val="left"/>
        <w:rPr>
          <w:color w:val="auto"/>
          <w:sz w:val="24"/>
        </w:rPr>
      </w:pPr>
      <w:r>
        <w:rPr>
          <w:color w:val="auto"/>
          <w:sz w:val="24"/>
        </w:rPr>
        <w:t>投标人有下列情形之一的，属于以其他方式弄虚作假的行为：</w:t>
      </w:r>
    </w:p>
    <w:p>
      <w:pPr>
        <w:pStyle w:val="7"/>
        <w:spacing w:before="127"/>
        <w:ind w:left="734"/>
        <w:rPr>
          <w:color w:val="auto"/>
        </w:rPr>
      </w:pPr>
      <w:r>
        <w:rPr>
          <w:color w:val="auto"/>
        </w:rPr>
        <w:t>① 使用伪造、变造的许可证件；</w:t>
      </w:r>
    </w:p>
    <w:p>
      <w:pPr>
        <w:pStyle w:val="7"/>
        <w:spacing w:before="129"/>
        <w:ind w:left="734"/>
        <w:rPr>
          <w:color w:val="auto"/>
        </w:rPr>
      </w:pPr>
      <w:r>
        <w:rPr>
          <w:color w:val="auto"/>
        </w:rPr>
        <w:t>② 提供虚假的财务状况或者业绩；</w:t>
      </w:r>
    </w:p>
    <w:p>
      <w:pPr>
        <w:pStyle w:val="7"/>
        <w:spacing w:before="129"/>
        <w:ind w:left="734"/>
        <w:rPr>
          <w:color w:val="auto"/>
        </w:rPr>
      </w:pPr>
      <w:r>
        <w:rPr>
          <w:color w:val="auto"/>
        </w:rPr>
        <w:t>③ 提供虚假的项目负责人或者主要技术人员简历、劳动关系证明；</w:t>
      </w:r>
    </w:p>
    <w:p>
      <w:pPr>
        <w:pStyle w:val="7"/>
        <w:spacing w:before="127"/>
        <w:ind w:left="734"/>
        <w:rPr>
          <w:color w:val="auto"/>
        </w:rPr>
      </w:pPr>
      <w:r>
        <w:rPr>
          <w:color w:val="auto"/>
        </w:rPr>
        <w:t>④ 提供虚假的信用状况；</w:t>
      </w:r>
    </w:p>
    <w:p>
      <w:pPr>
        <w:pStyle w:val="7"/>
        <w:spacing w:before="127"/>
        <w:ind w:left="734"/>
        <w:rPr>
          <w:color w:val="auto"/>
        </w:rPr>
      </w:pPr>
      <w:r>
        <w:rPr>
          <w:color w:val="auto"/>
        </w:rPr>
        <w:t>⑤ 其他弄虚作假的行为。</w:t>
      </w:r>
    </w:p>
    <w:p>
      <w:pPr>
        <w:pStyle w:val="7"/>
        <w:ind w:left="0"/>
        <w:rPr>
          <w:color w:val="auto"/>
        </w:rPr>
      </w:pPr>
    </w:p>
    <w:p>
      <w:pPr>
        <w:pStyle w:val="7"/>
        <w:spacing w:before="3"/>
        <w:ind w:left="0"/>
        <w:rPr>
          <w:color w:val="auto"/>
          <w:sz w:val="20"/>
        </w:rPr>
      </w:pPr>
    </w:p>
    <w:p>
      <w:pPr>
        <w:spacing w:before="0"/>
        <w:ind w:left="2827" w:right="0" w:firstLine="0"/>
        <w:jc w:val="left"/>
        <w:rPr>
          <w:b/>
          <w:color w:val="auto"/>
          <w:sz w:val="28"/>
        </w:rPr>
      </w:pPr>
      <w:bookmarkStart w:id="3" w:name="          招标无效、投标无效、中标无效的认定及处理"/>
      <w:bookmarkEnd w:id="3"/>
      <w:r>
        <w:rPr>
          <w:b/>
          <w:color w:val="auto"/>
          <w:sz w:val="28"/>
        </w:rPr>
        <w:t>招标无效、投标无效、中标无效的认定及处理</w:t>
      </w:r>
    </w:p>
    <w:p>
      <w:pPr>
        <w:pStyle w:val="5"/>
        <w:spacing w:before="147"/>
        <w:rPr>
          <w:color w:val="auto"/>
        </w:rPr>
      </w:pPr>
      <w:bookmarkStart w:id="4" w:name="一、招标无效的情形（包括但不限于）："/>
      <w:bookmarkEnd w:id="4"/>
      <w:r>
        <w:rPr>
          <w:color w:val="auto"/>
        </w:rPr>
        <w:t>一、招标无效的情形（包括但不限于）：</w:t>
      </w:r>
    </w:p>
    <w:p>
      <w:pPr>
        <w:pStyle w:val="7"/>
        <w:spacing w:before="129"/>
        <w:ind w:left="876"/>
        <w:rPr>
          <w:color w:val="auto"/>
        </w:rPr>
      </w:pPr>
      <w:r>
        <w:rPr>
          <w:color w:val="auto"/>
        </w:rPr>
        <w:t>（一）违法发布公告，包括不在指定媒介发布资格预审公告和招标公告；</w:t>
      </w:r>
    </w:p>
    <w:p>
      <w:pPr>
        <w:pStyle w:val="7"/>
        <w:spacing w:before="127"/>
        <w:ind w:left="876"/>
        <w:rPr>
          <w:color w:val="auto"/>
        </w:rPr>
      </w:pPr>
      <w:r>
        <w:rPr>
          <w:color w:val="auto"/>
        </w:rPr>
        <w:t>（二）未经批准，应当公开招标而邀请招标；</w:t>
      </w:r>
    </w:p>
    <w:p>
      <w:pPr>
        <w:pStyle w:val="7"/>
        <w:spacing w:before="130"/>
        <w:ind w:left="876"/>
        <w:rPr>
          <w:color w:val="auto"/>
        </w:rPr>
      </w:pPr>
      <w:r>
        <w:rPr>
          <w:color w:val="auto"/>
        </w:rPr>
        <w:t>（三）资格预审文件、招标文件发售时间不符合法定要求；</w:t>
      </w:r>
    </w:p>
    <w:p>
      <w:pPr>
        <w:pStyle w:val="7"/>
        <w:spacing w:before="129" w:line="338" w:lineRule="auto"/>
        <w:ind w:right="335" w:firstLine="480"/>
        <w:rPr>
          <w:color w:val="auto"/>
        </w:rPr>
      </w:pPr>
      <w:r>
        <w:rPr>
          <w:color w:val="auto"/>
        </w:rPr>
        <w:t>（四）不按照资格预审文件载明的标准和方法进行资格预审，或者资格审查委员会的组建不符合法定要求；</w:t>
      </w:r>
    </w:p>
    <w:p>
      <w:pPr>
        <w:pStyle w:val="7"/>
        <w:spacing w:before="4"/>
        <w:ind w:left="876"/>
        <w:rPr>
          <w:color w:val="auto"/>
        </w:rPr>
      </w:pPr>
      <w:r>
        <w:rPr>
          <w:color w:val="auto"/>
        </w:rPr>
        <w:t>（五）招标人或者招标代理机构限制排斥潜在投标人；</w:t>
      </w:r>
    </w:p>
    <w:p>
      <w:pPr>
        <w:pStyle w:val="7"/>
        <w:spacing w:before="127" w:line="340" w:lineRule="auto"/>
        <w:ind w:right="348" w:firstLine="480"/>
        <w:rPr>
          <w:color w:val="auto"/>
        </w:rPr>
      </w:pPr>
      <w:r>
        <w:rPr>
          <w:color w:val="auto"/>
        </w:rPr>
        <w:t>（六）招标人或者招标代理机构向他人透露已获取招标文件的潜在投标人的名称、数量或者可能影响公平竞争的有关招投标的其他情况，或者泄露标底；</w:t>
      </w:r>
    </w:p>
    <w:p>
      <w:pPr>
        <w:pStyle w:val="7"/>
        <w:ind w:left="876"/>
        <w:rPr>
          <w:color w:val="auto"/>
        </w:rPr>
      </w:pPr>
      <w:r>
        <w:rPr>
          <w:color w:val="auto"/>
        </w:rPr>
        <w:t>（七）招标人或者招标代理机构与投标人串通；</w:t>
      </w:r>
    </w:p>
    <w:p>
      <w:pPr>
        <w:pStyle w:val="7"/>
        <w:spacing w:before="127"/>
        <w:ind w:left="876"/>
        <w:rPr>
          <w:color w:val="auto"/>
        </w:rPr>
      </w:pPr>
      <w:r>
        <w:rPr>
          <w:color w:val="auto"/>
        </w:rPr>
        <w:t>（八）招标代理机构在所代理的招标项目中投标或者代理投标；</w:t>
      </w:r>
    </w:p>
    <w:p>
      <w:pPr>
        <w:pStyle w:val="7"/>
        <w:spacing w:before="129" w:line="338" w:lineRule="auto"/>
        <w:ind w:right="335" w:firstLine="480"/>
        <w:rPr>
          <w:color w:val="auto"/>
        </w:rPr>
      </w:pPr>
      <w:r>
        <w:rPr>
          <w:color w:val="auto"/>
        </w:rPr>
        <w:t>（九）招标人协助资格预审申请人或者投标人对其资格预审申请文件或者投标文件进行撤换、修改；</w:t>
      </w:r>
    </w:p>
    <w:p>
      <w:pPr>
        <w:pStyle w:val="7"/>
        <w:spacing w:before="4" w:line="338" w:lineRule="auto"/>
        <w:ind w:right="335" w:firstLine="480"/>
        <w:rPr>
          <w:color w:val="auto"/>
        </w:rPr>
      </w:pPr>
      <w:r>
        <w:rPr>
          <w:color w:val="auto"/>
        </w:rPr>
        <w:t>（十）招标人直接或者间接向投标人或者投标人的利害关系人泄露获取资格预审文件或者通过资格预审的申请人的名称、数量或者资格审查情况，泄露获取招标文件的潜</w:t>
      </w:r>
    </w:p>
    <w:p>
      <w:pPr>
        <w:spacing w:after="0" w:line="338" w:lineRule="auto"/>
        <w:rPr>
          <w:color w:val="auto"/>
        </w:rPr>
        <w:sectPr>
          <w:pgSz w:w="11910" w:h="16840"/>
          <w:pgMar w:top="1360" w:right="1020" w:bottom="900" w:left="1020" w:header="0" w:footer="720" w:gutter="0"/>
          <w:pgBorders>
            <w:top w:val="none" w:sz="0" w:space="0"/>
            <w:left w:val="none" w:sz="0" w:space="0"/>
            <w:bottom w:val="none" w:sz="0" w:space="0"/>
            <w:right w:val="none" w:sz="0" w:space="0"/>
          </w:pgBorders>
          <w:pgNumType w:fmt="decimal"/>
          <w:cols w:space="720" w:num="1"/>
        </w:sectPr>
      </w:pPr>
    </w:p>
    <w:p>
      <w:pPr>
        <w:pStyle w:val="7"/>
        <w:spacing w:before="41"/>
        <w:rPr>
          <w:color w:val="auto"/>
        </w:rPr>
      </w:pPr>
      <w:r>
        <w:rPr>
          <w:color w:val="auto"/>
        </w:rPr>
        <w:t>在投标人的名称、数量或者评标等情况；</w:t>
      </w:r>
    </w:p>
    <w:p>
      <w:pPr>
        <w:pStyle w:val="7"/>
        <w:spacing w:before="127" w:line="340" w:lineRule="auto"/>
        <w:ind w:right="333" w:firstLine="480"/>
        <w:rPr>
          <w:color w:val="auto"/>
        </w:rPr>
      </w:pPr>
      <w:r>
        <w:rPr>
          <w:color w:val="auto"/>
        </w:rPr>
        <w:t>（十一）招标人以胁迫、劝退、利诱等方式，使特定投标人以外的其他投标人放弃投标或者中标人放弃中标；</w:t>
      </w:r>
    </w:p>
    <w:p>
      <w:pPr>
        <w:pStyle w:val="7"/>
        <w:spacing w:line="305" w:lineRule="exact"/>
        <w:ind w:left="876"/>
        <w:rPr>
          <w:color w:val="auto"/>
        </w:rPr>
      </w:pPr>
      <w:r>
        <w:rPr>
          <w:color w:val="auto"/>
        </w:rPr>
        <w:t>（十二）法律、行政法规规定的其他禁止情形。</w:t>
      </w:r>
    </w:p>
    <w:p>
      <w:pPr>
        <w:pStyle w:val="7"/>
        <w:spacing w:before="129" w:line="340" w:lineRule="auto"/>
        <w:ind w:right="396" w:firstLine="480"/>
        <w:jc w:val="both"/>
        <w:rPr>
          <w:color w:val="auto"/>
        </w:rPr>
      </w:pPr>
      <w:r>
        <w:rPr>
          <w:color w:val="auto"/>
          <w:spacing w:val="-6"/>
        </w:rPr>
        <w:t>上述违法行为，如果在投标截止前发现的，责令改正并顺延投标截止时间。如果在</w:t>
      </w:r>
      <w:r>
        <w:rPr>
          <w:color w:val="auto"/>
          <w:spacing w:val="-5"/>
        </w:rPr>
        <w:t>投标截止后被发现和查实，且对中标结果造成实质性影响的，招标无效。如果是在中标</w:t>
      </w:r>
      <w:r>
        <w:rPr>
          <w:color w:val="auto"/>
          <w:spacing w:val="-4"/>
        </w:rPr>
        <w:t>通知书发出后被查实且影响中标结果的，中标无效。招标被确认无效的，招标人应当重</w:t>
      </w:r>
      <w:r>
        <w:rPr>
          <w:color w:val="auto"/>
        </w:rPr>
        <w:t>新招标。</w:t>
      </w:r>
    </w:p>
    <w:p>
      <w:pPr>
        <w:pStyle w:val="7"/>
        <w:spacing w:before="10"/>
        <w:ind w:left="0"/>
        <w:rPr>
          <w:color w:val="auto"/>
          <w:sz w:val="33"/>
        </w:rPr>
      </w:pPr>
    </w:p>
    <w:p>
      <w:pPr>
        <w:pStyle w:val="5"/>
        <w:ind w:left="876"/>
        <w:rPr>
          <w:color w:val="auto"/>
        </w:rPr>
      </w:pPr>
      <w:bookmarkStart w:id="5" w:name="二、投标无效的情形（包括但不限于）："/>
      <w:bookmarkEnd w:id="5"/>
      <w:r>
        <w:rPr>
          <w:color w:val="auto"/>
        </w:rPr>
        <w:t>二、投标无效的情形（包括但不限于）：</w:t>
      </w:r>
    </w:p>
    <w:p>
      <w:pPr>
        <w:pStyle w:val="7"/>
        <w:spacing w:before="127" w:line="340" w:lineRule="auto"/>
        <w:ind w:right="335" w:firstLine="480"/>
        <w:rPr>
          <w:color w:val="auto"/>
        </w:rPr>
      </w:pPr>
      <w:r>
        <w:rPr>
          <w:color w:val="auto"/>
        </w:rPr>
        <w:t>（一）与招标人存在利害关系可能影响招标公正性的法人、其他组织或者个人参加投标的；</w:t>
      </w:r>
    </w:p>
    <w:p>
      <w:pPr>
        <w:pStyle w:val="7"/>
        <w:spacing w:line="338" w:lineRule="auto"/>
        <w:ind w:right="335" w:firstLine="480"/>
        <w:rPr>
          <w:color w:val="auto"/>
        </w:rPr>
      </w:pPr>
      <w:r>
        <w:rPr>
          <w:color w:val="auto"/>
        </w:rPr>
        <w:t>（二）单位负责人为同一人或者存在控股、管理关系的不同单位，参加同一标段投标或者未划分标段的同一招标项目投标的；</w:t>
      </w:r>
    </w:p>
    <w:p>
      <w:pPr>
        <w:pStyle w:val="7"/>
        <w:spacing w:before="2"/>
        <w:ind w:left="876"/>
        <w:rPr>
          <w:color w:val="auto"/>
        </w:rPr>
      </w:pPr>
      <w:r>
        <w:rPr>
          <w:color w:val="auto"/>
        </w:rPr>
        <w:t>（三）资格预审后联合体增减、更换成员的；</w:t>
      </w:r>
    </w:p>
    <w:p>
      <w:pPr>
        <w:pStyle w:val="7"/>
        <w:spacing w:before="129" w:line="340" w:lineRule="auto"/>
        <w:ind w:right="335" w:firstLine="480"/>
        <w:rPr>
          <w:color w:val="auto"/>
        </w:rPr>
      </w:pPr>
      <w:r>
        <w:rPr>
          <w:color w:val="auto"/>
        </w:rPr>
        <w:t>（四）联合体各方在同一招标项目中以自己名义单独投标或者参加其他联合体投标的；</w:t>
      </w:r>
    </w:p>
    <w:p>
      <w:pPr>
        <w:pStyle w:val="7"/>
        <w:spacing w:line="340" w:lineRule="auto"/>
        <w:ind w:right="339" w:firstLine="480"/>
        <w:rPr>
          <w:color w:val="auto"/>
        </w:rPr>
      </w:pPr>
      <w:r>
        <w:rPr>
          <w:color w:val="auto"/>
        </w:rPr>
        <w:t>（五）投标人发生合并、分立、破产等重大变化，不再具备资格预审文件、招标文件规定的资格条件或者其投标影响招标公正性的；</w:t>
      </w:r>
    </w:p>
    <w:p>
      <w:pPr>
        <w:pStyle w:val="7"/>
        <w:spacing w:line="305" w:lineRule="exact"/>
        <w:ind w:left="876"/>
        <w:rPr>
          <w:color w:val="auto"/>
        </w:rPr>
      </w:pPr>
      <w:r>
        <w:rPr>
          <w:color w:val="auto"/>
        </w:rPr>
        <w:t>（六）投标人相互串通投标或者与招标人串通投标的；</w:t>
      </w:r>
    </w:p>
    <w:p>
      <w:pPr>
        <w:pStyle w:val="7"/>
        <w:spacing w:before="127"/>
        <w:ind w:left="876"/>
        <w:rPr>
          <w:color w:val="auto"/>
        </w:rPr>
      </w:pPr>
      <w:r>
        <w:rPr>
          <w:color w:val="auto"/>
        </w:rPr>
        <w:t>（七）投标人以他人名义投标或者以其他方式弄虚作假，骗取中标的；</w:t>
      </w:r>
    </w:p>
    <w:p>
      <w:pPr>
        <w:pStyle w:val="7"/>
        <w:spacing w:before="127"/>
        <w:ind w:left="876"/>
        <w:rPr>
          <w:color w:val="auto"/>
        </w:rPr>
      </w:pPr>
      <w:r>
        <w:rPr>
          <w:color w:val="auto"/>
        </w:rPr>
        <w:t>（八）投标人向招标人或者评标委员会成员行贿的；</w:t>
      </w:r>
    </w:p>
    <w:p>
      <w:pPr>
        <w:pStyle w:val="7"/>
        <w:spacing w:before="130" w:line="340" w:lineRule="auto"/>
        <w:ind w:right="333" w:firstLine="480"/>
        <w:rPr>
          <w:color w:val="auto"/>
        </w:rPr>
      </w:pPr>
      <w:r>
        <w:rPr>
          <w:color w:val="auto"/>
        </w:rPr>
        <w:t>（九）投标人受到财产被查封、冻结或者被责令停产停业、吊销营业执照、取消投标资格等处罚的其他违法行为。</w:t>
      </w:r>
    </w:p>
    <w:p>
      <w:pPr>
        <w:pStyle w:val="5"/>
        <w:spacing w:line="340" w:lineRule="auto"/>
        <w:ind w:right="243" w:firstLine="480"/>
        <w:rPr>
          <w:color w:val="auto"/>
        </w:rPr>
      </w:pPr>
      <w:r>
        <w:rPr>
          <w:color w:val="auto"/>
          <w:spacing w:val="-15"/>
        </w:rPr>
        <w:t>投标被确认无效的，在评标过程中，相关投标应当被否决；在中标候选人公示阶段， 应当取消其中标资格；已发出中标通知书的，中标无效。</w:t>
      </w:r>
    </w:p>
    <w:p>
      <w:pPr>
        <w:pStyle w:val="7"/>
        <w:spacing w:before="9"/>
        <w:ind w:left="0"/>
        <w:rPr>
          <w:b/>
          <w:color w:val="auto"/>
          <w:sz w:val="33"/>
        </w:rPr>
      </w:pPr>
    </w:p>
    <w:p>
      <w:pPr>
        <w:pStyle w:val="5"/>
        <w:ind w:left="876"/>
        <w:rPr>
          <w:color w:val="auto"/>
        </w:rPr>
      </w:pPr>
      <w:bookmarkStart w:id="6" w:name="三、中标无效的情形（包括但不限于）："/>
      <w:bookmarkEnd w:id="6"/>
      <w:r>
        <w:rPr>
          <w:color w:val="auto"/>
        </w:rPr>
        <w:t>三、中标无效的情形（包括但不限于）：</w:t>
      </w:r>
    </w:p>
    <w:p>
      <w:pPr>
        <w:pStyle w:val="7"/>
        <w:spacing w:before="130"/>
        <w:ind w:left="876"/>
        <w:rPr>
          <w:color w:val="auto"/>
        </w:rPr>
      </w:pPr>
      <w:r>
        <w:rPr>
          <w:color w:val="auto"/>
        </w:rPr>
        <w:t>（一）招标人或者招标代理机构接受未通过资格预审的单位或者个人参加投标的；</w:t>
      </w:r>
    </w:p>
    <w:p>
      <w:pPr>
        <w:pStyle w:val="7"/>
        <w:spacing w:before="127"/>
        <w:ind w:left="876"/>
        <w:rPr>
          <w:color w:val="auto"/>
        </w:rPr>
      </w:pPr>
      <w:r>
        <w:rPr>
          <w:color w:val="auto"/>
        </w:rPr>
        <w:t>（二）招标人或者招标代理机构接受应当拒收的投标文件的；</w:t>
      </w:r>
    </w:p>
    <w:p>
      <w:pPr>
        <w:pStyle w:val="7"/>
        <w:spacing w:before="127" w:line="340" w:lineRule="auto"/>
        <w:ind w:right="339" w:firstLine="480"/>
        <w:rPr>
          <w:color w:val="auto"/>
        </w:rPr>
      </w:pPr>
      <w:r>
        <w:rPr>
          <w:color w:val="auto"/>
        </w:rPr>
        <w:t>（三）评标委员会的组建、更换违反《中华人民共和国招标投标法》和《中华人民共和国招标投标法实施条例》规定；</w:t>
      </w:r>
    </w:p>
    <w:p>
      <w:pPr>
        <w:spacing w:after="0" w:line="340" w:lineRule="auto"/>
        <w:rPr>
          <w:color w:val="auto"/>
        </w:rPr>
        <w:sectPr>
          <w:pgSz w:w="11910" w:h="16840"/>
          <w:pgMar w:top="1360" w:right="1020" w:bottom="900" w:left="1020" w:header="0" w:footer="720" w:gutter="0"/>
          <w:pgBorders>
            <w:top w:val="none" w:sz="0" w:space="0"/>
            <w:left w:val="none" w:sz="0" w:space="0"/>
            <w:bottom w:val="none" w:sz="0" w:space="0"/>
            <w:right w:val="none" w:sz="0" w:space="0"/>
          </w:pgBorders>
          <w:pgNumType w:fmt="decimal"/>
          <w:cols w:space="720" w:num="1"/>
        </w:sectPr>
      </w:pPr>
    </w:p>
    <w:p>
      <w:pPr>
        <w:pStyle w:val="7"/>
        <w:spacing w:before="41" w:line="338" w:lineRule="auto"/>
        <w:ind w:right="335" w:firstLine="480"/>
        <w:rPr>
          <w:color w:val="auto"/>
        </w:rPr>
      </w:pPr>
      <w:r>
        <w:rPr>
          <w:color w:val="auto"/>
        </w:rPr>
        <w:t>（四）评标委员会成员有《中华人民共和国招标投标法》第56条，以及《中华人民共和国招标投标法实施条例》第71条、第72条所列行为之一的；</w:t>
      </w:r>
    </w:p>
    <w:p>
      <w:pPr>
        <w:pStyle w:val="7"/>
        <w:spacing w:before="4" w:line="338" w:lineRule="auto"/>
        <w:ind w:right="335" w:firstLine="480"/>
        <w:rPr>
          <w:color w:val="auto"/>
        </w:rPr>
      </w:pPr>
      <w:r>
        <w:rPr>
          <w:color w:val="auto"/>
        </w:rPr>
        <w:t>（五）招标人向他人透露已获取招标文件的潜在投标人的名称、数量或者可能影响公平竞争的有关招标投标的其他情况的，或者泄露标底，影响中标结果的；</w:t>
      </w:r>
    </w:p>
    <w:p>
      <w:pPr>
        <w:pStyle w:val="7"/>
        <w:spacing w:before="4" w:line="338" w:lineRule="auto"/>
        <w:ind w:right="276" w:firstLine="480"/>
        <w:rPr>
          <w:color w:val="auto"/>
        </w:rPr>
      </w:pPr>
      <w:r>
        <w:rPr>
          <w:color w:val="auto"/>
        </w:rPr>
        <w:t>（六</w:t>
      </w:r>
      <w:r>
        <w:rPr>
          <w:color w:val="auto"/>
          <w:spacing w:val="-24"/>
        </w:rPr>
        <w:t>）</w:t>
      </w:r>
      <w:r>
        <w:rPr>
          <w:color w:val="auto"/>
          <w:spacing w:val="-1"/>
        </w:rPr>
        <w:t>招标代理机构泄露应当保密的与招标投标活动有关的情况和资料的，或者与</w:t>
      </w:r>
      <w:r>
        <w:rPr>
          <w:color w:val="auto"/>
          <w:spacing w:val="-15"/>
        </w:rPr>
        <w:t>招标人、投标人串通损害国家利益、社会公共利益或者他人合法权益，影响中标结果的；</w:t>
      </w:r>
    </w:p>
    <w:p>
      <w:pPr>
        <w:pStyle w:val="7"/>
        <w:spacing w:before="4" w:line="340" w:lineRule="auto"/>
        <w:ind w:right="335" w:firstLine="480"/>
        <w:rPr>
          <w:color w:val="auto"/>
        </w:rPr>
      </w:pPr>
      <w:r>
        <w:rPr>
          <w:color w:val="auto"/>
        </w:rPr>
        <w:t>（七）投标人相互串通投标或者与招标人串通投标的，投标人以向招标人或者评标委员会成员行贿的手段谋取中标的；</w:t>
      </w:r>
    </w:p>
    <w:p>
      <w:pPr>
        <w:pStyle w:val="7"/>
        <w:spacing w:line="305" w:lineRule="exact"/>
        <w:ind w:left="876"/>
        <w:rPr>
          <w:color w:val="auto"/>
        </w:rPr>
      </w:pPr>
      <w:r>
        <w:rPr>
          <w:color w:val="auto"/>
        </w:rPr>
        <w:t>（八）投标人以他人名义投标或者以其他方式弄虚作假，骗取中标的；</w:t>
      </w:r>
    </w:p>
    <w:p>
      <w:pPr>
        <w:pStyle w:val="7"/>
        <w:spacing w:before="130" w:line="338" w:lineRule="auto"/>
        <w:ind w:right="335" w:firstLine="480"/>
        <w:rPr>
          <w:color w:val="auto"/>
        </w:rPr>
      </w:pPr>
      <w:r>
        <w:rPr>
          <w:color w:val="auto"/>
        </w:rPr>
        <w:t>（九）招标人与投标人就投标价格、投标方案等实质性内容进行谈判，影响中标结果的；</w:t>
      </w:r>
    </w:p>
    <w:p>
      <w:pPr>
        <w:pStyle w:val="7"/>
        <w:spacing w:before="4" w:line="340" w:lineRule="auto"/>
        <w:ind w:right="335" w:firstLine="480"/>
        <w:rPr>
          <w:color w:val="auto"/>
        </w:rPr>
      </w:pPr>
      <w:r>
        <w:rPr>
          <w:color w:val="auto"/>
        </w:rPr>
        <w:t>（十）</w:t>
      </w:r>
      <w:r>
        <w:rPr>
          <w:rFonts w:hint="eastAsia"/>
          <w:color w:val="auto"/>
          <w:lang w:val="en-US" w:eastAsia="zh-CN"/>
        </w:rPr>
        <w:t xml:space="preserve">招标人在评标委员会依法推荐的中标候选人以外确定中标人的，依法必须进 </w:t>
      </w:r>
    </w:p>
    <w:p>
      <w:pPr>
        <w:pStyle w:val="7"/>
        <w:spacing w:before="4" w:line="340" w:lineRule="auto"/>
        <w:ind w:right="335"/>
        <w:rPr>
          <w:color w:val="auto"/>
        </w:rPr>
      </w:pPr>
      <w:r>
        <w:rPr>
          <w:rFonts w:hint="eastAsia"/>
          <w:color w:val="auto"/>
          <w:lang w:val="en-US" w:eastAsia="zh-CN"/>
        </w:rPr>
        <w:t>行招标的项目在所有投标被评标委员会否决后自行确定中标人的</w:t>
      </w:r>
      <w:r>
        <w:rPr>
          <w:color w:val="auto"/>
        </w:rPr>
        <w:t>。</w:t>
      </w:r>
    </w:p>
    <w:p>
      <w:pPr>
        <w:pStyle w:val="5"/>
        <w:spacing w:line="338" w:lineRule="auto"/>
        <w:ind w:right="395" w:firstLine="480"/>
        <w:rPr>
          <w:color w:val="auto"/>
        </w:rPr>
      </w:pPr>
      <w:r>
        <w:rPr>
          <w:color w:val="auto"/>
          <w:spacing w:val="-4"/>
          <w:w w:val="100"/>
        </w:rPr>
        <w:t>中标被确认无效的，按照《中华人民共和国招标投标法》第64条规定，由招标</w:t>
      </w:r>
      <w:r>
        <w:rPr>
          <w:color w:val="auto"/>
          <w:spacing w:val="-4"/>
          <w:w w:val="95"/>
        </w:rPr>
        <w:t>人从</w:t>
      </w:r>
      <w:r>
        <w:rPr>
          <w:color w:val="auto"/>
          <w:spacing w:val="-4"/>
        </w:rPr>
        <w:t>符合条件的其他中标候选人中确定中标人或者重新招标。</w:t>
      </w:r>
    </w:p>
    <w:p>
      <w:pPr>
        <w:pStyle w:val="7"/>
        <w:spacing w:before="3"/>
        <w:ind w:left="0"/>
        <w:rPr>
          <w:b/>
          <w:color w:val="auto"/>
          <w:sz w:val="34"/>
        </w:rPr>
      </w:pPr>
    </w:p>
    <w:p>
      <w:pPr>
        <w:spacing w:before="1"/>
        <w:ind w:left="3456" w:right="0" w:firstLine="0"/>
        <w:jc w:val="left"/>
        <w:rPr>
          <w:b/>
          <w:color w:val="auto"/>
          <w:sz w:val="28"/>
        </w:rPr>
      </w:pPr>
      <w:bookmarkStart w:id="7" w:name="   不予退还投标保证金的情形"/>
      <w:bookmarkEnd w:id="7"/>
      <w:r>
        <w:rPr>
          <w:b/>
          <w:color w:val="auto"/>
          <w:sz w:val="28"/>
        </w:rPr>
        <w:t>不予退还投标保证金的情形</w:t>
      </w:r>
    </w:p>
    <w:p>
      <w:pPr>
        <w:pStyle w:val="5"/>
        <w:spacing w:before="146"/>
        <w:ind w:left="861"/>
        <w:rPr>
          <w:color w:val="auto"/>
        </w:rPr>
      </w:pPr>
      <w:r>
        <w:rPr>
          <w:color w:val="auto"/>
        </w:rPr>
        <w:t>有下列情形之一的，投标保证金将不予退还：</w:t>
      </w:r>
    </w:p>
    <w:p>
      <w:pPr>
        <w:pStyle w:val="7"/>
        <w:spacing w:before="130"/>
        <w:ind w:left="876"/>
        <w:rPr>
          <w:color w:val="auto"/>
        </w:rPr>
      </w:pPr>
      <w:bookmarkStart w:id="8" w:name="（一）投标截止后投标人撤销或修改其投标文件的；"/>
      <w:bookmarkEnd w:id="8"/>
      <w:r>
        <w:rPr>
          <w:color w:val="auto"/>
        </w:rPr>
        <w:t>（一）投标截止后投标人撤销或修改其投标文件的；</w:t>
      </w:r>
    </w:p>
    <w:p>
      <w:pPr>
        <w:pStyle w:val="7"/>
        <w:spacing w:before="127"/>
        <w:ind w:left="876"/>
        <w:rPr>
          <w:color w:val="auto"/>
        </w:rPr>
      </w:pPr>
      <w:bookmarkStart w:id="9" w:name="（二）中标人无正当理由不与招标人订立合同的；"/>
      <w:bookmarkEnd w:id="9"/>
      <w:r>
        <w:rPr>
          <w:color w:val="auto"/>
        </w:rPr>
        <w:t>（二）中标人无正当理由不与招标人订立合同的；</w:t>
      </w:r>
    </w:p>
    <w:p>
      <w:pPr>
        <w:pStyle w:val="7"/>
        <w:spacing w:before="129"/>
        <w:ind w:left="876"/>
        <w:rPr>
          <w:color w:val="auto"/>
        </w:rPr>
      </w:pPr>
      <w:bookmarkStart w:id="10" w:name="（三）中标人在签订合同时向招标人提出附加条件的；"/>
      <w:bookmarkEnd w:id="10"/>
      <w:r>
        <w:rPr>
          <w:color w:val="auto"/>
        </w:rPr>
        <w:t>（三）中标人在签订合同时向招标人提出附加条件的；</w:t>
      </w:r>
    </w:p>
    <w:p>
      <w:pPr>
        <w:pStyle w:val="7"/>
        <w:spacing w:before="129"/>
        <w:ind w:left="876"/>
        <w:rPr>
          <w:color w:val="auto"/>
        </w:rPr>
      </w:pPr>
      <w:bookmarkStart w:id="11" w:name="（四）中标人不按照招标文件要求提交履约保证金的。"/>
      <w:bookmarkEnd w:id="11"/>
      <w:r>
        <w:rPr>
          <w:color w:val="auto"/>
        </w:rPr>
        <w:t>（四）中标人不按照招标文件要求提交履约保证金的。</w:t>
      </w:r>
    </w:p>
    <w:p>
      <w:pPr>
        <w:spacing w:after="0"/>
        <w:rPr>
          <w:color w:val="auto"/>
        </w:rPr>
        <w:sectPr>
          <w:pgSz w:w="11910" w:h="16840"/>
          <w:pgMar w:top="1360" w:right="1020" w:bottom="900" w:left="1020" w:header="0" w:footer="720" w:gutter="0"/>
          <w:pgBorders>
            <w:top w:val="none" w:sz="0" w:space="0"/>
            <w:left w:val="none" w:sz="0" w:space="0"/>
            <w:bottom w:val="none" w:sz="0" w:space="0"/>
            <w:right w:val="none" w:sz="0" w:space="0"/>
          </w:pgBorders>
          <w:pgNumType w:fmt="decimal"/>
          <w:cols w:space="720" w:num="1"/>
        </w:sect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spacing w:before="10"/>
        <w:ind w:left="0"/>
        <w:rPr>
          <w:color w:val="auto"/>
          <w:sz w:val="27"/>
        </w:rPr>
      </w:pPr>
    </w:p>
    <w:p>
      <w:pPr>
        <w:spacing w:before="38"/>
        <w:ind w:left="1" w:right="0" w:firstLine="0"/>
        <w:jc w:val="center"/>
        <w:rPr>
          <w:b/>
          <w:color w:val="auto"/>
          <w:sz w:val="44"/>
        </w:rPr>
      </w:pPr>
      <w:bookmarkStart w:id="12" w:name="第一卷"/>
      <w:bookmarkEnd w:id="12"/>
      <w:r>
        <w:rPr>
          <w:b/>
          <w:color w:val="auto"/>
          <w:sz w:val="44"/>
        </w:rPr>
        <w:t>第一卷</w:t>
      </w:r>
    </w:p>
    <w:p>
      <w:pPr>
        <w:spacing w:after="0"/>
        <w:jc w:val="center"/>
        <w:rPr>
          <w:color w:val="auto"/>
          <w:sz w:val="44"/>
        </w:rPr>
        <w:sectPr>
          <w:pgSz w:w="11910" w:h="16840"/>
          <w:pgMar w:top="1580" w:right="1020" w:bottom="900" w:left="1020" w:header="0" w:footer="720" w:gutter="0"/>
          <w:pgBorders>
            <w:top w:val="none" w:sz="0" w:space="0"/>
            <w:left w:val="none" w:sz="0" w:space="0"/>
            <w:bottom w:val="none" w:sz="0" w:space="0"/>
            <w:right w:val="none" w:sz="0" w:space="0"/>
          </w:pgBorders>
          <w:pgNumType w:fmt="decimal"/>
          <w:cols w:space="720" w:num="1"/>
        </w:sectPr>
      </w:pPr>
    </w:p>
    <w:p>
      <w:pPr>
        <w:numPr>
          <w:ilvl w:val="0"/>
          <w:numId w:val="3"/>
        </w:numPr>
        <w:spacing w:before="23"/>
        <w:ind w:left="1" w:right="0" w:firstLine="0"/>
        <w:jc w:val="center"/>
        <w:rPr>
          <w:b/>
          <w:color w:val="auto"/>
          <w:sz w:val="44"/>
        </w:rPr>
      </w:pPr>
      <w:bookmarkStart w:id="13" w:name="_TOC_250005"/>
      <w:bookmarkEnd w:id="13"/>
      <w:r>
        <w:rPr>
          <w:b/>
          <w:color w:val="auto"/>
          <w:sz w:val="44"/>
        </w:rPr>
        <w:t>招标公告</w:t>
      </w:r>
    </w:p>
    <w:p>
      <w:pPr>
        <w:pStyle w:val="7"/>
        <w:numPr>
          <w:ilvl w:val="0"/>
          <w:numId w:val="0"/>
        </w:numPr>
        <w:ind w:right="0" w:rightChars="0"/>
        <w:rPr>
          <w:color w:val="auto"/>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437" w:right="431" w:firstLine="0"/>
        <w:jc w:val="center"/>
        <w:textAlignment w:val="auto"/>
        <w:rPr>
          <w:rFonts w:hint="eastAsia"/>
          <w:b/>
          <w:color w:val="auto"/>
          <w:w w:val="95"/>
          <w:sz w:val="32"/>
          <w:lang w:eastAsia="zh-CN"/>
        </w:rPr>
      </w:pPr>
      <w:bookmarkStart w:id="14" w:name="广东省梅州市平远县大柘镇城乡融合发展示范带人居环境整治提升项目（一期）(第一批)"/>
      <w:bookmarkEnd w:id="14"/>
      <w:r>
        <w:rPr>
          <w:rFonts w:hint="eastAsia"/>
          <w:b/>
          <w:color w:val="auto"/>
          <w:w w:val="95"/>
          <w:sz w:val="32"/>
          <w:lang w:eastAsia="zh-CN"/>
        </w:rPr>
        <w:t>平远县东石镇美丽圩镇建设攻坚行动项目(一期)监理</w:t>
      </w:r>
    </w:p>
    <w:p>
      <w:pPr>
        <w:keepNext w:val="0"/>
        <w:keepLines w:val="0"/>
        <w:pageBreakBefore w:val="0"/>
        <w:widowControl w:val="0"/>
        <w:kinsoku/>
        <w:wordWrap/>
        <w:overflowPunct/>
        <w:topLinePunct w:val="0"/>
        <w:autoSpaceDE w:val="0"/>
        <w:autoSpaceDN w:val="0"/>
        <w:bidi w:val="0"/>
        <w:adjustRightInd/>
        <w:snapToGrid/>
        <w:spacing w:before="0" w:line="240" w:lineRule="auto"/>
        <w:ind w:left="437" w:right="431" w:firstLine="0"/>
        <w:jc w:val="center"/>
        <w:textAlignment w:val="auto"/>
        <w:rPr>
          <w:b/>
          <w:color w:val="auto"/>
          <w:sz w:val="32"/>
        </w:rPr>
      </w:pPr>
      <w:r>
        <w:rPr>
          <w:b/>
          <w:color w:val="auto"/>
          <w:sz w:val="32"/>
        </w:rPr>
        <w:t>招标公告</w:t>
      </w:r>
    </w:p>
    <w:p>
      <w:pPr>
        <w:pStyle w:val="5"/>
        <w:spacing w:before="77"/>
        <w:rPr>
          <w:color w:val="auto"/>
        </w:rPr>
      </w:pPr>
      <w:bookmarkStart w:id="15" w:name="1、招标条件"/>
      <w:bookmarkEnd w:id="15"/>
      <w:r>
        <w:rPr>
          <w:color w:val="auto"/>
        </w:rPr>
        <w:t>1、招标条件</w:t>
      </w:r>
    </w:p>
    <w:p>
      <w:pPr>
        <w:pStyle w:val="7"/>
        <w:spacing w:before="90" w:line="312" w:lineRule="auto"/>
        <w:ind w:right="335" w:firstLine="480"/>
        <w:rPr>
          <w:rFonts w:hint="eastAsia"/>
          <w:color w:val="auto"/>
        </w:rPr>
      </w:pPr>
      <w:r>
        <w:rPr>
          <w:color w:val="auto"/>
        </w:rPr>
        <w:t>本招标项目</w:t>
      </w:r>
      <w:r>
        <w:rPr>
          <w:rFonts w:hint="eastAsia"/>
          <w:color w:val="auto"/>
          <w:u w:val="single"/>
          <w:lang w:eastAsia="zh-CN"/>
        </w:rPr>
        <w:t>平远县东石镇美丽圩镇建设攻坚行动项目(一期)监理</w:t>
      </w:r>
      <w:r>
        <w:rPr>
          <w:color w:val="auto"/>
        </w:rPr>
        <w:t>已由</w:t>
      </w:r>
      <w:r>
        <w:rPr>
          <w:rFonts w:hint="eastAsia"/>
          <w:color w:val="auto"/>
          <w:u w:val="single"/>
        </w:rPr>
        <w:t>平远县发展和改革局</w:t>
      </w:r>
      <w:r>
        <w:rPr>
          <w:rFonts w:hint="eastAsia"/>
          <w:color w:val="auto"/>
        </w:rPr>
        <w:t>以</w:t>
      </w:r>
      <w:r>
        <w:rPr>
          <w:rFonts w:hint="eastAsia"/>
          <w:color w:val="auto"/>
          <w:u w:val="single"/>
        </w:rPr>
        <w:t>平发改</w:t>
      </w:r>
      <w:r>
        <w:rPr>
          <w:rFonts w:hint="eastAsia"/>
          <w:color w:val="auto"/>
          <w:u w:val="single"/>
          <w:lang w:val="en-US" w:eastAsia="zh-CN"/>
        </w:rPr>
        <w:t>投</w:t>
      </w:r>
      <w:r>
        <w:rPr>
          <w:rFonts w:hint="eastAsia"/>
          <w:color w:val="auto"/>
          <w:u w:val="single"/>
        </w:rPr>
        <w:t>审[202</w:t>
      </w:r>
      <w:r>
        <w:rPr>
          <w:rFonts w:hint="eastAsia"/>
          <w:color w:val="auto"/>
          <w:u w:val="single"/>
          <w:lang w:val="en-US" w:eastAsia="zh-CN"/>
        </w:rPr>
        <w:t>2</w:t>
      </w:r>
      <w:r>
        <w:rPr>
          <w:rFonts w:hint="eastAsia"/>
          <w:color w:val="auto"/>
          <w:u w:val="single"/>
        </w:rPr>
        <w:t>]</w:t>
      </w:r>
      <w:r>
        <w:rPr>
          <w:rFonts w:hint="eastAsia"/>
          <w:color w:val="auto"/>
          <w:u w:val="single"/>
          <w:lang w:val="en-US" w:eastAsia="zh-CN"/>
        </w:rPr>
        <w:t>45</w:t>
      </w:r>
      <w:r>
        <w:rPr>
          <w:rFonts w:hint="eastAsia"/>
          <w:color w:val="auto"/>
          <w:u w:val="single"/>
        </w:rPr>
        <w:t>号文（投资项目统一代码：2111-441426</w:t>
      </w:r>
      <w:r>
        <w:rPr>
          <w:rFonts w:hint="eastAsia"/>
          <w:color w:val="auto"/>
          <w:u w:val="single"/>
          <w:lang w:val="en-US" w:eastAsia="zh-CN"/>
        </w:rPr>
        <w:t>-</w:t>
      </w:r>
      <w:r>
        <w:rPr>
          <w:rFonts w:hint="eastAsia"/>
          <w:color w:val="auto"/>
          <w:u w:val="single"/>
        </w:rPr>
        <w:t>04-01-446862）</w:t>
      </w:r>
      <w:r>
        <w:rPr>
          <w:rFonts w:hint="eastAsia"/>
          <w:color w:val="auto"/>
        </w:rPr>
        <w:t>批准建设，建设单位(招标人)为</w:t>
      </w:r>
      <w:r>
        <w:rPr>
          <w:rFonts w:hint="eastAsia"/>
          <w:color w:val="auto"/>
          <w:u w:val="single"/>
          <w:lang w:eastAsia="zh-CN"/>
        </w:rPr>
        <w:t>平远县东石镇人民政府</w:t>
      </w:r>
      <w:r>
        <w:rPr>
          <w:rFonts w:hint="eastAsia"/>
          <w:color w:val="auto"/>
        </w:rPr>
        <w:t>，建设资金为</w:t>
      </w:r>
      <w:r>
        <w:rPr>
          <w:rFonts w:hint="eastAsia"/>
          <w:color w:val="auto"/>
          <w:u w:val="single"/>
          <w:lang w:val="en-US" w:eastAsia="zh-CN"/>
        </w:rPr>
        <w:t>上级项目资金和债券资金，不足部分由</w:t>
      </w:r>
      <w:r>
        <w:rPr>
          <w:rFonts w:hint="eastAsia"/>
          <w:color w:val="auto"/>
          <w:u w:val="single"/>
        </w:rPr>
        <w:t>县财政统筹</w:t>
      </w:r>
      <w:r>
        <w:rPr>
          <w:rFonts w:hint="eastAsia"/>
          <w:color w:val="auto"/>
          <w:u w:val="single"/>
          <w:lang w:val="en-US" w:eastAsia="zh-CN"/>
        </w:rPr>
        <w:t>解决</w:t>
      </w:r>
      <w:r>
        <w:rPr>
          <w:rFonts w:hint="eastAsia"/>
          <w:color w:val="auto"/>
        </w:rPr>
        <w:t>。项目已具备招标条件，现对该项目的</w:t>
      </w:r>
      <w:r>
        <w:rPr>
          <w:rFonts w:hint="eastAsia"/>
          <w:color w:val="auto"/>
          <w:u w:val="single"/>
          <w:lang w:val="en-US" w:eastAsia="zh-CN"/>
        </w:rPr>
        <w:t>监理</w:t>
      </w:r>
      <w:r>
        <w:rPr>
          <w:rFonts w:hint="eastAsia"/>
          <w:color w:val="auto"/>
        </w:rPr>
        <w:t>以资格后审方式公开招标。</w:t>
      </w:r>
    </w:p>
    <w:p>
      <w:pPr>
        <w:pStyle w:val="7"/>
        <w:spacing w:before="90" w:line="312" w:lineRule="auto"/>
        <w:ind w:right="335" w:firstLine="480"/>
        <w:rPr>
          <w:color w:val="auto"/>
        </w:rPr>
      </w:pPr>
    </w:p>
    <w:p>
      <w:pPr>
        <w:pStyle w:val="5"/>
        <w:rPr>
          <w:color w:val="auto"/>
        </w:rPr>
      </w:pPr>
      <w:bookmarkStart w:id="16" w:name="2、项目概况与招标范围"/>
      <w:bookmarkEnd w:id="16"/>
      <w:r>
        <w:rPr>
          <w:color w:val="auto"/>
        </w:rPr>
        <w:t>2、项目概况与招标范围</w:t>
      </w:r>
    </w:p>
    <w:p>
      <w:pPr>
        <w:pStyle w:val="15"/>
        <w:numPr>
          <w:ilvl w:val="1"/>
          <w:numId w:val="4"/>
        </w:numPr>
        <w:tabs>
          <w:tab w:val="left" w:pos="1237"/>
        </w:tabs>
        <w:spacing w:before="91" w:after="0" w:line="312" w:lineRule="auto"/>
        <w:ind w:left="395" w:right="390" w:firstLine="480"/>
        <w:jc w:val="both"/>
        <w:rPr>
          <w:color w:val="auto"/>
          <w:sz w:val="24"/>
          <w:u w:val="none"/>
        </w:rPr>
      </w:pPr>
      <w:r>
        <w:rPr>
          <w:color w:val="auto"/>
          <w:spacing w:val="-5"/>
          <w:sz w:val="24"/>
        </w:rPr>
        <w:t>、建设地点</w:t>
      </w:r>
      <w:r>
        <w:rPr>
          <w:color w:val="auto"/>
          <w:spacing w:val="-5"/>
          <w:sz w:val="24"/>
          <w:u w:val="none"/>
        </w:rPr>
        <w:t>：</w:t>
      </w:r>
      <w:r>
        <w:rPr>
          <w:rFonts w:hint="eastAsia"/>
          <w:color w:val="auto"/>
          <w:spacing w:val="-3"/>
          <w:sz w:val="24"/>
          <w:u w:val="none"/>
          <w:lang w:eastAsia="zh-CN"/>
        </w:rPr>
        <w:t>广东省梅州市平远县东石镇</w:t>
      </w:r>
      <w:r>
        <w:rPr>
          <w:color w:val="auto"/>
          <w:sz w:val="24"/>
          <w:u w:val="none"/>
        </w:rPr>
        <w:t>。</w:t>
      </w:r>
    </w:p>
    <w:p>
      <w:pPr>
        <w:pStyle w:val="15"/>
        <w:numPr>
          <w:ilvl w:val="1"/>
          <w:numId w:val="4"/>
        </w:numPr>
        <w:tabs>
          <w:tab w:val="left" w:pos="1177"/>
        </w:tabs>
        <w:spacing w:before="1" w:after="0" w:line="312" w:lineRule="auto"/>
        <w:ind w:left="395" w:right="396" w:firstLine="420"/>
        <w:jc w:val="both"/>
        <w:rPr>
          <w:color w:val="auto"/>
          <w:sz w:val="24"/>
          <w:u w:val="none"/>
        </w:rPr>
      </w:pPr>
      <w:r>
        <w:rPr>
          <w:color w:val="auto"/>
          <w:spacing w:val="-9"/>
          <w:sz w:val="24"/>
          <w:u w:val="none"/>
        </w:rPr>
        <w:t>、建设规模和内容：</w:t>
      </w:r>
      <w:r>
        <w:rPr>
          <w:rFonts w:hint="eastAsia" w:ascii="宋体" w:hAnsi="宋体" w:cs="宋体"/>
          <w:b w:val="0"/>
          <w:bCs w:val="0"/>
          <w:color w:val="auto"/>
          <w:kern w:val="0"/>
          <w:sz w:val="24"/>
          <w:highlight w:val="none"/>
          <w:lang w:val="en-US" w:eastAsia="zh-CN"/>
        </w:rPr>
        <w:t>该项目为平远县东石镇美丽圩镇建设攻坚行动项目(一期)建设，其中一期项目包括：1.教堂至大水坑村道、东石车站至环北路口道路、富东路、新东路、环北路硬底化，铺设沥青；2.在圩镇范围内建设5个停车场，包括铺设沥青、增设充电桩、自动识别升降系统、光伏停车遮阳板等；3.在教育三路、状元路、东石镇镇级污水处理站旁，建设3座社区体育场所，包括铺设花岗岩块料等；4、对铁民中学门口至污水处理站铺设雨水管、污水管。具体详见可研究报告及一期概算文件</w:t>
      </w:r>
      <w:r>
        <w:rPr>
          <w:rFonts w:hint="eastAsia" w:cs="宋体"/>
          <w:b w:val="0"/>
          <w:bCs w:val="0"/>
          <w:color w:val="auto"/>
          <w:kern w:val="0"/>
          <w:sz w:val="24"/>
          <w:highlight w:val="none"/>
          <w:lang w:val="en-US" w:eastAsia="zh-CN"/>
        </w:rPr>
        <w:t>。</w:t>
      </w:r>
    </w:p>
    <w:p>
      <w:pPr>
        <w:pStyle w:val="15"/>
        <w:numPr>
          <w:ilvl w:val="1"/>
          <w:numId w:val="4"/>
        </w:numPr>
        <w:tabs>
          <w:tab w:val="left" w:pos="1237"/>
        </w:tabs>
        <w:spacing w:before="2" w:after="0" w:line="240" w:lineRule="auto"/>
        <w:ind w:left="1237" w:right="0" w:hanging="361"/>
        <w:jc w:val="left"/>
        <w:rPr>
          <w:color w:val="auto"/>
          <w:sz w:val="24"/>
          <w:u w:val="none"/>
        </w:rPr>
      </w:pPr>
      <w:r>
        <w:rPr>
          <w:color w:val="auto"/>
          <w:sz w:val="24"/>
          <w:u w:val="none"/>
        </w:rPr>
        <w:t>、监理服务期限：自监理合同签订之日起至项目工程缺陷责任期终止。</w:t>
      </w:r>
    </w:p>
    <w:p>
      <w:pPr>
        <w:pStyle w:val="15"/>
        <w:numPr>
          <w:ilvl w:val="1"/>
          <w:numId w:val="4"/>
        </w:numPr>
        <w:tabs>
          <w:tab w:val="left" w:pos="1239"/>
        </w:tabs>
        <w:spacing w:before="93" w:after="0" w:line="312" w:lineRule="auto"/>
        <w:ind w:left="395" w:right="395" w:firstLine="480"/>
        <w:jc w:val="left"/>
        <w:rPr>
          <w:color w:val="auto"/>
          <w:sz w:val="24"/>
          <w:u w:val="none"/>
        </w:rPr>
      </w:pPr>
      <w:r>
        <w:rPr>
          <w:color w:val="auto"/>
          <w:sz w:val="24"/>
          <w:u w:val="none"/>
        </w:rPr>
        <w:t>、招标范围：建安工程（按设计文件内容）的施工、验收及工程结算定案的全过程监理工作。</w:t>
      </w:r>
    </w:p>
    <w:p>
      <w:pPr>
        <w:pStyle w:val="15"/>
        <w:numPr>
          <w:ilvl w:val="0"/>
          <w:numId w:val="0"/>
        </w:numPr>
        <w:tabs>
          <w:tab w:val="left" w:pos="1237"/>
        </w:tabs>
        <w:spacing w:before="0" w:after="0" w:line="312" w:lineRule="auto"/>
        <w:ind w:left="875" w:leftChars="0" w:right="408" w:rightChars="0"/>
        <w:jc w:val="left"/>
        <w:rPr>
          <w:rFonts w:hint="eastAsia"/>
          <w:color w:val="auto"/>
          <w:spacing w:val="-9"/>
          <w:sz w:val="24"/>
          <w:u w:val="none"/>
          <w:lang w:eastAsia="zh-CN"/>
        </w:rPr>
      </w:pPr>
      <w:r>
        <w:rPr>
          <w:rFonts w:hint="eastAsia"/>
          <w:strike w:val="0"/>
          <w:dstrike w:val="0"/>
          <w:color w:val="auto"/>
          <w:sz w:val="24"/>
          <w:u w:val="none"/>
          <w:lang w:val="en-US" w:eastAsia="zh-CN"/>
        </w:rPr>
        <w:t>2.5</w:t>
      </w:r>
      <w:r>
        <w:rPr>
          <w:color w:val="auto"/>
          <w:sz w:val="24"/>
          <w:u w:val="none"/>
        </w:rPr>
        <w:t>、监理费用：本工程监理招标控制价：</w:t>
      </w:r>
      <w:r>
        <w:rPr>
          <w:rFonts w:hint="eastAsia"/>
          <w:color w:val="auto"/>
          <w:sz w:val="24"/>
          <w:u w:val="none"/>
          <w:lang w:val="en-US" w:eastAsia="zh-CN"/>
        </w:rPr>
        <w:t>102.58万</w:t>
      </w:r>
      <w:r>
        <w:rPr>
          <w:color w:val="auto"/>
          <w:spacing w:val="-9"/>
          <w:sz w:val="24"/>
          <w:u w:val="none"/>
        </w:rPr>
        <w:t>元</w:t>
      </w:r>
      <w:r>
        <w:rPr>
          <w:rFonts w:hint="eastAsia"/>
          <w:color w:val="auto"/>
          <w:spacing w:val="-9"/>
          <w:sz w:val="24"/>
          <w:u w:val="none"/>
          <w:lang w:eastAsia="zh-CN"/>
        </w:rPr>
        <w:t>。</w:t>
      </w:r>
    </w:p>
    <w:p>
      <w:pPr>
        <w:pStyle w:val="15"/>
        <w:numPr>
          <w:ilvl w:val="0"/>
          <w:numId w:val="0"/>
        </w:numPr>
        <w:tabs>
          <w:tab w:val="left" w:pos="1237"/>
        </w:tabs>
        <w:spacing w:before="0" w:after="0" w:line="312" w:lineRule="auto"/>
        <w:ind w:left="875" w:leftChars="0" w:right="408" w:rightChars="0"/>
        <w:jc w:val="left"/>
        <w:rPr>
          <w:rFonts w:hint="eastAsia"/>
          <w:color w:val="auto"/>
          <w:spacing w:val="-9"/>
          <w:sz w:val="24"/>
          <w:u w:val="none"/>
          <w:lang w:eastAsia="zh-CN"/>
        </w:rPr>
      </w:pPr>
    </w:p>
    <w:p>
      <w:pPr>
        <w:pStyle w:val="5"/>
        <w:spacing w:line="307" w:lineRule="exact"/>
        <w:rPr>
          <w:strike w:val="0"/>
          <w:dstrike w:val="0"/>
          <w:color w:val="auto"/>
          <w:u w:val="none"/>
        </w:rPr>
      </w:pPr>
      <w:r>
        <w:rPr>
          <w:strike w:val="0"/>
          <w:dstrike w:val="0"/>
          <w:color w:val="auto"/>
          <w:u w:val="none"/>
        </w:rPr>
        <w:t>3、投标人资格要求</w:t>
      </w:r>
    </w:p>
    <w:p>
      <w:pPr>
        <w:pStyle w:val="15"/>
        <w:numPr>
          <w:ilvl w:val="1"/>
          <w:numId w:val="5"/>
        </w:numPr>
        <w:tabs>
          <w:tab w:val="left" w:pos="1296"/>
        </w:tabs>
        <w:spacing w:before="93" w:after="0" w:line="312" w:lineRule="auto"/>
        <w:ind w:left="395" w:right="276" w:firstLine="480"/>
        <w:jc w:val="left"/>
        <w:rPr>
          <w:color w:val="auto"/>
          <w:sz w:val="24"/>
        </w:rPr>
      </w:pPr>
      <w:r>
        <w:rPr>
          <w:color w:val="auto"/>
          <w:sz w:val="24"/>
          <w:u w:val="none"/>
        </w:rPr>
        <w:t>本次招标要求投标人须是具有</w:t>
      </w:r>
      <w:r>
        <w:rPr>
          <w:color w:val="auto"/>
          <w:spacing w:val="-7"/>
          <w:sz w:val="24"/>
          <w:u w:val="none"/>
        </w:rPr>
        <w:t>监理综合资质或市政公用工程监理丙级</w:t>
      </w:r>
      <w:r>
        <w:rPr>
          <w:color w:val="auto"/>
          <w:sz w:val="24"/>
          <w:u w:val="none"/>
        </w:rPr>
        <w:t>（含丙级</w:t>
      </w:r>
      <w:r>
        <w:rPr>
          <w:color w:val="auto"/>
          <w:spacing w:val="-18"/>
          <w:sz w:val="24"/>
          <w:u w:val="none"/>
        </w:rPr>
        <w:t>）</w:t>
      </w:r>
      <w:r>
        <w:rPr>
          <w:color w:val="auto"/>
          <w:spacing w:val="-7"/>
          <w:sz w:val="24"/>
          <w:u w:val="none"/>
        </w:rPr>
        <w:t>以</w:t>
      </w:r>
      <w:r>
        <w:rPr>
          <w:color w:val="auto"/>
          <w:sz w:val="24"/>
          <w:u w:val="none"/>
        </w:rPr>
        <w:t>上资质的独立法人企业，并在人员、试验检测仪器设备方面具有相应的监理能力。</w:t>
      </w:r>
    </w:p>
    <w:p>
      <w:pPr>
        <w:pStyle w:val="7"/>
        <w:spacing w:line="312" w:lineRule="auto"/>
        <w:ind w:right="276" w:firstLine="480"/>
        <w:rPr>
          <w:color w:val="auto"/>
        </w:rPr>
      </w:pPr>
      <w:r>
        <w:rPr>
          <w:color w:val="auto"/>
          <w:spacing w:val="-3"/>
        </w:rPr>
        <w:t>投标人拟派总监理工程师</w:t>
      </w:r>
      <w:r>
        <w:rPr>
          <w:color w:val="auto"/>
        </w:rPr>
        <w:t>（项目负责人</w:t>
      </w:r>
      <w:r>
        <w:rPr>
          <w:color w:val="auto"/>
          <w:spacing w:val="-24"/>
        </w:rPr>
        <w:t>）</w:t>
      </w:r>
      <w:r>
        <w:rPr>
          <w:color w:val="auto"/>
        </w:rPr>
        <w:t>应具备有效的市政公用工程专业注册监理</w:t>
      </w:r>
      <w:r>
        <w:rPr>
          <w:color w:val="auto"/>
          <w:spacing w:val="-7"/>
        </w:rPr>
        <w:t xml:space="preserve">工程师资格，执业单位为投标人。拟派专业监理工程师 </w:t>
      </w:r>
      <w:r>
        <w:rPr>
          <w:color w:val="auto"/>
        </w:rPr>
        <w:t>1</w:t>
      </w:r>
      <w:r>
        <w:rPr>
          <w:color w:val="auto"/>
          <w:spacing w:val="-9"/>
        </w:rPr>
        <w:t xml:space="preserve"> 人，具备有效的市政公用工程</w:t>
      </w:r>
      <w:r>
        <w:rPr>
          <w:color w:val="auto"/>
          <w:spacing w:val="-18"/>
        </w:rPr>
        <w:t>专业注册监理工程师资格，或持有专业监理工程师上岗证，上岗证专业为市政公用工程，</w:t>
      </w:r>
      <w:r>
        <w:rPr>
          <w:color w:val="auto"/>
          <w:spacing w:val="-6"/>
        </w:rPr>
        <w:t xml:space="preserve">执业单位为投标人。拟派监理员 </w:t>
      </w:r>
      <w:r>
        <w:rPr>
          <w:color w:val="auto"/>
        </w:rPr>
        <w:t>2</w:t>
      </w:r>
      <w:r>
        <w:rPr>
          <w:color w:val="auto"/>
          <w:spacing w:val="-10"/>
        </w:rPr>
        <w:t xml:space="preserve"> 人，技术员或以上职称，持有专业监理工程师上岗证</w:t>
      </w:r>
      <w:r>
        <w:rPr>
          <w:color w:val="auto"/>
          <w:spacing w:val="-12"/>
        </w:rPr>
        <w:t>或持有监理员上岗证，专业为市政公用工程。上述人员均须提供在投标人处连续缴纳的</w:t>
      </w:r>
      <w:r>
        <w:rPr>
          <w:color w:val="auto"/>
          <w:spacing w:val="-29"/>
        </w:rPr>
        <w:t xml:space="preserve">至少 </w:t>
      </w:r>
      <w:r>
        <w:rPr>
          <w:color w:val="auto"/>
        </w:rPr>
        <w:t>6</w:t>
      </w:r>
      <w:r>
        <w:rPr>
          <w:color w:val="auto"/>
          <w:spacing w:val="-14"/>
        </w:rPr>
        <w:t xml:space="preserve"> 个月的社保证明</w:t>
      </w:r>
      <w:r>
        <w:rPr>
          <w:color w:val="auto"/>
        </w:rPr>
        <w:t>（若当地政府部门允许企业在疫情期间缓缴社会保险费且投标人</w:t>
      </w:r>
      <w:r>
        <w:rPr>
          <w:color w:val="auto"/>
          <w:spacing w:val="-9"/>
        </w:rPr>
        <w:t>未缴纳的，投标人可提供当地政府部门允许缓缴社保的相关文件作为缴纳社保的证明</w:t>
      </w:r>
      <w:r>
        <w:rPr>
          <w:color w:val="auto"/>
          <w:spacing w:val="-94"/>
        </w:rPr>
        <w:t>）</w:t>
      </w:r>
      <w:r>
        <w:rPr>
          <w:color w:val="auto"/>
          <w:spacing w:val="-17"/>
        </w:rPr>
        <w:t>。</w:t>
      </w:r>
    </w:p>
    <w:p>
      <w:pPr>
        <w:spacing w:after="0" w:line="312" w:lineRule="auto"/>
        <w:rPr>
          <w:color w:val="auto"/>
        </w:rPr>
        <w:sectPr>
          <w:pgSz w:w="11850" w:h="16783"/>
          <w:pgMar w:top="1380" w:right="1020" w:bottom="900" w:left="1020" w:header="0" w:footer="720" w:gutter="0"/>
          <w:pgBorders>
            <w:top w:val="none" w:sz="0" w:space="0"/>
            <w:left w:val="none" w:sz="0" w:space="0"/>
            <w:bottom w:val="none" w:sz="0" w:space="0"/>
            <w:right w:val="none" w:sz="0" w:space="0"/>
          </w:pgBorders>
          <w:pgNumType w:fmt="decimal"/>
          <w:cols w:space="720" w:num="1"/>
        </w:sectPr>
      </w:pPr>
    </w:p>
    <w:p>
      <w:pPr>
        <w:pStyle w:val="7"/>
        <w:spacing w:before="40" w:line="312" w:lineRule="auto"/>
        <w:ind w:right="276" w:firstLine="480"/>
        <w:jc w:val="both"/>
        <w:rPr>
          <w:color w:val="auto"/>
        </w:rPr>
      </w:pPr>
      <w:r>
        <w:rPr>
          <w:color w:val="auto"/>
          <w:spacing w:val="-6"/>
        </w:rPr>
        <w:t>注：①属各省内各级住建主管部门审批的资质证书过期的，如能提供该省有关顺延</w:t>
      </w:r>
      <w:r>
        <w:rPr>
          <w:color w:val="auto"/>
          <w:spacing w:val="-8"/>
        </w:rPr>
        <w:t>资质资格有效期有关文件且符合文件规定的，则视为仍然有效。②住房和城乡建设部核</w:t>
      </w:r>
      <w:r>
        <w:rPr>
          <w:color w:val="auto"/>
          <w:spacing w:val="-11"/>
        </w:rPr>
        <w:t>发的企业资质有效期按《住房和城乡建设部办公厅关于建设工程企业资质统一延续有关事项的通知》（建办市函〔2021〕510</w:t>
      </w:r>
      <w:r>
        <w:rPr>
          <w:color w:val="auto"/>
          <w:spacing w:val="-29"/>
        </w:rPr>
        <w:t xml:space="preserve"> 号</w:t>
      </w:r>
      <w:r>
        <w:rPr>
          <w:color w:val="auto"/>
        </w:rPr>
        <w:t>）的要求执行。③执行《住房和城乡建设部办</w:t>
      </w:r>
      <w:r>
        <w:rPr>
          <w:color w:val="auto"/>
          <w:spacing w:val="-7"/>
        </w:rPr>
        <w:t>公厅关于做好建筑业“证照分离”改革衔接有关工作的通知》</w:t>
      </w:r>
      <w:r>
        <w:rPr>
          <w:color w:val="auto"/>
        </w:rPr>
        <w:t>（</w:t>
      </w:r>
      <w:r>
        <w:rPr>
          <w:color w:val="auto"/>
          <w:spacing w:val="-6"/>
        </w:rPr>
        <w:t>建办市〔</w:t>
      </w:r>
      <w:r>
        <w:rPr>
          <w:color w:val="auto"/>
        </w:rPr>
        <w:t>2021</w:t>
      </w:r>
      <w:r>
        <w:rPr>
          <w:color w:val="auto"/>
          <w:spacing w:val="-20"/>
        </w:rPr>
        <w:t>〕</w:t>
      </w:r>
      <w:r>
        <w:rPr>
          <w:color w:val="auto"/>
        </w:rPr>
        <w:t>30</w:t>
      </w:r>
      <w:r>
        <w:rPr>
          <w:color w:val="auto"/>
          <w:spacing w:val="-30"/>
        </w:rPr>
        <w:t xml:space="preserve"> 号</w:t>
      </w:r>
      <w:r>
        <w:rPr>
          <w:color w:val="auto"/>
          <w:spacing w:val="-111"/>
        </w:rPr>
        <w:t>）</w:t>
      </w:r>
      <w:r>
        <w:rPr>
          <w:color w:val="auto"/>
          <w:spacing w:val="-14"/>
        </w:rPr>
        <w:t>。</w:t>
      </w:r>
    </w:p>
    <w:p>
      <w:pPr>
        <w:pStyle w:val="7"/>
        <w:spacing w:before="2" w:line="312" w:lineRule="auto"/>
        <w:ind w:right="396" w:firstLine="480"/>
        <w:jc w:val="both"/>
        <w:rPr>
          <w:color w:val="auto"/>
        </w:rPr>
      </w:pPr>
      <w:r>
        <w:rPr>
          <w:color w:val="auto"/>
          <w:spacing w:val="-8"/>
        </w:rPr>
        <w:t>根据《广东省住房和城乡建设厅关于取消省外建筑企业和人员进粤信息备案有关工作的通知》粤建市〔</w:t>
      </w:r>
      <w:r>
        <w:rPr>
          <w:color w:val="auto"/>
        </w:rPr>
        <w:t>2015</w:t>
      </w:r>
      <w:r>
        <w:rPr>
          <w:color w:val="auto"/>
          <w:spacing w:val="-22"/>
        </w:rPr>
        <w:t>〕</w:t>
      </w:r>
      <w:r>
        <w:rPr>
          <w:color w:val="auto"/>
        </w:rPr>
        <w:t>52</w:t>
      </w:r>
      <w:r>
        <w:rPr>
          <w:color w:val="auto"/>
          <w:spacing w:val="-11"/>
        </w:rPr>
        <w:t xml:space="preserve"> 号的要求，省外企业已按要求在“进粤企业和人员诚信信</w:t>
      </w:r>
      <w:r>
        <w:rPr>
          <w:color w:val="auto"/>
        </w:rPr>
        <w:t>息登记平台”录入相关信息。</w:t>
      </w:r>
    </w:p>
    <w:p>
      <w:pPr>
        <w:pStyle w:val="15"/>
        <w:numPr>
          <w:ilvl w:val="1"/>
          <w:numId w:val="5"/>
        </w:numPr>
        <w:tabs>
          <w:tab w:val="left" w:pos="1296"/>
        </w:tabs>
        <w:spacing w:before="0" w:after="0" w:line="240" w:lineRule="auto"/>
        <w:ind w:left="1296" w:right="0" w:hanging="420"/>
        <w:jc w:val="both"/>
        <w:rPr>
          <w:color w:val="auto"/>
          <w:sz w:val="24"/>
        </w:rPr>
      </w:pPr>
      <w:r>
        <w:rPr>
          <w:color w:val="auto"/>
          <w:sz w:val="24"/>
        </w:rPr>
        <w:t>信誉要求：</w:t>
      </w:r>
    </w:p>
    <w:p>
      <w:pPr>
        <w:widowControl/>
        <w:spacing w:line="360" w:lineRule="auto"/>
        <w:ind w:firstLine="320" w:firstLineChars="200"/>
        <w:jc w:val="left"/>
        <w:rPr>
          <w:color w:val="auto"/>
        </w:rPr>
      </w:pPr>
      <w:r>
        <w:rPr>
          <w:color w:val="auto"/>
          <w:spacing w:val="-30"/>
        </w:rPr>
        <w:t xml:space="preserve">自 </w:t>
      </w:r>
      <w:r>
        <w:rPr>
          <w:color w:val="auto"/>
        </w:rPr>
        <w:t>2021</w:t>
      </w:r>
      <w:r>
        <w:rPr>
          <w:color w:val="auto"/>
          <w:spacing w:val="-40"/>
        </w:rPr>
        <w:t xml:space="preserve"> 年 </w:t>
      </w:r>
      <w:r>
        <w:rPr>
          <w:rFonts w:hint="eastAsia"/>
          <w:color w:val="auto"/>
          <w:lang w:val="en-US" w:eastAsia="zh-CN"/>
        </w:rPr>
        <w:t xml:space="preserve">7 </w:t>
      </w:r>
      <w:r>
        <w:rPr>
          <w:color w:val="auto"/>
          <w:spacing w:val="-40"/>
        </w:rPr>
        <w:t xml:space="preserve">月 </w:t>
      </w:r>
      <w:r>
        <w:rPr>
          <w:color w:val="auto"/>
        </w:rPr>
        <w:t>1</w:t>
      </w:r>
      <w:r>
        <w:rPr>
          <w:color w:val="auto"/>
          <w:spacing w:val="-10"/>
        </w:rPr>
        <w:t xml:space="preserve"> 日至本项目投标截止时间止</w:t>
      </w:r>
      <w:r>
        <w:rPr>
          <w:color w:val="auto"/>
          <w:spacing w:val="-3"/>
        </w:rPr>
        <w:t>（</w:t>
      </w:r>
      <w:r>
        <w:rPr>
          <w:color w:val="auto"/>
        </w:rPr>
        <w:t>以处罚或通报日期为准</w:t>
      </w:r>
      <w:r>
        <w:rPr>
          <w:color w:val="auto"/>
          <w:spacing w:val="-38"/>
        </w:rPr>
        <w:t>）</w:t>
      </w:r>
      <w:r>
        <w:rPr>
          <w:color w:val="auto"/>
          <w:spacing w:val="-11"/>
        </w:rPr>
        <w:t>，投标人和</w:t>
      </w:r>
      <w:r>
        <w:rPr>
          <w:color w:val="auto"/>
          <w:spacing w:val="-2"/>
        </w:rPr>
        <w:t>拟派的总监理工程师</w:t>
      </w:r>
      <w:r>
        <w:rPr>
          <w:color w:val="auto"/>
        </w:rPr>
        <w:t>（项目负责人</w:t>
      </w:r>
      <w:r>
        <w:rPr>
          <w:color w:val="auto"/>
          <w:spacing w:val="-17"/>
        </w:rPr>
        <w:t>）</w:t>
      </w:r>
      <w:r>
        <w:rPr>
          <w:color w:val="auto"/>
          <w:spacing w:val="-3"/>
        </w:rPr>
        <w:t>在国家住房和城乡建设部“全国建筑市场监管公共</w:t>
      </w:r>
      <w:r>
        <w:rPr>
          <w:color w:val="auto"/>
          <w:spacing w:val="-8"/>
        </w:rPr>
        <w:t>服务平台”、“广东省建筑市场监管公共服务平台”</w:t>
      </w:r>
      <w:r>
        <w:rPr>
          <w:rFonts w:hint="eastAsia"/>
          <w:color w:val="auto"/>
          <w:spacing w:val="-8"/>
          <w:lang w:eastAsia="zh-CN"/>
        </w:rPr>
        <w:t>、</w:t>
      </w:r>
      <w:r>
        <w:rPr>
          <w:rFonts w:hint="eastAsia" w:ascii="宋体" w:hAnsi="宋体" w:cs="宋体"/>
          <w:bCs/>
          <w:color w:val="auto"/>
          <w:sz w:val="24"/>
        </w:rPr>
        <w:t>“梅州市建筑市场诚信管理平台”上未有被限制参与投标的信息。</w:t>
      </w:r>
    </w:p>
    <w:p>
      <w:pPr>
        <w:pStyle w:val="15"/>
        <w:numPr>
          <w:ilvl w:val="1"/>
          <w:numId w:val="5"/>
        </w:numPr>
        <w:tabs>
          <w:tab w:val="left" w:pos="1296"/>
        </w:tabs>
        <w:spacing w:before="2" w:after="0" w:line="312" w:lineRule="auto"/>
        <w:ind w:left="395" w:right="396" w:firstLine="480"/>
        <w:jc w:val="both"/>
        <w:rPr>
          <w:color w:val="auto"/>
          <w:sz w:val="24"/>
        </w:rPr>
      </w:pPr>
      <w:r>
        <w:rPr>
          <w:color w:val="auto"/>
          <w:spacing w:val="-1"/>
          <w:sz w:val="24"/>
        </w:rPr>
        <w:t>与招标人存在利害关系可能影响招标公正性的法人、其他组织或者个人，不得</w:t>
      </w:r>
      <w:r>
        <w:rPr>
          <w:color w:val="auto"/>
          <w:spacing w:val="-7"/>
          <w:sz w:val="24"/>
        </w:rPr>
        <w:t>参加投标。单位负责人为同一人或者存在控股、管理关系的不同单位，不得同时参加投</w:t>
      </w:r>
      <w:r>
        <w:rPr>
          <w:color w:val="auto"/>
          <w:sz w:val="24"/>
        </w:rPr>
        <w:t>标。</w:t>
      </w:r>
    </w:p>
    <w:p>
      <w:pPr>
        <w:pStyle w:val="15"/>
        <w:numPr>
          <w:ilvl w:val="1"/>
          <w:numId w:val="5"/>
        </w:numPr>
        <w:tabs>
          <w:tab w:val="left" w:pos="1296"/>
        </w:tabs>
        <w:spacing w:before="1" w:after="0" w:line="240" w:lineRule="auto"/>
        <w:ind w:left="1296" w:right="0" w:hanging="420"/>
        <w:jc w:val="both"/>
        <w:rPr>
          <w:color w:val="auto"/>
          <w:sz w:val="24"/>
        </w:rPr>
      </w:pPr>
      <w:r>
        <w:rPr>
          <w:color w:val="auto"/>
          <w:sz w:val="24"/>
        </w:rPr>
        <w:t>本次招标</w:t>
      </w:r>
      <w:r>
        <w:rPr>
          <w:b/>
          <w:color w:val="auto"/>
          <w:sz w:val="24"/>
          <w:u w:val="single"/>
        </w:rPr>
        <w:t>不接受</w:t>
      </w:r>
      <w:r>
        <w:rPr>
          <w:color w:val="auto"/>
          <w:sz w:val="24"/>
        </w:rPr>
        <w:t>联合体投标。</w:t>
      </w:r>
    </w:p>
    <w:p>
      <w:pPr>
        <w:pStyle w:val="15"/>
        <w:numPr>
          <w:ilvl w:val="1"/>
          <w:numId w:val="5"/>
        </w:numPr>
        <w:tabs>
          <w:tab w:val="left" w:pos="1296"/>
        </w:tabs>
        <w:spacing w:before="93" w:after="0" w:line="312" w:lineRule="auto"/>
        <w:ind w:left="395" w:right="408" w:firstLine="480"/>
        <w:jc w:val="both"/>
        <w:rPr>
          <w:color w:val="auto"/>
          <w:sz w:val="24"/>
        </w:rPr>
      </w:pPr>
      <w:r>
        <w:rPr>
          <w:color w:val="auto"/>
          <w:spacing w:val="-1"/>
          <w:sz w:val="24"/>
        </w:rPr>
        <w:t>本次监理招标实行资格后审，资格审查的具体要求详见招标文件，资格后审不</w:t>
      </w:r>
      <w:r>
        <w:rPr>
          <w:color w:val="auto"/>
          <w:sz w:val="24"/>
        </w:rPr>
        <w:t>合格的投标人的投标文件将按无效投标文件处理。</w:t>
      </w:r>
    </w:p>
    <w:p>
      <w:pPr>
        <w:pStyle w:val="15"/>
        <w:numPr>
          <w:ilvl w:val="0"/>
          <w:numId w:val="0"/>
        </w:numPr>
        <w:tabs>
          <w:tab w:val="left" w:pos="1296"/>
        </w:tabs>
        <w:spacing w:before="93" w:after="0" w:line="312" w:lineRule="auto"/>
        <w:ind w:left="875" w:leftChars="0" w:right="408" w:rightChars="0"/>
        <w:jc w:val="both"/>
        <w:rPr>
          <w:color w:val="auto"/>
          <w:sz w:val="24"/>
        </w:rPr>
      </w:pPr>
    </w:p>
    <w:p>
      <w:pPr>
        <w:pStyle w:val="5"/>
        <w:spacing w:line="307" w:lineRule="exact"/>
        <w:rPr>
          <w:color w:val="auto"/>
        </w:rPr>
      </w:pPr>
      <w:r>
        <w:rPr>
          <w:color w:val="auto"/>
        </w:rPr>
        <w:t>4、投标登记及招标文件的获取</w:t>
      </w:r>
    </w:p>
    <w:p>
      <w:pPr>
        <w:pStyle w:val="7"/>
        <w:tabs>
          <w:tab w:val="left" w:pos="1955"/>
          <w:tab w:val="left" w:pos="2435"/>
          <w:tab w:val="left" w:pos="4955"/>
          <w:tab w:val="left" w:pos="5555"/>
        </w:tabs>
        <w:spacing w:before="93" w:line="312" w:lineRule="auto"/>
        <w:ind w:right="276" w:firstLine="480"/>
        <w:rPr>
          <w:color w:val="auto"/>
        </w:rPr>
      </w:pPr>
      <w:r>
        <w:rPr>
          <w:color w:val="auto"/>
        </w:rPr>
        <w:t>本项目采用网上投标登记方式（网上投标登记，纸质投标），凡有意参加投标者， 请于</w:t>
      </w:r>
      <w:r>
        <w:rPr>
          <w:color w:val="auto"/>
          <w:spacing w:val="-60"/>
        </w:rPr>
        <w:t xml:space="preserve"> </w:t>
      </w:r>
      <w:r>
        <w:rPr>
          <w:color w:val="auto"/>
          <w:u w:val="single" w:color="FF0000"/>
        </w:rPr>
        <w:t>2022</w:t>
      </w:r>
      <w:r>
        <w:rPr>
          <w:color w:val="auto"/>
          <w:spacing w:val="-60"/>
          <w:u w:val="single" w:color="FF0000"/>
        </w:rPr>
        <w:t xml:space="preserve"> </w:t>
      </w:r>
      <w:r>
        <w:rPr>
          <w:color w:val="auto"/>
          <w:u w:val="single" w:color="FF0000"/>
        </w:rPr>
        <w:t>年</w:t>
      </w:r>
      <w:r>
        <w:rPr>
          <w:color w:val="auto"/>
          <w:u w:val="single" w:color="FF0000"/>
        </w:rPr>
        <w:tab/>
      </w:r>
      <w:r>
        <w:rPr>
          <w:color w:val="auto"/>
          <w:u w:val="single" w:color="FF0000"/>
        </w:rPr>
        <w:t>月</w:t>
      </w:r>
      <w:r>
        <w:rPr>
          <w:rFonts w:hint="eastAsia"/>
          <w:color w:val="auto"/>
          <w:u w:val="single" w:color="FF0000"/>
          <w:lang w:val="en-US" w:eastAsia="zh-CN"/>
        </w:rPr>
        <w:t xml:space="preserve"> </w:t>
      </w:r>
      <w:r>
        <w:rPr>
          <w:color w:val="auto"/>
          <w:u w:val="single" w:color="FF0000"/>
        </w:rPr>
        <w:tab/>
      </w:r>
      <w:r>
        <w:rPr>
          <w:color w:val="auto"/>
          <w:u w:val="single" w:color="FF0000"/>
        </w:rPr>
        <w:t>日至</w:t>
      </w:r>
      <w:r>
        <w:rPr>
          <w:rFonts w:hint="eastAsia"/>
          <w:color w:val="auto"/>
          <w:u w:val="single" w:color="FF0000"/>
          <w:lang w:val="en-US" w:eastAsia="zh-CN"/>
        </w:rPr>
        <w:t xml:space="preserve">    </w:t>
      </w:r>
      <w:r>
        <w:rPr>
          <w:color w:val="auto"/>
          <w:u w:val="single" w:color="FF0000"/>
        </w:rPr>
        <w:t>月</w:t>
      </w:r>
      <w:r>
        <w:rPr>
          <w:rFonts w:hint="eastAsia"/>
          <w:color w:val="auto"/>
          <w:u w:val="single" w:color="FF0000"/>
          <w:lang w:val="en-US" w:eastAsia="zh-CN"/>
        </w:rPr>
        <w:t xml:space="preserve">   </w:t>
      </w:r>
      <w:r>
        <w:rPr>
          <w:color w:val="auto"/>
          <w:u w:val="single" w:color="FF0000"/>
        </w:rPr>
        <w:t>日</w:t>
      </w:r>
      <w:r>
        <w:rPr>
          <w:color w:val="auto"/>
        </w:rPr>
        <w:t>（北京时间</w:t>
      </w:r>
      <w:r>
        <w:rPr>
          <w:color w:val="auto"/>
          <w:spacing w:val="-24"/>
        </w:rPr>
        <w:t>，</w:t>
      </w:r>
      <w:r>
        <w:rPr>
          <w:color w:val="auto"/>
        </w:rPr>
        <w:t>下同</w:t>
      </w:r>
      <w:r>
        <w:rPr>
          <w:color w:val="auto"/>
          <w:spacing w:val="-18"/>
        </w:rPr>
        <w:t xml:space="preserve">） </w:t>
      </w:r>
      <w:r>
        <w:rPr>
          <w:color w:val="auto"/>
        </w:rPr>
        <w:t>自行登录广州公共资源交易中心交易平台网站进行投标登记</w:t>
      </w:r>
      <w:r>
        <w:rPr>
          <w:color w:val="auto"/>
          <w:spacing w:val="-48"/>
        </w:rPr>
        <w:t>，</w:t>
      </w:r>
      <w:r>
        <w:rPr>
          <w:color w:val="auto"/>
        </w:rPr>
        <w:t>免费获取招标文件及相关资料。</w:t>
      </w:r>
    </w:p>
    <w:p>
      <w:pPr>
        <w:pStyle w:val="7"/>
        <w:spacing w:line="312" w:lineRule="auto"/>
        <w:ind w:right="396" w:firstLine="480"/>
        <w:jc w:val="both"/>
        <w:rPr>
          <w:color w:val="auto"/>
        </w:rPr>
      </w:pPr>
      <w:r>
        <w:rPr>
          <w:color w:val="auto"/>
          <w:spacing w:val="-7"/>
        </w:rPr>
        <w:t>注：投标人已在广州公共资源交易中心办理企业信息登记，且拟担任本项目总监理</w:t>
      </w:r>
      <w:r>
        <w:rPr>
          <w:color w:val="auto"/>
          <w:spacing w:val="-5"/>
        </w:rPr>
        <w:t>工程师</w:t>
      </w:r>
      <w:r>
        <w:rPr>
          <w:color w:val="auto"/>
          <w:spacing w:val="-3"/>
        </w:rPr>
        <w:t>（</w:t>
      </w:r>
      <w:r>
        <w:rPr>
          <w:color w:val="auto"/>
        </w:rPr>
        <w:t>项目负责人</w:t>
      </w:r>
      <w:r>
        <w:rPr>
          <w:color w:val="auto"/>
          <w:spacing w:val="-15"/>
        </w:rPr>
        <w:t>）</w:t>
      </w:r>
      <w:r>
        <w:rPr>
          <w:color w:val="auto"/>
          <w:spacing w:val="-2"/>
        </w:rPr>
        <w:t>须是本单位在企业库中的在册人员并未被锁定，在投标阶段不允</w:t>
      </w:r>
      <w:r>
        <w:rPr>
          <w:color w:val="auto"/>
        </w:rPr>
        <w:t>许更换。</w:t>
      </w:r>
    </w:p>
    <w:p>
      <w:pPr>
        <w:pStyle w:val="7"/>
        <w:spacing w:line="312" w:lineRule="auto"/>
        <w:ind w:right="396" w:firstLine="480"/>
        <w:jc w:val="both"/>
        <w:rPr>
          <w:color w:val="auto"/>
        </w:rPr>
      </w:pPr>
    </w:p>
    <w:p>
      <w:pPr>
        <w:pStyle w:val="5"/>
        <w:spacing w:before="1"/>
        <w:rPr>
          <w:color w:val="auto"/>
        </w:rPr>
      </w:pPr>
      <w:r>
        <w:rPr>
          <w:color w:val="auto"/>
        </w:rPr>
        <w:t>5、投标文件的递交</w:t>
      </w:r>
    </w:p>
    <w:p>
      <w:pPr>
        <w:pStyle w:val="15"/>
        <w:numPr>
          <w:ilvl w:val="0"/>
          <w:numId w:val="0"/>
        </w:numPr>
        <w:tabs>
          <w:tab w:val="left" w:pos="1428"/>
          <w:tab w:val="left" w:pos="8073"/>
          <w:tab w:val="left" w:pos="8716"/>
          <w:tab w:val="left" w:pos="9227"/>
        </w:tabs>
        <w:spacing w:before="93" w:after="0" w:line="312" w:lineRule="auto"/>
        <w:ind w:left="995" w:leftChars="0" w:right="396" w:rightChars="0"/>
        <w:jc w:val="left"/>
        <w:rPr>
          <w:i/>
          <w:iCs/>
          <w:color w:val="auto"/>
          <w:sz w:val="24"/>
          <w:u w:val="none"/>
        </w:rPr>
      </w:pPr>
      <w:r>
        <w:rPr>
          <w:rFonts w:hint="eastAsia"/>
          <w:color w:val="auto"/>
          <w:spacing w:val="9"/>
          <w:sz w:val="24"/>
          <w:lang w:val="en-US" w:eastAsia="zh-CN"/>
        </w:rPr>
        <w:t>5.1</w:t>
      </w:r>
      <w:r>
        <w:rPr>
          <w:color w:val="auto"/>
          <w:spacing w:val="9"/>
          <w:sz w:val="24"/>
        </w:rPr>
        <w:t>投</w:t>
      </w:r>
      <w:r>
        <w:rPr>
          <w:color w:val="auto"/>
          <w:spacing w:val="12"/>
          <w:sz w:val="24"/>
        </w:rPr>
        <w:t>标</w:t>
      </w:r>
      <w:r>
        <w:rPr>
          <w:color w:val="auto"/>
          <w:spacing w:val="9"/>
          <w:sz w:val="24"/>
        </w:rPr>
        <w:t>文</w:t>
      </w:r>
      <w:r>
        <w:rPr>
          <w:color w:val="auto"/>
          <w:spacing w:val="12"/>
          <w:sz w:val="24"/>
        </w:rPr>
        <w:t>件</w:t>
      </w:r>
      <w:r>
        <w:rPr>
          <w:color w:val="auto"/>
          <w:spacing w:val="9"/>
          <w:sz w:val="24"/>
        </w:rPr>
        <w:t>递交</w:t>
      </w:r>
      <w:r>
        <w:rPr>
          <w:color w:val="auto"/>
          <w:spacing w:val="12"/>
          <w:sz w:val="24"/>
        </w:rPr>
        <w:t>的</w:t>
      </w:r>
      <w:r>
        <w:rPr>
          <w:color w:val="auto"/>
          <w:spacing w:val="9"/>
          <w:sz w:val="24"/>
        </w:rPr>
        <w:t>截</w:t>
      </w:r>
      <w:r>
        <w:rPr>
          <w:color w:val="auto"/>
          <w:spacing w:val="12"/>
          <w:sz w:val="24"/>
        </w:rPr>
        <w:t>止</w:t>
      </w:r>
      <w:r>
        <w:rPr>
          <w:color w:val="auto"/>
          <w:spacing w:val="9"/>
          <w:sz w:val="24"/>
        </w:rPr>
        <w:t>时间(投</w:t>
      </w:r>
      <w:r>
        <w:rPr>
          <w:color w:val="auto"/>
          <w:spacing w:val="12"/>
          <w:sz w:val="24"/>
        </w:rPr>
        <w:t>标</w:t>
      </w:r>
      <w:r>
        <w:rPr>
          <w:color w:val="auto"/>
          <w:spacing w:val="9"/>
          <w:sz w:val="24"/>
        </w:rPr>
        <w:t>截</w:t>
      </w:r>
      <w:r>
        <w:rPr>
          <w:color w:val="auto"/>
          <w:spacing w:val="12"/>
          <w:sz w:val="24"/>
        </w:rPr>
        <w:t>止</w:t>
      </w:r>
      <w:r>
        <w:rPr>
          <w:color w:val="auto"/>
          <w:spacing w:val="9"/>
          <w:sz w:val="24"/>
        </w:rPr>
        <w:t>时间</w:t>
      </w:r>
      <w:r>
        <w:rPr>
          <w:color w:val="auto"/>
          <w:spacing w:val="12"/>
          <w:sz w:val="24"/>
        </w:rPr>
        <w:t>，</w:t>
      </w:r>
      <w:r>
        <w:rPr>
          <w:color w:val="auto"/>
          <w:spacing w:val="9"/>
          <w:sz w:val="24"/>
        </w:rPr>
        <w:t>下</w:t>
      </w:r>
      <w:r>
        <w:rPr>
          <w:color w:val="auto"/>
          <w:spacing w:val="12"/>
          <w:sz w:val="24"/>
        </w:rPr>
        <w:t>同)</w:t>
      </w:r>
      <w:r>
        <w:rPr>
          <w:color w:val="auto"/>
          <w:sz w:val="24"/>
        </w:rPr>
        <w:t>为</w:t>
      </w:r>
      <w:r>
        <w:rPr>
          <w:color w:val="auto"/>
          <w:spacing w:val="-51"/>
          <w:sz w:val="24"/>
        </w:rPr>
        <w:t xml:space="preserve"> </w:t>
      </w:r>
      <w:r>
        <w:rPr>
          <w:color w:val="auto"/>
          <w:sz w:val="24"/>
          <w:u w:val="single" w:color="FF0000"/>
        </w:rPr>
        <w:t>2022</w:t>
      </w:r>
      <w:r>
        <w:rPr>
          <w:color w:val="auto"/>
          <w:spacing w:val="-48"/>
          <w:sz w:val="24"/>
          <w:u w:val="single" w:color="FF0000"/>
        </w:rPr>
        <w:t xml:space="preserve"> </w:t>
      </w:r>
      <w:r>
        <w:rPr>
          <w:color w:val="auto"/>
          <w:sz w:val="24"/>
          <w:u w:val="single" w:color="FF0000"/>
        </w:rPr>
        <w:t>年</w:t>
      </w:r>
      <w:r>
        <w:rPr>
          <w:rFonts w:hint="eastAsia"/>
          <w:color w:val="auto"/>
          <w:sz w:val="24"/>
          <w:u w:val="single" w:color="FF0000"/>
          <w:lang w:val="en-US" w:eastAsia="zh-CN"/>
        </w:rPr>
        <w:t xml:space="preserve">  </w:t>
      </w:r>
      <w:r>
        <w:rPr>
          <w:color w:val="auto"/>
          <w:sz w:val="24"/>
          <w:u w:val="single" w:color="FF0000"/>
        </w:rPr>
        <w:t>月</w:t>
      </w:r>
      <w:r>
        <w:rPr>
          <w:rFonts w:hint="eastAsia"/>
          <w:color w:val="auto"/>
          <w:sz w:val="24"/>
          <w:u w:val="single" w:color="FF0000"/>
          <w:lang w:val="en-US" w:eastAsia="zh-CN"/>
        </w:rPr>
        <w:t xml:space="preserve">  </w:t>
      </w:r>
      <w:r>
        <w:rPr>
          <w:color w:val="auto"/>
          <w:sz w:val="24"/>
          <w:u w:val="single" w:color="FF0000"/>
        </w:rPr>
        <w:t>日</w:t>
      </w:r>
      <w:r>
        <w:rPr>
          <w:rFonts w:hint="eastAsia"/>
          <w:color w:val="auto"/>
          <w:sz w:val="24"/>
          <w:u w:val="single" w:color="FF0000"/>
          <w:lang w:val="en-US" w:eastAsia="zh-CN"/>
        </w:rPr>
        <w:t xml:space="preserve">  时  </w:t>
      </w:r>
    </w:p>
    <w:p>
      <w:pPr>
        <w:pStyle w:val="15"/>
        <w:numPr>
          <w:ilvl w:val="0"/>
          <w:numId w:val="0"/>
        </w:numPr>
        <w:tabs>
          <w:tab w:val="left" w:pos="1428"/>
          <w:tab w:val="left" w:pos="8073"/>
          <w:tab w:val="left" w:pos="8716"/>
          <w:tab w:val="left" w:pos="9227"/>
        </w:tabs>
        <w:spacing w:before="93" w:after="0" w:line="312" w:lineRule="auto"/>
        <w:ind w:right="396" w:rightChars="0" w:firstLine="480" w:firstLineChars="200"/>
        <w:jc w:val="left"/>
        <w:rPr>
          <w:color w:val="auto"/>
          <w:sz w:val="24"/>
        </w:rPr>
      </w:pPr>
      <w:r>
        <w:rPr>
          <w:rFonts w:hint="eastAsia"/>
          <w:color w:val="auto"/>
          <w:sz w:val="24"/>
          <w:lang w:val="en-US" w:eastAsia="zh-CN"/>
        </w:rPr>
        <w:t>分</w:t>
      </w:r>
      <w:r>
        <w:rPr>
          <w:color w:val="auto"/>
          <w:sz w:val="24"/>
        </w:rPr>
        <w:t>，地点为</w:t>
      </w:r>
      <w:r>
        <w:rPr>
          <w:color w:val="auto"/>
          <w:sz w:val="24"/>
          <w:u w:val="single"/>
        </w:rPr>
        <w:t>广州公共资源交易中心（地址：广州市天河区天润路</w:t>
      </w:r>
      <w:r>
        <w:rPr>
          <w:color w:val="auto"/>
          <w:spacing w:val="-60"/>
          <w:sz w:val="24"/>
          <w:u w:val="single"/>
        </w:rPr>
        <w:t xml:space="preserve"> </w:t>
      </w:r>
      <w:r>
        <w:rPr>
          <w:color w:val="auto"/>
          <w:sz w:val="24"/>
          <w:u w:val="single"/>
        </w:rPr>
        <w:t>333</w:t>
      </w:r>
      <w:r>
        <w:rPr>
          <w:color w:val="auto"/>
          <w:spacing w:val="-60"/>
          <w:sz w:val="24"/>
          <w:u w:val="single"/>
        </w:rPr>
        <w:t xml:space="preserve"> </w:t>
      </w:r>
      <w:r>
        <w:rPr>
          <w:color w:val="auto"/>
          <w:sz w:val="24"/>
          <w:u w:val="single"/>
        </w:rPr>
        <w:t>号）</w:t>
      </w:r>
      <w:r>
        <w:rPr>
          <w:color w:val="auto"/>
          <w:sz w:val="24"/>
        </w:rPr>
        <w:t>。</w:t>
      </w:r>
    </w:p>
    <w:p>
      <w:pPr>
        <w:pStyle w:val="7"/>
        <w:spacing w:line="307" w:lineRule="exact"/>
        <w:ind w:left="876"/>
        <w:rPr>
          <w:color w:val="auto"/>
        </w:rPr>
      </w:pPr>
      <w:r>
        <w:rPr>
          <w:color w:val="auto"/>
        </w:rPr>
        <w:t>投标人代表须持法定代表人身份证明书原件</w:t>
      </w:r>
      <w:r>
        <w:rPr>
          <w:rFonts w:hint="eastAsia"/>
          <w:color w:val="auto"/>
          <w:lang w:val="en-US" w:eastAsia="zh-CN"/>
        </w:rPr>
        <w:t xml:space="preserve"> </w:t>
      </w:r>
      <w:r>
        <w:rPr>
          <w:color w:val="auto"/>
        </w:rPr>
        <w:t>(若委托代理人另外提供法定代表人授</w:t>
      </w:r>
    </w:p>
    <w:p>
      <w:pPr>
        <w:spacing w:after="0" w:line="307" w:lineRule="exact"/>
        <w:rPr>
          <w:color w:val="auto"/>
        </w:rPr>
        <w:sectPr>
          <w:pgSz w:w="11850" w:h="16783"/>
          <w:pgMar w:top="1440" w:right="1020" w:bottom="900" w:left="1020" w:header="0" w:footer="720" w:gutter="0"/>
          <w:pgBorders>
            <w:top w:val="none" w:sz="0" w:space="0"/>
            <w:left w:val="none" w:sz="0" w:space="0"/>
            <w:bottom w:val="none" w:sz="0" w:space="0"/>
            <w:right w:val="none" w:sz="0" w:space="0"/>
          </w:pgBorders>
          <w:pgNumType w:fmt="decimal"/>
          <w:cols w:space="720" w:num="1"/>
        </w:sectPr>
      </w:pPr>
    </w:p>
    <w:p>
      <w:pPr>
        <w:pStyle w:val="7"/>
        <w:spacing w:before="40"/>
        <w:ind w:left="0" w:leftChars="0" w:firstLine="0" w:firstLineChars="0"/>
        <w:rPr>
          <w:color w:val="auto"/>
        </w:rPr>
      </w:pPr>
      <w:r>
        <w:rPr>
          <w:color w:val="auto"/>
        </w:rPr>
        <w:t>权委托书原件)、本人身份证原件一并递交核验。</w:t>
      </w:r>
    </w:p>
    <w:p>
      <w:pPr>
        <w:pStyle w:val="15"/>
        <w:numPr>
          <w:ilvl w:val="0"/>
          <w:numId w:val="0"/>
        </w:numPr>
        <w:tabs>
          <w:tab w:val="left" w:pos="1296"/>
        </w:tabs>
        <w:spacing w:before="91" w:after="0" w:line="326" w:lineRule="auto"/>
        <w:ind w:left="875" w:leftChars="0" w:right="1848" w:rightChars="0"/>
        <w:jc w:val="left"/>
        <w:rPr>
          <w:color w:val="auto"/>
          <w:spacing w:val="-1"/>
          <w:sz w:val="24"/>
        </w:rPr>
      </w:pPr>
      <w:r>
        <w:rPr>
          <w:rFonts w:hint="eastAsia"/>
          <w:color w:val="auto"/>
          <w:spacing w:val="-1"/>
          <w:sz w:val="24"/>
          <w:lang w:val="en-US" w:eastAsia="zh-CN"/>
        </w:rPr>
        <w:t>5.2</w:t>
      </w:r>
      <w:r>
        <w:rPr>
          <w:color w:val="auto"/>
          <w:spacing w:val="-1"/>
          <w:sz w:val="24"/>
        </w:rPr>
        <w:t>逾期送达的或者未送达指定地点的投标文件，招标人不予受</w:t>
      </w:r>
    </w:p>
    <w:p>
      <w:pPr>
        <w:pStyle w:val="15"/>
        <w:numPr>
          <w:ilvl w:val="0"/>
          <w:numId w:val="0"/>
        </w:numPr>
        <w:tabs>
          <w:tab w:val="left" w:pos="1296"/>
        </w:tabs>
        <w:spacing w:before="91" w:after="0" w:line="326" w:lineRule="auto"/>
        <w:ind w:right="1848" w:rightChars="0" w:firstLine="482" w:firstLineChars="200"/>
        <w:jc w:val="left"/>
        <w:rPr>
          <w:rFonts w:ascii="宋体" w:hAnsi="宋体" w:eastAsia="宋体" w:cs="宋体"/>
          <w:b/>
          <w:color w:val="auto"/>
          <w:sz w:val="24"/>
          <w:szCs w:val="22"/>
          <w:lang w:val="zh-CN" w:eastAsia="zh-CN" w:bidi="zh-CN"/>
        </w:rPr>
      </w:pPr>
      <w:r>
        <w:rPr>
          <w:rFonts w:ascii="宋体" w:hAnsi="宋体" w:eastAsia="宋体" w:cs="宋体"/>
          <w:b/>
          <w:color w:val="auto"/>
          <w:sz w:val="24"/>
          <w:szCs w:val="22"/>
          <w:lang w:val="zh-CN" w:eastAsia="zh-CN" w:bidi="zh-CN"/>
        </w:rPr>
        <w:t>6、发布公告的媒介</w:t>
      </w:r>
    </w:p>
    <w:p>
      <w:pPr>
        <w:spacing w:before="1" w:line="328" w:lineRule="auto"/>
        <w:ind w:right="327" w:firstLine="480" w:firstLineChars="200"/>
        <w:jc w:val="left"/>
        <w:rPr>
          <w:b/>
          <w:color w:val="auto"/>
          <w:sz w:val="24"/>
        </w:rPr>
      </w:pPr>
      <w:r>
        <w:rPr>
          <w:rFonts w:hint="eastAsia" w:ascii="宋体" w:hAnsi="宋体" w:cs="宋体"/>
          <w:color w:val="auto"/>
          <w:sz w:val="24"/>
        </w:rPr>
        <w:t>本次招标公告同时在</w:t>
      </w:r>
      <w:r>
        <w:rPr>
          <w:rFonts w:hint="eastAsia" w:ascii="宋体" w:hAnsi="宋体" w:cs="宋体"/>
          <w:b/>
          <w:color w:val="auto"/>
          <w:sz w:val="24"/>
          <w:u w:val="single"/>
        </w:rPr>
        <w:t>广州公共资源交易中心网站（网址：http://www.gzzb.gd.cn）、广东省招标投标监管网站（网址：http://www.gdzbtb.gov.cn/）和中国招标投标公共服务平台（网址：http://www.cebpubservice.com/）</w:t>
      </w:r>
      <w:r>
        <w:rPr>
          <w:rFonts w:hint="eastAsia" w:ascii="宋体" w:hAnsi="宋体" w:cs="宋体"/>
          <w:color w:val="auto"/>
          <w:sz w:val="24"/>
        </w:rPr>
        <w:t>上发布。</w:t>
      </w:r>
      <w:r>
        <w:rPr>
          <w:rFonts w:hint="eastAsia" w:ascii="宋体" w:hAnsi="宋体" w:cs="宋体"/>
          <w:color w:val="auto"/>
          <w:sz w:val="24"/>
          <w:lang w:val="zh-CN"/>
        </w:rPr>
        <w:t>本公告的修改、补充在广州公共资源交易中心网站发布。本公告在各媒体发布的文本如有不同之处，以在广州公共资源交易中心网站发布的文本为准。</w:t>
      </w:r>
      <w:r>
        <w:rPr>
          <w:rFonts w:hint="eastAsia" w:ascii="宋体" w:hAnsi="宋体" w:cs="宋体"/>
          <w:color w:val="auto"/>
          <w:sz w:val="24"/>
          <w:lang w:val="zh-CN"/>
        </w:rPr>
        <w:br w:type="textWrapping"/>
      </w:r>
      <w:r>
        <w:rPr>
          <w:rFonts w:hint="eastAsia" w:cs="宋体"/>
          <w:color w:val="auto"/>
          <w:sz w:val="24"/>
          <w:lang w:val="en-US" w:eastAsia="zh-CN"/>
        </w:rPr>
        <w:t xml:space="preserve">    </w:t>
      </w:r>
      <w:r>
        <w:rPr>
          <w:b/>
          <w:color w:val="auto"/>
          <w:sz w:val="24"/>
        </w:rPr>
        <w:t>7、联系方式</w:t>
      </w:r>
    </w:p>
    <w:p>
      <w:pPr>
        <w:widowControl/>
        <w:snapToGrid w:val="0"/>
        <w:spacing w:line="360" w:lineRule="auto"/>
        <w:jc w:val="left"/>
        <w:rPr>
          <w:rFonts w:hint="eastAsia" w:ascii="宋体" w:hAnsi="宋体" w:eastAsia="宋体" w:cs="宋体"/>
          <w:b/>
          <w:color w:val="auto"/>
          <w:kern w:val="0"/>
          <w:sz w:val="24"/>
          <w:u w:val="single"/>
          <w:lang w:eastAsia="zh-CN"/>
        </w:rPr>
      </w:pPr>
      <w:r>
        <w:rPr>
          <w:rFonts w:hint="eastAsia" w:ascii="宋体" w:hAnsi="宋体" w:cs="宋体"/>
          <w:color w:val="auto"/>
          <w:kern w:val="0"/>
          <w:sz w:val="24"/>
        </w:rPr>
        <w:t>招标人（盖章）：</w:t>
      </w:r>
      <w:r>
        <w:rPr>
          <w:rFonts w:hint="eastAsia" w:ascii="宋体" w:hAnsi="宋体" w:cs="宋体"/>
          <w:b/>
          <w:color w:val="auto"/>
          <w:kern w:val="0"/>
          <w:sz w:val="24"/>
          <w:u w:val="single"/>
          <w:lang w:eastAsia="zh-CN"/>
        </w:rPr>
        <w:t>平远县东石镇人民政府</w:t>
      </w:r>
    </w:p>
    <w:p>
      <w:pPr>
        <w:spacing w:line="360" w:lineRule="auto"/>
        <w:rPr>
          <w:rFonts w:hint="eastAsia" w:ascii="宋体" w:hAnsi="宋体" w:cs="宋体"/>
          <w:b/>
          <w:color w:val="auto"/>
          <w:kern w:val="0"/>
          <w:sz w:val="24"/>
          <w:u w:val="single"/>
        </w:rPr>
      </w:pPr>
      <w:r>
        <w:rPr>
          <w:rFonts w:hint="eastAsia" w:ascii="宋体" w:hAnsi="宋体" w:cs="宋体"/>
          <w:color w:val="auto"/>
          <w:kern w:val="0"/>
          <w:sz w:val="24"/>
        </w:rPr>
        <w:t>办公地点：</w:t>
      </w:r>
      <w:r>
        <w:rPr>
          <w:rFonts w:hint="eastAsia" w:ascii="宋体" w:hAnsi="宋体" w:cs="宋体"/>
          <w:b/>
          <w:color w:val="auto"/>
          <w:kern w:val="0"/>
          <w:sz w:val="24"/>
          <w:u w:val="single"/>
          <w:lang w:eastAsia="zh-CN"/>
        </w:rPr>
        <w:t>广东省梅州市平远县东石镇</w:t>
      </w:r>
      <w:r>
        <w:rPr>
          <w:rFonts w:hint="eastAsia" w:ascii="宋体" w:hAnsi="宋体" w:cs="宋体"/>
          <w:b/>
          <w:color w:val="auto"/>
          <w:kern w:val="0"/>
          <w:sz w:val="24"/>
          <w:u w:val="single"/>
          <w:lang w:val="en-US" w:eastAsia="zh-CN"/>
        </w:rPr>
        <w:t>新东二街6号</w:t>
      </w:r>
      <w:r>
        <w:rPr>
          <w:rFonts w:hint="eastAsia" w:ascii="宋体" w:hAnsi="宋体" w:cs="宋体"/>
          <w:b/>
          <w:color w:val="auto"/>
          <w:kern w:val="0"/>
          <w:sz w:val="24"/>
          <w:u w:val="single"/>
        </w:rPr>
        <w:t xml:space="preserve"> </w:t>
      </w:r>
    </w:p>
    <w:p>
      <w:pPr>
        <w:spacing w:line="360" w:lineRule="auto"/>
        <w:rPr>
          <w:rFonts w:hint="eastAsia" w:ascii="宋体" w:hAnsi="宋体" w:cs="宋体"/>
          <w:b/>
          <w:bCs/>
          <w:snapToGrid w:val="0"/>
          <w:color w:val="auto"/>
          <w:kern w:val="0"/>
          <w:sz w:val="24"/>
          <w:u w:val="single"/>
        </w:rPr>
      </w:pPr>
      <w:r>
        <w:rPr>
          <w:rFonts w:hint="eastAsia" w:ascii="宋体" w:hAnsi="宋体" w:cs="宋体"/>
          <w:color w:val="auto"/>
          <w:kern w:val="0"/>
          <w:sz w:val="24"/>
        </w:rPr>
        <w:t>联系人：</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b/>
          <w:bCs/>
          <w:color w:val="auto"/>
          <w:kern w:val="0"/>
          <w:sz w:val="24"/>
          <w:u w:val="single"/>
          <w:lang w:val="en-US" w:eastAsia="zh-CN"/>
        </w:rPr>
        <w:t>曾</w:t>
      </w:r>
      <w:r>
        <w:rPr>
          <w:rFonts w:hint="eastAsia" w:ascii="宋体" w:hAnsi="宋体" w:cs="宋体"/>
          <w:b/>
          <w:bCs/>
          <w:snapToGrid w:val="0"/>
          <w:color w:val="auto"/>
          <w:sz w:val="24"/>
          <w:u w:val="single"/>
        </w:rPr>
        <w:t>先生</w:t>
      </w:r>
      <w:r>
        <w:rPr>
          <w:rFonts w:hint="eastAsia" w:ascii="宋体" w:hAnsi="宋体" w:cs="宋体"/>
          <w:b/>
          <w:bCs/>
          <w:snapToGrid w:val="0"/>
          <w:color w:val="auto"/>
          <w:sz w:val="24"/>
          <w:u w:val="single"/>
          <w:lang w:val="en-US" w:eastAsia="zh-CN"/>
        </w:rPr>
        <w:t xml:space="preserve">   </w:t>
      </w:r>
      <w:r>
        <w:rPr>
          <w:rFonts w:hint="eastAsia" w:ascii="宋体" w:hAnsi="宋体" w:cs="宋体"/>
          <w:color w:val="auto"/>
          <w:kern w:val="0"/>
          <w:sz w:val="24"/>
        </w:rPr>
        <w:t>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联系电话：</w:t>
      </w:r>
      <w:r>
        <w:rPr>
          <w:rFonts w:hint="eastAsia" w:ascii="宋体" w:hAnsi="宋体" w:cs="宋体"/>
          <w:b/>
          <w:color w:val="auto"/>
          <w:kern w:val="0"/>
          <w:sz w:val="24"/>
          <w:u w:val="single"/>
        </w:rPr>
        <w:t xml:space="preserve">0753-8318202 </w:t>
      </w:r>
      <w:r>
        <w:rPr>
          <w:rFonts w:hint="eastAsia" w:ascii="宋体" w:hAnsi="宋体" w:cs="宋体"/>
          <w:b/>
          <w:bCs/>
          <w:color w:val="auto"/>
          <w:sz w:val="24"/>
          <w:u w:val="single"/>
        </w:rPr>
        <w:t xml:space="preserve">      </w:t>
      </w:r>
    </w:p>
    <w:p>
      <w:pPr>
        <w:widowControl/>
        <w:spacing w:before="75" w:line="360" w:lineRule="auto"/>
        <w:jc w:val="left"/>
        <w:rPr>
          <w:rFonts w:hint="eastAsia" w:ascii="宋体" w:hAnsi="宋体" w:cs="宋体"/>
          <w:b/>
          <w:bCs/>
          <w:color w:val="auto"/>
          <w:kern w:val="0"/>
          <w:sz w:val="24"/>
          <w:u w:val="single"/>
        </w:rPr>
      </w:pPr>
      <w:r>
        <w:rPr>
          <w:rFonts w:hint="eastAsia" w:ascii="宋体" w:hAnsi="宋体" w:cs="宋体"/>
          <w:color w:val="auto"/>
          <w:kern w:val="0"/>
          <w:sz w:val="24"/>
        </w:rPr>
        <w:t xml:space="preserve">招标代理机构（盖章）： </w:t>
      </w:r>
      <w:r>
        <w:rPr>
          <w:rFonts w:hint="eastAsia" w:ascii="宋体" w:hAnsi="宋体" w:cs="宋体"/>
          <w:b/>
          <w:bCs/>
          <w:color w:val="auto"/>
          <w:kern w:val="0"/>
          <w:sz w:val="24"/>
          <w:u w:val="single"/>
          <w:lang w:eastAsia="zh-CN"/>
        </w:rPr>
        <w:t>广东华工工程建设监理有限公司</w:t>
      </w:r>
    </w:p>
    <w:p>
      <w:pPr>
        <w:widowControl/>
        <w:spacing w:before="75" w:line="360" w:lineRule="auto"/>
        <w:jc w:val="left"/>
        <w:rPr>
          <w:rFonts w:hint="eastAsia" w:ascii="宋体" w:hAnsi="宋体" w:cs="宋体"/>
          <w:b/>
          <w:bCs/>
          <w:color w:val="auto"/>
          <w:kern w:val="0"/>
          <w:sz w:val="24"/>
          <w:u w:val="single"/>
        </w:rPr>
      </w:pPr>
      <w:r>
        <w:rPr>
          <w:rFonts w:hint="eastAsia" w:ascii="宋体" w:hAnsi="宋体" w:cs="宋体"/>
          <w:color w:val="auto"/>
          <w:kern w:val="0"/>
          <w:sz w:val="24"/>
        </w:rPr>
        <w:t>办公地点：</w:t>
      </w:r>
      <w:r>
        <w:rPr>
          <w:rFonts w:hint="eastAsia" w:cs="宋体"/>
          <w:b/>
          <w:bCs/>
          <w:color w:val="auto"/>
          <w:kern w:val="0"/>
          <w:sz w:val="24"/>
          <w:u w:val="single"/>
          <w:lang w:val="en-US" w:eastAsia="zh-CN"/>
        </w:rPr>
        <w:t>广州市天河区五山科技广场金华园607</w:t>
      </w:r>
    </w:p>
    <w:p>
      <w:pPr>
        <w:widowControl/>
        <w:spacing w:before="75" w:line="360" w:lineRule="auto"/>
        <w:jc w:val="left"/>
        <w:rPr>
          <w:rFonts w:hint="eastAsia" w:ascii="宋体" w:hAnsi="宋体" w:cs="宋体"/>
          <w:color w:val="auto"/>
          <w:kern w:val="0"/>
          <w:sz w:val="24"/>
        </w:rPr>
      </w:pPr>
      <w:r>
        <w:rPr>
          <w:rFonts w:hint="eastAsia" w:ascii="宋体" w:hAnsi="宋体" w:cs="宋体"/>
          <w:color w:val="auto"/>
          <w:kern w:val="0"/>
          <w:sz w:val="24"/>
        </w:rPr>
        <w:t>联系人：</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b/>
          <w:bCs/>
          <w:color w:val="auto"/>
          <w:kern w:val="0"/>
          <w:sz w:val="24"/>
          <w:u w:val="single"/>
          <w:lang w:val="en-US" w:eastAsia="zh-CN"/>
        </w:rPr>
        <w:t>郭工</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b/>
          <w:bCs/>
          <w:color w:val="auto"/>
          <w:kern w:val="0"/>
          <w:sz w:val="24"/>
          <w:u w:val="single"/>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联系电话：</w:t>
      </w:r>
      <w:r>
        <w:rPr>
          <w:rFonts w:hint="eastAsia" w:ascii="宋体" w:hAnsi="宋体" w:cs="宋体"/>
          <w:b/>
          <w:bCs/>
          <w:color w:val="auto"/>
          <w:kern w:val="0"/>
          <w:sz w:val="24"/>
          <w:u w:val="single"/>
        </w:rPr>
        <w:t>0</w:t>
      </w:r>
      <w:r>
        <w:rPr>
          <w:rFonts w:hint="eastAsia" w:ascii="宋体" w:hAnsi="宋体" w:cs="宋体"/>
          <w:b/>
          <w:bCs/>
          <w:color w:val="auto"/>
          <w:kern w:val="0"/>
          <w:sz w:val="24"/>
          <w:u w:val="single"/>
          <w:lang w:val="en-US" w:eastAsia="zh-CN"/>
        </w:rPr>
        <w:t>20-</w:t>
      </w:r>
      <w:r>
        <w:rPr>
          <w:rFonts w:hint="eastAsia" w:cs="宋体"/>
          <w:b/>
          <w:bCs/>
          <w:color w:val="auto"/>
          <w:kern w:val="0"/>
          <w:sz w:val="24"/>
          <w:u w:val="single"/>
          <w:lang w:val="en-US" w:eastAsia="zh-CN"/>
        </w:rPr>
        <w:t>88138686</w:t>
      </w:r>
      <w:r>
        <w:rPr>
          <w:rFonts w:hint="eastAsia" w:ascii="宋体" w:hAnsi="宋体" w:cs="宋体"/>
          <w:color w:val="auto"/>
          <w:kern w:val="0"/>
          <w:sz w:val="24"/>
        </w:rPr>
        <w:t xml:space="preserve">     </w:t>
      </w:r>
    </w:p>
    <w:p>
      <w:pPr>
        <w:spacing w:after="0"/>
        <w:jc w:val="right"/>
        <w:rPr>
          <w:rFonts w:hint="eastAsia" w:ascii="宋体" w:hAnsi="宋体" w:cs="宋体"/>
          <w:color w:val="auto"/>
          <w:kern w:val="0"/>
          <w:sz w:val="24"/>
        </w:rPr>
      </w:pPr>
      <w:r>
        <w:rPr>
          <w:rFonts w:hint="eastAsia" w:ascii="宋体" w:hAnsi="宋体" w:cs="宋体"/>
          <w:color w:val="auto"/>
          <w:kern w:val="0"/>
          <w:sz w:val="24"/>
        </w:rPr>
        <w:t xml:space="preserve">                                                   </w:t>
      </w:r>
    </w:p>
    <w:p>
      <w:pPr>
        <w:spacing w:after="0"/>
        <w:jc w:val="right"/>
        <w:rPr>
          <w:color w:val="auto"/>
        </w:rPr>
        <w:sectPr>
          <w:pgSz w:w="11850" w:h="16783"/>
          <w:pgMar w:top="1440" w:right="1020" w:bottom="900" w:left="1020" w:header="0" w:footer="720" w:gutter="0"/>
          <w:pgBorders>
            <w:top w:val="none" w:sz="0" w:space="0"/>
            <w:left w:val="none" w:sz="0" w:space="0"/>
            <w:bottom w:val="none" w:sz="0" w:space="0"/>
            <w:right w:val="none" w:sz="0" w:space="0"/>
          </w:pgBorders>
          <w:pgNumType w:fmt="decimal"/>
          <w:cols w:space="720" w:num="1"/>
        </w:sectPr>
      </w:pPr>
      <w:r>
        <w:rPr>
          <w:rFonts w:hint="eastAsia" w:ascii="宋体" w:hAnsi="宋体" w:cs="宋体"/>
          <w:color w:val="auto"/>
          <w:kern w:val="0"/>
          <w:sz w:val="24"/>
        </w:rPr>
        <w:t xml:space="preserve">  日期：</w:t>
      </w:r>
      <w:r>
        <w:rPr>
          <w:rFonts w:hint="eastAsia" w:ascii="宋体" w:hAnsi="宋体" w:cs="宋体"/>
          <w:color w:val="auto"/>
          <w:kern w:val="0"/>
          <w:sz w:val="24"/>
          <w:u w:val="single"/>
        </w:rPr>
        <w:t>202</w:t>
      </w:r>
      <w:r>
        <w:rPr>
          <w:rFonts w:hint="eastAsia" w:ascii="宋体" w:hAnsi="宋体" w:cs="宋体"/>
          <w:color w:val="auto"/>
          <w:kern w:val="0"/>
          <w:sz w:val="24"/>
          <w:u w:val="single"/>
          <w:lang w:val="en-US" w:eastAsia="zh-CN"/>
        </w:rPr>
        <w:t>2</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pPr>
        <w:tabs>
          <w:tab w:val="left" w:pos="1767"/>
        </w:tabs>
        <w:spacing w:before="23"/>
        <w:ind w:left="1" w:right="0" w:firstLine="0"/>
        <w:jc w:val="center"/>
        <w:rPr>
          <w:b/>
          <w:color w:val="auto"/>
          <w:sz w:val="44"/>
        </w:rPr>
      </w:pPr>
      <w:bookmarkStart w:id="17" w:name="_TOC_250004"/>
      <w:bookmarkEnd w:id="17"/>
      <w:r>
        <w:rPr>
          <w:b/>
          <w:color w:val="auto"/>
          <w:sz w:val="44"/>
        </w:rPr>
        <w:t>第二章</w:t>
      </w:r>
      <w:r>
        <w:rPr>
          <w:b/>
          <w:color w:val="auto"/>
          <w:sz w:val="44"/>
        </w:rPr>
        <w:tab/>
      </w:r>
      <w:r>
        <w:rPr>
          <w:b/>
          <w:color w:val="auto"/>
          <w:sz w:val="44"/>
        </w:rPr>
        <w:t>投标人须知</w:t>
      </w:r>
    </w:p>
    <w:p>
      <w:pPr>
        <w:spacing w:before="124"/>
        <w:ind w:left="1" w:right="0" w:firstLine="0"/>
        <w:jc w:val="center"/>
        <w:rPr>
          <w:b/>
          <w:color w:val="auto"/>
          <w:sz w:val="28"/>
        </w:rPr>
      </w:pPr>
      <w:bookmarkStart w:id="18" w:name="投标人须知前附表"/>
      <w:bookmarkEnd w:id="18"/>
      <w:r>
        <w:rPr>
          <w:b/>
          <w:color w:val="auto"/>
          <w:sz w:val="28"/>
        </w:rPr>
        <w:t>投标人须知前附表</w:t>
      </w:r>
    </w:p>
    <w:p>
      <w:pPr>
        <w:pStyle w:val="7"/>
        <w:spacing w:before="8"/>
        <w:ind w:left="0"/>
        <w:rPr>
          <w:b/>
          <w:color w:val="auto"/>
          <w:sz w:val="9"/>
        </w:rPr>
      </w:pPr>
    </w:p>
    <w:tbl>
      <w:tblPr>
        <w:tblStyle w:val="12"/>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2"/>
        <w:gridCol w:w="1962"/>
        <w:gridCol w:w="6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1092" w:type="dxa"/>
          </w:tcPr>
          <w:p>
            <w:pPr>
              <w:pStyle w:val="16"/>
              <w:spacing w:before="112"/>
              <w:ind w:left="120" w:right="196"/>
              <w:jc w:val="center"/>
              <w:rPr>
                <w:color w:val="auto"/>
                <w:sz w:val="24"/>
              </w:rPr>
            </w:pPr>
            <w:r>
              <w:rPr>
                <w:color w:val="auto"/>
                <w:sz w:val="24"/>
              </w:rPr>
              <w:t>条款号</w:t>
            </w:r>
          </w:p>
        </w:tc>
        <w:tc>
          <w:tcPr>
            <w:tcW w:w="1962" w:type="dxa"/>
          </w:tcPr>
          <w:p>
            <w:pPr>
              <w:pStyle w:val="16"/>
              <w:spacing w:before="112"/>
              <w:ind w:left="447"/>
              <w:rPr>
                <w:color w:val="auto"/>
                <w:sz w:val="24"/>
              </w:rPr>
            </w:pPr>
            <w:r>
              <w:rPr>
                <w:color w:val="auto"/>
                <w:sz w:val="24"/>
              </w:rPr>
              <w:t>条款名称</w:t>
            </w:r>
          </w:p>
        </w:tc>
        <w:tc>
          <w:tcPr>
            <w:tcW w:w="6569" w:type="dxa"/>
          </w:tcPr>
          <w:p>
            <w:pPr>
              <w:pStyle w:val="16"/>
              <w:tabs>
                <w:tab w:val="left" w:pos="491"/>
                <w:tab w:val="left" w:pos="983"/>
                <w:tab w:val="left" w:pos="1475"/>
              </w:tabs>
              <w:spacing w:before="112"/>
              <w:ind w:right="79"/>
              <w:jc w:val="center"/>
              <w:rPr>
                <w:color w:val="auto"/>
                <w:sz w:val="24"/>
              </w:rPr>
            </w:pPr>
            <w:r>
              <w:rPr>
                <w:color w:val="auto"/>
                <w:sz w:val="24"/>
              </w:rPr>
              <w:t>编</w:t>
            </w:r>
            <w:r>
              <w:rPr>
                <w:color w:val="auto"/>
                <w:sz w:val="24"/>
              </w:rPr>
              <w:tab/>
            </w:r>
            <w:r>
              <w:rPr>
                <w:color w:val="auto"/>
                <w:sz w:val="24"/>
              </w:rPr>
              <w:t>列</w:t>
            </w:r>
            <w:r>
              <w:rPr>
                <w:color w:val="auto"/>
                <w:sz w:val="24"/>
              </w:rPr>
              <w:tab/>
            </w:r>
            <w:r>
              <w:rPr>
                <w:color w:val="auto"/>
                <w:sz w:val="24"/>
              </w:rPr>
              <w:t>内</w:t>
            </w:r>
            <w:r>
              <w:rPr>
                <w:color w:val="auto"/>
                <w:sz w:val="24"/>
              </w:rPr>
              <w:tab/>
            </w:r>
            <w:r>
              <w:rPr>
                <w:color w:val="auto"/>
                <w:sz w:val="24"/>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6" w:hRule="atLeast"/>
        </w:trPr>
        <w:tc>
          <w:tcPr>
            <w:tcW w:w="1092" w:type="dxa"/>
          </w:tcPr>
          <w:p>
            <w:pPr>
              <w:pStyle w:val="16"/>
              <w:rPr>
                <w:b/>
                <w:color w:val="auto"/>
                <w:sz w:val="26"/>
              </w:rPr>
            </w:pPr>
          </w:p>
          <w:p>
            <w:pPr>
              <w:pStyle w:val="16"/>
              <w:spacing w:before="3"/>
              <w:rPr>
                <w:b/>
                <w:color w:val="auto"/>
                <w:sz w:val="19"/>
              </w:rPr>
            </w:pPr>
          </w:p>
          <w:p>
            <w:pPr>
              <w:pStyle w:val="16"/>
              <w:ind w:left="120" w:right="196"/>
              <w:jc w:val="center"/>
              <w:rPr>
                <w:rFonts w:ascii="Times New Roman"/>
                <w:color w:val="auto"/>
                <w:sz w:val="24"/>
              </w:rPr>
            </w:pPr>
            <w:r>
              <w:rPr>
                <w:rFonts w:ascii="Times New Roman"/>
                <w:color w:val="auto"/>
                <w:sz w:val="24"/>
              </w:rPr>
              <w:t>1.1.2</w:t>
            </w:r>
          </w:p>
        </w:tc>
        <w:tc>
          <w:tcPr>
            <w:tcW w:w="1962" w:type="dxa"/>
          </w:tcPr>
          <w:p>
            <w:pPr>
              <w:pStyle w:val="16"/>
              <w:rPr>
                <w:b/>
                <w:color w:val="auto"/>
                <w:sz w:val="24"/>
              </w:rPr>
            </w:pPr>
          </w:p>
          <w:p>
            <w:pPr>
              <w:pStyle w:val="16"/>
              <w:spacing w:before="11"/>
              <w:rPr>
                <w:b/>
                <w:color w:val="auto"/>
                <w:sz w:val="24"/>
              </w:rPr>
            </w:pPr>
          </w:p>
          <w:p>
            <w:pPr>
              <w:pStyle w:val="16"/>
              <w:ind w:left="620"/>
              <w:rPr>
                <w:color w:val="auto"/>
                <w:sz w:val="24"/>
              </w:rPr>
            </w:pPr>
            <w:r>
              <w:rPr>
                <w:color w:val="auto"/>
                <w:sz w:val="24"/>
              </w:rPr>
              <w:t>招标人</w:t>
            </w:r>
          </w:p>
        </w:tc>
        <w:tc>
          <w:tcPr>
            <w:tcW w:w="6569" w:type="dxa"/>
            <w:vAlign w:val="center"/>
          </w:tcPr>
          <w:p>
            <w:pPr>
              <w:pStyle w:val="16"/>
              <w:spacing w:before="1" w:line="240" w:lineRule="auto"/>
              <w:ind w:left="107"/>
              <w:jc w:val="both"/>
              <w:rPr>
                <w:rFonts w:hint="eastAsia"/>
                <w:color w:val="auto"/>
                <w:sz w:val="24"/>
                <w:lang w:eastAsia="zh-CN"/>
              </w:rPr>
            </w:pPr>
            <w:r>
              <w:rPr>
                <w:color w:val="auto"/>
                <w:sz w:val="24"/>
              </w:rPr>
              <w:t>名称：</w:t>
            </w:r>
            <w:r>
              <w:rPr>
                <w:rFonts w:hint="eastAsia"/>
                <w:color w:val="auto"/>
                <w:sz w:val="24"/>
                <w:lang w:eastAsia="zh-CN"/>
              </w:rPr>
              <w:t>平远县东石镇人民政府</w:t>
            </w:r>
          </w:p>
          <w:p>
            <w:pPr>
              <w:pStyle w:val="16"/>
              <w:spacing w:before="1" w:line="240" w:lineRule="auto"/>
              <w:ind w:left="107"/>
              <w:jc w:val="both"/>
              <w:rPr>
                <w:rFonts w:hint="eastAsia"/>
                <w:color w:val="auto"/>
                <w:sz w:val="24"/>
                <w:lang w:eastAsia="zh-CN"/>
              </w:rPr>
            </w:pPr>
            <w:r>
              <w:rPr>
                <w:color w:val="auto"/>
                <w:sz w:val="24"/>
              </w:rPr>
              <w:t>地址：</w:t>
            </w:r>
            <w:r>
              <w:rPr>
                <w:rFonts w:hint="eastAsia"/>
                <w:color w:val="auto"/>
                <w:sz w:val="24"/>
                <w:lang w:eastAsia="zh-CN"/>
              </w:rPr>
              <w:t>广东省梅州市平远县东石镇新东</w:t>
            </w:r>
            <w:r>
              <w:rPr>
                <w:rFonts w:hint="eastAsia" w:ascii="宋体" w:hAnsi="宋体" w:cs="宋体"/>
                <w:bCs/>
                <w:color w:val="auto"/>
                <w:szCs w:val="21"/>
                <w:lang w:val="en-US" w:eastAsia="zh-CN"/>
              </w:rPr>
              <w:t>二</w:t>
            </w:r>
            <w:r>
              <w:rPr>
                <w:rFonts w:hint="eastAsia"/>
                <w:color w:val="auto"/>
                <w:sz w:val="24"/>
                <w:lang w:eastAsia="zh-CN"/>
              </w:rPr>
              <w:t>街6号</w:t>
            </w:r>
          </w:p>
          <w:p>
            <w:pPr>
              <w:pStyle w:val="16"/>
              <w:spacing w:before="1" w:line="240" w:lineRule="auto"/>
              <w:ind w:left="107"/>
              <w:jc w:val="both"/>
              <w:rPr>
                <w:rFonts w:hint="eastAsia"/>
                <w:color w:val="auto"/>
                <w:sz w:val="24"/>
                <w:lang w:eastAsia="zh-CN"/>
              </w:rPr>
            </w:pPr>
            <w:r>
              <w:rPr>
                <w:rFonts w:hint="eastAsia"/>
                <w:color w:val="auto"/>
                <w:sz w:val="24"/>
                <w:lang w:eastAsia="zh-CN"/>
              </w:rPr>
              <w:t>联系人：</w:t>
            </w:r>
          </w:p>
          <w:p>
            <w:pPr>
              <w:pStyle w:val="16"/>
              <w:spacing w:before="1" w:line="240" w:lineRule="auto"/>
              <w:ind w:left="107"/>
              <w:jc w:val="both"/>
              <w:rPr>
                <w:color w:val="auto"/>
                <w:sz w:val="24"/>
              </w:rPr>
            </w:pPr>
            <w:r>
              <w:rPr>
                <w:rFonts w:hint="eastAsia"/>
                <w:color w:val="auto"/>
                <w:sz w:val="24"/>
                <w:lang w:eastAsia="zh-CN"/>
              </w:rPr>
              <w:t>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0" w:hRule="atLeast"/>
        </w:trPr>
        <w:tc>
          <w:tcPr>
            <w:tcW w:w="1092" w:type="dxa"/>
          </w:tcPr>
          <w:p>
            <w:pPr>
              <w:pStyle w:val="16"/>
              <w:rPr>
                <w:b/>
                <w:color w:val="auto"/>
                <w:sz w:val="26"/>
              </w:rPr>
            </w:pPr>
          </w:p>
          <w:p>
            <w:pPr>
              <w:pStyle w:val="16"/>
              <w:spacing w:before="3"/>
              <w:rPr>
                <w:b/>
                <w:color w:val="auto"/>
                <w:sz w:val="19"/>
              </w:rPr>
            </w:pPr>
          </w:p>
          <w:p>
            <w:pPr>
              <w:pStyle w:val="16"/>
              <w:spacing w:before="1"/>
              <w:ind w:left="120" w:right="196"/>
              <w:jc w:val="center"/>
              <w:rPr>
                <w:rFonts w:ascii="Times New Roman"/>
                <w:color w:val="auto"/>
                <w:sz w:val="24"/>
              </w:rPr>
            </w:pPr>
            <w:r>
              <w:rPr>
                <w:rFonts w:ascii="Times New Roman"/>
                <w:color w:val="auto"/>
                <w:sz w:val="24"/>
              </w:rPr>
              <w:t>1.1.3</w:t>
            </w:r>
          </w:p>
        </w:tc>
        <w:tc>
          <w:tcPr>
            <w:tcW w:w="1962" w:type="dxa"/>
          </w:tcPr>
          <w:p>
            <w:pPr>
              <w:pStyle w:val="16"/>
              <w:rPr>
                <w:b/>
                <w:color w:val="auto"/>
                <w:sz w:val="24"/>
              </w:rPr>
            </w:pPr>
          </w:p>
          <w:p>
            <w:pPr>
              <w:pStyle w:val="16"/>
              <w:spacing w:before="11"/>
              <w:rPr>
                <w:b/>
                <w:color w:val="auto"/>
                <w:sz w:val="24"/>
              </w:rPr>
            </w:pPr>
          </w:p>
          <w:p>
            <w:pPr>
              <w:pStyle w:val="16"/>
              <w:spacing w:before="1"/>
              <w:ind w:right="244"/>
              <w:jc w:val="right"/>
              <w:rPr>
                <w:color w:val="auto"/>
                <w:sz w:val="24"/>
              </w:rPr>
            </w:pPr>
            <w:r>
              <w:rPr>
                <w:color w:val="auto"/>
                <w:sz w:val="24"/>
              </w:rPr>
              <w:t>招标代理机构</w:t>
            </w:r>
          </w:p>
        </w:tc>
        <w:tc>
          <w:tcPr>
            <w:tcW w:w="6569" w:type="dxa"/>
            <w:vAlign w:val="center"/>
          </w:tcPr>
          <w:p>
            <w:pPr>
              <w:spacing w:line="288" w:lineRule="auto"/>
              <w:jc w:val="both"/>
              <w:rPr>
                <w:rFonts w:hint="eastAsia" w:ascii="宋体" w:hAnsi="宋体" w:eastAsia="宋体" w:cs="宋体"/>
                <w:bCs/>
                <w:color w:val="auto"/>
                <w:szCs w:val="21"/>
                <w:lang w:eastAsia="zh-CN"/>
              </w:rPr>
            </w:pPr>
            <w:r>
              <w:rPr>
                <w:rFonts w:hint="eastAsia" w:ascii="宋体" w:hAnsi="宋体" w:cs="宋体"/>
                <w:bCs/>
                <w:color w:val="auto"/>
                <w:szCs w:val="21"/>
              </w:rPr>
              <w:t>名称：</w:t>
            </w:r>
            <w:r>
              <w:rPr>
                <w:rFonts w:hint="eastAsia" w:ascii="宋体" w:hAnsi="宋体" w:cs="宋体"/>
                <w:bCs/>
                <w:color w:val="auto"/>
                <w:szCs w:val="21"/>
                <w:lang w:eastAsia="zh-CN"/>
              </w:rPr>
              <w:t>广东华工工程建设监理有限公司</w:t>
            </w:r>
          </w:p>
          <w:p>
            <w:pPr>
              <w:spacing w:line="288" w:lineRule="auto"/>
              <w:jc w:val="both"/>
              <w:rPr>
                <w:rFonts w:hint="eastAsia" w:ascii="宋体" w:hAnsi="宋体" w:cs="宋体"/>
                <w:bCs/>
                <w:color w:val="auto"/>
                <w:szCs w:val="21"/>
                <w:lang w:eastAsia="zh-CN"/>
              </w:rPr>
            </w:pPr>
            <w:r>
              <w:rPr>
                <w:rFonts w:hint="eastAsia" w:ascii="宋体" w:hAnsi="宋体" w:cs="宋体"/>
                <w:bCs/>
                <w:color w:val="auto"/>
                <w:szCs w:val="21"/>
              </w:rPr>
              <w:t>地址：</w:t>
            </w:r>
            <w:r>
              <w:rPr>
                <w:rFonts w:hint="eastAsia" w:ascii="宋体" w:hAnsi="宋体" w:cs="宋体"/>
                <w:bCs/>
                <w:color w:val="auto"/>
                <w:szCs w:val="21"/>
                <w:lang w:eastAsia="zh-CN"/>
              </w:rPr>
              <w:t>广州市天河区五山华南理工大学校园内</w:t>
            </w:r>
          </w:p>
          <w:p>
            <w:pPr>
              <w:spacing w:line="288" w:lineRule="auto"/>
              <w:jc w:val="both"/>
              <w:rPr>
                <w:rFonts w:hint="eastAsia" w:ascii="宋体" w:hAnsi="宋体" w:cs="宋体"/>
                <w:bCs/>
                <w:color w:val="auto"/>
                <w:szCs w:val="21"/>
                <w:lang w:eastAsia="zh-CN"/>
              </w:rPr>
            </w:pPr>
            <w:r>
              <w:rPr>
                <w:rFonts w:hint="eastAsia" w:ascii="宋体" w:hAnsi="宋体" w:cs="宋体"/>
                <w:bCs/>
                <w:color w:val="auto"/>
                <w:szCs w:val="21"/>
              </w:rPr>
              <w:t>联</w:t>
            </w:r>
            <w:r>
              <w:rPr>
                <w:rFonts w:hint="eastAsia" w:ascii="宋体" w:hAnsi="宋体" w:cs="宋体"/>
                <w:bCs/>
                <w:color w:val="auto"/>
                <w:szCs w:val="21"/>
                <w:lang w:eastAsia="zh-CN"/>
              </w:rPr>
              <w:t>系人：</w:t>
            </w:r>
            <w:r>
              <w:rPr>
                <w:rFonts w:hint="eastAsia" w:ascii="宋体" w:hAnsi="宋体" w:cs="宋体"/>
                <w:bCs/>
                <w:color w:val="auto"/>
                <w:szCs w:val="21"/>
                <w:lang w:val="en-US" w:eastAsia="zh-CN"/>
              </w:rPr>
              <w:t>郭工</w:t>
            </w:r>
          </w:p>
          <w:p>
            <w:pPr>
              <w:spacing w:line="288" w:lineRule="auto"/>
              <w:jc w:val="both"/>
              <w:rPr>
                <w:rFonts w:hint="eastAsia" w:ascii="宋体" w:hAnsi="宋体" w:cs="宋体"/>
                <w:bCs/>
                <w:color w:val="auto"/>
                <w:szCs w:val="21"/>
                <w:lang w:eastAsia="zh-CN"/>
              </w:rPr>
            </w:pPr>
            <w:r>
              <w:rPr>
                <w:rFonts w:hint="eastAsia" w:ascii="宋体" w:hAnsi="宋体" w:cs="宋体"/>
                <w:bCs/>
                <w:color w:val="auto"/>
                <w:szCs w:val="21"/>
                <w:lang w:eastAsia="zh-CN"/>
              </w:rPr>
              <w:t>电话：020-</w:t>
            </w:r>
            <w:r>
              <w:rPr>
                <w:rFonts w:hint="eastAsia" w:cs="宋体"/>
                <w:bCs/>
                <w:color w:val="auto"/>
                <w:szCs w:val="21"/>
                <w:lang w:eastAsia="zh-CN"/>
              </w:rPr>
              <w:t>88138686</w:t>
            </w:r>
            <w:r>
              <w:rPr>
                <w:rFonts w:hint="eastAsia" w:ascii="宋体" w:hAnsi="宋体" w:cs="宋体"/>
                <w:bCs/>
                <w:color w:val="auto"/>
                <w:szCs w:val="21"/>
                <w:lang w:eastAsia="zh-CN"/>
              </w:rPr>
              <w:t xml:space="preserve">  </w:t>
            </w:r>
          </w:p>
          <w:p>
            <w:pPr>
              <w:spacing w:line="288" w:lineRule="auto"/>
              <w:jc w:val="both"/>
              <w:rPr>
                <w:color w:val="auto"/>
                <w:sz w:val="24"/>
              </w:rPr>
            </w:pPr>
            <w:r>
              <w:rPr>
                <w:rFonts w:hint="eastAsia" w:ascii="宋体" w:hAnsi="宋体" w:cs="宋体"/>
                <w:bCs/>
                <w:color w:val="auto"/>
                <w:szCs w:val="21"/>
                <w:lang w:eastAsia="zh-CN"/>
              </w:rPr>
              <w:t>传真：020-</w:t>
            </w:r>
            <w:r>
              <w:rPr>
                <w:rFonts w:hint="eastAsia" w:cs="宋体"/>
                <w:bCs/>
                <w:color w:val="auto"/>
                <w:szCs w:val="21"/>
                <w:lang w:eastAsia="zh-CN"/>
              </w:rPr>
              <w:t>88138686</w:t>
            </w:r>
            <w:r>
              <w:rPr>
                <w:rFonts w:hint="eastAsia" w:ascii="宋体" w:hAnsi="宋体" w:cs="宋体"/>
                <w:bCs/>
                <w:color w:val="auto"/>
                <w:szCs w:val="21"/>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1092" w:type="dxa"/>
          </w:tcPr>
          <w:p>
            <w:pPr>
              <w:pStyle w:val="16"/>
              <w:spacing w:before="206"/>
              <w:ind w:left="120" w:right="196"/>
              <w:jc w:val="center"/>
              <w:rPr>
                <w:rFonts w:ascii="Times New Roman"/>
                <w:color w:val="auto"/>
                <w:sz w:val="24"/>
              </w:rPr>
            </w:pPr>
            <w:r>
              <w:rPr>
                <w:rFonts w:ascii="Times New Roman"/>
                <w:color w:val="auto"/>
                <w:sz w:val="24"/>
              </w:rPr>
              <w:t>1.1.4</w:t>
            </w:r>
          </w:p>
        </w:tc>
        <w:tc>
          <w:tcPr>
            <w:tcW w:w="196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right="0" w:firstLine="240" w:firstLineChars="100"/>
              <w:jc w:val="both"/>
              <w:textAlignment w:val="auto"/>
              <w:rPr>
                <w:color w:val="auto"/>
                <w:sz w:val="24"/>
              </w:rPr>
            </w:pPr>
            <w:r>
              <w:rPr>
                <w:color w:val="auto"/>
                <w:sz w:val="24"/>
              </w:rPr>
              <w:t>招标项目名称</w:t>
            </w:r>
          </w:p>
        </w:tc>
        <w:tc>
          <w:tcPr>
            <w:tcW w:w="6569" w:type="dxa"/>
            <w:vAlign w:val="center"/>
          </w:tcPr>
          <w:p>
            <w:pPr>
              <w:pStyle w:val="16"/>
              <w:spacing w:before="64"/>
              <w:jc w:val="both"/>
              <w:rPr>
                <w:color w:val="auto"/>
                <w:sz w:val="24"/>
              </w:rPr>
            </w:pPr>
            <w:r>
              <w:rPr>
                <w:rFonts w:hint="eastAsia"/>
                <w:color w:val="auto"/>
                <w:sz w:val="24"/>
                <w:lang w:eastAsia="zh-CN"/>
              </w:rPr>
              <w:t>平远县东石镇美丽圩镇建设攻坚行动项目(一期)</w:t>
            </w:r>
            <w:r>
              <w:rPr>
                <w:color w:val="auto"/>
                <w:sz w:val="24"/>
              </w:rPr>
              <w:t>监理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1092" w:type="dxa"/>
            <w:vAlign w:val="center"/>
          </w:tcPr>
          <w:p>
            <w:pPr>
              <w:pStyle w:val="16"/>
              <w:ind w:right="196" w:firstLine="240" w:firstLineChars="100"/>
              <w:jc w:val="both"/>
              <w:rPr>
                <w:rFonts w:ascii="Times New Roman"/>
                <w:color w:val="auto"/>
                <w:sz w:val="24"/>
              </w:rPr>
            </w:pPr>
            <w:r>
              <w:rPr>
                <w:rFonts w:ascii="Times New Roman"/>
                <w:color w:val="auto"/>
                <w:sz w:val="24"/>
              </w:rPr>
              <w:t>1.1.5</w:t>
            </w:r>
          </w:p>
        </w:tc>
        <w:tc>
          <w:tcPr>
            <w:tcW w:w="1962" w:type="dxa"/>
            <w:vAlign w:val="center"/>
          </w:tcPr>
          <w:p>
            <w:pPr>
              <w:pStyle w:val="16"/>
              <w:spacing w:before="1"/>
              <w:ind w:right="283"/>
              <w:jc w:val="center"/>
              <w:rPr>
                <w:color w:val="auto"/>
                <w:sz w:val="24"/>
              </w:rPr>
            </w:pPr>
            <w:r>
              <w:rPr>
                <w:rFonts w:hint="eastAsia"/>
                <w:color w:val="auto"/>
                <w:sz w:val="24"/>
                <w:lang w:val="en-US" w:eastAsia="zh-CN"/>
              </w:rPr>
              <w:t xml:space="preserve"> </w:t>
            </w:r>
            <w:r>
              <w:rPr>
                <w:color w:val="auto"/>
                <w:sz w:val="24"/>
              </w:rPr>
              <w:t>项目建设地点</w:t>
            </w:r>
          </w:p>
        </w:tc>
        <w:tc>
          <w:tcPr>
            <w:tcW w:w="6569" w:type="dxa"/>
            <w:vAlign w:val="center"/>
          </w:tcPr>
          <w:p>
            <w:pPr>
              <w:pStyle w:val="16"/>
              <w:spacing w:before="3"/>
              <w:jc w:val="both"/>
              <w:rPr>
                <w:color w:val="auto"/>
                <w:sz w:val="24"/>
              </w:rPr>
            </w:pPr>
            <w:r>
              <w:rPr>
                <w:rFonts w:hint="eastAsia"/>
                <w:color w:val="auto"/>
                <w:sz w:val="24"/>
                <w:lang w:eastAsia="zh-CN"/>
              </w:rPr>
              <w:t>广东省梅州市平远县东石镇</w:t>
            </w:r>
            <w:r>
              <w:rPr>
                <w:rFonts w:hint="eastAsia"/>
                <w:color w:val="auto"/>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trPr>
        <w:tc>
          <w:tcPr>
            <w:tcW w:w="1092" w:type="dxa"/>
          </w:tcPr>
          <w:p>
            <w:pPr>
              <w:pStyle w:val="16"/>
              <w:rPr>
                <w:b/>
                <w:color w:val="auto"/>
                <w:sz w:val="26"/>
              </w:rPr>
            </w:pPr>
          </w:p>
          <w:p>
            <w:pPr>
              <w:pStyle w:val="16"/>
              <w:rPr>
                <w:b/>
                <w:color w:val="auto"/>
                <w:sz w:val="26"/>
              </w:rPr>
            </w:pPr>
          </w:p>
          <w:p>
            <w:pPr>
              <w:pStyle w:val="16"/>
              <w:spacing w:before="177"/>
              <w:ind w:left="120" w:right="196"/>
              <w:jc w:val="center"/>
              <w:rPr>
                <w:rFonts w:ascii="Times New Roman"/>
                <w:color w:val="auto"/>
                <w:sz w:val="24"/>
              </w:rPr>
            </w:pPr>
            <w:r>
              <w:rPr>
                <w:rFonts w:ascii="Times New Roman"/>
                <w:color w:val="auto"/>
                <w:sz w:val="24"/>
              </w:rPr>
              <w:t>1.1.6</w:t>
            </w:r>
          </w:p>
        </w:tc>
        <w:tc>
          <w:tcPr>
            <w:tcW w:w="1962" w:type="dxa"/>
          </w:tcPr>
          <w:p>
            <w:pPr>
              <w:pStyle w:val="16"/>
              <w:rPr>
                <w:b/>
                <w:color w:val="auto"/>
                <w:sz w:val="24"/>
              </w:rPr>
            </w:pPr>
          </w:p>
          <w:p>
            <w:pPr>
              <w:pStyle w:val="16"/>
              <w:rPr>
                <w:b/>
                <w:color w:val="auto"/>
                <w:sz w:val="24"/>
              </w:rPr>
            </w:pPr>
          </w:p>
          <w:p>
            <w:pPr>
              <w:pStyle w:val="16"/>
              <w:spacing w:before="210"/>
              <w:ind w:right="283"/>
              <w:jc w:val="right"/>
              <w:rPr>
                <w:color w:val="auto"/>
                <w:sz w:val="24"/>
              </w:rPr>
            </w:pPr>
            <w:r>
              <w:rPr>
                <w:color w:val="auto"/>
                <w:sz w:val="24"/>
              </w:rPr>
              <w:t>项目建设规模</w:t>
            </w:r>
          </w:p>
        </w:tc>
        <w:tc>
          <w:tcPr>
            <w:tcW w:w="6569" w:type="dxa"/>
          </w:tcPr>
          <w:p>
            <w:pPr>
              <w:pStyle w:val="16"/>
              <w:spacing w:before="6"/>
              <w:jc w:val="both"/>
              <w:rPr>
                <w:color w:val="auto"/>
                <w:sz w:val="24"/>
              </w:rPr>
            </w:pPr>
            <w:r>
              <w:rPr>
                <w:rFonts w:hint="eastAsia"/>
                <w:color w:val="auto"/>
                <w:sz w:val="24"/>
              </w:rPr>
              <w:t>该项目为平远县东石镇美丽圩镇建设攻坚行动项目(一期)建设，其中一期项目包括：1.教堂至大水坑村道、东石车站至环北路口道路、富东路、新东路、环北路硬底化，铺设沥青；2.在圩镇范围内建设5个停车场，包括铺设沥青、增设充电桩、自动识别升降系统、光伏停车遮阳板等；3.在教育三路、状元路、东石镇镇级污水处理站旁，建设3座社区体育场所，包括铺设花岗岩块料等；4、对铁民中学门口至污水处理站铺设雨水管、污水管。具体详见可研究报告及一期概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1092" w:type="dxa"/>
          </w:tcPr>
          <w:p>
            <w:pPr>
              <w:pStyle w:val="16"/>
              <w:spacing w:before="7"/>
              <w:rPr>
                <w:b/>
                <w:strike w:val="0"/>
                <w:dstrike w:val="0"/>
                <w:color w:val="auto"/>
                <w:sz w:val="30"/>
              </w:rPr>
            </w:pPr>
          </w:p>
          <w:p>
            <w:pPr>
              <w:pStyle w:val="16"/>
              <w:ind w:left="120" w:right="196"/>
              <w:jc w:val="center"/>
              <w:rPr>
                <w:rFonts w:ascii="Times New Roman"/>
                <w:strike w:val="0"/>
                <w:dstrike w:val="0"/>
                <w:color w:val="auto"/>
                <w:sz w:val="24"/>
              </w:rPr>
            </w:pPr>
            <w:r>
              <w:rPr>
                <w:rFonts w:ascii="Times New Roman"/>
                <w:strike w:val="0"/>
                <w:dstrike w:val="0"/>
                <w:color w:val="auto"/>
                <w:sz w:val="24"/>
              </w:rPr>
              <w:t>1.1.7</w:t>
            </w:r>
          </w:p>
        </w:tc>
        <w:tc>
          <w:tcPr>
            <w:tcW w:w="1962" w:type="dxa"/>
          </w:tcPr>
          <w:p>
            <w:pPr>
              <w:pStyle w:val="16"/>
              <w:spacing w:before="1" w:line="290" w:lineRule="auto"/>
              <w:ind w:left="82" w:right="158"/>
              <w:jc w:val="center"/>
              <w:rPr>
                <w:strike w:val="0"/>
                <w:dstrike w:val="0"/>
                <w:color w:val="auto"/>
                <w:sz w:val="24"/>
              </w:rPr>
            </w:pPr>
            <w:r>
              <w:rPr>
                <w:strike w:val="0"/>
                <w:dstrike w:val="0"/>
                <w:color w:val="auto"/>
                <w:sz w:val="24"/>
              </w:rPr>
              <w:t>工程项目施工预计开工日期和建</w:t>
            </w:r>
          </w:p>
          <w:p>
            <w:pPr>
              <w:pStyle w:val="16"/>
              <w:spacing w:before="3"/>
              <w:ind w:left="80" w:right="158"/>
              <w:jc w:val="center"/>
              <w:rPr>
                <w:strike w:val="0"/>
                <w:dstrike w:val="0"/>
                <w:color w:val="auto"/>
                <w:sz w:val="24"/>
              </w:rPr>
            </w:pPr>
            <w:r>
              <w:rPr>
                <w:strike w:val="0"/>
                <w:dstrike w:val="0"/>
                <w:color w:val="auto"/>
                <w:sz w:val="24"/>
              </w:rPr>
              <w:t>设周期</w:t>
            </w:r>
          </w:p>
        </w:tc>
        <w:tc>
          <w:tcPr>
            <w:tcW w:w="6569" w:type="dxa"/>
          </w:tcPr>
          <w:p>
            <w:pPr>
              <w:pStyle w:val="16"/>
              <w:spacing w:before="2"/>
              <w:rPr>
                <w:b/>
                <w:strike w:val="0"/>
                <w:dstrike w:val="0"/>
                <w:color w:val="auto"/>
                <w:sz w:val="29"/>
              </w:rPr>
            </w:pPr>
          </w:p>
          <w:p>
            <w:pPr>
              <w:pStyle w:val="16"/>
              <w:ind w:left="107"/>
              <w:rPr>
                <w:strike w:val="0"/>
                <w:dstrike w:val="0"/>
                <w:color w:val="auto"/>
                <w:sz w:val="24"/>
              </w:rPr>
            </w:pPr>
            <w:r>
              <w:rPr>
                <w:strike w:val="0"/>
                <w:dstrike w:val="0"/>
                <w:color w:val="auto"/>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1092" w:type="dxa"/>
          </w:tcPr>
          <w:p>
            <w:pPr>
              <w:pStyle w:val="16"/>
              <w:spacing w:before="207"/>
              <w:ind w:left="120" w:right="196"/>
              <w:jc w:val="center"/>
              <w:rPr>
                <w:rFonts w:ascii="Times New Roman"/>
                <w:strike w:val="0"/>
                <w:dstrike w:val="0"/>
                <w:color w:val="auto"/>
                <w:sz w:val="24"/>
              </w:rPr>
            </w:pPr>
            <w:r>
              <w:rPr>
                <w:rFonts w:ascii="Times New Roman"/>
                <w:strike w:val="0"/>
                <w:dstrike w:val="0"/>
                <w:color w:val="auto"/>
                <w:sz w:val="24"/>
              </w:rPr>
              <w:t>1.1.8</w:t>
            </w:r>
          </w:p>
        </w:tc>
        <w:tc>
          <w:tcPr>
            <w:tcW w:w="1962" w:type="dxa"/>
          </w:tcPr>
          <w:p>
            <w:pPr>
              <w:pStyle w:val="16"/>
              <w:spacing w:before="2"/>
              <w:ind w:left="16" w:right="91"/>
              <w:jc w:val="center"/>
              <w:rPr>
                <w:strike w:val="0"/>
                <w:dstrike w:val="0"/>
                <w:color w:val="auto"/>
                <w:sz w:val="24"/>
              </w:rPr>
            </w:pPr>
            <w:r>
              <w:rPr>
                <w:strike w:val="0"/>
                <w:dstrike w:val="0"/>
                <w:color w:val="auto"/>
                <w:sz w:val="24"/>
              </w:rPr>
              <w:t>建筑安装工程费/</w:t>
            </w:r>
          </w:p>
          <w:p>
            <w:pPr>
              <w:pStyle w:val="16"/>
              <w:spacing w:before="66"/>
              <w:ind w:left="80" w:right="158"/>
              <w:jc w:val="center"/>
              <w:rPr>
                <w:strike w:val="0"/>
                <w:dstrike w:val="0"/>
                <w:color w:val="auto"/>
                <w:sz w:val="24"/>
              </w:rPr>
            </w:pPr>
            <w:r>
              <w:rPr>
                <w:strike w:val="0"/>
                <w:dstrike w:val="0"/>
                <w:color w:val="auto"/>
                <w:sz w:val="24"/>
              </w:rPr>
              <w:t>工程概算</w:t>
            </w:r>
          </w:p>
        </w:tc>
        <w:tc>
          <w:tcPr>
            <w:tcW w:w="6569" w:type="dxa"/>
          </w:tcPr>
          <w:p>
            <w:pPr>
              <w:pStyle w:val="16"/>
              <w:spacing w:before="189"/>
              <w:ind w:left="107"/>
              <w:rPr>
                <w:strike w:val="0"/>
                <w:dstrike w:val="0"/>
                <w:color w:val="auto"/>
                <w:sz w:val="24"/>
              </w:rPr>
            </w:pPr>
            <w:r>
              <w:rPr>
                <w:strike w:val="0"/>
                <w:dstrike w:val="0"/>
                <w:color w:val="auto"/>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1092" w:type="dxa"/>
          </w:tcPr>
          <w:p>
            <w:pPr>
              <w:pStyle w:val="16"/>
              <w:spacing w:before="206"/>
              <w:ind w:left="120" w:right="196"/>
              <w:jc w:val="center"/>
              <w:rPr>
                <w:rFonts w:ascii="Times New Roman"/>
                <w:color w:val="auto"/>
                <w:sz w:val="24"/>
              </w:rPr>
            </w:pPr>
            <w:r>
              <w:rPr>
                <w:rFonts w:ascii="Times New Roman"/>
                <w:color w:val="auto"/>
                <w:sz w:val="24"/>
              </w:rPr>
              <w:t>1.2.1</w:t>
            </w:r>
          </w:p>
        </w:tc>
        <w:tc>
          <w:tcPr>
            <w:tcW w:w="1962" w:type="dxa"/>
          </w:tcPr>
          <w:p>
            <w:pPr>
              <w:pStyle w:val="16"/>
              <w:spacing w:before="188"/>
              <w:ind w:left="447"/>
              <w:rPr>
                <w:color w:val="auto"/>
                <w:sz w:val="24"/>
              </w:rPr>
            </w:pPr>
            <w:r>
              <w:rPr>
                <w:color w:val="auto"/>
                <w:sz w:val="24"/>
              </w:rPr>
              <w:t>资金来源</w:t>
            </w:r>
          </w:p>
        </w:tc>
        <w:tc>
          <w:tcPr>
            <w:tcW w:w="6569" w:type="dxa"/>
            <w:vAlign w:val="center"/>
          </w:tcPr>
          <w:p>
            <w:pPr>
              <w:pStyle w:val="16"/>
              <w:spacing w:before="64"/>
              <w:ind w:left="107"/>
              <w:jc w:val="both"/>
              <w:rPr>
                <w:color w:val="auto"/>
                <w:sz w:val="24"/>
              </w:rPr>
            </w:pPr>
            <w:r>
              <w:rPr>
                <w:rFonts w:hint="eastAsia"/>
                <w:color w:val="auto"/>
                <w:sz w:val="24"/>
                <w:lang w:val="en-US" w:eastAsia="zh-CN"/>
              </w:rPr>
              <w:t>上级项目资金和债券资金，不足部分由</w:t>
            </w:r>
            <w:r>
              <w:rPr>
                <w:rFonts w:hint="eastAsia"/>
                <w:color w:val="auto"/>
                <w:sz w:val="24"/>
              </w:rPr>
              <w:t>县财政统筹</w:t>
            </w:r>
            <w:r>
              <w:rPr>
                <w:rFonts w:hint="eastAsia"/>
                <w:color w:val="auto"/>
                <w:sz w:val="24"/>
                <w:lang w:val="en-US" w:eastAsia="zh-CN"/>
              </w:rPr>
              <w:t>解决</w:t>
            </w:r>
            <w:r>
              <w:rPr>
                <w:rFonts w:hint="eastAsia"/>
                <w:color w:val="auto"/>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092" w:type="dxa"/>
          </w:tcPr>
          <w:p>
            <w:pPr>
              <w:pStyle w:val="16"/>
              <w:spacing w:before="145"/>
              <w:ind w:left="120" w:right="196"/>
              <w:jc w:val="center"/>
              <w:rPr>
                <w:rFonts w:ascii="Times New Roman"/>
                <w:color w:val="auto"/>
                <w:sz w:val="24"/>
              </w:rPr>
            </w:pPr>
            <w:r>
              <w:rPr>
                <w:rFonts w:ascii="Times New Roman"/>
                <w:color w:val="auto"/>
                <w:sz w:val="24"/>
              </w:rPr>
              <w:t>1.2.2</w:t>
            </w:r>
          </w:p>
        </w:tc>
        <w:tc>
          <w:tcPr>
            <w:tcW w:w="1962" w:type="dxa"/>
          </w:tcPr>
          <w:p>
            <w:pPr>
              <w:pStyle w:val="16"/>
              <w:spacing w:before="126"/>
              <w:ind w:right="283"/>
              <w:jc w:val="right"/>
              <w:rPr>
                <w:color w:val="auto"/>
                <w:sz w:val="24"/>
              </w:rPr>
            </w:pPr>
            <w:r>
              <w:rPr>
                <w:color w:val="auto"/>
                <w:sz w:val="24"/>
              </w:rPr>
              <w:t>资金落实情况</w:t>
            </w:r>
          </w:p>
        </w:tc>
        <w:tc>
          <w:tcPr>
            <w:tcW w:w="6569" w:type="dxa"/>
          </w:tcPr>
          <w:p>
            <w:pPr>
              <w:pStyle w:val="16"/>
              <w:spacing w:before="126"/>
              <w:ind w:left="107"/>
              <w:rPr>
                <w:color w:val="auto"/>
                <w:sz w:val="24"/>
              </w:rPr>
            </w:pPr>
            <w:r>
              <w:rPr>
                <w:color w:val="auto"/>
                <w:sz w:val="24"/>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1092" w:type="dxa"/>
          </w:tcPr>
          <w:p>
            <w:pPr>
              <w:pStyle w:val="16"/>
              <w:spacing w:before="12"/>
              <w:rPr>
                <w:b/>
                <w:color w:val="auto"/>
                <w:sz w:val="24"/>
              </w:rPr>
            </w:pPr>
          </w:p>
          <w:p>
            <w:pPr>
              <w:pStyle w:val="16"/>
              <w:ind w:left="120" w:right="196"/>
              <w:jc w:val="center"/>
              <w:rPr>
                <w:rFonts w:ascii="Times New Roman"/>
                <w:color w:val="auto"/>
                <w:sz w:val="24"/>
              </w:rPr>
            </w:pPr>
            <w:r>
              <w:rPr>
                <w:rFonts w:ascii="Times New Roman"/>
                <w:color w:val="auto"/>
                <w:sz w:val="24"/>
              </w:rPr>
              <w:t>1.3.1</w:t>
            </w:r>
          </w:p>
        </w:tc>
        <w:tc>
          <w:tcPr>
            <w:tcW w:w="1962" w:type="dxa"/>
          </w:tcPr>
          <w:p>
            <w:pPr>
              <w:pStyle w:val="16"/>
              <w:spacing w:before="6"/>
              <w:rPr>
                <w:b/>
                <w:color w:val="auto"/>
                <w:sz w:val="23"/>
              </w:rPr>
            </w:pPr>
          </w:p>
          <w:p>
            <w:pPr>
              <w:pStyle w:val="16"/>
              <w:ind w:left="447"/>
              <w:rPr>
                <w:color w:val="auto"/>
                <w:sz w:val="24"/>
              </w:rPr>
            </w:pPr>
            <w:r>
              <w:rPr>
                <w:color w:val="auto"/>
                <w:sz w:val="24"/>
              </w:rPr>
              <w:t>招标范围</w:t>
            </w:r>
          </w:p>
        </w:tc>
        <w:tc>
          <w:tcPr>
            <w:tcW w:w="6569" w:type="dxa"/>
          </w:tcPr>
          <w:p>
            <w:pPr>
              <w:pStyle w:val="16"/>
              <w:spacing w:before="114" w:line="290" w:lineRule="auto"/>
              <w:ind w:left="107" w:right="91"/>
              <w:rPr>
                <w:color w:val="auto"/>
                <w:sz w:val="24"/>
              </w:rPr>
            </w:pPr>
            <w:r>
              <w:rPr>
                <w:color w:val="auto"/>
                <w:sz w:val="24"/>
              </w:rPr>
              <w:t>建安工程（按设计文件内容）的施工、验收及工程结算定案的全过程监理工作。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092" w:type="dxa"/>
          </w:tcPr>
          <w:p>
            <w:pPr>
              <w:pStyle w:val="16"/>
              <w:spacing w:before="196"/>
              <w:ind w:left="120" w:right="196"/>
              <w:jc w:val="center"/>
              <w:rPr>
                <w:rFonts w:ascii="Times New Roman"/>
                <w:color w:val="auto"/>
                <w:sz w:val="24"/>
              </w:rPr>
            </w:pPr>
            <w:r>
              <w:rPr>
                <w:rFonts w:ascii="Times New Roman"/>
                <w:color w:val="auto"/>
                <w:sz w:val="24"/>
              </w:rPr>
              <w:t>1.3.2</w:t>
            </w:r>
          </w:p>
        </w:tc>
        <w:tc>
          <w:tcPr>
            <w:tcW w:w="1962" w:type="dxa"/>
          </w:tcPr>
          <w:p>
            <w:pPr>
              <w:pStyle w:val="16"/>
              <w:spacing w:before="175"/>
              <w:ind w:right="283"/>
              <w:jc w:val="right"/>
              <w:rPr>
                <w:color w:val="auto"/>
                <w:sz w:val="24"/>
              </w:rPr>
            </w:pPr>
            <w:r>
              <w:rPr>
                <w:color w:val="auto"/>
                <w:sz w:val="24"/>
              </w:rPr>
              <w:t>监理服务期限</w:t>
            </w:r>
          </w:p>
        </w:tc>
        <w:tc>
          <w:tcPr>
            <w:tcW w:w="6569" w:type="dxa"/>
          </w:tcPr>
          <w:p>
            <w:pPr>
              <w:pStyle w:val="16"/>
              <w:spacing w:before="175"/>
              <w:ind w:left="107"/>
              <w:rPr>
                <w:rFonts w:hint="eastAsia"/>
                <w:color w:val="auto"/>
                <w:sz w:val="24"/>
              </w:rPr>
            </w:pPr>
            <w:r>
              <w:rPr>
                <w:rFonts w:hint="eastAsia"/>
                <w:color w:val="auto"/>
                <w:sz w:val="24"/>
              </w:rPr>
              <w:t>施工准备阶段、工程施工阶段、工程质量保修期： (1)施工准备阶段监理服务期：从中标通知书发放之日起至委托人下达开工令为止。</w:t>
            </w:r>
          </w:p>
          <w:p>
            <w:pPr>
              <w:pStyle w:val="16"/>
              <w:spacing w:before="175"/>
              <w:ind w:left="107"/>
              <w:rPr>
                <w:rFonts w:hint="eastAsia"/>
                <w:color w:val="auto"/>
                <w:sz w:val="24"/>
              </w:rPr>
            </w:pPr>
            <w:r>
              <w:rPr>
                <w:rFonts w:hint="eastAsia"/>
                <w:color w:val="auto"/>
                <w:sz w:val="24"/>
              </w:rPr>
              <w:t>(2)施工阶段监理服务期：不超过</w:t>
            </w:r>
            <w:r>
              <w:rPr>
                <w:rFonts w:hint="eastAsia"/>
                <w:color w:val="auto"/>
                <w:sz w:val="24"/>
                <w:lang w:val="en-US" w:eastAsia="zh-CN"/>
              </w:rPr>
              <w:t xml:space="preserve">   </w:t>
            </w:r>
            <w:r>
              <w:rPr>
                <w:rFonts w:hint="eastAsia"/>
                <w:color w:val="auto"/>
                <w:sz w:val="24"/>
              </w:rPr>
              <w:t>日历天（从下达开工令起至项目竣工验收合格止）。</w:t>
            </w:r>
          </w:p>
          <w:p>
            <w:pPr>
              <w:pStyle w:val="16"/>
              <w:spacing w:before="175"/>
              <w:ind w:left="107"/>
              <w:rPr>
                <w:rFonts w:hint="eastAsia"/>
                <w:color w:val="auto"/>
                <w:sz w:val="24"/>
              </w:rPr>
            </w:pPr>
            <w:r>
              <w:rPr>
                <w:rFonts w:hint="eastAsia"/>
                <w:color w:val="auto"/>
                <w:sz w:val="24"/>
              </w:rPr>
              <w:t>(3) 工程质量保修期：从工程竣工验收合格之日起到完成结算和保修期服务为止。</w:t>
            </w:r>
          </w:p>
          <w:p>
            <w:pPr>
              <w:pStyle w:val="16"/>
              <w:spacing w:before="175"/>
              <w:ind w:left="107"/>
              <w:rPr>
                <w:color w:val="auto"/>
                <w:sz w:val="24"/>
              </w:rPr>
            </w:pPr>
            <w:r>
              <w:rPr>
                <w:rFonts w:hint="eastAsia"/>
                <w:color w:val="auto"/>
                <w:sz w:val="24"/>
              </w:rPr>
              <w:t>(4)监理服务周期必须满足实际施工要求。</w:t>
            </w:r>
          </w:p>
        </w:tc>
      </w:tr>
    </w:tbl>
    <w:p>
      <w:pPr>
        <w:spacing w:after="0"/>
        <w:rPr>
          <w:color w:val="auto"/>
          <w:sz w:val="24"/>
        </w:rPr>
        <w:sectPr>
          <w:footerReference r:id="rId6" w:type="default"/>
          <w:pgSz w:w="11910" w:h="16840"/>
          <w:pgMar w:top="1380" w:right="1020" w:bottom="820" w:left="1020" w:header="0" w:footer="640" w:gutter="0"/>
          <w:pgBorders>
            <w:top w:val="none" w:sz="0" w:space="0"/>
            <w:left w:val="none" w:sz="0" w:space="0"/>
            <w:bottom w:val="none" w:sz="0" w:space="0"/>
            <w:right w:val="none" w:sz="0" w:space="0"/>
          </w:pgBorders>
          <w:pgNumType w:fmt="decimal"/>
          <w:cols w:space="720" w:num="1"/>
        </w:sectPr>
      </w:pPr>
    </w:p>
    <w:tbl>
      <w:tblPr>
        <w:tblStyle w:val="12"/>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2"/>
        <w:gridCol w:w="1962"/>
        <w:gridCol w:w="6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1092" w:type="dxa"/>
          </w:tcPr>
          <w:p>
            <w:pPr>
              <w:pStyle w:val="16"/>
              <w:spacing w:before="112"/>
              <w:ind w:right="212"/>
              <w:jc w:val="right"/>
              <w:rPr>
                <w:color w:val="auto"/>
                <w:sz w:val="24"/>
              </w:rPr>
            </w:pPr>
            <w:r>
              <w:rPr>
                <w:color w:val="auto"/>
                <w:sz w:val="24"/>
              </w:rPr>
              <w:t>条款号</w:t>
            </w:r>
          </w:p>
        </w:tc>
        <w:tc>
          <w:tcPr>
            <w:tcW w:w="1962" w:type="dxa"/>
          </w:tcPr>
          <w:p>
            <w:pPr>
              <w:pStyle w:val="16"/>
              <w:spacing w:before="112"/>
              <w:ind w:left="80" w:right="158"/>
              <w:jc w:val="center"/>
              <w:rPr>
                <w:color w:val="auto"/>
                <w:sz w:val="24"/>
              </w:rPr>
            </w:pPr>
            <w:r>
              <w:rPr>
                <w:color w:val="auto"/>
                <w:sz w:val="24"/>
              </w:rPr>
              <w:t>条款名称</w:t>
            </w:r>
          </w:p>
        </w:tc>
        <w:tc>
          <w:tcPr>
            <w:tcW w:w="6569" w:type="dxa"/>
          </w:tcPr>
          <w:p>
            <w:pPr>
              <w:pStyle w:val="16"/>
              <w:tabs>
                <w:tab w:val="left" w:pos="491"/>
                <w:tab w:val="left" w:pos="983"/>
                <w:tab w:val="left" w:pos="1475"/>
              </w:tabs>
              <w:spacing w:before="112"/>
              <w:ind w:right="79"/>
              <w:jc w:val="center"/>
              <w:rPr>
                <w:color w:val="auto"/>
                <w:sz w:val="24"/>
              </w:rPr>
            </w:pPr>
            <w:r>
              <w:rPr>
                <w:color w:val="auto"/>
                <w:sz w:val="24"/>
              </w:rPr>
              <w:t>编</w:t>
            </w:r>
            <w:r>
              <w:rPr>
                <w:color w:val="auto"/>
                <w:sz w:val="24"/>
              </w:rPr>
              <w:tab/>
            </w:r>
            <w:r>
              <w:rPr>
                <w:color w:val="auto"/>
                <w:sz w:val="24"/>
              </w:rPr>
              <w:t>列</w:t>
            </w:r>
            <w:r>
              <w:rPr>
                <w:color w:val="auto"/>
                <w:sz w:val="24"/>
              </w:rPr>
              <w:tab/>
            </w:r>
            <w:r>
              <w:rPr>
                <w:color w:val="auto"/>
                <w:sz w:val="24"/>
              </w:rPr>
              <w:t>内</w:t>
            </w:r>
            <w:r>
              <w:rPr>
                <w:color w:val="auto"/>
                <w:sz w:val="24"/>
              </w:rPr>
              <w:tab/>
            </w:r>
            <w:r>
              <w:rPr>
                <w:color w:val="auto"/>
                <w:sz w:val="24"/>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32" w:hRule="atLeast"/>
        </w:trPr>
        <w:tc>
          <w:tcPr>
            <w:tcW w:w="1092" w:type="dxa"/>
          </w:tcPr>
          <w:p>
            <w:pPr>
              <w:pStyle w:val="16"/>
              <w:rPr>
                <w:b/>
                <w:color w:val="auto"/>
                <w:sz w:val="26"/>
              </w:rPr>
            </w:pPr>
          </w:p>
          <w:p>
            <w:pPr>
              <w:pStyle w:val="16"/>
              <w:rPr>
                <w:b/>
                <w:color w:val="auto"/>
                <w:sz w:val="26"/>
              </w:rPr>
            </w:pPr>
          </w:p>
          <w:p>
            <w:pPr>
              <w:pStyle w:val="16"/>
              <w:rPr>
                <w:b/>
                <w:color w:val="auto"/>
                <w:sz w:val="26"/>
              </w:rPr>
            </w:pPr>
          </w:p>
          <w:p>
            <w:pPr>
              <w:pStyle w:val="16"/>
              <w:spacing w:before="7"/>
              <w:rPr>
                <w:b/>
                <w:color w:val="auto"/>
                <w:sz w:val="19"/>
              </w:rPr>
            </w:pPr>
          </w:p>
          <w:p>
            <w:pPr>
              <w:pStyle w:val="16"/>
              <w:ind w:left="255"/>
              <w:rPr>
                <w:rFonts w:ascii="Times New Roman"/>
                <w:color w:val="auto"/>
                <w:sz w:val="24"/>
              </w:rPr>
            </w:pPr>
            <w:r>
              <w:rPr>
                <w:rFonts w:ascii="Times New Roman"/>
                <w:color w:val="auto"/>
                <w:sz w:val="24"/>
              </w:rPr>
              <w:t>1.3.3</w:t>
            </w:r>
          </w:p>
        </w:tc>
        <w:tc>
          <w:tcPr>
            <w:tcW w:w="1962" w:type="dxa"/>
          </w:tcPr>
          <w:p>
            <w:pPr>
              <w:pStyle w:val="16"/>
              <w:rPr>
                <w:b/>
                <w:color w:val="auto"/>
                <w:sz w:val="24"/>
              </w:rPr>
            </w:pPr>
          </w:p>
          <w:p>
            <w:pPr>
              <w:pStyle w:val="16"/>
              <w:rPr>
                <w:b/>
                <w:color w:val="auto"/>
                <w:sz w:val="24"/>
              </w:rPr>
            </w:pPr>
          </w:p>
          <w:p>
            <w:pPr>
              <w:pStyle w:val="16"/>
              <w:rPr>
                <w:b/>
                <w:color w:val="auto"/>
                <w:sz w:val="24"/>
              </w:rPr>
            </w:pPr>
          </w:p>
          <w:p>
            <w:pPr>
              <w:pStyle w:val="16"/>
              <w:spacing w:before="1"/>
              <w:rPr>
                <w:b/>
                <w:color w:val="auto"/>
                <w:sz w:val="24"/>
              </w:rPr>
            </w:pPr>
          </w:p>
          <w:p>
            <w:pPr>
              <w:pStyle w:val="16"/>
              <w:ind w:left="80" w:right="158"/>
              <w:jc w:val="center"/>
              <w:rPr>
                <w:color w:val="auto"/>
                <w:sz w:val="24"/>
              </w:rPr>
            </w:pPr>
            <w:r>
              <w:rPr>
                <w:color w:val="auto"/>
                <w:sz w:val="24"/>
              </w:rPr>
              <w:t>质量标准</w:t>
            </w:r>
          </w:p>
        </w:tc>
        <w:tc>
          <w:tcPr>
            <w:tcW w:w="6569" w:type="dxa"/>
          </w:tcPr>
          <w:p>
            <w:pPr>
              <w:pStyle w:val="16"/>
              <w:numPr>
                <w:ilvl w:val="0"/>
                <w:numId w:val="6"/>
              </w:numPr>
              <w:tabs>
                <w:tab w:val="left" w:pos="712"/>
              </w:tabs>
              <w:spacing w:before="2" w:after="0" w:line="240" w:lineRule="auto"/>
              <w:ind w:left="711" w:right="0" w:hanging="602"/>
              <w:jc w:val="left"/>
              <w:rPr>
                <w:color w:val="auto"/>
                <w:sz w:val="24"/>
              </w:rPr>
            </w:pPr>
            <w:r>
              <w:rPr>
                <w:color w:val="auto"/>
                <w:sz w:val="24"/>
              </w:rPr>
              <w:t>投资控制目标：不超批复的投资概算。</w:t>
            </w:r>
          </w:p>
          <w:p>
            <w:pPr>
              <w:pStyle w:val="16"/>
              <w:numPr>
                <w:ilvl w:val="0"/>
                <w:numId w:val="6"/>
              </w:numPr>
              <w:tabs>
                <w:tab w:val="left" w:pos="712"/>
              </w:tabs>
              <w:spacing w:before="96" w:after="0" w:line="240" w:lineRule="auto"/>
              <w:ind w:left="711" w:right="0" w:hanging="602"/>
              <w:jc w:val="left"/>
              <w:rPr>
                <w:color w:val="auto"/>
                <w:sz w:val="24"/>
              </w:rPr>
            </w:pPr>
            <w:r>
              <w:rPr>
                <w:color w:val="auto"/>
                <w:sz w:val="24"/>
              </w:rPr>
              <w:t>进度控制目标：按施工进度要求控制。</w:t>
            </w:r>
          </w:p>
          <w:p>
            <w:pPr>
              <w:pStyle w:val="16"/>
              <w:numPr>
                <w:ilvl w:val="0"/>
                <w:numId w:val="6"/>
              </w:numPr>
              <w:tabs>
                <w:tab w:val="left" w:pos="712"/>
              </w:tabs>
              <w:spacing w:before="98" w:after="0" w:line="314" w:lineRule="auto"/>
              <w:ind w:left="110" w:right="91" w:firstLine="0"/>
              <w:jc w:val="left"/>
              <w:rPr>
                <w:color w:val="auto"/>
                <w:sz w:val="24"/>
              </w:rPr>
            </w:pPr>
            <w:r>
              <w:rPr>
                <w:color w:val="auto"/>
                <w:spacing w:val="-3"/>
                <w:sz w:val="24"/>
              </w:rPr>
              <w:t>质量控制目标：一次竣工验收合格，符合现行工程施工</w:t>
            </w:r>
            <w:r>
              <w:rPr>
                <w:color w:val="auto"/>
                <w:sz w:val="24"/>
              </w:rPr>
              <w:t>质量验收规范合格标准。</w:t>
            </w:r>
          </w:p>
          <w:p>
            <w:pPr>
              <w:pStyle w:val="16"/>
              <w:numPr>
                <w:ilvl w:val="0"/>
                <w:numId w:val="6"/>
              </w:numPr>
              <w:tabs>
                <w:tab w:val="left" w:pos="712"/>
              </w:tabs>
              <w:spacing w:before="3" w:after="0" w:line="240" w:lineRule="auto"/>
              <w:ind w:left="711" w:right="0" w:hanging="602"/>
              <w:jc w:val="left"/>
              <w:rPr>
                <w:color w:val="auto"/>
                <w:sz w:val="24"/>
              </w:rPr>
            </w:pPr>
            <w:r>
              <w:rPr>
                <w:color w:val="auto"/>
                <w:spacing w:val="-2"/>
                <w:sz w:val="24"/>
              </w:rPr>
              <w:t>工地安全管理、文明施工管理控制目标：不发生重大安</w:t>
            </w:r>
          </w:p>
          <w:p>
            <w:pPr>
              <w:pStyle w:val="16"/>
              <w:spacing w:before="6" w:line="400" w:lineRule="atLeast"/>
              <w:ind w:left="110" w:right="91"/>
              <w:rPr>
                <w:color w:val="auto"/>
                <w:sz w:val="24"/>
              </w:rPr>
            </w:pPr>
            <w:r>
              <w:rPr>
                <w:color w:val="auto"/>
                <w:sz w:val="24"/>
              </w:rPr>
              <w:t>全事故；不因工地文明施工管理问题受到有关政府管理部门处罚。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1092" w:type="dxa"/>
          </w:tcPr>
          <w:p>
            <w:pPr>
              <w:pStyle w:val="16"/>
              <w:spacing w:before="207"/>
              <w:ind w:left="255"/>
              <w:rPr>
                <w:rFonts w:ascii="Times New Roman"/>
                <w:color w:val="auto"/>
                <w:sz w:val="24"/>
              </w:rPr>
            </w:pPr>
            <w:r>
              <w:rPr>
                <w:rFonts w:ascii="Times New Roman"/>
                <w:color w:val="auto"/>
                <w:sz w:val="24"/>
              </w:rPr>
              <w:t>1.4.1</w:t>
            </w:r>
          </w:p>
        </w:tc>
        <w:tc>
          <w:tcPr>
            <w:tcW w:w="1962" w:type="dxa"/>
          </w:tcPr>
          <w:p>
            <w:pPr>
              <w:pStyle w:val="16"/>
              <w:spacing w:before="2"/>
              <w:ind w:left="17" w:right="-29"/>
              <w:rPr>
                <w:color w:val="auto"/>
                <w:sz w:val="24"/>
              </w:rPr>
            </w:pPr>
            <w:r>
              <w:rPr>
                <w:color w:val="auto"/>
                <w:sz w:val="24"/>
              </w:rPr>
              <w:t>投标人资质条件、</w:t>
            </w:r>
          </w:p>
          <w:p>
            <w:pPr>
              <w:pStyle w:val="16"/>
              <w:spacing w:before="64"/>
              <w:ind w:left="325"/>
              <w:rPr>
                <w:color w:val="auto"/>
                <w:sz w:val="24"/>
              </w:rPr>
            </w:pPr>
            <w:r>
              <w:rPr>
                <w:color w:val="auto"/>
                <w:sz w:val="24"/>
              </w:rPr>
              <w:t>能力和信誉</w:t>
            </w:r>
          </w:p>
        </w:tc>
        <w:tc>
          <w:tcPr>
            <w:tcW w:w="6569" w:type="dxa"/>
          </w:tcPr>
          <w:p>
            <w:pPr>
              <w:pStyle w:val="16"/>
              <w:spacing w:before="10"/>
              <w:rPr>
                <w:b/>
                <w:color w:val="auto"/>
                <w:sz w:val="19"/>
              </w:rPr>
            </w:pPr>
          </w:p>
          <w:p>
            <w:pPr>
              <w:pStyle w:val="16"/>
              <w:ind w:left="107"/>
              <w:rPr>
                <w:color w:val="auto"/>
                <w:sz w:val="24"/>
              </w:rPr>
            </w:pPr>
            <w:r>
              <w:rPr>
                <w:color w:val="auto"/>
                <w:sz w:val="24"/>
              </w:rPr>
              <w:t>见招标公告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trPr>
        <w:tc>
          <w:tcPr>
            <w:tcW w:w="1092" w:type="dxa"/>
          </w:tcPr>
          <w:p>
            <w:pPr>
              <w:pStyle w:val="16"/>
              <w:spacing w:before="6"/>
              <w:rPr>
                <w:b/>
                <w:color w:val="auto"/>
                <w:sz w:val="21"/>
              </w:rPr>
            </w:pPr>
          </w:p>
          <w:p>
            <w:pPr>
              <w:pStyle w:val="16"/>
              <w:spacing w:before="1"/>
              <w:ind w:left="255"/>
              <w:rPr>
                <w:rFonts w:ascii="Times New Roman"/>
                <w:color w:val="auto"/>
                <w:sz w:val="24"/>
              </w:rPr>
            </w:pPr>
            <w:r>
              <w:rPr>
                <w:rFonts w:ascii="Times New Roman"/>
                <w:color w:val="auto"/>
                <w:sz w:val="24"/>
              </w:rPr>
              <w:t>1.4.2</w:t>
            </w:r>
          </w:p>
        </w:tc>
        <w:tc>
          <w:tcPr>
            <w:tcW w:w="1962" w:type="dxa"/>
          </w:tcPr>
          <w:p>
            <w:pPr>
              <w:pStyle w:val="16"/>
              <w:spacing w:before="68" w:line="292" w:lineRule="auto"/>
              <w:ind w:left="692" w:right="158" w:hanging="610"/>
              <w:rPr>
                <w:color w:val="auto"/>
                <w:sz w:val="24"/>
              </w:rPr>
            </w:pPr>
            <w:r>
              <w:rPr>
                <w:color w:val="auto"/>
                <w:sz w:val="24"/>
              </w:rPr>
              <w:t>是否接受联合体投标</w:t>
            </w:r>
          </w:p>
        </w:tc>
        <w:tc>
          <w:tcPr>
            <w:tcW w:w="6569" w:type="dxa"/>
          </w:tcPr>
          <w:p>
            <w:pPr>
              <w:pStyle w:val="16"/>
              <w:spacing w:before="68"/>
              <w:ind w:left="107"/>
              <w:rPr>
                <w:color w:val="auto"/>
                <w:sz w:val="24"/>
              </w:rPr>
            </w:pPr>
            <w:r>
              <w:rPr>
                <w:b/>
                <w:color w:val="auto"/>
                <w:spacing w:val="-200"/>
                <w:w w:val="99"/>
                <w:sz w:val="24"/>
              </w:rPr>
              <w:t>□</w:t>
            </w:r>
            <w:r>
              <w:rPr>
                <w:b/>
                <w:color w:val="auto"/>
                <w:w w:val="100"/>
                <w:position w:val="2"/>
                <w:sz w:val="16"/>
              </w:rPr>
              <w:t>√</w:t>
            </w:r>
            <w:r>
              <w:rPr>
                <w:b/>
                <w:color w:val="auto"/>
                <w:spacing w:val="-43"/>
                <w:position w:val="2"/>
                <w:sz w:val="16"/>
              </w:rPr>
              <w:t xml:space="preserve"> </w:t>
            </w:r>
            <w:r>
              <w:rPr>
                <w:color w:val="auto"/>
                <w:sz w:val="24"/>
              </w:rPr>
              <w:t>不接受</w:t>
            </w:r>
          </w:p>
          <w:p>
            <w:pPr>
              <w:pStyle w:val="16"/>
              <w:spacing w:before="67"/>
              <w:ind w:left="107"/>
              <w:rPr>
                <w:color w:val="auto"/>
                <w:sz w:val="24"/>
              </w:rPr>
            </w:pPr>
            <w:r>
              <w:rPr>
                <w:color w:val="auto"/>
                <w:sz w:val="24"/>
              </w:rPr>
              <w:t>□接受，应满足下列要求：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2" w:hRule="atLeast"/>
        </w:trPr>
        <w:tc>
          <w:tcPr>
            <w:tcW w:w="1092" w:type="dxa"/>
          </w:tcPr>
          <w:p>
            <w:pPr>
              <w:pStyle w:val="16"/>
              <w:spacing w:before="5"/>
              <w:rPr>
                <w:b/>
                <w:color w:val="auto"/>
                <w:sz w:val="21"/>
              </w:rPr>
            </w:pPr>
          </w:p>
          <w:p>
            <w:pPr>
              <w:pStyle w:val="16"/>
              <w:ind w:left="255"/>
              <w:rPr>
                <w:rFonts w:ascii="Times New Roman"/>
                <w:color w:val="auto"/>
                <w:sz w:val="24"/>
              </w:rPr>
            </w:pPr>
            <w:r>
              <w:rPr>
                <w:rFonts w:ascii="Times New Roman"/>
                <w:color w:val="auto"/>
                <w:sz w:val="24"/>
              </w:rPr>
              <w:t>1.4.3</w:t>
            </w:r>
          </w:p>
        </w:tc>
        <w:tc>
          <w:tcPr>
            <w:tcW w:w="1962" w:type="dxa"/>
          </w:tcPr>
          <w:p>
            <w:pPr>
              <w:pStyle w:val="16"/>
              <w:spacing w:before="68" w:line="292" w:lineRule="auto"/>
              <w:ind w:left="325" w:right="158" w:hanging="243"/>
              <w:rPr>
                <w:color w:val="auto"/>
                <w:sz w:val="24"/>
              </w:rPr>
            </w:pPr>
            <w:r>
              <w:rPr>
                <w:color w:val="auto"/>
                <w:sz w:val="24"/>
              </w:rPr>
              <w:t>投标人不得存在的其他情形</w:t>
            </w:r>
          </w:p>
        </w:tc>
        <w:tc>
          <w:tcPr>
            <w:tcW w:w="6569" w:type="dxa"/>
          </w:tcPr>
          <w:p>
            <w:pPr>
              <w:pStyle w:val="16"/>
              <w:spacing w:before="12"/>
              <w:rPr>
                <w:b/>
                <w:color w:val="auto"/>
                <w:sz w:val="19"/>
              </w:rPr>
            </w:pPr>
          </w:p>
          <w:p>
            <w:pPr>
              <w:pStyle w:val="16"/>
              <w:ind w:left="107"/>
              <w:rPr>
                <w:color w:val="auto"/>
                <w:sz w:val="24"/>
              </w:rPr>
            </w:pPr>
            <w:r>
              <w:rPr>
                <w:color w:val="auto"/>
                <w:sz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1092" w:type="dxa"/>
          </w:tcPr>
          <w:p>
            <w:pPr>
              <w:pStyle w:val="16"/>
              <w:rPr>
                <w:b/>
                <w:color w:val="auto"/>
                <w:sz w:val="31"/>
              </w:rPr>
            </w:pPr>
          </w:p>
          <w:p>
            <w:pPr>
              <w:pStyle w:val="16"/>
              <w:ind w:left="255"/>
              <w:rPr>
                <w:rFonts w:ascii="Times New Roman"/>
                <w:color w:val="auto"/>
                <w:sz w:val="24"/>
              </w:rPr>
            </w:pPr>
            <w:r>
              <w:rPr>
                <w:rFonts w:ascii="Times New Roman"/>
                <w:color w:val="auto"/>
                <w:sz w:val="24"/>
              </w:rPr>
              <w:t>1.9.1</w:t>
            </w:r>
          </w:p>
        </w:tc>
        <w:tc>
          <w:tcPr>
            <w:tcW w:w="1962" w:type="dxa"/>
          </w:tcPr>
          <w:p>
            <w:pPr>
              <w:pStyle w:val="16"/>
              <w:spacing w:before="7"/>
              <w:rPr>
                <w:b/>
                <w:color w:val="auto"/>
                <w:sz w:val="29"/>
              </w:rPr>
            </w:pPr>
          </w:p>
          <w:p>
            <w:pPr>
              <w:pStyle w:val="16"/>
              <w:ind w:left="80" w:right="158"/>
              <w:jc w:val="center"/>
              <w:rPr>
                <w:color w:val="auto"/>
                <w:sz w:val="24"/>
              </w:rPr>
            </w:pPr>
            <w:r>
              <w:rPr>
                <w:color w:val="auto"/>
                <w:sz w:val="24"/>
              </w:rPr>
              <w:t>踏勘现场</w:t>
            </w:r>
          </w:p>
        </w:tc>
        <w:tc>
          <w:tcPr>
            <w:tcW w:w="6569" w:type="dxa"/>
          </w:tcPr>
          <w:p>
            <w:pPr>
              <w:pStyle w:val="16"/>
              <w:spacing w:before="64"/>
              <w:ind w:left="107"/>
              <w:rPr>
                <w:color w:val="auto"/>
                <w:sz w:val="24"/>
              </w:rPr>
            </w:pPr>
            <w:r>
              <w:rPr>
                <w:b/>
                <w:color w:val="auto"/>
                <w:spacing w:val="-200"/>
                <w:w w:val="99"/>
                <w:sz w:val="24"/>
              </w:rPr>
              <w:t>□</w:t>
            </w:r>
            <w:r>
              <w:rPr>
                <w:b/>
                <w:color w:val="auto"/>
                <w:w w:val="100"/>
                <w:position w:val="2"/>
                <w:sz w:val="16"/>
              </w:rPr>
              <w:t>√</w:t>
            </w:r>
            <w:r>
              <w:rPr>
                <w:b/>
                <w:color w:val="auto"/>
                <w:spacing w:val="-43"/>
                <w:position w:val="2"/>
                <w:sz w:val="16"/>
              </w:rPr>
              <w:t xml:space="preserve"> </w:t>
            </w:r>
            <w:r>
              <w:rPr>
                <w:color w:val="auto"/>
                <w:sz w:val="24"/>
              </w:rPr>
              <w:t>不组织</w:t>
            </w:r>
          </w:p>
          <w:p>
            <w:pPr>
              <w:pStyle w:val="16"/>
              <w:spacing w:before="10"/>
              <w:ind w:left="107"/>
              <w:rPr>
                <w:color w:val="auto"/>
                <w:sz w:val="24"/>
              </w:rPr>
            </w:pPr>
            <w:r>
              <w:rPr>
                <w:color w:val="auto"/>
                <w:sz w:val="24"/>
              </w:rPr>
              <w:t>□组织，踏勘时间：</w:t>
            </w:r>
          </w:p>
          <w:p>
            <w:pPr>
              <w:pStyle w:val="16"/>
              <w:spacing w:before="66"/>
              <w:ind w:left="1067"/>
              <w:rPr>
                <w:color w:val="auto"/>
                <w:sz w:val="24"/>
              </w:rPr>
            </w:pPr>
            <w:r>
              <w:rPr>
                <w:color w:val="auto"/>
                <w:sz w:val="24"/>
              </w:rPr>
              <w:t>踏勘集中地点：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1092" w:type="dxa"/>
          </w:tcPr>
          <w:p>
            <w:pPr>
              <w:pStyle w:val="16"/>
              <w:spacing w:before="10"/>
              <w:rPr>
                <w:b/>
                <w:color w:val="auto"/>
                <w:sz w:val="30"/>
              </w:rPr>
            </w:pPr>
          </w:p>
          <w:p>
            <w:pPr>
              <w:pStyle w:val="16"/>
              <w:spacing w:before="1"/>
              <w:ind w:left="195"/>
              <w:rPr>
                <w:rFonts w:ascii="Times New Roman"/>
                <w:color w:val="auto"/>
                <w:sz w:val="24"/>
              </w:rPr>
            </w:pPr>
            <w:r>
              <w:rPr>
                <w:rFonts w:ascii="Times New Roman"/>
                <w:color w:val="auto"/>
                <w:sz w:val="24"/>
              </w:rPr>
              <w:t>1.10.1</w:t>
            </w:r>
          </w:p>
        </w:tc>
        <w:tc>
          <w:tcPr>
            <w:tcW w:w="1962" w:type="dxa"/>
          </w:tcPr>
          <w:p>
            <w:pPr>
              <w:pStyle w:val="16"/>
              <w:spacing w:before="2"/>
              <w:rPr>
                <w:b/>
                <w:color w:val="auto"/>
                <w:sz w:val="29"/>
              </w:rPr>
            </w:pPr>
          </w:p>
          <w:p>
            <w:pPr>
              <w:pStyle w:val="16"/>
              <w:spacing w:before="1"/>
              <w:ind w:left="80" w:right="158"/>
              <w:jc w:val="center"/>
              <w:rPr>
                <w:color w:val="auto"/>
                <w:sz w:val="24"/>
              </w:rPr>
            </w:pPr>
            <w:r>
              <w:rPr>
                <w:color w:val="auto"/>
                <w:sz w:val="24"/>
              </w:rPr>
              <w:t>投标预备会</w:t>
            </w:r>
          </w:p>
        </w:tc>
        <w:tc>
          <w:tcPr>
            <w:tcW w:w="6569" w:type="dxa"/>
          </w:tcPr>
          <w:p>
            <w:pPr>
              <w:pStyle w:val="16"/>
              <w:spacing w:before="2"/>
              <w:ind w:left="107"/>
              <w:rPr>
                <w:color w:val="auto"/>
                <w:sz w:val="24"/>
              </w:rPr>
            </w:pPr>
            <w:r>
              <w:rPr>
                <w:b/>
                <w:color w:val="auto"/>
                <w:spacing w:val="-200"/>
                <w:w w:val="99"/>
                <w:sz w:val="24"/>
              </w:rPr>
              <w:t>□</w:t>
            </w:r>
            <w:r>
              <w:rPr>
                <w:b/>
                <w:color w:val="auto"/>
                <w:w w:val="100"/>
                <w:position w:val="2"/>
                <w:sz w:val="16"/>
              </w:rPr>
              <w:t>√</w:t>
            </w:r>
            <w:r>
              <w:rPr>
                <w:b/>
                <w:color w:val="auto"/>
                <w:spacing w:val="-43"/>
                <w:position w:val="2"/>
                <w:sz w:val="16"/>
              </w:rPr>
              <w:t xml:space="preserve"> </w:t>
            </w:r>
            <w:r>
              <w:rPr>
                <w:color w:val="auto"/>
                <w:sz w:val="24"/>
              </w:rPr>
              <w:t>不召开</w:t>
            </w:r>
          </w:p>
          <w:p>
            <w:pPr>
              <w:pStyle w:val="16"/>
              <w:spacing w:before="65"/>
              <w:ind w:left="107"/>
              <w:rPr>
                <w:color w:val="auto"/>
                <w:sz w:val="24"/>
              </w:rPr>
            </w:pPr>
            <w:r>
              <w:rPr>
                <w:color w:val="auto"/>
                <w:sz w:val="24"/>
              </w:rPr>
              <w:t>□召开，召开时间：</w:t>
            </w:r>
          </w:p>
          <w:p>
            <w:pPr>
              <w:pStyle w:val="16"/>
              <w:spacing w:before="67"/>
              <w:ind w:left="1067"/>
              <w:rPr>
                <w:color w:val="auto"/>
                <w:sz w:val="24"/>
              </w:rPr>
            </w:pPr>
            <w:r>
              <w:rPr>
                <w:color w:val="auto"/>
                <w:sz w:val="24"/>
              </w:rPr>
              <w:t>召开地点：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8" w:hRule="atLeast"/>
        </w:trPr>
        <w:tc>
          <w:tcPr>
            <w:tcW w:w="1092" w:type="dxa"/>
          </w:tcPr>
          <w:p>
            <w:pPr>
              <w:pStyle w:val="16"/>
              <w:spacing w:before="221"/>
              <w:ind w:right="226"/>
              <w:jc w:val="right"/>
              <w:rPr>
                <w:rFonts w:ascii="Times New Roman"/>
                <w:color w:val="auto"/>
                <w:sz w:val="24"/>
              </w:rPr>
            </w:pPr>
            <w:r>
              <w:rPr>
                <w:rFonts w:ascii="Times New Roman"/>
                <w:color w:val="auto"/>
                <w:sz w:val="24"/>
              </w:rPr>
              <w:t>1.10.3</w:t>
            </w:r>
          </w:p>
        </w:tc>
        <w:tc>
          <w:tcPr>
            <w:tcW w:w="1962" w:type="dxa"/>
          </w:tcPr>
          <w:p>
            <w:pPr>
              <w:pStyle w:val="16"/>
              <w:spacing w:before="16"/>
              <w:ind w:left="16" w:right="91"/>
              <w:jc w:val="center"/>
              <w:rPr>
                <w:color w:val="auto"/>
                <w:sz w:val="24"/>
              </w:rPr>
            </w:pPr>
            <w:r>
              <w:rPr>
                <w:color w:val="auto"/>
                <w:sz w:val="24"/>
              </w:rPr>
              <w:t>招标文件澄清发</w:t>
            </w:r>
          </w:p>
          <w:p>
            <w:pPr>
              <w:pStyle w:val="16"/>
              <w:spacing w:before="67"/>
              <w:ind w:left="80" w:right="158"/>
              <w:jc w:val="center"/>
              <w:rPr>
                <w:color w:val="auto"/>
                <w:sz w:val="24"/>
              </w:rPr>
            </w:pPr>
            <w:r>
              <w:rPr>
                <w:color w:val="auto"/>
                <w:sz w:val="24"/>
              </w:rPr>
              <w:t>出的形式</w:t>
            </w:r>
          </w:p>
        </w:tc>
        <w:tc>
          <w:tcPr>
            <w:tcW w:w="6569" w:type="dxa"/>
          </w:tcPr>
          <w:p>
            <w:pPr>
              <w:pStyle w:val="16"/>
              <w:spacing w:before="16"/>
              <w:ind w:left="107"/>
              <w:rPr>
                <w:color w:val="auto"/>
                <w:sz w:val="24"/>
              </w:rPr>
            </w:pPr>
            <w:r>
              <w:rPr>
                <w:color w:val="auto"/>
                <w:sz w:val="24"/>
              </w:rPr>
              <w:t>发布在广州公共资源交易中心网站，请各潜在投标人密切留</w:t>
            </w:r>
          </w:p>
          <w:p>
            <w:pPr>
              <w:pStyle w:val="16"/>
              <w:spacing w:before="67"/>
              <w:ind w:left="107"/>
              <w:rPr>
                <w:color w:val="auto"/>
                <w:sz w:val="24"/>
              </w:rPr>
            </w:pPr>
            <w:r>
              <w:rPr>
                <w:color w:val="auto"/>
                <w:sz w:val="24"/>
              </w:rPr>
              <w:t>意系统中的公告、项目疑义与澄清等与本工程相关的信息。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0" w:hRule="atLeast"/>
        </w:trPr>
        <w:tc>
          <w:tcPr>
            <w:tcW w:w="1092" w:type="dxa"/>
          </w:tcPr>
          <w:p>
            <w:pPr>
              <w:pStyle w:val="16"/>
              <w:rPr>
                <w:b/>
                <w:color w:val="auto"/>
                <w:sz w:val="26"/>
              </w:rPr>
            </w:pPr>
          </w:p>
          <w:p>
            <w:pPr>
              <w:pStyle w:val="16"/>
              <w:spacing w:before="12"/>
              <w:rPr>
                <w:b/>
                <w:color w:val="auto"/>
                <w:sz w:val="19"/>
              </w:rPr>
            </w:pPr>
          </w:p>
          <w:p>
            <w:pPr>
              <w:pStyle w:val="16"/>
              <w:ind w:right="226"/>
              <w:jc w:val="right"/>
              <w:rPr>
                <w:rFonts w:ascii="Times New Roman"/>
                <w:color w:val="auto"/>
                <w:sz w:val="24"/>
              </w:rPr>
            </w:pPr>
            <w:r>
              <w:rPr>
                <w:rFonts w:ascii="Times New Roman"/>
                <w:color w:val="auto"/>
                <w:sz w:val="24"/>
              </w:rPr>
              <w:t>1.12.3</w:t>
            </w:r>
          </w:p>
        </w:tc>
        <w:tc>
          <w:tcPr>
            <w:tcW w:w="1962" w:type="dxa"/>
          </w:tcPr>
          <w:p>
            <w:pPr>
              <w:pStyle w:val="16"/>
              <w:rPr>
                <w:b/>
                <w:color w:val="auto"/>
                <w:sz w:val="24"/>
              </w:rPr>
            </w:pPr>
          </w:p>
          <w:p>
            <w:pPr>
              <w:pStyle w:val="16"/>
              <w:spacing w:before="4"/>
              <w:rPr>
                <w:b/>
                <w:color w:val="auto"/>
                <w:sz w:val="20"/>
              </w:rPr>
            </w:pPr>
          </w:p>
          <w:p>
            <w:pPr>
              <w:pStyle w:val="16"/>
              <w:ind w:left="82" w:right="157"/>
              <w:jc w:val="center"/>
              <w:rPr>
                <w:color w:val="auto"/>
                <w:sz w:val="24"/>
              </w:rPr>
            </w:pPr>
            <w:r>
              <w:rPr>
                <w:color w:val="auto"/>
                <w:sz w:val="24"/>
              </w:rPr>
              <w:t>偏差</w:t>
            </w:r>
          </w:p>
        </w:tc>
        <w:tc>
          <w:tcPr>
            <w:tcW w:w="6569" w:type="dxa"/>
          </w:tcPr>
          <w:p>
            <w:pPr>
              <w:pStyle w:val="16"/>
              <w:spacing w:before="40" w:line="290" w:lineRule="auto"/>
              <w:ind w:left="16" w:right="93" w:firstLine="120"/>
              <w:jc w:val="both"/>
              <w:rPr>
                <w:color w:val="auto"/>
                <w:sz w:val="24"/>
              </w:rPr>
            </w:pPr>
            <w:r>
              <w:rPr>
                <w:b/>
                <w:color w:val="auto"/>
                <w:spacing w:val="-200"/>
                <w:w w:val="99"/>
                <w:sz w:val="24"/>
              </w:rPr>
              <w:t>□</w:t>
            </w:r>
            <w:r>
              <w:rPr>
                <w:b/>
                <w:color w:val="auto"/>
                <w:w w:val="100"/>
                <w:position w:val="2"/>
                <w:sz w:val="16"/>
              </w:rPr>
              <w:t>√</w:t>
            </w:r>
            <w:r>
              <w:rPr>
                <w:b/>
                <w:color w:val="auto"/>
                <w:position w:val="2"/>
                <w:sz w:val="16"/>
              </w:rPr>
              <w:t xml:space="preserve"> </w:t>
            </w:r>
            <w:r>
              <w:rPr>
                <w:color w:val="auto"/>
                <w:sz w:val="24"/>
              </w:rPr>
              <w:t>不允许，偏离允许幅度及其处理方法：对招标文件实质性</w:t>
            </w:r>
            <w:r>
              <w:rPr>
                <w:color w:val="auto"/>
                <w:spacing w:val="6"/>
                <w:sz w:val="24"/>
              </w:rPr>
              <w:t>要求不允许偏离，对非实质性要求的偏离应该在投标文件中</w:t>
            </w:r>
            <w:r>
              <w:rPr>
                <w:color w:val="auto"/>
                <w:sz w:val="24"/>
              </w:rPr>
              <w:t>附上偏离表。</w:t>
            </w:r>
          </w:p>
          <w:p>
            <w:pPr>
              <w:pStyle w:val="16"/>
              <w:spacing w:before="5"/>
              <w:ind w:left="107"/>
              <w:rPr>
                <w:color w:val="auto"/>
                <w:sz w:val="24"/>
              </w:rPr>
            </w:pPr>
            <w:r>
              <w:rPr>
                <w:color w:val="auto"/>
                <w:sz w:val="24"/>
              </w:rPr>
              <w:t>□允许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092" w:type="dxa"/>
          </w:tcPr>
          <w:p>
            <w:pPr>
              <w:pStyle w:val="16"/>
              <w:spacing w:before="221"/>
              <w:ind w:left="120" w:right="108"/>
              <w:jc w:val="center"/>
              <w:rPr>
                <w:rFonts w:ascii="Times New Roman"/>
                <w:color w:val="auto"/>
                <w:sz w:val="24"/>
              </w:rPr>
            </w:pPr>
            <w:r>
              <w:rPr>
                <w:rFonts w:ascii="Times New Roman"/>
                <w:color w:val="auto"/>
                <w:sz w:val="24"/>
              </w:rPr>
              <w:t>2.1</w:t>
            </w:r>
          </w:p>
        </w:tc>
        <w:tc>
          <w:tcPr>
            <w:tcW w:w="1962" w:type="dxa"/>
          </w:tcPr>
          <w:p>
            <w:pPr>
              <w:pStyle w:val="16"/>
              <w:spacing w:before="18"/>
              <w:ind w:left="16" w:right="91"/>
              <w:jc w:val="center"/>
              <w:rPr>
                <w:color w:val="auto"/>
                <w:sz w:val="24"/>
              </w:rPr>
            </w:pPr>
            <w:r>
              <w:rPr>
                <w:color w:val="auto"/>
                <w:sz w:val="24"/>
              </w:rPr>
              <w:t>构成招标文件的</w:t>
            </w:r>
          </w:p>
          <w:p>
            <w:pPr>
              <w:pStyle w:val="16"/>
              <w:spacing w:before="64"/>
              <w:ind w:left="80" w:right="158"/>
              <w:jc w:val="center"/>
              <w:rPr>
                <w:color w:val="auto"/>
                <w:sz w:val="24"/>
              </w:rPr>
            </w:pPr>
            <w:r>
              <w:rPr>
                <w:color w:val="auto"/>
                <w:sz w:val="24"/>
              </w:rPr>
              <w:t>其他资料</w:t>
            </w:r>
          </w:p>
        </w:tc>
        <w:tc>
          <w:tcPr>
            <w:tcW w:w="6569" w:type="dxa"/>
          </w:tcPr>
          <w:p>
            <w:pPr>
              <w:pStyle w:val="16"/>
              <w:rPr>
                <w:b/>
                <w:color w:val="auto"/>
                <w:sz w:val="21"/>
              </w:rPr>
            </w:pPr>
          </w:p>
          <w:p>
            <w:pPr>
              <w:pStyle w:val="16"/>
              <w:spacing w:before="1"/>
              <w:ind w:left="107"/>
              <w:rPr>
                <w:color w:val="auto"/>
                <w:sz w:val="24"/>
              </w:rPr>
            </w:pPr>
            <w:r>
              <w:rPr>
                <w:color w:val="auto"/>
                <w:sz w:val="24"/>
              </w:rPr>
              <w:t>/</w:t>
            </w:r>
          </w:p>
        </w:tc>
      </w:tr>
    </w:tbl>
    <w:p>
      <w:pPr>
        <w:spacing w:after="0"/>
        <w:rPr>
          <w:color w:val="auto"/>
          <w:sz w:val="24"/>
        </w:rPr>
        <w:sectPr>
          <w:pgSz w:w="11910" w:h="16840"/>
          <w:pgMar w:top="1400" w:right="1020" w:bottom="820" w:left="1020" w:header="0" w:footer="640" w:gutter="0"/>
          <w:pgBorders>
            <w:top w:val="none" w:sz="0" w:space="0"/>
            <w:left w:val="none" w:sz="0" w:space="0"/>
            <w:bottom w:val="none" w:sz="0" w:space="0"/>
            <w:right w:val="none" w:sz="0" w:space="0"/>
          </w:pgBorders>
          <w:pgNumType w:fmt="decimal"/>
          <w:cols w:space="720" w:num="1"/>
        </w:sectPr>
      </w:pPr>
    </w:p>
    <w:tbl>
      <w:tblPr>
        <w:tblStyle w:val="12"/>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2"/>
        <w:gridCol w:w="1962"/>
        <w:gridCol w:w="6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1092" w:type="dxa"/>
          </w:tcPr>
          <w:p>
            <w:pPr>
              <w:pStyle w:val="16"/>
              <w:spacing w:before="112"/>
              <w:ind w:left="120" w:right="196"/>
              <w:jc w:val="center"/>
              <w:rPr>
                <w:color w:val="auto"/>
                <w:sz w:val="24"/>
              </w:rPr>
            </w:pPr>
            <w:r>
              <w:rPr>
                <w:color w:val="auto"/>
                <w:sz w:val="24"/>
              </w:rPr>
              <w:t>条款号</w:t>
            </w:r>
          </w:p>
        </w:tc>
        <w:tc>
          <w:tcPr>
            <w:tcW w:w="1962" w:type="dxa"/>
          </w:tcPr>
          <w:p>
            <w:pPr>
              <w:pStyle w:val="16"/>
              <w:spacing w:before="112"/>
              <w:ind w:left="80" w:right="158"/>
              <w:jc w:val="center"/>
              <w:rPr>
                <w:color w:val="auto"/>
                <w:sz w:val="24"/>
              </w:rPr>
            </w:pPr>
            <w:r>
              <w:rPr>
                <w:color w:val="auto"/>
                <w:sz w:val="24"/>
              </w:rPr>
              <w:t>条款名称</w:t>
            </w:r>
          </w:p>
        </w:tc>
        <w:tc>
          <w:tcPr>
            <w:tcW w:w="6569" w:type="dxa"/>
          </w:tcPr>
          <w:p>
            <w:pPr>
              <w:pStyle w:val="16"/>
              <w:tabs>
                <w:tab w:val="left" w:pos="491"/>
                <w:tab w:val="left" w:pos="983"/>
                <w:tab w:val="left" w:pos="1475"/>
              </w:tabs>
              <w:spacing w:before="112"/>
              <w:ind w:right="79"/>
              <w:jc w:val="center"/>
              <w:rPr>
                <w:color w:val="auto"/>
                <w:sz w:val="24"/>
              </w:rPr>
            </w:pPr>
            <w:r>
              <w:rPr>
                <w:color w:val="auto"/>
                <w:sz w:val="24"/>
              </w:rPr>
              <w:t>编</w:t>
            </w:r>
            <w:r>
              <w:rPr>
                <w:color w:val="auto"/>
                <w:sz w:val="24"/>
              </w:rPr>
              <w:tab/>
            </w:r>
            <w:r>
              <w:rPr>
                <w:color w:val="auto"/>
                <w:sz w:val="24"/>
              </w:rPr>
              <w:t>列</w:t>
            </w:r>
            <w:r>
              <w:rPr>
                <w:color w:val="auto"/>
                <w:sz w:val="24"/>
              </w:rPr>
              <w:tab/>
            </w:r>
            <w:r>
              <w:rPr>
                <w:color w:val="auto"/>
                <w:sz w:val="24"/>
              </w:rPr>
              <w:t>内</w:t>
            </w:r>
            <w:r>
              <w:rPr>
                <w:color w:val="auto"/>
                <w:sz w:val="24"/>
              </w:rPr>
              <w:tab/>
            </w:r>
            <w:r>
              <w:rPr>
                <w:color w:val="auto"/>
                <w:sz w:val="24"/>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092" w:type="dxa"/>
            <w:vMerge w:val="restart"/>
          </w:tcPr>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spacing w:before="2"/>
              <w:rPr>
                <w:b/>
                <w:color w:val="auto"/>
                <w:sz w:val="28"/>
              </w:rPr>
            </w:pPr>
          </w:p>
          <w:p>
            <w:pPr>
              <w:pStyle w:val="16"/>
              <w:ind w:left="120" w:right="106"/>
              <w:jc w:val="center"/>
              <w:rPr>
                <w:rFonts w:ascii="Times New Roman"/>
                <w:color w:val="auto"/>
                <w:sz w:val="24"/>
              </w:rPr>
            </w:pPr>
            <w:r>
              <w:rPr>
                <w:rFonts w:ascii="Times New Roman"/>
                <w:color w:val="auto"/>
                <w:sz w:val="24"/>
              </w:rPr>
              <w:t>2.2.1</w:t>
            </w:r>
          </w:p>
        </w:tc>
        <w:tc>
          <w:tcPr>
            <w:tcW w:w="1962" w:type="dxa"/>
            <w:vMerge w:val="restart"/>
          </w:tcPr>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spacing w:before="2"/>
              <w:rPr>
                <w:b/>
                <w:color w:val="auto"/>
                <w:sz w:val="20"/>
              </w:rPr>
            </w:pPr>
          </w:p>
          <w:p>
            <w:pPr>
              <w:pStyle w:val="16"/>
              <w:spacing w:line="290" w:lineRule="auto"/>
              <w:ind w:left="447" w:right="158" w:hanging="365"/>
              <w:rPr>
                <w:color w:val="auto"/>
                <w:sz w:val="24"/>
              </w:rPr>
            </w:pPr>
            <w:r>
              <w:rPr>
                <w:color w:val="auto"/>
                <w:sz w:val="24"/>
              </w:rPr>
              <w:t>投标人要求澄清招标文件</w:t>
            </w:r>
          </w:p>
        </w:tc>
        <w:tc>
          <w:tcPr>
            <w:tcW w:w="6569" w:type="dxa"/>
          </w:tcPr>
          <w:p>
            <w:pPr>
              <w:pStyle w:val="16"/>
              <w:spacing w:line="312" w:lineRule="auto"/>
              <w:ind w:left="107" w:right="91"/>
              <w:jc w:val="both"/>
              <w:rPr>
                <w:rFonts w:hint="eastAsia" w:ascii="宋体" w:hAnsi="宋体"/>
                <w:color w:val="auto"/>
                <w:sz w:val="24"/>
                <w:szCs w:val="24"/>
              </w:rPr>
            </w:pPr>
            <w:r>
              <w:rPr>
                <w:rFonts w:hint="eastAsia" w:ascii="宋体" w:hAnsi="宋体"/>
                <w:color w:val="auto"/>
                <w:sz w:val="24"/>
                <w:szCs w:val="24"/>
              </w:rPr>
              <w:t>时间：在提交投标文件截止时间18天前提出。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8" w:hRule="atLeast"/>
        </w:trPr>
        <w:tc>
          <w:tcPr>
            <w:tcW w:w="1092" w:type="dxa"/>
            <w:vMerge w:val="continue"/>
          </w:tcPr>
          <w:p>
            <w:pPr>
              <w:pStyle w:val="16"/>
              <w:ind w:left="120" w:right="106"/>
              <w:jc w:val="center"/>
              <w:rPr>
                <w:rFonts w:ascii="Times New Roman"/>
                <w:color w:val="auto"/>
                <w:sz w:val="24"/>
              </w:rPr>
            </w:pPr>
          </w:p>
        </w:tc>
        <w:tc>
          <w:tcPr>
            <w:tcW w:w="1962" w:type="dxa"/>
            <w:vMerge w:val="continue"/>
          </w:tcPr>
          <w:p>
            <w:pPr>
              <w:pStyle w:val="16"/>
              <w:spacing w:line="290" w:lineRule="auto"/>
              <w:ind w:left="447" w:right="158" w:hanging="365"/>
              <w:rPr>
                <w:color w:val="auto"/>
                <w:sz w:val="24"/>
              </w:rPr>
            </w:pPr>
          </w:p>
        </w:tc>
        <w:tc>
          <w:tcPr>
            <w:tcW w:w="6569" w:type="dxa"/>
          </w:tcPr>
          <w:p>
            <w:pPr>
              <w:jc w:val="left"/>
              <w:rPr>
                <w:rFonts w:ascii="宋体" w:hAnsi="宋体" w:cs="宋体"/>
                <w:color w:val="auto"/>
                <w:sz w:val="24"/>
                <w:szCs w:val="24"/>
              </w:rPr>
            </w:pPr>
            <w:r>
              <w:rPr>
                <w:rFonts w:hint="eastAsia" w:ascii="宋体" w:hAnsi="宋体" w:cs="宋体"/>
                <w:color w:val="auto"/>
                <w:sz w:val="24"/>
                <w:szCs w:val="24"/>
              </w:rPr>
              <w:t xml:space="preserve">形式：1、招标答疑采用网上答疑方式进行。投标人若对招标文件（包括招标图纸、清单、招标控制价）有疑问的，可在规定的时间内通过广州公共资源交易中心网站进入“招标答疑提问”页面提交疑问，提问一律不得署名。 </w:t>
            </w:r>
          </w:p>
          <w:p>
            <w:pPr>
              <w:jc w:val="left"/>
              <w:rPr>
                <w:rFonts w:ascii="宋体" w:hAnsi="宋体" w:cs="宋体"/>
                <w:color w:val="auto"/>
                <w:sz w:val="24"/>
                <w:szCs w:val="24"/>
              </w:rPr>
            </w:pPr>
            <w:r>
              <w:rPr>
                <w:rFonts w:hint="eastAsia" w:ascii="宋体" w:hAnsi="宋体" w:cs="宋体"/>
                <w:color w:val="auto"/>
                <w:sz w:val="24"/>
                <w:szCs w:val="24"/>
              </w:rPr>
              <w:t xml:space="preserve">网上答疑的操作指南为：投标人登录广州公共资源交易中心数字交易平台→进入“我是投标人”页面→进入“招标答疑提问”页面→通过项目编号或名称找到所需的项目→在上述答疑时间内点击“答疑提问”→无记名或匿名提出问题。 </w:t>
            </w:r>
          </w:p>
          <w:p>
            <w:pPr>
              <w:jc w:val="left"/>
              <w:rPr>
                <w:rFonts w:ascii="宋体" w:hAnsi="宋体" w:cs="宋体"/>
                <w:color w:val="auto"/>
                <w:sz w:val="24"/>
                <w:szCs w:val="24"/>
              </w:rPr>
            </w:pPr>
            <w:r>
              <w:rPr>
                <w:rFonts w:hint="eastAsia" w:ascii="宋体" w:hAnsi="宋体" w:cs="宋体"/>
                <w:color w:val="auto"/>
                <w:sz w:val="24"/>
                <w:szCs w:val="24"/>
              </w:rPr>
              <w:t>2、投标人应在投标截止时间18日前停止质疑。招标人应在投标截止时间15日前解答投标人对招标文件提出的疑问，形成答疑纪要，方可在广州公共资源交易中心网站项目答疑专区发布。</w:t>
            </w:r>
          </w:p>
          <w:p>
            <w:pPr>
              <w:rPr>
                <w:rFonts w:ascii="宋体" w:hAnsi="宋体"/>
                <w:color w:val="auto"/>
                <w:sz w:val="24"/>
                <w:szCs w:val="24"/>
              </w:rPr>
            </w:pPr>
            <w:r>
              <w:rPr>
                <w:rFonts w:hint="eastAsia" w:ascii="宋体" w:hAnsi="宋体"/>
                <w:color w:val="auto"/>
                <w:sz w:val="24"/>
                <w:szCs w:val="24"/>
              </w:rPr>
              <w:t>3、招标答疑纪要一经在广州公共资源交易中心网站发布，视作已发放给所有投标人。</w:t>
            </w:r>
          </w:p>
          <w:p>
            <w:pPr>
              <w:pStyle w:val="16"/>
              <w:spacing w:line="312" w:lineRule="auto"/>
              <w:ind w:left="107" w:right="91"/>
              <w:jc w:val="both"/>
              <w:rPr>
                <w:color w:val="auto"/>
                <w:sz w:val="24"/>
              </w:rPr>
            </w:pPr>
            <w:r>
              <w:rPr>
                <w:rFonts w:hint="eastAsia" w:ascii="宋体" w:hAnsi="宋体"/>
                <w:color w:val="auto"/>
                <w:sz w:val="24"/>
                <w:szCs w:val="24"/>
              </w:rPr>
              <w:t>4、招标答疑纪要为招标文件的一部分。投标人可在广州公资源交易中心网站浏览、下载招标答疑纪要。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5" w:hRule="atLeast"/>
        </w:trPr>
        <w:tc>
          <w:tcPr>
            <w:tcW w:w="1092" w:type="dxa"/>
          </w:tcPr>
          <w:p>
            <w:pPr>
              <w:pStyle w:val="16"/>
              <w:rPr>
                <w:b/>
                <w:color w:val="auto"/>
                <w:sz w:val="33"/>
              </w:rPr>
            </w:pPr>
          </w:p>
          <w:p>
            <w:pPr>
              <w:pStyle w:val="16"/>
              <w:ind w:left="120" w:right="106"/>
              <w:jc w:val="center"/>
              <w:rPr>
                <w:rFonts w:ascii="Times New Roman"/>
                <w:color w:val="auto"/>
                <w:sz w:val="24"/>
              </w:rPr>
            </w:pPr>
            <w:r>
              <w:rPr>
                <w:rFonts w:ascii="Times New Roman"/>
                <w:color w:val="auto"/>
                <w:sz w:val="24"/>
              </w:rPr>
              <w:t>2.2.1</w:t>
            </w:r>
          </w:p>
        </w:tc>
        <w:tc>
          <w:tcPr>
            <w:tcW w:w="1962" w:type="dxa"/>
          </w:tcPr>
          <w:p>
            <w:pPr>
              <w:pStyle w:val="16"/>
              <w:spacing w:before="215" w:line="292" w:lineRule="auto"/>
              <w:ind w:left="447" w:right="158" w:hanging="365"/>
              <w:rPr>
                <w:color w:val="auto"/>
                <w:sz w:val="24"/>
              </w:rPr>
            </w:pPr>
            <w:r>
              <w:rPr>
                <w:color w:val="auto"/>
                <w:sz w:val="24"/>
              </w:rPr>
              <w:t>投标人要求澄清招标文件</w:t>
            </w:r>
          </w:p>
        </w:tc>
        <w:tc>
          <w:tcPr>
            <w:tcW w:w="6569" w:type="dxa"/>
          </w:tcPr>
          <w:p>
            <w:pPr>
              <w:pStyle w:val="16"/>
              <w:spacing w:before="81"/>
              <w:ind w:left="107"/>
              <w:rPr>
                <w:color w:val="auto"/>
                <w:sz w:val="24"/>
              </w:rPr>
            </w:pPr>
            <w:r>
              <w:rPr>
                <w:color w:val="auto"/>
                <w:sz w:val="24"/>
              </w:rPr>
              <w:t>若投标人在投标质疑截止时间前未对招标文件有关条款提出</w:t>
            </w:r>
          </w:p>
          <w:p>
            <w:pPr>
              <w:pStyle w:val="16"/>
              <w:spacing w:line="400" w:lineRule="atLeast"/>
              <w:ind w:left="107" w:right="91"/>
              <w:rPr>
                <w:color w:val="auto"/>
                <w:sz w:val="24"/>
              </w:rPr>
            </w:pPr>
            <w:r>
              <w:rPr>
                <w:color w:val="auto"/>
                <w:sz w:val="24"/>
              </w:rPr>
              <w:t>质疑，视为投标人已充分理解招标文件所有内容并接受招标文件所有条款。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1092" w:type="dxa"/>
          </w:tcPr>
          <w:p>
            <w:pPr>
              <w:pStyle w:val="16"/>
              <w:spacing w:before="211"/>
              <w:ind w:left="120" w:right="106"/>
              <w:jc w:val="center"/>
              <w:rPr>
                <w:rFonts w:ascii="Times New Roman"/>
                <w:color w:val="auto"/>
                <w:sz w:val="24"/>
              </w:rPr>
            </w:pPr>
            <w:r>
              <w:rPr>
                <w:rFonts w:ascii="Times New Roman"/>
                <w:color w:val="auto"/>
                <w:sz w:val="24"/>
              </w:rPr>
              <w:t>2.2.2</w:t>
            </w:r>
          </w:p>
        </w:tc>
        <w:tc>
          <w:tcPr>
            <w:tcW w:w="1962" w:type="dxa"/>
          </w:tcPr>
          <w:p>
            <w:pPr>
              <w:pStyle w:val="16"/>
              <w:spacing w:before="5"/>
              <w:ind w:left="16" w:right="91"/>
              <w:jc w:val="center"/>
              <w:rPr>
                <w:color w:val="auto"/>
                <w:sz w:val="24"/>
              </w:rPr>
            </w:pPr>
            <w:r>
              <w:rPr>
                <w:color w:val="auto"/>
                <w:sz w:val="24"/>
              </w:rPr>
              <w:t>招标文件澄清发</w:t>
            </w:r>
          </w:p>
          <w:p>
            <w:pPr>
              <w:pStyle w:val="16"/>
              <w:spacing w:before="67"/>
              <w:ind w:left="80" w:right="158"/>
              <w:jc w:val="center"/>
              <w:rPr>
                <w:color w:val="auto"/>
                <w:sz w:val="24"/>
              </w:rPr>
            </w:pPr>
            <w:r>
              <w:rPr>
                <w:color w:val="auto"/>
                <w:sz w:val="24"/>
              </w:rPr>
              <w:t>出的形式</w:t>
            </w:r>
          </w:p>
        </w:tc>
        <w:tc>
          <w:tcPr>
            <w:tcW w:w="6569" w:type="dxa"/>
          </w:tcPr>
          <w:p>
            <w:pPr>
              <w:pStyle w:val="16"/>
              <w:spacing w:before="5"/>
              <w:ind w:left="107"/>
              <w:rPr>
                <w:color w:val="auto"/>
                <w:sz w:val="24"/>
              </w:rPr>
            </w:pPr>
            <w:r>
              <w:rPr>
                <w:color w:val="auto"/>
                <w:sz w:val="24"/>
              </w:rPr>
              <w:t>发布在广州公共资源交易中心网站，请各潜在投标人密切留</w:t>
            </w:r>
          </w:p>
          <w:p>
            <w:pPr>
              <w:pStyle w:val="16"/>
              <w:spacing w:before="67"/>
              <w:ind w:left="107"/>
              <w:rPr>
                <w:color w:val="auto"/>
                <w:sz w:val="24"/>
              </w:rPr>
            </w:pPr>
            <w:r>
              <w:rPr>
                <w:color w:val="auto"/>
                <w:sz w:val="24"/>
              </w:rPr>
              <w:t>意系统中的公告、项目疑义与澄清等与本工程相关的信息。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8" w:hRule="atLeast"/>
        </w:trPr>
        <w:tc>
          <w:tcPr>
            <w:tcW w:w="1092" w:type="dxa"/>
          </w:tcPr>
          <w:p>
            <w:pPr>
              <w:pStyle w:val="16"/>
              <w:spacing w:before="224"/>
              <w:ind w:left="120" w:right="106"/>
              <w:jc w:val="center"/>
              <w:rPr>
                <w:rFonts w:ascii="Times New Roman"/>
                <w:color w:val="auto"/>
                <w:sz w:val="24"/>
              </w:rPr>
            </w:pPr>
            <w:r>
              <w:rPr>
                <w:rFonts w:ascii="Times New Roman"/>
                <w:color w:val="auto"/>
                <w:sz w:val="24"/>
              </w:rPr>
              <w:t>2.2.3</w:t>
            </w:r>
          </w:p>
        </w:tc>
        <w:tc>
          <w:tcPr>
            <w:tcW w:w="1962" w:type="dxa"/>
          </w:tcPr>
          <w:p>
            <w:pPr>
              <w:pStyle w:val="16"/>
              <w:spacing w:before="18"/>
              <w:ind w:left="82"/>
              <w:rPr>
                <w:color w:val="auto"/>
                <w:sz w:val="24"/>
              </w:rPr>
            </w:pPr>
            <w:r>
              <w:rPr>
                <w:color w:val="auto"/>
                <w:sz w:val="24"/>
              </w:rPr>
              <w:t>投标人确认收到</w:t>
            </w:r>
          </w:p>
          <w:p>
            <w:pPr>
              <w:pStyle w:val="16"/>
              <w:spacing w:before="64"/>
              <w:ind w:left="202"/>
              <w:rPr>
                <w:color w:val="auto"/>
                <w:sz w:val="24"/>
              </w:rPr>
            </w:pPr>
            <w:r>
              <w:rPr>
                <w:color w:val="auto"/>
                <w:sz w:val="24"/>
              </w:rPr>
              <w:t>招标文件澄清</w:t>
            </w:r>
          </w:p>
        </w:tc>
        <w:tc>
          <w:tcPr>
            <w:tcW w:w="6569" w:type="dxa"/>
          </w:tcPr>
          <w:p>
            <w:pPr>
              <w:pStyle w:val="16"/>
              <w:spacing w:before="18"/>
              <w:ind w:left="107"/>
              <w:rPr>
                <w:color w:val="auto"/>
                <w:sz w:val="24"/>
              </w:rPr>
            </w:pPr>
            <w:r>
              <w:rPr>
                <w:color w:val="auto"/>
                <w:sz w:val="24"/>
              </w:rPr>
              <w:t>在广州公共资源交易中心网上答疑专区发布时视为投标人收</w:t>
            </w:r>
          </w:p>
          <w:p>
            <w:pPr>
              <w:pStyle w:val="16"/>
              <w:spacing w:before="64"/>
              <w:ind w:left="107"/>
              <w:rPr>
                <w:color w:val="auto"/>
                <w:sz w:val="24"/>
              </w:rPr>
            </w:pPr>
            <w:r>
              <w:rPr>
                <w:color w:val="auto"/>
                <w:sz w:val="24"/>
              </w:rPr>
              <w:t>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8" w:hRule="atLeast"/>
        </w:trPr>
        <w:tc>
          <w:tcPr>
            <w:tcW w:w="1092" w:type="dxa"/>
          </w:tcPr>
          <w:p>
            <w:pPr>
              <w:pStyle w:val="16"/>
              <w:spacing w:before="224"/>
              <w:ind w:left="120" w:right="106"/>
              <w:jc w:val="center"/>
              <w:rPr>
                <w:rFonts w:ascii="Times New Roman"/>
                <w:color w:val="auto"/>
                <w:sz w:val="24"/>
              </w:rPr>
            </w:pPr>
            <w:r>
              <w:rPr>
                <w:rFonts w:ascii="Times New Roman"/>
                <w:color w:val="auto"/>
                <w:sz w:val="24"/>
              </w:rPr>
              <w:t>2.3.1</w:t>
            </w:r>
          </w:p>
        </w:tc>
        <w:tc>
          <w:tcPr>
            <w:tcW w:w="1962" w:type="dxa"/>
          </w:tcPr>
          <w:p>
            <w:pPr>
              <w:pStyle w:val="16"/>
              <w:spacing w:before="18"/>
              <w:ind w:left="16" w:right="91"/>
              <w:jc w:val="center"/>
              <w:rPr>
                <w:color w:val="auto"/>
                <w:sz w:val="24"/>
              </w:rPr>
            </w:pPr>
            <w:r>
              <w:rPr>
                <w:color w:val="auto"/>
                <w:sz w:val="24"/>
              </w:rPr>
              <w:t>招标文件修改发</w:t>
            </w:r>
          </w:p>
          <w:p>
            <w:pPr>
              <w:pStyle w:val="16"/>
              <w:spacing w:before="65"/>
              <w:ind w:left="80" w:right="158"/>
              <w:jc w:val="center"/>
              <w:rPr>
                <w:color w:val="auto"/>
                <w:sz w:val="24"/>
              </w:rPr>
            </w:pPr>
            <w:r>
              <w:rPr>
                <w:color w:val="auto"/>
                <w:sz w:val="24"/>
              </w:rPr>
              <w:t>出的形式</w:t>
            </w:r>
          </w:p>
        </w:tc>
        <w:tc>
          <w:tcPr>
            <w:tcW w:w="6569" w:type="dxa"/>
          </w:tcPr>
          <w:p>
            <w:pPr>
              <w:pStyle w:val="16"/>
              <w:spacing w:before="18"/>
              <w:ind w:left="107"/>
              <w:rPr>
                <w:color w:val="auto"/>
                <w:sz w:val="24"/>
              </w:rPr>
            </w:pPr>
            <w:r>
              <w:rPr>
                <w:color w:val="auto"/>
                <w:sz w:val="24"/>
              </w:rPr>
              <w:t>发布在广州公共资源交易中心网站，请各潜在投标人密切留</w:t>
            </w:r>
          </w:p>
          <w:p>
            <w:pPr>
              <w:pStyle w:val="16"/>
              <w:spacing w:before="65"/>
              <w:ind w:left="107"/>
              <w:rPr>
                <w:color w:val="auto"/>
                <w:sz w:val="24"/>
              </w:rPr>
            </w:pPr>
            <w:r>
              <w:rPr>
                <w:color w:val="auto"/>
                <w:sz w:val="24"/>
              </w:rPr>
              <w:t>意系统中的公告、项目疑义与澄清等与本工程相关的信息。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092" w:type="dxa"/>
          </w:tcPr>
          <w:p>
            <w:pPr>
              <w:pStyle w:val="16"/>
              <w:spacing w:before="222"/>
              <w:ind w:left="120" w:right="106"/>
              <w:jc w:val="center"/>
              <w:rPr>
                <w:rFonts w:ascii="Times New Roman"/>
                <w:color w:val="auto"/>
                <w:sz w:val="24"/>
              </w:rPr>
            </w:pPr>
            <w:r>
              <w:rPr>
                <w:rFonts w:ascii="Times New Roman"/>
                <w:color w:val="auto"/>
                <w:sz w:val="24"/>
              </w:rPr>
              <w:t>2.3.2</w:t>
            </w:r>
          </w:p>
        </w:tc>
        <w:tc>
          <w:tcPr>
            <w:tcW w:w="1962" w:type="dxa"/>
          </w:tcPr>
          <w:p>
            <w:pPr>
              <w:pStyle w:val="16"/>
              <w:spacing w:before="19"/>
              <w:ind w:left="82"/>
              <w:rPr>
                <w:color w:val="auto"/>
                <w:sz w:val="24"/>
              </w:rPr>
            </w:pPr>
            <w:r>
              <w:rPr>
                <w:color w:val="auto"/>
                <w:sz w:val="24"/>
              </w:rPr>
              <w:t>投标人确认收到</w:t>
            </w:r>
          </w:p>
          <w:p>
            <w:pPr>
              <w:pStyle w:val="16"/>
              <w:spacing w:before="64"/>
              <w:ind w:left="202"/>
              <w:rPr>
                <w:color w:val="auto"/>
                <w:sz w:val="24"/>
              </w:rPr>
            </w:pPr>
            <w:r>
              <w:rPr>
                <w:color w:val="auto"/>
                <w:sz w:val="24"/>
              </w:rPr>
              <w:t>招标文件修改</w:t>
            </w:r>
          </w:p>
        </w:tc>
        <w:tc>
          <w:tcPr>
            <w:tcW w:w="6569" w:type="dxa"/>
          </w:tcPr>
          <w:p>
            <w:pPr>
              <w:pStyle w:val="16"/>
              <w:spacing w:before="19"/>
              <w:ind w:left="107"/>
              <w:rPr>
                <w:color w:val="auto"/>
                <w:sz w:val="24"/>
              </w:rPr>
            </w:pPr>
            <w:r>
              <w:rPr>
                <w:color w:val="auto"/>
                <w:sz w:val="24"/>
              </w:rPr>
              <w:t>在广州公共资源交易中心网上答疑专区发布时视为投标人收</w:t>
            </w:r>
          </w:p>
          <w:p>
            <w:pPr>
              <w:pStyle w:val="16"/>
              <w:spacing w:before="64"/>
              <w:ind w:left="107"/>
              <w:rPr>
                <w:color w:val="auto"/>
                <w:sz w:val="24"/>
              </w:rPr>
            </w:pPr>
            <w:r>
              <w:rPr>
                <w:color w:val="auto"/>
                <w:sz w:val="24"/>
              </w:rPr>
              <w:t>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8" w:hRule="atLeast"/>
        </w:trPr>
        <w:tc>
          <w:tcPr>
            <w:tcW w:w="1092" w:type="dxa"/>
          </w:tcPr>
          <w:p>
            <w:pPr>
              <w:pStyle w:val="16"/>
              <w:spacing w:before="222"/>
              <w:ind w:left="120" w:right="108"/>
              <w:jc w:val="center"/>
              <w:rPr>
                <w:rFonts w:ascii="Times New Roman"/>
                <w:color w:val="auto"/>
                <w:sz w:val="24"/>
              </w:rPr>
            </w:pPr>
            <w:r>
              <w:rPr>
                <w:rFonts w:ascii="Times New Roman"/>
                <w:color w:val="auto"/>
                <w:sz w:val="24"/>
              </w:rPr>
              <w:t>3.1</w:t>
            </w:r>
          </w:p>
        </w:tc>
        <w:tc>
          <w:tcPr>
            <w:tcW w:w="1962" w:type="dxa"/>
          </w:tcPr>
          <w:p>
            <w:pPr>
              <w:pStyle w:val="16"/>
              <w:spacing w:before="204"/>
              <w:ind w:left="16" w:right="91"/>
              <w:jc w:val="center"/>
              <w:rPr>
                <w:color w:val="auto"/>
                <w:sz w:val="24"/>
              </w:rPr>
            </w:pPr>
            <w:r>
              <w:rPr>
                <w:color w:val="auto"/>
                <w:sz w:val="24"/>
              </w:rPr>
              <w:t>投标文件的组成</w:t>
            </w:r>
          </w:p>
        </w:tc>
        <w:tc>
          <w:tcPr>
            <w:tcW w:w="6569" w:type="dxa"/>
          </w:tcPr>
          <w:p>
            <w:pPr>
              <w:pStyle w:val="16"/>
              <w:spacing w:before="204"/>
              <w:ind w:left="107"/>
              <w:rPr>
                <w:color w:val="auto"/>
                <w:sz w:val="24"/>
              </w:rPr>
            </w:pPr>
            <w:r>
              <w:rPr>
                <w:color w:val="auto"/>
                <w:sz w:val="24"/>
              </w:rPr>
              <w:t>见第六章《投标文件格式》要求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8" w:hRule="atLeast"/>
        </w:trPr>
        <w:tc>
          <w:tcPr>
            <w:tcW w:w="1092" w:type="dxa"/>
          </w:tcPr>
          <w:p>
            <w:pPr>
              <w:pStyle w:val="16"/>
              <w:spacing w:before="223"/>
              <w:ind w:left="120" w:right="103"/>
              <w:jc w:val="center"/>
              <w:rPr>
                <w:rFonts w:ascii="Times New Roman"/>
                <w:color w:val="auto"/>
                <w:sz w:val="24"/>
              </w:rPr>
            </w:pPr>
            <w:r>
              <w:rPr>
                <w:rFonts w:ascii="Times New Roman"/>
                <w:color w:val="auto"/>
                <w:sz w:val="24"/>
              </w:rPr>
              <w:t>3.1.1</w:t>
            </w:r>
          </w:p>
        </w:tc>
        <w:tc>
          <w:tcPr>
            <w:tcW w:w="1962" w:type="dxa"/>
          </w:tcPr>
          <w:p>
            <w:pPr>
              <w:pStyle w:val="16"/>
              <w:spacing w:before="17"/>
              <w:ind w:left="16" w:right="91"/>
              <w:jc w:val="center"/>
              <w:rPr>
                <w:color w:val="auto"/>
                <w:sz w:val="24"/>
              </w:rPr>
            </w:pPr>
            <w:r>
              <w:rPr>
                <w:color w:val="auto"/>
                <w:sz w:val="24"/>
              </w:rPr>
              <w:t>构成投标文件的</w:t>
            </w:r>
          </w:p>
          <w:p>
            <w:pPr>
              <w:pStyle w:val="16"/>
              <w:spacing w:before="67"/>
              <w:ind w:left="80" w:right="158"/>
              <w:jc w:val="center"/>
              <w:rPr>
                <w:color w:val="auto"/>
                <w:sz w:val="24"/>
              </w:rPr>
            </w:pPr>
            <w:r>
              <w:rPr>
                <w:color w:val="auto"/>
                <w:sz w:val="24"/>
              </w:rPr>
              <w:t>其他资料</w:t>
            </w:r>
          </w:p>
        </w:tc>
        <w:tc>
          <w:tcPr>
            <w:tcW w:w="6569" w:type="dxa"/>
          </w:tcPr>
          <w:p>
            <w:pPr>
              <w:pStyle w:val="16"/>
              <w:spacing w:before="204"/>
              <w:ind w:left="107"/>
              <w:rPr>
                <w:color w:val="auto"/>
                <w:sz w:val="24"/>
              </w:rPr>
            </w:pPr>
            <w:r>
              <w:rPr>
                <w:color w:val="auto"/>
                <w:sz w:val="24"/>
              </w:rPr>
              <w:t>投标人认为需要补充的其他资料。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1092" w:type="dxa"/>
          </w:tcPr>
          <w:p>
            <w:pPr>
              <w:pStyle w:val="16"/>
              <w:spacing w:before="216"/>
              <w:ind w:left="120" w:right="103"/>
              <w:jc w:val="center"/>
              <w:rPr>
                <w:rFonts w:ascii="Times New Roman"/>
                <w:color w:val="auto"/>
                <w:sz w:val="24"/>
              </w:rPr>
            </w:pPr>
            <w:r>
              <w:rPr>
                <w:rFonts w:ascii="Times New Roman"/>
                <w:color w:val="auto"/>
                <w:sz w:val="24"/>
              </w:rPr>
              <w:t>3.2.1</w:t>
            </w:r>
          </w:p>
        </w:tc>
        <w:tc>
          <w:tcPr>
            <w:tcW w:w="1962" w:type="dxa"/>
          </w:tcPr>
          <w:p>
            <w:pPr>
              <w:pStyle w:val="16"/>
              <w:spacing w:before="10"/>
              <w:ind w:left="16" w:right="91"/>
              <w:jc w:val="center"/>
              <w:rPr>
                <w:color w:val="auto"/>
                <w:sz w:val="24"/>
              </w:rPr>
            </w:pPr>
            <w:r>
              <w:rPr>
                <w:color w:val="auto"/>
                <w:sz w:val="24"/>
              </w:rPr>
              <w:t>增值税税金的计</w:t>
            </w:r>
          </w:p>
          <w:p>
            <w:pPr>
              <w:pStyle w:val="16"/>
              <w:spacing w:before="65"/>
              <w:ind w:left="80" w:right="158"/>
              <w:jc w:val="center"/>
              <w:rPr>
                <w:color w:val="auto"/>
                <w:sz w:val="24"/>
              </w:rPr>
            </w:pPr>
            <w:r>
              <w:rPr>
                <w:color w:val="auto"/>
                <w:sz w:val="24"/>
              </w:rPr>
              <w:t>算方法</w:t>
            </w:r>
          </w:p>
        </w:tc>
        <w:tc>
          <w:tcPr>
            <w:tcW w:w="6569" w:type="dxa"/>
          </w:tcPr>
          <w:p>
            <w:pPr>
              <w:pStyle w:val="16"/>
              <w:spacing w:before="195"/>
              <w:ind w:left="107"/>
              <w:rPr>
                <w:color w:val="auto"/>
                <w:sz w:val="24"/>
              </w:rPr>
            </w:pPr>
            <w:r>
              <w:rPr>
                <w:color w:val="auto"/>
                <w:sz w:val="24"/>
              </w:rPr>
              <w:t>按相关规定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92" w:type="dxa"/>
          </w:tcPr>
          <w:p>
            <w:pPr>
              <w:pStyle w:val="16"/>
              <w:rPr>
                <w:b/>
                <w:color w:val="auto"/>
                <w:sz w:val="26"/>
              </w:rPr>
            </w:pPr>
          </w:p>
          <w:p>
            <w:pPr>
              <w:pStyle w:val="16"/>
              <w:spacing w:before="11"/>
              <w:rPr>
                <w:b/>
                <w:color w:val="auto"/>
                <w:sz w:val="33"/>
              </w:rPr>
            </w:pPr>
          </w:p>
          <w:p>
            <w:pPr>
              <w:pStyle w:val="16"/>
              <w:spacing w:before="1"/>
              <w:ind w:left="120" w:right="103"/>
              <w:jc w:val="center"/>
              <w:rPr>
                <w:rFonts w:ascii="Times New Roman"/>
                <w:color w:val="auto"/>
                <w:sz w:val="24"/>
              </w:rPr>
            </w:pPr>
            <w:r>
              <w:rPr>
                <w:rFonts w:ascii="Times New Roman"/>
                <w:color w:val="auto"/>
                <w:sz w:val="24"/>
              </w:rPr>
              <w:t>3.2.3</w:t>
            </w:r>
          </w:p>
        </w:tc>
        <w:tc>
          <w:tcPr>
            <w:tcW w:w="1962" w:type="dxa"/>
          </w:tcPr>
          <w:p>
            <w:pPr>
              <w:pStyle w:val="16"/>
              <w:rPr>
                <w:b/>
                <w:color w:val="auto"/>
                <w:sz w:val="24"/>
              </w:rPr>
            </w:pPr>
          </w:p>
          <w:p>
            <w:pPr>
              <w:pStyle w:val="16"/>
              <w:spacing w:before="3"/>
              <w:rPr>
                <w:b/>
                <w:color w:val="auto"/>
                <w:sz w:val="34"/>
              </w:rPr>
            </w:pPr>
          </w:p>
          <w:p>
            <w:pPr>
              <w:pStyle w:val="16"/>
              <w:spacing w:before="1"/>
              <w:ind w:left="80" w:right="158"/>
              <w:jc w:val="center"/>
              <w:rPr>
                <w:color w:val="auto"/>
                <w:sz w:val="24"/>
              </w:rPr>
            </w:pPr>
            <w:r>
              <w:rPr>
                <w:color w:val="auto"/>
                <w:sz w:val="24"/>
              </w:rPr>
              <w:t>报价方式</w:t>
            </w:r>
          </w:p>
        </w:tc>
        <w:tc>
          <w:tcPr>
            <w:tcW w:w="6569" w:type="dxa"/>
          </w:tcPr>
          <w:p>
            <w:pPr>
              <w:pStyle w:val="16"/>
              <w:spacing w:before="67"/>
              <w:ind w:left="107"/>
              <w:rPr>
                <w:color w:val="auto"/>
                <w:sz w:val="24"/>
              </w:rPr>
            </w:pPr>
            <w:r>
              <w:rPr>
                <w:rFonts w:hint="eastAsia"/>
                <w:color w:val="auto"/>
                <w:sz w:val="24"/>
              </w:rPr>
              <w:t>本招标项目监理服务费采用固定总价报价方式报价（以</w:t>
            </w:r>
            <w:r>
              <w:rPr>
                <w:rFonts w:hint="eastAsia"/>
                <w:color w:val="auto"/>
                <w:sz w:val="24"/>
                <w:lang w:val="en-US" w:eastAsia="zh-CN"/>
              </w:rPr>
              <w:t>万</w:t>
            </w:r>
            <w:r>
              <w:rPr>
                <w:rFonts w:hint="eastAsia"/>
                <w:color w:val="auto"/>
                <w:sz w:val="24"/>
              </w:rPr>
              <w:t>元为单位）。采用综合费率法计费，并按此计算监理报价下浮率，结算时按中标人投标时的监理报价下浮率结合合同相关条款进行结算）。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1092" w:type="dxa"/>
          </w:tcPr>
          <w:p>
            <w:pPr>
              <w:pStyle w:val="16"/>
              <w:spacing w:before="195"/>
              <w:ind w:left="120" w:right="103"/>
              <w:jc w:val="center"/>
              <w:rPr>
                <w:rFonts w:ascii="Times New Roman"/>
                <w:color w:val="auto"/>
                <w:sz w:val="24"/>
              </w:rPr>
            </w:pPr>
            <w:r>
              <w:rPr>
                <w:rFonts w:ascii="Times New Roman"/>
                <w:color w:val="auto"/>
                <w:sz w:val="24"/>
              </w:rPr>
              <w:t>3.2.4</w:t>
            </w:r>
          </w:p>
        </w:tc>
        <w:tc>
          <w:tcPr>
            <w:tcW w:w="1962" w:type="dxa"/>
          </w:tcPr>
          <w:p>
            <w:pPr>
              <w:pStyle w:val="16"/>
              <w:spacing w:before="177"/>
              <w:ind w:left="78" w:right="158"/>
              <w:jc w:val="center"/>
              <w:rPr>
                <w:color w:val="auto"/>
                <w:sz w:val="24"/>
              </w:rPr>
            </w:pPr>
            <w:r>
              <w:rPr>
                <w:color w:val="auto"/>
                <w:sz w:val="24"/>
              </w:rPr>
              <w:t>最高投标限价</w:t>
            </w:r>
          </w:p>
        </w:tc>
        <w:tc>
          <w:tcPr>
            <w:tcW w:w="6569" w:type="dxa"/>
          </w:tcPr>
          <w:p>
            <w:pPr>
              <w:pStyle w:val="16"/>
              <w:spacing w:before="21"/>
              <w:ind w:left="107"/>
              <w:rPr>
                <w:color w:val="auto"/>
                <w:sz w:val="24"/>
              </w:rPr>
            </w:pPr>
            <w:r>
              <w:rPr>
                <w:color w:val="auto"/>
                <w:sz w:val="21"/>
              </w:rPr>
              <w:t>□</w:t>
            </w:r>
            <w:r>
              <w:rPr>
                <w:color w:val="auto"/>
                <w:sz w:val="24"/>
              </w:rPr>
              <w:t>无</w:t>
            </w:r>
          </w:p>
          <w:p>
            <w:pPr>
              <w:pStyle w:val="16"/>
              <w:spacing w:before="64"/>
              <w:ind w:left="107"/>
              <w:rPr>
                <w:color w:val="auto"/>
                <w:sz w:val="24"/>
              </w:rPr>
            </w:pPr>
            <w:r>
              <w:rPr>
                <w:b/>
                <w:color w:val="auto"/>
                <w:spacing w:val="-200"/>
                <w:w w:val="99"/>
                <w:sz w:val="24"/>
              </w:rPr>
              <w:t>□</w:t>
            </w:r>
            <w:r>
              <w:rPr>
                <w:b/>
                <w:color w:val="auto"/>
                <w:w w:val="100"/>
                <w:position w:val="2"/>
                <w:sz w:val="16"/>
              </w:rPr>
              <w:t>√</w:t>
            </w:r>
            <w:r>
              <w:rPr>
                <w:b/>
                <w:color w:val="auto"/>
                <w:spacing w:val="-43"/>
                <w:position w:val="2"/>
                <w:sz w:val="16"/>
              </w:rPr>
              <w:t xml:space="preserve"> </w:t>
            </w:r>
            <w:r>
              <w:rPr>
                <w:color w:val="auto"/>
                <w:spacing w:val="-7"/>
                <w:sz w:val="24"/>
              </w:rPr>
              <w:t xml:space="preserve">有，最高投标限价 </w:t>
            </w:r>
            <w:r>
              <w:rPr>
                <w:rFonts w:hint="eastAsia"/>
                <w:color w:val="auto"/>
                <w:sz w:val="24"/>
                <w:u w:val="single"/>
                <w:lang w:val="en-US" w:eastAsia="zh-CN"/>
              </w:rPr>
              <w:t>102.58万</w:t>
            </w:r>
            <w:r>
              <w:rPr>
                <w:color w:val="auto"/>
                <w:sz w:val="24"/>
                <w:u w:val="single"/>
              </w:rPr>
              <w:t>元</w:t>
            </w:r>
          </w:p>
        </w:tc>
      </w:tr>
    </w:tbl>
    <w:p>
      <w:pPr>
        <w:spacing w:after="0"/>
        <w:rPr>
          <w:color w:val="auto"/>
          <w:sz w:val="24"/>
        </w:rPr>
        <w:sectPr>
          <w:pgSz w:w="11910" w:h="16840"/>
          <w:pgMar w:top="1400" w:right="1020" w:bottom="820" w:left="1020" w:header="0" w:footer="640" w:gutter="0"/>
          <w:pgBorders>
            <w:top w:val="none" w:sz="0" w:space="0"/>
            <w:left w:val="none" w:sz="0" w:space="0"/>
            <w:bottom w:val="none" w:sz="0" w:space="0"/>
            <w:right w:val="none" w:sz="0" w:space="0"/>
          </w:pgBorders>
          <w:pgNumType w:fmt="decimal"/>
          <w:cols w:space="720" w:num="1"/>
        </w:sectPr>
      </w:pPr>
    </w:p>
    <w:tbl>
      <w:tblPr>
        <w:tblStyle w:val="12"/>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2"/>
        <w:gridCol w:w="1962"/>
        <w:gridCol w:w="6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3" w:hRule="atLeast"/>
        </w:trPr>
        <w:tc>
          <w:tcPr>
            <w:tcW w:w="1092" w:type="dxa"/>
          </w:tcPr>
          <w:p>
            <w:pPr>
              <w:pStyle w:val="16"/>
              <w:spacing w:before="112"/>
              <w:ind w:left="120" w:right="196"/>
              <w:jc w:val="center"/>
              <w:rPr>
                <w:color w:val="auto"/>
                <w:sz w:val="24"/>
              </w:rPr>
            </w:pPr>
            <w:r>
              <w:rPr>
                <w:color w:val="auto"/>
                <w:sz w:val="24"/>
              </w:rPr>
              <w:t>条款号</w:t>
            </w:r>
          </w:p>
        </w:tc>
        <w:tc>
          <w:tcPr>
            <w:tcW w:w="1962" w:type="dxa"/>
          </w:tcPr>
          <w:p>
            <w:pPr>
              <w:pStyle w:val="16"/>
              <w:spacing w:before="112"/>
              <w:ind w:left="80" w:right="158"/>
              <w:jc w:val="center"/>
              <w:rPr>
                <w:color w:val="auto"/>
                <w:sz w:val="24"/>
              </w:rPr>
            </w:pPr>
            <w:r>
              <w:rPr>
                <w:color w:val="auto"/>
                <w:sz w:val="24"/>
              </w:rPr>
              <w:t>条款名称</w:t>
            </w:r>
          </w:p>
        </w:tc>
        <w:tc>
          <w:tcPr>
            <w:tcW w:w="6569" w:type="dxa"/>
          </w:tcPr>
          <w:p>
            <w:pPr>
              <w:pStyle w:val="16"/>
              <w:tabs>
                <w:tab w:val="left" w:pos="491"/>
                <w:tab w:val="left" w:pos="983"/>
                <w:tab w:val="left" w:pos="1475"/>
              </w:tabs>
              <w:spacing w:before="112"/>
              <w:ind w:right="79"/>
              <w:jc w:val="center"/>
              <w:rPr>
                <w:color w:val="auto"/>
                <w:sz w:val="24"/>
              </w:rPr>
            </w:pPr>
            <w:r>
              <w:rPr>
                <w:color w:val="auto"/>
                <w:sz w:val="24"/>
              </w:rPr>
              <w:t>编</w:t>
            </w:r>
            <w:r>
              <w:rPr>
                <w:color w:val="auto"/>
                <w:sz w:val="24"/>
              </w:rPr>
              <w:tab/>
            </w:r>
            <w:r>
              <w:rPr>
                <w:color w:val="auto"/>
                <w:sz w:val="24"/>
              </w:rPr>
              <w:t>列</w:t>
            </w:r>
            <w:r>
              <w:rPr>
                <w:color w:val="auto"/>
                <w:sz w:val="24"/>
              </w:rPr>
              <w:tab/>
            </w:r>
            <w:r>
              <w:rPr>
                <w:color w:val="auto"/>
                <w:sz w:val="24"/>
              </w:rPr>
              <w:t>内</w:t>
            </w:r>
            <w:r>
              <w:rPr>
                <w:color w:val="auto"/>
                <w:sz w:val="24"/>
              </w:rPr>
              <w:tab/>
            </w:r>
            <w:r>
              <w:rPr>
                <w:color w:val="auto"/>
                <w:sz w:val="24"/>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1" w:hRule="atLeast"/>
        </w:trPr>
        <w:tc>
          <w:tcPr>
            <w:tcW w:w="1092" w:type="dxa"/>
          </w:tcPr>
          <w:p>
            <w:pPr>
              <w:pStyle w:val="16"/>
              <w:spacing w:before="8"/>
              <w:rPr>
                <w:b/>
                <w:color w:val="auto"/>
                <w:sz w:val="30"/>
              </w:rPr>
            </w:pPr>
          </w:p>
          <w:p>
            <w:pPr>
              <w:pStyle w:val="16"/>
              <w:ind w:left="120" w:right="103"/>
              <w:jc w:val="center"/>
              <w:rPr>
                <w:rFonts w:ascii="Times New Roman"/>
                <w:color w:val="auto"/>
                <w:sz w:val="24"/>
              </w:rPr>
            </w:pPr>
            <w:r>
              <w:rPr>
                <w:rFonts w:ascii="Times New Roman"/>
                <w:color w:val="auto"/>
                <w:sz w:val="24"/>
              </w:rPr>
              <w:t>3.2.5</w:t>
            </w:r>
          </w:p>
        </w:tc>
        <w:tc>
          <w:tcPr>
            <w:tcW w:w="1962" w:type="dxa"/>
          </w:tcPr>
          <w:p>
            <w:pPr>
              <w:pStyle w:val="16"/>
              <w:spacing w:before="187" w:line="292" w:lineRule="auto"/>
              <w:ind w:left="692" w:right="158" w:hanging="610"/>
              <w:rPr>
                <w:color w:val="auto"/>
                <w:sz w:val="24"/>
              </w:rPr>
            </w:pPr>
            <w:r>
              <w:rPr>
                <w:color w:val="auto"/>
                <w:sz w:val="24"/>
              </w:rPr>
              <w:t>投标报价的其他要求</w:t>
            </w:r>
          </w:p>
        </w:tc>
        <w:tc>
          <w:tcPr>
            <w:tcW w:w="6569" w:type="dxa"/>
          </w:tcPr>
          <w:p>
            <w:pPr>
              <w:pStyle w:val="16"/>
              <w:spacing w:before="2" w:line="290" w:lineRule="auto"/>
              <w:ind w:left="107" w:right="91"/>
              <w:rPr>
                <w:color w:val="auto"/>
                <w:sz w:val="24"/>
              </w:rPr>
            </w:pPr>
            <w:r>
              <w:rPr>
                <w:color w:val="auto"/>
                <w:sz w:val="24"/>
              </w:rPr>
              <w:t>投标人的投标报价包括所有税收、单位应交的保险、应承担的风险及应提供的服务等，招标人不再为本合同范围内的工</w:t>
            </w:r>
          </w:p>
          <w:p>
            <w:pPr>
              <w:pStyle w:val="16"/>
              <w:spacing w:before="3"/>
              <w:ind w:left="107"/>
              <w:rPr>
                <w:color w:val="auto"/>
                <w:sz w:val="24"/>
              </w:rPr>
            </w:pPr>
            <w:r>
              <w:rPr>
                <w:color w:val="auto"/>
                <w:sz w:val="24"/>
              </w:rPr>
              <w:t>作支付额外的费用。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092" w:type="dxa"/>
          </w:tcPr>
          <w:p>
            <w:pPr>
              <w:pStyle w:val="16"/>
              <w:spacing w:before="157"/>
              <w:ind w:left="120" w:right="108"/>
              <w:jc w:val="center"/>
              <w:rPr>
                <w:rFonts w:ascii="Times New Roman"/>
                <w:color w:val="auto"/>
                <w:sz w:val="24"/>
              </w:rPr>
            </w:pPr>
            <w:r>
              <w:rPr>
                <w:rFonts w:ascii="Times New Roman"/>
                <w:color w:val="auto"/>
                <w:sz w:val="24"/>
              </w:rPr>
              <w:t>3.3.1</w:t>
            </w:r>
          </w:p>
        </w:tc>
        <w:tc>
          <w:tcPr>
            <w:tcW w:w="1962" w:type="dxa"/>
          </w:tcPr>
          <w:p>
            <w:pPr>
              <w:pStyle w:val="16"/>
              <w:spacing w:before="136"/>
              <w:ind w:left="80" w:right="158"/>
              <w:jc w:val="center"/>
              <w:rPr>
                <w:color w:val="auto"/>
                <w:sz w:val="24"/>
              </w:rPr>
            </w:pPr>
            <w:r>
              <w:rPr>
                <w:color w:val="auto"/>
                <w:sz w:val="24"/>
              </w:rPr>
              <w:t>投标有效期</w:t>
            </w:r>
          </w:p>
        </w:tc>
        <w:tc>
          <w:tcPr>
            <w:tcW w:w="6569" w:type="dxa"/>
          </w:tcPr>
          <w:p>
            <w:pPr>
              <w:pStyle w:val="16"/>
              <w:spacing w:before="136"/>
              <w:ind w:left="16"/>
              <w:rPr>
                <w:color w:val="auto"/>
                <w:sz w:val="24"/>
              </w:rPr>
            </w:pPr>
            <w:r>
              <w:rPr>
                <w:color w:val="auto"/>
                <w:sz w:val="24"/>
              </w:rPr>
              <w:t>自投标截止时间起,有效期为 90 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38" w:hRule="atLeast"/>
        </w:trPr>
        <w:tc>
          <w:tcPr>
            <w:tcW w:w="1092" w:type="dxa"/>
          </w:tcPr>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spacing w:before="173"/>
              <w:ind w:left="120" w:right="108"/>
              <w:jc w:val="center"/>
              <w:rPr>
                <w:rFonts w:ascii="Times New Roman"/>
                <w:color w:val="auto"/>
                <w:sz w:val="24"/>
              </w:rPr>
            </w:pPr>
            <w:r>
              <w:rPr>
                <w:rFonts w:ascii="Times New Roman"/>
                <w:color w:val="auto"/>
                <w:sz w:val="24"/>
              </w:rPr>
              <w:t>3.4.1</w:t>
            </w:r>
          </w:p>
        </w:tc>
        <w:tc>
          <w:tcPr>
            <w:tcW w:w="1962" w:type="dxa"/>
          </w:tcPr>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spacing w:before="1"/>
              <w:rPr>
                <w:b/>
                <w:color w:val="auto"/>
                <w:sz w:val="20"/>
              </w:rPr>
            </w:pPr>
          </w:p>
          <w:p>
            <w:pPr>
              <w:pStyle w:val="16"/>
              <w:ind w:left="80" w:right="158"/>
              <w:jc w:val="center"/>
              <w:rPr>
                <w:color w:val="auto"/>
                <w:sz w:val="24"/>
              </w:rPr>
            </w:pPr>
            <w:r>
              <w:rPr>
                <w:color w:val="auto"/>
                <w:sz w:val="24"/>
              </w:rPr>
              <w:t>投标保证金</w:t>
            </w:r>
          </w:p>
        </w:tc>
        <w:tc>
          <w:tcPr>
            <w:tcW w:w="6569" w:type="dxa"/>
          </w:tcPr>
          <w:p>
            <w:pPr>
              <w:numPr>
                <w:ilvl w:val="0"/>
                <w:numId w:val="7"/>
              </w:numPr>
              <w:spacing w:line="360" w:lineRule="auto"/>
              <w:ind w:left="218" w:hanging="249" w:hangingChars="104"/>
              <w:rPr>
                <w:rFonts w:hint="eastAsia" w:ascii="宋体" w:hAnsi="宋体" w:cs="宋体"/>
                <w:color w:val="auto"/>
                <w:sz w:val="24"/>
                <w:szCs w:val="24"/>
                <w:lang w:bidi="ar"/>
              </w:rPr>
            </w:pPr>
            <w:r>
              <w:rPr>
                <w:rFonts w:hint="eastAsia" w:ascii="宋体" w:hAnsi="宋体" w:cs="宋体"/>
                <w:color w:val="auto"/>
                <w:sz w:val="24"/>
                <w:szCs w:val="24"/>
                <w:lang w:bidi="ar"/>
              </w:rPr>
              <w:t>投标担保额度：</w:t>
            </w:r>
            <w:r>
              <w:rPr>
                <w:rFonts w:hint="eastAsia" w:cs="宋体"/>
                <w:color w:val="auto"/>
                <w:sz w:val="24"/>
                <w:szCs w:val="24"/>
                <w:u w:val="single"/>
                <w:lang w:val="en-US" w:eastAsia="zh-CN" w:bidi="ar"/>
              </w:rPr>
              <w:t>贰</w:t>
            </w:r>
            <w:r>
              <w:rPr>
                <w:rFonts w:hint="eastAsia" w:ascii="宋体" w:hAnsi="宋体" w:cs="宋体"/>
                <w:color w:val="auto"/>
                <w:sz w:val="24"/>
                <w:szCs w:val="24"/>
                <w:u w:val="single"/>
                <w:lang w:bidi="ar"/>
              </w:rPr>
              <w:t>万元</w:t>
            </w:r>
            <w:r>
              <w:rPr>
                <w:rFonts w:hint="eastAsia" w:ascii="宋体" w:hAnsi="宋体" w:cs="宋体"/>
                <w:color w:val="auto"/>
                <w:sz w:val="24"/>
                <w:szCs w:val="24"/>
                <w:lang w:bidi="ar"/>
              </w:rPr>
              <w:t>，投标单位须按项目提交投标保证金；</w:t>
            </w:r>
          </w:p>
          <w:p>
            <w:pPr>
              <w:numPr>
                <w:ilvl w:val="0"/>
                <w:numId w:val="7"/>
              </w:numPr>
              <w:spacing w:line="360" w:lineRule="auto"/>
              <w:ind w:left="218" w:hanging="249" w:hangingChars="104"/>
              <w:rPr>
                <w:rFonts w:hint="eastAsia" w:ascii="宋体" w:hAnsi="宋体" w:cs="宋体"/>
                <w:bCs/>
                <w:color w:val="auto"/>
                <w:sz w:val="24"/>
                <w:szCs w:val="24"/>
                <w:u w:val="single"/>
              </w:rPr>
            </w:pPr>
            <w:r>
              <w:rPr>
                <w:rFonts w:hint="eastAsia" w:ascii="宋体" w:hAnsi="宋体" w:cs="宋体"/>
                <w:bCs/>
                <w:color w:val="auto"/>
                <w:sz w:val="24"/>
                <w:szCs w:val="24"/>
                <w:u w:val="single"/>
              </w:rPr>
              <w:t>缴纳方式：投标保证金可采用现金、支票、投标保证保险、电子保函、投标保函（银行或专业担保公司出具）的形式，须在递交投标文件截止时间前完成缴纳。投标保证金有效期：与投标有效期一致。</w:t>
            </w:r>
          </w:p>
          <w:p>
            <w:pPr>
              <w:numPr>
                <w:ilvl w:val="0"/>
                <w:numId w:val="7"/>
              </w:numPr>
              <w:spacing w:line="360" w:lineRule="auto"/>
              <w:ind w:left="218" w:hanging="249" w:hangingChars="104"/>
              <w:rPr>
                <w:rFonts w:hint="eastAsia" w:ascii="宋体" w:hAnsi="宋体" w:cs="宋体"/>
                <w:bCs/>
                <w:color w:val="auto"/>
                <w:sz w:val="24"/>
                <w:szCs w:val="24"/>
                <w:u w:val="single"/>
              </w:rPr>
            </w:pPr>
            <w:r>
              <w:rPr>
                <w:rFonts w:hint="eastAsia" w:ascii="宋体" w:hAnsi="宋体" w:cs="宋体"/>
                <w:bCs/>
                <w:color w:val="auto"/>
                <w:sz w:val="24"/>
                <w:szCs w:val="24"/>
                <w:u w:val="single"/>
              </w:rPr>
              <w:t>如采用现金、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numPr>
                <w:ilvl w:val="0"/>
                <w:numId w:val="7"/>
              </w:numPr>
              <w:spacing w:line="360" w:lineRule="auto"/>
              <w:ind w:left="218" w:hanging="249" w:hangingChars="104"/>
              <w:rPr>
                <w:color w:val="auto"/>
                <w:sz w:val="24"/>
              </w:rPr>
            </w:pPr>
            <w:r>
              <w:rPr>
                <w:rFonts w:hint="eastAsia" w:ascii="宋体" w:hAnsi="宋体" w:cs="宋体"/>
                <w:bCs/>
                <w:color w:val="auto"/>
                <w:sz w:val="24"/>
                <w:szCs w:val="24"/>
                <w:u w:val="single"/>
              </w:rPr>
              <w:t>如采用投标保函、投标保证保险形式提交投标保证金的，投标保函或投标保证保险须开具给招标人（保险受益人须为招标人）。开标前可不提交纸质原件，但投标人应在投标文件中提交投标保函或投标保险的扫描件并加盖投标人电子印章，完成评标后，由中标候选人在中标候选人公示前向招标代理单位提交纸质原件并在网上公示。如投标人选择在开标前提交纸质原件的，可在投标截止时间前单独密封递交至开标室。若以交易系统支持的电子保函或电子投标保证保险递交的，到账情况以开标时广州公共资源交易中心数据库查询信息为准。</w:t>
            </w:r>
          </w:p>
          <w:p>
            <w:pPr>
              <w:numPr>
                <w:ilvl w:val="0"/>
                <w:numId w:val="7"/>
              </w:numPr>
              <w:spacing w:line="360" w:lineRule="auto"/>
              <w:ind w:left="218" w:hanging="249" w:hangingChars="104"/>
              <w:rPr>
                <w:color w:val="auto"/>
                <w:sz w:val="24"/>
              </w:rPr>
            </w:pPr>
            <w:r>
              <w:rPr>
                <w:rFonts w:hint="eastAsia" w:ascii="宋体" w:hAnsi="宋体" w:cs="宋体"/>
                <w:bCs/>
                <w:color w:val="auto"/>
                <w:sz w:val="24"/>
                <w:szCs w:val="24"/>
                <w:u w:val="single"/>
              </w:rPr>
              <w:t>本项目允许递交电子保函，具体操作详见广州公共资源交易中心电子保函操作指引（http://ggzy.gz.gov.cn/zxgg/822128.jhtml）</w:t>
            </w:r>
          </w:p>
        </w:tc>
      </w:tr>
    </w:tbl>
    <w:p>
      <w:pPr>
        <w:spacing w:after="0" w:line="299" w:lineRule="exact"/>
        <w:rPr>
          <w:color w:val="auto"/>
          <w:sz w:val="24"/>
        </w:rPr>
        <w:sectPr>
          <w:pgSz w:w="11910" w:h="16840"/>
          <w:pgMar w:top="1400" w:right="1020" w:bottom="820" w:left="1020" w:header="0" w:footer="640" w:gutter="0"/>
          <w:pgBorders>
            <w:top w:val="none" w:sz="0" w:space="0"/>
            <w:left w:val="none" w:sz="0" w:space="0"/>
            <w:bottom w:val="none" w:sz="0" w:space="0"/>
            <w:right w:val="none" w:sz="0" w:space="0"/>
          </w:pgBorders>
          <w:pgNumType w:fmt="decimal"/>
          <w:cols w:space="720" w:num="1"/>
        </w:sectPr>
      </w:pPr>
    </w:p>
    <w:tbl>
      <w:tblPr>
        <w:tblStyle w:val="12"/>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2"/>
        <w:gridCol w:w="1962"/>
        <w:gridCol w:w="6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1092" w:type="dxa"/>
          </w:tcPr>
          <w:p>
            <w:pPr>
              <w:pStyle w:val="16"/>
              <w:spacing w:before="112"/>
              <w:ind w:left="120" w:right="196"/>
              <w:jc w:val="center"/>
              <w:rPr>
                <w:color w:val="auto"/>
                <w:sz w:val="24"/>
              </w:rPr>
            </w:pPr>
            <w:r>
              <w:rPr>
                <w:color w:val="auto"/>
                <w:sz w:val="24"/>
              </w:rPr>
              <w:t>条款号</w:t>
            </w:r>
          </w:p>
        </w:tc>
        <w:tc>
          <w:tcPr>
            <w:tcW w:w="1962" w:type="dxa"/>
          </w:tcPr>
          <w:p>
            <w:pPr>
              <w:pStyle w:val="16"/>
              <w:spacing w:before="112"/>
              <w:ind w:left="80" w:right="158"/>
              <w:jc w:val="center"/>
              <w:rPr>
                <w:color w:val="auto"/>
                <w:sz w:val="24"/>
              </w:rPr>
            </w:pPr>
            <w:r>
              <w:rPr>
                <w:color w:val="auto"/>
                <w:sz w:val="24"/>
              </w:rPr>
              <w:t>条款名称</w:t>
            </w:r>
          </w:p>
        </w:tc>
        <w:tc>
          <w:tcPr>
            <w:tcW w:w="6569" w:type="dxa"/>
          </w:tcPr>
          <w:p>
            <w:pPr>
              <w:pStyle w:val="16"/>
              <w:tabs>
                <w:tab w:val="left" w:pos="491"/>
                <w:tab w:val="left" w:pos="983"/>
                <w:tab w:val="left" w:pos="1475"/>
              </w:tabs>
              <w:spacing w:before="112"/>
              <w:ind w:right="79"/>
              <w:jc w:val="center"/>
              <w:rPr>
                <w:color w:val="auto"/>
                <w:sz w:val="24"/>
              </w:rPr>
            </w:pPr>
            <w:r>
              <w:rPr>
                <w:color w:val="auto"/>
                <w:sz w:val="24"/>
              </w:rPr>
              <w:t>编</w:t>
            </w:r>
            <w:r>
              <w:rPr>
                <w:color w:val="auto"/>
                <w:sz w:val="24"/>
              </w:rPr>
              <w:tab/>
            </w:r>
            <w:r>
              <w:rPr>
                <w:color w:val="auto"/>
                <w:sz w:val="24"/>
              </w:rPr>
              <w:t>列</w:t>
            </w:r>
            <w:r>
              <w:rPr>
                <w:color w:val="auto"/>
                <w:sz w:val="24"/>
              </w:rPr>
              <w:tab/>
            </w:r>
            <w:r>
              <w:rPr>
                <w:color w:val="auto"/>
                <w:sz w:val="24"/>
              </w:rPr>
              <w:t>内</w:t>
            </w:r>
            <w:r>
              <w:rPr>
                <w:color w:val="auto"/>
                <w:sz w:val="24"/>
              </w:rPr>
              <w:tab/>
            </w:r>
            <w:r>
              <w:rPr>
                <w:color w:val="auto"/>
                <w:sz w:val="24"/>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4" w:hRule="atLeast"/>
        </w:trPr>
        <w:tc>
          <w:tcPr>
            <w:tcW w:w="1092" w:type="dxa"/>
          </w:tcPr>
          <w:p>
            <w:pPr>
              <w:pStyle w:val="16"/>
              <w:rPr>
                <w:b/>
                <w:strike w:val="0"/>
                <w:dstrike w:val="0"/>
                <w:color w:val="auto"/>
                <w:sz w:val="26"/>
              </w:rPr>
            </w:pPr>
          </w:p>
          <w:p>
            <w:pPr>
              <w:pStyle w:val="16"/>
              <w:rPr>
                <w:b/>
                <w:strike w:val="0"/>
                <w:dstrike w:val="0"/>
                <w:color w:val="auto"/>
                <w:sz w:val="26"/>
              </w:rPr>
            </w:pPr>
          </w:p>
          <w:p>
            <w:pPr>
              <w:pStyle w:val="16"/>
              <w:spacing w:before="11"/>
              <w:rPr>
                <w:b/>
                <w:strike w:val="0"/>
                <w:dstrike w:val="0"/>
                <w:color w:val="auto"/>
                <w:sz w:val="33"/>
              </w:rPr>
            </w:pPr>
          </w:p>
          <w:p>
            <w:pPr>
              <w:pStyle w:val="16"/>
              <w:ind w:left="120" w:right="108"/>
              <w:jc w:val="center"/>
              <w:rPr>
                <w:rFonts w:ascii="Times New Roman"/>
                <w:strike w:val="0"/>
                <w:dstrike w:val="0"/>
                <w:color w:val="auto"/>
                <w:sz w:val="24"/>
              </w:rPr>
            </w:pPr>
            <w:r>
              <w:rPr>
                <w:rFonts w:ascii="Times New Roman"/>
                <w:strike w:val="0"/>
                <w:dstrike w:val="0"/>
                <w:color w:val="auto"/>
                <w:sz w:val="24"/>
              </w:rPr>
              <w:t>3.4.4</w:t>
            </w:r>
          </w:p>
        </w:tc>
        <w:tc>
          <w:tcPr>
            <w:tcW w:w="1962" w:type="dxa"/>
          </w:tcPr>
          <w:p>
            <w:pPr>
              <w:pStyle w:val="16"/>
              <w:rPr>
                <w:b/>
                <w:strike w:val="0"/>
                <w:dstrike w:val="0"/>
                <w:color w:val="auto"/>
                <w:sz w:val="24"/>
              </w:rPr>
            </w:pPr>
          </w:p>
          <w:p>
            <w:pPr>
              <w:pStyle w:val="16"/>
              <w:spacing w:before="5"/>
              <w:rPr>
                <w:b/>
                <w:strike w:val="0"/>
                <w:dstrike w:val="0"/>
                <w:color w:val="auto"/>
                <w:sz w:val="31"/>
              </w:rPr>
            </w:pPr>
          </w:p>
          <w:p>
            <w:pPr>
              <w:pStyle w:val="16"/>
              <w:spacing w:line="290" w:lineRule="auto"/>
              <w:ind w:left="82" w:right="158"/>
              <w:jc w:val="center"/>
              <w:rPr>
                <w:strike w:val="0"/>
                <w:dstrike w:val="0"/>
                <w:color w:val="auto"/>
                <w:sz w:val="24"/>
              </w:rPr>
            </w:pPr>
            <w:r>
              <w:rPr>
                <w:strike w:val="0"/>
                <w:dstrike w:val="0"/>
                <w:color w:val="auto"/>
                <w:sz w:val="24"/>
              </w:rPr>
              <w:t>其他可以不予退还投标保证金的情形</w:t>
            </w:r>
          </w:p>
        </w:tc>
        <w:tc>
          <w:tcPr>
            <w:tcW w:w="6569" w:type="dxa"/>
          </w:tcPr>
          <w:p>
            <w:pPr>
              <w:pStyle w:val="16"/>
              <w:spacing w:before="148"/>
              <w:ind w:left="765"/>
              <w:rPr>
                <w:strike w:val="0"/>
                <w:dstrike w:val="0"/>
                <w:color w:val="auto"/>
                <w:sz w:val="24"/>
              </w:rPr>
            </w:pPr>
            <w:r>
              <w:rPr>
                <w:strike w:val="0"/>
                <w:dstrike w:val="0"/>
                <w:color w:val="auto"/>
                <w:sz w:val="24"/>
              </w:rPr>
              <w:t>有下列情形之一的，投标保证金将不予退还：</w:t>
            </w:r>
          </w:p>
          <w:p>
            <w:pPr>
              <w:pStyle w:val="16"/>
              <w:numPr>
                <w:ilvl w:val="0"/>
                <w:numId w:val="8"/>
              </w:numPr>
              <w:tabs>
                <w:tab w:val="left" w:pos="709"/>
              </w:tabs>
              <w:spacing w:before="94" w:after="0" w:line="240" w:lineRule="auto"/>
              <w:ind w:left="708" w:right="0" w:hanging="602"/>
              <w:jc w:val="left"/>
              <w:rPr>
                <w:strike w:val="0"/>
                <w:dstrike w:val="0"/>
                <w:color w:val="auto"/>
                <w:sz w:val="24"/>
              </w:rPr>
            </w:pPr>
            <w:r>
              <w:rPr>
                <w:strike w:val="0"/>
                <w:dstrike w:val="0"/>
                <w:color w:val="auto"/>
                <w:sz w:val="24"/>
              </w:rPr>
              <w:t>投标人在规定的投标有效期内修改其投标文件；</w:t>
            </w:r>
          </w:p>
          <w:p>
            <w:pPr>
              <w:pStyle w:val="16"/>
              <w:numPr>
                <w:ilvl w:val="0"/>
                <w:numId w:val="8"/>
              </w:numPr>
              <w:tabs>
                <w:tab w:val="left" w:pos="709"/>
              </w:tabs>
              <w:spacing w:before="90" w:after="0" w:line="312" w:lineRule="auto"/>
              <w:ind w:left="107" w:right="91" w:firstLine="0"/>
              <w:jc w:val="left"/>
              <w:rPr>
                <w:strike w:val="0"/>
                <w:dstrike w:val="0"/>
                <w:color w:val="auto"/>
                <w:sz w:val="24"/>
              </w:rPr>
            </w:pPr>
            <w:r>
              <w:rPr>
                <w:strike w:val="0"/>
                <w:dstrike w:val="0"/>
                <w:color w:val="auto"/>
                <w:spacing w:val="-2"/>
                <w:sz w:val="24"/>
              </w:rPr>
              <w:t>中标人在收到中标通知书后，未在规定时间内与招标人</w:t>
            </w:r>
            <w:r>
              <w:rPr>
                <w:strike w:val="0"/>
                <w:dstrike w:val="0"/>
                <w:color w:val="auto"/>
                <w:sz w:val="24"/>
              </w:rPr>
              <w:t>签订合同；</w:t>
            </w:r>
          </w:p>
          <w:p>
            <w:pPr>
              <w:pStyle w:val="16"/>
              <w:numPr>
                <w:ilvl w:val="0"/>
                <w:numId w:val="8"/>
              </w:numPr>
              <w:tabs>
                <w:tab w:val="left" w:pos="709"/>
              </w:tabs>
              <w:spacing w:before="3" w:after="0" w:line="240" w:lineRule="auto"/>
              <w:ind w:left="708" w:right="0" w:hanging="602"/>
              <w:jc w:val="left"/>
              <w:rPr>
                <w:strike w:val="0"/>
                <w:dstrike w:val="0"/>
                <w:color w:val="auto"/>
                <w:sz w:val="24"/>
              </w:rPr>
            </w:pPr>
            <w:r>
              <w:rPr>
                <w:strike w:val="0"/>
                <w:dstrike w:val="0"/>
                <w:color w:val="auto"/>
                <w:sz w:val="24"/>
              </w:rPr>
              <w:t>投标人在中标候选人公示期间放弃中标候选人资格的；</w:t>
            </w:r>
          </w:p>
          <w:p>
            <w:pPr>
              <w:pStyle w:val="16"/>
              <w:numPr>
                <w:ilvl w:val="0"/>
                <w:numId w:val="8"/>
              </w:numPr>
              <w:tabs>
                <w:tab w:val="left" w:pos="709"/>
              </w:tabs>
              <w:spacing w:before="90" w:after="0" w:line="240" w:lineRule="auto"/>
              <w:ind w:left="708" w:right="0" w:hanging="602"/>
              <w:jc w:val="left"/>
              <w:rPr>
                <w:strike w:val="0"/>
                <w:dstrike w:val="0"/>
                <w:color w:val="auto"/>
                <w:sz w:val="24"/>
              </w:rPr>
            </w:pPr>
            <w:r>
              <w:rPr>
                <w:strike w:val="0"/>
                <w:dstrike w:val="0"/>
                <w:color w:val="auto"/>
                <w:sz w:val="24"/>
              </w:rPr>
              <w:t>投标人在中标后放弃中标资格的。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092" w:type="dxa"/>
          </w:tcPr>
          <w:p>
            <w:pPr>
              <w:pStyle w:val="16"/>
              <w:spacing w:before="8"/>
              <w:rPr>
                <w:b/>
                <w:color w:val="auto"/>
                <w:sz w:val="19"/>
              </w:rPr>
            </w:pPr>
          </w:p>
          <w:p>
            <w:pPr>
              <w:pStyle w:val="16"/>
              <w:ind w:left="120" w:right="108"/>
              <w:jc w:val="center"/>
              <w:rPr>
                <w:rFonts w:ascii="Times New Roman"/>
                <w:color w:val="auto"/>
                <w:sz w:val="24"/>
              </w:rPr>
            </w:pPr>
            <w:r>
              <w:rPr>
                <w:rFonts w:ascii="Times New Roman"/>
                <w:color w:val="auto"/>
                <w:sz w:val="24"/>
              </w:rPr>
              <w:t>3.5</w:t>
            </w:r>
          </w:p>
        </w:tc>
        <w:tc>
          <w:tcPr>
            <w:tcW w:w="1962" w:type="dxa"/>
          </w:tcPr>
          <w:p>
            <w:pPr>
              <w:pStyle w:val="16"/>
              <w:rPr>
                <w:b/>
                <w:color w:val="auto"/>
                <w:sz w:val="18"/>
              </w:rPr>
            </w:pPr>
          </w:p>
          <w:p>
            <w:pPr>
              <w:pStyle w:val="16"/>
              <w:ind w:left="78" w:right="158"/>
              <w:jc w:val="center"/>
              <w:rPr>
                <w:color w:val="auto"/>
                <w:sz w:val="24"/>
              </w:rPr>
            </w:pPr>
            <w:r>
              <w:rPr>
                <w:color w:val="auto"/>
                <w:sz w:val="24"/>
              </w:rPr>
              <w:t>资格审查资料</w:t>
            </w:r>
          </w:p>
        </w:tc>
        <w:tc>
          <w:tcPr>
            <w:tcW w:w="6569" w:type="dxa"/>
          </w:tcPr>
          <w:p>
            <w:pPr>
              <w:pStyle w:val="16"/>
              <w:spacing w:before="11"/>
              <w:rPr>
                <w:b/>
                <w:color w:val="auto"/>
                <w:sz w:val="16"/>
              </w:rPr>
            </w:pPr>
          </w:p>
          <w:p>
            <w:pPr>
              <w:pStyle w:val="16"/>
              <w:spacing w:before="1"/>
              <w:ind w:left="107"/>
              <w:rPr>
                <w:color w:val="auto"/>
                <w:sz w:val="24"/>
              </w:rPr>
            </w:pPr>
            <w:r>
              <w:rPr>
                <w:color w:val="auto"/>
                <w:sz w:val="24"/>
              </w:rPr>
              <w:t>见第六章《投标文件格式 五、资格审查资料》要求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1092" w:type="dxa"/>
          </w:tcPr>
          <w:p>
            <w:pPr>
              <w:pStyle w:val="16"/>
              <w:spacing w:before="6"/>
              <w:rPr>
                <w:b/>
                <w:color w:val="auto"/>
                <w:sz w:val="19"/>
              </w:rPr>
            </w:pPr>
          </w:p>
          <w:p>
            <w:pPr>
              <w:pStyle w:val="16"/>
              <w:spacing w:before="1"/>
              <w:ind w:left="120" w:right="106"/>
              <w:jc w:val="center"/>
              <w:rPr>
                <w:rFonts w:ascii="Times New Roman"/>
                <w:color w:val="auto"/>
                <w:sz w:val="24"/>
              </w:rPr>
            </w:pPr>
            <w:r>
              <w:rPr>
                <w:rFonts w:ascii="Times New Roman"/>
                <w:color w:val="auto"/>
                <w:sz w:val="24"/>
              </w:rPr>
              <w:t>3.5.2</w:t>
            </w:r>
          </w:p>
        </w:tc>
        <w:tc>
          <w:tcPr>
            <w:tcW w:w="1962" w:type="dxa"/>
          </w:tcPr>
          <w:p>
            <w:pPr>
              <w:pStyle w:val="16"/>
              <w:spacing w:before="44" w:line="292" w:lineRule="auto"/>
              <w:ind w:left="447" w:right="158" w:hanging="365"/>
              <w:rPr>
                <w:color w:val="auto"/>
                <w:sz w:val="24"/>
              </w:rPr>
            </w:pPr>
            <w:r>
              <w:rPr>
                <w:color w:val="auto"/>
                <w:sz w:val="24"/>
              </w:rPr>
              <w:t>近年财务状况的年份要求</w:t>
            </w:r>
          </w:p>
        </w:tc>
        <w:tc>
          <w:tcPr>
            <w:tcW w:w="6569" w:type="dxa"/>
          </w:tcPr>
          <w:p>
            <w:pPr>
              <w:pStyle w:val="16"/>
              <w:spacing w:before="1"/>
              <w:rPr>
                <w:b/>
                <w:color w:val="auto"/>
                <w:sz w:val="18"/>
              </w:rPr>
            </w:pPr>
          </w:p>
          <w:p>
            <w:pPr>
              <w:pStyle w:val="16"/>
              <w:ind w:left="107"/>
              <w:rPr>
                <w:b/>
                <w:color w:val="auto"/>
                <w:sz w:val="24"/>
              </w:rPr>
            </w:pPr>
            <w:r>
              <w:rPr>
                <w:b/>
                <w:color w:val="auto"/>
                <w:w w:val="99"/>
                <w:sz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7" w:hRule="atLeast"/>
        </w:trPr>
        <w:tc>
          <w:tcPr>
            <w:tcW w:w="1092" w:type="dxa"/>
          </w:tcPr>
          <w:p>
            <w:pPr>
              <w:pStyle w:val="16"/>
              <w:spacing w:before="10"/>
              <w:rPr>
                <w:b/>
                <w:color w:val="auto"/>
                <w:sz w:val="31"/>
              </w:rPr>
            </w:pPr>
          </w:p>
          <w:p>
            <w:pPr>
              <w:pStyle w:val="16"/>
              <w:ind w:left="120" w:right="106"/>
              <w:jc w:val="center"/>
              <w:rPr>
                <w:rFonts w:ascii="Times New Roman"/>
                <w:color w:val="auto"/>
                <w:sz w:val="24"/>
              </w:rPr>
            </w:pPr>
            <w:r>
              <w:rPr>
                <w:rFonts w:ascii="Times New Roman"/>
                <w:color w:val="auto"/>
                <w:sz w:val="24"/>
              </w:rPr>
              <w:t>3.5.3</w:t>
            </w:r>
          </w:p>
        </w:tc>
        <w:tc>
          <w:tcPr>
            <w:tcW w:w="1962" w:type="dxa"/>
          </w:tcPr>
          <w:p>
            <w:pPr>
              <w:pStyle w:val="16"/>
              <w:spacing w:before="15" w:line="290" w:lineRule="auto"/>
              <w:ind w:left="82" w:right="158"/>
              <w:jc w:val="center"/>
              <w:rPr>
                <w:color w:val="auto"/>
                <w:sz w:val="24"/>
              </w:rPr>
            </w:pPr>
            <w:r>
              <w:rPr>
                <w:color w:val="auto"/>
                <w:sz w:val="24"/>
              </w:rPr>
              <w:t>近年完成的类似项目情况的时间</w:t>
            </w:r>
          </w:p>
          <w:p>
            <w:pPr>
              <w:pStyle w:val="16"/>
              <w:spacing w:before="2"/>
              <w:ind w:left="82" w:right="157"/>
              <w:jc w:val="center"/>
              <w:rPr>
                <w:color w:val="auto"/>
                <w:sz w:val="24"/>
              </w:rPr>
            </w:pPr>
            <w:r>
              <w:rPr>
                <w:color w:val="auto"/>
                <w:sz w:val="24"/>
              </w:rPr>
              <w:t>要求</w:t>
            </w:r>
          </w:p>
        </w:tc>
        <w:tc>
          <w:tcPr>
            <w:tcW w:w="6569" w:type="dxa"/>
          </w:tcPr>
          <w:p>
            <w:pPr>
              <w:pStyle w:val="16"/>
              <w:spacing w:before="5"/>
              <w:rPr>
                <w:b/>
                <w:color w:val="auto"/>
                <w:sz w:val="30"/>
              </w:rPr>
            </w:pPr>
          </w:p>
          <w:p>
            <w:pPr>
              <w:pStyle w:val="16"/>
              <w:ind w:left="107"/>
              <w:rPr>
                <w:b/>
                <w:color w:val="auto"/>
                <w:sz w:val="24"/>
              </w:rPr>
            </w:pPr>
            <w:r>
              <w:rPr>
                <w:b/>
                <w:color w:val="auto"/>
                <w:w w:val="99"/>
                <w:sz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6" w:hRule="atLeast"/>
        </w:trPr>
        <w:tc>
          <w:tcPr>
            <w:tcW w:w="1092" w:type="dxa"/>
          </w:tcPr>
          <w:p>
            <w:pPr>
              <w:pStyle w:val="16"/>
              <w:spacing w:before="11"/>
              <w:rPr>
                <w:b/>
                <w:color w:val="auto"/>
                <w:sz w:val="31"/>
              </w:rPr>
            </w:pPr>
          </w:p>
          <w:p>
            <w:pPr>
              <w:pStyle w:val="16"/>
              <w:ind w:left="120" w:right="106"/>
              <w:jc w:val="center"/>
              <w:rPr>
                <w:rFonts w:ascii="Times New Roman"/>
                <w:color w:val="auto"/>
                <w:sz w:val="24"/>
              </w:rPr>
            </w:pPr>
            <w:r>
              <w:rPr>
                <w:rFonts w:ascii="Times New Roman"/>
                <w:color w:val="auto"/>
                <w:sz w:val="24"/>
              </w:rPr>
              <w:t>3.5.5</w:t>
            </w:r>
          </w:p>
        </w:tc>
        <w:tc>
          <w:tcPr>
            <w:tcW w:w="1962" w:type="dxa"/>
          </w:tcPr>
          <w:p>
            <w:pPr>
              <w:pStyle w:val="16"/>
              <w:spacing w:before="16" w:line="290" w:lineRule="auto"/>
              <w:ind w:left="82" w:right="158"/>
              <w:jc w:val="center"/>
              <w:rPr>
                <w:color w:val="auto"/>
                <w:sz w:val="24"/>
              </w:rPr>
            </w:pPr>
            <w:r>
              <w:rPr>
                <w:color w:val="auto"/>
                <w:sz w:val="24"/>
              </w:rPr>
              <w:t>近年发生的诉讼及仲裁情况的时</w:t>
            </w:r>
          </w:p>
          <w:p>
            <w:pPr>
              <w:pStyle w:val="16"/>
              <w:spacing w:before="2"/>
              <w:ind w:left="80" w:right="158"/>
              <w:jc w:val="center"/>
              <w:rPr>
                <w:color w:val="auto"/>
                <w:sz w:val="24"/>
              </w:rPr>
            </w:pPr>
            <w:r>
              <w:rPr>
                <w:color w:val="auto"/>
                <w:sz w:val="24"/>
              </w:rPr>
              <w:t>间要求</w:t>
            </w:r>
          </w:p>
        </w:tc>
        <w:tc>
          <w:tcPr>
            <w:tcW w:w="6569" w:type="dxa"/>
          </w:tcPr>
          <w:p>
            <w:pPr>
              <w:pStyle w:val="16"/>
              <w:spacing w:before="3"/>
              <w:rPr>
                <w:b/>
                <w:color w:val="auto"/>
                <w:sz w:val="30"/>
              </w:rPr>
            </w:pPr>
          </w:p>
          <w:p>
            <w:pPr>
              <w:pStyle w:val="16"/>
              <w:ind w:left="107"/>
              <w:rPr>
                <w:b/>
                <w:color w:val="auto"/>
                <w:sz w:val="24"/>
              </w:rPr>
            </w:pPr>
            <w:r>
              <w:rPr>
                <w:b/>
                <w:color w:val="auto"/>
                <w:w w:val="99"/>
                <w:sz w:val="24"/>
              </w:rPr>
              <w:t>无</w:t>
            </w:r>
          </w:p>
        </w:tc>
      </w:tr>
    </w:tbl>
    <w:p>
      <w:pPr>
        <w:spacing w:after="0"/>
        <w:rPr>
          <w:color w:val="auto"/>
          <w:sz w:val="24"/>
        </w:rPr>
        <w:sectPr>
          <w:pgSz w:w="11910" w:h="16840"/>
          <w:pgMar w:top="1400" w:right="1020" w:bottom="820" w:left="1020" w:header="0" w:footer="640" w:gutter="0"/>
          <w:pgBorders>
            <w:top w:val="none" w:sz="0" w:space="0"/>
            <w:left w:val="none" w:sz="0" w:space="0"/>
            <w:bottom w:val="none" w:sz="0" w:space="0"/>
            <w:right w:val="none" w:sz="0" w:space="0"/>
          </w:pgBorders>
          <w:pgNumType w:fmt="decimal"/>
          <w:cols w:space="720" w:num="1"/>
        </w:sectPr>
      </w:pPr>
    </w:p>
    <w:tbl>
      <w:tblPr>
        <w:tblStyle w:val="12"/>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2"/>
        <w:gridCol w:w="1962"/>
        <w:gridCol w:w="6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1092" w:type="dxa"/>
          </w:tcPr>
          <w:p>
            <w:pPr>
              <w:pStyle w:val="16"/>
              <w:spacing w:before="112"/>
              <w:ind w:left="135"/>
              <w:rPr>
                <w:color w:val="auto"/>
                <w:sz w:val="24"/>
              </w:rPr>
            </w:pPr>
            <w:r>
              <w:rPr>
                <w:color w:val="auto"/>
                <w:sz w:val="24"/>
              </w:rPr>
              <w:t>条款号</w:t>
            </w:r>
          </w:p>
        </w:tc>
        <w:tc>
          <w:tcPr>
            <w:tcW w:w="1962" w:type="dxa"/>
          </w:tcPr>
          <w:p>
            <w:pPr>
              <w:pStyle w:val="16"/>
              <w:spacing w:before="112"/>
              <w:ind w:left="80" w:right="158"/>
              <w:jc w:val="center"/>
              <w:rPr>
                <w:color w:val="auto"/>
                <w:sz w:val="24"/>
              </w:rPr>
            </w:pPr>
            <w:r>
              <w:rPr>
                <w:color w:val="auto"/>
                <w:sz w:val="24"/>
              </w:rPr>
              <w:t>条款名称</w:t>
            </w:r>
          </w:p>
        </w:tc>
        <w:tc>
          <w:tcPr>
            <w:tcW w:w="6569" w:type="dxa"/>
          </w:tcPr>
          <w:p>
            <w:pPr>
              <w:pStyle w:val="16"/>
              <w:tabs>
                <w:tab w:val="left" w:pos="491"/>
                <w:tab w:val="left" w:pos="983"/>
                <w:tab w:val="left" w:pos="1475"/>
              </w:tabs>
              <w:spacing w:before="112"/>
              <w:ind w:right="79"/>
              <w:jc w:val="center"/>
              <w:rPr>
                <w:color w:val="auto"/>
                <w:sz w:val="24"/>
              </w:rPr>
            </w:pPr>
            <w:r>
              <w:rPr>
                <w:color w:val="auto"/>
                <w:sz w:val="24"/>
              </w:rPr>
              <w:t>编</w:t>
            </w:r>
            <w:r>
              <w:rPr>
                <w:color w:val="auto"/>
                <w:sz w:val="24"/>
              </w:rPr>
              <w:tab/>
            </w:r>
            <w:r>
              <w:rPr>
                <w:color w:val="auto"/>
                <w:sz w:val="24"/>
              </w:rPr>
              <w:t>列</w:t>
            </w:r>
            <w:r>
              <w:rPr>
                <w:color w:val="auto"/>
                <w:sz w:val="24"/>
              </w:rPr>
              <w:tab/>
            </w:r>
            <w:r>
              <w:rPr>
                <w:color w:val="auto"/>
                <w:sz w:val="24"/>
              </w:rPr>
              <w:t>内</w:t>
            </w:r>
            <w:r>
              <w:rPr>
                <w:color w:val="auto"/>
                <w:sz w:val="24"/>
              </w:rPr>
              <w:tab/>
            </w:r>
            <w:r>
              <w:rPr>
                <w:color w:val="auto"/>
                <w:sz w:val="24"/>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2" w:type="dxa"/>
          </w:tcPr>
          <w:p>
            <w:pPr>
              <w:pStyle w:val="16"/>
              <w:rPr>
                <w:b/>
                <w:color w:val="auto"/>
                <w:sz w:val="19"/>
              </w:rPr>
            </w:pPr>
          </w:p>
          <w:p>
            <w:pPr>
              <w:pStyle w:val="16"/>
              <w:ind w:left="301"/>
              <w:rPr>
                <w:rFonts w:ascii="Times New Roman"/>
                <w:color w:val="auto"/>
                <w:sz w:val="24"/>
              </w:rPr>
            </w:pPr>
            <w:r>
              <w:rPr>
                <w:rFonts w:ascii="Times New Roman"/>
                <w:color w:val="auto"/>
                <w:sz w:val="24"/>
              </w:rPr>
              <w:t>3.6.1</w:t>
            </w:r>
          </w:p>
        </w:tc>
        <w:tc>
          <w:tcPr>
            <w:tcW w:w="1962" w:type="dxa"/>
          </w:tcPr>
          <w:p>
            <w:pPr>
              <w:pStyle w:val="16"/>
              <w:spacing w:before="38" w:line="292" w:lineRule="auto"/>
              <w:ind w:left="325" w:right="158" w:hanging="243"/>
              <w:rPr>
                <w:color w:val="auto"/>
                <w:sz w:val="24"/>
              </w:rPr>
            </w:pPr>
            <w:r>
              <w:rPr>
                <w:color w:val="auto"/>
                <w:sz w:val="24"/>
              </w:rPr>
              <w:t>是否允许递交备选投标方案</w:t>
            </w:r>
          </w:p>
        </w:tc>
        <w:tc>
          <w:tcPr>
            <w:tcW w:w="6569" w:type="dxa"/>
          </w:tcPr>
          <w:p>
            <w:pPr>
              <w:pStyle w:val="16"/>
              <w:spacing w:before="38"/>
              <w:ind w:left="107"/>
              <w:rPr>
                <w:color w:val="auto"/>
                <w:sz w:val="24"/>
              </w:rPr>
            </w:pPr>
            <w:r>
              <w:rPr>
                <w:b/>
                <w:color w:val="auto"/>
                <w:spacing w:val="-200"/>
                <w:w w:val="99"/>
                <w:sz w:val="24"/>
              </w:rPr>
              <w:t>□</w:t>
            </w:r>
            <w:r>
              <w:rPr>
                <w:b/>
                <w:color w:val="auto"/>
                <w:w w:val="100"/>
                <w:position w:val="2"/>
                <w:sz w:val="16"/>
              </w:rPr>
              <w:t>√</w:t>
            </w:r>
            <w:r>
              <w:rPr>
                <w:b/>
                <w:color w:val="auto"/>
                <w:spacing w:val="-43"/>
                <w:position w:val="2"/>
                <w:sz w:val="16"/>
              </w:rPr>
              <w:t xml:space="preserve"> </w:t>
            </w:r>
            <w:r>
              <w:rPr>
                <w:color w:val="auto"/>
                <w:sz w:val="24"/>
              </w:rPr>
              <w:t>不允许</w:t>
            </w:r>
          </w:p>
          <w:p>
            <w:pPr>
              <w:pStyle w:val="16"/>
              <w:spacing w:before="67"/>
              <w:ind w:left="107"/>
              <w:rPr>
                <w:color w:val="auto"/>
                <w:sz w:val="24"/>
              </w:rPr>
            </w:pPr>
            <w:r>
              <w:rPr>
                <w:color w:val="auto"/>
                <w:sz w:val="24"/>
              </w:rPr>
              <w:t>□允许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trPr>
        <w:tc>
          <w:tcPr>
            <w:tcW w:w="1092" w:type="dxa"/>
          </w:tcPr>
          <w:p>
            <w:pPr>
              <w:pStyle w:val="16"/>
              <w:rPr>
                <w:b/>
                <w:color w:val="auto"/>
                <w:sz w:val="22"/>
              </w:rPr>
            </w:pPr>
          </w:p>
          <w:p>
            <w:pPr>
              <w:pStyle w:val="16"/>
              <w:rPr>
                <w:b/>
                <w:color w:val="auto"/>
                <w:sz w:val="22"/>
              </w:rPr>
            </w:pPr>
          </w:p>
          <w:p>
            <w:pPr>
              <w:pStyle w:val="16"/>
              <w:spacing w:before="7"/>
              <w:rPr>
                <w:b/>
                <w:color w:val="auto"/>
                <w:sz w:val="17"/>
              </w:rPr>
            </w:pPr>
          </w:p>
          <w:p>
            <w:pPr>
              <w:pStyle w:val="16"/>
              <w:ind w:left="130"/>
              <w:rPr>
                <w:rFonts w:ascii="Times New Roman"/>
                <w:color w:val="auto"/>
                <w:sz w:val="21"/>
              </w:rPr>
            </w:pPr>
            <w:r>
              <w:rPr>
                <w:rFonts w:ascii="Times New Roman"/>
                <w:color w:val="auto"/>
                <w:sz w:val="21"/>
              </w:rPr>
              <w:t>3.7.3A(2)</w:t>
            </w:r>
          </w:p>
        </w:tc>
        <w:tc>
          <w:tcPr>
            <w:tcW w:w="1962" w:type="dxa"/>
          </w:tcPr>
          <w:p>
            <w:pPr>
              <w:pStyle w:val="16"/>
              <w:rPr>
                <w:b/>
                <w:color w:val="auto"/>
                <w:sz w:val="24"/>
              </w:rPr>
            </w:pPr>
          </w:p>
          <w:p>
            <w:pPr>
              <w:pStyle w:val="16"/>
              <w:spacing w:before="11"/>
              <w:rPr>
                <w:b/>
                <w:color w:val="auto"/>
                <w:sz w:val="19"/>
              </w:rPr>
            </w:pPr>
          </w:p>
          <w:p>
            <w:pPr>
              <w:pStyle w:val="16"/>
              <w:spacing w:line="290" w:lineRule="auto"/>
              <w:ind w:left="202" w:right="158" w:hanging="120"/>
              <w:rPr>
                <w:color w:val="auto"/>
                <w:sz w:val="24"/>
              </w:rPr>
            </w:pPr>
            <w:r>
              <w:rPr>
                <w:color w:val="auto"/>
                <w:sz w:val="24"/>
              </w:rPr>
              <w:t>投标文件副本份数及其他要求</w:t>
            </w:r>
          </w:p>
        </w:tc>
        <w:tc>
          <w:tcPr>
            <w:tcW w:w="6569" w:type="dxa"/>
          </w:tcPr>
          <w:p>
            <w:pPr>
              <w:pStyle w:val="16"/>
              <w:spacing w:before="3"/>
              <w:ind w:left="107"/>
              <w:rPr>
                <w:color w:val="auto"/>
                <w:sz w:val="24"/>
              </w:rPr>
            </w:pPr>
            <w:r>
              <w:rPr>
                <w:color w:val="auto"/>
                <w:sz w:val="24"/>
              </w:rPr>
              <w:t>1、投标文件副本份数：4 份</w:t>
            </w:r>
          </w:p>
          <w:p>
            <w:pPr>
              <w:pStyle w:val="16"/>
              <w:spacing w:before="65" w:line="292" w:lineRule="auto"/>
              <w:ind w:left="107" w:right="36"/>
              <w:rPr>
                <w:b/>
                <w:color w:val="auto"/>
                <w:sz w:val="24"/>
              </w:rPr>
            </w:pPr>
            <w:r>
              <w:rPr>
                <w:color w:val="auto"/>
                <w:sz w:val="24"/>
              </w:rPr>
              <w:t>2、是否要求提交电子版文件：是</w:t>
            </w:r>
            <w:r>
              <w:rPr>
                <w:b/>
                <w:color w:val="auto"/>
                <w:sz w:val="24"/>
              </w:rPr>
              <w:t>（U 盘，以 Word 电子文档及 PDF 扫描件形式）</w:t>
            </w:r>
          </w:p>
          <w:p>
            <w:pPr>
              <w:pStyle w:val="16"/>
              <w:spacing w:line="304" w:lineRule="exact"/>
              <w:ind w:left="107"/>
              <w:rPr>
                <w:color w:val="auto"/>
                <w:sz w:val="24"/>
              </w:rPr>
            </w:pPr>
            <w:r>
              <w:rPr>
                <w:color w:val="auto"/>
                <w:sz w:val="24"/>
              </w:rPr>
              <w:t>3、其他要求：副本可采用签名盖章后的正本复印件，并在封</w:t>
            </w:r>
          </w:p>
          <w:p>
            <w:pPr>
              <w:pStyle w:val="16"/>
              <w:spacing w:before="66"/>
              <w:ind w:left="107"/>
              <w:rPr>
                <w:color w:val="auto"/>
                <w:sz w:val="24"/>
              </w:rPr>
            </w:pPr>
            <w:r>
              <w:rPr>
                <w:color w:val="auto"/>
                <w:sz w:val="24"/>
              </w:rPr>
              <w:t>面加盖投标人公章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1092" w:type="dxa"/>
          </w:tcPr>
          <w:p>
            <w:pPr>
              <w:pStyle w:val="16"/>
              <w:spacing w:before="85"/>
              <w:ind w:left="166"/>
              <w:rPr>
                <w:rFonts w:ascii="Times New Roman"/>
                <w:color w:val="auto"/>
                <w:sz w:val="24"/>
              </w:rPr>
            </w:pPr>
            <w:r>
              <w:rPr>
                <w:rFonts w:ascii="Times New Roman"/>
                <w:color w:val="auto"/>
                <w:sz w:val="24"/>
              </w:rPr>
              <w:t>3.7.3A</w:t>
            </w:r>
          </w:p>
          <w:p>
            <w:pPr>
              <w:pStyle w:val="16"/>
              <w:spacing w:before="56"/>
              <w:ind w:left="195"/>
              <w:rPr>
                <w:color w:val="auto"/>
                <w:sz w:val="24"/>
              </w:rPr>
            </w:pPr>
            <w:r>
              <w:rPr>
                <w:color w:val="auto"/>
                <w:spacing w:val="2"/>
                <w:sz w:val="24"/>
              </w:rPr>
              <w:t>（</w:t>
            </w:r>
            <w:r>
              <w:rPr>
                <w:rFonts w:ascii="Times New Roman" w:eastAsia="Times New Roman"/>
                <w:color w:val="auto"/>
                <w:spacing w:val="2"/>
                <w:sz w:val="24"/>
              </w:rPr>
              <w:t>3</w:t>
            </w:r>
            <w:r>
              <w:rPr>
                <w:color w:val="auto"/>
                <w:spacing w:val="2"/>
                <w:sz w:val="24"/>
              </w:rPr>
              <w:t>）</w:t>
            </w:r>
          </w:p>
        </w:tc>
        <w:tc>
          <w:tcPr>
            <w:tcW w:w="1962" w:type="dxa"/>
          </w:tcPr>
          <w:p>
            <w:pPr>
              <w:pStyle w:val="16"/>
              <w:spacing w:before="64" w:line="292" w:lineRule="auto"/>
              <w:ind w:left="447" w:right="158" w:hanging="365"/>
              <w:rPr>
                <w:color w:val="auto"/>
                <w:sz w:val="24"/>
              </w:rPr>
            </w:pPr>
            <w:r>
              <w:rPr>
                <w:color w:val="auto"/>
                <w:sz w:val="24"/>
              </w:rPr>
              <w:t>投标文件是否需分册装订</w:t>
            </w:r>
          </w:p>
        </w:tc>
        <w:tc>
          <w:tcPr>
            <w:tcW w:w="6569" w:type="dxa"/>
          </w:tcPr>
          <w:p>
            <w:pPr>
              <w:pStyle w:val="16"/>
              <w:spacing w:before="64"/>
              <w:ind w:left="16"/>
              <w:rPr>
                <w:color w:val="auto"/>
                <w:sz w:val="24"/>
              </w:rPr>
            </w:pPr>
            <w:r>
              <w:rPr>
                <w:b/>
                <w:color w:val="auto"/>
                <w:spacing w:val="-200"/>
                <w:w w:val="99"/>
                <w:sz w:val="24"/>
              </w:rPr>
              <w:t>□</w:t>
            </w:r>
            <w:r>
              <w:rPr>
                <w:b/>
                <w:color w:val="auto"/>
                <w:w w:val="100"/>
                <w:position w:val="2"/>
                <w:sz w:val="16"/>
              </w:rPr>
              <w:t>√</w:t>
            </w:r>
            <w:r>
              <w:rPr>
                <w:b/>
                <w:color w:val="auto"/>
                <w:spacing w:val="-43"/>
                <w:position w:val="2"/>
                <w:sz w:val="16"/>
              </w:rPr>
              <w:t xml:space="preserve"> </w:t>
            </w:r>
            <w:r>
              <w:rPr>
                <w:color w:val="auto"/>
                <w:spacing w:val="2"/>
                <w:sz w:val="24"/>
              </w:rPr>
              <w:t>不需要</w:t>
            </w:r>
          </w:p>
          <w:p>
            <w:pPr>
              <w:pStyle w:val="16"/>
              <w:spacing w:before="67"/>
              <w:ind w:left="16"/>
              <w:rPr>
                <w:color w:val="auto"/>
                <w:sz w:val="24"/>
              </w:rPr>
            </w:pPr>
            <w:r>
              <w:rPr>
                <w:color w:val="auto"/>
                <w:sz w:val="24"/>
              </w:rPr>
              <w:t>□需要，分册装订要求：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1092" w:type="dxa"/>
          </w:tcPr>
          <w:p>
            <w:pPr>
              <w:pStyle w:val="16"/>
              <w:spacing w:before="12"/>
              <w:rPr>
                <w:b/>
                <w:color w:val="auto"/>
                <w:sz w:val="35"/>
              </w:rPr>
            </w:pPr>
          </w:p>
          <w:p>
            <w:pPr>
              <w:pStyle w:val="16"/>
              <w:spacing w:before="1"/>
              <w:ind w:left="120" w:right="111"/>
              <w:jc w:val="center"/>
              <w:rPr>
                <w:rFonts w:ascii="Times New Roman"/>
                <w:color w:val="auto"/>
                <w:sz w:val="24"/>
              </w:rPr>
            </w:pPr>
            <w:r>
              <w:rPr>
                <w:rFonts w:ascii="Times New Roman"/>
                <w:color w:val="auto"/>
                <w:sz w:val="24"/>
              </w:rPr>
              <w:t>4.1</w:t>
            </w:r>
          </w:p>
        </w:tc>
        <w:tc>
          <w:tcPr>
            <w:tcW w:w="1962" w:type="dxa"/>
          </w:tcPr>
          <w:p>
            <w:pPr>
              <w:pStyle w:val="16"/>
              <w:spacing w:before="4"/>
              <w:rPr>
                <w:b/>
                <w:color w:val="auto"/>
                <w:sz w:val="32"/>
              </w:rPr>
            </w:pPr>
          </w:p>
          <w:p>
            <w:pPr>
              <w:pStyle w:val="16"/>
              <w:ind w:left="16" w:right="91"/>
              <w:jc w:val="center"/>
              <w:rPr>
                <w:color w:val="auto"/>
                <w:sz w:val="24"/>
              </w:rPr>
            </w:pPr>
            <w:r>
              <w:rPr>
                <w:color w:val="auto"/>
                <w:sz w:val="24"/>
              </w:rPr>
              <w:t>投标文件的密封</w:t>
            </w:r>
          </w:p>
        </w:tc>
        <w:tc>
          <w:tcPr>
            <w:tcW w:w="6569" w:type="dxa"/>
          </w:tcPr>
          <w:p>
            <w:pPr>
              <w:pStyle w:val="16"/>
              <w:spacing w:before="80"/>
              <w:ind w:left="107" w:right="-29"/>
              <w:rPr>
                <w:color w:val="auto"/>
                <w:sz w:val="24"/>
              </w:rPr>
            </w:pPr>
            <w:r>
              <w:rPr>
                <w:color w:val="auto"/>
                <w:sz w:val="24"/>
              </w:rPr>
              <w:t>投标文件的</w:t>
            </w:r>
            <w:r>
              <w:rPr>
                <w:color w:val="auto"/>
                <w:spacing w:val="-10"/>
                <w:sz w:val="24"/>
              </w:rPr>
              <w:t>正本与副本、电子投标文件密封包装于一袋</w:t>
            </w:r>
            <w:r>
              <w:rPr>
                <w:color w:val="auto"/>
                <w:sz w:val="24"/>
              </w:rPr>
              <w:t>（包</w:t>
            </w:r>
            <w:r>
              <w:rPr>
                <w:color w:val="auto"/>
                <w:spacing w:val="-127"/>
                <w:sz w:val="24"/>
              </w:rPr>
              <w:t>）</w:t>
            </w:r>
            <w:r>
              <w:rPr>
                <w:color w:val="auto"/>
                <w:spacing w:val="-7"/>
                <w:sz w:val="24"/>
              </w:rPr>
              <w:t>，</w:t>
            </w:r>
          </w:p>
          <w:p>
            <w:pPr>
              <w:pStyle w:val="16"/>
              <w:spacing w:before="1" w:line="400" w:lineRule="atLeast"/>
              <w:ind w:left="107" w:right="204"/>
              <w:rPr>
                <w:color w:val="auto"/>
                <w:sz w:val="24"/>
              </w:rPr>
            </w:pPr>
            <w:r>
              <w:rPr>
                <w:color w:val="auto"/>
                <w:sz w:val="24"/>
              </w:rPr>
              <w:t>加贴封条，外包装材料不应留有可在包封后添加或抽取投标文件的空隙，并在封套的封口处加盖投标人单位章。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trPr>
        <w:tc>
          <w:tcPr>
            <w:tcW w:w="1092" w:type="dxa"/>
          </w:tcPr>
          <w:p>
            <w:pPr>
              <w:pStyle w:val="16"/>
              <w:rPr>
                <w:b/>
                <w:color w:val="auto"/>
                <w:sz w:val="26"/>
              </w:rPr>
            </w:pPr>
          </w:p>
          <w:p>
            <w:pPr>
              <w:pStyle w:val="16"/>
              <w:spacing w:before="9"/>
              <w:rPr>
                <w:b/>
                <w:color w:val="auto"/>
                <w:sz w:val="33"/>
              </w:rPr>
            </w:pPr>
          </w:p>
          <w:p>
            <w:pPr>
              <w:pStyle w:val="16"/>
              <w:ind w:left="301"/>
              <w:rPr>
                <w:rFonts w:ascii="Times New Roman"/>
                <w:color w:val="auto"/>
                <w:sz w:val="24"/>
              </w:rPr>
            </w:pPr>
            <w:r>
              <w:rPr>
                <w:rFonts w:ascii="Times New Roman"/>
                <w:color w:val="auto"/>
                <w:sz w:val="24"/>
              </w:rPr>
              <w:t>4.1.2</w:t>
            </w:r>
          </w:p>
        </w:tc>
        <w:tc>
          <w:tcPr>
            <w:tcW w:w="1962" w:type="dxa"/>
          </w:tcPr>
          <w:p>
            <w:pPr>
              <w:pStyle w:val="16"/>
              <w:rPr>
                <w:b/>
                <w:color w:val="auto"/>
                <w:sz w:val="24"/>
              </w:rPr>
            </w:pPr>
          </w:p>
          <w:p>
            <w:pPr>
              <w:pStyle w:val="16"/>
              <w:spacing w:before="11"/>
              <w:rPr>
                <w:b/>
                <w:color w:val="auto"/>
                <w:sz w:val="19"/>
              </w:rPr>
            </w:pPr>
          </w:p>
          <w:p>
            <w:pPr>
              <w:pStyle w:val="16"/>
              <w:spacing w:line="290" w:lineRule="auto"/>
              <w:ind w:left="692" w:right="158" w:hanging="610"/>
              <w:rPr>
                <w:color w:val="auto"/>
                <w:sz w:val="24"/>
              </w:rPr>
            </w:pPr>
            <w:r>
              <w:rPr>
                <w:color w:val="auto"/>
                <w:sz w:val="24"/>
              </w:rPr>
              <w:t>封套上应载明的信息</w:t>
            </w:r>
          </w:p>
        </w:tc>
        <w:tc>
          <w:tcPr>
            <w:tcW w:w="6569" w:type="dxa"/>
          </w:tcPr>
          <w:p>
            <w:pPr>
              <w:pStyle w:val="16"/>
              <w:numPr>
                <w:ilvl w:val="0"/>
                <w:numId w:val="9"/>
              </w:numPr>
              <w:tabs>
                <w:tab w:val="left" w:pos="572"/>
                <w:tab w:val="left" w:pos="1766"/>
                <w:tab w:val="left" w:pos="2366"/>
                <w:tab w:val="left" w:pos="2966"/>
                <w:tab w:val="left" w:pos="3566"/>
              </w:tabs>
              <w:spacing w:before="67" w:after="0" w:line="290" w:lineRule="auto"/>
              <w:ind w:left="326" w:right="91" w:firstLine="0"/>
              <w:jc w:val="left"/>
              <w:rPr>
                <w:color w:val="auto"/>
                <w:spacing w:val="4"/>
                <w:sz w:val="24"/>
                <w:u w:val="single"/>
              </w:rPr>
            </w:pPr>
            <w:r>
              <w:rPr>
                <w:color w:val="auto"/>
                <w:spacing w:val="4"/>
                <w:sz w:val="24"/>
                <w:u w:val="single"/>
              </w:rPr>
              <w:t>招标人名称：</w:t>
            </w:r>
            <w:r>
              <w:rPr>
                <w:rFonts w:hint="eastAsia"/>
                <w:color w:val="auto"/>
                <w:spacing w:val="4"/>
                <w:sz w:val="24"/>
                <w:u w:val="single"/>
                <w:lang w:eastAsia="zh-CN"/>
              </w:rPr>
              <w:t>平远县东石镇人民政府</w:t>
            </w:r>
          </w:p>
          <w:p>
            <w:pPr>
              <w:pStyle w:val="16"/>
              <w:numPr>
                <w:ilvl w:val="0"/>
                <w:numId w:val="9"/>
              </w:numPr>
              <w:tabs>
                <w:tab w:val="left" w:pos="572"/>
                <w:tab w:val="left" w:pos="1766"/>
                <w:tab w:val="left" w:pos="2366"/>
                <w:tab w:val="left" w:pos="2966"/>
                <w:tab w:val="left" w:pos="3566"/>
              </w:tabs>
              <w:spacing w:before="67" w:after="0" w:line="290" w:lineRule="auto"/>
              <w:ind w:left="326" w:right="91" w:firstLine="0"/>
              <w:jc w:val="left"/>
              <w:rPr>
                <w:color w:val="auto"/>
                <w:spacing w:val="4"/>
                <w:sz w:val="24"/>
                <w:u w:val="single"/>
              </w:rPr>
            </w:pPr>
            <w:r>
              <w:rPr>
                <w:rFonts w:hint="eastAsia"/>
                <w:color w:val="auto"/>
                <w:spacing w:val="4"/>
                <w:sz w:val="24"/>
                <w:u w:val="single"/>
                <w:lang w:eastAsia="zh-CN"/>
              </w:rPr>
              <w:t>平远县东石镇美丽圩镇建设攻坚行动项目(一期)监理</w:t>
            </w:r>
            <w:r>
              <w:rPr>
                <w:color w:val="auto"/>
                <w:spacing w:val="4"/>
                <w:sz w:val="24"/>
                <w:u w:val="single"/>
              </w:rPr>
              <w:t>投标文件在2022 年</w:t>
            </w:r>
            <w:r>
              <w:rPr>
                <w:color w:val="auto"/>
                <w:spacing w:val="4"/>
                <w:sz w:val="24"/>
                <w:u w:val="single"/>
              </w:rPr>
              <w:tab/>
            </w:r>
            <w:r>
              <w:rPr>
                <w:color w:val="auto"/>
                <w:spacing w:val="4"/>
                <w:sz w:val="24"/>
                <w:u w:val="single"/>
              </w:rPr>
              <w:t>月</w:t>
            </w:r>
            <w:r>
              <w:rPr>
                <w:color w:val="auto"/>
                <w:spacing w:val="4"/>
                <w:sz w:val="24"/>
                <w:u w:val="single"/>
              </w:rPr>
              <w:tab/>
            </w:r>
            <w:r>
              <w:rPr>
                <w:color w:val="auto"/>
                <w:spacing w:val="4"/>
                <w:sz w:val="24"/>
                <w:u w:val="single"/>
              </w:rPr>
              <w:t>日</w:t>
            </w:r>
            <w:r>
              <w:rPr>
                <w:color w:val="auto"/>
                <w:spacing w:val="4"/>
                <w:sz w:val="24"/>
                <w:u w:val="single"/>
              </w:rPr>
              <w:tab/>
            </w:r>
            <w:r>
              <w:rPr>
                <w:color w:val="auto"/>
                <w:spacing w:val="4"/>
                <w:sz w:val="24"/>
                <w:u w:val="single"/>
              </w:rPr>
              <w:t>时</w:t>
            </w:r>
            <w:r>
              <w:rPr>
                <w:color w:val="auto"/>
                <w:spacing w:val="4"/>
                <w:sz w:val="24"/>
                <w:u w:val="single"/>
              </w:rPr>
              <w:tab/>
            </w:r>
            <w:r>
              <w:rPr>
                <w:color w:val="auto"/>
                <w:spacing w:val="4"/>
                <w:sz w:val="24"/>
                <w:u w:val="single"/>
              </w:rPr>
              <w:t>分前不得开启；</w:t>
            </w:r>
          </w:p>
          <w:p>
            <w:pPr>
              <w:pStyle w:val="16"/>
              <w:numPr>
                <w:ilvl w:val="0"/>
                <w:numId w:val="9"/>
              </w:numPr>
              <w:tabs>
                <w:tab w:val="left" w:pos="572"/>
                <w:tab w:val="left" w:pos="1766"/>
                <w:tab w:val="left" w:pos="2366"/>
                <w:tab w:val="left" w:pos="2966"/>
                <w:tab w:val="left" w:pos="3566"/>
              </w:tabs>
              <w:spacing w:before="67" w:after="0" w:line="290" w:lineRule="auto"/>
              <w:ind w:left="326" w:right="91" w:firstLine="0"/>
              <w:jc w:val="left"/>
              <w:rPr>
                <w:color w:val="auto"/>
                <w:spacing w:val="4"/>
                <w:sz w:val="24"/>
                <w:u w:val="single"/>
              </w:rPr>
            </w:pPr>
            <w:r>
              <w:rPr>
                <w:color w:val="auto"/>
                <w:spacing w:val="4"/>
                <w:sz w:val="24"/>
                <w:u w:val="single"/>
              </w:rPr>
              <w:t>投标人名称、地址，并加盖公章。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092" w:type="dxa"/>
          </w:tcPr>
          <w:p>
            <w:pPr>
              <w:pStyle w:val="16"/>
              <w:spacing w:before="194"/>
              <w:ind w:left="301"/>
              <w:rPr>
                <w:rFonts w:ascii="Times New Roman"/>
                <w:color w:val="auto"/>
                <w:sz w:val="24"/>
              </w:rPr>
            </w:pPr>
            <w:r>
              <w:rPr>
                <w:rFonts w:ascii="Times New Roman"/>
                <w:color w:val="auto"/>
                <w:sz w:val="24"/>
              </w:rPr>
              <w:t>4.2.1</w:t>
            </w:r>
          </w:p>
        </w:tc>
        <w:tc>
          <w:tcPr>
            <w:tcW w:w="1962" w:type="dxa"/>
          </w:tcPr>
          <w:p>
            <w:pPr>
              <w:pStyle w:val="16"/>
              <w:spacing w:before="175"/>
              <w:ind w:left="78" w:right="158"/>
              <w:jc w:val="center"/>
              <w:rPr>
                <w:color w:val="auto"/>
                <w:sz w:val="24"/>
              </w:rPr>
            </w:pPr>
            <w:r>
              <w:rPr>
                <w:color w:val="auto"/>
                <w:sz w:val="24"/>
              </w:rPr>
              <w:t>投标截止时间</w:t>
            </w:r>
          </w:p>
        </w:tc>
        <w:tc>
          <w:tcPr>
            <w:tcW w:w="6569" w:type="dxa"/>
          </w:tcPr>
          <w:p>
            <w:pPr>
              <w:pStyle w:val="16"/>
              <w:tabs>
                <w:tab w:val="left" w:pos="1727"/>
                <w:tab w:val="left" w:pos="2327"/>
                <w:tab w:val="left" w:pos="2927"/>
              </w:tabs>
              <w:spacing w:before="175"/>
              <w:ind w:left="107"/>
              <w:rPr>
                <w:color w:val="auto"/>
                <w:sz w:val="24"/>
              </w:rPr>
            </w:pPr>
            <w:r>
              <w:rPr>
                <w:color w:val="auto"/>
                <w:sz w:val="24"/>
                <w:u w:val="single"/>
              </w:rPr>
              <w:t>2022</w:t>
            </w:r>
            <w:r>
              <w:rPr>
                <w:color w:val="auto"/>
                <w:spacing w:val="-61"/>
                <w:sz w:val="24"/>
                <w:u w:val="single"/>
              </w:rPr>
              <w:t xml:space="preserve"> </w:t>
            </w:r>
            <w:r>
              <w:rPr>
                <w:color w:val="auto"/>
                <w:sz w:val="24"/>
                <w:u w:val="single"/>
              </w:rPr>
              <w:t>年</w:t>
            </w:r>
            <w:r>
              <w:rPr>
                <w:color w:val="auto"/>
                <w:sz w:val="24"/>
                <w:u w:val="single" w:color="000000"/>
              </w:rPr>
              <w:t xml:space="preserve">  月</w:t>
            </w:r>
            <w:r>
              <w:rPr>
                <w:color w:val="auto"/>
                <w:sz w:val="24"/>
                <w:u w:val="single" w:color="000000"/>
              </w:rPr>
              <w:tab/>
            </w:r>
            <w:r>
              <w:rPr>
                <w:color w:val="auto"/>
                <w:sz w:val="24"/>
                <w:u w:val="single" w:color="000000"/>
              </w:rPr>
              <w:t>日</w:t>
            </w:r>
            <w:r>
              <w:rPr>
                <w:color w:val="auto"/>
                <w:sz w:val="24"/>
                <w:u w:val="single" w:color="000000"/>
              </w:rPr>
              <w:tab/>
            </w:r>
            <w:r>
              <w:rPr>
                <w:color w:val="auto"/>
                <w:sz w:val="24"/>
                <w:u w:val="single" w:color="000000"/>
              </w:rPr>
              <w:t>时</w:t>
            </w:r>
            <w:r>
              <w:rPr>
                <w:color w:val="auto"/>
                <w:sz w:val="24"/>
                <w:u w:val="single" w:color="000000"/>
              </w:rPr>
              <w:tab/>
            </w:r>
            <w:r>
              <w:rPr>
                <w:color w:val="auto"/>
                <w:sz w:val="24"/>
                <w:u w:val="single" w:color="000000"/>
              </w:rPr>
              <w:t>分</w:t>
            </w:r>
            <w:r>
              <w:rPr>
                <w:color w:val="auto"/>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1092" w:type="dxa"/>
          </w:tcPr>
          <w:p>
            <w:pPr>
              <w:pStyle w:val="16"/>
              <w:spacing w:before="22"/>
              <w:ind w:left="301"/>
              <w:rPr>
                <w:rFonts w:ascii="Times New Roman"/>
                <w:color w:val="auto"/>
                <w:sz w:val="24"/>
              </w:rPr>
            </w:pPr>
            <w:r>
              <w:rPr>
                <w:rFonts w:ascii="Times New Roman"/>
                <w:color w:val="auto"/>
                <w:sz w:val="24"/>
              </w:rPr>
              <w:t>4.2.2</w:t>
            </w:r>
          </w:p>
          <w:p>
            <w:pPr>
              <w:pStyle w:val="16"/>
              <w:spacing w:before="56"/>
              <w:ind w:left="221"/>
              <w:rPr>
                <w:color w:val="auto"/>
                <w:sz w:val="24"/>
              </w:rPr>
            </w:pPr>
            <w:r>
              <w:rPr>
                <w:color w:val="auto"/>
                <w:sz w:val="24"/>
              </w:rPr>
              <w:t>（</w:t>
            </w:r>
            <w:r>
              <w:rPr>
                <w:rFonts w:ascii="Times New Roman" w:eastAsia="Times New Roman"/>
                <w:color w:val="auto"/>
                <w:sz w:val="24"/>
              </w:rPr>
              <w:t>A</w:t>
            </w:r>
            <w:r>
              <w:rPr>
                <w:color w:val="auto"/>
                <w:sz w:val="24"/>
              </w:rPr>
              <w:t>）</w:t>
            </w:r>
          </w:p>
        </w:tc>
        <w:tc>
          <w:tcPr>
            <w:tcW w:w="1962" w:type="dxa"/>
          </w:tcPr>
          <w:p>
            <w:pPr>
              <w:pStyle w:val="16"/>
              <w:spacing w:before="1"/>
              <w:ind w:left="16" w:right="91"/>
              <w:jc w:val="center"/>
              <w:rPr>
                <w:color w:val="auto"/>
                <w:sz w:val="24"/>
              </w:rPr>
            </w:pPr>
            <w:r>
              <w:rPr>
                <w:color w:val="auto"/>
                <w:sz w:val="24"/>
              </w:rPr>
              <w:t>递交投标文件地</w:t>
            </w:r>
          </w:p>
          <w:p>
            <w:pPr>
              <w:pStyle w:val="16"/>
              <w:spacing w:before="67"/>
              <w:ind w:right="75"/>
              <w:jc w:val="center"/>
              <w:rPr>
                <w:color w:val="auto"/>
                <w:sz w:val="24"/>
              </w:rPr>
            </w:pPr>
            <w:r>
              <w:rPr>
                <w:color w:val="auto"/>
                <w:sz w:val="24"/>
              </w:rPr>
              <w:t>点</w:t>
            </w:r>
          </w:p>
        </w:tc>
        <w:tc>
          <w:tcPr>
            <w:tcW w:w="6569" w:type="dxa"/>
          </w:tcPr>
          <w:p>
            <w:pPr>
              <w:pStyle w:val="16"/>
              <w:spacing w:before="188"/>
              <w:ind w:left="107"/>
              <w:rPr>
                <w:color w:val="auto"/>
                <w:sz w:val="24"/>
              </w:rPr>
            </w:pPr>
            <w:r>
              <w:rPr>
                <w:color w:val="auto"/>
                <w:sz w:val="24"/>
              </w:rPr>
              <w:t>广州公共资源交易中心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1092" w:type="dxa"/>
          </w:tcPr>
          <w:p>
            <w:pPr>
              <w:pStyle w:val="16"/>
              <w:spacing w:before="8"/>
              <w:rPr>
                <w:b/>
                <w:color w:val="auto"/>
                <w:sz w:val="18"/>
              </w:rPr>
            </w:pPr>
          </w:p>
          <w:p>
            <w:pPr>
              <w:pStyle w:val="16"/>
              <w:ind w:left="310"/>
              <w:rPr>
                <w:rFonts w:ascii="Times New Roman"/>
                <w:color w:val="auto"/>
                <w:sz w:val="24"/>
              </w:rPr>
            </w:pPr>
            <w:r>
              <w:rPr>
                <w:rFonts w:ascii="Times New Roman"/>
                <w:color w:val="auto"/>
                <w:sz w:val="24"/>
              </w:rPr>
              <w:t>4.2.3</w:t>
            </w:r>
          </w:p>
        </w:tc>
        <w:tc>
          <w:tcPr>
            <w:tcW w:w="1962" w:type="dxa"/>
          </w:tcPr>
          <w:p>
            <w:pPr>
              <w:pStyle w:val="16"/>
              <w:spacing w:before="33" w:line="290" w:lineRule="auto"/>
              <w:ind w:left="814" w:right="158" w:hanging="732"/>
              <w:rPr>
                <w:color w:val="auto"/>
                <w:sz w:val="24"/>
              </w:rPr>
            </w:pPr>
            <w:r>
              <w:rPr>
                <w:color w:val="auto"/>
                <w:sz w:val="24"/>
              </w:rPr>
              <w:t>投标文件是否退还</w:t>
            </w:r>
          </w:p>
        </w:tc>
        <w:tc>
          <w:tcPr>
            <w:tcW w:w="6569" w:type="dxa"/>
          </w:tcPr>
          <w:p>
            <w:pPr>
              <w:pStyle w:val="16"/>
              <w:spacing w:before="33"/>
              <w:ind w:left="107"/>
              <w:rPr>
                <w:color w:val="auto"/>
                <w:sz w:val="24"/>
              </w:rPr>
            </w:pPr>
            <w:r>
              <w:rPr>
                <w:b/>
                <w:color w:val="auto"/>
                <w:spacing w:val="-200"/>
                <w:w w:val="99"/>
                <w:sz w:val="24"/>
              </w:rPr>
              <w:t>□</w:t>
            </w:r>
            <w:r>
              <w:rPr>
                <w:b/>
                <w:color w:val="auto"/>
                <w:w w:val="100"/>
                <w:position w:val="2"/>
                <w:sz w:val="16"/>
              </w:rPr>
              <w:t>√</w:t>
            </w:r>
            <w:r>
              <w:rPr>
                <w:b/>
                <w:color w:val="auto"/>
                <w:spacing w:val="-43"/>
                <w:position w:val="2"/>
                <w:sz w:val="16"/>
              </w:rPr>
              <w:t xml:space="preserve"> </w:t>
            </w:r>
            <w:r>
              <w:rPr>
                <w:color w:val="auto"/>
                <w:sz w:val="24"/>
              </w:rPr>
              <w:t>否</w:t>
            </w:r>
          </w:p>
          <w:p>
            <w:pPr>
              <w:pStyle w:val="16"/>
              <w:spacing w:before="65"/>
              <w:ind w:left="107"/>
              <w:rPr>
                <w:color w:val="auto"/>
                <w:sz w:val="24"/>
              </w:rPr>
            </w:pPr>
            <w:r>
              <w:rPr>
                <w:color w:val="auto"/>
                <w:sz w:val="24"/>
              </w:rPr>
              <w:t>□是，退还时间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092" w:type="dxa"/>
          </w:tcPr>
          <w:p>
            <w:pPr>
              <w:pStyle w:val="16"/>
              <w:spacing w:before="223"/>
              <w:ind w:left="109"/>
              <w:rPr>
                <w:color w:val="auto"/>
                <w:sz w:val="24"/>
              </w:rPr>
            </w:pPr>
            <w:r>
              <w:rPr>
                <w:rFonts w:ascii="Times New Roman" w:eastAsia="Times New Roman"/>
                <w:color w:val="auto"/>
                <w:sz w:val="24"/>
              </w:rPr>
              <w:t>5.1</w:t>
            </w:r>
            <w:r>
              <w:rPr>
                <w:color w:val="auto"/>
                <w:sz w:val="24"/>
              </w:rPr>
              <w:t>（</w:t>
            </w:r>
            <w:r>
              <w:rPr>
                <w:rFonts w:ascii="Times New Roman" w:eastAsia="Times New Roman"/>
                <w:color w:val="auto"/>
                <w:sz w:val="24"/>
              </w:rPr>
              <w:t>A</w:t>
            </w:r>
            <w:r>
              <w:rPr>
                <w:color w:val="auto"/>
                <w:sz w:val="24"/>
              </w:rPr>
              <w:t>）</w:t>
            </w:r>
          </w:p>
        </w:tc>
        <w:tc>
          <w:tcPr>
            <w:tcW w:w="1962" w:type="dxa"/>
          </w:tcPr>
          <w:p>
            <w:pPr>
              <w:pStyle w:val="16"/>
              <w:spacing w:before="5"/>
              <w:rPr>
                <w:b/>
                <w:color w:val="auto"/>
                <w:sz w:val="17"/>
              </w:rPr>
            </w:pPr>
          </w:p>
          <w:p>
            <w:pPr>
              <w:pStyle w:val="16"/>
              <w:spacing w:before="1"/>
              <w:ind w:left="16" w:right="91"/>
              <w:jc w:val="center"/>
              <w:rPr>
                <w:color w:val="auto"/>
                <w:sz w:val="24"/>
              </w:rPr>
            </w:pPr>
            <w:r>
              <w:rPr>
                <w:color w:val="auto"/>
                <w:sz w:val="24"/>
              </w:rPr>
              <w:t>开标时间和地点</w:t>
            </w:r>
          </w:p>
        </w:tc>
        <w:tc>
          <w:tcPr>
            <w:tcW w:w="6569" w:type="dxa"/>
          </w:tcPr>
          <w:p>
            <w:pPr>
              <w:pStyle w:val="16"/>
              <w:spacing w:before="36"/>
              <w:ind w:left="19"/>
              <w:rPr>
                <w:color w:val="auto"/>
                <w:sz w:val="24"/>
              </w:rPr>
            </w:pPr>
            <w:r>
              <w:rPr>
                <w:color w:val="auto"/>
                <w:sz w:val="24"/>
              </w:rPr>
              <w:t>开标时间：同投标截止时间</w:t>
            </w:r>
          </w:p>
          <w:p>
            <w:pPr>
              <w:pStyle w:val="16"/>
              <w:spacing w:before="65"/>
              <w:ind w:left="19"/>
              <w:rPr>
                <w:color w:val="auto"/>
                <w:sz w:val="24"/>
              </w:rPr>
            </w:pPr>
            <w:r>
              <w:rPr>
                <w:color w:val="auto"/>
                <w:sz w:val="24"/>
              </w:rPr>
              <w:t>开标地点：广州公共资源交易中心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1092" w:type="dxa"/>
          </w:tcPr>
          <w:p>
            <w:pPr>
              <w:pStyle w:val="16"/>
              <w:spacing w:before="36" w:line="290" w:lineRule="auto"/>
              <w:ind w:left="457" w:right="51" w:hanging="351"/>
              <w:rPr>
                <w:rFonts w:ascii="Times New Roman" w:eastAsia="Times New Roman"/>
                <w:color w:val="auto"/>
                <w:sz w:val="24"/>
              </w:rPr>
            </w:pPr>
            <w:r>
              <w:rPr>
                <w:rFonts w:ascii="Times New Roman" w:eastAsia="Times New Roman"/>
                <w:color w:val="auto"/>
                <w:sz w:val="24"/>
              </w:rPr>
              <w:t>5.2</w:t>
            </w:r>
            <w:r>
              <w:rPr>
                <w:color w:val="auto"/>
                <w:sz w:val="24"/>
              </w:rPr>
              <w:t>（</w:t>
            </w:r>
            <w:r>
              <w:rPr>
                <w:rFonts w:ascii="Times New Roman" w:eastAsia="Times New Roman"/>
                <w:color w:val="auto"/>
                <w:sz w:val="24"/>
              </w:rPr>
              <w:t>4</w:t>
            </w:r>
            <w:r>
              <w:rPr>
                <w:color w:val="auto"/>
                <w:sz w:val="24"/>
              </w:rPr>
              <w:t xml:space="preserve">） </w:t>
            </w:r>
            <w:r>
              <w:rPr>
                <w:rFonts w:ascii="Times New Roman" w:eastAsia="Times New Roman"/>
                <w:color w:val="auto"/>
                <w:sz w:val="24"/>
              </w:rPr>
              <w:t>A</w:t>
            </w:r>
          </w:p>
        </w:tc>
        <w:tc>
          <w:tcPr>
            <w:tcW w:w="1962" w:type="dxa"/>
          </w:tcPr>
          <w:p>
            <w:pPr>
              <w:pStyle w:val="16"/>
              <w:spacing w:before="201"/>
              <w:ind w:left="80" w:right="158"/>
              <w:jc w:val="center"/>
              <w:rPr>
                <w:color w:val="auto"/>
                <w:sz w:val="24"/>
              </w:rPr>
            </w:pPr>
            <w:r>
              <w:rPr>
                <w:color w:val="auto"/>
                <w:sz w:val="24"/>
              </w:rPr>
              <w:t>开标程序</w:t>
            </w:r>
          </w:p>
        </w:tc>
        <w:tc>
          <w:tcPr>
            <w:tcW w:w="6569" w:type="dxa"/>
          </w:tcPr>
          <w:p>
            <w:pPr>
              <w:pStyle w:val="16"/>
              <w:spacing w:before="201"/>
              <w:ind w:left="127"/>
              <w:rPr>
                <w:color w:val="auto"/>
                <w:sz w:val="24"/>
              </w:rPr>
            </w:pPr>
            <w:r>
              <w:rPr>
                <w:color w:val="auto"/>
                <w:sz w:val="24"/>
              </w:rPr>
              <w:t>开标顺序：随机启封。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trPr>
        <w:tc>
          <w:tcPr>
            <w:tcW w:w="1092" w:type="dxa"/>
          </w:tcPr>
          <w:p>
            <w:pPr>
              <w:pStyle w:val="16"/>
              <w:spacing w:before="8"/>
              <w:rPr>
                <w:b/>
                <w:color w:val="auto"/>
                <w:sz w:val="38"/>
              </w:rPr>
            </w:pPr>
          </w:p>
          <w:p>
            <w:pPr>
              <w:pStyle w:val="16"/>
              <w:ind w:left="301"/>
              <w:rPr>
                <w:rFonts w:ascii="Times New Roman"/>
                <w:color w:val="auto"/>
                <w:sz w:val="24"/>
              </w:rPr>
            </w:pPr>
            <w:r>
              <w:rPr>
                <w:rFonts w:ascii="Times New Roman"/>
                <w:color w:val="auto"/>
                <w:sz w:val="24"/>
              </w:rPr>
              <w:t>6.1.1</w:t>
            </w:r>
          </w:p>
        </w:tc>
        <w:tc>
          <w:tcPr>
            <w:tcW w:w="1962" w:type="dxa"/>
          </w:tcPr>
          <w:p>
            <w:pPr>
              <w:pStyle w:val="16"/>
              <w:spacing w:before="5"/>
              <w:rPr>
                <w:b/>
                <w:color w:val="auto"/>
                <w:sz w:val="22"/>
              </w:rPr>
            </w:pPr>
          </w:p>
          <w:p>
            <w:pPr>
              <w:pStyle w:val="16"/>
              <w:spacing w:line="292" w:lineRule="auto"/>
              <w:ind w:left="814" w:right="158" w:hanging="732"/>
              <w:rPr>
                <w:color w:val="auto"/>
                <w:sz w:val="24"/>
              </w:rPr>
            </w:pPr>
            <w:r>
              <w:rPr>
                <w:color w:val="auto"/>
                <w:sz w:val="24"/>
              </w:rPr>
              <w:t>评标委员会的组建</w:t>
            </w:r>
          </w:p>
        </w:tc>
        <w:tc>
          <w:tcPr>
            <w:tcW w:w="6569" w:type="dxa"/>
          </w:tcPr>
          <w:p>
            <w:pPr>
              <w:pStyle w:val="16"/>
              <w:spacing w:before="85" w:line="302" w:lineRule="auto"/>
              <w:ind w:left="107" w:right="96"/>
              <w:jc w:val="both"/>
              <w:rPr>
                <w:color w:val="auto"/>
                <w:sz w:val="24"/>
              </w:rPr>
            </w:pPr>
            <w:r>
              <w:rPr>
                <w:color w:val="auto"/>
                <w:sz w:val="24"/>
              </w:rPr>
              <w:t>评标委员会构成：</w:t>
            </w:r>
            <w:r>
              <w:rPr>
                <w:rFonts w:hint="eastAsia"/>
                <w:color w:val="auto"/>
                <w:sz w:val="24"/>
                <w:u w:val="single"/>
                <w:lang w:val="en-US" w:eastAsia="zh-CN"/>
              </w:rPr>
              <w:t>5</w:t>
            </w:r>
            <w:r>
              <w:rPr>
                <w:color w:val="auto"/>
                <w:spacing w:val="-11"/>
                <w:sz w:val="24"/>
              </w:rPr>
              <w:t>人，其中招标人代表</w:t>
            </w:r>
            <w:r>
              <w:rPr>
                <w:rFonts w:hint="eastAsia"/>
                <w:color w:val="auto"/>
                <w:spacing w:val="-11"/>
                <w:sz w:val="24"/>
                <w:lang w:val="en-US" w:eastAsia="zh-CN"/>
              </w:rPr>
              <w:t>1</w:t>
            </w:r>
            <w:r>
              <w:rPr>
                <w:color w:val="auto"/>
                <w:spacing w:val="-19"/>
                <w:sz w:val="24"/>
              </w:rPr>
              <w:t xml:space="preserve"> 人，专家 </w:t>
            </w:r>
            <w:r>
              <w:rPr>
                <w:rFonts w:hint="eastAsia"/>
                <w:color w:val="auto"/>
                <w:sz w:val="24"/>
                <w:u w:val="single"/>
                <w:lang w:val="en-US" w:eastAsia="zh-CN"/>
              </w:rPr>
              <w:t>4</w:t>
            </w:r>
            <w:r>
              <w:rPr>
                <w:color w:val="auto"/>
                <w:spacing w:val="-18"/>
                <w:sz w:val="24"/>
              </w:rPr>
              <w:t xml:space="preserve">人； </w:t>
            </w:r>
            <w:r>
              <w:rPr>
                <w:color w:val="auto"/>
                <w:sz w:val="24"/>
              </w:rPr>
              <w:t>评标专家确定方式：由招标人在广东省综合评标专家库的相关专业中随机抽取确定。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9" w:hRule="atLeast"/>
        </w:trPr>
        <w:tc>
          <w:tcPr>
            <w:tcW w:w="1092" w:type="dxa"/>
          </w:tcPr>
          <w:p>
            <w:pPr>
              <w:pStyle w:val="16"/>
              <w:spacing w:before="9"/>
              <w:rPr>
                <w:b/>
                <w:color w:val="auto"/>
                <w:sz w:val="30"/>
              </w:rPr>
            </w:pPr>
          </w:p>
          <w:p>
            <w:pPr>
              <w:pStyle w:val="16"/>
              <w:ind w:left="301"/>
              <w:rPr>
                <w:rFonts w:ascii="Times New Roman"/>
                <w:color w:val="auto"/>
                <w:sz w:val="24"/>
              </w:rPr>
            </w:pPr>
            <w:r>
              <w:rPr>
                <w:rFonts w:ascii="Times New Roman"/>
                <w:color w:val="auto"/>
                <w:sz w:val="24"/>
              </w:rPr>
              <w:t>6.3.2</w:t>
            </w:r>
          </w:p>
        </w:tc>
        <w:tc>
          <w:tcPr>
            <w:tcW w:w="1962" w:type="dxa"/>
          </w:tcPr>
          <w:p>
            <w:pPr>
              <w:pStyle w:val="16"/>
              <w:spacing w:before="3" w:line="290" w:lineRule="auto"/>
              <w:ind w:left="82" w:right="158"/>
              <w:jc w:val="center"/>
              <w:rPr>
                <w:color w:val="auto"/>
                <w:sz w:val="24"/>
              </w:rPr>
            </w:pPr>
            <w:r>
              <w:rPr>
                <w:color w:val="auto"/>
                <w:sz w:val="24"/>
              </w:rPr>
              <w:t>评标委员会推荐中标候选人的人</w:t>
            </w:r>
          </w:p>
          <w:p>
            <w:pPr>
              <w:pStyle w:val="16"/>
              <w:spacing w:before="2"/>
              <w:ind w:right="75"/>
              <w:jc w:val="center"/>
              <w:rPr>
                <w:color w:val="auto"/>
                <w:sz w:val="24"/>
              </w:rPr>
            </w:pPr>
            <w:r>
              <w:rPr>
                <w:color w:val="auto"/>
                <w:sz w:val="24"/>
              </w:rPr>
              <w:t>数</w:t>
            </w:r>
          </w:p>
        </w:tc>
        <w:tc>
          <w:tcPr>
            <w:tcW w:w="6569" w:type="dxa"/>
          </w:tcPr>
          <w:p>
            <w:pPr>
              <w:pStyle w:val="16"/>
              <w:spacing w:before="3"/>
              <w:rPr>
                <w:b/>
                <w:color w:val="auto"/>
                <w:sz w:val="29"/>
              </w:rPr>
            </w:pPr>
          </w:p>
          <w:p>
            <w:pPr>
              <w:pStyle w:val="16"/>
              <w:ind w:left="107"/>
              <w:rPr>
                <w:color w:val="auto"/>
                <w:sz w:val="24"/>
              </w:rPr>
            </w:pPr>
            <w:r>
              <w:rPr>
                <w:rFonts w:ascii="Times New Roman" w:eastAsia="Times New Roman"/>
                <w:color w:val="auto"/>
                <w:sz w:val="24"/>
                <w:u w:val="single"/>
              </w:rPr>
              <w:t xml:space="preserve">  </w:t>
            </w:r>
            <w:r>
              <w:rPr>
                <w:color w:val="auto"/>
                <w:sz w:val="24"/>
                <w:u w:val="single"/>
              </w:rPr>
              <w:t xml:space="preserve">3 名 </w:t>
            </w:r>
          </w:p>
        </w:tc>
      </w:tr>
    </w:tbl>
    <w:p>
      <w:pPr>
        <w:spacing w:after="0"/>
        <w:rPr>
          <w:color w:val="auto"/>
          <w:sz w:val="24"/>
        </w:rPr>
        <w:sectPr>
          <w:pgSz w:w="11910" w:h="16840"/>
          <w:pgMar w:top="1400" w:right="1020" w:bottom="820" w:left="1020" w:header="0" w:footer="640" w:gutter="0"/>
          <w:pgBorders>
            <w:top w:val="none" w:sz="0" w:space="0"/>
            <w:left w:val="none" w:sz="0" w:space="0"/>
            <w:bottom w:val="none" w:sz="0" w:space="0"/>
            <w:right w:val="none" w:sz="0" w:space="0"/>
          </w:pgBorders>
          <w:pgNumType w:fmt="decimal"/>
          <w:cols w:space="720" w:num="1"/>
        </w:sectPr>
      </w:pPr>
    </w:p>
    <w:tbl>
      <w:tblPr>
        <w:tblStyle w:val="12"/>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2"/>
        <w:gridCol w:w="1962"/>
        <w:gridCol w:w="6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1092" w:type="dxa"/>
          </w:tcPr>
          <w:p>
            <w:pPr>
              <w:pStyle w:val="16"/>
              <w:spacing w:before="112"/>
              <w:ind w:left="120" w:right="196"/>
              <w:jc w:val="center"/>
              <w:rPr>
                <w:color w:val="auto"/>
                <w:sz w:val="24"/>
              </w:rPr>
            </w:pPr>
            <w:r>
              <w:rPr>
                <w:color w:val="auto"/>
                <w:sz w:val="24"/>
              </w:rPr>
              <w:t>条款号</w:t>
            </w:r>
          </w:p>
        </w:tc>
        <w:tc>
          <w:tcPr>
            <w:tcW w:w="1962" w:type="dxa"/>
          </w:tcPr>
          <w:p>
            <w:pPr>
              <w:pStyle w:val="16"/>
              <w:spacing w:before="112"/>
              <w:ind w:left="80" w:right="158"/>
              <w:jc w:val="center"/>
              <w:rPr>
                <w:color w:val="auto"/>
                <w:sz w:val="24"/>
              </w:rPr>
            </w:pPr>
            <w:r>
              <w:rPr>
                <w:color w:val="auto"/>
                <w:sz w:val="24"/>
              </w:rPr>
              <w:t>条款名称</w:t>
            </w:r>
          </w:p>
        </w:tc>
        <w:tc>
          <w:tcPr>
            <w:tcW w:w="6569" w:type="dxa"/>
          </w:tcPr>
          <w:p>
            <w:pPr>
              <w:pStyle w:val="16"/>
              <w:tabs>
                <w:tab w:val="left" w:pos="491"/>
                <w:tab w:val="left" w:pos="983"/>
                <w:tab w:val="left" w:pos="1475"/>
              </w:tabs>
              <w:spacing w:before="112"/>
              <w:ind w:right="79"/>
              <w:jc w:val="center"/>
              <w:rPr>
                <w:color w:val="auto"/>
                <w:sz w:val="24"/>
              </w:rPr>
            </w:pPr>
            <w:r>
              <w:rPr>
                <w:color w:val="auto"/>
                <w:sz w:val="24"/>
              </w:rPr>
              <w:t>编</w:t>
            </w:r>
            <w:r>
              <w:rPr>
                <w:color w:val="auto"/>
                <w:sz w:val="24"/>
              </w:rPr>
              <w:tab/>
            </w:r>
            <w:r>
              <w:rPr>
                <w:color w:val="auto"/>
                <w:sz w:val="24"/>
              </w:rPr>
              <w:t>列</w:t>
            </w:r>
            <w:r>
              <w:rPr>
                <w:color w:val="auto"/>
                <w:sz w:val="24"/>
              </w:rPr>
              <w:tab/>
            </w:r>
            <w:r>
              <w:rPr>
                <w:color w:val="auto"/>
                <w:sz w:val="24"/>
              </w:rPr>
              <w:t>内</w:t>
            </w:r>
            <w:r>
              <w:rPr>
                <w:color w:val="auto"/>
                <w:sz w:val="24"/>
              </w:rPr>
              <w:tab/>
            </w:r>
            <w:r>
              <w:rPr>
                <w:color w:val="auto"/>
                <w:sz w:val="24"/>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1" w:hRule="atLeast"/>
        </w:trPr>
        <w:tc>
          <w:tcPr>
            <w:tcW w:w="1092" w:type="dxa"/>
          </w:tcPr>
          <w:p>
            <w:pPr>
              <w:pStyle w:val="16"/>
              <w:spacing w:before="12"/>
              <w:rPr>
                <w:b/>
                <w:color w:val="auto"/>
                <w:sz w:val="31"/>
              </w:rPr>
            </w:pPr>
          </w:p>
          <w:p>
            <w:pPr>
              <w:pStyle w:val="16"/>
              <w:ind w:left="120" w:right="108"/>
              <w:jc w:val="center"/>
              <w:rPr>
                <w:rFonts w:ascii="Times New Roman"/>
                <w:color w:val="auto"/>
                <w:sz w:val="24"/>
              </w:rPr>
            </w:pPr>
            <w:r>
              <w:rPr>
                <w:rFonts w:ascii="Times New Roman"/>
                <w:color w:val="auto"/>
                <w:sz w:val="24"/>
              </w:rPr>
              <w:t>7.1</w:t>
            </w:r>
          </w:p>
        </w:tc>
        <w:tc>
          <w:tcPr>
            <w:tcW w:w="1962" w:type="dxa"/>
          </w:tcPr>
          <w:p>
            <w:pPr>
              <w:pStyle w:val="16"/>
              <w:spacing w:before="8"/>
              <w:rPr>
                <w:b/>
                <w:color w:val="auto"/>
                <w:sz w:val="20"/>
              </w:rPr>
            </w:pPr>
          </w:p>
          <w:p>
            <w:pPr>
              <w:pStyle w:val="16"/>
              <w:spacing w:line="280" w:lineRule="auto"/>
              <w:ind w:left="380" w:right="124" w:hanging="240"/>
              <w:rPr>
                <w:color w:val="auto"/>
                <w:sz w:val="24"/>
              </w:rPr>
            </w:pPr>
            <w:r>
              <w:rPr>
                <w:color w:val="auto"/>
                <w:sz w:val="24"/>
              </w:rPr>
              <w:t>中标候选人公示媒介及期限</w:t>
            </w:r>
          </w:p>
        </w:tc>
        <w:tc>
          <w:tcPr>
            <w:tcW w:w="6569" w:type="dxa"/>
          </w:tcPr>
          <w:p>
            <w:pPr>
              <w:pStyle w:val="16"/>
              <w:spacing w:before="17" w:line="290" w:lineRule="auto"/>
              <w:ind w:left="107" w:right="91"/>
              <w:rPr>
                <w:color w:val="auto"/>
                <w:sz w:val="24"/>
              </w:rPr>
            </w:pPr>
            <w:r>
              <w:rPr>
                <w:color w:val="auto"/>
                <w:sz w:val="24"/>
              </w:rPr>
              <w:t>公示媒介：广州公共资源交易中心网站、广东省招标投标监管网</w:t>
            </w:r>
          </w:p>
          <w:p>
            <w:pPr>
              <w:pStyle w:val="16"/>
              <w:spacing w:before="2"/>
              <w:ind w:left="107"/>
              <w:rPr>
                <w:color w:val="auto"/>
                <w:sz w:val="24"/>
              </w:rPr>
            </w:pPr>
            <w:r>
              <w:rPr>
                <w:color w:val="auto"/>
                <w:sz w:val="24"/>
              </w:rPr>
              <w:t>公示期限：3 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1092" w:type="dxa"/>
          </w:tcPr>
          <w:p>
            <w:pPr>
              <w:pStyle w:val="16"/>
              <w:spacing w:before="12"/>
              <w:rPr>
                <w:b/>
                <w:color w:val="auto"/>
                <w:sz w:val="20"/>
              </w:rPr>
            </w:pPr>
          </w:p>
          <w:p>
            <w:pPr>
              <w:pStyle w:val="16"/>
              <w:ind w:left="120" w:right="108"/>
              <w:jc w:val="center"/>
              <w:rPr>
                <w:rFonts w:ascii="Times New Roman"/>
                <w:color w:val="auto"/>
                <w:sz w:val="24"/>
              </w:rPr>
            </w:pPr>
            <w:r>
              <w:rPr>
                <w:rFonts w:ascii="Times New Roman"/>
                <w:color w:val="auto"/>
                <w:sz w:val="24"/>
              </w:rPr>
              <w:t>7.4</w:t>
            </w:r>
          </w:p>
        </w:tc>
        <w:tc>
          <w:tcPr>
            <w:tcW w:w="1962" w:type="dxa"/>
          </w:tcPr>
          <w:p>
            <w:pPr>
              <w:pStyle w:val="16"/>
              <w:spacing w:before="123" w:line="280" w:lineRule="auto"/>
              <w:ind w:left="140" w:right="124"/>
              <w:rPr>
                <w:color w:val="auto"/>
                <w:sz w:val="24"/>
              </w:rPr>
            </w:pPr>
            <w:r>
              <w:rPr>
                <w:color w:val="auto"/>
                <w:sz w:val="24"/>
              </w:rPr>
              <w:t>是否授权评标委员会确定中标人</w:t>
            </w:r>
          </w:p>
        </w:tc>
        <w:tc>
          <w:tcPr>
            <w:tcW w:w="6569" w:type="dxa"/>
          </w:tcPr>
          <w:p>
            <w:pPr>
              <w:pStyle w:val="16"/>
              <w:spacing w:before="63"/>
              <w:ind w:left="107"/>
              <w:rPr>
                <w:color w:val="auto"/>
                <w:sz w:val="24"/>
              </w:rPr>
            </w:pPr>
            <w:r>
              <w:rPr>
                <w:color w:val="auto"/>
                <w:sz w:val="24"/>
              </w:rPr>
              <w:t>□是</w:t>
            </w:r>
          </w:p>
          <w:p>
            <w:pPr>
              <w:pStyle w:val="16"/>
              <w:spacing w:before="64"/>
              <w:ind w:left="107"/>
              <w:rPr>
                <w:color w:val="auto"/>
                <w:sz w:val="24"/>
              </w:rPr>
            </w:pPr>
            <w:r>
              <w:rPr>
                <w:b/>
                <w:color w:val="auto"/>
                <w:spacing w:val="-200"/>
                <w:w w:val="99"/>
                <w:sz w:val="24"/>
              </w:rPr>
              <w:t>□</w:t>
            </w:r>
            <w:r>
              <w:rPr>
                <w:b/>
                <w:color w:val="auto"/>
                <w:w w:val="100"/>
                <w:position w:val="2"/>
                <w:sz w:val="16"/>
              </w:rPr>
              <w:t>√</w:t>
            </w:r>
            <w:r>
              <w:rPr>
                <w:b/>
                <w:color w:val="auto"/>
                <w:spacing w:val="-43"/>
                <w:position w:val="2"/>
                <w:sz w:val="16"/>
              </w:rPr>
              <w:t xml:space="preserve"> </w:t>
            </w:r>
            <w:r>
              <w:rPr>
                <w:color w:val="auto"/>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1092" w:type="dxa"/>
          </w:tcPr>
          <w:p>
            <w:pPr>
              <w:pStyle w:val="16"/>
              <w:spacing w:before="4"/>
              <w:rPr>
                <w:b/>
                <w:color w:val="auto"/>
                <w:sz w:val="18"/>
              </w:rPr>
            </w:pPr>
          </w:p>
          <w:p>
            <w:pPr>
              <w:pStyle w:val="16"/>
              <w:ind w:left="120" w:right="108"/>
              <w:jc w:val="center"/>
              <w:rPr>
                <w:rFonts w:ascii="Times New Roman"/>
                <w:color w:val="auto"/>
                <w:sz w:val="24"/>
              </w:rPr>
            </w:pPr>
            <w:r>
              <w:rPr>
                <w:rFonts w:ascii="Times New Roman"/>
                <w:color w:val="auto"/>
                <w:sz w:val="24"/>
              </w:rPr>
              <w:t>7.5</w:t>
            </w:r>
          </w:p>
        </w:tc>
        <w:tc>
          <w:tcPr>
            <w:tcW w:w="1962" w:type="dxa"/>
          </w:tcPr>
          <w:p>
            <w:pPr>
              <w:pStyle w:val="16"/>
              <w:spacing w:before="37" w:line="360" w:lineRule="atLeast"/>
              <w:ind w:left="860" w:right="124" w:hanging="720"/>
              <w:rPr>
                <w:color w:val="auto"/>
                <w:sz w:val="24"/>
              </w:rPr>
            </w:pPr>
            <w:r>
              <w:rPr>
                <w:color w:val="auto"/>
                <w:sz w:val="24"/>
              </w:rPr>
              <w:t>中标结果通知媒介</w:t>
            </w:r>
          </w:p>
        </w:tc>
        <w:tc>
          <w:tcPr>
            <w:tcW w:w="6569" w:type="dxa"/>
          </w:tcPr>
          <w:p>
            <w:pPr>
              <w:pStyle w:val="16"/>
              <w:spacing w:before="214"/>
              <w:ind w:left="107"/>
              <w:rPr>
                <w:color w:val="auto"/>
                <w:sz w:val="24"/>
              </w:rPr>
            </w:pPr>
            <w:r>
              <w:rPr>
                <w:color w:val="auto"/>
                <w:sz w:val="24"/>
              </w:rPr>
              <w:t>广东省招标投标监管网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0" w:hRule="atLeast"/>
        </w:trPr>
        <w:tc>
          <w:tcPr>
            <w:tcW w:w="1092" w:type="dxa"/>
          </w:tcPr>
          <w:p>
            <w:pPr>
              <w:pStyle w:val="16"/>
              <w:rPr>
                <w:b/>
                <w:color w:val="auto"/>
                <w:sz w:val="26"/>
              </w:rPr>
            </w:pPr>
          </w:p>
          <w:p>
            <w:pPr>
              <w:pStyle w:val="16"/>
              <w:spacing w:before="8"/>
              <w:rPr>
                <w:b/>
                <w:color w:val="auto"/>
                <w:sz w:val="35"/>
              </w:rPr>
            </w:pPr>
          </w:p>
          <w:p>
            <w:pPr>
              <w:pStyle w:val="16"/>
              <w:ind w:left="120" w:right="108"/>
              <w:jc w:val="center"/>
              <w:rPr>
                <w:rFonts w:ascii="Times New Roman"/>
                <w:color w:val="auto"/>
                <w:sz w:val="24"/>
              </w:rPr>
            </w:pPr>
            <w:r>
              <w:rPr>
                <w:rFonts w:ascii="Times New Roman"/>
                <w:color w:val="auto"/>
                <w:sz w:val="24"/>
              </w:rPr>
              <w:t>7.6.1</w:t>
            </w:r>
          </w:p>
        </w:tc>
        <w:tc>
          <w:tcPr>
            <w:tcW w:w="1962" w:type="dxa"/>
          </w:tcPr>
          <w:p>
            <w:pPr>
              <w:pStyle w:val="16"/>
              <w:rPr>
                <w:b/>
                <w:color w:val="auto"/>
                <w:sz w:val="24"/>
              </w:rPr>
            </w:pPr>
          </w:p>
          <w:p>
            <w:pPr>
              <w:pStyle w:val="16"/>
              <w:rPr>
                <w:b/>
                <w:color w:val="auto"/>
                <w:sz w:val="24"/>
              </w:rPr>
            </w:pPr>
          </w:p>
          <w:p>
            <w:pPr>
              <w:pStyle w:val="16"/>
              <w:spacing w:before="209"/>
              <w:ind w:left="82" w:right="69"/>
              <w:jc w:val="center"/>
              <w:rPr>
                <w:color w:val="auto"/>
                <w:sz w:val="24"/>
              </w:rPr>
            </w:pPr>
            <w:r>
              <w:rPr>
                <w:color w:val="auto"/>
                <w:sz w:val="24"/>
              </w:rPr>
              <w:t>履约保证金</w:t>
            </w:r>
          </w:p>
        </w:tc>
        <w:tc>
          <w:tcPr>
            <w:tcW w:w="6569" w:type="dxa"/>
          </w:tcPr>
          <w:p>
            <w:pPr>
              <w:pStyle w:val="16"/>
              <w:spacing w:before="22"/>
              <w:ind w:left="107"/>
              <w:rPr>
                <w:color w:val="auto"/>
                <w:sz w:val="24"/>
              </w:rPr>
            </w:pPr>
            <w:r>
              <w:rPr>
                <w:color w:val="auto"/>
                <w:sz w:val="24"/>
              </w:rPr>
              <w:t>是否要求中标人提交履约保证金：</w:t>
            </w:r>
          </w:p>
          <w:p>
            <w:pPr>
              <w:pStyle w:val="16"/>
              <w:spacing w:before="67" w:line="292" w:lineRule="auto"/>
              <w:ind w:left="107" w:right="91"/>
              <w:rPr>
                <w:color w:val="auto"/>
                <w:sz w:val="24"/>
              </w:rPr>
            </w:pPr>
            <w:r>
              <w:rPr>
                <w:b/>
                <w:color w:val="auto"/>
                <w:spacing w:val="-200"/>
                <w:w w:val="99"/>
                <w:sz w:val="24"/>
              </w:rPr>
              <w:t>□</w:t>
            </w:r>
            <w:r>
              <w:rPr>
                <w:b/>
                <w:color w:val="auto"/>
                <w:w w:val="100"/>
                <w:position w:val="2"/>
                <w:sz w:val="16"/>
              </w:rPr>
              <w:t>√</w:t>
            </w:r>
            <w:r>
              <w:rPr>
                <w:b/>
                <w:color w:val="auto"/>
                <w:position w:val="2"/>
                <w:sz w:val="16"/>
              </w:rPr>
              <w:t xml:space="preserve"> </w:t>
            </w:r>
            <w:r>
              <w:rPr>
                <w:color w:val="auto"/>
                <w:spacing w:val="1"/>
                <w:sz w:val="24"/>
              </w:rPr>
              <w:t>要求，履约保证金的形式：采用银行账户转账或银行保函形式。</w:t>
            </w:r>
          </w:p>
          <w:p>
            <w:pPr>
              <w:pStyle w:val="16"/>
              <w:spacing w:line="304" w:lineRule="exact"/>
              <w:ind w:left="587"/>
              <w:rPr>
                <w:color w:val="auto"/>
                <w:sz w:val="24"/>
              </w:rPr>
            </w:pPr>
            <w:r>
              <w:rPr>
                <w:color w:val="auto"/>
                <w:sz w:val="24"/>
              </w:rPr>
              <w:t>履约保证金的金额：合同价格的 5%</w:t>
            </w:r>
          </w:p>
          <w:p>
            <w:pPr>
              <w:pStyle w:val="16"/>
              <w:spacing w:before="67"/>
              <w:ind w:left="107"/>
              <w:rPr>
                <w:color w:val="auto"/>
                <w:sz w:val="24"/>
              </w:rPr>
            </w:pPr>
            <w:r>
              <w:rPr>
                <w:color w:val="auto"/>
                <w:sz w:val="24"/>
              </w:rPr>
              <w:t>□不要求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1092" w:type="dxa"/>
          </w:tcPr>
          <w:p>
            <w:pPr>
              <w:pStyle w:val="16"/>
              <w:spacing w:before="9"/>
              <w:rPr>
                <w:b/>
                <w:color w:val="auto"/>
                <w:sz w:val="18"/>
              </w:rPr>
            </w:pPr>
          </w:p>
          <w:p>
            <w:pPr>
              <w:pStyle w:val="16"/>
              <w:ind w:left="14"/>
              <w:jc w:val="center"/>
              <w:rPr>
                <w:rFonts w:ascii="Times New Roman"/>
                <w:color w:val="auto"/>
                <w:sz w:val="24"/>
              </w:rPr>
            </w:pPr>
            <w:r>
              <w:rPr>
                <w:rFonts w:ascii="Times New Roman"/>
                <w:color w:val="auto"/>
                <w:w w:val="92"/>
                <w:sz w:val="24"/>
              </w:rPr>
              <w:t>9</w:t>
            </w:r>
          </w:p>
        </w:tc>
        <w:tc>
          <w:tcPr>
            <w:tcW w:w="1962" w:type="dxa"/>
          </w:tcPr>
          <w:p>
            <w:pPr>
              <w:pStyle w:val="16"/>
              <w:spacing w:before="42" w:line="360" w:lineRule="atLeast"/>
              <w:ind w:left="620" w:right="124" w:hanging="480"/>
              <w:rPr>
                <w:color w:val="auto"/>
                <w:sz w:val="24"/>
              </w:rPr>
            </w:pPr>
            <w:r>
              <w:rPr>
                <w:color w:val="auto"/>
                <w:sz w:val="24"/>
              </w:rPr>
              <w:t>是否采用电子招标投标</w:t>
            </w:r>
          </w:p>
        </w:tc>
        <w:tc>
          <w:tcPr>
            <w:tcW w:w="6569" w:type="dxa"/>
          </w:tcPr>
          <w:p>
            <w:pPr>
              <w:pStyle w:val="16"/>
              <w:spacing w:before="34"/>
              <w:ind w:left="107"/>
              <w:rPr>
                <w:color w:val="auto"/>
                <w:sz w:val="24"/>
              </w:rPr>
            </w:pPr>
            <w:r>
              <w:rPr>
                <w:b/>
                <w:color w:val="auto"/>
                <w:spacing w:val="-200"/>
                <w:w w:val="99"/>
                <w:sz w:val="24"/>
              </w:rPr>
              <w:t>□</w:t>
            </w:r>
            <w:r>
              <w:rPr>
                <w:b/>
                <w:color w:val="auto"/>
                <w:w w:val="100"/>
                <w:position w:val="2"/>
                <w:sz w:val="16"/>
              </w:rPr>
              <w:t>√</w:t>
            </w:r>
            <w:r>
              <w:rPr>
                <w:b/>
                <w:color w:val="auto"/>
                <w:spacing w:val="-43"/>
                <w:position w:val="2"/>
                <w:sz w:val="16"/>
              </w:rPr>
              <w:t xml:space="preserve"> </w:t>
            </w:r>
            <w:r>
              <w:rPr>
                <w:color w:val="auto"/>
                <w:sz w:val="24"/>
              </w:rPr>
              <w:t>否</w:t>
            </w:r>
          </w:p>
          <w:p>
            <w:pPr>
              <w:pStyle w:val="16"/>
              <w:spacing w:before="65"/>
              <w:ind w:left="107"/>
              <w:rPr>
                <w:color w:val="auto"/>
                <w:sz w:val="24"/>
              </w:rPr>
            </w:pPr>
            <w:r>
              <w:rPr>
                <w:color w:val="auto"/>
                <w:sz w:val="24"/>
              </w:rPr>
              <w:t>□是，具体要求：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092" w:type="dxa"/>
          </w:tcPr>
          <w:p>
            <w:pPr>
              <w:pStyle w:val="16"/>
              <w:spacing w:before="123"/>
              <w:ind w:left="120" w:right="110"/>
              <w:jc w:val="center"/>
              <w:rPr>
                <w:rFonts w:ascii="Times New Roman"/>
                <w:color w:val="auto"/>
                <w:sz w:val="24"/>
              </w:rPr>
            </w:pPr>
            <w:r>
              <w:rPr>
                <w:rFonts w:ascii="Times New Roman"/>
                <w:color w:val="auto"/>
                <w:sz w:val="24"/>
              </w:rPr>
              <w:t>10</w:t>
            </w:r>
          </w:p>
        </w:tc>
        <w:tc>
          <w:tcPr>
            <w:tcW w:w="8531" w:type="dxa"/>
            <w:gridSpan w:val="2"/>
          </w:tcPr>
          <w:p>
            <w:pPr>
              <w:pStyle w:val="16"/>
              <w:spacing w:before="105"/>
              <w:ind w:left="17"/>
              <w:rPr>
                <w:color w:val="auto"/>
                <w:sz w:val="24"/>
              </w:rPr>
            </w:pPr>
            <w:r>
              <w:rPr>
                <w:color w:val="auto"/>
                <w:sz w:val="24"/>
              </w:rPr>
              <w:t>需要补充的其它内容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092" w:type="dxa"/>
          </w:tcPr>
          <w:p>
            <w:pPr>
              <w:pStyle w:val="16"/>
              <w:spacing w:before="2"/>
              <w:rPr>
                <w:b/>
                <w:color w:val="auto"/>
                <w:sz w:val="37"/>
              </w:rPr>
            </w:pPr>
          </w:p>
          <w:p>
            <w:pPr>
              <w:pStyle w:val="16"/>
              <w:ind w:left="120" w:right="108"/>
              <w:jc w:val="center"/>
              <w:rPr>
                <w:rFonts w:ascii="Times New Roman"/>
                <w:color w:val="auto"/>
                <w:sz w:val="24"/>
              </w:rPr>
            </w:pPr>
            <w:r>
              <w:rPr>
                <w:rFonts w:ascii="Times New Roman"/>
                <w:color w:val="auto"/>
                <w:sz w:val="24"/>
              </w:rPr>
              <w:t>10.1</w:t>
            </w:r>
          </w:p>
        </w:tc>
        <w:tc>
          <w:tcPr>
            <w:tcW w:w="1962" w:type="dxa"/>
          </w:tcPr>
          <w:p>
            <w:pPr>
              <w:pStyle w:val="16"/>
              <w:rPr>
                <w:b/>
                <w:color w:val="auto"/>
                <w:sz w:val="24"/>
              </w:rPr>
            </w:pPr>
          </w:p>
          <w:p>
            <w:pPr>
              <w:pStyle w:val="16"/>
              <w:spacing w:before="215"/>
              <w:ind w:left="82" w:right="69"/>
              <w:jc w:val="center"/>
              <w:rPr>
                <w:color w:val="auto"/>
                <w:sz w:val="24"/>
              </w:rPr>
            </w:pPr>
            <w:r>
              <w:rPr>
                <w:color w:val="auto"/>
                <w:sz w:val="24"/>
              </w:rPr>
              <w:t>服务费</w:t>
            </w:r>
          </w:p>
        </w:tc>
        <w:tc>
          <w:tcPr>
            <w:tcW w:w="6569" w:type="dxa"/>
          </w:tcPr>
          <w:p>
            <w:pPr>
              <w:pStyle w:val="16"/>
              <w:spacing w:before="122"/>
              <w:ind w:left="107"/>
              <w:rPr>
                <w:color w:val="auto"/>
                <w:sz w:val="24"/>
              </w:rPr>
            </w:pPr>
            <w:r>
              <w:rPr>
                <w:rFonts w:hint="eastAsia"/>
                <w:color w:val="auto"/>
                <w:sz w:val="24"/>
                <w:lang w:val="en-US" w:eastAsia="zh-CN"/>
              </w:rPr>
              <w:t>1、</w:t>
            </w:r>
            <w:r>
              <w:rPr>
                <w:color w:val="auto"/>
                <w:sz w:val="24"/>
              </w:rPr>
              <w:t>本项目进入交易中心招标所产生的交易服务费由中标人支</w:t>
            </w:r>
          </w:p>
          <w:p>
            <w:pPr>
              <w:pStyle w:val="16"/>
              <w:spacing w:line="400" w:lineRule="atLeast"/>
              <w:ind w:left="107" w:right="49"/>
              <w:rPr>
                <w:color w:val="auto"/>
                <w:sz w:val="24"/>
              </w:rPr>
            </w:pPr>
            <w:r>
              <w:rPr>
                <w:color w:val="auto"/>
                <w:sz w:val="24"/>
              </w:rPr>
              <w:t>付，中标候选人公示结束之日起 2 天内，中标人应向广州公共资源交易中心缴纳上述费用。</w:t>
            </w:r>
          </w:p>
          <w:p>
            <w:pPr>
              <w:pStyle w:val="16"/>
              <w:spacing w:line="400" w:lineRule="atLeast"/>
              <w:ind w:left="107" w:right="49"/>
              <w:rPr>
                <w:rFonts w:hint="default" w:eastAsia="宋体"/>
                <w:color w:val="auto"/>
                <w:sz w:val="24"/>
                <w:lang w:val="en-US" w:eastAsia="zh-CN"/>
              </w:rPr>
            </w:pPr>
            <w:r>
              <w:rPr>
                <w:rFonts w:hint="eastAsia"/>
                <w:color w:val="auto"/>
                <w:sz w:val="24"/>
                <w:lang w:val="en-US" w:eastAsia="zh-CN"/>
              </w:rPr>
              <w:t>2、</w:t>
            </w:r>
            <w:r>
              <w:rPr>
                <w:rFonts w:hint="eastAsia" w:ascii="宋体" w:hAnsi="宋体"/>
                <w:color w:val="auto"/>
                <w:sz w:val="24"/>
                <w:highlight w:val="none"/>
                <w:lang w:eastAsia="zh-CN"/>
              </w:rPr>
              <w:t>根据《国家发展和改革委关于降低部分建设项目收费标准规范收费行为等有关问题的通知》（发改价格[2011]534号）、《国家发展改革委关于进一步放开建设项目专业服务价格通知》（发改价格[2015]299号）要求及本工程实际，招标代理报酬参照国家计委的《招标代理业务收费管理暂行办法》（[2002]1980号）的招标代理业务收费标准</w:t>
            </w:r>
            <w:r>
              <w:rPr>
                <w:rFonts w:hint="eastAsia"/>
                <w:color w:val="auto"/>
                <w:sz w:val="24"/>
                <w:highlight w:val="none"/>
                <w:lang w:val="en-US" w:eastAsia="zh-CN"/>
              </w:rPr>
              <w:t>下浮10%</w:t>
            </w:r>
            <w:r>
              <w:rPr>
                <w:rFonts w:hint="eastAsia" w:ascii="宋体" w:hAnsi="宋体"/>
                <w:color w:val="auto"/>
                <w:sz w:val="24"/>
                <w:highlight w:val="none"/>
                <w:lang w:eastAsia="zh-CN"/>
              </w:rPr>
              <w:t>计算，由中标单位支付。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9" w:hRule="atLeast"/>
        </w:trPr>
        <w:tc>
          <w:tcPr>
            <w:tcW w:w="1092" w:type="dxa"/>
          </w:tcPr>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26"/>
              </w:rPr>
            </w:pPr>
          </w:p>
          <w:p>
            <w:pPr>
              <w:pStyle w:val="16"/>
              <w:rPr>
                <w:b/>
                <w:color w:val="auto"/>
                <w:sz w:val="34"/>
              </w:rPr>
            </w:pPr>
          </w:p>
          <w:p>
            <w:pPr>
              <w:pStyle w:val="16"/>
              <w:ind w:left="120" w:right="108"/>
              <w:jc w:val="center"/>
              <w:rPr>
                <w:rFonts w:ascii="Times New Roman"/>
                <w:color w:val="auto"/>
                <w:sz w:val="24"/>
              </w:rPr>
            </w:pPr>
            <w:r>
              <w:rPr>
                <w:rFonts w:ascii="Times New Roman"/>
                <w:color w:val="auto"/>
                <w:sz w:val="24"/>
              </w:rPr>
              <w:t>10.2</w:t>
            </w:r>
          </w:p>
        </w:tc>
        <w:tc>
          <w:tcPr>
            <w:tcW w:w="1962" w:type="dxa"/>
          </w:tcPr>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spacing w:before="8"/>
              <w:rPr>
                <w:b/>
                <w:color w:val="auto"/>
                <w:sz w:val="34"/>
              </w:rPr>
            </w:pPr>
          </w:p>
          <w:p>
            <w:pPr>
              <w:pStyle w:val="16"/>
              <w:spacing w:before="1" w:line="280" w:lineRule="auto"/>
              <w:ind w:left="380" w:right="124" w:hanging="240"/>
              <w:rPr>
                <w:color w:val="auto"/>
                <w:sz w:val="24"/>
              </w:rPr>
            </w:pPr>
            <w:r>
              <w:rPr>
                <w:color w:val="auto"/>
                <w:sz w:val="24"/>
              </w:rPr>
              <w:t>费用结算及监理服务费支付</w:t>
            </w:r>
          </w:p>
        </w:tc>
        <w:tc>
          <w:tcPr>
            <w:tcW w:w="6569" w:type="dxa"/>
          </w:tcPr>
          <w:p>
            <w:pPr>
              <w:pStyle w:val="16"/>
              <w:spacing w:before="81" w:line="312" w:lineRule="auto"/>
              <w:ind w:left="107" w:right="91" w:firstLine="480"/>
              <w:jc w:val="both"/>
              <w:rPr>
                <w:color w:val="auto"/>
                <w:sz w:val="24"/>
              </w:rPr>
            </w:pPr>
            <w:r>
              <w:rPr>
                <w:rFonts w:ascii="Times New Roman" w:eastAsia="Times New Roman"/>
                <w:color w:val="auto"/>
                <w:sz w:val="24"/>
              </w:rPr>
              <w:t>1</w:t>
            </w:r>
            <w:r>
              <w:rPr>
                <w:color w:val="auto"/>
                <w:spacing w:val="-3"/>
                <w:sz w:val="24"/>
              </w:rPr>
              <w:t>、本招标文件要求的所有内容</w:t>
            </w:r>
            <w:r>
              <w:rPr>
                <w:color w:val="auto"/>
                <w:sz w:val="24"/>
              </w:rPr>
              <w:t>（</w:t>
            </w:r>
            <w:r>
              <w:rPr>
                <w:color w:val="auto"/>
                <w:spacing w:val="-2"/>
                <w:sz w:val="24"/>
              </w:rPr>
              <w:t>含施工过程中的设计变</w:t>
            </w:r>
            <w:r>
              <w:rPr>
                <w:color w:val="auto"/>
                <w:spacing w:val="4"/>
                <w:sz w:val="24"/>
              </w:rPr>
              <w:t>更）</w:t>
            </w:r>
            <w:r>
              <w:rPr>
                <w:color w:val="auto"/>
                <w:sz w:val="24"/>
              </w:rPr>
              <w:t>均属监理正常工作内容，合同价在招标文件及监理合同约定的风险范围之内可调整。</w:t>
            </w:r>
          </w:p>
          <w:p>
            <w:pPr>
              <w:pStyle w:val="16"/>
              <w:spacing w:before="1" w:line="312" w:lineRule="auto"/>
              <w:ind w:left="107" w:right="144" w:firstLine="420"/>
              <w:rPr>
                <w:color w:val="auto"/>
                <w:sz w:val="24"/>
              </w:rPr>
            </w:pPr>
            <w:r>
              <w:rPr>
                <w:color w:val="auto"/>
                <w:sz w:val="24"/>
              </w:rPr>
              <w:t>2、非监理人的原因，造成监理期延长的附加工作报酬， 由合同双方在合同专用条款中约定。</w:t>
            </w:r>
          </w:p>
          <w:p>
            <w:pPr>
              <w:pStyle w:val="16"/>
              <w:spacing w:line="312" w:lineRule="auto"/>
              <w:ind w:left="107" w:right="204" w:firstLine="360"/>
              <w:rPr>
                <w:color w:val="auto"/>
                <w:sz w:val="24"/>
              </w:rPr>
            </w:pPr>
            <w:r>
              <w:rPr>
                <w:color w:val="auto"/>
                <w:sz w:val="24"/>
              </w:rPr>
              <w:t>3、工程变更等工作内容所增加的附加工作报酬，由合同双方在合同专用条款中约定。</w:t>
            </w:r>
          </w:p>
          <w:p>
            <w:pPr>
              <w:pStyle w:val="16"/>
              <w:spacing w:before="2" w:line="312" w:lineRule="auto"/>
              <w:ind w:left="107" w:right="91" w:firstLine="480"/>
              <w:jc w:val="both"/>
              <w:rPr>
                <w:color w:val="auto"/>
                <w:sz w:val="24"/>
              </w:rPr>
            </w:pPr>
            <w:r>
              <w:rPr>
                <w:color w:val="auto"/>
                <w:sz w:val="24"/>
              </w:rPr>
              <w:t>4、监理费结算价=财政局投资审核中心审定的工程建安费用结算价×中标的监理收费费率（总价不可突破招标控制价：</w:t>
            </w:r>
            <w:r>
              <w:rPr>
                <w:rFonts w:hint="eastAsia"/>
                <w:color w:val="auto"/>
                <w:sz w:val="24"/>
                <w:lang w:val="en-US" w:eastAsia="zh-CN"/>
              </w:rPr>
              <w:t>102.58万</w:t>
            </w:r>
            <w:r>
              <w:rPr>
                <w:color w:val="auto"/>
                <w:sz w:val="24"/>
              </w:rPr>
              <w:t>元，超过按招标控制价结算）。</w:t>
            </w:r>
          </w:p>
          <w:p>
            <w:pPr>
              <w:pStyle w:val="16"/>
              <w:spacing w:line="312" w:lineRule="auto"/>
              <w:ind w:left="107" w:right="91" w:firstLine="528"/>
              <w:jc w:val="both"/>
              <w:rPr>
                <w:color w:val="auto"/>
                <w:sz w:val="24"/>
              </w:rPr>
            </w:pPr>
            <w:r>
              <w:rPr>
                <w:color w:val="auto"/>
                <w:sz w:val="24"/>
              </w:rPr>
              <w:t>5</w:t>
            </w:r>
            <w:r>
              <w:rPr>
                <w:color w:val="auto"/>
                <w:spacing w:val="-11"/>
                <w:sz w:val="24"/>
              </w:rPr>
              <w:t xml:space="preserve">、监理服务费按工程进度支付，开工令签发后 </w:t>
            </w:r>
            <w:r>
              <w:rPr>
                <w:color w:val="auto"/>
                <w:sz w:val="24"/>
              </w:rPr>
              <w:t>5</w:t>
            </w:r>
            <w:r>
              <w:rPr>
                <w:color w:val="auto"/>
                <w:spacing w:val="-19"/>
                <w:sz w:val="24"/>
              </w:rPr>
              <w:t xml:space="preserve"> 个工作</w:t>
            </w:r>
            <w:r>
              <w:rPr>
                <w:color w:val="auto"/>
                <w:spacing w:val="-6"/>
                <w:sz w:val="24"/>
              </w:rPr>
              <w:t>日内支付合同价款的</w:t>
            </w:r>
            <w:r>
              <w:rPr>
                <w:color w:val="auto"/>
                <w:sz w:val="24"/>
              </w:rPr>
              <w:t>10%</w:t>
            </w:r>
            <w:r>
              <w:rPr>
                <w:color w:val="auto"/>
                <w:spacing w:val="-10"/>
                <w:sz w:val="24"/>
              </w:rPr>
              <w:t>作为预付款。进度款及剩余款项按约</w:t>
            </w:r>
            <w:r>
              <w:rPr>
                <w:color w:val="auto"/>
                <w:sz w:val="24"/>
              </w:rPr>
              <w:t>定的支付方式支付。</w:t>
            </w:r>
          </w:p>
        </w:tc>
      </w:tr>
    </w:tbl>
    <w:p>
      <w:pPr>
        <w:spacing w:after="0" w:line="298" w:lineRule="exact"/>
        <w:rPr>
          <w:color w:val="auto"/>
          <w:sz w:val="24"/>
        </w:rPr>
        <w:sectPr>
          <w:pgSz w:w="11910" w:h="16840"/>
          <w:pgMar w:top="1400" w:right="1020" w:bottom="820" w:left="1020" w:header="0" w:footer="640" w:gutter="0"/>
          <w:pgBorders>
            <w:top w:val="none" w:sz="0" w:space="0"/>
            <w:left w:val="none" w:sz="0" w:space="0"/>
            <w:bottom w:val="none" w:sz="0" w:space="0"/>
            <w:right w:val="none" w:sz="0" w:space="0"/>
          </w:pgBorders>
          <w:pgNumType w:fmt="decimal"/>
          <w:cols w:space="720" w:num="1"/>
        </w:sectPr>
      </w:pPr>
    </w:p>
    <w:p>
      <w:pPr>
        <w:pStyle w:val="15"/>
        <w:numPr>
          <w:ilvl w:val="0"/>
          <w:numId w:val="10"/>
        </w:numPr>
        <w:tabs>
          <w:tab w:val="left" w:pos="995"/>
          <w:tab w:val="left" w:pos="996"/>
        </w:tabs>
        <w:spacing w:before="62" w:after="0" w:line="240" w:lineRule="auto"/>
        <w:ind w:left="996" w:right="0" w:hanging="421"/>
        <w:jc w:val="left"/>
        <w:rPr>
          <w:b/>
          <w:color w:val="auto"/>
          <w:sz w:val="28"/>
        </w:rPr>
      </w:pPr>
      <w:bookmarkStart w:id="19" w:name="1  总则"/>
      <w:bookmarkEnd w:id="19"/>
      <w:bookmarkStart w:id="20" w:name="1  总则"/>
      <w:bookmarkEnd w:id="20"/>
      <w:r>
        <w:rPr>
          <w:b/>
          <w:color w:val="auto"/>
          <w:sz w:val="28"/>
        </w:rPr>
        <w:t>总则</w:t>
      </w:r>
    </w:p>
    <w:p>
      <w:pPr>
        <w:pStyle w:val="4"/>
        <w:numPr>
          <w:ilvl w:val="1"/>
          <w:numId w:val="10"/>
        </w:numPr>
        <w:tabs>
          <w:tab w:val="left" w:pos="1018"/>
        </w:tabs>
        <w:spacing w:before="131" w:after="0" w:line="240" w:lineRule="auto"/>
        <w:ind w:left="1017" w:right="0" w:hanging="486"/>
        <w:jc w:val="left"/>
        <w:rPr>
          <w:color w:val="auto"/>
        </w:rPr>
      </w:pPr>
      <w:r>
        <w:rPr>
          <w:color w:val="auto"/>
          <w:spacing w:val="-3"/>
        </w:rPr>
        <w:t>招标项目概况</w:t>
      </w:r>
    </w:p>
    <w:p>
      <w:pPr>
        <w:pStyle w:val="15"/>
        <w:numPr>
          <w:ilvl w:val="2"/>
          <w:numId w:val="10"/>
        </w:numPr>
        <w:tabs>
          <w:tab w:val="left" w:pos="1655"/>
          <w:tab w:val="left" w:pos="1656"/>
        </w:tabs>
        <w:spacing w:before="130" w:after="0" w:line="328" w:lineRule="auto"/>
        <w:ind w:left="395" w:right="276" w:firstLine="420"/>
        <w:jc w:val="left"/>
        <w:rPr>
          <w:rFonts w:ascii="Times New Roman" w:eastAsia="Times New Roman"/>
          <w:color w:val="auto"/>
          <w:sz w:val="24"/>
        </w:rPr>
      </w:pPr>
      <w:r>
        <w:rPr>
          <w:color w:val="auto"/>
          <w:spacing w:val="-11"/>
          <w:sz w:val="24"/>
        </w:rPr>
        <w:t>根据《中华人民共和国招标投标法》、《中华人民共和国招标投标法实施条</w:t>
      </w:r>
      <w:r>
        <w:rPr>
          <w:color w:val="auto"/>
          <w:spacing w:val="-14"/>
          <w:sz w:val="24"/>
        </w:rPr>
        <w:t>例》等有关法律、法规和规章的规定，本招标项目已具备招标条件，现对监理进行招标。</w:t>
      </w:r>
    </w:p>
    <w:p>
      <w:pPr>
        <w:pStyle w:val="15"/>
        <w:numPr>
          <w:ilvl w:val="2"/>
          <w:numId w:val="10"/>
        </w:numPr>
        <w:tabs>
          <w:tab w:val="left" w:pos="1337"/>
        </w:tabs>
        <w:spacing w:before="0" w:after="0" w:line="305" w:lineRule="exact"/>
        <w:ind w:left="1336" w:right="0" w:hanging="521"/>
        <w:jc w:val="left"/>
        <w:rPr>
          <w:rFonts w:ascii="Times New Roman" w:eastAsia="Times New Roman"/>
          <w:color w:val="auto"/>
          <w:sz w:val="24"/>
        </w:rPr>
      </w:pPr>
      <w:r>
        <w:rPr>
          <w:color w:val="auto"/>
          <w:sz w:val="24"/>
        </w:rPr>
        <w:t>招标人：见投标人须知前附表。</w:t>
      </w:r>
    </w:p>
    <w:p>
      <w:pPr>
        <w:pStyle w:val="15"/>
        <w:numPr>
          <w:ilvl w:val="2"/>
          <w:numId w:val="10"/>
        </w:numPr>
        <w:tabs>
          <w:tab w:val="left" w:pos="1337"/>
        </w:tabs>
        <w:spacing w:before="115" w:after="0" w:line="240" w:lineRule="auto"/>
        <w:ind w:left="1336" w:right="0" w:hanging="521"/>
        <w:jc w:val="left"/>
        <w:rPr>
          <w:rFonts w:ascii="Times New Roman" w:eastAsia="Times New Roman"/>
          <w:color w:val="auto"/>
          <w:sz w:val="24"/>
        </w:rPr>
      </w:pPr>
      <w:r>
        <w:rPr>
          <w:color w:val="auto"/>
          <w:sz w:val="24"/>
        </w:rPr>
        <w:t>招标代理机构：见投标人须知前附表。</w:t>
      </w:r>
    </w:p>
    <w:p>
      <w:pPr>
        <w:pStyle w:val="15"/>
        <w:numPr>
          <w:ilvl w:val="2"/>
          <w:numId w:val="10"/>
        </w:numPr>
        <w:tabs>
          <w:tab w:val="left" w:pos="1337"/>
        </w:tabs>
        <w:spacing w:before="112" w:after="0" w:line="240" w:lineRule="auto"/>
        <w:ind w:left="1336" w:right="0" w:hanging="521"/>
        <w:jc w:val="left"/>
        <w:rPr>
          <w:rFonts w:ascii="Times New Roman" w:eastAsia="Times New Roman"/>
          <w:color w:val="auto"/>
          <w:sz w:val="24"/>
        </w:rPr>
      </w:pPr>
      <w:r>
        <w:rPr>
          <w:color w:val="auto"/>
          <w:sz w:val="24"/>
        </w:rPr>
        <w:t>招标项目名称：见投标人须知前附表。</w:t>
      </w:r>
    </w:p>
    <w:p>
      <w:pPr>
        <w:pStyle w:val="15"/>
        <w:numPr>
          <w:ilvl w:val="2"/>
          <w:numId w:val="10"/>
        </w:numPr>
        <w:tabs>
          <w:tab w:val="left" w:pos="1337"/>
        </w:tabs>
        <w:spacing w:before="113" w:after="0" w:line="240" w:lineRule="auto"/>
        <w:ind w:left="1336" w:right="0" w:hanging="521"/>
        <w:jc w:val="left"/>
        <w:rPr>
          <w:rFonts w:ascii="Times New Roman" w:eastAsia="Times New Roman"/>
          <w:color w:val="auto"/>
          <w:sz w:val="24"/>
        </w:rPr>
      </w:pPr>
      <w:r>
        <w:rPr>
          <w:color w:val="auto"/>
          <w:sz w:val="24"/>
        </w:rPr>
        <w:t>项目建设地点：见投标人须知前附表。</w:t>
      </w:r>
    </w:p>
    <w:p>
      <w:pPr>
        <w:pStyle w:val="15"/>
        <w:numPr>
          <w:ilvl w:val="2"/>
          <w:numId w:val="10"/>
        </w:numPr>
        <w:tabs>
          <w:tab w:val="left" w:pos="1337"/>
        </w:tabs>
        <w:spacing w:before="112" w:after="0" w:line="240" w:lineRule="auto"/>
        <w:ind w:left="1336" w:right="0" w:hanging="521"/>
        <w:jc w:val="left"/>
        <w:rPr>
          <w:rFonts w:ascii="Times New Roman" w:eastAsia="Times New Roman"/>
          <w:color w:val="auto"/>
          <w:sz w:val="24"/>
        </w:rPr>
      </w:pPr>
      <w:r>
        <w:rPr>
          <w:color w:val="auto"/>
          <w:sz w:val="24"/>
        </w:rPr>
        <w:t>项目建设规模：见投标人须知前附表。</w:t>
      </w:r>
    </w:p>
    <w:p>
      <w:pPr>
        <w:pStyle w:val="15"/>
        <w:numPr>
          <w:ilvl w:val="2"/>
          <w:numId w:val="10"/>
        </w:numPr>
        <w:tabs>
          <w:tab w:val="left" w:pos="1337"/>
        </w:tabs>
        <w:spacing w:before="113" w:after="0" w:line="240" w:lineRule="auto"/>
        <w:ind w:left="1336" w:right="0" w:hanging="521"/>
        <w:jc w:val="left"/>
        <w:rPr>
          <w:rFonts w:ascii="Times New Roman" w:eastAsia="Times New Roman"/>
          <w:color w:val="auto"/>
          <w:sz w:val="24"/>
        </w:rPr>
      </w:pPr>
      <w:r>
        <w:rPr>
          <w:color w:val="auto"/>
          <w:sz w:val="24"/>
        </w:rPr>
        <w:t>工程项目施工预计开工日期和建设周期：见投标人须知前附表。</w:t>
      </w:r>
    </w:p>
    <w:p>
      <w:pPr>
        <w:pStyle w:val="15"/>
        <w:numPr>
          <w:ilvl w:val="2"/>
          <w:numId w:val="10"/>
        </w:numPr>
        <w:tabs>
          <w:tab w:val="left" w:pos="1337"/>
        </w:tabs>
        <w:spacing w:before="112" w:after="0" w:line="240" w:lineRule="auto"/>
        <w:ind w:left="1336" w:right="0" w:hanging="521"/>
        <w:jc w:val="left"/>
        <w:rPr>
          <w:rFonts w:ascii="Times New Roman" w:eastAsia="Times New Roman"/>
          <w:color w:val="auto"/>
          <w:sz w:val="21"/>
        </w:rPr>
      </w:pPr>
      <w:r>
        <w:rPr>
          <w:color w:val="auto"/>
          <w:sz w:val="24"/>
        </w:rPr>
        <w:t>建筑安装工程费</w:t>
      </w:r>
      <w:r>
        <w:rPr>
          <w:rFonts w:ascii="Times New Roman" w:eastAsia="Times New Roman"/>
          <w:color w:val="auto"/>
          <w:sz w:val="24"/>
        </w:rPr>
        <w:t>/</w:t>
      </w:r>
      <w:r>
        <w:rPr>
          <w:color w:val="auto"/>
          <w:sz w:val="24"/>
        </w:rPr>
        <w:t>工程概算：见投标人须知前附表。</w:t>
      </w:r>
    </w:p>
    <w:p>
      <w:pPr>
        <w:pStyle w:val="4"/>
        <w:numPr>
          <w:ilvl w:val="1"/>
          <w:numId w:val="10"/>
        </w:numPr>
        <w:tabs>
          <w:tab w:val="left" w:pos="1018"/>
        </w:tabs>
        <w:spacing w:before="114" w:after="0" w:line="240" w:lineRule="auto"/>
        <w:ind w:left="1017" w:right="0" w:hanging="486"/>
        <w:jc w:val="left"/>
        <w:rPr>
          <w:color w:val="auto"/>
        </w:rPr>
      </w:pPr>
      <w:r>
        <w:rPr>
          <w:color w:val="auto"/>
          <w:spacing w:val="-3"/>
        </w:rPr>
        <w:t>招标项目的资金来源和落实情况</w:t>
      </w:r>
    </w:p>
    <w:p>
      <w:pPr>
        <w:pStyle w:val="15"/>
        <w:numPr>
          <w:ilvl w:val="2"/>
          <w:numId w:val="10"/>
        </w:numPr>
        <w:tabs>
          <w:tab w:val="left" w:pos="1337"/>
        </w:tabs>
        <w:spacing w:before="130" w:after="0" w:line="240" w:lineRule="auto"/>
        <w:ind w:left="1336" w:right="0" w:hanging="521"/>
        <w:jc w:val="left"/>
        <w:rPr>
          <w:rFonts w:ascii="Times New Roman" w:eastAsia="Times New Roman"/>
          <w:color w:val="auto"/>
          <w:sz w:val="24"/>
        </w:rPr>
      </w:pPr>
      <w:r>
        <w:rPr>
          <w:color w:val="auto"/>
          <w:sz w:val="24"/>
        </w:rPr>
        <w:t>资金来源及比例：见投标人须知前附表。</w:t>
      </w:r>
    </w:p>
    <w:p>
      <w:pPr>
        <w:pStyle w:val="15"/>
        <w:numPr>
          <w:ilvl w:val="2"/>
          <w:numId w:val="10"/>
        </w:numPr>
        <w:tabs>
          <w:tab w:val="left" w:pos="1337"/>
        </w:tabs>
        <w:spacing w:before="112" w:after="0" w:line="240" w:lineRule="auto"/>
        <w:ind w:left="1336" w:right="0" w:hanging="521"/>
        <w:jc w:val="left"/>
        <w:rPr>
          <w:rFonts w:ascii="Times New Roman" w:eastAsia="Times New Roman"/>
          <w:color w:val="auto"/>
          <w:sz w:val="21"/>
        </w:rPr>
      </w:pPr>
      <w:r>
        <w:rPr>
          <w:color w:val="auto"/>
          <w:sz w:val="24"/>
        </w:rPr>
        <w:t>资金落实情况：见投标人须知前附表。</w:t>
      </w:r>
    </w:p>
    <w:p>
      <w:pPr>
        <w:pStyle w:val="4"/>
        <w:numPr>
          <w:ilvl w:val="1"/>
          <w:numId w:val="10"/>
        </w:numPr>
        <w:tabs>
          <w:tab w:val="left" w:pos="958"/>
        </w:tabs>
        <w:spacing w:before="113" w:after="0" w:line="240" w:lineRule="auto"/>
        <w:ind w:left="957" w:right="0" w:hanging="426"/>
        <w:jc w:val="left"/>
        <w:rPr>
          <w:color w:val="auto"/>
        </w:rPr>
      </w:pPr>
      <w:r>
        <w:rPr>
          <w:color w:val="auto"/>
          <w:spacing w:val="-3"/>
        </w:rPr>
        <w:t>招标范围、监理服务期限和质量标准</w:t>
      </w:r>
    </w:p>
    <w:p>
      <w:pPr>
        <w:pStyle w:val="15"/>
        <w:numPr>
          <w:ilvl w:val="2"/>
          <w:numId w:val="10"/>
        </w:numPr>
        <w:tabs>
          <w:tab w:val="left" w:pos="1337"/>
        </w:tabs>
        <w:spacing w:before="130" w:after="0" w:line="240" w:lineRule="auto"/>
        <w:ind w:left="1336" w:right="0" w:hanging="521"/>
        <w:jc w:val="left"/>
        <w:rPr>
          <w:rFonts w:ascii="Times New Roman" w:eastAsia="Times New Roman"/>
          <w:color w:val="auto"/>
          <w:sz w:val="24"/>
        </w:rPr>
      </w:pPr>
      <w:r>
        <w:rPr>
          <w:color w:val="auto"/>
          <w:sz w:val="24"/>
        </w:rPr>
        <w:t>招标范围：见投标人须知前附表。</w:t>
      </w:r>
    </w:p>
    <w:p>
      <w:pPr>
        <w:pStyle w:val="15"/>
        <w:numPr>
          <w:ilvl w:val="2"/>
          <w:numId w:val="10"/>
        </w:numPr>
        <w:tabs>
          <w:tab w:val="left" w:pos="1337"/>
        </w:tabs>
        <w:spacing w:before="115" w:after="0" w:line="240" w:lineRule="auto"/>
        <w:ind w:left="1336" w:right="0" w:hanging="521"/>
        <w:jc w:val="left"/>
        <w:rPr>
          <w:rFonts w:ascii="Times New Roman" w:eastAsia="Times New Roman"/>
          <w:color w:val="auto"/>
          <w:sz w:val="24"/>
        </w:rPr>
      </w:pPr>
      <w:r>
        <w:rPr>
          <w:color w:val="auto"/>
          <w:sz w:val="24"/>
        </w:rPr>
        <w:t>监理服务期限：见投标人须知前附表。</w:t>
      </w:r>
    </w:p>
    <w:p>
      <w:pPr>
        <w:pStyle w:val="15"/>
        <w:numPr>
          <w:ilvl w:val="2"/>
          <w:numId w:val="10"/>
        </w:numPr>
        <w:tabs>
          <w:tab w:val="left" w:pos="1337"/>
        </w:tabs>
        <w:spacing w:before="113" w:after="0" w:line="240" w:lineRule="auto"/>
        <w:ind w:left="1336" w:right="0" w:hanging="521"/>
        <w:jc w:val="left"/>
        <w:rPr>
          <w:rFonts w:ascii="Times New Roman" w:eastAsia="Times New Roman"/>
          <w:color w:val="auto"/>
          <w:sz w:val="21"/>
        </w:rPr>
      </w:pPr>
      <w:r>
        <w:rPr>
          <w:color w:val="auto"/>
          <w:sz w:val="24"/>
        </w:rPr>
        <w:t>质量标准：见投标人须知前附表。</w:t>
      </w:r>
    </w:p>
    <w:p>
      <w:pPr>
        <w:pStyle w:val="4"/>
        <w:numPr>
          <w:ilvl w:val="1"/>
          <w:numId w:val="10"/>
        </w:numPr>
        <w:tabs>
          <w:tab w:val="left" w:pos="958"/>
        </w:tabs>
        <w:spacing w:before="113" w:after="0" w:line="240" w:lineRule="auto"/>
        <w:ind w:left="957" w:right="0" w:hanging="426"/>
        <w:jc w:val="left"/>
        <w:rPr>
          <w:color w:val="auto"/>
        </w:rPr>
      </w:pPr>
      <w:r>
        <w:rPr>
          <w:color w:val="auto"/>
          <w:spacing w:val="-3"/>
        </w:rPr>
        <w:t>投标人资格要求</w:t>
      </w:r>
    </w:p>
    <w:p>
      <w:pPr>
        <w:pStyle w:val="15"/>
        <w:numPr>
          <w:ilvl w:val="2"/>
          <w:numId w:val="10"/>
        </w:numPr>
        <w:tabs>
          <w:tab w:val="left" w:pos="1337"/>
        </w:tabs>
        <w:spacing w:before="130" w:after="0" w:line="240" w:lineRule="auto"/>
        <w:ind w:left="1336" w:right="0" w:hanging="521"/>
        <w:jc w:val="left"/>
        <w:rPr>
          <w:rFonts w:ascii="Times New Roman" w:eastAsia="Times New Roman"/>
          <w:color w:val="auto"/>
          <w:sz w:val="24"/>
        </w:rPr>
      </w:pPr>
      <w:r>
        <w:rPr>
          <w:color w:val="auto"/>
          <w:sz w:val="24"/>
        </w:rPr>
        <w:t>投标人应具备承担本招标项目资质条件、能力和信誉：</w:t>
      </w:r>
    </w:p>
    <w:p>
      <w:pPr>
        <w:pStyle w:val="15"/>
        <w:numPr>
          <w:ilvl w:val="0"/>
          <w:numId w:val="11"/>
        </w:numPr>
        <w:tabs>
          <w:tab w:val="left" w:pos="1319"/>
        </w:tabs>
        <w:spacing w:before="113" w:after="0" w:line="240" w:lineRule="auto"/>
        <w:ind w:left="1318" w:right="0" w:hanging="602"/>
        <w:jc w:val="left"/>
        <w:rPr>
          <w:color w:val="auto"/>
          <w:sz w:val="24"/>
        </w:rPr>
      </w:pPr>
      <w:r>
        <w:rPr>
          <w:color w:val="auto"/>
          <w:sz w:val="24"/>
        </w:rPr>
        <w:t>资质要求：见投标人须知前附表；</w:t>
      </w:r>
    </w:p>
    <w:p>
      <w:pPr>
        <w:pStyle w:val="15"/>
        <w:numPr>
          <w:ilvl w:val="0"/>
          <w:numId w:val="11"/>
        </w:numPr>
        <w:tabs>
          <w:tab w:val="left" w:pos="1319"/>
        </w:tabs>
        <w:spacing w:before="112" w:after="0" w:line="240" w:lineRule="auto"/>
        <w:ind w:left="1318" w:right="0" w:hanging="602"/>
        <w:jc w:val="left"/>
        <w:rPr>
          <w:color w:val="auto"/>
          <w:sz w:val="24"/>
        </w:rPr>
      </w:pPr>
      <w:r>
        <w:rPr>
          <w:color w:val="auto"/>
          <w:sz w:val="24"/>
        </w:rPr>
        <w:t>财务要求：见投标人须知前附表；</w:t>
      </w:r>
    </w:p>
    <w:p>
      <w:pPr>
        <w:pStyle w:val="15"/>
        <w:numPr>
          <w:ilvl w:val="0"/>
          <w:numId w:val="11"/>
        </w:numPr>
        <w:tabs>
          <w:tab w:val="left" w:pos="1319"/>
        </w:tabs>
        <w:spacing w:before="113" w:after="0" w:line="240" w:lineRule="auto"/>
        <w:ind w:left="1318" w:right="0" w:hanging="602"/>
        <w:jc w:val="left"/>
        <w:rPr>
          <w:color w:val="auto"/>
          <w:sz w:val="24"/>
        </w:rPr>
      </w:pPr>
      <w:r>
        <w:rPr>
          <w:color w:val="auto"/>
          <w:sz w:val="24"/>
        </w:rPr>
        <w:t>业绩要求：见投标人须知前附表；</w:t>
      </w:r>
    </w:p>
    <w:p>
      <w:pPr>
        <w:pStyle w:val="15"/>
        <w:numPr>
          <w:ilvl w:val="0"/>
          <w:numId w:val="11"/>
        </w:numPr>
        <w:tabs>
          <w:tab w:val="left" w:pos="1319"/>
        </w:tabs>
        <w:spacing w:before="112" w:after="0" w:line="240" w:lineRule="auto"/>
        <w:ind w:left="1318" w:right="0" w:hanging="602"/>
        <w:jc w:val="left"/>
        <w:rPr>
          <w:color w:val="auto"/>
          <w:sz w:val="24"/>
        </w:rPr>
      </w:pPr>
      <w:r>
        <w:rPr>
          <w:color w:val="auto"/>
          <w:sz w:val="24"/>
        </w:rPr>
        <w:t>信誉要求：见投标人须知前附表；</w:t>
      </w:r>
    </w:p>
    <w:p>
      <w:pPr>
        <w:pStyle w:val="15"/>
        <w:numPr>
          <w:ilvl w:val="0"/>
          <w:numId w:val="11"/>
        </w:numPr>
        <w:tabs>
          <w:tab w:val="left" w:pos="1244"/>
        </w:tabs>
        <w:spacing w:before="113" w:after="0" w:line="328" w:lineRule="auto"/>
        <w:ind w:left="395" w:right="395" w:firstLine="240"/>
        <w:jc w:val="left"/>
        <w:rPr>
          <w:color w:val="auto"/>
          <w:sz w:val="24"/>
        </w:rPr>
      </w:pPr>
      <w:r>
        <w:rPr>
          <w:color w:val="auto"/>
          <w:sz w:val="24"/>
        </w:rPr>
        <w:t>总监理工程师的资格要求：应当具备工程注册监理工程师执业资格（如有）， 具体要求见投标人须知前附表；</w:t>
      </w:r>
    </w:p>
    <w:p>
      <w:pPr>
        <w:pStyle w:val="15"/>
        <w:numPr>
          <w:ilvl w:val="0"/>
          <w:numId w:val="11"/>
        </w:numPr>
        <w:tabs>
          <w:tab w:val="left" w:pos="1319"/>
        </w:tabs>
        <w:spacing w:before="0" w:after="0" w:line="240" w:lineRule="auto"/>
        <w:ind w:left="1318" w:right="0" w:hanging="602"/>
        <w:jc w:val="left"/>
        <w:rPr>
          <w:color w:val="auto"/>
          <w:sz w:val="24"/>
        </w:rPr>
      </w:pPr>
      <w:r>
        <w:rPr>
          <w:color w:val="auto"/>
          <w:sz w:val="24"/>
        </w:rPr>
        <w:t>其他主要人员要求：见投标人须知前附表。</w:t>
      </w:r>
    </w:p>
    <w:p>
      <w:pPr>
        <w:pStyle w:val="15"/>
        <w:numPr>
          <w:ilvl w:val="0"/>
          <w:numId w:val="11"/>
        </w:numPr>
        <w:tabs>
          <w:tab w:val="left" w:pos="1319"/>
        </w:tabs>
        <w:spacing w:before="112" w:after="0" w:line="240" w:lineRule="auto"/>
        <w:ind w:left="1318" w:right="0" w:hanging="602"/>
        <w:jc w:val="left"/>
        <w:rPr>
          <w:color w:val="auto"/>
          <w:sz w:val="24"/>
        </w:rPr>
      </w:pPr>
      <w:r>
        <w:rPr>
          <w:color w:val="auto"/>
          <w:sz w:val="24"/>
        </w:rPr>
        <w:t>试验检测仪器设备要求：见投标人须知前附表。</w:t>
      </w:r>
    </w:p>
    <w:p>
      <w:pPr>
        <w:pStyle w:val="15"/>
        <w:numPr>
          <w:ilvl w:val="0"/>
          <w:numId w:val="11"/>
        </w:numPr>
        <w:tabs>
          <w:tab w:val="left" w:pos="1319"/>
        </w:tabs>
        <w:spacing w:before="113" w:after="0" w:line="240" w:lineRule="auto"/>
        <w:ind w:left="1318" w:right="0" w:hanging="602"/>
        <w:jc w:val="left"/>
        <w:rPr>
          <w:color w:val="auto"/>
          <w:sz w:val="24"/>
        </w:rPr>
      </w:pPr>
      <w:r>
        <w:rPr>
          <w:color w:val="auto"/>
          <w:sz w:val="24"/>
        </w:rPr>
        <w:t>其他要求：见投标人须知前附表。</w:t>
      </w:r>
    </w:p>
    <w:p>
      <w:pPr>
        <w:pStyle w:val="7"/>
        <w:spacing w:before="112"/>
        <w:ind w:left="816"/>
        <w:rPr>
          <w:color w:val="auto"/>
        </w:rPr>
      </w:pPr>
      <w:r>
        <w:rPr>
          <w:color w:val="auto"/>
        </w:rPr>
        <w:t xml:space="preserve">需要提交的相关证明材料见本章第 </w:t>
      </w:r>
      <w:r>
        <w:rPr>
          <w:rFonts w:ascii="Times New Roman" w:eastAsia="Times New Roman"/>
          <w:color w:val="auto"/>
        </w:rPr>
        <w:t xml:space="preserve">3.5  </w:t>
      </w:r>
      <w:r>
        <w:rPr>
          <w:color w:val="auto"/>
        </w:rPr>
        <w:t>款的规定。</w:t>
      </w:r>
    </w:p>
    <w:p>
      <w:pPr>
        <w:pStyle w:val="15"/>
        <w:numPr>
          <w:ilvl w:val="2"/>
          <w:numId w:val="10"/>
        </w:numPr>
        <w:tabs>
          <w:tab w:val="left" w:pos="1320"/>
        </w:tabs>
        <w:spacing w:before="113" w:after="0" w:line="328" w:lineRule="auto"/>
        <w:ind w:left="395" w:right="396" w:firstLine="420"/>
        <w:jc w:val="left"/>
        <w:rPr>
          <w:rFonts w:ascii="Times New Roman" w:eastAsia="Times New Roman"/>
          <w:color w:val="auto"/>
          <w:sz w:val="24"/>
        </w:rPr>
      </w:pPr>
      <w:r>
        <w:rPr>
          <w:color w:val="auto"/>
          <w:spacing w:val="-1"/>
          <w:sz w:val="24"/>
        </w:rPr>
        <w:t xml:space="preserve">投标人须知前附表规定接受联合体投标的，联合体除应符合本章第 </w:t>
      </w:r>
      <w:r>
        <w:rPr>
          <w:rFonts w:ascii="Times New Roman" w:eastAsia="Times New Roman"/>
          <w:color w:val="auto"/>
          <w:sz w:val="24"/>
        </w:rPr>
        <w:t xml:space="preserve">1.4.1 </w:t>
      </w:r>
      <w:r>
        <w:rPr>
          <w:color w:val="auto"/>
          <w:spacing w:val="-9"/>
          <w:sz w:val="24"/>
        </w:rPr>
        <w:t>项和</w:t>
      </w:r>
      <w:r>
        <w:rPr>
          <w:color w:val="auto"/>
          <w:sz w:val="24"/>
        </w:rPr>
        <w:t>投标人须知前附表的要求外，还应遵守以下规定：</w:t>
      </w:r>
    </w:p>
    <w:p>
      <w:pPr>
        <w:spacing w:after="0" w:line="328" w:lineRule="auto"/>
        <w:jc w:val="left"/>
        <w:rPr>
          <w:rFonts w:ascii="Times New Roman" w:eastAsia="Times New Roman"/>
          <w:color w:val="auto"/>
          <w:sz w:val="24"/>
        </w:rPr>
        <w:sectPr>
          <w:pgSz w:w="11910" w:h="16840"/>
          <w:pgMar w:top="1340" w:right="1020" w:bottom="820" w:left="1020" w:header="0" w:footer="640" w:gutter="0"/>
          <w:pgBorders>
            <w:top w:val="none" w:sz="0" w:space="0"/>
            <w:left w:val="none" w:sz="0" w:space="0"/>
            <w:bottom w:val="none" w:sz="0" w:space="0"/>
            <w:right w:val="none" w:sz="0" w:space="0"/>
          </w:pgBorders>
          <w:pgNumType w:fmt="decimal"/>
          <w:cols w:space="720" w:num="1"/>
        </w:sectPr>
      </w:pPr>
    </w:p>
    <w:p>
      <w:pPr>
        <w:pStyle w:val="15"/>
        <w:numPr>
          <w:ilvl w:val="0"/>
          <w:numId w:val="12"/>
        </w:numPr>
        <w:tabs>
          <w:tab w:val="left" w:pos="1312"/>
        </w:tabs>
        <w:spacing w:before="61" w:after="0" w:line="328" w:lineRule="auto"/>
        <w:ind w:left="395" w:right="396" w:firstLine="314"/>
        <w:jc w:val="left"/>
        <w:rPr>
          <w:color w:val="auto"/>
          <w:sz w:val="24"/>
        </w:rPr>
      </w:pPr>
      <w:r>
        <w:rPr>
          <w:color w:val="auto"/>
          <w:spacing w:val="-2"/>
          <w:sz w:val="24"/>
        </w:rPr>
        <w:t>联合体各方应按招标文件提供的格式签订联合体协议书，明确联合体牵头人和</w:t>
      </w:r>
      <w:r>
        <w:rPr>
          <w:color w:val="auto"/>
          <w:sz w:val="24"/>
        </w:rPr>
        <w:t>各方权利义务，并承诺就中标项目向招标人承担连带责任；</w:t>
      </w:r>
    </w:p>
    <w:p>
      <w:pPr>
        <w:pStyle w:val="15"/>
        <w:numPr>
          <w:ilvl w:val="0"/>
          <w:numId w:val="12"/>
        </w:numPr>
        <w:tabs>
          <w:tab w:val="left" w:pos="1319"/>
        </w:tabs>
        <w:spacing w:before="0" w:after="0" w:line="305" w:lineRule="exact"/>
        <w:ind w:left="1318" w:right="0" w:hanging="602"/>
        <w:jc w:val="left"/>
        <w:rPr>
          <w:color w:val="auto"/>
          <w:sz w:val="24"/>
        </w:rPr>
      </w:pPr>
      <w:r>
        <w:rPr>
          <w:color w:val="auto"/>
          <w:sz w:val="24"/>
        </w:rPr>
        <w:t>由同一专业的单位组成的联合体，按照资质等级较低的单位确定资质等级；</w:t>
      </w:r>
    </w:p>
    <w:p>
      <w:pPr>
        <w:pStyle w:val="15"/>
        <w:numPr>
          <w:ilvl w:val="0"/>
          <w:numId w:val="12"/>
        </w:numPr>
        <w:tabs>
          <w:tab w:val="left" w:pos="1484"/>
        </w:tabs>
        <w:spacing w:before="113" w:after="0" w:line="328" w:lineRule="auto"/>
        <w:ind w:left="395" w:right="395" w:firstLine="480"/>
        <w:jc w:val="left"/>
        <w:rPr>
          <w:color w:val="auto"/>
          <w:sz w:val="24"/>
        </w:rPr>
      </w:pPr>
      <w:r>
        <w:rPr>
          <w:color w:val="auto"/>
          <w:sz w:val="24"/>
        </w:rPr>
        <w:t>联合体各方不得再以自己名义单独或参加其他联合体在本招标项目中投标， 否则各相关投标均无效。</w:t>
      </w:r>
    </w:p>
    <w:p>
      <w:pPr>
        <w:pStyle w:val="15"/>
        <w:numPr>
          <w:ilvl w:val="2"/>
          <w:numId w:val="10"/>
        </w:numPr>
        <w:tabs>
          <w:tab w:val="left" w:pos="1337"/>
        </w:tabs>
        <w:spacing w:before="0" w:after="0" w:line="305" w:lineRule="exact"/>
        <w:ind w:left="1336" w:right="0" w:hanging="521"/>
        <w:jc w:val="left"/>
        <w:rPr>
          <w:rFonts w:ascii="Times New Roman" w:eastAsia="Times New Roman"/>
          <w:color w:val="auto"/>
          <w:sz w:val="24"/>
        </w:rPr>
      </w:pPr>
      <w:r>
        <w:rPr>
          <w:color w:val="auto"/>
          <w:sz w:val="24"/>
        </w:rPr>
        <w:t>投标人不得存在下列情形之一：</w:t>
      </w:r>
    </w:p>
    <w:p>
      <w:pPr>
        <w:pStyle w:val="15"/>
        <w:numPr>
          <w:ilvl w:val="0"/>
          <w:numId w:val="13"/>
        </w:numPr>
        <w:tabs>
          <w:tab w:val="left" w:pos="1417"/>
        </w:tabs>
        <w:spacing w:before="112" w:after="0" w:line="240" w:lineRule="auto"/>
        <w:ind w:left="1417" w:right="0" w:hanging="601"/>
        <w:jc w:val="left"/>
        <w:rPr>
          <w:color w:val="auto"/>
          <w:sz w:val="24"/>
        </w:rPr>
      </w:pPr>
      <w:r>
        <w:rPr>
          <w:color w:val="auto"/>
          <w:sz w:val="24"/>
        </w:rPr>
        <w:t>为招标人不具有独立法人资格的附属机构（单位）；</w:t>
      </w:r>
    </w:p>
    <w:p>
      <w:pPr>
        <w:pStyle w:val="15"/>
        <w:numPr>
          <w:ilvl w:val="0"/>
          <w:numId w:val="13"/>
        </w:numPr>
        <w:tabs>
          <w:tab w:val="left" w:pos="1417"/>
        </w:tabs>
        <w:spacing w:before="113" w:after="0" w:line="240" w:lineRule="auto"/>
        <w:ind w:left="1417" w:right="0" w:hanging="601"/>
        <w:jc w:val="left"/>
        <w:rPr>
          <w:color w:val="auto"/>
          <w:sz w:val="24"/>
        </w:rPr>
      </w:pPr>
      <w:r>
        <w:rPr>
          <w:color w:val="auto"/>
          <w:sz w:val="24"/>
        </w:rPr>
        <w:t>与招标人存在利害关系且可能影响招标公正性；</w:t>
      </w:r>
    </w:p>
    <w:p>
      <w:pPr>
        <w:pStyle w:val="15"/>
        <w:numPr>
          <w:ilvl w:val="0"/>
          <w:numId w:val="13"/>
        </w:numPr>
        <w:tabs>
          <w:tab w:val="left" w:pos="1417"/>
        </w:tabs>
        <w:spacing w:before="112" w:after="0" w:line="240" w:lineRule="auto"/>
        <w:ind w:left="1417" w:right="0" w:hanging="601"/>
        <w:jc w:val="left"/>
        <w:rPr>
          <w:color w:val="auto"/>
          <w:sz w:val="24"/>
        </w:rPr>
      </w:pPr>
      <w:r>
        <w:rPr>
          <w:color w:val="auto"/>
          <w:sz w:val="24"/>
        </w:rPr>
        <w:t>与本招标项目的其他投标人为同一个单位负责人；</w:t>
      </w:r>
    </w:p>
    <w:p>
      <w:pPr>
        <w:pStyle w:val="15"/>
        <w:numPr>
          <w:ilvl w:val="0"/>
          <w:numId w:val="13"/>
        </w:numPr>
        <w:tabs>
          <w:tab w:val="left" w:pos="1417"/>
        </w:tabs>
        <w:spacing w:before="113" w:after="0" w:line="240" w:lineRule="auto"/>
        <w:ind w:left="1417" w:right="0" w:hanging="601"/>
        <w:jc w:val="left"/>
        <w:rPr>
          <w:color w:val="auto"/>
          <w:sz w:val="24"/>
        </w:rPr>
      </w:pPr>
      <w:r>
        <w:rPr>
          <w:color w:val="auto"/>
          <w:sz w:val="24"/>
        </w:rPr>
        <w:t>与本招标项目的其他投标人存在控股、管理关系；</w:t>
      </w:r>
    </w:p>
    <w:p>
      <w:pPr>
        <w:pStyle w:val="15"/>
        <w:numPr>
          <w:ilvl w:val="0"/>
          <w:numId w:val="13"/>
        </w:numPr>
        <w:tabs>
          <w:tab w:val="left" w:pos="1417"/>
        </w:tabs>
        <w:spacing w:before="112" w:after="0" w:line="240" w:lineRule="auto"/>
        <w:ind w:left="1417" w:right="0" w:hanging="601"/>
        <w:jc w:val="left"/>
        <w:rPr>
          <w:color w:val="auto"/>
          <w:sz w:val="24"/>
        </w:rPr>
      </w:pPr>
      <w:r>
        <w:rPr>
          <w:color w:val="auto"/>
          <w:sz w:val="24"/>
        </w:rPr>
        <w:t>为本招标项目的代建人；</w:t>
      </w:r>
    </w:p>
    <w:p>
      <w:pPr>
        <w:pStyle w:val="15"/>
        <w:numPr>
          <w:ilvl w:val="0"/>
          <w:numId w:val="13"/>
        </w:numPr>
        <w:tabs>
          <w:tab w:val="left" w:pos="1417"/>
        </w:tabs>
        <w:spacing w:before="115" w:after="0" w:line="240" w:lineRule="auto"/>
        <w:ind w:left="1417" w:right="0" w:hanging="601"/>
        <w:jc w:val="left"/>
        <w:rPr>
          <w:color w:val="auto"/>
          <w:sz w:val="24"/>
        </w:rPr>
      </w:pPr>
      <w:r>
        <w:rPr>
          <w:color w:val="auto"/>
          <w:sz w:val="24"/>
        </w:rPr>
        <w:t>为本招标项目的招标代理机构；</w:t>
      </w:r>
    </w:p>
    <w:p>
      <w:pPr>
        <w:pStyle w:val="15"/>
        <w:numPr>
          <w:ilvl w:val="0"/>
          <w:numId w:val="13"/>
        </w:numPr>
        <w:tabs>
          <w:tab w:val="left" w:pos="1417"/>
        </w:tabs>
        <w:spacing w:before="113" w:after="0" w:line="240" w:lineRule="auto"/>
        <w:ind w:left="1417" w:right="0" w:hanging="601"/>
        <w:jc w:val="left"/>
        <w:rPr>
          <w:color w:val="auto"/>
          <w:sz w:val="24"/>
        </w:rPr>
      </w:pPr>
      <w:r>
        <w:rPr>
          <w:color w:val="auto"/>
          <w:sz w:val="24"/>
        </w:rPr>
        <w:t>与本招标项目的代建人或招标代理机构同为一个法定代表人；</w:t>
      </w:r>
    </w:p>
    <w:p>
      <w:pPr>
        <w:pStyle w:val="15"/>
        <w:numPr>
          <w:ilvl w:val="0"/>
          <w:numId w:val="13"/>
        </w:numPr>
        <w:tabs>
          <w:tab w:val="left" w:pos="1417"/>
        </w:tabs>
        <w:spacing w:before="112" w:after="0" w:line="240" w:lineRule="auto"/>
        <w:ind w:left="1417" w:right="0" w:hanging="601"/>
        <w:jc w:val="left"/>
        <w:rPr>
          <w:color w:val="auto"/>
          <w:sz w:val="24"/>
        </w:rPr>
      </w:pPr>
      <w:r>
        <w:rPr>
          <w:color w:val="auto"/>
          <w:sz w:val="24"/>
        </w:rPr>
        <w:t>与本招标项目的代建人或招标代理机构存在控股或参股关系；</w:t>
      </w:r>
    </w:p>
    <w:p>
      <w:pPr>
        <w:pStyle w:val="15"/>
        <w:numPr>
          <w:ilvl w:val="0"/>
          <w:numId w:val="13"/>
        </w:numPr>
        <w:tabs>
          <w:tab w:val="left" w:pos="1417"/>
        </w:tabs>
        <w:spacing w:before="113" w:after="0" w:line="328" w:lineRule="auto"/>
        <w:ind w:left="816" w:right="396" w:firstLine="0"/>
        <w:jc w:val="left"/>
        <w:rPr>
          <w:color w:val="auto"/>
          <w:sz w:val="24"/>
        </w:rPr>
      </w:pPr>
      <w:r>
        <w:rPr>
          <w:color w:val="auto"/>
          <w:spacing w:val="-7"/>
          <w:sz w:val="24"/>
        </w:rPr>
        <w:t>与本招标项目的施工承包人以及建筑材料、建筑构配件和设备供应商有隶属关</w:t>
      </w:r>
      <w:r>
        <w:rPr>
          <w:color w:val="auto"/>
          <w:sz w:val="24"/>
        </w:rPr>
        <w:t>系或者其他利害关系；</w:t>
      </w:r>
    </w:p>
    <w:p>
      <w:pPr>
        <w:pStyle w:val="15"/>
        <w:numPr>
          <w:ilvl w:val="0"/>
          <w:numId w:val="13"/>
        </w:numPr>
        <w:tabs>
          <w:tab w:val="left" w:pos="1537"/>
        </w:tabs>
        <w:spacing w:before="0" w:after="0" w:line="305" w:lineRule="exact"/>
        <w:ind w:left="1537" w:right="0" w:hanging="721"/>
        <w:jc w:val="left"/>
        <w:rPr>
          <w:color w:val="auto"/>
          <w:sz w:val="24"/>
        </w:rPr>
      </w:pPr>
      <w:r>
        <w:rPr>
          <w:color w:val="auto"/>
          <w:sz w:val="24"/>
        </w:rPr>
        <w:t>被依法暂停或者取消投标资格；</w:t>
      </w:r>
    </w:p>
    <w:p>
      <w:pPr>
        <w:pStyle w:val="15"/>
        <w:numPr>
          <w:ilvl w:val="0"/>
          <w:numId w:val="13"/>
        </w:numPr>
        <w:tabs>
          <w:tab w:val="left" w:pos="1530"/>
        </w:tabs>
        <w:spacing w:before="112" w:after="0" w:line="240" w:lineRule="auto"/>
        <w:ind w:left="1529" w:right="0" w:hanging="714"/>
        <w:jc w:val="left"/>
        <w:rPr>
          <w:color w:val="auto"/>
          <w:sz w:val="24"/>
        </w:rPr>
      </w:pPr>
      <w:r>
        <w:rPr>
          <w:color w:val="auto"/>
          <w:sz w:val="24"/>
        </w:rPr>
        <w:t>被责令停产停业、暂扣或者吊销许可证、暂扣或者吊销执照；</w:t>
      </w:r>
    </w:p>
    <w:p>
      <w:pPr>
        <w:pStyle w:val="15"/>
        <w:numPr>
          <w:ilvl w:val="0"/>
          <w:numId w:val="13"/>
        </w:numPr>
        <w:tabs>
          <w:tab w:val="left" w:pos="1537"/>
        </w:tabs>
        <w:spacing w:before="113" w:after="0" w:line="240" w:lineRule="auto"/>
        <w:ind w:left="1537" w:right="0" w:hanging="721"/>
        <w:jc w:val="left"/>
        <w:rPr>
          <w:color w:val="auto"/>
          <w:sz w:val="24"/>
        </w:rPr>
      </w:pPr>
      <w:r>
        <w:rPr>
          <w:color w:val="auto"/>
          <w:sz w:val="24"/>
        </w:rPr>
        <w:t>进入清算程序，或被宣告破产，或其他丧失履约能力的情形；</w:t>
      </w:r>
    </w:p>
    <w:p>
      <w:pPr>
        <w:pStyle w:val="15"/>
        <w:numPr>
          <w:ilvl w:val="0"/>
          <w:numId w:val="13"/>
        </w:numPr>
        <w:tabs>
          <w:tab w:val="left" w:pos="1537"/>
        </w:tabs>
        <w:spacing w:before="112" w:after="0" w:line="328" w:lineRule="auto"/>
        <w:ind w:left="816" w:right="395" w:firstLine="0"/>
        <w:jc w:val="left"/>
        <w:rPr>
          <w:color w:val="auto"/>
          <w:sz w:val="24"/>
        </w:rPr>
      </w:pPr>
      <w:r>
        <w:rPr>
          <w:color w:val="auto"/>
          <w:sz w:val="24"/>
        </w:rPr>
        <w:t>在最近三年内发生重大监理质量问题（</w:t>
      </w:r>
      <w:r>
        <w:rPr>
          <w:color w:val="auto"/>
          <w:spacing w:val="-1"/>
          <w:sz w:val="24"/>
        </w:rPr>
        <w:t>以相关行业主管部门的行政处罚决定</w:t>
      </w:r>
      <w:r>
        <w:rPr>
          <w:color w:val="auto"/>
          <w:sz w:val="24"/>
        </w:rPr>
        <w:t>或司法机关出具的有关法律文书为准）；</w:t>
      </w:r>
    </w:p>
    <w:p>
      <w:pPr>
        <w:pStyle w:val="15"/>
        <w:numPr>
          <w:ilvl w:val="0"/>
          <w:numId w:val="13"/>
        </w:numPr>
        <w:tabs>
          <w:tab w:val="left" w:pos="1537"/>
        </w:tabs>
        <w:spacing w:before="0" w:after="0" w:line="328" w:lineRule="auto"/>
        <w:ind w:left="816" w:right="395" w:firstLine="0"/>
        <w:jc w:val="left"/>
        <w:rPr>
          <w:color w:val="auto"/>
          <w:sz w:val="24"/>
        </w:rPr>
      </w:pPr>
      <w:r>
        <w:rPr>
          <w:color w:val="auto"/>
          <w:spacing w:val="-1"/>
          <w:sz w:val="24"/>
        </w:rPr>
        <w:t>被工商行政管理机关在全国企业信用信息公示系统中列入严重违法失信企业</w:t>
      </w:r>
      <w:r>
        <w:rPr>
          <w:color w:val="auto"/>
          <w:sz w:val="24"/>
        </w:rPr>
        <w:t>名单；</w:t>
      </w:r>
    </w:p>
    <w:p>
      <w:pPr>
        <w:pStyle w:val="15"/>
        <w:numPr>
          <w:ilvl w:val="0"/>
          <w:numId w:val="13"/>
        </w:numPr>
        <w:tabs>
          <w:tab w:val="left" w:pos="1537"/>
        </w:tabs>
        <w:spacing w:before="0" w:after="0" w:line="328" w:lineRule="auto"/>
        <w:ind w:left="816" w:right="387" w:firstLine="0"/>
        <w:jc w:val="left"/>
        <w:rPr>
          <w:color w:val="auto"/>
          <w:sz w:val="24"/>
        </w:rPr>
      </w:pPr>
      <w:r>
        <w:rPr>
          <w:color w:val="auto"/>
          <w:spacing w:val="4"/>
          <w:sz w:val="24"/>
        </w:rPr>
        <w:t>被最高人民法院在</w:t>
      </w:r>
      <w:r>
        <w:rPr>
          <w:rFonts w:ascii="Times New Roman" w:hAnsi="Times New Roman" w:eastAsia="Times New Roman"/>
          <w:color w:val="auto"/>
          <w:spacing w:val="6"/>
          <w:sz w:val="24"/>
        </w:rPr>
        <w:t>“</w:t>
      </w:r>
      <w:r>
        <w:rPr>
          <w:color w:val="auto"/>
          <w:spacing w:val="4"/>
          <w:sz w:val="24"/>
        </w:rPr>
        <w:t>信用中国</w:t>
      </w:r>
      <w:r>
        <w:rPr>
          <w:rFonts w:ascii="Times New Roman" w:hAnsi="Times New Roman" w:eastAsia="Times New Roman"/>
          <w:color w:val="auto"/>
          <w:spacing w:val="3"/>
          <w:sz w:val="24"/>
        </w:rPr>
        <w:t>”</w:t>
      </w:r>
      <w:r>
        <w:rPr>
          <w:color w:val="auto"/>
          <w:spacing w:val="4"/>
          <w:sz w:val="24"/>
        </w:rPr>
        <w:t>网站</w:t>
      </w:r>
      <w:r>
        <w:rPr>
          <w:color w:val="auto"/>
          <w:sz w:val="24"/>
        </w:rPr>
        <w:t>（</w:t>
      </w:r>
      <w:r>
        <w:rPr>
          <w:color w:val="auto"/>
        </w:rPr>
        <w:fldChar w:fldCharType="begin"/>
      </w:r>
      <w:r>
        <w:rPr>
          <w:color w:val="auto"/>
        </w:rPr>
        <w:instrText xml:space="preserve"> HYPERLINK "http://www.creditchina.gov.cn/" \h </w:instrText>
      </w:r>
      <w:r>
        <w:rPr>
          <w:color w:val="auto"/>
        </w:rPr>
        <w:fldChar w:fldCharType="separate"/>
      </w:r>
      <w:r>
        <w:rPr>
          <w:rFonts w:ascii="Times New Roman" w:hAnsi="Times New Roman" w:eastAsia="Times New Roman"/>
          <w:color w:val="auto"/>
          <w:sz w:val="24"/>
        </w:rPr>
        <w:t>www.creditchina.gov.cn</w:t>
      </w:r>
      <w:r>
        <w:rPr>
          <w:rFonts w:ascii="Times New Roman" w:hAnsi="Times New Roman" w:eastAsia="Times New Roman"/>
          <w:color w:val="auto"/>
          <w:sz w:val="24"/>
        </w:rPr>
        <w:fldChar w:fldCharType="end"/>
      </w:r>
      <w:r>
        <w:rPr>
          <w:color w:val="auto"/>
          <w:sz w:val="24"/>
        </w:rPr>
        <w:t>）</w:t>
      </w:r>
      <w:r>
        <w:rPr>
          <w:color w:val="auto"/>
          <w:spacing w:val="3"/>
          <w:sz w:val="24"/>
        </w:rPr>
        <w:t>或各级信用信息共享平台中列入失信被执行人名单；</w:t>
      </w:r>
    </w:p>
    <w:p>
      <w:pPr>
        <w:pStyle w:val="15"/>
        <w:numPr>
          <w:ilvl w:val="0"/>
          <w:numId w:val="13"/>
        </w:numPr>
        <w:tabs>
          <w:tab w:val="left" w:pos="1537"/>
        </w:tabs>
        <w:spacing w:before="0" w:after="0" w:line="305" w:lineRule="exact"/>
        <w:ind w:left="1537" w:right="0" w:hanging="721"/>
        <w:jc w:val="left"/>
        <w:rPr>
          <w:color w:val="auto"/>
          <w:sz w:val="24"/>
        </w:rPr>
      </w:pPr>
      <w:r>
        <w:rPr>
          <w:color w:val="auto"/>
          <w:sz w:val="24"/>
        </w:rPr>
        <w:t>法律法规或投标人须知前附表规定的其他情形。</w:t>
      </w:r>
    </w:p>
    <w:p>
      <w:pPr>
        <w:pStyle w:val="4"/>
        <w:numPr>
          <w:ilvl w:val="1"/>
          <w:numId w:val="10"/>
        </w:numPr>
        <w:tabs>
          <w:tab w:val="left" w:pos="1028"/>
        </w:tabs>
        <w:spacing w:before="111" w:after="0" w:line="240" w:lineRule="auto"/>
        <w:ind w:left="1027" w:right="0" w:hanging="491"/>
        <w:jc w:val="left"/>
        <w:rPr>
          <w:color w:val="auto"/>
        </w:rPr>
      </w:pPr>
      <w:r>
        <w:rPr>
          <w:color w:val="auto"/>
          <w:spacing w:val="-2"/>
        </w:rPr>
        <w:t>费用承担</w:t>
      </w:r>
    </w:p>
    <w:p>
      <w:pPr>
        <w:pStyle w:val="7"/>
        <w:spacing w:before="130"/>
        <w:ind w:left="816"/>
        <w:rPr>
          <w:color w:val="auto"/>
        </w:rPr>
      </w:pPr>
      <w:r>
        <w:rPr>
          <w:color w:val="auto"/>
        </w:rPr>
        <w:t>投标人准备和参加投标活动发生的费用自理。</w:t>
      </w:r>
    </w:p>
    <w:p>
      <w:pPr>
        <w:pStyle w:val="4"/>
        <w:numPr>
          <w:ilvl w:val="1"/>
          <w:numId w:val="10"/>
        </w:numPr>
        <w:tabs>
          <w:tab w:val="left" w:pos="1028"/>
        </w:tabs>
        <w:spacing w:before="113" w:after="0" w:line="240" w:lineRule="auto"/>
        <w:ind w:left="1027" w:right="0" w:hanging="491"/>
        <w:jc w:val="left"/>
        <w:rPr>
          <w:color w:val="auto"/>
        </w:rPr>
      </w:pPr>
      <w:r>
        <w:rPr>
          <w:color w:val="auto"/>
        </w:rPr>
        <w:t>保密</w:t>
      </w:r>
    </w:p>
    <w:p>
      <w:pPr>
        <w:pStyle w:val="7"/>
        <w:spacing w:before="130" w:line="328" w:lineRule="auto"/>
        <w:ind w:left="816" w:right="395"/>
        <w:rPr>
          <w:color w:val="auto"/>
        </w:rPr>
      </w:pPr>
      <w:r>
        <w:rPr>
          <w:color w:val="auto"/>
        </w:rPr>
        <w:t>参与招标投标活动的各方应对招标文件和投标文件中的商业和技术等秘密保密，否则应承担相应的法律责任。</w:t>
      </w:r>
    </w:p>
    <w:p>
      <w:pPr>
        <w:pStyle w:val="4"/>
        <w:numPr>
          <w:ilvl w:val="1"/>
          <w:numId w:val="10"/>
        </w:numPr>
        <w:tabs>
          <w:tab w:val="left" w:pos="1028"/>
        </w:tabs>
        <w:spacing w:before="0" w:after="0" w:line="357" w:lineRule="exact"/>
        <w:ind w:left="1027" w:right="0" w:hanging="491"/>
        <w:jc w:val="left"/>
        <w:rPr>
          <w:color w:val="auto"/>
        </w:rPr>
      </w:pPr>
      <w:r>
        <w:rPr>
          <w:color w:val="auto"/>
          <w:spacing w:val="-2"/>
        </w:rPr>
        <w:t>语言文字</w:t>
      </w:r>
    </w:p>
    <w:p>
      <w:pPr>
        <w:pStyle w:val="7"/>
        <w:spacing w:before="132"/>
        <w:ind w:left="816"/>
        <w:rPr>
          <w:color w:val="auto"/>
        </w:rPr>
      </w:pPr>
      <w:r>
        <w:rPr>
          <w:color w:val="auto"/>
        </w:rPr>
        <w:t>招标投标文件使用的语言文字为中文。专用术语使用外文的，应附有中文注释。</w:t>
      </w:r>
    </w:p>
    <w:p>
      <w:pPr>
        <w:spacing w:after="0"/>
        <w:rPr>
          <w:color w:val="auto"/>
        </w:rPr>
        <w:sectPr>
          <w:pgSz w:w="11910" w:h="16840"/>
          <w:pgMar w:top="1340" w:right="1020" w:bottom="900" w:left="1020" w:header="0" w:footer="640" w:gutter="0"/>
          <w:pgBorders>
            <w:top w:val="none" w:sz="0" w:space="0"/>
            <w:left w:val="none" w:sz="0" w:space="0"/>
            <w:bottom w:val="none" w:sz="0" w:space="0"/>
            <w:right w:val="none" w:sz="0" w:space="0"/>
          </w:pgBorders>
          <w:pgNumType w:fmt="decimal"/>
          <w:cols w:space="720" w:num="1"/>
        </w:sectPr>
      </w:pPr>
    </w:p>
    <w:p>
      <w:pPr>
        <w:pStyle w:val="4"/>
        <w:numPr>
          <w:ilvl w:val="1"/>
          <w:numId w:val="10"/>
        </w:numPr>
        <w:tabs>
          <w:tab w:val="left" w:pos="1028"/>
        </w:tabs>
        <w:spacing w:before="62" w:after="0" w:line="240" w:lineRule="auto"/>
        <w:ind w:left="1027" w:right="0" w:hanging="491"/>
        <w:jc w:val="left"/>
        <w:rPr>
          <w:color w:val="auto"/>
        </w:rPr>
      </w:pPr>
      <w:r>
        <w:rPr>
          <w:color w:val="auto"/>
          <w:spacing w:val="-2"/>
        </w:rPr>
        <w:t>计量单位</w:t>
      </w:r>
    </w:p>
    <w:p>
      <w:pPr>
        <w:pStyle w:val="7"/>
        <w:spacing w:before="130"/>
        <w:ind w:left="816"/>
        <w:rPr>
          <w:color w:val="auto"/>
        </w:rPr>
      </w:pPr>
      <w:r>
        <w:rPr>
          <w:color w:val="auto"/>
        </w:rPr>
        <w:t>所有计量均采用中华人民共和国法定计量单位。</w:t>
      </w:r>
    </w:p>
    <w:p>
      <w:pPr>
        <w:pStyle w:val="4"/>
        <w:numPr>
          <w:ilvl w:val="1"/>
          <w:numId w:val="10"/>
        </w:numPr>
        <w:tabs>
          <w:tab w:val="left" w:pos="1018"/>
        </w:tabs>
        <w:spacing w:before="113" w:after="0" w:line="240" w:lineRule="auto"/>
        <w:ind w:left="1017" w:right="0" w:hanging="486"/>
        <w:jc w:val="left"/>
        <w:rPr>
          <w:color w:val="auto"/>
        </w:rPr>
      </w:pPr>
      <w:r>
        <w:rPr>
          <w:color w:val="auto"/>
          <w:spacing w:val="-2"/>
        </w:rPr>
        <w:t>踏勘现场</w:t>
      </w:r>
    </w:p>
    <w:p>
      <w:pPr>
        <w:pStyle w:val="15"/>
        <w:numPr>
          <w:ilvl w:val="2"/>
          <w:numId w:val="10"/>
        </w:numPr>
        <w:tabs>
          <w:tab w:val="left" w:pos="1344"/>
        </w:tabs>
        <w:spacing w:before="130" w:after="0" w:line="328" w:lineRule="auto"/>
        <w:ind w:left="395" w:right="396" w:firstLine="420"/>
        <w:jc w:val="both"/>
        <w:rPr>
          <w:rFonts w:ascii="Times New Roman" w:eastAsia="Times New Roman"/>
          <w:color w:val="auto"/>
          <w:sz w:val="24"/>
        </w:rPr>
      </w:pPr>
      <w:r>
        <w:rPr>
          <w:color w:val="auto"/>
          <w:spacing w:val="-3"/>
          <w:sz w:val="24"/>
        </w:rPr>
        <w:t>投标人须知前附表规定组织踏勘现场的，招标人按投标人须知前附表规定的时</w:t>
      </w:r>
      <w:r>
        <w:rPr>
          <w:color w:val="auto"/>
          <w:spacing w:val="-7"/>
          <w:sz w:val="24"/>
        </w:rPr>
        <w:t>间、地点组织投标人踏勘项目现场。部分投标人未按时参加踏勘现场的，不影响踏勘现</w:t>
      </w:r>
      <w:r>
        <w:rPr>
          <w:color w:val="auto"/>
          <w:sz w:val="24"/>
        </w:rPr>
        <w:t>场的正常进行。</w:t>
      </w:r>
    </w:p>
    <w:p>
      <w:pPr>
        <w:pStyle w:val="15"/>
        <w:numPr>
          <w:ilvl w:val="2"/>
          <w:numId w:val="10"/>
        </w:numPr>
        <w:tabs>
          <w:tab w:val="left" w:pos="1337"/>
        </w:tabs>
        <w:spacing w:before="0" w:after="0" w:line="306" w:lineRule="exact"/>
        <w:ind w:left="1336" w:right="0" w:hanging="521"/>
        <w:jc w:val="both"/>
        <w:rPr>
          <w:rFonts w:ascii="Times New Roman" w:eastAsia="Times New Roman"/>
          <w:color w:val="auto"/>
          <w:sz w:val="24"/>
        </w:rPr>
      </w:pPr>
      <w:r>
        <w:rPr>
          <w:color w:val="auto"/>
          <w:sz w:val="24"/>
        </w:rPr>
        <w:t>投标人踏勘现场发生的费用自理。</w:t>
      </w:r>
    </w:p>
    <w:p>
      <w:pPr>
        <w:pStyle w:val="15"/>
        <w:numPr>
          <w:ilvl w:val="2"/>
          <w:numId w:val="10"/>
        </w:numPr>
        <w:tabs>
          <w:tab w:val="left" w:pos="1337"/>
        </w:tabs>
        <w:spacing w:before="113" w:after="0" w:line="328" w:lineRule="auto"/>
        <w:ind w:left="395" w:right="846" w:firstLine="420"/>
        <w:jc w:val="left"/>
        <w:rPr>
          <w:rFonts w:ascii="Times New Roman" w:eastAsia="Times New Roman"/>
          <w:color w:val="auto"/>
          <w:sz w:val="24"/>
        </w:rPr>
      </w:pPr>
      <w:r>
        <w:rPr>
          <w:color w:val="auto"/>
          <w:spacing w:val="-1"/>
          <w:sz w:val="24"/>
        </w:rPr>
        <w:t>除招标人的原因外，投标人自行负责在踏勘现场中所发生的人员伤亡和财</w:t>
      </w:r>
      <w:r>
        <w:rPr>
          <w:color w:val="auto"/>
          <w:sz w:val="24"/>
        </w:rPr>
        <w:t>产损失。</w:t>
      </w:r>
    </w:p>
    <w:p>
      <w:pPr>
        <w:pStyle w:val="15"/>
        <w:numPr>
          <w:ilvl w:val="2"/>
          <w:numId w:val="10"/>
        </w:numPr>
        <w:tabs>
          <w:tab w:val="left" w:pos="1344"/>
        </w:tabs>
        <w:spacing w:before="0" w:after="0" w:line="328" w:lineRule="auto"/>
        <w:ind w:left="395" w:right="396" w:firstLine="420"/>
        <w:jc w:val="left"/>
        <w:rPr>
          <w:rFonts w:ascii="Times New Roman" w:eastAsia="Times New Roman"/>
          <w:color w:val="auto"/>
          <w:sz w:val="21"/>
        </w:rPr>
      </w:pPr>
      <w:r>
        <w:rPr>
          <w:color w:val="auto"/>
          <w:spacing w:val="-3"/>
          <w:sz w:val="24"/>
        </w:rPr>
        <w:t>招标人在踏勘现场中介绍的工程场地和相关的周边环境情况，供投标人在编制</w:t>
      </w:r>
      <w:r>
        <w:rPr>
          <w:color w:val="auto"/>
          <w:sz w:val="24"/>
        </w:rPr>
        <w:t>投标文件时参考，招标人不对投标人据此作出的判断和决策负责。</w:t>
      </w:r>
    </w:p>
    <w:p>
      <w:pPr>
        <w:pStyle w:val="4"/>
        <w:numPr>
          <w:ilvl w:val="1"/>
          <w:numId w:val="10"/>
        </w:numPr>
        <w:tabs>
          <w:tab w:val="left" w:pos="1097"/>
        </w:tabs>
        <w:spacing w:before="0" w:after="0" w:line="357" w:lineRule="exact"/>
        <w:ind w:left="1096" w:right="0" w:hanging="565"/>
        <w:jc w:val="left"/>
        <w:rPr>
          <w:color w:val="auto"/>
        </w:rPr>
      </w:pPr>
      <w:r>
        <w:rPr>
          <w:color w:val="auto"/>
          <w:spacing w:val="-2"/>
        </w:rPr>
        <w:t>投标预备会</w:t>
      </w:r>
    </w:p>
    <w:p>
      <w:pPr>
        <w:pStyle w:val="15"/>
        <w:numPr>
          <w:ilvl w:val="2"/>
          <w:numId w:val="10"/>
        </w:numPr>
        <w:tabs>
          <w:tab w:val="left" w:pos="1452"/>
        </w:tabs>
        <w:spacing w:before="127" w:after="0" w:line="328" w:lineRule="auto"/>
        <w:ind w:left="395" w:right="395" w:firstLine="420"/>
        <w:jc w:val="left"/>
        <w:rPr>
          <w:rFonts w:ascii="Times New Roman" w:eastAsia="Times New Roman"/>
          <w:color w:val="auto"/>
          <w:sz w:val="24"/>
        </w:rPr>
      </w:pPr>
      <w:r>
        <w:rPr>
          <w:color w:val="auto"/>
          <w:sz w:val="24"/>
        </w:rPr>
        <w:t>投标人须知前附表规定召开投标预备会的，招标人按投标人须知前附表规定的时间和地点召开投标预备会，澄清投标人提出的问题。</w:t>
      </w:r>
    </w:p>
    <w:p>
      <w:pPr>
        <w:pStyle w:val="15"/>
        <w:numPr>
          <w:ilvl w:val="2"/>
          <w:numId w:val="10"/>
        </w:numPr>
        <w:tabs>
          <w:tab w:val="left" w:pos="1452"/>
        </w:tabs>
        <w:spacing w:before="0" w:after="0" w:line="328" w:lineRule="auto"/>
        <w:ind w:left="395" w:right="395" w:firstLine="420"/>
        <w:jc w:val="left"/>
        <w:rPr>
          <w:rFonts w:ascii="Times New Roman" w:eastAsia="Times New Roman"/>
          <w:color w:val="auto"/>
          <w:sz w:val="24"/>
        </w:rPr>
      </w:pPr>
      <w:r>
        <w:rPr>
          <w:color w:val="auto"/>
          <w:sz w:val="24"/>
        </w:rPr>
        <w:t>投标人应按投标人须知前附表规定的时间和形式将提出的问题送达招标人， 以便招标人在会议期间澄清。</w:t>
      </w:r>
    </w:p>
    <w:p>
      <w:pPr>
        <w:pStyle w:val="15"/>
        <w:numPr>
          <w:ilvl w:val="2"/>
          <w:numId w:val="10"/>
        </w:numPr>
        <w:tabs>
          <w:tab w:val="left" w:pos="1452"/>
        </w:tabs>
        <w:spacing w:before="0" w:after="0" w:line="328" w:lineRule="auto"/>
        <w:ind w:left="395" w:right="395" w:firstLine="420"/>
        <w:jc w:val="left"/>
        <w:rPr>
          <w:rFonts w:ascii="Times New Roman" w:eastAsia="Times New Roman"/>
          <w:color w:val="auto"/>
          <w:sz w:val="21"/>
        </w:rPr>
      </w:pPr>
      <w:r>
        <w:rPr>
          <w:color w:val="auto"/>
          <w:sz w:val="24"/>
        </w:rPr>
        <w:t>投标预备会后，招标人将对投标人所提问题的澄清，以投标人须知前附表规定的形式通知所有购买招标文件的投标人。该澄清内容为招标文件的组成部分。</w:t>
      </w:r>
    </w:p>
    <w:p>
      <w:pPr>
        <w:pStyle w:val="4"/>
        <w:numPr>
          <w:ilvl w:val="1"/>
          <w:numId w:val="10"/>
        </w:numPr>
        <w:tabs>
          <w:tab w:val="left" w:pos="1157"/>
        </w:tabs>
        <w:spacing w:before="0" w:after="0" w:line="357" w:lineRule="exact"/>
        <w:ind w:left="1156" w:right="0" w:hanging="620"/>
        <w:jc w:val="left"/>
        <w:rPr>
          <w:color w:val="auto"/>
        </w:rPr>
      </w:pPr>
      <w:r>
        <w:rPr>
          <w:color w:val="auto"/>
        </w:rPr>
        <w:t>分包</w:t>
      </w:r>
    </w:p>
    <w:p>
      <w:pPr>
        <w:pStyle w:val="5"/>
        <w:spacing w:before="128"/>
        <w:ind w:left="816"/>
        <w:rPr>
          <w:color w:val="auto"/>
        </w:rPr>
      </w:pPr>
      <w:r>
        <w:rPr>
          <w:color w:val="auto"/>
        </w:rPr>
        <w:t>本项目严禁分包。</w:t>
      </w:r>
    </w:p>
    <w:p>
      <w:pPr>
        <w:pStyle w:val="4"/>
        <w:numPr>
          <w:ilvl w:val="1"/>
          <w:numId w:val="10"/>
        </w:numPr>
        <w:tabs>
          <w:tab w:val="left" w:pos="1097"/>
        </w:tabs>
        <w:spacing w:before="113" w:after="0" w:line="240" w:lineRule="auto"/>
        <w:ind w:left="1096" w:right="0" w:hanging="565"/>
        <w:jc w:val="left"/>
        <w:rPr>
          <w:color w:val="auto"/>
        </w:rPr>
      </w:pPr>
      <w:r>
        <w:rPr>
          <w:color w:val="auto"/>
          <w:spacing w:val="-2"/>
        </w:rPr>
        <w:t>响应和偏差</w:t>
      </w:r>
    </w:p>
    <w:p>
      <w:pPr>
        <w:pStyle w:val="15"/>
        <w:numPr>
          <w:ilvl w:val="2"/>
          <w:numId w:val="10"/>
        </w:numPr>
        <w:tabs>
          <w:tab w:val="left" w:pos="1655"/>
          <w:tab w:val="left" w:pos="1656"/>
        </w:tabs>
        <w:spacing w:before="130" w:after="0" w:line="328" w:lineRule="auto"/>
        <w:ind w:left="395" w:right="395" w:firstLine="420"/>
        <w:jc w:val="left"/>
        <w:rPr>
          <w:rFonts w:ascii="Times New Roman" w:eastAsia="Times New Roman"/>
          <w:color w:val="auto"/>
          <w:sz w:val="24"/>
        </w:rPr>
      </w:pPr>
      <w:r>
        <w:rPr>
          <w:color w:val="auto"/>
          <w:sz w:val="24"/>
        </w:rPr>
        <w:t>投标文件应当对招标文件的实质性要求和条件作出满足性或更有利于招标人的响应，否则，投标人的投标将被否决。实质性要求和条件见投标人须知前附表。</w:t>
      </w:r>
    </w:p>
    <w:p>
      <w:pPr>
        <w:pStyle w:val="15"/>
        <w:numPr>
          <w:ilvl w:val="2"/>
          <w:numId w:val="10"/>
        </w:numPr>
        <w:tabs>
          <w:tab w:val="left" w:pos="1457"/>
        </w:tabs>
        <w:spacing w:before="0" w:after="0" w:line="328" w:lineRule="auto"/>
        <w:ind w:left="395" w:right="966" w:firstLine="420"/>
        <w:jc w:val="left"/>
        <w:rPr>
          <w:rFonts w:ascii="Times New Roman" w:eastAsia="Times New Roman"/>
          <w:color w:val="auto"/>
          <w:sz w:val="24"/>
        </w:rPr>
      </w:pPr>
      <w:r>
        <w:rPr>
          <w:color w:val="auto"/>
          <w:spacing w:val="-1"/>
          <w:sz w:val="24"/>
        </w:rPr>
        <w:t>投标人应根据招标文件的要求提供投标监理大纲等内容以对招标文件作</w:t>
      </w:r>
      <w:r>
        <w:rPr>
          <w:color w:val="auto"/>
          <w:sz w:val="24"/>
        </w:rPr>
        <w:t>出响应。</w:t>
      </w:r>
    </w:p>
    <w:p>
      <w:pPr>
        <w:pStyle w:val="15"/>
        <w:numPr>
          <w:ilvl w:val="2"/>
          <w:numId w:val="10"/>
        </w:numPr>
        <w:tabs>
          <w:tab w:val="left" w:pos="1464"/>
        </w:tabs>
        <w:spacing w:before="0" w:after="0" w:line="328" w:lineRule="auto"/>
        <w:ind w:left="395" w:right="516" w:firstLine="436"/>
        <w:jc w:val="left"/>
        <w:rPr>
          <w:rFonts w:ascii="Times New Roman" w:eastAsia="Times New Roman"/>
          <w:color w:val="auto"/>
          <w:sz w:val="21"/>
        </w:rPr>
      </w:pPr>
      <w:r>
        <w:rPr>
          <w:color w:val="auto"/>
          <w:spacing w:val="-3"/>
          <w:sz w:val="24"/>
        </w:rPr>
        <w:t>投标人须知前附表允许投标文件偏离招标文件某些要求的，偏差应当符合招</w:t>
      </w:r>
      <w:r>
        <w:rPr>
          <w:color w:val="auto"/>
          <w:sz w:val="24"/>
        </w:rPr>
        <w:t>标文件规定的偏差范围和幅度。</w:t>
      </w:r>
    </w:p>
    <w:p>
      <w:pPr>
        <w:pStyle w:val="15"/>
        <w:numPr>
          <w:ilvl w:val="0"/>
          <w:numId w:val="14"/>
        </w:numPr>
        <w:tabs>
          <w:tab w:val="left" w:pos="638"/>
        </w:tabs>
        <w:spacing w:before="0" w:after="0" w:line="409" w:lineRule="exact"/>
        <w:ind w:left="637" w:right="0" w:hanging="243"/>
        <w:jc w:val="left"/>
        <w:rPr>
          <w:b/>
          <w:color w:val="auto"/>
          <w:sz w:val="32"/>
        </w:rPr>
      </w:pPr>
      <w:bookmarkStart w:id="21" w:name="2.招标文件"/>
      <w:bookmarkEnd w:id="21"/>
      <w:bookmarkStart w:id="22" w:name="2.招标文件"/>
      <w:bookmarkEnd w:id="22"/>
      <w:r>
        <w:rPr>
          <w:b/>
          <w:color w:val="auto"/>
          <w:sz w:val="32"/>
        </w:rPr>
        <w:t>招标文件</w:t>
      </w:r>
    </w:p>
    <w:p>
      <w:pPr>
        <w:pStyle w:val="4"/>
        <w:numPr>
          <w:ilvl w:val="1"/>
          <w:numId w:val="14"/>
        </w:numPr>
        <w:tabs>
          <w:tab w:val="left" w:pos="953"/>
        </w:tabs>
        <w:spacing w:before="146" w:after="0" w:line="240" w:lineRule="auto"/>
        <w:ind w:left="952" w:right="0" w:hanging="421"/>
        <w:jc w:val="left"/>
        <w:rPr>
          <w:rFonts w:ascii="Times New Roman" w:eastAsia="Times New Roman"/>
          <w:color w:val="auto"/>
        </w:rPr>
      </w:pPr>
      <w:r>
        <w:rPr>
          <w:color w:val="auto"/>
          <w:spacing w:val="-3"/>
        </w:rPr>
        <w:t>招标文件的组成</w:t>
      </w:r>
    </w:p>
    <w:p>
      <w:pPr>
        <w:pStyle w:val="7"/>
        <w:spacing w:before="130"/>
        <w:ind w:left="756"/>
        <w:rPr>
          <w:color w:val="auto"/>
        </w:rPr>
      </w:pPr>
      <w:r>
        <w:rPr>
          <w:color w:val="auto"/>
        </w:rPr>
        <w:t>本招标文件包括：</w:t>
      </w:r>
    </w:p>
    <w:p>
      <w:pPr>
        <w:pStyle w:val="15"/>
        <w:numPr>
          <w:ilvl w:val="2"/>
          <w:numId w:val="14"/>
        </w:numPr>
        <w:tabs>
          <w:tab w:val="left" w:pos="1357"/>
        </w:tabs>
        <w:spacing w:before="112" w:after="0" w:line="240" w:lineRule="auto"/>
        <w:ind w:left="1357" w:right="0" w:hanging="601"/>
        <w:jc w:val="left"/>
        <w:rPr>
          <w:color w:val="auto"/>
          <w:sz w:val="24"/>
        </w:rPr>
      </w:pPr>
      <w:r>
        <w:rPr>
          <w:color w:val="auto"/>
          <w:sz w:val="24"/>
        </w:rPr>
        <w:t>招标公告；</w:t>
      </w:r>
    </w:p>
    <w:p>
      <w:pPr>
        <w:pStyle w:val="15"/>
        <w:numPr>
          <w:ilvl w:val="2"/>
          <w:numId w:val="14"/>
        </w:numPr>
        <w:tabs>
          <w:tab w:val="left" w:pos="1357"/>
        </w:tabs>
        <w:spacing w:before="115" w:after="0" w:line="240" w:lineRule="auto"/>
        <w:ind w:left="1357" w:right="0" w:hanging="601"/>
        <w:jc w:val="left"/>
        <w:rPr>
          <w:color w:val="auto"/>
          <w:sz w:val="24"/>
        </w:rPr>
      </w:pPr>
      <w:r>
        <w:rPr>
          <w:color w:val="auto"/>
          <w:sz w:val="24"/>
        </w:rPr>
        <w:t>投标人须知；</w:t>
      </w:r>
    </w:p>
    <w:p>
      <w:pPr>
        <w:spacing w:after="0" w:line="240" w:lineRule="auto"/>
        <w:jc w:val="left"/>
        <w:rPr>
          <w:color w:val="auto"/>
          <w:sz w:val="24"/>
        </w:rPr>
        <w:sectPr>
          <w:pgSz w:w="11910" w:h="16840"/>
          <w:pgMar w:top="1340" w:right="1020" w:bottom="900" w:left="1020" w:header="0" w:footer="640" w:gutter="0"/>
          <w:pgBorders>
            <w:top w:val="none" w:sz="0" w:space="0"/>
            <w:left w:val="none" w:sz="0" w:space="0"/>
            <w:bottom w:val="none" w:sz="0" w:space="0"/>
            <w:right w:val="none" w:sz="0" w:space="0"/>
          </w:pgBorders>
          <w:pgNumType w:fmt="decimal"/>
          <w:cols w:space="720" w:num="1"/>
        </w:sectPr>
      </w:pPr>
    </w:p>
    <w:p>
      <w:pPr>
        <w:pStyle w:val="15"/>
        <w:numPr>
          <w:ilvl w:val="2"/>
          <w:numId w:val="14"/>
        </w:numPr>
        <w:tabs>
          <w:tab w:val="left" w:pos="1357"/>
        </w:tabs>
        <w:spacing w:before="61" w:after="0" w:line="240" w:lineRule="auto"/>
        <w:ind w:left="1357" w:right="0" w:hanging="601"/>
        <w:jc w:val="left"/>
        <w:rPr>
          <w:color w:val="auto"/>
          <w:sz w:val="24"/>
        </w:rPr>
      </w:pPr>
      <w:r>
        <w:rPr>
          <w:color w:val="auto"/>
          <w:sz w:val="24"/>
        </w:rPr>
        <w:t>评标办法；</w:t>
      </w:r>
    </w:p>
    <w:p>
      <w:pPr>
        <w:pStyle w:val="15"/>
        <w:numPr>
          <w:ilvl w:val="2"/>
          <w:numId w:val="14"/>
        </w:numPr>
        <w:tabs>
          <w:tab w:val="left" w:pos="1357"/>
        </w:tabs>
        <w:spacing w:before="113" w:after="0" w:line="240" w:lineRule="auto"/>
        <w:ind w:left="1357" w:right="0" w:hanging="601"/>
        <w:jc w:val="left"/>
        <w:rPr>
          <w:color w:val="auto"/>
          <w:sz w:val="24"/>
        </w:rPr>
      </w:pPr>
      <w:r>
        <w:rPr>
          <w:color w:val="auto"/>
          <w:sz w:val="24"/>
        </w:rPr>
        <w:t>合同条款及格式；</w:t>
      </w:r>
    </w:p>
    <w:p>
      <w:pPr>
        <w:pStyle w:val="15"/>
        <w:numPr>
          <w:ilvl w:val="2"/>
          <w:numId w:val="14"/>
        </w:numPr>
        <w:tabs>
          <w:tab w:val="left" w:pos="1357"/>
        </w:tabs>
        <w:spacing w:before="112" w:after="0" w:line="240" w:lineRule="auto"/>
        <w:ind w:left="1357" w:right="0" w:hanging="601"/>
        <w:jc w:val="left"/>
        <w:rPr>
          <w:color w:val="auto"/>
          <w:sz w:val="24"/>
        </w:rPr>
      </w:pPr>
      <w:r>
        <w:rPr>
          <w:color w:val="auto"/>
          <w:sz w:val="24"/>
        </w:rPr>
        <w:t>委托人要求；</w:t>
      </w:r>
    </w:p>
    <w:p>
      <w:pPr>
        <w:pStyle w:val="15"/>
        <w:numPr>
          <w:ilvl w:val="2"/>
          <w:numId w:val="14"/>
        </w:numPr>
        <w:tabs>
          <w:tab w:val="left" w:pos="1357"/>
        </w:tabs>
        <w:spacing w:before="113" w:after="0" w:line="240" w:lineRule="auto"/>
        <w:ind w:left="1357" w:right="0" w:hanging="601"/>
        <w:jc w:val="left"/>
        <w:rPr>
          <w:color w:val="auto"/>
          <w:sz w:val="24"/>
        </w:rPr>
      </w:pPr>
      <w:r>
        <w:rPr>
          <w:color w:val="auto"/>
          <w:sz w:val="24"/>
        </w:rPr>
        <w:t>投标文件格式；</w:t>
      </w:r>
    </w:p>
    <w:p>
      <w:pPr>
        <w:pStyle w:val="15"/>
        <w:numPr>
          <w:ilvl w:val="2"/>
          <w:numId w:val="14"/>
        </w:numPr>
        <w:tabs>
          <w:tab w:val="left" w:pos="1357"/>
        </w:tabs>
        <w:spacing w:before="112" w:after="0" w:line="240" w:lineRule="auto"/>
        <w:ind w:left="1357" w:right="0" w:hanging="601"/>
        <w:jc w:val="left"/>
        <w:rPr>
          <w:color w:val="auto"/>
          <w:sz w:val="24"/>
        </w:rPr>
      </w:pPr>
      <w:r>
        <w:rPr>
          <w:color w:val="auto"/>
          <w:sz w:val="24"/>
        </w:rPr>
        <w:t>投标人须知前附表规定的其他资料。</w:t>
      </w:r>
    </w:p>
    <w:p>
      <w:pPr>
        <w:pStyle w:val="7"/>
        <w:spacing w:before="113" w:line="328" w:lineRule="auto"/>
        <w:ind w:right="828" w:firstLine="420"/>
        <w:rPr>
          <w:color w:val="auto"/>
        </w:rPr>
      </w:pPr>
      <w:r>
        <w:rPr>
          <w:color w:val="auto"/>
        </w:rPr>
        <w:t xml:space="preserve">根据本章第 </w:t>
      </w:r>
      <w:r>
        <w:rPr>
          <w:rFonts w:ascii="Times New Roman" w:eastAsia="Times New Roman"/>
          <w:color w:val="auto"/>
        </w:rPr>
        <w:t xml:space="preserve">1.10 </w:t>
      </w:r>
      <w:r>
        <w:rPr>
          <w:color w:val="auto"/>
        </w:rPr>
        <w:t xml:space="preserve">款、第 </w:t>
      </w:r>
      <w:r>
        <w:rPr>
          <w:rFonts w:ascii="Times New Roman" w:eastAsia="Times New Roman"/>
          <w:color w:val="auto"/>
        </w:rPr>
        <w:t xml:space="preserve">2.2 </w:t>
      </w:r>
      <w:r>
        <w:rPr>
          <w:color w:val="auto"/>
        </w:rPr>
        <w:t xml:space="preserve">款和第 </w:t>
      </w:r>
      <w:r>
        <w:rPr>
          <w:rFonts w:ascii="Times New Roman" w:eastAsia="Times New Roman"/>
          <w:color w:val="auto"/>
        </w:rPr>
        <w:t xml:space="preserve">2.3 </w:t>
      </w:r>
      <w:r>
        <w:rPr>
          <w:color w:val="auto"/>
        </w:rPr>
        <w:t>款对招标文件所作的澄清、修改，构成招标文件的组成部分。</w:t>
      </w:r>
    </w:p>
    <w:p>
      <w:pPr>
        <w:pStyle w:val="4"/>
        <w:numPr>
          <w:ilvl w:val="1"/>
          <w:numId w:val="14"/>
        </w:numPr>
        <w:tabs>
          <w:tab w:val="left" w:pos="1018"/>
        </w:tabs>
        <w:spacing w:before="0" w:after="0" w:line="357" w:lineRule="exact"/>
        <w:ind w:left="1017" w:right="0" w:hanging="486"/>
        <w:jc w:val="both"/>
        <w:rPr>
          <w:rFonts w:ascii="Times New Roman" w:eastAsia="Times New Roman"/>
          <w:color w:val="auto"/>
        </w:rPr>
      </w:pPr>
      <w:r>
        <w:rPr>
          <w:color w:val="auto"/>
          <w:spacing w:val="-3"/>
        </w:rPr>
        <w:t>招标文件的澄清</w:t>
      </w:r>
    </w:p>
    <w:p>
      <w:pPr>
        <w:pStyle w:val="15"/>
        <w:numPr>
          <w:ilvl w:val="2"/>
          <w:numId w:val="15"/>
        </w:numPr>
        <w:tabs>
          <w:tab w:val="left" w:pos="1344"/>
        </w:tabs>
        <w:spacing w:before="130" w:after="0" w:line="328" w:lineRule="auto"/>
        <w:ind w:left="395" w:right="515" w:firstLine="420"/>
        <w:jc w:val="both"/>
        <w:rPr>
          <w:rFonts w:ascii="Times New Roman" w:eastAsia="Times New Roman"/>
          <w:color w:val="auto"/>
          <w:sz w:val="24"/>
        </w:rPr>
      </w:pPr>
      <w:r>
        <w:rPr>
          <w:color w:val="auto"/>
          <w:sz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5"/>
        <w:numPr>
          <w:ilvl w:val="2"/>
          <w:numId w:val="15"/>
        </w:numPr>
        <w:tabs>
          <w:tab w:val="left" w:pos="1421"/>
        </w:tabs>
        <w:spacing w:before="0" w:after="0" w:line="328" w:lineRule="auto"/>
        <w:ind w:left="395" w:right="348" w:firstLine="480"/>
        <w:jc w:val="both"/>
        <w:rPr>
          <w:rFonts w:ascii="Times New Roman" w:eastAsia="Times New Roman"/>
          <w:color w:val="auto"/>
          <w:sz w:val="24"/>
        </w:rPr>
      </w:pPr>
      <w:r>
        <w:rPr>
          <w:color w:val="auto"/>
          <w:sz w:val="24"/>
        </w:rPr>
        <w:t>招标文件的澄清以投标人须知前附表规定的形式发给所有购买招标文件的投</w:t>
      </w:r>
      <w:r>
        <w:rPr>
          <w:color w:val="auto"/>
          <w:spacing w:val="-7"/>
          <w:sz w:val="24"/>
        </w:rPr>
        <w:t xml:space="preserve">标人，但不指明澄清问题的来源。澄清发出的时间距本章第 </w:t>
      </w:r>
      <w:r>
        <w:rPr>
          <w:rFonts w:ascii="Times New Roman" w:eastAsia="Times New Roman"/>
          <w:color w:val="auto"/>
          <w:sz w:val="24"/>
        </w:rPr>
        <w:t xml:space="preserve">4.2.1 </w:t>
      </w:r>
      <w:r>
        <w:rPr>
          <w:color w:val="auto"/>
          <w:sz w:val="24"/>
        </w:rPr>
        <w:t xml:space="preserve">项规定的投标截止时间不足 </w:t>
      </w:r>
      <w:r>
        <w:rPr>
          <w:rFonts w:ascii="Times New Roman" w:eastAsia="Times New Roman"/>
          <w:color w:val="auto"/>
          <w:sz w:val="24"/>
        </w:rPr>
        <w:t xml:space="preserve">15 </w:t>
      </w:r>
      <w:r>
        <w:rPr>
          <w:color w:val="auto"/>
          <w:spacing w:val="-1"/>
          <w:sz w:val="24"/>
        </w:rPr>
        <w:t>日的，并且澄清内容可能影响投标文件编制的，将相应延长投标截止时间。</w:t>
      </w:r>
    </w:p>
    <w:p>
      <w:pPr>
        <w:pStyle w:val="15"/>
        <w:numPr>
          <w:ilvl w:val="2"/>
          <w:numId w:val="15"/>
        </w:numPr>
        <w:tabs>
          <w:tab w:val="left" w:pos="1344"/>
        </w:tabs>
        <w:spacing w:before="0" w:after="0" w:line="328" w:lineRule="auto"/>
        <w:ind w:left="395" w:right="360" w:firstLine="420"/>
        <w:jc w:val="both"/>
        <w:rPr>
          <w:rFonts w:ascii="Times New Roman" w:eastAsia="Times New Roman"/>
          <w:color w:val="auto"/>
          <w:sz w:val="24"/>
        </w:rPr>
      </w:pPr>
      <w:r>
        <w:rPr>
          <w:color w:val="auto"/>
          <w:spacing w:val="-1"/>
          <w:sz w:val="24"/>
        </w:rPr>
        <w:t xml:space="preserve">投标人在收到澄清后，应按投标人须知前附表规定的时间和形式通知招标人， </w:t>
      </w:r>
      <w:r>
        <w:rPr>
          <w:color w:val="auto"/>
          <w:sz w:val="24"/>
        </w:rPr>
        <w:t>确认已收到该澄清。</w:t>
      </w:r>
    </w:p>
    <w:p>
      <w:pPr>
        <w:pStyle w:val="15"/>
        <w:numPr>
          <w:ilvl w:val="2"/>
          <w:numId w:val="15"/>
        </w:numPr>
        <w:tabs>
          <w:tab w:val="left" w:pos="1344"/>
        </w:tabs>
        <w:spacing w:before="0" w:after="0" w:line="305" w:lineRule="exact"/>
        <w:ind w:left="1344" w:right="0" w:hanging="528"/>
        <w:jc w:val="both"/>
        <w:rPr>
          <w:rFonts w:ascii="Times New Roman" w:eastAsia="Times New Roman"/>
          <w:color w:val="auto"/>
          <w:sz w:val="21"/>
        </w:rPr>
      </w:pPr>
      <w:r>
        <w:rPr>
          <w:color w:val="auto"/>
          <w:spacing w:val="3"/>
          <w:sz w:val="24"/>
        </w:rPr>
        <w:t>除非招标人认为确有必要答复，否则，招标人有权拒绝回复投标人在本章第</w:t>
      </w:r>
    </w:p>
    <w:p>
      <w:pPr>
        <w:pStyle w:val="7"/>
        <w:spacing w:before="107"/>
        <w:jc w:val="both"/>
        <w:rPr>
          <w:color w:val="auto"/>
        </w:rPr>
      </w:pPr>
      <w:r>
        <w:rPr>
          <w:rFonts w:ascii="Times New Roman" w:eastAsia="Times New Roman"/>
          <w:color w:val="auto"/>
        </w:rPr>
        <w:t xml:space="preserve">2.2.1 </w:t>
      </w:r>
      <w:r>
        <w:rPr>
          <w:color w:val="auto"/>
        </w:rPr>
        <w:t>项规定的时间后的任何澄清要求。</w:t>
      </w:r>
    </w:p>
    <w:p>
      <w:pPr>
        <w:pStyle w:val="4"/>
        <w:numPr>
          <w:ilvl w:val="1"/>
          <w:numId w:val="14"/>
        </w:numPr>
        <w:tabs>
          <w:tab w:val="left" w:pos="1018"/>
        </w:tabs>
        <w:spacing w:before="113" w:after="0" w:line="240" w:lineRule="auto"/>
        <w:ind w:left="1017" w:right="0" w:hanging="486"/>
        <w:jc w:val="both"/>
        <w:rPr>
          <w:rFonts w:ascii="Times New Roman" w:eastAsia="Times New Roman"/>
          <w:color w:val="auto"/>
        </w:rPr>
      </w:pPr>
      <w:r>
        <w:rPr>
          <w:color w:val="auto"/>
          <w:spacing w:val="-3"/>
        </w:rPr>
        <w:t>招标文件的修改</w:t>
      </w:r>
    </w:p>
    <w:p>
      <w:pPr>
        <w:pStyle w:val="15"/>
        <w:numPr>
          <w:ilvl w:val="0"/>
          <w:numId w:val="0"/>
        </w:numPr>
        <w:tabs>
          <w:tab w:val="left" w:pos="1656"/>
        </w:tabs>
        <w:spacing w:before="130" w:after="0" w:line="328" w:lineRule="auto"/>
        <w:ind w:left="480" w:leftChars="218" w:right="396" w:rightChars="0" w:firstLine="456" w:firstLineChars="200"/>
        <w:jc w:val="both"/>
        <w:rPr>
          <w:rFonts w:ascii="Times New Roman" w:eastAsia="Times New Roman"/>
          <w:color w:val="auto"/>
          <w:sz w:val="24"/>
        </w:rPr>
      </w:pPr>
      <w:r>
        <w:rPr>
          <w:rFonts w:hint="eastAsia"/>
          <w:color w:val="auto"/>
          <w:spacing w:val="-6"/>
          <w:sz w:val="24"/>
          <w:lang w:val="en-US" w:eastAsia="zh-CN"/>
        </w:rPr>
        <w:t xml:space="preserve">2.3.1 </w:t>
      </w:r>
      <w:r>
        <w:rPr>
          <w:color w:val="auto"/>
          <w:spacing w:val="-6"/>
          <w:sz w:val="24"/>
        </w:rPr>
        <w:t>招标人以投标人须知前附表规定的形式修改招标文件</w:t>
      </w:r>
      <w:r>
        <w:rPr>
          <w:color w:val="auto"/>
          <w:sz w:val="24"/>
        </w:rPr>
        <w:t xml:space="preserve">。修改招标文件的时间距本章第 </w:t>
      </w:r>
      <w:r>
        <w:rPr>
          <w:rFonts w:ascii="Times New Roman" w:eastAsia="Times New Roman"/>
          <w:color w:val="auto"/>
          <w:sz w:val="24"/>
        </w:rPr>
        <w:t>4.2.1</w:t>
      </w:r>
      <w:r>
        <w:rPr>
          <w:rFonts w:ascii="Times New Roman" w:eastAsia="Times New Roman"/>
          <w:color w:val="auto"/>
          <w:spacing w:val="18"/>
          <w:sz w:val="24"/>
        </w:rPr>
        <w:t xml:space="preserve"> </w:t>
      </w:r>
      <w:r>
        <w:rPr>
          <w:color w:val="auto"/>
          <w:spacing w:val="1"/>
          <w:sz w:val="24"/>
        </w:rPr>
        <w:t xml:space="preserve">项规定的投标截止时间不足 </w:t>
      </w:r>
      <w:r>
        <w:rPr>
          <w:rFonts w:ascii="Times New Roman" w:eastAsia="Times New Roman"/>
          <w:color w:val="auto"/>
          <w:sz w:val="24"/>
        </w:rPr>
        <w:t xml:space="preserve">15 </w:t>
      </w:r>
      <w:r>
        <w:rPr>
          <w:color w:val="auto"/>
          <w:sz w:val="24"/>
        </w:rPr>
        <w:t>日的，并且修改内容可能影响投标文件编制的，将相应延长投标截止时间。</w:t>
      </w:r>
    </w:p>
    <w:p>
      <w:pPr>
        <w:pStyle w:val="15"/>
        <w:numPr>
          <w:ilvl w:val="0"/>
          <w:numId w:val="0"/>
        </w:numPr>
        <w:tabs>
          <w:tab w:val="left" w:pos="1344"/>
        </w:tabs>
        <w:spacing w:before="0" w:after="0" w:line="328" w:lineRule="auto"/>
        <w:ind w:left="480" w:leftChars="218" w:right="395" w:rightChars="0" w:firstLine="456" w:firstLineChars="200"/>
        <w:jc w:val="both"/>
        <w:rPr>
          <w:rFonts w:ascii="Times New Roman" w:eastAsia="Times New Roman"/>
          <w:color w:val="auto"/>
          <w:sz w:val="21"/>
        </w:rPr>
      </w:pPr>
      <w:r>
        <w:rPr>
          <w:rFonts w:hint="eastAsia"/>
          <w:color w:val="auto"/>
          <w:spacing w:val="-6"/>
          <w:sz w:val="24"/>
          <w:lang w:val="en-US" w:eastAsia="zh-CN"/>
        </w:rPr>
        <w:t xml:space="preserve">2.3.2 </w:t>
      </w:r>
      <w:r>
        <w:rPr>
          <w:color w:val="auto"/>
          <w:spacing w:val="3"/>
          <w:sz w:val="24"/>
        </w:rPr>
        <w:t>投标人收到修改内容后，应按投标人须知前附表规定的时间和形式通知招标人，确认已收到该修改。</w:t>
      </w:r>
    </w:p>
    <w:p>
      <w:pPr>
        <w:pStyle w:val="4"/>
        <w:numPr>
          <w:ilvl w:val="1"/>
          <w:numId w:val="14"/>
        </w:numPr>
        <w:tabs>
          <w:tab w:val="left" w:pos="1018"/>
        </w:tabs>
        <w:spacing w:before="0" w:after="0" w:line="357" w:lineRule="exact"/>
        <w:ind w:left="1017" w:right="0" w:hanging="486"/>
        <w:jc w:val="both"/>
        <w:rPr>
          <w:color w:val="auto"/>
          <w:spacing w:val="-3"/>
        </w:rPr>
      </w:pPr>
      <w:r>
        <w:rPr>
          <w:color w:val="auto"/>
          <w:spacing w:val="-3"/>
        </w:rPr>
        <w:t>招标文件的异议</w:t>
      </w:r>
    </w:p>
    <w:p>
      <w:pPr>
        <w:pStyle w:val="7"/>
        <w:spacing w:before="129"/>
        <w:ind w:left="816"/>
        <w:jc w:val="both"/>
        <w:rPr>
          <w:color w:val="auto"/>
        </w:rPr>
      </w:pPr>
      <w:r>
        <w:rPr>
          <w:color w:val="auto"/>
        </w:rPr>
        <w:t xml:space="preserve">投标人或者其他利害关系人对招标文件有异议的，应当在投标截止时间 </w:t>
      </w:r>
      <w:r>
        <w:rPr>
          <w:rFonts w:ascii="Times New Roman" w:eastAsia="Times New Roman"/>
          <w:color w:val="auto"/>
        </w:rPr>
        <w:t>1</w:t>
      </w:r>
      <w:r>
        <w:rPr>
          <w:rFonts w:hint="eastAsia" w:ascii="Times New Roman"/>
          <w:color w:val="auto"/>
          <w:lang w:val="en-US" w:eastAsia="zh-CN"/>
        </w:rPr>
        <w:t>5</w:t>
      </w:r>
      <w:r>
        <w:rPr>
          <w:color w:val="auto"/>
        </w:rPr>
        <w:t>日</w:t>
      </w:r>
    </w:p>
    <w:p>
      <w:pPr>
        <w:pStyle w:val="7"/>
        <w:spacing w:before="112" w:line="328" w:lineRule="auto"/>
        <w:ind w:right="395"/>
        <w:jc w:val="both"/>
        <w:rPr>
          <w:color w:val="auto"/>
        </w:rPr>
      </w:pPr>
      <w:r>
        <w:rPr>
          <w:color w:val="auto"/>
        </w:rPr>
        <w:t xml:space="preserve">前以书面形式提出。招标人将在收到异议之日起 </w:t>
      </w:r>
      <w:r>
        <w:rPr>
          <w:rFonts w:ascii="Times New Roman" w:eastAsia="Times New Roman"/>
          <w:color w:val="auto"/>
        </w:rPr>
        <w:t xml:space="preserve">3 </w:t>
      </w:r>
      <w:r>
        <w:rPr>
          <w:color w:val="auto"/>
        </w:rPr>
        <w:t>日内作出答复；作出答复前，将暂停招标投标活动。</w:t>
      </w:r>
    </w:p>
    <w:p>
      <w:pPr>
        <w:pStyle w:val="15"/>
        <w:numPr>
          <w:ilvl w:val="0"/>
          <w:numId w:val="14"/>
        </w:numPr>
        <w:tabs>
          <w:tab w:val="left" w:pos="797"/>
        </w:tabs>
        <w:spacing w:before="0" w:after="0" w:line="409" w:lineRule="exact"/>
        <w:ind w:left="796" w:right="0" w:hanging="402"/>
        <w:jc w:val="both"/>
        <w:rPr>
          <w:b/>
          <w:color w:val="auto"/>
          <w:sz w:val="32"/>
        </w:rPr>
      </w:pPr>
      <w:bookmarkStart w:id="23" w:name="3. 投标文件"/>
      <w:bookmarkEnd w:id="23"/>
      <w:bookmarkStart w:id="24" w:name="3. 投标文件"/>
      <w:bookmarkEnd w:id="24"/>
      <w:r>
        <w:rPr>
          <w:b/>
          <w:color w:val="auto"/>
          <w:sz w:val="32"/>
        </w:rPr>
        <w:t>投标文件</w:t>
      </w:r>
    </w:p>
    <w:p>
      <w:pPr>
        <w:pStyle w:val="4"/>
        <w:numPr>
          <w:ilvl w:val="1"/>
          <w:numId w:val="14"/>
        </w:numPr>
        <w:tabs>
          <w:tab w:val="left" w:pos="1018"/>
        </w:tabs>
        <w:spacing w:before="151" w:after="0" w:line="240" w:lineRule="auto"/>
        <w:ind w:left="1017" w:right="0" w:hanging="486"/>
        <w:jc w:val="both"/>
        <w:rPr>
          <w:rFonts w:ascii="Times New Roman" w:eastAsia="Times New Roman"/>
          <w:color w:val="auto"/>
        </w:rPr>
      </w:pPr>
      <w:r>
        <w:rPr>
          <w:color w:val="auto"/>
          <w:spacing w:val="-3"/>
        </w:rPr>
        <w:t>投标文件的组成</w:t>
      </w:r>
    </w:p>
    <w:p>
      <w:pPr>
        <w:pStyle w:val="7"/>
        <w:spacing w:before="130"/>
        <w:ind w:left="1012"/>
        <w:rPr>
          <w:color w:val="auto"/>
        </w:rPr>
      </w:pPr>
      <w:r>
        <w:rPr>
          <w:color w:val="auto"/>
        </w:rPr>
        <w:t>见投标人须知前附表。</w:t>
      </w:r>
    </w:p>
    <w:p>
      <w:pPr>
        <w:pStyle w:val="7"/>
        <w:spacing w:before="113" w:line="360" w:lineRule="auto"/>
        <w:ind w:left="876"/>
        <w:rPr>
          <w:color w:val="auto"/>
        </w:rPr>
      </w:pPr>
      <w:r>
        <w:rPr>
          <w:color w:val="auto"/>
        </w:rPr>
        <w:t>3.1.1 若前附表未有规定，则投标文件应包括下列内容：（</w:t>
      </w:r>
      <w:r>
        <w:rPr>
          <w:rFonts w:ascii="Times New Roman" w:eastAsia="Times New Roman"/>
          <w:color w:val="auto"/>
        </w:rPr>
        <w:t>1</w:t>
      </w:r>
      <w:r>
        <w:rPr>
          <w:color w:val="auto"/>
        </w:rPr>
        <w:t>）投标函及投标函附</w:t>
      </w:r>
    </w:p>
    <w:p>
      <w:pPr>
        <w:spacing w:after="0" w:line="360" w:lineRule="auto"/>
        <w:rPr>
          <w:color w:val="auto"/>
        </w:rPr>
        <w:sectPr>
          <w:footerReference r:id="rId7" w:type="default"/>
          <w:pgSz w:w="11910" w:h="16840"/>
          <w:pgMar w:top="1340" w:right="1020" w:bottom="820" w:left="1020" w:header="0" w:footer="640" w:gutter="0"/>
          <w:pgBorders>
            <w:top w:val="none" w:sz="0" w:space="0"/>
            <w:left w:val="none" w:sz="0" w:space="0"/>
            <w:bottom w:val="none" w:sz="0" w:space="0"/>
            <w:right w:val="none" w:sz="0" w:space="0"/>
          </w:pgBorders>
          <w:pgNumType w:fmt="decimal"/>
          <w:cols w:space="720" w:num="1"/>
        </w:sectPr>
      </w:pPr>
    </w:p>
    <w:p>
      <w:pPr>
        <w:pStyle w:val="7"/>
        <w:keepNext w:val="0"/>
        <w:keepLines w:val="0"/>
        <w:pageBreakBefore w:val="0"/>
        <w:widowControl w:val="0"/>
        <w:kinsoku/>
        <w:wordWrap/>
        <w:overflowPunct/>
        <w:topLinePunct w:val="0"/>
        <w:autoSpaceDE w:val="0"/>
        <w:autoSpaceDN w:val="0"/>
        <w:bidi w:val="0"/>
        <w:adjustRightInd/>
        <w:snapToGrid/>
        <w:spacing w:line="360" w:lineRule="auto"/>
        <w:ind w:left="397" w:right="0"/>
        <w:textAlignment w:val="auto"/>
        <w:rPr>
          <w:color w:val="auto"/>
        </w:rPr>
      </w:pPr>
      <w:r>
        <w:rPr>
          <w:color w:val="auto"/>
        </w:rPr>
        <w:t>录；（</w:t>
      </w:r>
      <w:r>
        <w:rPr>
          <w:rFonts w:ascii="Times New Roman" w:eastAsia="Times New Roman"/>
          <w:color w:val="auto"/>
        </w:rPr>
        <w:t>2</w:t>
      </w:r>
      <w:r>
        <w:rPr>
          <w:color w:val="auto"/>
        </w:rPr>
        <w:t>）法定代表人身份证明</w:t>
      </w: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授权委托书；（</w:t>
      </w:r>
      <w:r>
        <w:rPr>
          <w:rFonts w:hint="eastAsia"/>
          <w:color w:val="auto"/>
          <w:lang w:val="en-US" w:eastAsia="zh-CN"/>
        </w:rPr>
        <w:t>4</w:t>
      </w:r>
      <w:r>
        <w:rPr>
          <w:color w:val="auto"/>
        </w:rPr>
        <w:t>）投标保证金；（</w:t>
      </w:r>
      <w:r>
        <w:rPr>
          <w:rFonts w:hint="eastAsia"/>
          <w:color w:val="auto"/>
          <w:lang w:val="en-US" w:eastAsia="zh-CN"/>
        </w:rPr>
        <w:t>5</w:t>
      </w:r>
      <w:r>
        <w:rPr>
          <w:color w:val="auto"/>
        </w:rPr>
        <w:t>）资格审查资料；（</w:t>
      </w:r>
      <w:r>
        <w:rPr>
          <w:rFonts w:hint="eastAsia" w:ascii="Times New Roman"/>
          <w:color w:val="auto"/>
          <w:lang w:val="en-US" w:eastAsia="zh-CN"/>
        </w:rPr>
        <w:t>6</w:t>
      </w:r>
      <w:r>
        <w:rPr>
          <w:color w:val="auto"/>
        </w:rPr>
        <w:t>）</w:t>
      </w:r>
      <w:r>
        <w:rPr>
          <w:rFonts w:hint="eastAsia"/>
          <w:color w:val="auto"/>
          <w:spacing w:val="-3"/>
          <w:lang w:val="zh-CN" w:eastAsia="zh-CN"/>
        </w:rPr>
        <w:t>商务评审的其他资料；</w:t>
      </w:r>
      <w:r>
        <w:rPr>
          <w:color w:val="auto"/>
        </w:rPr>
        <w:t>（</w:t>
      </w:r>
      <w:r>
        <w:rPr>
          <w:rFonts w:hint="eastAsia" w:ascii="Times New Roman"/>
          <w:color w:val="auto"/>
          <w:lang w:val="en-US" w:eastAsia="zh-CN"/>
        </w:rPr>
        <w:t>7</w:t>
      </w:r>
      <w:r>
        <w:rPr>
          <w:color w:val="auto"/>
        </w:rPr>
        <w:t>）监理大纲；（</w:t>
      </w:r>
      <w:r>
        <w:rPr>
          <w:rFonts w:hint="eastAsia" w:ascii="Times New Roman"/>
          <w:color w:val="auto"/>
          <w:lang w:val="en-US" w:eastAsia="zh-CN"/>
        </w:rPr>
        <w:t>8</w:t>
      </w:r>
      <w:r>
        <w:rPr>
          <w:color w:val="auto"/>
        </w:rPr>
        <w:t>）其他资料。</w:t>
      </w:r>
    </w:p>
    <w:p>
      <w:pPr>
        <w:pStyle w:val="7"/>
        <w:spacing w:line="328" w:lineRule="auto"/>
        <w:ind w:right="888" w:firstLine="420"/>
        <w:rPr>
          <w:color w:val="auto"/>
        </w:rPr>
      </w:pPr>
      <w:r>
        <w:rPr>
          <w:color w:val="auto"/>
        </w:rPr>
        <w:t>投标人在评标过程中作出的符合法律法规和招标文件规定的澄清确认，构成投标文件的组成部分。</w:t>
      </w:r>
    </w:p>
    <w:p>
      <w:pPr>
        <w:pStyle w:val="4"/>
        <w:numPr>
          <w:ilvl w:val="1"/>
          <w:numId w:val="14"/>
        </w:numPr>
        <w:tabs>
          <w:tab w:val="left" w:pos="1018"/>
        </w:tabs>
        <w:spacing w:before="0" w:after="0" w:line="357" w:lineRule="exact"/>
        <w:ind w:left="1017" w:right="0" w:hanging="486"/>
        <w:jc w:val="left"/>
        <w:rPr>
          <w:rFonts w:ascii="Times New Roman" w:eastAsia="Times New Roman"/>
          <w:color w:val="auto"/>
        </w:rPr>
      </w:pPr>
      <w:r>
        <w:rPr>
          <w:color w:val="auto"/>
          <w:spacing w:val="-2"/>
        </w:rPr>
        <w:t>投标报价</w:t>
      </w:r>
    </w:p>
    <w:p>
      <w:pPr>
        <w:pStyle w:val="15"/>
        <w:numPr>
          <w:ilvl w:val="2"/>
          <w:numId w:val="16"/>
        </w:numPr>
        <w:tabs>
          <w:tab w:val="left" w:pos="1655"/>
          <w:tab w:val="left" w:pos="1656"/>
        </w:tabs>
        <w:spacing w:before="126" w:after="0" w:line="328" w:lineRule="auto"/>
        <w:ind w:left="395" w:right="288" w:firstLine="420"/>
        <w:jc w:val="left"/>
        <w:rPr>
          <w:rFonts w:ascii="Times New Roman" w:hAnsi="Times New Roman" w:eastAsia="Times New Roman"/>
          <w:color w:val="auto"/>
          <w:sz w:val="24"/>
        </w:rPr>
      </w:pPr>
      <w:r>
        <w:rPr>
          <w:color w:val="auto"/>
          <w:spacing w:val="-1"/>
          <w:sz w:val="24"/>
        </w:rPr>
        <w:t xml:space="preserve">投标报价应包括国家规定的增值税税金，除投标人须知前附表另有规定外， </w:t>
      </w:r>
      <w:r>
        <w:rPr>
          <w:color w:val="auto"/>
          <w:spacing w:val="-2"/>
          <w:sz w:val="24"/>
        </w:rPr>
        <w:t>增值税税金按一般计税方法计算。投标人应按第六章</w:t>
      </w:r>
      <w:r>
        <w:rPr>
          <w:rFonts w:ascii="Times New Roman" w:hAnsi="Times New Roman" w:eastAsia="Times New Roman"/>
          <w:color w:val="auto"/>
          <w:sz w:val="24"/>
        </w:rPr>
        <w:t>“</w:t>
      </w:r>
      <w:r>
        <w:rPr>
          <w:color w:val="auto"/>
          <w:sz w:val="24"/>
        </w:rPr>
        <w:t>投标文件格式</w:t>
      </w:r>
      <w:r>
        <w:rPr>
          <w:rFonts w:ascii="Times New Roman" w:hAnsi="Times New Roman" w:eastAsia="Times New Roman"/>
          <w:color w:val="auto"/>
          <w:sz w:val="24"/>
        </w:rPr>
        <w:t>”</w:t>
      </w:r>
      <w:r>
        <w:rPr>
          <w:color w:val="auto"/>
          <w:sz w:val="24"/>
        </w:rPr>
        <w:t>的要求在投标函中进行报价。</w:t>
      </w:r>
    </w:p>
    <w:p>
      <w:pPr>
        <w:pStyle w:val="15"/>
        <w:numPr>
          <w:ilvl w:val="2"/>
          <w:numId w:val="16"/>
        </w:numPr>
        <w:tabs>
          <w:tab w:val="left" w:pos="1337"/>
        </w:tabs>
        <w:spacing w:before="0" w:after="0" w:line="304" w:lineRule="exact"/>
        <w:ind w:left="1336" w:right="0" w:hanging="521"/>
        <w:jc w:val="left"/>
        <w:rPr>
          <w:rFonts w:ascii="Times New Roman" w:eastAsia="Times New Roman"/>
          <w:color w:val="auto"/>
          <w:sz w:val="24"/>
        </w:rPr>
      </w:pPr>
      <w:r>
        <w:rPr>
          <w:color w:val="auto"/>
          <w:sz w:val="24"/>
        </w:rPr>
        <w:t>投标人应充分了解该项目的总体情况以及影响投标报价的其他要素。</w:t>
      </w:r>
    </w:p>
    <w:p>
      <w:pPr>
        <w:pStyle w:val="15"/>
        <w:numPr>
          <w:ilvl w:val="2"/>
          <w:numId w:val="16"/>
        </w:numPr>
        <w:tabs>
          <w:tab w:val="left" w:pos="1344"/>
        </w:tabs>
        <w:spacing w:before="113" w:after="0" w:line="240" w:lineRule="auto"/>
        <w:ind w:left="1344" w:right="0" w:hanging="528"/>
        <w:jc w:val="left"/>
        <w:rPr>
          <w:rFonts w:ascii="Times New Roman" w:eastAsia="Times New Roman"/>
          <w:color w:val="auto"/>
          <w:sz w:val="24"/>
        </w:rPr>
      </w:pPr>
      <w:r>
        <w:rPr>
          <w:color w:val="auto"/>
          <w:sz w:val="24"/>
        </w:rPr>
        <w:t>本项目的报价方式见投标人须知前附表。</w:t>
      </w:r>
    </w:p>
    <w:p>
      <w:pPr>
        <w:pStyle w:val="15"/>
        <w:numPr>
          <w:ilvl w:val="2"/>
          <w:numId w:val="16"/>
        </w:numPr>
        <w:tabs>
          <w:tab w:val="left" w:pos="1344"/>
        </w:tabs>
        <w:spacing w:before="115" w:after="0" w:line="328" w:lineRule="auto"/>
        <w:ind w:left="395" w:right="396" w:firstLine="420"/>
        <w:jc w:val="left"/>
        <w:rPr>
          <w:rFonts w:ascii="Times New Roman" w:eastAsia="Times New Roman"/>
          <w:color w:val="auto"/>
          <w:sz w:val="24"/>
        </w:rPr>
      </w:pPr>
      <w:r>
        <w:rPr>
          <w:color w:val="auto"/>
          <w:spacing w:val="-4"/>
          <w:sz w:val="24"/>
        </w:rPr>
        <w:t>招标人设有最高投标限价的，投标人的投标报价不得超过最高投标限价，最高</w:t>
      </w:r>
      <w:r>
        <w:rPr>
          <w:color w:val="auto"/>
          <w:sz w:val="24"/>
        </w:rPr>
        <w:t>投标限价在投标人须知前附表中载明。</w:t>
      </w:r>
    </w:p>
    <w:p>
      <w:pPr>
        <w:pStyle w:val="15"/>
        <w:numPr>
          <w:ilvl w:val="2"/>
          <w:numId w:val="16"/>
        </w:numPr>
        <w:tabs>
          <w:tab w:val="left" w:pos="1337"/>
        </w:tabs>
        <w:spacing w:before="0" w:after="0" w:line="305" w:lineRule="exact"/>
        <w:ind w:left="1336" w:right="0" w:hanging="521"/>
        <w:jc w:val="left"/>
        <w:rPr>
          <w:rFonts w:ascii="Times New Roman" w:eastAsia="Times New Roman"/>
          <w:color w:val="auto"/>
          <w:sz w:val="21"/>
        </w:rPr>
      </w:pPr>
      <w:r>
        <w:rPr>
          <w:color w:val="auto"/>
          <w:sz w:val="24"/>
        </w:rPr>
        <w:t>投标报价的其他要求见投标人须知前附表。</w:t>
      </w:r>
    </w:p>
    <w:p>
      <w:pPr>
        <w:pStyle w:val="4"/>
        <w:numPr>
          <w:ilvl w:val="1"/>
          <w:numId w:val="14"/>
        </w:numPr>
        <w:tabs>
          <w:tab w:val="left" w:pos="1018"/>
        </w:tabs>
        <w:spacing w:before="113" w:after="0" w:line="240" w:lineRule="auto"/>
        <w:ind w:left="1017" w:right="0" w:hanging="486"/>
        <w:jc w:val="left"/>
        <w:rPr>
          <w:rFonts w:ascii="Times New Roman" w:eastAsia="Times New Roman"/>
          <w:color w:val="auto"/>
        </w:rPr>
      </w:pPr>
      <w:r>
        <w:rPr>
          <w:color w:val="auto"/>
          <w:spacing w:val="-2"/>
        </w:rPr>
        <w:t>投标有效期</w:t>
      </w:r>
    </w:p>
    <w:p>
      <w:pPr>
        <w:pStyle w:val="15"/>
        <w:numPr>
          <w:ilvl w:val="2"/>
          <w:numId w:val="17"/>
        </w:numPr>
        <w:tabs>
          <w:tab w:val="left" w:pos="1337"/>
        </w:tabs>
        <w:spacing w:before="130" w:after="0" w:line="240" w:lineRule="auto"/>
        <w:ind w:left="1336" w:right="0" w:hanging="521"/>
        <w:jc w:val="left"/>
        <w:rPr>
          <w:rFonts w:ascii="Times New Roman" w:eastAsia="Times New Roman"/>
          <w:color w:val="auto"/>
          <w:sz w:val="24"/>
        </w:rPr>
      </w:pPr>
      <w:r>
        <w:rPr>
          <w:color w:val="auto"/>
          <w:sz w:val="24"/>
        </w:rPr>
        <w:t xml:space="preserve">除投标人须知前附表另有规定外，投标有效期为 </w:t>
      </w:r>
      <w:r>
        <w:rPr>
          <w:rFonts w:ascii="Times New Roman" w:eastAsia="Times New Roman"/>
          <w:color w:val="auto"/>
          <w:sz w:val="24"/>
        </w:rPr>
        <w:t xml:space="preserve">90 </w:t>
      </w:r>
      <w:r>
        <w:rPr>
          <w:color w:val="auto"/>
          <w:sz w:val="24"/>
        </w:rPr>
        <w:t>天。</w:t>
      </w:r>
    </w:p>
    <w:p>
      <w:pPr>
        <w:pStyle w:val="15"/>
        <w:keepNext w:val="0"/>
        <w:keepLines w:val="0"/>
        <w:pageBreakBefore w:val="0"/>
        <w:widowControl w:val="0"/>
        <w:numPr>
          <w:ilvl w:val="2"/>
          <w:numId w:val="17"/>
        </w:numPr>
        <w:tabs>
          <w:tab w:val="left" w:pos="1337"/>
        </w:tabs>
        <w:kinsoku/>
        <w:wordWrap/>
        <w:overflowPunct/>
        <w:topLinePunct w:val="0"/>
        <w:autoSpaceDE w:val="0"/>
        <w:autoSpaceDN w:val="0"/>
        <w:bidi w:val="0"/>
        <w:adjustRightInd/>
        <w:snapToGrid/>
        <w:spacing w:before="113" w:after="0" w:line="329" w:lineRule="auto"/>
        <w:ind w:left="397" w:right="0" w:firstLine="420"/>
        <w:jc w:val="left"/>
        <w:textAlignment w:val="auto"/>
        <w:rPr>
          <w:rFonts w:ascii="Times New Roman" w:eastAsia="Times New Roman"/>
          <w:color w:val="auto"/>
          <w:sz w:val="24"/>
        </w:rPr>
      </w:pPr>
      <w:r>
        <w:rPr>
          <w:color w:val="auto"/>
          <w:spacing w:val="-1"/>
          <w:sz w:val="24"/>
        </w:rPr>
        <w:t>在投标有效期内，投标人撤销投标文件的，应承担招标文件和法律规定的</w:t>
      </w:r>
      <w:r>
        <w:rPr>
          <w:color w:val="auto"/>
          <w:sz w:val="24"/>
        </w:rPr>
        <w:t>责任。</w:t>
      </w:r>
    </w:p>
    <w:p>
      <w:pPr>
        <w:pStyle w:val="15"/>
        <w:numPr>
          <w:ilvl w:val="2"/>
          <w:numId w:val="17"/>
        </w:numPr>
        <w:tabs>
          <w:tab w:val="left" w:pos="1344"/>
        </w:tabs>
        <w:spacing w:before="0" w:after="0" w:line="328" w:lineRule="auto"/>
        <w:ind w:left="395" w:right="272" w:firstLine="420"/>
        <w:jc w:val="left"/>
        <w:rPr>
          <w:rFonts w:ascii="Times New Roman" w:eastAsia="Times New Roman"/>
          <w:color w:val="auto"/>
          <w:sz w:val="21"/>
        </w:rPr>
      </w:pPr>
      <w:r>
        <w:rPr>
          <w:color w:val="auto"/>
          <w:spacing w:val="-3"/>
          <w:sz w:val="24"/>
        </w:rPr>
        <w:t>出现特殊情况需要延长投标有效期的，招标人以书面形式通知所有投标人延长</w:t>
      </w:r>
      <w:r>
        <w:rPr>
          <w:color w:val="auto"/>
          <w:spacing w:val="-14"/>
          <w:sz w:val="24"/>
        </w:rPr>
        <w:t>投标有效期。投标人应予以书面答复，同意延长的，应相应延长其投标保证金的有效期，</w:t>
      </w:r>
      <w:r>
        <w:rPr>
          <w:color w:val="auto"/>
          <w:spacing w:val="-3"/>
          <w:sz w:val="24"/>
        </w:rPr>
        <w:t>但不得要求或被允许修改其投标文件；投标人拒绝延长的，其投标失效，但投标人有权收回其投标保证金及以现金或者支票形式递交的投标保证金的银行同期存款利息。</w:t>
      </w:r>
    </w:p>
    <w:p>
      <w:pPr>
        <w:pStyle w:val="4"/>
        <w:numPr>
          <w:ilvl w:val="1"/>
          <w:numId w:val="14"/>
        </w:numPr>
        <w:tabs>
          <w:tab w:val="left" w:pos="1018"/>
        </w:tabs>
        <w:spacing w:before="0" w:after="0" w:line="357" w:lineRule="exact"/>
        <w:ind w:left="1017" w:right="0" w:hanging="486"/>
        <w:jc w:val="left"/>
        <w:rPr>
          <w:rFonts w:ascii="宋体" w:hAnsi="宋体" w:eastAsia="宋体" w:cs="宋体"/>
          <w:color w:val="auto"/>
          <w:spacing w:val="-3"/>
          <w:sz w:val="24"/>
          <w:szCs w:val="22"/>
          <w:lang w:val="zh-CN" w:eastAsia="zh-CN" w:bidi="zh-CN"/>
        </w:rPr>
      </w:pPr>
      <w:r>
        <w:rPr>
          <w:color w:val="auto"/>
          <w:spacing w:val="-2"/>
        </w:rPr>
        <w:t>投标保证金</w:t>
      </w:r>
    </w:p>
    <w:p>
      <w:pPr>
        <w:pStyle w:val="15"/>
        <w:numPr>
          <w:ilvl w:val="2"/>
          <w:numId w:val="18"/>
        </w:numPr>
        <w:tabs>
          <w:tab w:val="left" w:pos="1344"/>
        </w:tabs>
        <w:spacing w:before="127" w:after="0" w:line="328" w:lineRule="auto"/>
        <w:ind w:left="395" w:right="348" w:firstLine="420"/>
        <w:jc w:val="both"/>
        <w:rPr>
          <w:color w:val="auto"/>
          <w:sz w:val="24"/>
        </w:rPr>
      </w:pPr>
      <w:r>
        <w:rPr>
          <w:rFonts w:ascii="宋体" w:hAnsi="宋体" w:eastAsia="宋体" w:cs="宋体"/>
          <w:color w:val="auto"/>
          <w:spacing w:val="-3"/>
          <w:sz w:val="24"/>
          <w:szCs w:val="22"/>
          <w:lang w:val="zh-CN" w:eastAsia="zh-CN" w:bidi="zh-CN"/>
        </w:rPr>
        <w:t>投标人在递交投标文件的同时，应按投标人须知前附表规定</w:t>
      </w:r>
      <w:r>
        <w:rPr>
          <w:color w:val="auto"/>
          <w:spacing w:val="-3"/>
          <w:sz w:val="24"/>
        </w:rPr>
        <w:t>的金额、形式和第六章</w:t>
      </w:r>
      <w:r>
        <w:rPr>
          <w:rFonts w:ascii="Times New Roman" w:hAnsi="Times New Roman" w:eastAsia="Times New Roman"/>
          <w:color w:val="auto"/>
          <w:spacing w:val="-3"/>
          <w:sz w:val="24"/>
        </w:rPr>
        <w:t>“</w:t>
      </w:r>
      <w:r>
        <w:rPr>
          <w:color w:val="auto"/>
          <w:spacing w:val="-3"/>
          <w:sz w:val="24"/>
        </w:rPr>
        <w:t>投标文件格式</w:t>
      </w:r>
      <w:r>
        <w:rPr>
          <w:rFonts w:ascii="Times New Roman" w:hAnsi="Times New Roman" w:eastAsia="Times New Roman"/>
          <w:color w:val="auto"/>
          <w:spacing w:val="-3"/>
          <w:sz w:val="24"/>
        </w:rPr>
        <w:t>”</w:t>
      </w:r>
      <w:r>
        <w:rPr>
          <w:color w:val="auto"/>
          <w:spacing w:val="-5"/>
          <w:sz w:val="24"/>
        </w:rPr>
        <w:t>规定的投标保证金格式递交投标保证金，并作为其投标文件的组成</w:t>
      </w:r>
      <w:r>
        <w:rPr>
          <w:color w:val="auto"/>
          <w:spacing w:val="-7"/>
          <w:sz w:val="24"/>
        </w:rPr>
        <w:t>部分。境内投标人以现金或者支票形式提交的投标保证金，应当从其基本账户转出并在</w:t>
      </w:r>
      <w:r>
        <w:rPr>
          <w:color w:val="auto"/>
          <w:spacing w:val="-8"/>
          <w:sz w:val="24"/>
        </w:rPr>
        <w:t>投标文件中附上基本账户开户证明。联合体投标的，其投标保证金可以由牵头人递交，</w:t>
      </w:r>
      <w:r>
        <w:rPr>
          <w:color w:val="auto"/>
          <w:sz w:val="24"/>
        </w:rPr>
        <w:t>并应符合投标人须知前附表的规定。</w:t>
      </w:r>
    </w:p>
    <w:p>
      <w:pPr>
        <w:pStyle w:val="15"/>
        <w:keepNext w:val="0"/>
        <w:keepLines w:val="0"/>
        <w:pageBreakBefore w:val="0"/>
        <w:widowControl w:val="0"/>
        <w:numPr>
          <w:ilvl w:val="2"/>
          <w:numId w:val="18"/>
        </w:numPr>
        <w:tabs>
          <w:tab w:val="left" w:pos="1337"/>
        </w:tabs>
        <w:kinsoku/>
        <w:wordWrap/>
        <w:overflowPunct/>
        <w:topLinePunct w:val="0"/>
        <w:autoSpaceDE w:val="0"/>
        <w:autoSpaceDN w:val="0"/>
        <w:bidi w:val="0"/>
        <w:adjustRightInd/>
        <w:snapToGrid/>
        <w:spacing w:before="0" w:after="0" w:line="329" w:lineRule="auto"/>
        <w:ind w:left="397" w:right="0" w:firstLine="420"/>
        <w:jc w:val="left"/>
        <w:textAlignment w:val="auto"/>
        <w:rPr>
          <w:color w:val="auto"/>
          <w:sz w:val="24"/>
        </w:rPr>
      </w:pPr>
      <w:r>
        <w:rPr>
          <w:color w:val="auto"/>
          <w:sz w:val="24"/>
        </w:rPr>
        <w:t xml:space="preserve">投标人不按本章第 </w:t>
      </w:r>
      <w:r>
        <w:rPr>
          <w:rFonts w:ascii="Times New Roman" w:eastAsia="Times New Roman"/>
          <w:color w:val="auto"/>
          <w:sz w:val="24"/>
        </w:rPr>
        <w:t xml:space="preserve">3.4.1 </w:t>
      </w:r>
      <w:r>
        <w:rPr>
          <w:color w:val="auto"/>
          <w:spacing w:val="-1"/>
          <w:sz w:val="24"/>
        </w:rPr>
        <w:t>项要求提交投标保证金的，评标委员会将否决其</w:t>
      </w:r>
      <w:r>
        <w:rPr>
          <w:color w:val="auto"/>
          <w:sz w:val="24"/>
        </w:rPr>
        <w:t>投标。</w:t>
      </w:r>
    </w:p>
    <w:p>
      <w:pPr>
        <w:pStyle w:val="15"/>
        <w:numPr>
          <w:ilvl w:val="2"/>
          <w:numId w:val="18"/>
        </w:numPr>
        <w:tabs>
          <w:tab w:val="left" w:pos="1344"/>
        </w:tabs>
        <w:spacing w:before="0" w:after="0" w:line="328" w:lineRule="auto"/>
        <w:ind w:left="395" w:right="375" w:firstLine="420"/>
        <w:jc w:val="left"/>
        <w:rPr>
          <w:color w:val="auto"/>
          <w:sz w:val="24"/>
        </w:rPr>
      </w:pPr>
      <w:r>
        <w:rPr>
          <w:color w:val="auto"/>
          <w:sz w:val="24"/>
        </w:rPr>
        <w:t xml:space="preserve">招标人最迟将在与中标人签订合同后 </w:t>
      </w:r>
      <w:r>
        <w:rPr>
          <w:rFonts w:ascii="Times New Roman" w:eastAsia="Times New Roman"/>
          <w:color w:val="auto"/>
          <w:sz w:val="24"/>
        </w:rPr>
        <w:t xml:space="preserve">5 </w:t>
      </w:r>
      <w:r>
        <w:rPr>
          <w:color w:val="auto"/>
          <w:spacing w:val="-4"/>
          <w:sz w:val="24"/>
        </w:rPr>
        <w:t>日内，向未中标的投标人和中标人退</w:t>
      </w:r>
      <w:r>
        <w:rPr>
          <w:color w:val="auto"/>
          <w:spacing w:val="-8"/>
          <w:sz w:val="24"/>
        </w:rPr>
        <w:t>还投标保证金。投标保证金以现金或者支票形式递交的，还应退还银行同期存款利息。</w:t>
      </w:r>
    </w:p>
    <w:p>
      <w:pPr>
        <w:pStyle w:val="15"/>
        <w:numPr>
          <w:ilvl w:val="2"/>
          <w:numId w:val="18"/>
        </w:numPr>
        <w:tabs>
          <w:tab w:val="left" w:pos="1337"/>
        </w:tabs>
        <w:spacing w:before="0" w:after="0" w:line="240" w:lineRule="auto"/>
        <w:ind w:left="1336" w:right="0" w:hanging="521"/>
        <w:jc w:val="left"/>
        <w:rPr>
          <w:color w:val="auto"/>
          <w:sz w:val="24"/>
        </w:rPr>
      </w:pPr>
      <w:r>
        <w:rPr>
          <w:color w:val="auto"/>
          <w:sz w:val="24"/>
        </w:rPr>
        <w:t>有下列情形之一的，投标保证金将不予退还：</w:t>
      </w:r>
    </w:p>
    <w:p>
      <w:pPr>
        <w:spacing w:after="0" w:line="240" w:lineRule="auto"/>
        <w:jc w:val="left"/>
        <w:rPr>
          <w:color w:val="auto"/>
          <w:sz w:val="24"/>
        </w:rPr>
        <w:sectPr>
          <w:pgSz w:w="11910" w:h="16840"/>
          <w:pgMar w:top="1340" w:right="1020" w:bottom="900" w:left="1020" w:header="0" w:footer="640" w:gutter="0"/>
          <w:pgBorders>
            <w:top w:val="none" w:sz="0" w:space="0"/>
            <w:left w:val="none" w:sz="0" w:space="0"/>
            <w:bottom w:val="none" w:sz="0" w:space="0"/>
            <w:right w:val="none" w:sz="0" w:space="0"/>
          </w:pgBorders>
          <w:pgNumType w:fmt="decimal"/>
          <w:cols w:space="720" w:num="1"/>
        </w:sectPr>
      </w:pPr>
    </w:p>
    <w:p>
      <w:pPr>
        <w:pStyle w:val="15"/>
        <w:numPr>
          <w:ilvl w:val="0"/>
          <w:numId w:val="19"/>
        </w:numPr>
        <w:tabs>
          <w:tab w:val="left" w:pos="1319"/>
        </w:tabs>
        <w:spacing w:before="61" w:after="0" w:line="240" w:lineRule="auto"/>
        <w:ind w:left="1318" w:right="0" w:hanging="602"/>
        <w:jc w:val="left"/>
        <w:rPr>
          <w:color w:val="auto"/>
          <w:sz w:val="24"/>
        </w:rPr>
      </w:pPr>
      <w:r>
        <w:rPr>
          <w:color w:val="auto"/>
          <w:sz w:val="24"/>
        </w:rPr>
        <w:t>投标人在投标有效期内撤销投标文件；</w:t>
      </w:r>
    </w:p>
    <w:p>
      <w:pPr>
        <w:pStyle w:val="15"/>
        <w:numPr>
          <w:ilvl w:val="0"/>
          <w:numId w:val="19"/>
        </w:numPr>
        <w:tabs>
          <w:tab w:val="left" w:pos="1319"/>
        </w:tabs>
        <w:spacing w:before="113" w:after="0" w:line="328" w:lineRule="auto"/>
        <w:ind w:left="395" w:right="865" w:firstLine="321"/>
        <w:jc w:val="left"/>
        <w:rPr>
          <w:color w:val="auto"/>
          <w:sz w:val="24"/>
        </w:rPr>
      </w:pPr>
      <w:r>
        <w:rPr>
          <w:color w:val="auto"/>
          <w:spacing w:val="-1"/>
          <w:sz w:val="24"/>
        </w:rPr>
        <w:t>中标人在收到中标通知书后，无正当理由不与招标人订立合同，在签订合</w:t>
      </w:r>
      <w:r>
        <w:rPr>
          <w:color w:val="auto"/>
          <w:sz w:val="24"/>
        </w:rPr>
        <w:t>同时向招标人提出附加条件，或者不按照招标文件要求提交履约保证金；</w:t>
      </w:r>
    </w:p>
    <w:p>
      <w:pPr>
        <w:pStyle w:val="15"/>
        <w:numPr>
          <w:ilvl w:val="0"/>
          <w:numId w:val="19"/>
        </w:numPr>
        <w:tabs>
          <w:tab w:val="left" w:pos="1319"/>
        </w:tabs>
        <w:spacing w:before="0" w:after="0" w:line="305" w:lineRule="exact"/>
        <w:ind w:left="1318" w:right="0" w:hanging="602"/>
        <w:jc w:val="left"/>
        <w:rPr>
          <w:color w:val="auto"/>
          <w:sz w:val="24"/>
        </w:rPr>
      </w:pPr>
      <w:r>
        <w:rPr>
          <w:color w:val="auto"/>
          <w:sz w:val="24"/>
        </w:rPr>
        <w:t>发生投标人须知前附表规定的其他可以不予退还投标保证金的情形。</w:t>
      </w:r>
    </w:p>
    <w:p>
      <w:pPr>
        <w:pStyle w:val="4"/>
        <w:numPr>
          <w:ilvl w:val="1"/>
          <w:numId w:val="14"/>
        </w:numPr>
        <w:tabs>
          <w:tab w:val="left" w:pos="1028"/>
        </w:tabs>
        <w:spacing w:before="113" w:after="0" w:line="240" w:lineRule="auto"/>
        <w:ind w:left="1027" w:right="0" w:hanging="491"/>
        <w:jc w:val="left"/>
        <w:rPr>
          <w:rFonts w:ascii="Times New Roman" w:eastAsia="Times New Roman"/>
          <w:color w:val="auto"/>
        </w:rPr>
      </w:pPr>
      <w:r>
        <w:rPr>
          <w:color w:val="auto"/>
          <w:spacing w:val="-3"/>
        </w:rPr>
        <w:t>资格审查资料</w:t>
      </w:r>
      <w:r>
        <w:rPr>
          <w:color w:val="auto"/>
        </w:rPr>
        <w:t>（</w:t>
      </w:r>
      <w:r>
        <w:rPr>
          <w:color w:val="auto"/>
          <w:spacing w:val="-3"/>
        </w:rPr>
        <w:t>适用于未进行资格预审的</w:t>
      </w:r>
      <w:r>
        <w:rPr>
          <w:color w:val="auto"/>
        </w:rPr>
        <w:t>）</w:t>
      </w:r>
    </w:p>
    <w:p>
      <w:pPr>
        <w:pStyle w:val="7"/>
        <w:spacing w:before="130"/>
        <w:ind w:left="1012"/>
        <w:rPr>
          <w:color w:val="auto"/>
        </w:rPr>
      </w:pPr>
      <w:r>
        <w:rPr>
          <w:color w:val="auto"/>
        </w:rPr>
        <w:t>见投标人须知前附表。</w:t>
      </w:r>
    </w:p>
    <w:p>
      <w:pPr>
        <w:pStyle w:val="7"/>
        <w:keepNext w:val="0"/>
        <w:keepLines w:val="0"/>
        <w:pageBreakBefore w:val="0"/>
        <w:widowControl w:val="0"/>
        <w:kinsoku/>
        <w:wordWrap/>
        <w:overflowPunct/>
        <w:topLinePunct w:val="0"/>
        <w:autoSpaceDE w:val="0"/>
        <w:autoSpaceDN w:val="0"/>
        <w:bidi w:val="0"/>
        <w:adjustRightInd/>
        <w:snapToGrid/>
        <w:spacing w:before="112" w:line="329" w:lineRule="auto"/>
        <w:ind w:left="480" w:leftChars="218" w:right="397" w:firstLine="480" w:firstLineChars="200"/>
        <w:textAlignment w:val="auto"/>
        <w:rPr>
          <w:color w:val="auto"/>
        </w:rPr>
      </w:pPr>
      <w:r>
        <w:rPr>
          <w:color w:val="auto"/>
        </w:rPr>
        <w:t xml:space="preserve">若前附表未有规定，则投标人应按下列规定提供资格审查资料，以证明其满足本章第 </w:t>
      </w:r>
      <w:r>
        <w:rPr>
          <w:rFonts w:ascii="Times New Roman" w:eastAsia="Times New Roman"/>
          <w:color w:val="auto"/>
        </w:rPr>
        <w:t xml:space="preserve">1.4 </w:t>
      </w:r>
      <w:r>
        <w:rPr>
          <w:color w:val="auto"/>
        </w:rPr>
        <w:t>款规定的资质、财务、业绩、信誉等要求。</w:t>
      </w:r>
    </w:p>
    <w:p>
      <w:pPr>
        <w:pStyle w:val="15"/>
        <w:numPr>
          <w:ilvl w:val="0"/>
          <w:numId w:val="0"/>
        </w:numPr>
        <w:tabs>
          <w:tab w:val="left" w:pos="936"/>
        </w:tabs>
        <w:spacing w:before="0" w:after="0" w:line="328" w:lineRule="auto"/>
        <w:ind w:left="395" w:leftChars="0" w:right="396" w:rightChars="0" w:firstLine="480" w:firstLineChars="200"/>
        <w:jc w:val="left"/>
        <w:rPr>
          <w:rFonts w:ascii="Times New Roman" w:hAnsi="Times New Roman" w:eastAsia="Times New Roman"/>
          <w:color w:val="auto"/>
          <w:sz w:val="24"/>
        </w:rPr>
      </w:pPr>
      <w:r>
        <w:rPr>
          <w:rFonts w:hint="eastAsia" w:ascii="Times New Roman" w:hAnsi="Times New Roman"/>
          <w:color w:val="auto"/>
          <w:sz w:val="24"/>
          <w:lang w:val="en-US" w:eastAsia="zh-CN"/>
        </w:rPr>
        <w:t xml:space="preserve">3.5.1  </w:t>
      </w:r>
      <w:r>
        <w:rPr>
          <w:rFonts w:ascii="Times New Roman" w:hAnsi="Times New Roman" w:eastAsia="Times New Roman"/>
          <w:color w:val="auto"/>
          <w:sz w:val="24"/>
        </w:rPr>
        <w:t>“</w:t>
      </w:r>
      <w:r>
        <w:rPr>
          <w:color w:val="auto"/>
          <w:sz w:val="24"/>
        </w:rPr>
        <w:t>投标人基本情况表</w:t>
      </w:r>
      <w:r>
        <w:rPr>
          <w:rFonts w:ascii="Times New Roman" w:hAnsi="Times New Roman" w:eastAsia="Times New Roman"/>
          <w:color w:val="auto"/>
          <w:sz w:val="24"/>
        </w:rPr>
        <w:t>”</w:t>
      </w:r>
      <w:r>
        <w:rPr>
          <w:color w:val="auto"/>
          <w:spacing w:val="-7"/>
          <w:sz w:val="24"/>
        </w:rPr>
        <w:t>应附投标人营业执照的复印件、投标人监理资质证书副本等材</w:t>
      </w:r>
      <w:r>
        <w:rPr>
          <w:color w:val="auto"/>
          <w:sz w:val="24"/>
        </w:rPr>
        <w:t>料的复印件。</w:t>
      </w:r>
    </w:p>
    <w:p>
      <w:pPr>
        <w:pStyle w:val="15"/>
        <w:numPr>
          <w:ilvl w:val="0"/>
          <w:numId w:val="0"/>
        </w:numPr>
        <w:tabs>
          <w:tab w:val="left" w:pos="1655"/>
          <w:tab w:val="left" w:pos="1656"/>
        </w:tabs>
        <w:spacing w:before="0" w:after="0" w:line="328" w:lineRule="auto"/>
        <w:ind w:left="480" w:leftChars="218" w:right="375" w:rightChars="0" w:firstLine="440" w:firstLineChars="200"/>
        <w:jc w:val="left"/>
        <w:rPr>
          <w:rFonts w:ascii="Times New Roman" w:hAnsi="Times New Roman" w:eastAsia="Times New Roman"/>
          <w:color w:val="auto"/>
          <w:sz w:val="24"/>
        </w:rPr>
      </w:pPr>
      <w:r>
        <w:rPr>
          <w:rFonts w:hint="eastAsia"/>
          <w:color w:val="auto"/>
          <w:spacing w:val="-10"/>
          <w:sz w:val="24"/>
          <w:lang w:val="en-US" w:eastAsia="zh-CN"/>
        </w:rPr>
        <w:t xml:space="preserve">3.5.2 </w:t>
      </w:r>
      <w:r>
        <w:rPr>
          <w:color w:val="auto"/>
          <w:spacing w:val="-10"/>
          <w:sz w:val="24"/>
        </w:rPr>
        <w:t xml:space="preserve">“近年财务状况表”应附经会计师事务所或审计机构审计的财务会计报表， </w:t>
      </w:r>
      <w:r>
        <w:rPr>
          <w:color w:val="auto"/>
          <w:sz w:val="24"/>
        </w:rPr>
        <w:t>包括资产负债表、现金流量表、利润表和财务情况说明书的复印件，具体年份要求见投标人须知前附表。投标人的成立时间少于投标人须知前附表规定年份的，应提供成立以来的财务状况表。</w:t>
      </w:r>
    </w:p>
    <w:p>
      <w:pPr>
        <w:pStyle w:val="15"/>
        <w:numPr>
          <w:ilvl w:val="0"/>
          <w:numId w:val="0"/>
        </w:numPr>
        <w:tabs>
          <w:tab w:val="left" w:pos="1656"/>
        </w:tabs>
        <w:spacing w:before="0" w:after="0" w:line="328" w:lineRule="auto"/>
        <w:ind w:left="480" w:leftChars="218" w:right="495" w:rightChars="0" w:firstLine="480" w:firstLineChars="200"/>
        <w:jc w:val="both"/>
        <w:rPr>
          <w:rFonts w:ascii="Times New Roman" w:hAnsi="Times New Roman" w:eastAsia="Times New Roman"/>
          <w:color w:val="auto"/>
          <w:sz w:val="24"/>
        </w:rPr>
      </w:pPr>
      <w:r>
        <w:rPr>
          <w:rFonts w:hint="eastAsia" w:ascii="Times New Roman" w:hAnsi="Times New Roman"/>
          <w:color w:val="auto"/>
          <w:sz w:val="24"/>
          <w:lang w:val="en-US" w:eastAsia="zh-CN"/>
        </w:rPr>
        <w:t xml:space="preserve">3.5.3 </w:t>
      </w:r>
      <w:r>
        <w:rPr>
          <w:rFonts w:ascii="Times New Roman" w:hAnsi="Times New Roman" w:eastAsia="Times New Roman"/>
          <w:color w:val="auto"/>
          <w:sz w:val="24"/>
        </w:rPr>
        <w:t>“</w:t>
      </w:r>
      <w:r>
        <w:rPr>
          <w:color w:val="auto"/>
          <w:sz w:val="24"/>
        </w:rPr>
        <w:t>近年完成的类似监理项目情况表</w:t>
      </w:r>
      <w:r>
        <w:rPr>
          <w:rFonts w:ascii="Times New Roman" w:hAnsi="Times New Roman" w:eastAsia="Times New Roman"/>
          <w:color w:val="auto"/>
          <w:sz w:val="24"/>
        </w:rPr>
        <w:t>”</w:t>
      </w:r>
      <w:r>
        <w:rPr>
          <w:color w:val="auto"/>
          <w:sz w:val="24"/>
        </w:rPr>
        <w:t>应附中标通知书和（或）合同协议书、委托人出具的证明文件；具体时间要求见投标人须知前附表，每张表格只填写一个项目，并标明序号。</w:t>
      </w:r>
    </w:p>
    <w:p>
      <w:pPr>
        <w:pStyle w:val="15"/>
        <w:numPr>
          <w:ilvl w:val="0"/>
          <w:numId w:val="0"/>
        </w:numPr>
        <w:tabs>
          <w:tab w:val="left" w:pos="1655"/>
          <w:tab w:val="left" w:pos="1656"/>
        </w:tabs>
        <w:spacing w:before="0" w:after="0" w:line="328" w:lineRule="auto"/>
        <w:ind w:left="480" w:leftChars="218" w:right="375" w:rightChars="0" w:firstLine="480" w:firstLineChars="200"/>
        <w:jc w:val="left"/>
        <w:rPr>
          <w:color w:val="auto"/>
          <w:sz w:val="24"/>
        </w:rPr>
      </w:pPr>
      <w:r>
        <w:rPr>
          <w:rFonts w:hint="eastAsia"/>
          <w:color w:val="auto"/>
          <w:sz w:val="24"/>
          <w:lang w:val="en-US" w:eastAsia="zh-CN"/>
        </w:rPr>
        <w:t xml:space="preserve">3.5.4 </w:t>
      </w:r>
      <w:r>
        <w:rPr>
          <w:color w:val="auto"/>
          <w:sz w:val="24"/>
        </w:rPr>
        <w:t>“正在监理和新承接的项目情况表”应附中标通知书和（或）合同协议书复印件。每张表格只填写一个项目，并标明序号。</w:t>
      </w:r>
    </w:p>
    <w:p>
      <w:pPr>
        <w:pStyle w:val="15"/>
        <w:numPr>
          <w:ilvl w:val="0"/>
          <w:numId w:val="0"/>
        </w:numPr>
        <w:tabs>
          <w:tab w:val="left" w:pos="1655"/>
          <w:tab w:val="left" w:pos="1656"/>
        </w:tabs>
        <w:spacing w:before="0" w:after="0" w:line="328" w:lineRule="auto"/>
        <w:ind w:left="480" w:leftChars="218" w:right="375" w:rightChars="0" w:firstLine="480" w:firstLineChars="200"/>
        <w:jc w:val="left"/>
        <w:rPr>
          <w:color w:val="auto"/>
          <w:sz w:val="24"/>
        </w:rPr>
      </w:pPr>
      <w:r>
        <w:rPr>
          <w:rFonts w:hint="eastAsia"/>
          <w:color w:val="auto"/>
          <w:sz w:val="24"/>
          <w:lang w:val="en-US" w:eastAsia="zh-CN"/>
        </w:rPr>
        <w:t xml:space="preserve">3.5.5 </w:t>
      </w:r>
      <w:r>
        <w:rPr>
          <w:color w:val="auto"/>
          <w:sz w:val="24"/>
        </w:rPr>
        <w:t>“近年发生的诉讼及仲裁情况”应说明投标人败诉的监理合同的相关情况，并附法院或仲裁机构作出的判决、裁决等有关法律文书复印件，具体时间要求见投标人须知前附表。</w:t>
      </w:r>
    </w:p>
    <w:p>
      <w:pPr>
        <w:pStyle w:val="15"/>
        <w:numPr>
          <w:ilvl w:val="0"/>
          <w:numId w:val="0"/>
        </w:numPr>
        <w:tabs>
          <w:tab w:val="left" w:pos="1655"/>
          <w:tab w:val="left" w:pos="1656"/>
        </w:tabs>
        <w:spacing w:before="0" w:after="0" w:line="328" w:lineRule="auto"/>
        <w:ind w:left="480" w:leftChars="218" w:right="375" w:rightChars="0" w:firstLine="480" w:firstLineChars="200"/>
        <w:jc w:val="left"/>
        <w:rPr>
          <w:color w:val="auto"/>
          <w:sz w:val="24"/>
        </w:rPr>
      </w:pPr>
      <w:r>
        <w:rPr>
          <w:rFonts w:hint="eastAsia"/>
          <w:color w:val="auto"/>
          <w:sz w:val="24"/>
          <w:lang w:val="en-US" w:eastAsia="zh-CN"/>
        </w:rPr>
        <w:t xml:space="preserve">3.5.6 </w:t>
      </w:r>
      <w:r>
        <w:rPr>
          <w:color w:val="auto"/>
          <w:sz w:val="24"/>
        </w:rPr>
        <w:t>“拟委任的主要人员汇总表”应填报满足本章第 1.4.1 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pPr>
        <w:pStyle w:val="15"/>
        <w:numPr>
          <w:ilvl w:val="0"/>
          <w:numId w:val="0"/>
        </w:numPr>
        <w:tabs>
          <w:tab w:val="left" w:pos="1655"/>
          <w:tab w:val="left" w:pos="1656"/>
        </w:tabs>
        <w:spacing w:before="0" w:after="0" w:line="328" w:lineRule="auto"/>
        <w:ind w:left="480" w:leftChars="218" w:right="375" w:rightChars="0" w:firstLine="480" w:firstLineChars="200"/>
        <w:jc w:val="left"/>
        <w:rPr>
          <w:color w:val="auto"/>
          <w:sz w:val="24"/>
        </w:rPr>
      </w:pPr>
      <w:r>
        <w:rPr>
          <w:rFonts w:hint="eastAsia"/>
          <w:color w:val="auto"/>
          <w:sz w:val="24"/>
          <w:lang w:val="en-US" w:eastAsia="zh-CN"/>
        </w:rPr>
        <w:t>3.5.7</w:t>
      </w:r>
      <w:r>
        <w:rPr>
          <w:color w:val="auto"/>
          <w:sz w:val="24"/>
        </w:rPr>
        <w:t>“拟投入本项目的主要试验检测仪器设备表”应填报满足本章第 1.4.1 项规定的试验检测仪器设备。</w:t>
      </w:r>
    </w:p>
    <w:p>
      <w:pPr>
        <w:pStyle w:val="15"/>
        <w:numPr>
          <w:ilvl w:val="0"/>
          <w:numId w:val="0"/>
        </w:numPr>
        <w:tabs>
          <w:tab w:val="left" w:pos="1655"/>
          <w:tab w:val="left" w:pos="1656"/>
        </w:tabs>
        <w:spacing w:before="0" w:after="0" w:line="328" w:lineRule="auto"/>
        <w:ind w:left="480" w:leftChars="218" w:right="375" w:rightChars="0" w:firstLine="480" w:firstLineChars="200"/>
        <w:jc w:val="left"/>
        <w:rPr>
          <w:rFonts w:ascii="Times New Roman" w:eastAsia="Times New Roman"/>
          <w:color w:val="auto"/>
          <w:sz w:val="21"/>
        </w:rPr>
      </w:pPr>
      <w:r>
        <w:rPr>
          <w:rFonts w:hint="eastAsia"/>
          <w:color w:val="auto"/>
          <w:sz w:val="24"/>
          <w:lang w:val="en-US" w:eastAsia="zh-CN"/>
        </w:rPr>
        <w:t>3.5.8</w:t>
      </w:r>
      <w:r>
        <w:rPr>
          <w:color w:val="auto"/>
          <w:sz w:val="24"/>
        </w:rPr>
        <w:t>投标人须知前附表规定接受联合体投标的，本章第 3.5.1 项至第 3.5.7 项规定的表格和资料应包括联合体各方相关情况。</w:t>
      </w:r>
    </w:p>
    <w:p>
      <w:pPr>
        <w:pStyle w:val="4"/>
        <w:numPr>
          <w:ilvl w:val="1"/>
          <w:numId w:val="14"/>
        </w:numPr>
        <w:tabs>
          <w:tab w:val="left" w:pos="1018"/>
        </w:tabs>
        <w:spacing w:before="0" w:after="0" w:line="357" w:lineRule="exact"/>
        <w:ind w:left="1017" w:right="0" w:hanging="486"/>
        <w:jc w:val="left"/>
        <w:rPr>
          <w:rFonts w:ascii="Times New Roman" w:eastAsia="Times New Roman"/>
          <w:color w:val="auto"/>
        </w:rPr>
      </w:pPr>
      <w:r>
        <w:rPr>
          <w:color w:val="auto"/>
          <w:spacing w:val="-3"/>
        </w:rPr>
        <w:t>备选投标方案</w:t>
      </w:r>
    </w:p>
    <w:p>
      <w:pPr>
        <w:pStyle w:val="15"/>
        <w:numPr>
          <w:ilvl w:val="2"/>
          <w:numId w:val="20"/>
        </w:numPr>
        <w:tabs>
          <w:tab w:val="left" w:pos="1337"/>
        </w:tabs>
        <w:spacing w:before="124" w:after="0" w:line="240" w:lineRule="auto"/>
        <w:ind w:left="1336" w:right="0" w:hanging="521"/>
        <w:jc w:val="left"/>
        <w:rPr>
          <w:rFonts w:ascii="Times New Roman" w:eastAsia="Times New Roman"/>
          <w:color w:val="auto"/>
          <w:sz w:val="24"/>
        </w:rPr>
      </w:pPr>
      <w:r>
        <w:rPr>
          <w:color w:val="auto"/>
          <w:sz w:val="24"/>
        </w:rPr>
        <w:t>除投标人须知前附表规定允许外，投标人不得递交备选投标方案，否则其</w:t>
      </w:r>
    </w:p>
    <w:p>
      <w:pPr>
        <w:spacing w:after="0" w:line="240" w:lineRule="auto"/>
        <w:jc w:val="left"/>
        <w:rPr>
          <w:rFonts w:ascii="Times New Roman" w:eastAsia="Times New Roman"/>
          <w:color w:val="auto"/>
          <w:sz w:val="24"/>
        </w:rPr>
        <w:sectPr>
          <w:pgSz w:w="11910" w:h="16840"/>
          <w:pgMar w:top="1340" w:right="1020" w:bottom="900" w:left="1020" w:header="0" w:footer="640" w:gutter="0"/>
          <w:pgBorders>
            <w:top w:val="none" w:sz="0" w:space="0"/>
            <w:left w:val="none" w:sz="0" w:space="0"/>
            <w:bottom w:val="none" w:sz="0" w:space="0"/>
            <w:right w:val="none" w:sz="0" w:space="0"/>
          </w:pgBorders>
          <w:pgNumType w:fmt="decimal"/>
          <w:cols w:space="720" w:num="1"/>
        </w:sectPr>
      </w:pPr>
    </w:p>
    <w:p>
      <w:pPr>
        <w:pStyle w:val="7"/>
        <w:spacing w:before="41"/>
        <w:rPr>
          <w:color w:val="auto"/>
        </w:rPr>
      </w:pPr>
      <w:r>
        <w:rPr>
          <w:color w:val="auto"/>
        </w:rPr>
        <w:t>投标将被否决。</w:t>
      </w:r>
    </w:p>
    <w:p>
      <w:pPr>
        <w:pStyle w:val="15"/>
        <w:numPr>
          <w:ilvl w:val="2"/>
          <w:numId w:val="20"/>
        </w:numPr>
        <w:tabs>
          <w:tab w:val="left" w:pos="1344"/>
        </w:tabs>
        <w:spacing w:before="113" w:after="0" w:line="328" w:lineRule="auto"/>
        <w:ind w:left="395" w:right="396" w:firstLine="420"/>
        <w:jc w:val="both"/>
        <w:rPr>
          <w:rFonts w:ascii="Times New Roman" w:eastAsia="Times New Roman"/>
          <w:color w:val="auto"/>
          <w:sz w:val="24"/>
        </w:rPr>
      </w:pPr>
      <w:r>
        <w:rPr>
          <w:color w:val="auto"/>
          <w:spacing w:val="-4"/>
          <w:sz w:val="24"/>
        </w:rPr>
        <w:t>允许投标人递交备选投标方案的，只有中标人所递交的备选投标方案方可予以</w:t>
      </w:r>
      <w:r>
        <w:rPr>
          <w:color w:val="auto"/>
          <w:spacing w:val="-8"/>
          <w:sz w:val="24"/>
        </w:rPr>
        <w:t>考虑。评标委员会认为中标人的备选投标方案优于其按照招标文件要求编制的投标方案</w:t>
      </w:r>
      <w:r>
        <w:rPr>
          <w:color w:val="auto"/>
          <w:sz w:val="24"/>
        </w:rPr>
        <w:t>的，招标人可以接受该备选投标方案。</w:t>
      </w:r>
    </w:p>
    <w:p>
      <w:pPr>
        <w:pStyle w:val="15"/>
        <w:numPr>
          <w:ilvl w:val="2"/>
          <w:numId w:val="20"/>
        </w:numPr>
        <w:tabs>
          <w:tab w:val="left" w:pos="1344"/>
        </w:tabs>
        <w:spacing w:before="0" w:after="0" w:line="328" w:lineRule="auto"/>
        <w:ind w:left="395" w:right="493" w:firstLine="420"/>
        <w:jc w:val="both"/>
        <w:rPr>
          <w:rFonts w:ascii="Times New Roman" w:eastAsia="Times New Roman"/>
          <w:color w:val="auto"/>
          <w:sz w:val="21"/>
        </w:rPr>
      </w:pPr>
      <w:r>
        <w:rPr>
          <w:color w:val="auto"/>
          <w:sz w:val="24"/>
        </w:rPr>
        <w:t>投标人提供两个或两个以上投标报价，或者在投标文件中提供一个报价，但同时提供两个或两个以上监理方案的，视为提供备选方案。</w:t>
      </w:r>
    </w:p>
    <w:p>
      <w:pPr>
        <w:pStyle w:val="4"/>
        <w:numPr>
          <w:ilvl w:val="1"/>
          <w:numId w:val="14"/>
        </w:numPr>
        <w:tabs>
          <w:tab w:val="left" w:pos="1018"/>
        </w:tabs>
        <w:spacing w:before="0" w:after="0" w:line="357" w:lineRule="exact"/>
        <w:ind w:left="1017" w:right="0" w:hanging="486"/>
        <w:jc w:val="left"/>
        <w:rPr>
          <w:rFonts w:ascii="Times New Roman" w:eastAsia="Times New Roman"/>
          <w:color w:val="auto"/>
        </w:rPr>
      </w:pPr>
      <w:r>
        <w:rPr>
          <w:color w:val="auto"/>
          <w:spacing w:val="-3"/>
        </w:rPr>
        <w:t>投标文件的编制</w:t>
      </w:r>
    </w:p>
    <w:p>
      <w:pPr>
        <w:pStyle w:val="15"/>
        <w:numPr>
          <w:ilvl w:val="2"/>
          <w:numId w:val="21"/>
        </w:numPr>
        <w:tabs>
          <w:tab w:val="left" w:pos="1344"/>
        </w:tabs>
        <w:spacing w:before="126" w:after="0" w:line="328" w:lineRule="auto"/>
        <w:ind w:left="395" w:right="492" w:firstLine="420"/>
        <w:jc w:val="both"/>
        <w:rPr>
          <w:color w:val="auto"/>
          <w:sz w:val="24"/>
        </w:rPr>
      </w:pPr>
      <w:r>
        <w:rPr>
          <w:color w:val="auto"/>
          <w:sz w:val="24"/>
        </w:rPr>
        <w:t>投标文件应按第六章</w:t>
      </w:r>
      <w:r>
        <w:rPr>
          <w:rFonts w:ascii="Times New Roman" w:hAnsi="Times New Roman" w:eastAsia="Times New Roman"/>
          <w:color w:val="auto"/>
          <w:sz w:val="24"/>
        </w:rPr>
        <w:t>“</w:t>
      </w:r>
      <w:r>
        <w:rPr>
          <w:color w:val="auto"/>
          <w:sz w:val="24"/>
        </w:rPr>
        <w:t>投标文件格式</w:t>
      </w:r>
      <w:r>
        <w:rPr>
          <w:rFonts w:ascii="Times New Roman" w:hAnsi="Times New Roman" w:eastAsia="Times New Roman"/>
          <w:color w:val="auto"/>
          <w:sz w:val="24"/>
        </w:rPr>
        <w:t>”</w:t>
      </w:r>
      <w:r>
        <w:rPr>
          <w:color w:val="auto"/>
          <w:spacing w:val="-12"/>
          <w:sz w:val="24"/>
        </w:rPr>
        <w:t>进行编写，如有必要，可以增加附页，作</w:t>
      </w:r>
      <w:r>
        <w:rPr>
          <w:color w:val="auto"/>
          <w:sz w:val="24"/>
        </w:rPr>
        <w:t>为投标文件的组成部分。其中，投标函附录在满足招标文件实质性要求的基础上，可以提出比招标文件要求更有利于招标人的承诺。</w:t>
      </w:r>
    </w:p>
    <w:p>
      <w:pPr>
        <w:pStyle w:val="15"/>
        <w:numPr>
          <w:ilvl w:val="2"/>
          <w:numId w:val="21"/>
        </w:numPr>
        <w:tabs>
          <w:tab w:val="left" w:pos="1344"/>
        </w:tabs>
        <w:spacing w:before="0" w:after="0" w:line="328" w:lineRule="auto"/>
        <w:ind w:left="395" w:right="493" w:firstLine="420"/>
        <w:jc w:val="both"/>
        <w:rPr>
          <w:color w:val="auto"/>
          <w:sz w:val="24"/>
        </w:rPr>
      </w:pPr>
      <w:r>
        <w:rPr>
          <w:color w:val="auto"/>
          <w:sz w:val="24"/>
        </w:rPr>
        <w:t>投标文件应当对招标文件有关监理服务期限、投标有效期、委托人要求、招标范围等实质性内容作出响应。</w:t>
      </w:r>
    </w:p>
    <w:p>
      <w:pPr>
        <w:pStyle w:val="7"/>
        <w:ind w:left="816"/>
        <w:rPr>
          <w:color w:val="auto"/>
        </w:rPr>
      </w:pPr>
      <w:r>
        <w:rPr>
          <w:rFonts w:ascii="Times New Roman" w:eastAsia="Times New Roman"/>
          <w:color w:val="auto"/>
        </w:rPr>
        <w:t>3.7.3</w:t>
      </w:r>
      <w:r>
        <w:rPr>
          <w:color w:val="auto"/>
        </w:rPr>
        <w:t>（</w:t>
      </w:r>
      <w:r>
        <w:rPr>
          <w:rFonts w:ascii="Times New Roman" w:eastAsia="Times New Roman"/>
          <w:color w:val="auto"/>
        </w:rPr>
        <w:t>A</w:t>
      </w:r>
      <w:r>
        <w:rPr>
          <w:color w:val="auto"/>
        </w:rPr>
        <w:t>）（</w:t>
      </w:r>
      <w:r>
        <w:rPr>
          <w:rFonts w:ascii="Times New Roman" w:eastAsia="Times New Roman"/>
          <w:color w:val="auto"/>
        </w:rPr>
        <w:t>1</w:t>
      </w:r>
      <w:r>
        <w:rPr>
          <w:color w:val="auto"/>
        </w:rPr>
        <w:t>）投标文件应用不褪色的材料书写或打印，投标函、投标函附录</w:t>
      </w:r>
    </w:p>
    <w:p>
      <w:pPr>
        <w:pStyle w:val="7"/>
        <w:spacing w:before="108" w:line="328" w:lineRule="auto"/>
        <w:ind w:right="348"/>
        <w:jc w:val="both"/>
        <w:rPr>
          <w:color w:val="auto"/>
        </w:rPr>
      </w:pPr>
      <w:r>
        <w:rPr>
          <w:color w:val="auto"/>
          <w:spacing w:val="-5"/>
        </w:rPr>
        <w:t>及对投标文件的澄清、说明和补正应由投标人的法定代表人或其授权的代理人签字或盖</w:t>
      </w:r>
      <w:r>
        <w:rPr>
          <w:color w:val="auto"/>
          <w:spacing w:val="-6"/>
        </w:rPr>
        <w:t xml:space="preserve">单位章。由投标人的法定代表人签字的，应附法定代表人身份证明，由代理人签字的， </w:t>
      </w:r>
      <w:r>
        <w:rPr>
          <w:color w:val="auto"/>
          <w:spacing w:val="-2"/>
        </w:rPr>
        <w:t>应附授权委托书，身份证明或授权委托书应符合第六章</w:t>
      </w:r>
      <w:r>
        <w:rPr>
          <w:rFonts w:ascii="Times New Roman" w:hAnsi="Times New Roman" w:eastAsia="Times New Roman"/>
          <w:color w:val="auto"/>
        </w:rPr>
        <w:t>“</w:t>
      </w:r>
      <w:r>
        <w:rPr>
          <w:color w:val="auto"/>
        </w:rPr>
        <w:t>投标文件格式</w:t>
      </w:r>
      <w:r>
        <w:rPr>
          <w:rFonts w:ascii="Times New Roman" w:hAnsi="Times New Roman" w:eastAsia="Times New Roman"/>
          <w:color w:val="auto"/>
        </w:rPr>
        <w:t>”</w:t>
      </w:r>
      <w:r>
        <w:rPr>
          <w:color w:val="auto"/>
          <w:spacing w:val="-3"/>
        </w:rPr>
        <w:t>的要求。投标文</w:t>
      </w:r>
      <w:r>
        <w:rPr>
          <w:color w:val="auto"/>
          <w:spacing w:val="-7"/>
        </w:rPr>
        <w:t>件应尽量避免涂改、行间插字或删除。如果出现上述情况，改动之处应由投标人的法定代表人或其授权的代理人签字或盖单位章。</w:t>
      </w:r>
    </w:p>
    <w:p>
      <w:pPr>
        <w:pStyle w:val="15"/>
        <w:numPr>
          <w:ilvl w:val="1"/>
          <w:numId w:val="19"/>
        </w:numPr>
        <w:tabs>
          <w:tab w:val="left" w:pos="1417"/>
        </w:tabs>
        <w:spacing w:before="0" w:after="0" w:line="301" w:lineRule="exact"/>
        <w:ind w:left="1417" w:right="0" w:hanging="601"/>
        <w:jc w:val="left"/>
        <w:rPr>
          <w:color w:val="auto"/>
          <w:sz w:val="22"/>
        </w:rPr>
      </w:pPr>
      <w:r>
        <w:rPr>
          <w:color w:val="auto"/>
          <w:sz w:val="24"/>
        </w:rPr>
        <w:t>投标文件正本一份，副本份数见投标人须知前附表。正本和副本的封面右</w:t>
      </w:r>
    </w:p>
    <w:p>
      <w:pPr>
        <w:pStyle w:val="7"/>
        <w:spacing w:before="113" w:line="328" w:lineRule="auto"/>
        <w:ind w:right="392"/>
        <w:jc w:val="both"/>
        <w:rPr>
          <w:color w:val="auto"/>
        </w:rPr>
      </w:pPr>
      <w:r>
        <w:rPr>
          <w:color w:val="auto"/>
        </w:rPr>
        <w:t>上角上应清楚地标记</w:t>
      </w:r>
      <w:r>
        <w:rPr>
          <w:rFonts w:ascii="Times New Roman" w:hAnsi="Times New Roman" w:eastAsia="Times New Roman"/>
          <w:color w:val="auto"/>
        </w:rPr>
        <w:t>“</w:t>
      </w:r>
      <w:r>
        <w:rPr>
          <w:color w:val="auto"/>
        </w:rPr>
        <w:t>正本</w:t>
      </w:r>
      <w:r>
        <w:rPr>
          <w:rFonts w:ascii="Times New Roman" w:hAnsi="Times New Roman" w:eastAsia="Times New Roman"/>
          <w:color w:val="auto"/>
        </w:rPr>
        <w:t>”</w:t>
      </w:r>
      <w:r>
        <w:rPr>
          <w:color w:val="auto"/>
        </w:rPr>
        <w:t>或</w:t>
      </w:r>
      <w:r>
        <w:rPr>
          <w:rFonts w:ascii="Times New Roman" w:hAnsi="Times New Roman" w:eastAsia="Times New Roman"/>
          <w:color w:val="auto"/>
        </w:rPr>
        <w:t>“</w:t>
      </w:r>
      <w:r>
        <w:rPr>
          <w:color w:val="auto"/>
        </w:rPr>
        <w:t>副本</w:t>
      </w:r>
      <w:r>
        <w:rPr>
          <w:rFonts w:ascii="Times New Roman" w:hAnsi="Times New Roman" w:eastAsia="Times New Roman"/>
          <w:color w:val="auto"/>
        </w:rPr>
        <w:t>”</w:t>
      </w:r>
      <w:r>
        <w:rPr>
          <w:color w:val="auto"/>
          <w:spacing w:val="-1"/>
        </w:rPr>
        <w:t>的字样。投标人应根据投标人须知前附表要求提供</w:t>
      </w:r>
      <w:r>
        <w:rPr>
          <w:color w:val="auto"/>
          <w:spacing w:val="-6"/>
        </w:rPr>
        <w:t>电子版文件。当副本和正本不一致或电子版文件和纸质正本文件不一致时，以纸质正本</w:t>
      </w:r>
      <w:r>
        <w:rPr>
          <w:color w:val="auto"/>
        </w:rPr>
        <w:t>文件为准。</w:t>
      </w:r>
    </w:p>
    <w:p>
      <w:pPr>
        <w:pStyle w:val="7"/>
        <w:spacing w:before="113" w:line="328" w:lineRule="auto"/>
        <w:ind w:right="392" w:firstLine="440" w:firstLineChars="200"/>
        <w:jc w:val="both"/>
        <w:rPr>
          <w:color w:val="auto"/>
          <w:sz w:val="19"/>
        </w:rPr>
      </w:pPr>
      <w:r>
        <w:rPr>
          <w:rFonts w:hint="eastAsia"/>
          <w:color w:val="auto"/>
          <w:sz w:val="22"/>
          <w:szCs w:val="22"/>
          <w:lang w:eastAsia="zh-CN"/>
        </w:rPr>
        <w:t>（</w:t>
      </w:r>
      <w:r>
        <w:rPr>
          <w:rFonts w:hint="eastAsia"/>
          <w:color w:val="auto"/>
          <w:sz w:val="22"/>
          <w:szCs w:val="22"/>
          <w:lang w:val="en-US" w:eastAsia="zh-CN"/>
        </w:rPr>
        <w:t>3</w:t>
      </w:r>
      <w:r>
        <w:rPr>
          <w:rFonts w:hint="eastAsia"/>
          <w:color w:val="auto"/>
          <w:sz w:val="22"/>
          <w:szCs w:val="22"/>
          <w:lang w:eastAsia="zh-CN"/>
        </w:rPr>
        <w:t>）</w:t>
      </w:r>
      <w:r>
        <w:rPr>
          <w:color w:val="auto"/>
          <w:spacing w:val="-1"/>
          <w:sz w:val="24"/>
        </w:rPr>
        <w:t xml:space="preserve">投标文件的正本与副本应分别装订，并编制目录，投标文件需分册装订的， </w:t>
      </w:r>
      <w:r>
        <w:rPr>
          <w:color w:val="auto"/>
          <w:sz w:val="24"/>
        </w:rPr>
        <w:t>具体分册装订要求见投标人须知前附表规定。</w:t>
      </w:r>
    </w:p>
    <w:p>
      <w:pPr>
        <w:pStyle w:val="15"/>
        <w:numPr>
          <w:ilvl w:val="0"/>
          <w:numId w:val="14"/>
        </w:numPr>
        <w:tabs>
          <w:tab w:val="left" w:pos="797"/>
        </w:tabs>
        <w:spacing w:before="0" w:after="0" w:line="407" w:lineRule="exact"/>
        <w:ind w:left="796" w:right="0" w:hanging="402"/>
        <w:jc w:val="left"/>
        <w:rPr>
          <w:b/>
          <w:color w:val="auto"/>
          <w:sz w:val="32"/>
        </w:rPr>
      </w:pPr>
      <w:bookmarkStart w:id="25" w:name="4.投标"/>
      <w:bookmarkEnd w:id="25"/>
      <w:bookmarkStart w:id="26" w:name="4.投标"/>
      <w:bookmarkEnd w:id="26"/>
      <w:r>
        <w:rPr>
          <w:b/>
          <w:color w:val="auto"/>
          <w:sz w:val="32"/>
        </w:rPr>
        <w:t>投标</w:t>
      </w:r>
    </w:p>
    <w:p>
      <w:pPr>
        <w:pStyle w:val="4"/>
        <w:numPr>
          <w:ilvl w:val="1"/>
          <w:numId w:val="14"/>
        </w:numPr>
        <w:tabs>
          <w:tab w:val="left" w:pos="1018"/>
        </w:tabs>
        <w:spacing w:before="149" w:after="0" w:line="240" w:lineRule="auto"/>
        <w:ind w:left="1017" w:right="0" w:hanging="486"/>
        <w:jc w:val="left"/>
        <w:rPr>
          <w:rFonts w:ascii="Times New Roman" w:eastAsia="Times New Roman"/>
          <w:color w:val="auto"/>
        </w:rPr>
      </w:pPr>
      <w:r>
        <w:rPr>
          <w:color w:val="auto"/>
          <w:spacing w:val="-3"/>
        </w:rPr>
        <w:t>投标文件的密封和标记</w:t>
      </w:r>
    </w:p>
    <w:p>
      <w:pPr>
        <w:pStyle w:val="7"/>
        <w:spacing w:before="133" w:line="328" w:lineRule="auto"/>
        <w:ind w:right="395" w:firstLine="480"/>
        <w:rPr>
          <w:color w:val="auto"/>
        </w:rPr>
      </w:pPr>
      <w:r>
        <w:rPr>
          <w:rFonts w:ascii="Times New Roman" w:eastAsia="Times New Roman"/>
          <w:color w:val="auto"/>
        </w:rPr>
        <w:t>4.1.1</w:t>
      </w:r>
      <w:r>
        <w:rPr>
          <w:color w:val="auto"/>
        </w:rPr>
        <w:t>（</w:t>
      </w:r>
      <w:r>
        <w:rPr>
          <w:rFonts w:ascii="Times New Roman" w:eastAsia="Times New Roman"/>
          <w:color w:val="auto"/>
        </w:rPr>
        <w:t>A</w:t>
      </w:r>
      <w:r>
        <w:rPr>
          <w:color w:val="auto"/>
        </w:rPr>
        <w:t>）投标文件应密封包装，并在封套的封口处加盖投标人单位章或由投标人的法定代表人或其授权的代理人签字。</w:t>
      </w:r>
    </w:p>
    <w:p>
      <w:pPr>
        <w:pStyle w:val="15"/>
        <w:numPr>
          <w:ilvl w:val="2"/>
          <w:numId w:val="22"/>
        </w:numPr>
        <w:tabs>
          <w:tab w:val="left" w:pos="1356"/>
        </w:tabs>
        <w:spacing w:before="0" w:after="0" w:line="305" w:lineRule="exact"/>
        <w:ind w:left="1356" w:right="0" w:hanging="540"/>
        <w:jc w:val="left"/>
        <w:rPr>
          <w:color w:val="auto"/>
          <w:sz w:val="24"/>
        </w:rPr>
      </w:pPr>
      <w:r>
        <w:rPr>
          <w:color w:val="auto"/>
          <w:sz w:val="24"/>
        </w:rPr>
        <w:t>投标文件封套上应写明的内容见投标人须知前附表。</w:t>
      </w:r>
    </w:p>
    <w:p>
      <w:pPr>
        <w:pStyle w:val="15"/>
        <w:numPr>
          <w:ilvl w:val="2"/>
          <w:numId w:val="22"/>
        </w:numPr>
        <w:tabs>
          <w:tab w:val="left" w:pos="1356"/>
        </w:tabs>
        <w:spacing w:before="112" w:after="0" w:line="240" w:lineRule="auto"/>
        <w:ind w:left="1356" w:right="0" w:hanging="540"/>
        <w:jc w:val="left"/>
        <w:rPr>
          <w:color w:val="auto"/>
          <w:sz w:val="24"/>
        </w:rPr>
      </w:pPr>
      <w:r>
        <w:rPr>
          <w:color w:val="auto"/>
          <w:sz w:val="24"/>
        </w:rPr>
        <w:t xml:space="preserve">未按本章第 </w:t>
      </w:r>
      <w:r>
        <w:rPr>
          <w:rFonts w:ascii="Times New Roman" w:eastAsia="Times New Roman"/>
          <w:color w:val="auto"/>
          <w:sz w:val="24"/>
        </w:rPr>
        <w:t xml:space="preserve">4.1.1 </w:t>
      </w:r>
      <w:r>
        <w:rPr>
          <w:color w:val="auto"/>
          <w:sz w:val="24"/>
        </w:rPr>
        <w:t>项要求密封的投标文件，招标人将予以拒收。</w:t>
      </w:r>
    </w:p>
    <w:p>
      <w:pPr>
        <w:pStyle w:val="4"/>
        <w:numPr>
          <w:ilvl w:val="1"/>
          <w:numId w:val="14"/>
        </w:numPr>
        <w:tabs>
          <w:tab w:val="left" w:pos="1018"/>
        </w:tabs>
        <w:spacing w:before="113" w:after="0" w:line="240" w:lineRule="auto"/>
        <w:ind w:left="1017" w:right="0" w:hanging="486"/>
        <w:jc w:val="left"/>
        <w:rPr>
          <w:rFonts w:ascii="Times New Roman" w:eastAsia="Times New Roman"/>
          <w:color w:val="auto"/>
        </w:rPr>
      </w:pPr>
      <w:r>
        <w:rPr>
          <w:color w:val="auto"/>
          <w:spacing w:val="-3"/>
        </w:rPr>
        <w:t>投标文件的递交</w:t>
      </w:r>
    </w:p>
    <w:p>
      <w:pPr>
        <w:pStyle w:val="7"/>
        <w:spacing w:before="131"/>
        <w:ind w:left="816"/>
        <w:rPr>
          <w:color w:val="auto"/>
        </w:rPr>
      </w:pPr>
      <w:r>
        <w:rPr>
          <w:rFonts w:ascii="Times New Roman" w:eastAsia="Times New Roman"/>
          <w:color w:val="auto"/>
        </w:rPr>
        <w:t xml:space="preserve">4.2.1 </w:t>
      </w:r>
      <w:r>
        <w:rPr>
          <w:color w:val="auto"/>
        </w:rPr>
        <w:t>投标人应在投标人须知前附表规定的投标截止时间前递交投标文件。</w:t>
      </w:r>
    </w:p>
    <w:p>
      <w:pPr>
        <w:spacing w:after="0"/>
        <w:rPr>
          <w:color w:val="auto"/>
        </w:rPr>
        <w:sectPr>
          <w:pgSz w:w="11910" w:h="16840"/>
          <w:pgMar w:top="1360" w:right="1020" w:bottom="900" w:left="1020" w:header="0" w:footer="640" w:gutter="0"/>
          <w:pgBorders>
            <w:top w:val="none" w:sz="0" w:space="0"/>
            <w:left w:val="none" w:sz="0" w:space="0"/>
            <w:bottom w:val="none" w:sz="0" w:space="0"/>
            <w:right w:val="none" w:sz="0" w:space="0"/>
          </w:pgBorders>
          <w:pgNumType w:fmt="decimal"/>
          <w:cols w:space="720" w:num="1"/>
        </w:sectPr>
      </w:pPr>
    </w:p>
    <w:p>
      <w:pPr>
        <w:pStyle w:val="7"/>
        <w:spacing w:before="61"/>
        <w:ind w:left="816"/>
        <w:rPr>
          <w:color w:val="auto"/>
        </w:rPr>
      </w:pPr>
      <w:r>
        <w:rPr>
          <w:rFonts w:ascii="Times New Roman" w:eastAsia="Times New Roman"/>
          <w:color w:val="auto"/>
        </w:rPr>
        <w:t>4.2.2</w:t>
      </w:r>
      <w:r>
        <w:rPr>
          <w:color w:val="auto"/>
        </w:rPr>
        <w:t>（</w:t>
      </w:r>
      <w:r>
        <w:rPr>
          <w:rFonts w:ascii="Times New Roman" w:eastAsia="Times New Roman"/>
          <w:color w:val="auto"/>
        </w:rPr>
        <w:t>A</w:t>
      </w:r>
      <w:r>
        <w:rPr>
          <w:color w:val="auto"/>
        </w:rPr>
        <w:t>）投标人递交投标文件的地点：见投标人须知前附表。</w:t>
      </w:r>
    </w:p>
    <w:p>
      <w:pPr>
        <w:pStyle w:val="7"/>
        <w:spacing w:before="113"/>
        <w:ind w:left="816"/>
        <w:rPr>
          <w:color w:val="auto"/>
        </w:rPr>
      </w:pPr>
      <w:r>
        <w:rPr>
          <w:rFonts w:ascii="Times New Roman" w:eastAsia="Times New Roman"/>
          <w:color w:val="auto"/>
        </w:rPr>
        <w:t xml:space="preserve">4.2.3 </w:t>
      </w:r>
      <w:r>
        <w:rPr>
          <w:color w:val="auto"/>
        </w:rPr>
        <w:t>除投标人须知前附表另有规定外，投标人所递交的投标文件不予退还。</w:t>
      </w:r>
    </w:p>
    <w:p>
      <w:pPr>
        <w:pStyle w:val="7"/>
        <w:spacing w:before="112"/>
        <w:ind w:left="816"/>
        <w:rPr>
          <w:color w:val="auto"/>
        </w:rPr>
      </w:pPr>
      <w:r>
        <w:rPr>
          <w:rFonts w:ascii="Times New Roman" w:eastAsia="Times New Roman"/>
          <w:color w:val="auto"/>
        </w:rPr>
        <w:t>4.2.4</w:t>
      </w:r>
      <w:r>
        <w:rPr>
          <w:color w:val="auto"/>
        </w:rPr>
        <w:t>（</w:t>
      </w:r>
      <w:r>
        <w:rPr>
          <w:rFonts w:ascii="Times New Roman" w:eastAsia="Times New Roman"/>
          <w:color w:val="auto"/>
        </w:rPr>
        <w:t>A</w:t>
      </w:r>
      <w:r>
        <w:rPr>
          <w:color w:val="auto"/>
        </w:rPr>
        <w:t>）招标人收到投标文件后，向投标人出具签收凭证。</w:t>
      </w:r>
    </w:p>
    <w:p>
      <w:pPr>
        <w:pStyle w:val="7"/>
        <w:spacing w:before="113"/>
        <w:ind w:left="816"/>
        <w:rPr>
          <w:color w:val="auto"/>
        </w:rPr>
      </w:pPr>
      <w:r>
        <w:rPr>
          <w:rFonts w:ascii="Times New Roman" w:eastAsia="Times New Roman"/>
          <w:color w:val="auto"/>
        </w:rPr>
        <w:t>4.2.5</w:t>
      </w:r>
      <w:r>
        <w:rPr>
          <w:color w:val="auto"/>
        </w:rPr>
        <w:t>（</w:t>
      </w:r>
      <w:r>
        <w:rPr>
          <w:rFonts w:ascii="Times New Roman" w:eastAsia="Times New Roman"/>
          <w:color w:val="auto"/>
        </w:rPr>
        <w:t>A</w:t>
      </w:r>
      <w:r>
        <w:rPr>
          <w:color w:val="auto"/>
        </w:rPr>
        <w:t>）逾期送达的投标文件，招标人将予以拒收。</w:t>
      </w:r>
    </w:p>
    <w:p>
      <w:pPr>
        <w:pStyle w:val="4"/>
        <w:numPr>
          <w:ilvl w:val="1"/>
          <w:numId w:val="14"/>
        </w:numPr>
        <w:tabs>
          <w:tab w:val="left" w:pos="1018"/>
        </w:tabs>
        <w:spacing w:before="113" w:after="0" w:line="240" w:lineRule="auto"/>
        <w:ind w:left="1017" w:right="0" w:hanging="486"/>
        <w:jc w:val="left"/>
        <w:rPr>
          <w:rFonts w:ascii="Times New Roman" w:eastAsia="Times New Roman"/>
          <w:color w:val="auto"/>
        </w:rPr>
      </w:pPr>
      <w:r>
        <w:rPr>
          <w:color w:val="auto"/>
          <w:spacing w:val="-3"/>
        </w:rPr>
        <w:t>投标文件的修改与撤回</w:t>
      </w:r>
    </w:p>
    <w:p>
      <w:pPr>
        <w:pStyle w:val="15"/>
        <w:numPr>
          <w:ilvl w:val="2"/>
          <w:numId w:val="23"/>
        </w:numPr>
        <w:tabs>
          <w:tab w:val="left" w:pos="1344"/>
        </w:tabs>
        <w:spacing w:before="130" w:after="0" w:line="328" w:lineRule="auto"/>
        <w:ind w:left="395" w:right="396" w:firstLine="420"/>
        <w:jc w:val="left"/>
        <w:rPr>
          <w:color w:val="auto"/>
          <w:sz w:val="24"/>
        </w:rPr>
      </w:pPr>
      <w:r>
        <w:rPr>
          <w:color w:val="auto"/>
          <w:sz w:val="24"/>
        </w:rPr>
        <w:t xml:space="preserve">在本章第 </w:t>
      </w:r>
      <w:r>
        <w:rPr>
          <w:rFonts w:ascii="Times New Roman" w:eastAsia="Times New Roman"/>
          <w:color w:val="auto"/>
          <w:sz w:val="24"/>
        </w:rPr>
        <w:t>4.2.1</w:t>
      </w:r>
      <w:r>
        <w:rPr>
          <w:rFonts w:ascii="Times New Roman" w:eastAsia="Times New Roman"/>
          <w:color w:val="auto"/>
          <w:spacing w:val="60"/>
          <w:sz w:val="24"/>
        </w:rPr>
        <w:t xml:space="preserve"> </w:t>
      </w:r>
      <w:r>
        <w:rPr>
          <w:color w:val="auto"/>
          <w:spacing w:val="-5"/>
          <w:sz w:val="24"/>
        </w:rPr>
        <w:t>项规定的投标截止时间前，投标人可以修改或撤回已递交的投</w:t>
      </w:r>
      <w:r>
        <w:rPr>
          <w:color w:val="auto"/>
          <w:sz w:val="24"/>
        </w:rPr>
        <w:t>标文件，但应以书面形式通知招标人。</w:t>
      </w:r>
    </w:p>
    <w:p>
      <w:pPr>
        <w:pStyle w:val="15"/>
        <w:numPr>
          <w:ilvl w:val="2"/>
          <w:numId w:val="23"/>
        </w:numPr>
        <w:tabs>
          <w:tab w:val="left" w:pos="1337"/>
        </w:tabs>
        <w:spacing w:before="0" w:after="0" w:line="305" w:lineRule="exact"/>
        <w:ind w:left="1336" w:right="0" w:hanging="521"/>
        <w:jc w:val="left"/>
        <w:rPr>
          <w:rFonts w:ascii="Times New Roman" w:eastAsia="Times New Roman"/>
          <w:color w:val="auto"/>
          <w:sz w:val="24"/>
        </w:rPr>
      </w:pPr>
      <w:r>
        <w:rPr>
          <w:color w:val="auto"/>
          <w:sz w:val="24"/>
        </w:rPr>
        <w:t>（</w:t>
      </w:r>
      <w:r>
        <w:rPr>
          <w:rFonts w:ascii="Times New Roman" w:eastAsia="Times New Roman"/>
          <w:color w:val="auto"/>
          <w:sz w:val="24"/>
        </w:rPr>
        <w:t>A</w:t>
      </w:r>
      <w:r>
        <w:rPr>
          <w:color w:val="auto"/>
          <w:sz w:val="24"/>
        </w:rPr>
        <w:t>）</w:t>
      </w:r>
      <w:r>
        <w:rPr>
          <w:color w:val="auto"/>
          <w:spacing w:val="-1"/>
          <w:sz w:val="24"/>
        </w:rPr>
        <w:t xml:space="preserve">投标人修改或撤回已递交投标文件的书面通知应按照本章第 </w:t>
      </w:r>
      <w:r>
        <w:rPr>
          <w:rFonts w:ascii="Times New Roman" w:eastAsia="Times New Roman"/>
          <w:color w:val="auto"/>
          <w:sz w:val="24"/>
        </w:rPr>
        <w:t>3.7.3</w:t>
      </w:r>
    </w:p>
    <w:p>
      <w:pPr>
        <w:pStyle w:val="7"/>
        <w:spacing w:before="112"/>
        <w:rPr>
          <w:color w:val="auto"/>
        </w:rPr>
      </w:pPr>
      <w:r>
        <w:rPr>
          <w:color w:val="auto"/>
        </w:rPr>
        <w:t>（</w:t>
      </w:r>
      <w:r>
        <w:rPr>
          <w:rFonts w:ascii="Times New Roman" w:eastAsia="Times New Roman"/>
          <w:color w:val="auto"/>
        </w:rPr>
        <w:t>A</w:t>
      </w:r>
      <w:r>
        <w:rPr>
          <w:color w:val="auto"/>
        </w:rPr>
        <w:t>）项的要求签字或盖章。招标人收到书面通知后，向投标人出具签收凭证。</w:t>
      </w:r>
    </w:p>
    <w:p>
      <w:pPr>
        <w:pStyle w:val="15"/>
        <w:numPr>
          <w:ilvl w:val="2"/>
          <w:numId w:val="24"/>
        </w:numPr>
        <w:tabs>
          <w:tab w:val="left" w:pos="1344"/>
        </w:tabs>
        <w:spacing w:before="113" w:after="0" w:line="328" w:lineRule="auto"/>
        <w:ind w:left="395" w:right="516" w:firstLine="420"/>
        <w:jc w:val="left"/>
        <w:rPr>
          <w:rFonts w:ascii="Times New Roman" w:eastAsia="Times New Roman"/>
          <w:color w:val="auto"/>
          <w:sz w:val="24"/>
        </w:rPr>
      </w:pPr>
      <w:r>
        <w:rPr>
          <w:color w:val="auto"/>
          <w:spacing w:val="-4"/>
          <w:sz w:val="24"/>
        </w:rPr>
        <w:t xml:space="preserve">投标人撤回投标文件的，招标人自收到投标人书面撤回通知之日起 </w:t>
      </w:r>
      <w:r>
        <w:rPr>
          <w:rFonts w:ascii="Times New Roman" w:eastAsia="Times New Roman"/>
          <w:color w:val="auto"/>
          <w:sz w:val="24"/>
        </w:rPr>
        <w:t xml:space="preserve">5 </w:t>
      </w:r>
      <w:r>
        <w:rPr>
          <w:color w:val="auto"/>
          <w:spacing w:val="-6"/>
          <w:sz w:val="24"/>
        </w:rPr>
        <w:t>日内退</w:t>
      </w:r>
      <w:r>
        <w:rPr>
          <w:color w:val="auto"/>
          <w:sz w:val="24"/>
        </w:rPr>
        <w:t>还已收取的投标保证金。</w:t>
      </w:r>
    </w:p>
    <w:p>
      <w:pPr>
        <w:pStyle w:val="15"/>
        <w:numPr>
          <w:ilvl w:val="2"/>
          <w:numId w:val="24"/>
        </w:numPr>
        <w:tabs>
          <w:tab w:val="left" w:pos="1344"/>
        </w:tabs>
        <w:spacing w:before="0" w:after="0" w:line="240" w:lineRule="auto"/>
        <w:ind w:left="1344" w:right="0" w:hanging="528"/>
        <w:jc w:val="left"/>
        <w:rPr>
          <w:rFonts w:ascii="Times New Roman" w:eastAsia="Times New Roman"/>
          <w:color w:val="auto"/>
          <w:sz w:val="21"/>
        </w:rPr>
      </w:pPr>
      <w:r>
        <w:rPr>
          <w:color w:val="auto"/>
          <w:spacing w:val="-2"/>
          <w:sz w:val="24"/>
        </w:rPr>
        <w:t xml:space="preserve">修改的内容为投标文件的组成部分。修改的投标文件应按照本章第 </w:t>
      </w:r>
      <w:r>
        <w:rPr>
          <w:rFonts w:ascii="Times New Roman" w:eastAsia="Times New Roman"/>
          <w:color w:val="auto"/>
          <w:sz w:val="24"/>
        </w:rPr>
        <w:t xml:space="preserve">3 </w:t>
      </w:r>
      <w:r>
        <w:rPr>
          <w:color w:val="auto"/>
          <w:spacing w:val="-6"/>
          <w:sz w:val="24"/>
        </w:rPr>
        <w:t>条、第</w:t>
      </w:r>
    </w:p>
    <w:p>
      <w:pPr>
        <w:pStyle w:val="7"/>
        <w:spacing w:before="112"/>
        <w:rPr>
          <w:color w:val="auto"/>
        </w:rPr>
      </w:pPr>
      <w:r>
        <w:rPr>
          <w:rFonts w:ascii="Times New Roman" w:hAnsi="Times New Roman" w:eastAsia="Times New Roman"/>
          <w:color w:val="auto"/>
        </w:rPr>
        <w:t xml:space="preserve">4 </w:t>
      </w:r>
      <w:r>
        <w:rPr>
          <w:color w:val="auto"/>
        </w:rPr>
        <w:t>条的规定进行编制、密封、标记和递交，并标明</w:t>
      </w:r>
      <w:r>
        <w:rPr>
          <w:rFonts w:ascii="Times New Roman" w:hAnsi="Times New Roman" w:eastAsia="Times New Roman"/>
          <w:color w:val="auto"/>
        </w:rPr>
        <w:t>“</w:t>
      </w:r>
      <w:r>
        <w:rPr>
          <w:color w:val="auto"/>
        </w:rPr>
        <w:t>修改</w:t>
      </w:r>
      <w:r>
        <w:rPr>
          <w:rFonts w:ascii="Times New Roman" w:hAnsi="Times New Roman" w:eastAsia="Times New Roman"/>
          <w:color w:val="auto"/>
        </w:rPr>
        <w:t>”</w:t>
      </w:r>
      <w:r>
        <w:rPr>
          <w:color w:val="auto"/>
        </w:rPr>
        <w:t>字样。</w:t>
      </w:r>
    </w:p>
    <w:p>
      <w:pPr>
        <w:pStyle w:val="15"/>
        <w:numPr>
          <w:ilvl w:val="0"/>
          <w:numId w:val="14"/>
        </w:numPr>
        <w:tabs>
          <w:tab w:val="left" w:pos="797"/>
        </w:tabs>
        <w:spacing w:before="114" w:after="0" w:line="240" w:lineRule="auto"/>
        <w:ind w:left="796" w:right="0" w:hanging="402"/>
        <w:jc w:val="left"/>
        <w:rPr>
          <w:b/>
          <w:color w:val="auto"/>
          <w:sz w:val="32"/>
        </w:rPr>
      </w:pPr>
      <w:bookmarkStart w:id="27" w:name="5.开标"/>
      <w:bookmarkEnd w:id="27"/>
      <w:bookmarkStart w:id="28" w:name="5.开标"/>
      <w:bookmarkEnd w:id="28"/>
      <w:r>
        <w:rPr>
          <w:b/>
          <w:color w:val="auto"/>
          <w:sz w:val="32"/>
        </w:rPr>
        <w:t>开标</w:t>
      </w:r>
    </w:p>
    <w:p>
      <w:pPr>
        <w:pStyle w:val="4"/>
        <w:numPr>
          <w:ilvl w:val="1"/>
          <w:numId w:val="14"/>
        </w:numPr>
        <w:tabs>
          <w:tab w:val="left" w:pos="1017"/>
          <w:tab w:val="left" w:pos="1018"/>
        </w:tabs>
        <w:spacing w:before="149" w:after="0" w:line="240" w:lineRule="auto"/>
        <w:ind w:left="1017" w:right="0" w:hanging="486"/>
        <w:jc w:val="left"/>
        <w:rPr>
          <w:color w:val="auto"/>
          <w:spacing w:val="-3"/>
        </w:rPr>
      </w:pPr>
      <w:r>
        <w:rPr>
          <w:color w:val="auto"/>
          <w:spacing w:val="-3"/>
        </w:rPr>
        <w:t>开标时间和地点（A）</w:t>
      </w:r>
    </w:p>
    <w:p>
      <w:pPr>
        <w:pStyle w:val="7"/>
        <w:spacing w:before="130" w:line="328" w:lineRule="auto"/>
        <w:ind w:right="588" w:firstLine="420"/>
        <w:rPr>
          <w:color w:val="auto"/>
        </w:rPr>
      </w:pPr>
      <w:r>
        <w:rPr>
          <w:color w:val="auto"/>
        </w:rPr>
        <w:t xml:space="preserve">招标人在本章第 </w:t>
      </w:r>
      <w:r>
        <w:rPr>
          <w:rFonts w:ascii="Times New Roman" w:eastAsia="Times New Roman"/>
          <w:color w:val="auto"/>
        </w:rPr>
        <w:t xml:space="preserve">4.2.1  </w:t>
      </w:r>
      <w:r>
        <w:rPr>
          <w:color w:val="auto"/>
        </w:rPr>
        <w:t>项规定的投标截止时间（开标时间）和投标人须知前附表规定的地点公开开标，并邀请所有投标人的法定代表人或其委托代理人准时参加。</w:t>
      </w:r>
    </w:p>
    <w:p>
      <w:pPr>
        <w:pStyle w:val="7"/>
        <w:spacing w:line="328" w:lineRule="auto"/>
        <w:ind w:right="395" w:firstLine="480"/>
        <w:rPr>
          <w:color w:val="auto"/>
        </w:rPr>
      </w:pPr>
      <w:r>
        <w:rPr>
          <w:color w:val="auto"/>
        </w:rPr>
        <w:t>投标人若未派法定代表人或委托代理人出席开标活动，视为该投标人默认开标结果。</w:t>
      </w:r>
    </w:p>
    <w:p>
      <w:pPr>
        <w:pStyle w:val="4"/>
        <w:numPr>
          <w:ilvl w:val="1"/>
          <w:numId w:val="14"/>
        </w:numPr>
        <w:tabs>
          <w:tab w:val="left" w:pos="1028"/>
        </w:tabs>
        <w:spacing w:before="0" w:after="0" w:line="357" w:lineRule="exact"/>
        <w:ind w:left="1027" w:right="0" w:hanging="491"/>
        <w:jc w:val="left"/>
        <w:rPr>
          <w:rFonts w:ascii="Times New Roman" w:eastAsia="Times New Roman"/>
          <w:color w:val="auto"/>
        </w:rPr>
      </w:pPr>
      <w:r>
        <w:rPr>
          <w:color w:val="auto"/>
          <w:spacing w:val="-2"/>
        </w:rPr>
        <w:t>开标程序</w:t>
      </w:r>
    </w:p>
    <w:p>
      <w:pPr>
        <w:pStyle w:val="7"/>
        <w:spacing w:before="130"/>
        <w:ind w:left="816"/>
        <w:rPr>
          <w:color w:val="auto"/>
        </w:rPr>
      </w:pPr>
      <w:r>
        <w:rPr>
          <w:color w:val="auto"/>
        </w:rPr>
        <w:t>主持人按下列程序进行开标：</w:t>
      </w:r>
    </w:p>
    <w:p>
      <w:pPr>
        <w:pStyle w:val="15"/>
        <w:numPr>
          <w:ilvl w:val="0"/>
          <w:numId w:val="25"/>
        </w:numPr>
        <w:tabs>
          <w:tab w:val="left" w:pos="1417"/>
        </w:tabs>
        <w:spacing w:before="112" w:after="0" w:line="240" w:lineRule="auto"/>
        <w:ind w:left="1417" w:right="0" w:hanging="601"/>
        <w:jc w:val="left"/>
        <w:rPr>
          <w:color w:val="auto"/>
          <w:sz w:val="24"/>
        </w:rPr>
      </w:pPr>
      <w:r>
        <w:rPr>
          <w:color w:val="auto"/>
          <w:sz w:val="24"/>
        </w:rPr>
        <w:t>宣布开标纪律；</w:t>
      </w:r>
    </w:p>
    <w:p>
      <w:pPr>
        <w:pStyle w:val="15"/>
        <w:numPr>
          <w:ilvl w:val="0"/>
          <w:numId w:val="25"/>
        </w:numPr>
        <w:tabs>
          <w:tab w:val="left" w:pos="1417"/>
        </w:tabs>
        <w:spacing w:before="113" w:after="0" w:line="240" w:lineRule="auto"/>
        <w:ind w:left="1417" w:right="0" w:hanging="601"/>
        <w:jc w:val="left"/>
        <w:rPr>
          <w:color w:val="auto"/>
          <w:sz w:val="24"/>
        </w:rPr>
      </w:pPr>
      <w:r>
        <w:rPr>
          <w:color w:val="auto"/>
          <w:sz w:val="24"/>
        </w:rPr>
        <w:t>公布在投标截止时间前递交投标文件的投标人名称；</w:t>
      </w:r>
    </w:p>
    <w:p>
      <w:pPr>
        <w:pStyle w:val="15"/>
        <w:numPr>
          <w:ilvl w:val="0"/>
          <w:numId w:val="25"/>
        </w:numPr>
        <w:tabs>
          <w:tab w:val="left" w:pos="1417"/>
        </w:tabs>
        <w:spacing w:before="112" w:after="0" w:line="240" w:lineRule="auto"/>
        <w:ind w:left="1417" w:right="0" w:hanging="601"/>
        <w:jc w:val="left"/>
        <w:rPr>
          <w:color w:val="auto"/>
          <w:sz w:val="24"/>
        </w:rPr>
      </w:pPr>
      <w:r>
        <w:rPr>
          <w:color w:val="auto"/>
          <w:sz w:val="24"/>
        </w:rPr>
        <w:t>宣布开标人、唱标人、记录人、监标人等有关人员姓名；</w:t>
      </w:r>
    </w:p>
    <w:p>
      <w:pPr>
        <w:pStyle w:val="7"/>
        <w:spacing w:before="113"/>
        <w:ind w:left="816"/>
        <w:rPr>
          <w:color w:val="auto"/>
        </w:rPr>
      </w:pPr>
      <w:r>
        <w:rPr>
          <w:color w:val="auto"/>
        </w:rPr>
        <w:t>（</w:t>
      </w:r>
      <w:r>
        <w:rPr>
          <w:rFonts w:ascii="Times New Roman" w:eastAsia="Times New Roman"/>
          <w:color w:val="auto"/>
        </w:rPr>
        <w:t>4</w:t>
      </w:r>
      <w:r>
        <w:rPr>
          <w:color w:val="auto"/>
        </w:rPr>
        <w:t>）（</w:t>
      </w:r>
      <w:r>
        <w:rPr>
          <w:rFonts w:ascii="Times New Roman" w:eastAsia="Times New Roman"/>
          <w:color w:val="auto"/>
        </w:rPr>
        <w:t>A</w:t>
      </w:r>
      <w:r>
        <w:rPr>
          <w:color w:val="auto"/>
        </w:rPr>
        <w:t>）检查投标文件的密封情况，按照投标人须知前附表规定的开标顺序</w:t>
      </w:r>
    </w:p>
    <w:p>
      <w:pPr>
        <w:pStyle w:val="7"/>
        <w:spacing w:before="112" w:line="328" w:lineRule="auto"/>
        <w:ind w:right="396"/>
        <w:rPr>
          <w:color w:val="auto"/>
        </w:rPr>
      </w:pPr>
      <w:r>
        <w:rPr>
          <w:color w:val="auto"/>
          <w:spacing w:val="-7"/>
        </w:rPr>
        <w:t>当众开标，公布招标项目名称、投标人名称、投标保证金的递交情况、投标报价、监理</w:t>
      </w:r>
      <w:r>
        <w:rPr>
          <w:color w:val="auto"/>
        </w:rPr>
        <w:t>服务期限及其他内容，并记录在案；</w:t>
      </w:r>
    </w:p>
    <w:p>
      <w:pPr>
        <w:pStyle w:val="7"/>
        <w:spacing w:line="328" w:lineRule="auto"/>
        <w:ind w:right="390" w:firstLine="480"/>
        <w:rPr>
          <w:color w:val="auto"/>
        </w:rPr>
      </w:pPr>
      <w:r>
        <w:rPr>
          <w:color w:val="auto"/>
          <w:spacing w:val="-9"/>
        </w:rPr>
        <w:t>（</w:t>
      </w:r>
      <w:r>
        <w:rPr>
          <w:rFonts w:ascii="Times New Roman" w:eastAsia="Times New Roman"/>
          <w:color w:val="auto"/>
          <w:spacing w:val="-9"/>
        </w:rPr>
        <w:t>5</w:t>
      </w:r>
      <w:r>
        <w:rPr>
          <w:color w:val="auto"/>
          <w:spacing w:val="-9"/>
        </w:rPr>
        <w:t>）（</w:t>
      </w:r>
      <w:r>
        <w:rPr>
          <w:rFonts w:ascii="Times New Roman" w:eastAsia="Times New Roman"/>
          <w:color w:val="auto"/>
          <w:spacing w:val="-9"/>
        </w:rPr>
        <w:t>A</w:t>
      </w:r>
      <w:r>
        <w:rPr>
          <w:color w:val="auto"/>
          <w:spacing w:val="-9"/>
        </w:rPr>
        <w:t>）</w:t>
      </w:r>
      <w:r>
        <w:rPr>
          <w:color w:val="auto"/>
          <w:spacing w:val="-7"/>
        </w:rPr>
        <w:t>投标人代表、招标人代表、监标人、记录人等有关人员在开标记录上签</w:t>
      </w:r>
      <w:r>
        <w:rPr>
          <w:color w:val="auto"/>
        </w:rPr>
        <w:t>字确认；</w:t>
      </w:r>
    </w:p>
    <w:p>
      <w:pPr>
        <w:pStyle w:val="7"/>
        <w:spacing w:line="305" w:lineRule="exact"/>
        <w:ind w:left="816"/>
        <w:rPr>
          <w:color w:val="auto"/>
        </w:rPr>
      </w:pPr>
      <w:r>
        <w:rPr>
          <w:color w:val="auto"/>
        </w:rPr>
        <w:t>（</w:t>
      </w:r>
      <w:r>
        <w:rPr>
          <w:rFonts w:ascii="Times New Roman" w:eastAsia="Times New Roman"/>
          <w:color w:val="auto"/>
        </w:rPr>
        <w:t>6</w:t>
      </w:r>
      <w:r>
        <w:rPr>
          <w:color w:val="auto"/>
        </w:rPr>
        <w:t>）开标结束。</w:t>
      </w:r>
    </w:p>
    <w:p>
      <w:pPr>
        <w:pStyle w:val="4"/>
        <w:numPr>
          <w:ilvl w:val="1"/>
          <w:numId w:val="14"/>
        </w:numPr>
        <w:tabs>
          <w:tab w:val="left" w:pos="1028"/>
        </w:tabs>
        <w:spacing w:before="113" w:after="0" w:line="240" w:lineRule="auto"/>
        <w:ind w:left="1027" w:right="0" w:hanging="491"/>
        <w:jc w:val="left"/>
        <w:rPr>
          <w:rFonts w:ascii="Times New Roman" w:eastAsia="Times New Roman"/>
          <w:color w:val="auto"/>
        </w:rPr>
      </w:pPr>
      <w:r>
        <w:rPr>
          <w:color w:val="auto"/>
          <w:spacing w:val="-2"/>
        </w:rPr>
        <w:t>开标异议</w:t>
      </w:r>
    </w:p>
    <w:p>
      <w:pPr>
        <w:pStyle w:val="7"/>
        <w:spacing w:before="130"/>
        <w:ind w:left="756"/>
        <w:rPr>
          <w:color w:val="auto"/>
        </w:rPr>
      </w:pPr>
      <w:r>
        <w:rPr>
          <w:color w:val="auto"/>
        </w:rPr>
        <w:t>投标人对开标有异议的，应当在开标现场提出，招标人当场作出答复，并制作记录。</w:t>
      </w:r>
    </w:p>
    <w:p>
      <w:pPr>
        <w:spacing w:after="0"/>
        <w:rPr>
          <w:color w:val="auto"/>
        </w:rPr>
        <w:sectPr>
          <w:pgSz w:w="11910" w:h="16840"/>
          <w:pgMar w:top="1340" w:right="1020" w:bottom="900" w:left="1020" w:header="0" w:footer="640" w:gutter="0"/>
          <w:pgBorders>
            <w:top w:val="none" w:sz="0" w:space="0"/>
            <w:left w:val="none" w:sz="0" w:space="0"/>
            <w:bottom w:val="none" w:sz="0" w:space="0"/>
            <w:right w:val="none" w:sz="0" w:space="0"/>
          </w:pgBorders>
          <w:pgNumType w:fmt="decimal"/>
          <w:cols w:space="720" w:num="1"/>
        </w:sectPr>
      </w:pPr>
    </w:p>
    <w:p>
      <w:pPr>
        <w:pStyle w:val="15"/>
        <w:numPr>
          <w:ilvl w:val="0"/>
          <w:numId w:val="14"/>
        </w:numPr>
        <w:tabs>
          <w:tab w:val="left" w:pos="797"/>
        </w:tabs>
        <w:spacing w:before="43" w:after="0" w:line="240" w:lineRule="auto"/>
        <w:ind w:left="796" w:right="0" w:hanging="402"/>
        <w:jc w:val="left"/>
        <w:rPr>
          <w:b/>
          <w:color w:val="auto"/>
          <w:sz w:val="32"/>
        </w:rPr>
      </w:pPr>
      <w:bookmarkStart w:id="29" w:name="6.评标"/>
      <w:bookmarkEnd w:id="29"/>
      <w:bookmarkStart w:id="30" w:name="6.评标"/>
      <w:bookmarkEnd w:id="30"/>
      <w:r>
        <w:rPr>
          <w:b/>
          <w:color w:val="auto"/>
          <w:sz w:val="32"/>
        </w:rPr>
        <w:t>评标</w:t>
      </w:r>
    </w:p>
    <w:p>
      <w:pPr>
        <w:pStyle w:val="4"/>
        <w:numPr>
          <w:ilvl w:val="1"/>
          <w:numId w:val="14"/>
        </w:numPr>
        <w:tabs>
          <w:tab w:val="left" w:pos="1018"/>
        </w:tabs>
        <w:spacing w:before="148" w:after="0" w:line="240" w:lineRule="auto"/>
        <w:ind w:left="1017" w:right="0" w:hanging="486"/>
        <w:jc w:val="left"/>
        <w:rPr>
          <w:rFonts w:ascii="Times New Roman" w:eastAsia="Times New Roman"/>
          <w:color w:val="auto"/>
        </w:rPr>
      </w:pPr>
      <w:r>
        <w:rPr>
          <w:color w:val="auto"/>
          <w:spacing w:val="-2"/>
        </w:rPr>
        <w:t>评标委员会</w:t>
      </w:r>
    </w:p>
    <w:p>
      <w:pPr>
        <w:pStyle w:val="15"/>
        <w:numPr>
          <w:ilvl w:val="2"/>
          <w:numId w:val="26"/>
        </w:numPr>
        <w:tabs>
          <w:tab w:val="left" w:pos="1344"/>
        </w:tabs>
        <w:spacing w:before="130" w:after="0" w:line="328" w:lineRule="auto"/>
        <w:ind w:left="395" w:right="396" w:firstLine="420"/>
        <w:jc w:val="both"/>
        <w:rPr>
          <w:color w:val="auto"/>
          <w:sz w:val="24"/>
        </w:rPr>
      </w:pPr>
      <w:r>
        <w:rPr>
          <w:color w:val="auto"/>
          <w:spacing w:val="-3"/>
          <w:sz w:val="24"/>
        </w:rPr>
        <w:t>评标由招标人依法组建的评标委员会负责。评标委员会由招标人或其委托的招</w:t>
      </w:r>
      <w:r>
        <w:rPr>
          <w:color w:val="auto"/>
          <w:spacing w:val="-4"/>
          <w:sz w:val="24"/>
        </w:rPr>
        <w:t>标代理机构熟悉相关业务的代表，以及有关技术、经济等方面的专家组成。评标委员会</w:t>
      </w:r>
      <w:r>
        <w:rPr>
          <w:color w:val="auto"/>
          <w:sz w:val="24"/>
        </w:rPr>
        <w:t>成员人数以及技术、经济等方面专家的确定方式见投标人须知前附表。</w:t>
      </w:r>
    </w:p>
    <w:p>
      <w:pPr>
        <w:pStyle w:val="15"/>
        <w:numPr>
          <w:ilvl w:val="2"/>
          <w:numId w:val="26"/>
        </w:numPr>
        <w:tabs>
          <w:tab w:val="left" w:pos="1337"/>
        </w:tabs>
        <w:spacing w:before="0" w:after="0" w:line="306" w:lineRule="exact"/>
        <w:ind w:left="1336" w:right="0" w:hanging="521"/>
        <w:jc w:val="both"/>
        <w:rPr>
          <w:color w:val="auto"/>
          <w:sz w:val="24"/>
        </w:rPr>
      </w:pPr>
      <w:r>
        <w:rPr>
          <w:color w:val="auto"/>
          <w:sz w:val="24"/>
        </w:rPr>
        <w:t>评标委员会成员有下列情形之一的，应当回避：</w:t>
      </w:r>
    </w:p>
    <w:p>
      <w:pPr>
        <w:pStyle w:val="15"/>
        <w:numPr>
          <w:ilvl w:val="3"/>
          <w:numId w:val="26"/>
        </w:numPr>
        <w:tabs>
          <w:tab w:val="left" w:pos="1717"/>
        </w:tabs>
        <w:spacing w:before="113" w:after="0" w:line="240" w:lineRule="auto"/>
        <w:ind w:left="1717" w:right="0" w:hanging="601"/>
        <w:jc w:val="left"/>
        <w:rPr>
          <w:color w:val="auto"/>
          <w:sz w:val="24"/>
        </w:rPr>
      </w:pPr>
      <w:r>
        <w:rPr>
          <w:color w:val="auto"/>
          <w:sz w:val="24"/>
        </w:rPr>
        <w:t>投标人或投标人主要负责人的近亲属；</w:t>
      </w:r>
    </w:p>
    <w:p>
      <w:pPr>
        <w:pStyle w:val="15"/>
        <w:numPr>
          <w:ilvl w:val="3"/>
          <w:numId w:val="26"/>
        </w:numPr>
        <w:tabs>
          <w:tab w:val="left" w:pos="1717"/>
        </w:tabs>
        <w:spacing w:before="112" w:after="0" w:line="240" w:lineRule="auto"/>
        <w:ind w:left="1717" w:right="0" w:hanging="601"/>
        <w:jc w:val="left"/>
        <w:rPr>
          <w:color w:val="auto"/>
          <w:sz w:val="24"/>
        </w:rPr>
      </w:pPr>
      <w:r>
        <w:rPr>
          <w:color w:val="auto"/>
          <w:sz w:val="24"/>
        </w:rPr>
        <w:t>项目主管部门或者行政监督部门的人员；</w:t>
      </w:r>
    </w:p>
    <w:p>
      <w:pPr>
        <w:pStyle w:val="15"/>
        <w:numPr>
          <w:ilvl w:val="3"/>
          <w:numId w:val="26"/>
        </w:numPr>
        <w:tabs>
          <w:tab w:val="left" w:pos="1717"/>
        </w:tabs>
        <w:spacing w:before="113" w:after="0" w:line="240" w:lineRule="auto"/>
        <w:ind w:left="1717" w:right="0" w:hanging="601"/>
        <w:jc w:val="left"/>
        <w:rPr>
          <w:color w:val="auto"/>
          <w:sz w:val="24"/>
        </w:rPr>
      </w:pPr>
      <w:r>
        <w:rPr>
          <w:color w:val="auto"/>
          <w:sz w:val="24"/>
        </w:rPr>
        <w:t>与投标人有经济利益关系，可能影响对投标公正评审的；</w:t>
      </w:r>
    </w:p>
    <w:p>
      <w:pPr>
        <w:pStyle w:val="15"/>
        <w:numPr>
          <w:ilvl w:val="3"/>
          <w:numId w:val="26"/>
        </w:numPr>
        <w:tabs>
          <w:tab w:val="left" w:pos="1717"/>
        </w:tabs>
        <w:spacing w:before="112" w:after="0" w:line="328" w:lineRule="auto"/>
        <w:ind w:left="395" w:right="708" w:firstLine="720"/>
        <w:jc w:val="left"/>
        <w:rPr>
          <w:color w:val="auto"/>
          <w:sz w:val="24"/>
        </w:rPr>
      </w:pPr>
      <w:r>
        <w:rPr>
          <w:color w:val="auto"/>
          <w:spacing w:val="-1"/>
          <w:sz w:val="24"/>
        </w:rPr>
        <w:t>曾因在招标、评标以及其他与招标投标有关活动中从事违法行为而受过</w:t>
      </w:r>
      <w:r>
        <w:rPr>
          <w:color w:val="auto"/>
          <w:sz w:val="24"/>
        </w:rPr>
        <w:t>行政处罚或刑事处罚的；</w:t>
      </w:r>
    </w:p>
    <w:p>
      <w:pPr>
        <w:pStyle w:val="15"/>
        <w:numPr>
          <w:ilvl w:val="3"/>
          <w:numId w:val="26"/>
        </w:numPr>
        <w:tabs>
          <w:tab w:val="left" w:pos="1717"/>
        </w:tabs>
        <w:spacing w:before="0" w:after="0" w:line="305" w:lineRule="exact"/>
        <w:ind w:left="1717" w:right="0" w:hanging="601"/>
        <w:jc w:val="left"/>
        <w:rPr>
          <w:color w:val="auto"/>
          <w:sz w:val="24"/>
        </w:rPr>
      </w:pPr>
      <w:r>
        <w:rPr>
          <w:color w:val="auto"/>
          <w:sz w:val="24"/>
        </w:rPr>
        <w:t>与投标人有其他利害关系。</w:t>
      </w:r>
    </w:p>
    <w:p>
      <w:pPr>
        <w:pStyle w:val="15"/>
        <w:numPr>
          <w:ilvl w:val="2"/>
          <w:numId w:val="26"/>
        </w:numPr>
        <w:tabs>
          <w:tab w:val="left" w:pos="1416"/>
        </w:tabs>
        <w:spacing w:before="113" w:after="0" w:line="240" w:lineRule="auto"/>
        <w:ind w:left="1416" w:right="0" w:hanging="600"/>
        <w:jc w:val="left"/>
        <w:rPr>
          <w:color w:val="auto"/>
          <w:sz w:val="24"/>
        </w:rPr>
      </w:pPr>
      <w:r>
        <w:rPr>
          <w:color w:val="auto"/>
          <w:sz w:val="24"/>
        </w:rPr>
        <w:t>评标过程中，评标委员会成员有回避事由、擅离职守或者因健康等原因不</w:t>
      </w:r>
    </w:p>
    <w:p>
      <w:pPr>
        <w:pStyle w:val="7"/>
        <w:spacing w:before="112" w:line="328" w:lineRule="auto"/>
        <w:ind w:right="349"/>
        <w:rPr>
          <w:color w:val="auto"/>
        </w:rPr>
      </w:pPr>
      <w:r>
        <w:rPr>
          <w:color w:val="auto"/>
        </w:rPr>
        <w:t>能继续评标的，招标人有权更换。被更换的评标委员会成员作出的评审结论无效，由更换后的评标委员会成员重新进行评审。</w:t>
      </w:r>
    </w:p>
    <w:p>
      <w:pPr>
        <w:pStyle w:val="4"/>
        <w:numPr>
          <w:ilvl w:val="1"/>
          <w:numId w:val="14"/>
        </w:numPr>
        <w:tabs>
          <w:tab w:val="left" w:pos="1028"/>
        </w:tabs>
        <w:spacing w:before="0" w:after="0" w:line="357" w:lineRule="exact"/>
        <w:ind w:left="1027" w:right="0" w:hanging="491"/>
        <w:jc w:val="left"/>
        <w:rPr>
          <w:rFonts w:ascii="Times New Roman" w:eastAsia="Times New Roman"/>
          <w:color w:val="auto"/>
        </w:rPr>
      </w:pPr>
      <w:r>
        <w:rPr>
          <w:color w:val="auto"/>
          <w:spacing w:val="-2"/>
        </w:rPr>
        <w:t>评标原则</w:t>
      </w:r>
    </w:p>
    <w:p>
      <w:pPr>
        <w:pStyle w:val="7"/>
        <w:spacing w:before="133"/>
        <w:ind w:left="816"/>
        <w:rPr>
          <w:color w:val="auto"/>
        </w:rPr>
      </w:pPr>
      <w:r>
        <w:rPr>
          <w:color w:val="auto"/>
        </w:rPr>
        <w:t>评标活动遵循公平、公正、科学和择优的原则。</w:t>
      </w:r>
    </w:p>
    <w:p>
      <w:pPr>
        <w:pStyle w:val="4"/>
        <w:numPr>
          <w:ilvl w:val="1"/>
          <w:numId w:val="14"/>
        </w:numPr>
        <w:tabs>
          <w:tab w:val="left" w:pos="1028"/>
        </w:tabs>
        <w:spacing w:before="0" w:after="0" w:line="357" w:lineRule="exact"/>
        <w:ind w:left="1027" w:right="0" w:hanging="491"/>
        <w:jc w:val="left"/>
        <w:rPr>
          <w:color w:val="auto"/>
          <w:spacing w:val="-2"/>
        </w:rPr>
      </w:pPr>
      <w:r>
        <w:rPr>
          <w:color w:val="auto"/>
          <w:spacing w:val="-2"/>
        </w:rPr>
        <w:t>评标</w:t>
      </w:r>
    </w:p>
    <w:p>
      <w:pPr>
        <w:pStyle w:val="4"/>
        <w:numPr>
          <w:ilvl w:val="0"/>
          <w:numId w:val="0"/>
        </w:numPr>
        <w:tabs>
          <w:tab w:val="left" w:pos="1018"/>
        </w:tabs>
        <w:spacing w:before="113" w:after="0" w:line="240" w:lineRule="auto"/>
        <w:ind w:right="0" w:rightChars="0" w:firstLine="960" w:firstLineChars="400"/>
        <w:jc w:val="left"/>
        <w:rPr>
          <w:color w:val="auto"/>
          <w:spacing w:val="-11"/>
          <w:sz w:val="24"/>
        </w:rPr>
      </w:pPr>
      <w:r>
        <w:rPr>
          <w:rFonts w:hint="eastAsia"/>
          <w:color w:val="auto"/>
          <w:sz w:val="24"/>
          <w:lang w:val="en-US" w:eastAsia="zh-CN"/>
        </w:rPr>
        <w:t xml:space="preserve">6.3.1 </w:t>
      </w:r>
      <w:r>
        <w:rPr>
          <w:color w:val="auto"/>
          <w:sz w:val="24"/>
        </w:rPr>
        <w:t>评标委员会按照第三章</w:t>
      </w:r>
      <w:r>
        <w:rPr>
          <w:rFonts w:ascii="Times New Roman" w:hAnsi="Times New Roman" w:eastAsia="Times New Roman"/>
          <w:color w:val="auto"/>
          <w:sz w:val="24"/>
        </w:rPr>
        <w:t>“</w:t>
      </w:r>
      <w:r>
        <w:rPr>
          <w:color w:val="auto"/>
          <w:sz w:val="24"/>
        </w:rPr>
        <w:t>评标办法</w:t>
      </w:r>
      <w:r>
        <w:rPr>
          <w:rFonts w:ascii="Times New Roman" w:hAnsi="Times New Roman" w:eastAsia="Times New Roman"/>
          <w:color w:val="auto"/>
          <w:sz w:val="24"/>
        </w:rPr>
        <w:t>”</w:t>
      </w:r>
      <w:r>
        <w:rPr>
          <w:color w:val="auto"/>
          <w:spacing w:val="-11"/>
          <w:sz w:val="24"/>
        </w:rPr>
        <w:t>规定的方法、评审因素、标准和程序对投</w:t>
      </w:r>
    </w:p>
    <w:p>
      <w:pPr>
        <w:pStyle w:val="4"/>
        <w:numPr>
          <w:ilvl w:val="0"/>
          <w:numId w:val="0"/>
        </w:numPr>
        <w:tabs>
          <w:tab w:val="left" w:pos="1018"/>
        </w:tabs>
        <w:spacing w:before="113" w:after="0" w:line="240" w:lineRule="auto"/>
        <w:ind w:left="480" w:leftChars="218" w:right="0" w:rightChars="0" w:firstLine="0" w:firstLineChars="0"/>
        <w:jc w:val="left"/>
        <w:rPr>
          <w:rFonts w:ascii="Times New Roman" w:hAnsi="Times New Roman" w:eastAsia="Times New Roman"/>
          <w:color w:val="auto"/>
          <w:sz w:val="24"/>
        </w:rPr>
      </w:pPr>
      <w:r>
        <w:rPr>
          <w:color w:val="auto"/>
          <w:spacing w:val="-1"/>
          <w:sz w:val="24"/>
        </w:rPr>
        <w:t>标文件进行评审。第三章</w:t>
      </w:r>
      <w:r>
        <w:rPr>
          <w:rFonts w:ascii="Times New Roman" w:hAnsi="Times New Roman" w:eastAsia="Times New Roman"/>
          <w:color w:val="auto"/>
          <w:sz w:val="24"/>
        </w:rPr>
        <w:t>“</w:t>
      </w:r>
      <w:r>
        <w:rPr>
          <w:color w:val="auto"/>
          <w:sz w:val="24"/>
        </w:rPr>
        <w:t>评标办法</w:t>
      </w:r>
      <w:r>
        <w:rPr>
          <w:rFonts w:ascii="Times New Roman" w:hAnsi="Times New Roman" w:eastAsia="Times New Roman"/>
          <w:color w:val="auto"/>
          <w:sz w:val="24"/>
        </w:rPr>
        <w:t>”</w:t>
      </w:r>
      <w:r>
        <w:rPr>
          <w:color w:val="auto"/>
          <w:spacing w:val="-3"/>
          <w:sz w:val="24"/>
        </w:rPr>
        <w:t>没有规定的方法、评审因素和标准，不作为评标依</w:t>
      </w:r>
      <w:r>
        <w:rPr>
          <w:color w:val="auto"/>
          <w:spacing w:val="-3"/>
          <w:sz w:val="24"/>
        </w:rPr>
        <w:br w:type="textWrapping"/>
      </w:r>
      <w:r>
        <w:rPr>
          <w:color w:val="auto"/>
          <w:sz w:val="24"/>
        </w:rPr>
        <w:t>据。</w:t>
      </w:r>
    </w:p>
    <w:p>
      <w:pPr>
        <w:pStyle w:val="15"/>
        <w:numPr>
          <w:ilvl w:val="0"/>
          <w:numId w:val="0"/>
        </w:numPr>
        <w:tabs>
          <w:tab w:val="left" w:pos="1289"/>
        </w:tabs>
        <w:spacing w:before="0" w:after="0" w:line="328" w:lineRule="auto"/>
        <w:ind w:left="480" w:leftChars="218" w:right="397" w:rightChars="0" w:firstLine="476" w:firstLineChars="200"/>
        <w:jc w:val="both"/>
        <w:rPr>
          <w:rFonts w:ascii="Times New Roman" w:eastAsia="Times New Roman"/>
          <w:color w:val="auto"/>
          <w:sz w:val="21"/>
        </w:rPr>
      </w:pPr>
      <w:r>
        <w:rPr>
          <w:rFonts w:hint="eastAsia"/>
          <w:color w:val="auto"/>
          <w:spacing w:val="-1"/>
          <w:sz w:val="24"/>
          <w:lang w:val="en-US" w:eastAsia="zh-CN"/>
        </w:rPr>
        <w:t xml:space="preserve">6.3.2 </w:t>
      </w:r>
      <w:r>
        <w:rPr>
          <w:color w:val="auto"/>
          <w:spacing w:val="-1"/>
          <w:sz w:val="24"/>
        </w:rPr>
        <w:t>评标完成后，评标委员会应当向招标人提交书面评标报告和中标候选人名单。</w:t>
      </w:r>
      <w:r>
        <w:rPr>
          <w:color w:val="auto"/>
          <w:sz w:val="24"/>
        </w:rPr>
        <w:t>评标委员会推荐中标候选人的人数见投标人须知前附表。</w:t>
      </w:r>
    </w:p>
    <w:p>
      <w:pPr>
        <w:pStyle w:val="15"/>
        <w:numPr>
          <w:ilvl w:val="0"/>
          <w:numId w:val="14"/>
        </w:numPr>
        <w:tabs>
          <w:tab w:val="left" w:pos="797"/>
        </w:tabs>
        <w:spacing w:before="0" w:after="0" w:line="409" w:lineRule="exact"/>
        <w:ind w:left="796" w:right="0" w:hanging="402"/>
        <w:jc w:val="left"/>
        <w:rPr>
          <w:b/>
          <w:color w:val="auto"/>
          <w:sz w:val="32"/>
        </w:rPr>
      </w:pPr>
      <w:bookmarkStart w:id="31" w:name="7.合同授予"/>
      <w:bookmarkEnd w:id="31"/>
      <w:bookmarkStart w:id="32" w:name="7.合同授予"/>
      <w:bookmarkEnd w:id="32"/>
      <w:r>
        <w:rPr>
          <w:b/>
          <w:color w:val="auto"/>
          <w:sz w:val="32"/>
        </w:rPr>
        <w:t>合同授予</w:t>
      </w:r>
    </w:p>
    <w:p>
      <w:pPr>
        <w:pStyle w:val="4"/>
        <w:numPr>
          <w:ilvl w:val="1"/>
          <w:numId w:val="14"/>
        </w:numPr>
        <w:tabs>
          <w:tab w:val="left" w:pos="1017"/>
          <w:tab w:val="left" w:pos="1018"/>
        </w:tabs>
        <w:spacing w:before="147" w:after="0" w:line="240" w:lineRule="auto"/>
        <w:ind w:left="1017" w:right="0" w:hanging="486"/>
        <w:jc w:val="left"/>
        <w:rPr>
          <w:rFonts w:ascii="Times New Roman" w:eastAsia="Times New Roman"/>
          <w:color w:val="auto"/>
          <w:sz w:val="21"/>
        </w:rPr>
      </w:pPr>
      <w:r>
        <w:rPr>
          <w:color w:val="auto"/>
          <w:spacing w:val="-3"/>
        </w:rPr>
        <w:t>中标候选人公示</w:t>
      </w:r>
    </w:p>
    <w:p>
      <w:pPr>
        <w:pStyle w:val="7"/>
        <w:spacing w:before="130"/>
        <w:ind w:left="816"/>
        <w:rPr>
          <w:color w:val="auto"/>
        </w:rPr>
      </w:pPr>
      <w:r>
        <w:rPr>
          <w:color w:val="auto"/>
        </w:rPr>
        <w:t xml:space="preserve">招标人在收到评标报告之日起 </w:t>
      </w:r>
      <w:r>
        <w:rPr>
          <w:rFonts w:ascii="Times New Roman" w:eastAsia="Times New Roman"/>
          <w:color w:val="auto"/>
        </w:rPr>
        <w:t xml:space="preserve">3 </w:t>
      </w:r>
      <w:r>
        <w:rPr>
          <w:color w:val="auto"/>
        </w:rPr>
        <w:t>日内，按照投标人须知前附表规定的公示媒介</w:t>
      </w:r>
    </w:p>
    <w:p>
      <w:pPr>
        <w:pStyle w:val="7"/>
        <w:spacing w:before="112"/>
        <w:rPr>
          <w:color w:val="auto"/>
        </w:rPr>
      </w:pPr>
      <w:r>
        <w:rPr>
          <w:color w:val="auto"/>
        </w:rPr>
        <w:t xml:space="preserve">和期限公示中标候选人，公示期不得少于 </w:t>
      </w:r>
      <w:r>
        <w:rPr>
          <w:rFonts w:ascii="Times New Roman" w:eastAsia="Times New Roman"/>
          <w:color w:val="auto"/>
        </w:rPr>
        <w:t xml:space="preserve">3 </w:t>
      </w:r>
      <w:r>
        <w:rPr>
          <w:color w:val="auto"/>
        </w:rPr>
        <w:t>天。</w:t>
      </w:r>
    </w:p>
    <w:p>
      <w:pPr>
        <w:pStyle w:val="4"/>
        <w:numPr>
          <w:ilvl w:val="1"/>
          <w:numId w:val="14"/>
        </w:numPr>
        <w:tabs>
          <w:tab w:val="left" w:pos="1028"/>
        </w:tabs>
        <w:spacing w:before="114" w:after="0" w:line="240" w:lineRule="auto"/>
        <w:ind w:left="1027" w:right="0" w:hanging="491"/>
        <w:jc w:val="left"/>
        <w:rPr>
          <w:rFonts w:ascii="Times New Roman" w:eastAsia="Times New Roman"/>
          <w:color w:val="auto"/>
        </w:rPr>
      </w:pPr>
      <w:r>
        <w:rPr>
          <w:color w:val="auto"/>
          <w:spacing w:val="-3"/>
        </w:rPr>
        <w:t>评标结果异议</w:t>
      </w:r>
    </w:p>
    <w:p>
      <w:pPr>
        <w:pStyle w:val="7"/>
        <w:spacing w:before="130"/>
        <w:ind w:left="816"/>
        <w:rPr>
          <w:color w:val="auto"/>
        </w:rPr>
      </w:pPr>
      <w:r>
        <w:rPr>
          <w:color w:val="auto"/>
        </w:rPr>
        <w:t>投标人或者其他利害关系人对评标结果有异议的，应当在中标候选人公示期间</w:t>
      </w:r>
    </w:p>
    <w:p>
      <w:pPr>
        <w:pStyle w:val="7"/>
        <w:spacing w:before="112" w:line="328" w:lineRule="auto"/>
        <w:ind w:right="395"/>
        <w:rPr>
          <w:color w:val="auto"/>
        </w:rPr>
      </w:pPr>
      <w:r>
        <w:rPr>
          <w:color w:val="auto"/>
        </w:rPr>
        <w:t xml:space="preserve">提出。招标人将在收到异议之日起 </w:t>
      </w:r>
      <w:r>
        <w:rPr>
          <w:rFonts w:ascii="Times New Roman" w:eastAsia="Times New Roman"/>
          <w:color w:val="auto"/>
        </w:rPr>
        <w:t xml:space="preserve">3 </w:t>
      </w:r>
      <w:r>
        <w:rPr>
          <w:color w:val="auto"/>
        </w:rPr>
        <w:t>日内作出答复；作出答复前，将暂停招标投标活动。</w:t>
      </w:r>
    </w:p>
    <w:p>
      <w:pPr>
        <w:spacing w:after="0" w:line="328" w:lineRule="auto"/>
        <w:rPr>
          <w:color w:val="auto"/>
        </w:rPr>
        <w:sectPr>
          <w:pgSz w:w="11910" w:h="16840"/>
          <w:pgMar w:top="1360" w:right="1020" w:bottom="900" w:left="1020" w:header="0" w:footer="640" w:gutter="0"/>
          <w:pgBorders>
            <w:top w:val="none" w:sz="0" w:space="0"/>
            <w:left w:val="none" w:sz="0" w:space="0"/>
            <w:bottom w:val="none" w:sz="0" w:space="0"/>
            <w:right w:val="none" w:sz="0" w:space="0"/>
          </w:pgBorders>
          <w:pgNumType w:fmt="decimal"/>
          <w:cols w:space="720" w:num="1"/>
        </w:sectPr>
      </w:pPr>
    </w:p>
    <w:p>
      <w:pPr>
        <w:pStyle w:val="4"/>
        <w:numPr>
          <w:ilvl w:val="1"/>
          <w:numId w:val="14"/>
        </w:numPr>
        <w:tabs>
          <w:tab w:val="left" w:pos="1028"/>
        </w:tabs>
        <w:spacing w:before="62" w:after="0" w:line="240" w:lineRule="auto"/>
        <w:ind w:left="1027" w:right="0" w:hanging="491"/>
        <w:jc w:val="left"/>
        <w:rPr>
          <w:rFonts w:ascii="Times New Roman" w:eastAsia="Times New Roman"/>
          <w:color w:val="auto"/>
        </w:rPr>
      </w:pPr>
      <w:r>
        <w:rPr>
          <w:color w:val="auto"/>
          <w:spacing w:val="-3"/>
        </w:rPr>
        <w:t>中标候选人履约能力审查</w:t>
      </w:r>
    </w:p>
    <w:p>
      <w:pPr>
        <w:pStyle w:val="7"/>
        <w:spacing w:before="130"/>
        <w:ind w:left="816"/>
        <w:rPr>
          <w:color w:val="auto"/>
        </w:rPr>
      </w:pPr>
      <w:r>
        <w:rPr>
          <w:color w:val="auto"/>
        </w:rPr>
        <w:t>中标候选人的经营、财务状况发生较大变化或存在违法行为，招标人认为可能</w:t>
      </w:r>
    </w:p>
    <w:p>
      <w:pPr>
        <w:pStyle w:val="7"/>
        <w:spacing w:before="112" w:line="328" w:lineRule="auto"/>
        <w:ind w:right="396"/>
        <w:rPr>
          <w:color w:val="auto"/>
        </w:rPr>
      </w:pPr>
      <w:r>
        <w:rPr>
          <w:color w:val="auto"/>
          <w:spacing w:val="-7"/>
        </w:rPr>
        <w:t>影响其履约能力的，将在发出中标通知书前提请原评标委员会按照招标文件规定的标准</w:t>
      </w:r>
      <w:r>
        <w:rPr>
          <w:color w:val="auto"/>
        </w:rPr>
        <w:t>和方法进行审查确认。</w:t>
      </w:r>
    </w:p>
    <w:p>
      <w:pPr>
        <w:pStyle w:val="4"/>
        <w:numPr>
          <w:ilvl w:val="1"/>
          <w:numId w:val="14"/>
        </w:numPr>
        <w:tabs>
          <w:tab w:val="left" w:pos="1028"/>
        </w:tabs>
        <w:spacing w:before="0" w:after="0" w:line="357" w:lineRule="exact"/>
        <w:ind w:left="1027" w:right="0" w:hanging="491"/>
        <w:jc w:val="left"/>
        <w:rPr>
          <w:rFonts w:ascii="Times New Roman" w:eastAsia="Times New Roman"/>
          <w:color w:val="auto"/>
        </w:rPr>
      </w:pPr>
      <w:r>
        <w:rPr>
          <w:color w:val="auto"/>
        </w:rPr>
        <w:t>定标</w:t>
      </w:r>
    </w:p>
    <w:p>
      <w:pPr>
        <w:pStyle w:val="7"/>
        <w:spacing w:before="133" w:line="328" w:lineRule="auto"/>
        <w:ind w:right="888" w:firstLine="420"/>
        <w:rPr>
          <w:color w:val="auto"/>
        </w:rPr>
      </w:pPr>
      <w:r>
        <w:rPr>
          <w:color w:val="auto"/>
        </w:rPr>
        <w:t>按照投标人须知前附表的规定，招标人或招标人授权的评标委员会依法确定中标人。</w:t>
      </w:r>
    </w:p>
    <w:p>
      <w:pPr>
        <w:pStyle w:val="4"/>
        <w:numPr>
          <w:ilvl w:val="1"/>
          <w:numId w:val="14"/>
        </w:numPr>
        <w:tabs>
          <w:tab w:val="left" w:pos="1028"/>
        </w:tabs>
        <w:spacing w:before="0" w:after="0" w:line="357" w:lineRule="exact"/>
        <w:ind w:left="1027" w:right="0" w:hanging="491"/>
        <w:jc w:val="both"/>
        <w:rPr>
          <w:rFonts w:ascii="Times New Roman" w:eastAsia="Times New Roman"/>
          <w:color w:val="auto"/>
        </w:rPr>
      </w:pPr>
      <w:r>
        <w:rPr>
          <w:color w:val="auto"/>
          <w:spacing w:val="-2"/>
        </w:rPr>
        <w:t>中标通知</w:t>
      </w:r>
    </w:p>
    <w:p>
      <w:pPr>
        <w:pStyle w:val="7"/>
        <w:spacing w:before="130" w:line="328" w:lineRule="auto"/>
        <w:ind w:right="828" w:firstLine="420"/>
        <w:rPr>
          <w:color w:val="auto"/>
        </w:rPr>
      </w:pPr>
      <w:r>
        <w:rPr>
          <w:color w:val="auto"/>
        </w:rPr>
        <w:t xml:space="preserve">在本章第 </w:t>
      </w:r>
      <w:r>
        <w:rPr>
          <w:rFonts w:ascii="Times New Roman" w:eastAsia="Times New Roman"/>
          <w:color w:val="auto"/>
        </w:rPr>
        <w:t xml:space="preserve">3.3 </w:t>
      </w:r>
      <w:r>
        <w:rPr>
          <w:color w:val="auto"/>
        </w:rPr>
        <w:t>款规定的投标有效期内，招标人以书面形式向中标人发出中标通知书，同时将中标结果通知未中标的投标人。</w:t>
      </w:r>
    </w:p>
    <w:p>
      <w:pPr>
        <w:pStyle w:val="4"/>
        <w:numPr>
          <w:ilvl w:val="1"/>
          <w:numId w:val="14"/>
        </w:numPr>
        <w:tabs>
          <w:tab w:val="left" w:pos="1018"/>
        </w:tabs>
        <w:spacing w:before="0" w:after="0" w:line="357" w:lineRule="exact"/>
        <w:ind w:left="1017" w:right="0" w:hanging="486"/>
        <w:jc w:val="both"/>
        <w:rPr>
          <w:rFonts w:ascii="Times New Roman" w:eastAsia="Times New Roman"/>
          <w:color w:val="auto"/>
        </w:rPr>
      </w:pPr>
      <w:r>
        <w:rPr>
          <w:color w:val="auto"/>
          <w:spacing w:val="-2"/>
        </w:rPr>
        <w:t>履约保证金</w:t>
      </w:r>
    </w:p>
    <w:p>
      <w:pPr>
        <w:pStyle w:val="15"/>
        <w:numPr>
          <w:ilvl w:val="0"/>
          <w:numId w:val="0"/>
        </w:numPr>
        <w:tabs>
          <w:tab w:val="left" w:pos="1416"/>
        </w:tabs>
        <w:spacing w:before="130" w:after="0" w:line="328" w:lineRule="auto"/>
        <w:ind w:left="480" w:leftChars="218" w:right="396" w:rightChars="0" w:firstLine="440" w:firstLineChars="200"/>
        <w:jc w:val="both"/>
        <w:rPr>
          <w:rFonts w:ascii="Times New Roman" w:hAnsi="Times New Roman" w:eastAsia="Times New Roman"/>
          <w:color w:val="auto"/>
          <w:sz w:val="24"/>
        </w:rPr>
      </w:pPr>
      <w:r>
        <w:rPr>
          <w:rFonts w:hint="eastAsia"/>
          <w:color w:val="auto"/>
          <w:spacing w:val="-10"/>
          <w:sz w:val="24"/>
          <w:lang w:val="en-US" w:eastAsia="zh-CN"/>
        </w:rPr>
        <w:t>7.6.1</w:t>
      </w:r>
      <w:r>
        <w:rPr>
          <w:color w:val="auto"/>
          <w:spacing w:val="-10"/>
          <w:sz w:val="24"/>
        </w:rPr>
        <w:t>在签订合同前，中标人应按投标人须知前附表规定的形式、金额和招标文件第</w:t>
      </w:r>
      <w:r>
        <w:rPr>
          <w:color w:val="auto"/>
          <w:spacing w:val="5"/>
          <w:sz w:val="24"/>
        </w:rPr>
        <w:t>四章</w:t>
      </w:r>
      <w:r>
        <w:rPr>
          <w:rFonts w:ascii="Times New Roman" w:hAnsi="Times New Roman" w:eastAsia="Times New Roman"/>
          <w:color w:val="auto"/>
          <w:spacing w:val="6"/>
          <w:sz w:val="24"/>
        </w:rPr>
        <w:t>“</w:t>
      </w:r>
      <w:r>
        <w:rPr>
          <w:color w:val="auto"/>
          <w:spacing w:val="4"/>
          <w:sz w:val="24"/>
        </w:rPr>
        <w:t>合同条款及格式</w:t>
      </w:r>
      <w:r>
        <w:rPr>
          <w:rFonts w:ascii="Times New Roman" w:hAnsi="Times New Roman" w:eastAsia="Times New Roman"/>
          <w:color w:val="auto"/>
          <w:spacing w:val="6"/>
          <w:sz w:val="24"/>
        </w:rPr>
        <w:t>”</w:t>
      </w:r>
      <w:r>
        <w:rPr>
          <w:color w:val="auto"/>
          <w:spacing w:val="3"/>
          <w:sz w:val="24"/>
        </w:rPr>
        <w:t>规定的或者事先经过招标人书面认可的履约保证金格式向招标人提交履约保证金。除投标人须知前附表另有规定外，履约保证金为中标合同金额的</w:t>
      </w:r>
      <w:r>
        <w:rPr>
          <w:rFonts w:ascii="Times New Roman" w:hAnsi="Times New Roman" w:eastAsia="Times New Roman"/>
          <w:color w:val="auto"/>
          <w:spacing w:val="3"/>
          <w:sz w:val="24"/>
        </w:rPr>
        <w:t>10%</w:t>
      </w:r>
      <w:r>
        <w:rPr>
          <w:color w:val="auto"/>
          <w:spacing w:val="3"/>
          <w:sz w:val="24"/>
        </w:rPr>
        <w:t>。联合体中标的，其履约保证金以联合体各方或者联合体中牵头人的名义提交。</w:t>
      </w:r>
    </w:p>
    <w:p>
      <w:pPr>
        <w:pStyle w:val="15"/>
        <w:numPr>
          <w:ilvl w:val="0"/>
          <w:numId w:val="0"/>
        </w:numPr>
        <w:tabs>
          <w:tab w:val="left" w:pos="1344"/>
        </w:tabs>
        <w:spacing w:before="0" w:after="0" w:line="328" w:lineRule="auto"/>
        <w:ind w:left="480" w:leftChars="218" w:right="515" w:rightChars="0" w:firstLine="488" w:firstLineChars="200"/>
        <w:jc w:val="both"/>
        <w:rPr>
          <w:rFonts w:ascii="Times New Roman" w:eastAsia="Times New Roman"/>
          <w:color w:val="auto"/>
          <w:sz w:val="21"/>
        </w:rPr>
      </w:pPr>
      <w:r>
        <w:rPr>
          <w:rFonts w:hint="eastAsia"/>
          <w:color w:val="auto"/>
          <w:spacing w:val="2"/>
          <w:sz w:val="24"/>
          <w:lang w:val="en-US" w:eastAsia="zh-CN"/>
        </w:rPr>
        <w:t>7.6.2</w:t>
      </w:r>
      <w:r>
        <w:rPr>
          <w:color w:val="auto"/>
          <w:spacing w:val="2"/>
          <w:sz w:val="24"/>
        </w:rPr>
        <w:t xml:space="preserve">中标人不能按本章第 </w:t>
      </w:r>
      <w:r>
        <w:rPr>
          <w:rFonts w:ascii="Times New Roman" w:eastAsia="Times New Roman"/>
          <w:color w:val="auto"/>
          <w:sz w:val="24"/>
        </w:rPr>
        <w:t>7.6.1</w:t>
      </w:r>
      <w:r>
        <w:rPr>
          <w:rFonts w:ascii="Times New Roman" w:eastAsia="Times New Roman"/>
          <w:color w:val="auto"/>
          <w:spacing w:val="24"/>
          <w:sz w:val="24"/>
        </w:rPr>
        <w:t xml:space="preserve"> </w:t>
      </w:r>
      <w:r>
        <w:rPr>
          <w:color w:val="auto"/>
          <w:sz w:val="24"/>
        </w:rPr>
        <w:t>项要求提交履约保证金的，视为放弃中标，其投标保证金不予退还，给招标人造成的损失超过投标保证金数额的，中标人还应当对超过部分予以赔偿。</w:t>
      </w:r>
    </w:p>
    <w:p>
      <w:pPr>
        <w:pStyle w:val="4"/>
        <w:numPr>
          <w:ilvl w:val="1"/>
          <w:numId w:val="14"/>
        </w:numPr>
        <w:tabs>
          <w:tab w:val="left" w:pos="1018"/>
        </w:tabs>
        <w:spacing w:before="0" w:after="0" w:line="358" w:lineRule="exact"/>
        <w:ind w:left="1017" w:right="0" w:hanging="486"/>
        <w:jc w:val="both"/>
        <w:rPr>
          <w:rFonts w:ascii="Times New Roman" w:eastAsia="Times New Roman"/>
          <w:color w:val="auto"/>
        </w:rPr>
      </w:pPr>
      <w:r>
        <w:rPr>
          <w:color w:val="auto"/>
          <w:spacing w:val="-2"/>
        </w:rPr>
        <w:t>签订合同</w:t>
      </w:r>
    </w:p>
    <w:p>
      <w:pPr>
        <w:pStyle w:val="15"/>
        <w:numPr>
          <w:ilvl w:val="2"/>
          <w:numId w:val="27"/>
        </w:numPr>
        <w:tabs>
          <w:tab w:val="left" w:pos="1344"/>
        </w:tabs>
        <w:spacing w:before="125" w:after="0" w:line="328" w:lineRule="auto"/>
        <w:ind w:left="395" w:right="515" w:firstLine="420"/>
        <w:jc w:val="both"/>
        <w:rPr>
          <w:rFonts w:ascii="Times New Roman" w:eastAsia="Times New Roman"/>
          <w:color w:val="auto"/>
          <w:sz w:val="24"/>
        </w:rPr>
      </w:pPr>
      <w:r>
        <w:rPr>
          <w:color w:val="auto"/>
          <w:spacing w:val="1"/>
          <w:sz w:val="24"/>
        </w:rPr>
        <w:t xml:space="preserve">招标人和中标人应当在中标通知书发出之日起 </w:t>
      </w:r>
      <w:r>
        <w:rPr>
          <w:rFonts w:ascii="Times New Roman" w:eastAsia="Times New Roman"/>
          <w:color w:val="auto"/>
          <w:sz w:val="24"/>
        </w:rPr>
        <w:t>30</w:t>
      </w:r>
      <w:r>
        <w:rPr>
          <w:rFonts w:ascii="Times New Roman" w:eastAsia="Times New Roman"/>
          <w:color w:val="auto"/>
          <w:spacing w:val="28"/>
          <w:sz w:val="24"/>
        </w:rPr>
        <w:t xml:space="preserve"> </w:t>
      </w:r>
      <w:r>
        <w:rPr>
          <w:color w:val="auto"/>
          <w:sz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5"/>
        <w:numPr>
          <w:ilvl w:val="2"/>
          <w:numId w:val="27"/>
        </w:numPr>
        <w:tabs>
          <w:tab w:val="left" w:pos="1344"/>
        </w:tabs>
        <w:spacing w:before="0" w:after="0" w:line="328" w:lineRule="auto"/>
        <w:ind w:left="395" w:right="515" w:firstLine="420"/>
        <w:jc w:val="both"/>
        <w:rPr>
          <w:rFonts w:ascii="Times New Roman" w:eastAsia="Times New Roman"/>
          <w:color w:val="auto"/>
          <w:sz w:val="24"/>
        </w:rPr>
      </w:pPr>
      <w:r>
        <w:rPr>
          <w:color w:val="auto"/>
          <w:sz w:val="24"/>
        </w:rPr>
        <w:t>发出中标通知书后，招标人无正当理由拒签合同，或者在签订合同时向中标人提出附加条件的，招标人向中标人退还投标保证金；给中标人造成损失的，还应当赔偿损失。</w:t>
      </w:r>
    </w:p>
    <w:p>
      <w:pPr>
        <w:pStyle w:val="15"/>
        <w:numPr>
          <w:ilvl w:val="2"/>
          <w:numId w:val="27"/>
        </w:numPr>
        <w:tabs>
          <w:tab w:val="left" w:pos="1296"/>
        </w:tabs>
        <w:spacing w:before="0" w:after="0" w:line="328" w:lineRule="auto"/>
        <w:ind w:left="395" w:right="888" w:firstLine="420"/>
        <w:jc w:val="both"/>
        <w:rPr>
          <w:rFonts w:ascii="Times New Roman" w:eastAsia="Times New Roman"/>
          <w:color w:val="auto"/>
          <w:sz w:val="21"/>
        </w:rPr>
      </w:pPr>
      <w:r>
        <w:rPr>
          <w:color w:val="auto"/>
          <w:spacing w:val="-1"/>
          <w:sz w:val="24"/>
        </w:rPr>
        <w:t>联合体中标的，联合体各方应当共同与招标人签订合同，就中标项目向招</w:t>
      </w:r>
      <w:r>
        <w:rPr>
          <w:color w:val="auto"/>
          <w:sz w:val="24"/>
        </w:rPr>
        <w:t>标人承担连带责任。</w:t>
      </w:r>
    </w:p>
    <w:p>
      <w:pPr>
        <w:pStyle w:val="15"/>
        <w:numPr>
          <w:ilvl w:val="0"/>
          <w:numId w:val="14"/>
        </w:numPr>
        <w:tabs>
          <w:tab w:val="left" w:pos="638"/>
        </w:tabs>
        <w:spacing w:before="0" w:after="0" w:line="407" w:lineRule="exact"/>
        <w:ind w:left="637" w:right="0" w:hanging="243"/>
        <w:jc w:val="left"/>
        <w:rPr>
          <w:b/>
          <w:color w:val="auto"/>
          <w:sz w:val="32"/>
        </w:rPr>
      </w:pPr>
      <w:bookmarkStart w:id="33" w:name="8.纪律和监督"/>
      <w:bookmarkEnd w:id="33"/>
      <w:bookmarkStart w:id="34" w:name="8.纪律和监督"/>
      <w:bookmarkEnd w:id="34"/>
      <w:r>
        <w:rPr>
          <w:b/>
          <w:color w:val="auto"/>
          <w:sz w:val="32"/>
        </w:rPr>
        <w:t>纪律和监督</w:t>
      </w:r>
    </w:p>
    <w:p>
      <w:pPr>
        <w:pStyle w:val="4"/>
        <w:numPr>
          <w:ilvl w:val="1"/>
          <w:numId w:val="14"/>
        </w:numPr>
        <w:tabs>
          <w:tab w:val="left" w:pos="1030"/>
        </w:tabs>
        <w:spacing w:before="143" w:after="0" w:line="240" w:lineRule="auto"/>
        <w:ind w:left="1029" w:right="0" w:hanging="490"/>
        <w:jc w:val="left"/>
        <w:rPr>
          <w:rFonts w:ascii="Times New Roman" w:eastAsia="Times New Roman"/>
          <w:color w:val="auto"/>
        </w:rPr>
      </w:pPr>
      <w:r>
        <w:rPr>
          <w:color w:val="auto"/>
          <w:spacing w:val="-3"/>
        </w:rPr>
        <w:t>对招标人的纪律要求</w:t>
      </w:r>
    </w:p>
    <w:p>
      <w:pPr>
        <w:pStyle w:val="7"/>
        <w:spacing w:before="132"/>
        <w:ind w:left="816"/>
        <w:rPr>
          <w:color w:val="auto"/>
        </w:rPr>
      </w:pPr>
      <w:r>
        <w:rPr>
          <w:color w:val="auto"/>
        </w:rPr>
        <w:t>招标人不得泄露招标投标活动中应当保密的情况和资料，不得与投标人串通损</w:t>
      </w:r>
    </w:p>
    <w:p>
      <w:pPr>
        <w:spacing w:after="0"/>
        <w:rPr>
          <w:color w:val="auto"/>
        </w:rPr>
        <w:sectPr>
          <w:pgSz w:w="11910" w:h="16840"/>
          <w:pgMar w:top="1340" w:right="1020" w:bottom="900" w:left="1020" w:header="0" w:footer="640" w:gutter="0"/>
          <w:pgBorders>
            <w:top w:val="none" w:sz="0" w:space="0"/>
            <w:left w:val="none" w:sz="0" w:space="0"/>
            <w:bottom w:val="none" w:sz="0" w:space="0"/>
            <w:right w:val="none" w:sz="0" w:space="0"/>
          </w:pgBorders>
          <w:pgNumType w:fmt="decimal"/>
          <w:cols w:space="720" w:num="1"/>
        </w:sectPr>
      </w:pPr>
    </w:p>
    <w:p>
      <w:pPr>
        <w:pStyle w:val="7"/>
        <w:spacing w:before="41"/>
        <w:rPr>
          <w:color w:val="auto"/>
        </w:rPr>
      </w:pPr>
      <w:r>
        <w:rPr>
          <w:color w:val="auto"/>
        </w:rPr>
        <w:t>害国家利益、社会公共利益或者他人合法权益。</w:t>
      </w:r>
    </w:p>
    <w:p>
      <w:pPr>
        <w:pStyle w:val="4"/>
        <w:numPr>
          <w:ilvl w:val="1"/>
          <w:numId w:val="14"/>
        </w:numPr>
        <w:tabs>
          <w:tab w:val="left" w:pos="1028"/>
        </w:tabs>
        <w:spacing w:before="113" w:after="0" w:line="240" w:lineRule="auto"/>
        <w:ind w:left="1027" w:right="0" w:hanging="491"/>
        <w:jc w:val="left"/>
        <w:rPr>
          <w:rFonts w:ascii="Times New Roman" w:eastAsia="Times New Roman"/>
          <w:color w:val="auto"/>
        </w:rPr>
      </w:pPr>
      <w:r>
        <w:rPr>
          <w:color w:val="auto"/>
          <w:spacing w:val="-3"/>
        </w:rPr>
        <w:t>对投标人的纪律要求</w:t>
      </w:r>
    </w:p>
    <w:p>
      <w:pPr>
        <w:pStyle w:val="7"/>
        <w:spacing w:before="130"/>
        <w:ind w:left="816"/>
        <w:rPr>
          <w:color w:val="auto"/>
        </w:rPr>
      </w:pPr>
      <w:r>
        <w:rPr>
          <w:color w:val="auto"/>
        </w:rPr>
        <w:t>投标人不得相互串通投标或者与招标人串通投标，不得向招标人或者评标委员</w:t>
      </w:r>
    </w:p>
    <w:p>
      <w:pPr>
        <w:pStyle w:val="7"/>
        <w:spacing w:before="113" w:line="328" w:lineRule="auto"/>
        <w:ind w:right="335"/>
        <w:rPr>
          <w:color w:val="auto"/>
        </w:rPr>
      </w:pPr>
      <w:r>
        <w:rPr>
          <w:color w:val="auto"/>
        </w:rPr>
        <w:t>会成员行贿谋取中标，不得以他人名义投标或者以其他方式弄虚作假骗取中标；投标人不得以任何方式干扰、影响评标工作。</w:t>
      </w:r>
    </w:p>
    <w:p>
      <w:pPr>
        <w:pStyle w:val="4"/>
        <w:numPr>
          <w:ilvl w:val="1"/>
          <w:numId w:val="14"/>
        </w:numPr>
        <w:tabs>
          <w:tab w:val="left" w:pos="1028"/>
        </w:tabs>
        <w:spacing w:before="0" w:after="0" w:line="357" w:lineRule="exact"/>
        <w:ind w:left="1027" w:right="0" w:hanging="491"/>
        <w:jc w:val="left"/>
        <w:rPr>
          <w:rFonts w:ascii="Times New Roman" w:eastAsia="Times New Roman"/>
          <w:color w:val="auto"/>
        </w:rPr>
      </w:pPr>
      <w:r>
        <w:rPr>
          <w:color w:val="auto"/>
          <w:spacing w:val="-3"/>
        </w:rPr>
        <w:t>对评标委员会成员的纪律要求</w:t>
      </w:r>
    </w:p>
    <w:p>
      <w:pPr>
        <w:pStyle w:val="7"/>
        <w:spacing w:before="132"/>
        <w:ind w:left="816"/>
        <w:rPr>
          <w:color w:val="auto"/>
        </w:rPr>
      </w:pPr>
      <w:r>
        <w:rPr>
          <w:color w:val="auto"/>
        </w:rPr>
        <w:t>评标委员会成员不得收受他人的财物或者其他好处，不得向他人透露对投标文</w:t>
      </w:r>
    </w:p>
    <w:p>
      <w:pPr>
        <w:pStyle w:val="7"/>
        <w:spacing w:before="113" w:line="328" w:lineRule="auto"/>
        <w:ind w:right="392"/>
        <w:jc w:val="both"/>
        <w:rPr>
          <w:color w:val="auto"/>
        </w:rPr>
      </w:pPr>
      <w:r>
        <w:rPr>
          <w:color w:val="auto"/>
          <w:spacing w:val="-5"/>
        </w:rPr>
        <w:t>件的评审和比较、中标候选人的推荐情况以及评标有关的其他情况。在评标活动中，评</w:t>
      </w:r>
      <w:r>
        <w:rPr>
          <w:color w:val="auto"/>
          <w:spacing w:val="-6"/>
        </w:rPr>
        <w:t>标委员会成员应当客观、公正地履行职责，遵守职业道德，不得擅离职守，影响评标程</w:t>
      </w:r>
      <w:r>
        <w:rPr>
          <w:color w:val="auto"/>
        </w:rPr>
        <w:t>序正常进行，不得使用第三章</w:t>
      </w:r>
      <w:r>
        <w:rPr>
          <w:rFonts w:ascii="Times New Roman" w:hAnsi="Times New Roman" w:eastAsia="Times New Roman"/>
          <w:color w:val="auto"/>
        </w:rPr>
        <w:t>“</w:t>
      </w:r>
      <w:r>
        <w:rPr>
          <w:color w:val="auto"/>
        </w:rPr>
        <w:t>评标办法</w:t>
      </w:r>
      <w:r>
        <w:rPr>
          <w:rFonts w:ascii="Times New Roman" w:hAnsi="Times New Roman" w:eastAsia="Times New Roman"/>
          <w:color w:val="auto"/>
        </w:rPr>
        <w:t>”</w:t>
      </w:r>
      <w:r>
        <w:rPr>
          <w:color w:val="auto"/>
        </w:rPr>
        <w:t>没有规定的评审因素和标准进行评标。</w:t>
      </w:r>
    </w:p>
    <w:p>
      <w:pPr>
        <w:pStyle w:val="4"/>
        <w:numPr>
          <w:ilvl w:val="1"/>
          <w:numId w:val="14"/>
        </w:numPr>
        <w:tabs>
          <w:tab w:val="left" w:pos="1028"/>
        </w:tabs>
        <w:spacing w:before="0" w:after="0" w:line="356" w:lineRule="exact"/>
        <w:ind w:left="1027" w:right="0" w:hanging="491"/>
        <w:jc w:val="left"/>
        <w:rPr>
          <w:rFonts w:ascii="Times New Roman" w:eastAsia="Times New Roman"/>
          <w:color w:val="auto"/>
        </w:rPr>
      </w:pPr>
      <w:r>
        <w:rPr>
          <w:color w:val="auto"/>
          <w:spacing w:val="-3"/>
        </w:rPr>
        <w:t>对与评标活动有关的工作人员的纪律要求</w:t>
      </w:r>
    </w:p>
    <w:p>
      <w:pPr>
        <w:pStyle w:val="7"/>
        <w:spacing w:before="130"/>
        <w:ind w:left="816"/>
        <w:rPr>
          <w:color w:val="auto"/>
        </w:rPr>
      </w:pPr>
      <w:r>
        <w:rPr>
          <w:color w:val="auto"/>
        </w:rPr>
        <w:t>与评标活动有关的工作人员不得收受他人的财物或者其他好处，不得向他人透</w:t>
      </w:r>
    </w:p>
    <w:p>
      <w:pPr>
        <w:pStyle w:val="7"/>
        <w:spacing w:before="112" w:line="328" w:lineRule="auto"/>
        <w:ind w:right="335"/>
        <w:rPr>
          <w:color w:val="auto"/>
        </w:rPr>
      </w:pPr>
      <w:r>
        <w:rPr>
          <w:color w:val="auto"/>
        </w:rPr>
        <w:t>露对投标文件的评审和比较、中标候选人的推荐情况以及评标有关的其他情况。在评标活动中，与评标活动有关的工作人员不得擅离职守，影响评标程序正常进行。</w:t>
      </w:r>
    </w:p>
    <w:p>
      <w:pPr>
        <w:pStyle w:val="4"/>
        <w:numPr>
          <w:ilvl w:val="1"/>
          <w:numId w:val="14"/>
        </w:numPr>
        <w:tabs>
          <w:tab w:val="left" w:pos="1018"/>
        </w:tabs>
        <w:spacing w:before="0" w:after="0" w:line="357" w:lineRule="exact"/>
        <w:ind w:left="1017" w:right="0" w:hanging="486"/>
        <w:jc w:val="left"/>
        <w:rPr>
          <w:rFonts w:ascii="Times New Roman" w:eastAsia="Times New Roman"/>
          <w:color w:val="auto"/>
        </w:rPr>
      </w:pPr>
      <w:r>
        <w:rPr>
          <w:color w:val="auto"/>
        </w:rPr>
        <w:t>投诉</w:t>
      </w:r>
    </w:p>
    <w:p>
      <w:pPr>
        <w:pStyle w:val="15"/>
        <w:numPr>
          <w:ilvl w:val="2"/>
          <w:numId w:val="28"/>
        </w:numPr>
        <w:tabs>
          <w:tab w:val="left" w:pos="1344"/>
        </w:tabs>
        <w:spacing w:before="130" w:after="0" w:line="328" w:lineRule="auto"/>
        <w:ind w:left="395" w:right="360" w:firstLine="420"/>
        <w:jc w:val="both"/>
        <w:rPr>
          <w:rFonts w:ascii="Times New Roman" w:eastAsia="Times New Roman"/>
          <w:color w:val="auto"/>
          <w:sz w:val="24"/>
        </w:rPr>
      </w:pPr>
      <w:r>
        <w:rPr>
          <w:color w:val="auto"/>
          <w:spacing w:val="-1"/>
          <w:sz w:val="24"/>
        </w:rPr>
        <w:t xml:space="preserve">投标人或者其他利害关系人认为招标投标活动不符合法律、行政法规规定的， </w:t>
      </w:r>
      <w:r>
        <w:rPr>
          <w:color w:val="auto"/>
          <w:sz w:val="24"/>
        </w:rPr>
        <w:t xml:space="preserve">可以自知道或者应当知道之日起 </w:t>
      </w:r>
      <w:r>
        <w:rPr>
          <w:rFonts w:ascii="Times New Roman" w:eastAsia="Times New Roman"/>
          <w:color w:val="auto"/>
          <w:sz w:val="24"/>
        </w:rPr>
        <w:t xml:space="preserve">10 </w:t>
      </w:r>
      <w:r>
        <w:rPr>
          <w:color w:val="auto"/>
          <w:spacing w:val="-4"/>
          <w:sz w:val="24"/>
        </w:rPr>
        <w:t>日内向有关行政监督部门投诉。投诉应当有明确的请求和必要的证明材料。</w:t>
      </w:r>
    </w:p>
    <w:p>
      <w:pPr>
        <w:pStyle w:val="15"/>
        <w:numPr>
          <w:ilvl w:val="2"/>
          <w:numId w:val="28"/>
        </w:numPr>
        <w:tabs>
          <w:tab w:val="left" w:pos="1344"/>
        </w:tabs>
        <w:spacing w:before="0" w:after="0" w:line="328" w:lineRule="auto"/>
        <w:ind w:left="395" w:right="396" w:firstLine="420"/>
        <w:jc w:val="both"/>
        <w:rPr>
          <w:rFonts w:ascii="Times New Roman" w:eastAsia="Times New Roman"/>
          <w:color w:val="auto"/>
          <w:sz w:val="21"/>
        </w:rPr>
      </w:pPr>
      <w:r>
        <w:rPr>
          <w:color w:val="auto"/>
          <w:spacing w:val="-4"/>
          <w:sz w:val="24"/>
        </w:rPr>
        <w:t>投标人或者其他利害关系人对招标文件、开标和评标结果提出投诉的，应当按</w:t>
      </w:r>
      <w:r>
        <w:rPr>
          <w:color w:val="auto"/>
          <w:sz w:val="24"/>
        </w:rPr>
        <w:t xml:space="preserve">照投标人须知第 </w:t>
      </w:r>
      <w:r>
        <w:rPr>
          <w:rFonts w:ascii="Times New Roman" w:eastAsia="Times New Roman"/>
          <w:color w:val="auto"/>
          <w:sz w:val="24"/>
        </w:rPr>
        <w:t>2.4</w:t>
      </w:r>
      <w:r>
        <w:rPr>
          <w:rFonts w:ascii="Times New Roman" w:eastAsia="Times New Roman"/>
          <w:color w:val="auto"/>
          <w:spacing w:val="1"/>
          <w:sz w:val="24"/>
        </w:rPr>
        <w:t xml:space="preserve"> </w:t>
      </w:r>
      <w:r>
        <w:rPr>
          <w:color w:val="auto"/>
          <w:sz w:val="24"/>
        </w:rPr>
        <w:t xml:space="preserve">款、第 </w:t>
      </w:r>
      <w:r>
        <w:rPr>
          <w:rFonts w:ascii="Times New Roman" w:eastAsia="Times New Roman"/>
          <w:color w:val="auto"/>
          <w:sz w:val="24"/>
        </w:rPr>
        <w:t>5.3</w:t>
      </w:r>
      <w:r>
        <w:rPr>
          <w:rFonts w:ascii="Times New Roman" w:eastAsia="Times New Roman"/>
          <w:color w:val="auto"/>
          <w:spacing w:val="1"/>
          <w:sz w:val="24"/>
        </w:rPr>
        <w:t xml:space="preserve"> </w:t>
      </w:r>
      <w:r>
        <w:rPr>
          <w:color w:val="auto"/>
          <w:sz w:val="24"/>
        </w:rPr>
        <w:t xml:space="preserve">款和第 </w:t>
      </w:r>
      <w:r>
        <w:rPr>
          <w:rFonts w:ascii="Times New Roman" w:eastAsia="Times New Roman"/>
          <w:color w:val="auto"/>
          <w:sz w:val="24"/>
        </w:rPr>
        <w:t>7.2</w:t>
      </w:r>
      <w:r>
        <w:rPr>
          <w:rFonts w:ascii="Times New Roman" w:eastAsia="Times New Roman"/>
          <w:color w:val="auto"/>
          <w:spacing w:val="1"/>
          <w:sz w:val="24"/>
        </w:rPr>
        <w:t xml:space="preserve"> </w:t>
      </w:r>
      <w:r>
        <w:rPr>
          <w:color w:val="auto"/>
          <w:spacing w:val="-1"/>
          <w:sz w:val="24"/>
        </w:rPr>
        <w:t>款的规定先向招标人提出异议。异议答复</w:t>
      </w:r>
      <w:r>
        <w:rPr>
          <w:color w:val="auto"/>
          <w:sz w:val="24"/>
        </w:rPr>
        <w:t xml:space="preserve">期间不计算在第 </w:t>
      </w:r>
      <w:r>
        <w:rPr>
          <w:rFonts w:ascii="Times New Roman" w:eastAsia="Times New Roman"/>
          <w:color w:val="auto"/>
          <w:sz w:val="24"/>
        </w:rPr>
        <w:t xml:space="preserve">8.5.1 </w:t>
      </w:r>
      <w:r>
        <w:rPr>
          <w:color w:val="auto"/>
          <w:sz w:val="24"/>
        </w:rPr>
        <w:t>项规定的期限内。</w:t>
      </w:r>
    </w:p>
    <w:p>
      <w:pPr>
        <w:pStyle w:val="15"/>
        <w:numPr>
          <w:ilvl w:val="0"/>
          <w:numId w:val="14"/>
        </w:numPr>
        <w:tabs>
          <w:tab w:val="left" w:pos="797"/>
        </w:tabs>
        <w:spacing w:before="0" w:after="0" w:line="408" w:lineRule="exact"/>
        <w:ind w:left="796" w:right="0" w:hanging="402"/>
        <w:jc w:val="left"/>
        <w:rPr>
          <w:b/>
          <w:color w:val="auto"/>
          <w:sz w:val="32"/>
        </w:rPr>
      </w:pPr>
      <w:bookmarkStart w:id="35" w:name="9. 是否采用电子招标投标"/>
      <w:bookmarkEnd w:id="35"/>
      <w:bookmarkStart w:id="36" w:name="9. 是否采用电子招标投标"/>
      <w:bookmarkEnd w:id="36"/>
      <w:r>
        <w:rPr>
          <w:b/>
          <w:color w:val="auto"/>
          <w:sz w:val="32"/>
        </w:rPr>
        <w:t>是否采用电子招标投标</w:t>
      </w:r>
    </w:p>
    <w:p>
      <w:pPr>
        <w:pStyle w:val="7"/>
        <w:spacing w:before="147"/>
        <w:ind w:left="816"/>
        <w:rPr>
          <w:color w:val="auto"/>
        </w:rPr>
      </w:pPr>
      <w:r>
        <w:rPr>
          <w:color w:val="auto"/>
        </w:rPr>
        <w:t>本招标项目是否采用电子招标投标方式，见投标人须知前附表。</w:t>
      </w:r>
    </w:p>
    <w:p>
      <w:pPr>
        <w:pStyle w:val="15"/>
        <w:numPr>
          <w:ilvl w:val="0"/>
          <w:numId w:val="14"/>
        </w:numPr>
        <w:tabs>
          <w:tab w:val="left" w:pos="958"/>
        </w:tabs>
        <w:spacing w:before="114" w:after="0" w:line="240" w:lineRule="auto"/>
        <w:ind w:left="957" w:right="0" w:hanging="563"/>
        <w:jc w:val="left"/>
        <w:rPr>
          <w:b/>
          <w:color w:val="auto"/>
          <w:sz w:val="32"/>
        </w:rPr>
      </w:pPr>
      <w:bookmarkStart w:id="37" w:name="10. 需要补充的其他内容"/>
      <w:bookmarkEnd w:id="37"/>
      <w:bookmarkStart w:id="38" w:name="10. 需要补充的其他内容"/>
      <w:bookmarkEnd w:id="38"/>
      <w:r>
        <w:rPr>
          <w:b/>
          <w:color w:val="auto"/>
          <w:sz w:val="32"/>
        </w:rPr>
        <w:t>需要补充的其他内容</w:t>
      </w:r>
    </w:p>
    <w:p>
      <w:pPr>
        <w:pStyle w:val="7"/>
        <w:spacing w:before="150"/>
        <w:ind w:left="816"/>
        <w:rPr>
          <w:color w:val="auto"/>
        </w:rPr>
      </w:pPr>
      <w:r>
        <w:rPr>
          <w:color w:val="auto"/>
        </w:rPr>
        <w:t>需要补充的其他内容：见投标人须知前附表。</w:t>
      </w:r>
    </w:p>
    <w:p>
      <w:pPr>
        <w:spacing w:after="0"/>
        <w:rPr>
          <w:color w:val="auto"/>
        </w:rPr>
        <w:sectPr>
          <w:pgSz w:w="11910" w:h="16840"/>
          <w:pgMar w:top="1360" w:right="1020" w:bottom="900" w:left="1020" w:header="0" w:footer="640" w:gutter="0"/>
          <w:pgBorders>
            <w:top w:val="none" w:sz="0" w:space="0"/>
            <w:left w:val="none" w:sz="0" w:space="0"/>
            <w:bottom w:val="none" w:sz="0" w:space="0"/>
            <w:right w:val="none" w:sz="0" w:space="0"/>
          </w:pgBorders>
          <w:pgNumType w:fmt="decimal"/>
          <w:cols w:space="720" w:num="1"/>
        </w:sectPr>
      </w:pPr>
    </w:p>
    <w:p>
      <w:pPr>
        <w:spacing w:before="21"/>
        <w:ind w:left="3" w:right="0" w:firstLine="0"/>
        <w:jc w:val="center"/>
        <w:rPr>
          <w:b/>
          <w:color w:val="auto"/>
          <w:sz w:val="36"/>
        </w:rPr>
      </w:pPr>
      <w:bookmarkStart w:id="39" w:name="_TOC_250003"/>
      <w:bookmarkEnd w:id="39"/>
      <w:r>
        <w:rPr>
          <w:b/>
          <w:color w:val="auto"/>
          <w:sz w:val="36"/>
        </w:rPr>
        <w:t>第三章 评标办法(综合评估法)</w:t>
      </w:r>
    </w:p>
    <w:p>
      <w:pPr>
        <w:pStyle w:val="7"/>
        <w:spacing w:before="11"/>
        <w:ind w:left="0"/>
        <w:rPr>
          <w:b/>
          <w:color w:val="auto"/>
          <w:sz w:val="15"/>
        </w:rPr>
      </w:pPr>
    </w:p>
    <w:p>
      <w:pPr>
        <w:spacing w:before="61" w:after="4"/>
        <w:ind w:left="395" w:right="0" w:firstLine="0"/>
        <w:jc w:val="left"/>
        <w:rPr>
          <w:b/>
          <w:color w:val="auto"/>
          <w:sz w:val="28"/>
        </w:rPr>
      </w:pPr>
      <w:r>
        <w:rPr>
          <w:b/>
          <w:color w:val="auto"/>
          <w:sz w:val="28"/>
        </w:rPr>
        <w:t>评标办法前附表</w:t>
      </w:r>
    </w:p>
    <w:tbl>
      <w:tblPr>
        <w:tblStyle w:val="12"/>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9"/>
        <w:gridCol w:w="1031"/>
        <w:gridCol w:w="2006"/>
        <w:gridCol w:w="5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80" w:type="dxa"/>
            <w:gridSpan w:val="2"/>
          </w:tcPr>
          <w:p>
            <w:pPr>
              <w:pStyle w:val="16"/>
              <w:spacing w:before="182"/>
              <w:ind w:left="681"/>
              <w:rPr>
                <w:b/>
                <w:color w:val="auto"/>
                <w:sz w:val="24"/>
              </w:rPr>
            </w:pPr>
            <w:r>
              <w:rPr>
                <w:b/>
                <w:color w:val="auto"/>
                <w:sz w:val="24"/>
              </w:rPr>
              <w:t>条款号</w:t>
            </w:r>
          </w:p>
        </w:tc>
        <w:tc>
          <w:tcPr>
            <w:tcW w:w="2006" w:type="dxa"/>
          </w:tcPr>
          <w:p>
            <w:pPr>
              <w:pStyle w:val="16"/>
              <w:spacing w:before="182"/>
              <w:ind w:left="544"/>
              <w:rPr>
                <w:b/>
                <w:color w:val="auto"/>
                <w:sz w:val="24"/>
              </w:rPr>
            </w:pPr>
            <w:r>
              <w:rPr>
                <w:b/>
                <w:color w:val="auto"/>
                <w:sz w:val="24"/>
              </w:rPr>
              <w:t>评审因素</w:t>
            </w:r>
          </w:p>
        </w:tc>
        <w:tc>
          <w:tcPr>
            <w:tcW w:w="5890" w:type="dxa"/>
          </w:tcPr>
          <w:p>
            <w:pPr>
              <w:pStyle w:val="16"/>
              <w:spacing w:before="182"/>
              <w:ind w:left="2163" w:right="2153"/>
              <w:jc w:val="center"/>
              <w:rPr>
                <w:b/>
                <w:color w:val="auto"/>
                <w:sz w:val="24"/>
              </w:rPr>
            </w:pPr>
            <w:r>
              <w:rPr>
                <w:b/>
                <w:color w:val="auto"/>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649" w:type="dxa"/>
          </w:tcPr>
          <w:p>
            <w:pPr>
              <w:pStyle w:val="16"/>
              <w:rPr>
                <w:b/>
                <w:color w:val="auto"/>
                <w:sz w:val="24"/>
              </w:rPr>
            </w:pPr>
          </w:p>
          <w:p>
            <w:pPr>
              <w:pStyle w:val="16"/>
              <w:rPr>
                <w:b/>
                <w:color w:val="auto"/>
                <w:sz w:val="24"/>
              </w:rPr>
            </w:pPr>
          </w:p>
          <w:p>
            <w:pPr>
              <w:pStyle w:val="16"/>
              <w:rPr>
                <w:b/>
                <w:color w:val="auto"/>
                <w:sz w:val="24"/>
              </w:rPr>
            </w:pPr>
          </w:p>
          <w:p>
            <w:pPr>
              <w:pStyle w:val="16"/>
              <w:spacing w:before="2"/>
              <w:rPr>
                <w:b/>
                <w:color w:val="auto"/>
                <w:sz w:val="18"/>
              </w:rPr>
            </w:pPr>
          </w:p>
          <w:p>
            <w:pPr>
              <w:pStyle w:val="16"/>
              <w:ind w:left="6"/>
              <w:jc w:val="center"/>
              <w:rPr>
                <w:color w:val="auto"/>
                <w:sz w:val="24"/>
              </w:rPr>
            </w:pPr>
            <w:r>
              <w:rPr>
                <w:color w:val="auto"/>
                <w:w w:val="92"/>
                <w:sz w:val="24"/>
              </w:rPr>
              <w:t>1</w:t>
            </w:r>
          </w:p>
        </w:tc>
        <w:tc>
          <w:tcPr>
            <w:tcW w:w="1031" w:type="dxa"/>
          </w:tcPr>
          <w:p>
            <w:pPr>
              <w:pStyle w:val="16"/>
              <w:rPr>
                <w:b/>
                <w:color w:val="auto"/>
                <w:sz w:val="24"/>
              </w:rPr>
            </w:pPr>
          </w:p>
          <w:p>
            <w:pPr>
              <w:pStyle w:val="16"/>
              <w:rPr>
                <w:b/>
                <w:color w:val="auto"/>
                <w:sz w:val="24"/>
              </w:rPr>
            </w:pPr>
          </w:p>
          <w:p>
            <w:pPr>
              <w:pStyle w:val="16"/>
              <w:rPr>
                <w:b/>
                <w:color w:val="auto"/>
                <w:sz w:val="24"/>
              </w:rPr>
            </w:pPr>
          </w:p>
          <w:p>
            <w:pPr>
              <w:pStyle w:val="16"/>
              <w:spacing w:before="2"/>
              <w:rPr>
                <w:b/>
                <w:color w:val="auto"/>
                <w:sz w:val="18"/>
              </w:rPr>
            </w:pPr>
          </w:p>
          <w:p>
            <w:pPr>
              <w:pStyle w:val="16"/>
              <w:ind w:left="140"/>
              <w:rPr>
                <w:color w:val="auto"/>
                <w:sz w:val="24"/>
              </w:rPr>
            </w:pPr>
            <w:r>
              <w:rPr>
                <w:color w:val="auto"/>
                <w:sz w:val="24"/>
              </w:rPr>
              <w:t>评标方法</w:t>
            </w:r>
          </w:p>
        </w:tc>
        <w:tc>
          <w:tcPr>
            <w:tcW w:w="2006" w:type="dxa"/>
          </w:tcPr>
          <w:p>
            <w:pPr>
              <w:pStyle w:val="16"/>
              <w:rPr>
                <w:b/>
                <w:color w:val="auto"/>
                <w:sz w:val="24"/>
              </w:rPr>
            </w:pPr>
          </w:p>
          <w:p>
            <w:pPr>
              <w:pStyle w:val="16"/>
              <w:rPr>
                <w:b/>
                <w:color w:val="auto"/>
                <w:sz w:val="24"/>
              </w:rPr>
            </w:pPr>
          </w:p>
          <w:p>
            <w:pPr>
              <w:pStyle w:val="16"/>
              <w:spacing w:before="8"/>
              <w:rPr>
                <w:b/>
                <w:color w:val="auto"/>
                <w:sz w:val="26"/>
              </w:rPr>
            </w:pPr>
          </w:p>
          <w:p>
            <w:pPr>
              <w:pStyle w:val="16"/>
              <w:spacing w:line="312" w:lineRule="auto"/>
              <w:ind w:left="107" w:right="97"/>
              <w:rPr>
                <w:color w:val="auto"/>
                <w:sz w:val="24"/>
              </w:rPr>
            </w:pPr>
            <w:r>
              <w:rPr>
                <w:color w:val="auto"/>
                <w:sz w:val="24"/>
              </w:rPr>
              <w:t>中标候选人排序方法</w:t>
            </w:r>
          </w:p>
        </w:tc>
        <w:tc>
          <w:tcPr>
            <w:tcW w:w="5890" w:type="dxa"/>
          </w:tcPr>
          <w:p>
            <w:pPr>
              <w:pStyle w:val="16"/>
              <w:spacing w:before="155" w:line="312" w:lineRule="auto"/>
              <w:ind w:left="106" w:right="276"/>
              <w:jc w:val="both"/>
              <w:rPr>
                <w:color w:val="auto"/>
                <w:sz w:val="24"/>
              </w:rPr>
            </w:pPr>
            <w:r>
              <w:rPr>
                <w:color w:val="auto"/>
                <w:sz w:val="24"/>
              </w:rPr>
              <w:t>综合评分相等时，以投标报价低的优先；投标报价也相等的，以监理大纲得分高的优先；如果监理大纲得分也相等，则资信业绩得分高者排序靠前；如出现综合评分、投标报价、监理大纲得分和资信业绩得分相同，则由评标委员会采用记名投票方式选出有排序的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49" w:type="dxa"/>
            <w:vMerge w:val="restart"/>
          </w:tcPr>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r>
              <w:rPr>
                <w:rFonts w:hint="eastAsia" w:cs="宋体"/>
                <w:color w:val="auto"/>
                <w:sz w:val="24"/>
                <w:szCs w:val="22"/>
                <w:lang w:val="en-US" w:eastAsia="zh-CN" w:bidi="zh-CN"/>
              </w:rPr>
              <w:t>2.1.1</w:t>
            </w:r>
          </w:p>
        </w:tc>
        <w:tc>
          <w:tcPr>
            <w:tcW w:w="1031" w:type="dxa"/>
            <w:vMerge w:val="restart"/>
            <w:vAlign w:val="center"/>
          </w:tcPr>
          <w:p>
            <w:pPr>
              <w:pStyle w:val="16"/>
              <w:spacing w:before="158" w:line="312" w:lineRule="auto"/>
              <w:ind w:right="129"/>
              <w:jc w:val="center"/>
              <w:rPr>
                <w:color w:val="auto"/>
                <w:sz w:val="24"/>
              </w:rPr>
            </w:pPr>
            <w:r>
              <w:rPr>
                <w:color w:val="auto"/>
                <w:sz w:val="24"/>
              </w:rPr>
              <w:t>形式评审标准</w:t>
            </w:r>
          </w:p>
        </w:tc>
        <w:tc>
          <w:tcPr>
            <w:tcW w:w="2006" w:type="dxa"/>
          </w:tcPr>
          <w:p>
            <w:pPr>
              <w:pStyle w:val="16"/>
              <w:spacing w:before="158"/>
              <w:ind w:left="107"/>
              <w:rPr>
                <w:color w:val="auto"/>
                <w:sz w:val="24"/>
              </w:rPr>
            </w:pPr>
            <w:r>
              <w:rPr>
                <w:color w:val="auto"/>
                <w:sz w:val="24"/>
              </w:rPr>
              <w:t>投标人名称</w:t>
            </w:r>
          </w:p>
        </w:tc>
        <w:tc>
          <w:tcPr>
            <w:tcW w:w="5890" w:type="dxa"/>
          </w:tcPr>
          <w:p>
            <w:pPr>
              <w:pStyle w:val="16"/>
              <w:spacing w:before="158"/>
              <w:ind w:left="106"/>
              <w:rPr>
                <w:color w:val="auto"/>
                <w:sz w:val="24"/>
              </w:rPr>
            </w:pPr>
            <w:r>
              <w:rPr>
                <w:color w:val="auto"/>
                <w:sz w:val="24"/>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649" w:type="dxa"/>
            <w:vMerge w:val="continue"/>
            <w:tcBorders>
              <w:top w:val="nil"/>
            </w:tcBorders>
          </w:tcPr>
          <w:p>
            <w:pPr>
              <w:spacing w:line="420" w:lineRule="exact"/>
              <w:jc w:val="center"/>
              <w:rPr>
                <w:rFonts w:hint="eastAsia" w:cs="宋体"/>
                <w:color w:val="auto"/>
                <w:sz w:val="24"/>
                <w:szCs w:val="22"/>
                <w:lang w:val="en-US" w:eastAsia="zh-CN" w:bidi="zh-CN"/>
              </w:rPr>
            </w:pPr>
          </w:p>
        </w:tc>
        <w:tc>
          <w:tcPr>
            <w:tcW w:w="1031" w:type="dxa"/>
            <w:vMerge w:val="continue"/>
            <w:tcBorders>
              <w:top w:val="nil"/>
            </w:tcBorders>
            <w:vAlign w:val="center"/>
          </w:tcPr>
          <w:p>
            <w:pPr>
              <w:jc w:val="center"/>
              <w:rPr>
                <w:rFonts w:ascii="宋体" w:hAnsi="宋体" w:eastAsia="宋体" w:cs="宋体"/>
                <w:color w:val="auto"/>
                <w:sz w:val="24"/>
                <w:szCs w:val="22"/>
                <w:lang w:val="zh-CN" w:eastAsia="zh-CN" w:bidi="zh-CN"/>
              </w:rPr>
            </w:pPr>
          </w:p>
        </w:tc>
        <w:tc>
          <w:tcPr>
            <w:tcW w:w="2006" w:type="dxa"/>
          </w:tcPr>
          <w:p>
            <w:pPr>
              <w:pStyle w:val="16"/>
              <w:rPr>
                <w:b/>
                <w:color w:val="auto"/>
                <w:sz w:val="24"/>
              </w:rPr>
            </w:pPr>
          </w:p>
          <w:p>
            <w:pPr>
              <w:pStyle w:val="16"/>
              <w:spacing w:before="3"/>
              <w:rPr>
                <w:b/>
                <w:color w:val="auto"/>
                <w:sz w:val="24"/>
              </w:rPr>
            </w:pPr>
          </w:p>
          <w:p>
            <w:pPr>
              <w:pStyle w:val="16"/>
              <w:spacing w:line="312" w:lineRule="auto"/>
              <w:ind w:left="107" w:right="97"/>
              <w:rPr>
                <w:color w:val="auto"/>
                <w:sz w:val="24"/>
              </w:rPr>
            </w:pPr>
            <w:r>
              <w:rPr>
                <w:color w:val="auto"/>
                <w:sz w:val="24"/>
              </w:rPr>
              <w:t>投标文件签字盖章</w:t>
            </w:r>
          </w:p>
        </w:tc>
        <w:tc>
          <w:tcPr>
            <w:tcW w:w="5890" w:type="dxa"/>
          </w:tcPr>
          <w:p>
            <w:pPr>
              <w:pStyle w:val="16"/>
              <w:spacing w:before="12"/>
              <w:rPr>
                <w:b/>
                <w:color w:val="auto"/>
                <w:sz w:val="16"/>
              </w:rPr>
            </w:pPr>
          </w:p>
          <w:p>
            <w:pPr>
              <w:pStyle w:val="16"/>
              <w:spacing w:line="312" w:lineRule="auto"/>
              <w:ind w:left="106" w:right="48"/>
              <w:jc w:val="both"/>
              <w:rPr>
                <w:color w:val="auto"/>
                <w:sz w:val="24"/>
              </w:rPr>
            </w:pPr>
            <w:r>
              <w:rPr>
                <w:color w:val="auto"/>
                <w:sz w:val="24"/>
              </w:rPr>
              <w:t>有法定代表人或其委托代理人签字或加盖单位章。由法定代表人签字的，应附法定代表人身份证明， 由代理人签字的，应附授权委托书，身份证明或授权委托书应符合第六章“投标文件格式”的规定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9" w:type="dxa"/>
            <w:vMerge w:val="continue"/>
            <w:tcBorders>
              <w:top w:val="nil"/>
            </w:tcBorders>
          </w:tcPr>
          <w:p>
            <w:pPr>
              <w:spacing w:line="420" w:lineRule="exact"/>
              <w:jc w:val="center"/>
              <w:rPr>
                <w:rFonts w:hint="eastAsia" w:cs="宋体"/>
                <w:color w:val="auto"/>
                <w:sz w:val="24"/>
                <w:szCs w:val="22"/>
                <w:lang w:val="en-US" w:eastAsia="zh-CN" w:bidi="zh-CN"/>
              </w:rPr>
            </w:pPr>
          </w:p>
        </w:tc>
        <w:tc>
          <w:tcPr>
            <w:tcW w:w="1031" w:type="dxa"/>
            <w:vMerge w:val="continue"/>
            <w:tcBorders>
              <w:top w:val="nil"/>
            </w:tcBorders>
            <w:vAlign w:val="center"/>
          </w:tcPr>
          <w:p>
            <w:pPr>
              <w:jc w:val="center"/>
              <w:rPr>
                <w:rFonts w:ascii="宋体" w:hAnsi="宋体" w:eastAsia="宋体" w:cs="宋体"/>
                <w:color w:val="auto"/>
                <w:sz w:val="24"/>
                <w:szCs w:val="22"/>
                <w:lang w:val="zh-CN" w:eastAsia="zh-CN" w:bidi="zh-CN"/>
              </w:rPr>
            </w:pPr>
          </w:p>
        </w:tc>
        <w:tc>
          <w:tcPr>
            <w:tcW w:w="2006" w:type="dxa"/>
          </w:tcPr>
          <w:p>
            <w:pPr>
              <w:pStyle w:val="16"/>
              <w:spacing w:before="204"/>
              <w:ind w:left="107"/>
              <w:rPr>
                <w:color w:val="auto"/>
                <w:sz w:val="24"/>
              </w:rPr>
            </w:pPr>
            <w:r>
              <w:rPr>
                <w:color w:val="auto"/>
                <w:sz w:val="24"/>
              </w:rPr>
              <w:t>投标文件格式</w:t>
            </w:r>
          </w:p>
        </w:tc>
        <w:tc>
          <w:tcPr>
            <w:tcW w:w="5890" w:type="dxa"/>
          </w:tcPr>
          <w:p>
            <w:pPr>
              <w:pStyle w:val="16"/>
              <w:spacing w:before="204"/>
              <w:ind w:left="106"/>
              <w:rPr>
                <w:color w:val="auto"/>
                <w:sz w:val="24"/>
              </w:rPr>
            </w:pPr>
            <w:r>
              <w:rPr>
                <w:color w:val="auto"/>
                <w:sz w:val="24"/>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49" w:type="dxa"/>
            <w:vMerge w:val="continue"/>
            <w:tcBorders>
              <w:top w:val="nil"/>
            </w:tcBorders>
          </w:tcPr>
          <w:p>
            <w:pPr>
              <w:spacing w:line="420" w:lineRule="exact"/>
              <w:jc w:val="center"/>
              <w:rPr>
                <w:rFonts w:hint="eastAsia" w:cs="宋体"/>
                <w:color w:val="auto"/>
                <w:sz w:val="24"/>
                <w:szCs w:val="22"/>
                <w:lang w:val="en-US" w:eastAsia="zh-CN" w:bidi="zh-CN"/>
              </w:rPr>
            </w:pPr>
          </w:p>
        </w:tc>
        <w:tc>
          <w:tcPr>
            <w:tcW w:w="1031" w:type="dxa"/>
            <w:vMerge w:val="continue"/>
            <w:tcBorders>
              <w:top w:val="nil"/>
            </w:tcBorders>
            <w:vAlign w:val="center"/>
          </w:tcPr>
          <w:p>
            <w:pPr>
              <w:jc w:val="center"/>
              <w:rPr>
                <w:rFonts w:ascii="宋体" w:hAnsi="宋体" w:eastAsia="宋体" w:cs="宋体"/>
                <w:color w:val="auto"/>
                <w:sz w:val="24"/>
                <w:szCs w:val="22"/>
                <w:lang w:val="zh-CN" w:eastAsia="zh-CN" w:bidi="zh-CN"/>
              </w:rPr>
            </w:pPr>
          </w:p>
        </w:tc>
        <w:tc>
          <w:tcPr>
            <w:tcW w:w="2006" w:type="dxa"/>
          </w:tcPr>
          <w:p>
            <w:pPr>
              <w:pStyle w:val="16"/>
              <w:spacing w:line="400" w:lineRule="exact"/>
              <w:ind w:left="107" w:right="6"/>
              <w:rPr>
                <w:color w:val="auto"/>
                <w:sz w:val="24"/>
              </w:rPr>
            </w:pPr>
            <w:r>
              <w:rPr>
                <w:color w:val="auto"/>
                <w:sz w:val="24"/>
              </w:rPr>
              <w:t>投标文件的正本、副本数量</w:t>
            </w:r>
          </w:p>
        </w:tc>
        <w:tc>
          <w:tcPr>
            <w:tcW w:w="5890" w:type="dxa"/>
          </w:tcPr>
          <w:p>
            <w:pPr>
              <w:pStyle w:val="16"/>
              <w:spacing w:before="10"/>
              <w:rPr>
                <w:b/>
                <w:color w:val="auto"/>
                <w:sz w:val="21"/>
              </w:rPr>
            </w:pPr>
          </w:p>
          <w:p>
            <w:pPr>
              <w:pStyle w:val="16"/>
              <w:spacing w:before="1"/>
              <w:ind w:left="106"/>
              <w:rPr>
                <w:color w:val="auto"/>
                <w:sz w:val="24"/>
              </w:rPr>
            </w:pPr>
            <w:r>
              <w:rPr>
                <w:color w:val="auto"/>
                <w:sz w:val="24"/>
              </w:rPr>
              <w:t>符合第二章“投标人须知”第 3.7.3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49" w:type="dxa"/>
            <w:vMerge w:val="continue"/>
            <w:tcBorders>
              <w:top w:val="nil"/>
            </w:tcBorders>
          </w:tcPr>
          <w:p>
            <w:pPr>
              <w:spacing w:line="420" w:lineRule="exact"/>
              <w:jc w:val="center"/>
              <w:rPr>
                <w:rFonts w:hint="eastAsia" w:cs="宋体"/>
                <w:color w:val="auto"/>
                <w:sz w:val="24"/>
                <w:szCs w:val="22"/>
                <w:lang w:val="en-US" w:eastAsia="zh-CN" w:bidi="zh-CN"/>
              </w:rPr>
            </w:pPr>
          </w:p>
        </w:tc>
        <w:tc>
          <w:tcPr>
            <w:tcW w:w="1031" w:type="dxa"/>
            <w:vMerge w:val="continue"/>
            <w:tcBorders>
              <w:top w:val="nil"/>
            </w:tcBorders>
            <w:vAlign w:val="center"/>
          </w:tcPr>
          <w:p>
            <w:pPr>
              <w:jc w:val="center"/>
              <w:rPr>
                <w:rFonts w:ascii="宋体" w:hAnsi="宋体" w:eastAsia="宋体" w:cs="宋体"/>
                <w:color w:val="auto"/>
                <w:sz w:val="24"/>
                <w:szCs w:val="22"/>
                <w:lang w:val="zh-CN" w:eastAsia="zh-CN" w:bidi="zh-CN"/>
              </w:rPr>
            </w:pPr>
          </w:p>
        </w:tc>
        <w:tc>
          <w:tcPr>
            <w:tcW w:w="2006" w:type="dxa"/>
          </w:tcPr>
          <w:p>
            <w:pPr>
              <w:pStyle w:val="16"/>
              <w:spacing w:before="8"/>
              <w:rPr>
                <w:b/>
                <w:color w:val="auto"/>
                <w:sz w:val="22"/>
              </w:rPr>
            </w:pPr>
          </w:p>
          <w:p>
            <w:pPr>
              <w:pStyle w:val="16"/>
              <w:spacing w:before="1"/>
              <w:ind w:left="107"/>
              <w:rPr>
                <w:color w:val="auto"/>
                <w:sz w:val="24"/>
              </w:rPr>
            </w:pPr>
            <w:r>
              <w:rPr>
                <w:color w:val="auto"/>
                <w:sz w:val="24"/>
              </w:rPr>
              <w:t>备选投标方案</w:t>
            </w:r>
          </w:p>
        </w:tc>
        <w:tc>
          <w:tcPr>
            <w:tcW w:w="5890" w:type="dxa"/>
          </w:tcPr>
          <w:p>
            <w:pPr>
              <w:pStyle w:val="16"/>
              <w:spacing w:before="9" w:line="400" w:lineRule="exact"/>
              <w:ind w:left="106" w:right="91"/>
              <w:rPr>
                <w:color w:val="auto"/>
                <w:sz w:val="24"/>
              </w:rPr>
            </w:pPr>
            <w:r>
              <w:rPr>
                <w:b w:val="0"/>
                <w:bCs w:val="0"/>
                <w:color w:val="auto"/>
                <w:sz w:val="24"/>
              </w:rPr>
              <w:t>除招标文件明确允许提交备选投标方案外，投标人</w:t>
            </w:r>
            <w:r>
              <w:rPr>
                <w:color w:val="auto"/>
                <w:sz w:val="24"/>
              </w:rPr>
              <w:t>不得提交备选投标方</w:t>
            </w:r>
            <w:r>
              <w:rPr>
                <w:b w:val="0"/>
                <w:bCs w:val="0"/>
                <w:color w:val="auto"/>
                <w:sz w:val="24"/>
              </w:rPr>
              <w:t>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9" w:type="dxa"/>
            <w:vMerge w:val="continue"/>
            <w:tcBorders>
              <w:top w:val="nil"/>
            </w:tcBorders>
          </w:tcPr>
          <w:p>
            <w:pPr>
              <w:spacing w:line="420" w:lineRule="exact"/>
              <w:jc w:val="center"/>
              <w:rPr>
                <w:rFonts w:hint="eastAsia" w:cs="宋体"/>
                <w:color w:val="auto"/>
                <w:sz w:val="24"/>
                <w:szCs w:val="22"/>
                <w:lang w:val="en-US" w:eastAsia="zh-CN" w:bidi="zh-CN"/>
              </w:rPr>
            </w:pPr>
          </w:p>
        </w:tc>
        <w:tc>
          <w:tcPr>
            <w:tcW w:w="1031" w:type="dxa"/>
            <w:vMerge w:val="continue"/>
            <w:tcBorders>
              <w:top w:val="nil"/>
            </w:tcBorders>
            <w:vAlign w:val="center"/>
          </w:tcPr>
          <w:p>
            <w:pPr>
              <w:jc w:val="center"/>
              <w:rPr>
                <w:rFonts w:ascii="宋体" w:hAnsi="宋体" w:eastAsia="宋体" w:cs="宋体"/>
                <w:color w:val="auto"/>
                <w:sz w:val="24"/>
                <w:szCs w:val="22"/>
                <w:lang w:val="zh-CN" w:eastAsia="zh-CN" w:bidi="zh-CN"/>
              </w:rPr>
            </w:pPr>
          </w:p>
        </w:tc>
        <w:tc>
          <w:tcPr>
            <w:tcW w:w="2006" w:type="dxa"/>
          </w:tcPr>
          <w:p>
            <w:pPr>
              <w:pStyle w:val="16"/>
              <w:spacing w:before="160"/>
              <w:ind w:left="107"/>
              <w:rPr>
                <w:color w:val="auto"/>
                <w:sz w:val="24"/>
              </w:rPr>
            </w:pPr>
            <w:r>
              <w:rPr>
                <w:color w:val="auto"/>
                <w:sz w:val="24"/>
              </w:rPr>
              <w:t>投标报价</w:t>
            </w:r>
          </w:p>
        </w:tc>
        <w:tc>
          <w:tcPr>
            <w:tcW w:w="5890" w:type="dxa"/>
          </w:tcPr>
          <w:p>
            <w:pPr>
              <w:pStyle w:val="16"/>
              <w:spacing w:before="160"/>
              <w:ind w:left="106"/>
              <w:rPr>
                <w:color w:val="auto"/>
                <w:sz w:val="24"/>
              </w:rPr>
            </w:pPr>
            <w:r>
              <w:rPr>
                <w:color w:val="auto"/>
                <w:sz w:val="24"/>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49" w:type="dxa"/>
            <w:vMerge w:val="continue"/>
            <w:tcBorders>
              <w:top w:val="nil"/>
            </w:tcBorders>
          </w:tcPr>
          <w:p>
            <w:pPr>
              <w:spacing w:line="420" w:lineRule="exact"/>
              <w:jc w:val="center"/>
              <w:rPr>
                <w:rFonts w:hint="eastAsia" w:cs="宋体"/>
                <w:color w:val="auto"/>
                <w:sz w:val="24"/>
                <w:szCs w:val="22"/>
                <w:lang w:val="en-US" w:eastAsia="zh-CN" w:bidi="zh-CN"/>
              </w:rPr>
            </w:pPr>
          </w:p>
        </w:tc>
        <w:tc>
          <w:tcPr>
            <w:tcW w:w="1031" w:type="dxa"/>
            <w:vMerge w:val="continue"/>
            <w:tcBorders>
              <w:top w:val="nil"/>
            </w:tcBorders>
            <w:vAlign w:val="center"/>
          </w:tcPr>
          <w:p>
            <w:pPr>
              <w:jc w:val="center"/>
              <w:rPr>
                <w:rFonts w:ascii="宋体" w:hAnsi="宋体" w:eastAsia="宋体" w:cs="宋体"/>
                <w:color w:val="auto"/>
                <w:sz w:val="24"/>
                <w:szCs w:val="22"/>
                <w:lang w:val="zh-CN" w:eastAsia="zh-CN" w:bidi="zh-CN"/>
              </w:rPr>
            </w:pPr>
          </w:p>
        </w:tc>
        <w:tc>
          <w:tcPr>
            <w:tcW w:w="2006" w:type="dxa"/>
          </w:tcPr>
          <w:p>
            <w:pPr>
              <w:pStyle w:val="16"/>
              <w:spacing w:before="159"/>
              <w:ind w:left="107"/>
              <w:rPr>
                <w:color w:val="auto"/>
                <w:sz w:val="24"/>
              </w:rPr>
            </w:pPr>
            <w:r>
              <w:rPr>
                <w:color w:val="auto"/>
                <w:sz w:val="24"/>
              </w:rPr>
              <w:t>投标文件的装订</w:t>
            </w:r>
          </w:p>
        </w:tc>
        <w:tc>
          <w:tcPr>
            <w:tcW w:w="5890" w:type="dxa"/>
          </w:tcPr>
          <w:p>
            <w:pPr>
              <w:pStyle w:val="16"/>
              <w:spacing w:before="159"/>
              <w:ind w:left="106"/>
              <w:rPr>
                <w:color w:val="auto"/>
                <w:sz w:val="24"/>
              </w:rPr>
            </w:pPr>
            <w:r>
              <w:rPr>
                <w:color w:val="auto"/>
                <w:sz w:val="24"/>
              </w:rPr>
              <w:t>符合第二章“投标人须知”第 3.7.3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49" w:type="dxa"/>
            <w:vMerge w:val="restart"/>
          </w:tcPr>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p>
          <w:p>
            <w:pPr>
              <w:spacing w:line="420" w:lineRule="exact"/>
              <w:jc w:val="center"/>
              <w:rPr>
                <w:rFonts w:hint="eastAsia" w:cs="宋体"/>
                <w:color w:val="auto"/>
                <w:sz w:val="24"/>
                <w:szCs w:val="22"/>
                <w:lang w:val="en-US" w:eastAsia="zh-CN" w:bidi="zh-CN"/>
              </w:rPr>
            </w:pPr>
            <w:r>
              <w:rPr>
                <w:rFonts w:hint="eastAsia" w:cs="宋体"/>
                <w:color w:val="auto"/>
                <w:sz w:val="24"/>
                <w:szCs w:val="22"/>
                <w:lang w:val="en-US" w:eastAsia="zh-CN" w:bidi="zh-CN"/>
              </w:rPr>
              <w:t>2.1.2</w:t>
            </w:r>
          </w:p>
        </w:tc>
        <w:tc>
          <w:tcPr>
            <w:tcW w:w="1031" w:type="dxa"/>
            <w:vMerge w:val="restart"/>
            <w:vAlign w:val="center"/>
          </w:tcPr>
          <w:p>
            <w:pPr>
              <w:pStyle w:val="16"/>
              <w:spacing w:before="158" w:line="312" w:lineRule="auto"/>
              <w:ind w:right="129"/>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资格评审标准</w:t>
            </w:r>
          </w:p>
        </w:tc>
        <w:tc>
          <w:tcPr>
            <w:tcW w:w="2006" w:type="dxa"/>
          </w:tcPr>
          <w:p>
            <w:pPr>
              <w:pStyle w:val="16"/>
              <w:spacing w:before="12"/>
              <w:rPr>
                <w:b/>
                <w:color w:val="auto"/>
                <w:sz w:val="21"/>
              </w:rPr>
            </w:pPr>
          </w:p>
          <w:p>
            <w:pPr>
              <w:pStyle w:val="16"/>
              <w:ind w:left="107"/>
              <w:rPr>
                <w:color w:val="auto"/>
                <w:sz w:val="24"/>
              </w:rPr>
            </w:pPr>
            <w:r>
              <w:rPr>
                <w:color w:val="auto"/>
                <w:sz w:val="24"/>
              </w:rPr>
              <w:t>营业执照</w:t>
            </w:r>
          </w:p>
        </w:tc>
        <w:tc>
          <w:tcPr>
            <w:tcW w:w="5890" w:type="dxa"/>
          </w:tcPr>
          <w:p>
            <w:pPr>
              <w:pStyle w:val="16"/>
              <w:spacing w:before="3" w:line="398" w:lineRule="exact"/>
              <w:ind w:left="106" w:right="86"/>
              <w:rPr>
                <w:color w:val="auto"/>
                <w:sz w:val="24"/>
              </w:rPr>
            </w:pPr>
            <w:r>
              <w:rPr>
                <w:color w:val="auto"/>
                <w:spacing w:val="-11"/>
                <w:sz w:val="24"/>
              </w:rPr>
              <w:t xml:space="preserve">符合第二章“投标人须知”第 </w:t>
            </w:r>
            <w:r>
              <w:rPr>
                <w:color w:val="auto"/>
                <w:sz w:val="24"/>
              </w:rPr>
              <w:t>3.5.1</w:t>
            </w:r>
            <w:r>
              <w:rPr>
                <w:color w:val="auto"/>
                <w:spacing w:val="-12"/>
                <w:sz w:val="24"/>
              </w:rPr>
              <w:t xml:space="preserve"> 项规定，具备有效的营业执照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9" w:type="dxa"/>
            <w:vMerge w:val="continue"/>
            <w:tcBorders>
              <w:top w:val="nil"/>
            </w:tcBorders>
          </w:tcPr>
          <w:p>
            <w:pPr>
              <w:rPr>
                <w:color w:val="auto"/>
                <w:sz w:val="2"/>
                <w:szCs w:val="2"/>
              </w:rPr>
            </w:pPr>
          </w:p>
        </w:tc>
        <w:tc>
          <w:tcPr>
            <w:tcW w:w="1031" w:type="dxa"/>
            <w:vMerge w:val="continue"/>
            <w:tcBorders>
              <w:top w:val="nil"/>
            </w:tcBorders>
          </w:tcPr>
          <w:p>
            <w:pPr>
              <w:rPr>
                <w:color w:val="auto"/>
                <w:sz w:val="2"/>
                <w:szCs w:val="2"/>
              </w:rPr>
            </w:pPr>
          </w:p>
        </w:tc>
        <w:tc>
          <w:tcPr>
            <w:tcW w:w="2006" w:type="dxa"/>
          </w:tcPr>
          <w:p>
            <w:pPr>
              <w:pStyle w:val="16"/>
              <w:spacing w:before="160"/>
              <w:ind w:left="107"/>
              <w:rPr>
                <w:color w:val="auto"/>
                <w:sz w:val="24"/>
              </w:rPr>
            </w:pPr>
            <w:r>
              <w:rPr>
                <w:color w:val="auto"/>
                <w:sz w:val="24"/>
              </w:rPr>
              <w:t>资质要求</w:t>
            </w:r>
          </w:p>
        </w:tc>
        <w:tc>
          <w:tcPr>
            <w:tcW w:w="5890" w:type="dxa"/>
          </w:tcPr>
          <w:p>
            <w:pPr>
              <w:pStyle w:val="16"/>
              <w:spacing w:before="160"/>
              <w:ind w:left="106"/>
              <w:rPr>
                <w:color w:val="auto"/>
                <w:sz w:val="24"/>
              </w:rPr>
            </w:pPr>
            <w:r>
              <w:rPr>
                <w:color w:val="auto"/>
                <w:sz w:val="24"/>
              </w:rPr>
              <w:t xml:space="preserve">符合第二章“投标人须知”第 </w:t>
            </w:r>
            <w:r>
              <w:rPr>
                <w:rFonts w:ascii="Times New Roman" w:hAnsi="Times New Roman" w:eastAsia="Times New Roman"/>
                <w:color w:val="auto"/>
                <w:sz w:val="24"/>
              </w:rPr>
              <w:t xml:space="preserve">1.4.1 </w:t>
            </w:r>
            <w:r>
              <w:rPr>
                <w:color w:val="auto"/>
                <w:sz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9" w:type="dxa"/>
            <w:vMerge w:val="continue"/>
            <w:tcBorders>
              <w:top w:val="nil"/>
            </w:tcBorders>
          </w:tcPr>
          <w:p>
            <w:pPr>
              <w:rPr>
                <w:color w:val="auto"/>
                <w:sz w:val="2"/>
                <w:szCs w:val="2"/>
              </w:rPr>
            </w:pPr>
          </w:p>
        </w:tc>
        <w:tc>
          <w:tcPr>
            <w:tcW w:w="1031" w:type="dxa"/>
            <w:vMerge w:val="continue"/>
            <w:tcBorders>
              <w:top w:val="nil"/>
            </w:tcBorders>
          </w:tcPr>
          <w:p>
            <w:pPr>
              <w:rPr>
                <w:color w:val="auto"/>
                <w:sz w:val="2"/>
                <w:szCs w:val="2"/>
              </w:rPr>
            </w:pPr>
          </w:p>
        </w:tc>
        <w:tc>
          <w:tcPr>
            <w:tcW w:w="2006" w:type="dxa"/>
          </w:tcPr>
          <w:p>
            <w:pPr>
              <w:pStyle w:val="16"/>
              <w:spacing w:before="159"/>
              <w:ind w:left="107"/>
              <w:rPr>
                <w:color w:val="auto"/>
                <w:sz w:val="24"/>
              </w:rPr>
            </w:pPr>
            <w:r>
              <w:rPr>
                <w:color w:val="auto"/>
                <w:sz w:val="24"/>
              </w:rPr>
              <w:t>信誉要求</w:t>
            </w:r>
          </w:p>
        </w:tc>
        <w:tc>
          <w:tcPr>
            <w:tcW w:w="5890" w:type="dxa"/>
          </w:tcPr>
          <w:p>
            <w:pPr>
              <w:pStyle w:val="16"/>
              <w:spacing w:before="159"/>
              <w:ind w:left="106"/>
              <w:rPr>
                <w:color w:val="auto"/>
                <w:sz w:val="24"/>
              </w:rPr>
            </w:pPr>
            <w:r>
              <w:rPr>
                <w:color w:val="auto"/>
                <w:sz w:val="24"/>
              </w:rPr>
              <w:t xml:space="preserve">符合第二章“投标人须知”第 </w:t>
            </w:r>
            <w:r>
              <w:rPr>
                <w:rFonts w:ascii="Times New Roman" w:hAnsi="Times New Roman" w:eastAsia="Times New Roman"/>
                <w:color w:val="auto"/>
                <w:sz w:val="24"/>
              </w:rPr>
              <w:t xml:space="preserve">1.4.1 </w:t>
            </w:r>
            <w:r>
              <w:rPr>
                <w:color w:val="auto"/>
                <w:sz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9" w:type="dxa"/>
            <w:vMerge w:val="continue"/>
            <w:tcBorders>
              <w:top w:val="nil"/>
            </w:tcBorders>
          </w:tcPr>
          <w:p>
            <w:pPr>
              <w:rPr>
                <w:color w:val="auto"/>
                <w:sz w:val="2"/>
                <w:szCs w:val="2"/>
              </w:rPr>
            </w:pPr>
          </w:p>
        </w:tc>
        <w:tc>
          <w:tcPr>
            <w:tcW w:w="1031" w:type="dxa"/>
            <w:vMerge w:val="continue"/>
            <w:tcBorders>
              <w:top w:val="nil"/>
            </w:tcBorders>
          </w:tcPr>
          <w:p>
            <w:pPr>
              <w:rPr>
                <w:color w:val="auto"/>
                <w:sz w:val="2"/>
                <w:szCs w:val="2"/>
              </w:rPr>
            </w:pPr>
          </w:p>
        </w:tc>
        <w:tc>
          <w:tcPr>
            <w:tcW w:w="2006" w:type="dxa"/>
          </w:tcPr>
          <w:p>
            <w:pPr>
              <w:pStyle w:val="16"/>
              <w:spacing w:before="159"/>
              <w:ind w:left="107"/>
              <w:rPr>
                <w:color w:val="auto"/>
                <w:sz w:val="24"/>
              </w:rPr>
            </w:pPr>
            <w:r>
              <w:rPr>
                <w:color w:val="auto"/>
                <w:sz w:val="24"/>
              </w:rPr>
              <w:t>总监理工程师</w:t>
            </w:r>
          </w:p>
        </w:tc>
        <w:tc>
          <w:tcPr>
            <w:tcW w:w="5890" w:type="dxa"/>
          </w:tcPr>
          <w:p>
            <w:pPr>
              <w:pStyle w:val="16"/>
              <w:spacing w:before="159"/>
              <w:ind w:left="106"/>
              <w:rPr>
                <w:color w:val="auto"/>
                <w:sz w:val="24"/>
              </w:rPr>
            </w:pPr>
            <w:r>
              <w:rPr>
                <w:color w:val="auto"/>
                <w:sz w:val="24"/>
              </w:rPr>
              <w:t xml:space="preserve">符合第二章“投标人须知”第 </w:t>
            </w:r>
            <w:r>
              <w:rPr>
                <w:rFonts w:ascii="Times New Roman" w:hAnsi="Times New Roman" w:eastAsia="Times New Roman"/>
                <w:color w:val="auto"/>
                <w:sz w:val="24"/>
              </w:rPr>
              <w:t xml:space="preserve">1.4.1 </w:t>
            </w:r>
            <w:r>
              <w:rPr>
                <w:color w:val="auto"/>
                <w:sz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9" w:type="dxa"/>
            <w:vMerge w:val="continue"/>
            <w:tcBorders>
              <w:top w:val="nil"/>
            </w:tcBorders>
          </w:tcPr>
          <w:p>
            <w:pPr>
              <w:rPr>
                <w:color w:val="auto"/>
                <w:sz w:val="2"/>
                <w:szCs w:val="2"/>
              </w:rPr>
            </w:pPr>
          </w:p>
        </w:tc>
        <w:tc>
          <w:tcPr>
            <w:tcW w:w="1031" w:type="dxa"/>
            <w:vMerge w:val="continue"/>
            <w:tcBorders>
              <w:top w:val="nil"/>
            </w:tcBorders>
          </w:tcPr>
          <w:p>
            <w:pPr>
              <w:rPr>
                <w:color w:val="auto"/>
                <w:sz w:val="2"/>
                <w:szCs w:val="2"/>
              </w:rPr>
            </w:pPr>
          </w:p>
        </w:tc>
        <w:tc>
          <w:tcPr>
            <w:tcW w:w="2006" w:type="dxa"/>
          </w:tcPr>
          <w:p>
            <w:pPr>
              <w:pStyle w:val="16"/>
              <w:spacing w:before="158"/>
              <w:ind w:left="107"/>
              <w:rPr>
                <w:color w:val="auto"/>
                <w:sz w:val="24"/>
              </w:rPr>
            </w:pPr>
            <w:r>
              <w:rPr>
                <w:color w:val="auto"/>
                <w:sz w:val="24"/>
              </w:rPr>
              <w:t>其他主要人员</w:t>
            </w:r>
          </w:p>
        </w:tc>
        <w:tc>
          <w:tcPr>
            <w:tcW w:w="5890" w:type="dxa"/>
          </w:tcPr>
          <w:p>
            <w:pPr>
              <w:pStyle w:val="16"/>
              <w:spacing w:before="158"/>
              <w:ind w:left="106"/>
              <w:rPr>
                <w:color w:val="auto"/>
                <w:sz w:val="24"/>
              </w:rPr>
            </w:pPr>
            <w:r>
              <w:rPr>
                <w:color w:val="auto"/>
                <w:sz w:val="24"/>
              </w:rPr>
              <w:t xml:space="preserve">符合第二章“投标人须知”第 </w:t>
            </w:r>
            <w:r>
              <w:rPr>
                <w:rFonts w:ascii="Times New Roman" w:hAnsi="Times New Roman" w:eastAsia="Times New Roman"/>
                <w:color w:val="auto"/>
                <w:sz w:val="24"/>
              </w:rPr>
              <w:t xml:space="preserve">1.4.1 </w:t>
            </w:r>
            <w:r>
              <w:rPr>
                <w:color w:val="auto"/>
                <w:sz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49" w:type="dxa"/>
            <w:vMerge w:val="continue"/>
            <w:tcBorders>
              <w:top w:val="nil"/>
            </w:tcBorders>
          </w:tcPr>
          <w:p>
            <w:pPr>
              <w:rPr>
                <w:color w:val="auto"/>
                <w:sz w:val="2"/>
                <w:szCs w:val="2"/>
              </w:rPr>
            </w:pPr>
          </w:p>
        </w:tc>
        <w:tc>
          <w:tcPr>
            <w:tcW w:w="1031" w:type="dxa"/>
            <w:vMerge w:val="continue"/>
            <w:tcBorders>
              <w:top w:val="nil"/>
            </w:tcBorders>
          </w:tcPr>
          <w:p>
            <w:pPr>
              <w:rPr>
                <w:color w:val="auto"/>
                <w:sz w:val="2"/>
                <w:szCs w:val="2"/>
              </w:rPr>
            </w:pPr>
          </w:p>
        </w:tc>
        <w:tc>
          <w:tcPr>
            <w:tcW w:w="2006" w:type="dxa"/>
          </w:tcPr>
          <w:p>
            <w:pPr>
              <w:pStyle w:val="16"/>
              <w:spacing w:before="160"/>
              <w:ind w:left="107"/>
              <w:rPr>
                <w:color w:val="auto"/>
                <w:sz w:val="24"/>
              </w:rPr>
            </w:pPr>
            <w:r>
              <w:rPr>
                <w:color w:val="auto"/>
                <w:sz w:val="24"/>
              </w:rPr>
              <w:t>其他要求</w:t>
            </w:r>
          </w:p>
        </w:tc>
        <w:tc>
          <w:tcPr>
            <w:tcW w:w="5890" w:type="dxa"/>
          </w:tcPr>
          <w:p>
            <w:pPr>
              <w:pStyle w:val="16"/>
              <w:spacing w:before="160"/>
              <w:ind w:left="106"/>
              <w:rPr>
                <w:color w:val="auto"/>
                <w:sz w:val="24"/>
              </w:rPr>
            </w:pPr>
            <w:r>
              <w:rPr>
                <w:color w:val="auto"/>
                <w:sz w:val="24"/>
              </w:rPr>
              <w:t xml:space="preserve">符合第二章“投标人须知”第 </w:t>
            </w:r>
            <w:r>
              <w:rPr>
                <w:rFonts w:ascii="Times New Roman" w:hAnsi="Times New Roman" w:eastAsia="Times New Roman"/>
                <w:color w:val="auto"/>
                <w:sz w:val="24"/>
              </w:rPr>
              <w:t xml:space="preserve">1.4.1 </w:t>
            </w:r>
            <w:r>
              <w:rPr>
                <w:color w:val="auto"/>
                <w:sz w:val="24"/>
              </w:rPr>
              <w:t>项规定</w:t>
            </w:r>
          </w:p>
        </w:tc>
      </w:tr>
    </w:tbl>
    <w:p>
      <w:pPr>
        <w:spacing w:after="0"/>
        <w:rPr>
          <w:color w:val="auto"/>
          <w:sz w:val="24"/>
        </w:rPr>
        <w:sectPr>
          <w:pgSz w:w="11910" w:h="16840"/>
          <w:pgMar w:top="1380" w:right="1020" w:bottom="900" w:left="1020" w:header="0" w:footer="640" w:gutter="0"/>
          <w:pgBorders>
            <w:top w:val="none" w:sz="0" w:space="0"/>
            <w:left w:val="none" w:sz="0" w:space="0"/>
            <w:bottom w:val="none" w:sz="0" w:space="0"/>
            <w:right w:val="none" w:sz="0" w:space="0"/>
          </w:pgBorders>
          <w:pgNumType w:fmt="decimal"/>
          <w:cols w:space="720" w:num="1"/>
        </w:sectPr>
      </w:pPr>
    </w:p>
    <w:tbl>
      <w:tblPr>
        <w:tblStyle w:val="12"/>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9"/>
        <w:gridCol w:w="1012"/>
        <w:gridCol w:w="2063"/>
        <w:gridCol w:w="5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49" w:type="dxa"/>
          </w:tcPr>
          <w:p>
            <w:pPr>
              <w:pStyle w:val="16"/>
              <w:rPr>
                <w:rFonts w:ascii="Times New Roman"/>
                <w:color w:val="auto"/>
                <w:sz w:val="22"/>
              </w:rPr>
            </w:pPr>
          </w:p>
        </w:tc>
        <w:tc>
          <w:tcPr>
            <w:tcW w:w="1012" w:type="dxa"/>
          </w:tcPr>
          <w:p>
            <w:pPr>
              <w:pStyle w:val="16"/>
              <w:rPr>
                <w:rFonts w:ascii="Times New Roman"/>
                <w:color w:val="auto"/>
                <w:sz w:val="22"/>
              </w:rPr>
            </w:pPr>
          </w:p>
        </w:tc>
        <w:tc>
          <w:tcPr>
            <w:tcW w:w="2063" w:type="dxa"/>
          </w:tcPr>
          <w:p>
            <w:pPr>
              <w:pStyle w:val="16"/>
              <w:spacing w:before="1" w:line="400" w:lineRule="exact"/>
              <w:ind w:left="107" w:right="97"/>
              <w:rPr>
                <w:color w:val="auto"/>
                <w:sz w:val="24"/>
              </w:rPr>
            </w:pPr>
            <w:r>
              <w:rPr>
                <w:color w:val="auto"/>
                <w:sz w:val="24"/>
              </w:rPr>
              <w:t>不存在禁止投标的情形</w:t>
            </w:r>
          </w:p>
        </w:tc>
        <w:tc>
          <w:tcPr>
            <w:tcW w:w="5852" w:type="dxa"/>
          </w:tcPr>
          <w:p>
            <w:pPr>
              <w:pStyle w:val="16"/>
              <w:spacing w:before="1" w:line="400" w:lineRule="exact"/>
              <w:ind w:left="106" w:right="86"/>
              <w:rPr>
                <w:color w:val="auto"/>
                <w:sz w:val="24"/>
              </w:rPr>
            </w:pPr>
            <w:r>
              <w:rPr>
                <w:color w:val="auto"/>
                <w:sz w:val="24"/>
              </w:rPr>
              <w:t xml:space="preserve">不存在第二章“投标人须知”第 </w:t>
            </w:r>
            <w:r>
              <w:rPr>
                <w:rFonts w:ascii="Times New Roman" w:hAnsi="Times New Roman" w:eastAsia="Times New Roman"/>
                <w:color w:val="auto"/>
                <w:sz w:val="24"/>
              </w:rPr>
              <w:t xml:space="preserve">1.4.3 </w:t>
            </w:r>
            <w:r>
              <w:rPr>
                <w:color w:val="auto"/>
                <w:sz w:val="24"/>
              </w:rPr>
              <w:t>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49" w:type="dxa"/>
            <w:vMerge w:val="restart"/>
          </w:tcPr>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spacing w:before="3"/>
              <w:rPr>
                <w:b/>
                <w:color w:val="auto"/>
                <w:sz w:val="29"/>
              </w:rPr>
            </w:pPr>
          </w:p>
          <w:p>
            <w:pPr>
              <w:pStyle w:val="16"/>
              <w:rPr>
                <w:color w:val="auto"/>
                <w:sz w:val="24"/>
              </w:rPr>
            </w:pPr>
            <w:r>
              <w:rPr>
                <w:rFonts w:hint="eastAsia" w:ascii="宋体" w:hAnsi="宋体" w:eastAsia="宋体" w:cs="宋体"/>
                <w:color w:val="auto"/>
                <w:sz w:val="24"/>
                <w:szCs w:val="22"/>
                <w:lang w:val="en-US" w:eastAsia="zh-CN" w:bidi="zh-CN"/>
              </w:rPr>
              <w:t>2.1.3</w:t>
            </w:r>
          </w:p>
        </w:tc>
        <w:tc>
          <w:tcPr>
            <w:tcW w:w="1012" w:type="dxa"/>
            <w:vMerge w:val="restart"/>
          </w:tcPr>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rPr>
                <w:b/>
                <w:color w:val="auto"/>
                <w:sz w:val="24"/>
              </w:rPr>
            </w:pPr>
          </w:p>
          <w:p>
            <w:pPr>
              <w:pStyle w:val="16"/>
              <w:spacing w:before="175" w:line="312" w:lineRule="auto"/>
              <w:ind w:right="129"/>
              <w:jc w:val="center"/>
              <w:rPr>
                <w:color w:val="auto"/>
                <w:sz w:val="24"/>
              </w:rPr>
            </w:pPr>
            <w:r>
              <w:rPr>
                <w:color w:val="auto"/>
                <w:sz w:val="24"/>
              </w:rPr>
              <w:t>响应性评审标准</w:t>
            </w:r>
          </w:p>
        </w:tc>
        <w:tc>
          <w:tcPr>
            <w:tcW w:w="2063" w:type="dxa"/>
          </w:tcPr>
          <w:p>
            <w:pPr>
              <w:pStyle w:val="16"/>
              <w:spacing w:before="158"/>
              <w:ind w:left="107"/>
              <w:rPr>
                <w:color w:val="auto"/>
                <w:sz w:val="24"/>
              </w:rPr>
            </w:pPr>
            <w:r>
              <w:rPr>
                <w:color w:val="auto"/>
                <w:sz w:val="24"/>
              </w:rPr>
              <w:t>投标报价</w:t>
            </w:r>
          </w:p>
        </w:tc>
        <w:tc>
          <w:tcPr>
            <w:tcW w:w="5852" w:type="dxa"/>
          </w:tcPr>
          <w:p>
            <w:pPr>
              <w:pStyle w:val="16"/>
              <w:spacing w:before="158"/>
              <w:ind w:left="106"/>
              <w:rPr>
                <w:color w:val="auto"/>
                <w:sz w:val="24"/>
              </w:rPr>
            </w:pPr>
            <w:r>
              <w:rPr>
                <w:color w:val="auto"/>
                <w:sz w:val="24"/>
              </w:rPr>
              <w:t xml:space="preserve">符合第二章“投标人须知”第 </w:t>
            </w:r>
            <w:r>
              <w:rPr>
                <w:rFonts w:ascii="Times New Roman" w:hAnsi="Times New Roman" w:eastAsia="Times New Roman"/>
                <w:color w:val="auto"/>
                <w:sz w:val="24"/>
              </w:rPr>
              <w:t xml:space="preserve">3.2 </w:t>
            </w:r>
            <w:r>
              <w:rPr>
                <w:color w:val="auto"/>
                <w:sz w:val="24"/>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9" w:type="dxa"/>
            <w:vMerge w:val="continue"/>
            <w:tcBorders>
              <w:top w:val="nil"/>
            </w:tcBorders>
          </w:tcPr>
          <w:p>
            <w:pPr>
              <w:rPr>
                <w:color w:val="auto"/>
                <w:sz w:val="2"/>
                <w:szCs w:val="2"/>
              </w:rPr>
            </w:pPr>
          </w:p>
        </w:tc>
        <w:tc>
          <w:tcPr>
            <w:tcW w:w="1012" w:type="dxa"/>
            <w:vMerge w:val="continue"/>
            <w:tcBorders>
              <w:top w:val="nil"/>
            </w:tcBorders>
          </w:tcPr>
          <w:p>
            <w:pPr>
              <w:rPr>
                <w:color w:val="auto"/>
                <w:sz w:val="2"/>
                <w:szCs w:val="2"/>
              </w:rPr>
            </w:pPr>
          </w:p>
        </w:tc>
        <w:tc>
          <w:tcPr>
            <w:tcW w:w="2063" w:type="dxa"/>
          </w:tcPr>
          <w:p>
            <w:pPr>
              <w:pStyle w:val="16"/>
              <w:spacing w:before="158"/>
              <w:ind w:left="107"/>
              <w:rPr>
                <w:color w:val="auto"/>
                <w:sz w:val="24"/>
              </w:rPr>
            </w:pPr>
            <w:r>
              <w:rPr>
                <w:color w:val="auto"/>
                <w:sz w:val="24"/>
              </w:rPr>
              <w:t>投标内容</w:t>
            </w:r>
          </w:p>
        </w:tc>
        <w:tc>
          <w:tcPr>
            <w:tcW w:w="5852" w:type="dxa"/>
          </w:tcPr>
          <w:p>
            <w:pPr>
              <w:pStyle w:val="16"/>
              <w:spacing w:before="158"/>
              <w:ind w:left="106"/>
              <w:rPr>
                <w:color w:val="auto"/>
                <w:sz w:val="24"/>
              </w:rPr>
            </w:pPr>
            <w:r>
              <w:rPr>
                <w:color w:val="auto"/>
                <w:sz w:val="24"/>
              </w:rPr>
              <w:t xml:space="preserve">符合第二章“投标人须知”第 </w:t>
            </w:r>
            <w:r>
              <w:rPr>
                <w:rFonts w:ascii="Times New Roman" w:hAnsi="Times New Roman" w:eastAsia="Times New Roman"/>
                <w:color w:val="auto"/>
                <w:sz w:val="24"/>
              </w:rPr>
              <w:t xml:space="preserve">1.3.1 </w:t>
            </w:r>
            <w:r>
              <w:rPr>
                <w:color w:val="auto"/>
                <w:sz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9" w:type="dxa"/>
            <w:vMerge w:val="continue"/>
            <w:tcBorders>
              <w:top w:val="nil"/>
            </w:tcBorders>
          </w:tcPr>
          <w:p>
            <w:pPr>
              <w:rPr>
                <w:color w:val="auto"/>
                <w:sz w:val="2"/>
                <w:szCs w:val="2"/>
              </w:rPr>
            </w:pPr>
          </w:p>
        </w:tc>
        <w:tc>
          <w:tcPr>
            <w:tcW w:w="1012" w:type="dxa"/>
            <w:vMerge w:val="continue"/>
            <w:tcBorders>
              <w:top w:val="nil"/>
            </w:tcBorders>
          </w:tcPr>
          <w:p>
            <w:pPr>
              <w:rPr>
                <w:color w:val="auto"/>
                <w:sz w:val="2"/>
                <w:szCs w:val="2"/>
              </w:rPr>
            </w:pPr>
          </w:p>
        </w:tc>
        <w:tc>
          <w:tcPr>
            <w:tcW w:w="2063" w:type="dxa"/>
          </w:tcPr>
          <w:p>
            <w:pPr>
              <w:pStyle w:val="16"/>
              <w:spacing w:before="158"/>
              <w:ind w:left="107"/>
              <w:rPr>
                <w:color w:val="auto"/>
                <w:sz w:val="24"/>
              </w:rPr>
            </w:pPr>
            <w:r>
              <w:rPr>
                <w:color w:val="auto"/>
                <w:sz w:val="24"/>
              </w:rPr>
              <w:t>监理服务期限</w:t>
            </w:r>
          </w:p>
        </w:tc>
        <w:tc>
          <w:tcPr>
            <w:tcW w:w="5852" w:type="dxa"/>
          </w:tcPr>
          <w:p>
            <w:pPr>
              <w:pStyle w:val="16"/>
              <w:spacing w:before="158"/>
              <w:ind w:left="106"/>
              <w:rPr>
                <w:color w:val="auto"/>
                <w:sz w:val="24"/>
              </w:rPr>
            </w:pPr>
            <w:r>
              <w:rPr>
                <w:color w:val="auto"/>
                <w:sz w:val="24"/>
              </w:rPr>
              <w:t xml:space="preserve">符合第二章“投标人须知”第 </w:t>
            </w:r>
            <w:r>
              <w:rPr>
                <w:rFonts w:ascii="Times New Roman" w:hAnsi="Times New Roman" w:eastAsia="Times New Roman"/>
                <w:color w:val="auto"/>
                <w:sz w:val="24"/>
              </w:rPr>
              <w:t xml:space="preserve">1.3.2 </w:t>
            </w:r>
            <w:r>
              <w:rPr>
                <w:color w:val="auto"/>
                <w:sz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9" w:type="dxa"/>
            <w:vMerge w:val="continue"/>
            <w:tcBorders>
              <w:top w:val="nil"/>
            </w:tcBorders>
          </w:tcPr>
          <w:p>
            <w:pPr>
              <w:rPr>
                <w:color w:val="auto"/>
                <w:sz w:val="2"/>
                <w:szCs w:val="2"/>
              </w:rPr>
            </w:pPr>
          </w:p>
        </w:tc>
        <w:tc>
          <w:tcPr>
            <w:tcW w:w="1012" w:type="dxa"/>
            <w:vMerge w:val="continue"/>
            <w:tcBorders>
              <w:top w:val="nil"/>
            </w:tcBorders>
          </w:tcPr>
          <w:p>
            <w:pPr>
              <w:rPr>
                <w:color w:val="auto"/>
                <w:sz w:val="2"/>
                <w:szCs w:val="2"/>
              </w:rPr>
            </w:pPr>
          </w:p>
        </w:tc>
        <w:tc>
          <w:tcPr>
            <w:tcW w:w="2063" w:type="dxa"/>
          </w:tcPr>
          <w:p>
            <w:pPr>
              <w:pStyle w:val="16"/>
              <w:spacing w:before="160"/>
              <w:ind w:left="107"/>
              <w:rPr>
                <w:color w:val="auto"/>
                <w:sz w:val="24"/>
              </w:rPr>
            </w:pPr>
            <w:r>
              <w:rPr>
                <w:color w:val="auto"/>
                <w:sz w:val="24"/>
              </w:rPr>
              <w:t>质量标准</w:t>
            </w:r>
          </w:p>
        </w:tc>
        <w:tc>
          <w:tcPr>
            <w:tcW w:w="5852" w:type="dxa"/>
          </w:tcPr>
          <w:p>
            <w:pPr>
              <w:pStyle w:val="16"/>
              <w:spacing w:before="160"/>
              <w:ind w:left="106"/>
              <w:rPr>
                <w:color w:val="auto"/>
                <w:sz w:val="24"/>
              </w:rPr>
            </w:pPr>
            <w:r>
              <w:rPr>
                <w:color w:val="auto"/>
                <w:sz w:val="24"/>
              </w:rPr>
              <w:t xml:space="preserve">符合第二章“投标人须知”第 </w:t>
            </w:r>
            <w:r>
              <w:rPr>
                <w:rFonts w:ascii="Times New Roman" w:hAnsi="Times New Roman" w:eastAsia="Times New Roman"/>
                <w:color w:val="auto"/>
                <w:sz w:val="24"/>
              </w:rPr>
              <w:t xml:space="preserve">1.3.3 </w:t>
            </w:r>
            <w:r>
              <w:rPr>
                <w:color w:val="auto"/>
                <w:sz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9" w:type="dxa"/>
            <w:vMerge w:val="continue"/>
            <w:tcBorders>
              <w:top w:val="nil"/>
            </w:tcBorders>
          </w:tcPr>
          <w:p>
            <w:pPr>
              <w:rPr>
                <w:color w:val="auto"/>
                <w:sz w:val="2"/>
                <w:szCs w:val="2"/>
              </w:rPr>
            </w:pPr>
          </w:p>
        </w:tc>
        <w:tc>
          <w:tcPr>
            <w:tcW w:w="1012" w:type="dxa"/>
            <w:vMerge w:val="continue"/>
            <w:tcBorders>
              <w:top w:val="nil"/>
            </w:tcBorders>
          </w:tcPr>
          <w:p>
            <w:pPr>
              <w:rPr>
                <w:color w:val="auto"/>
                <w:sz w:val="2"/>
                <w:szCs w:val="2"/>
              </w:rPr>
            </w:pPr>
          </w:p>
        </w:tc>
        <w:tc>
          <w:tcPr>
            <w:tcW w:w="2063" w:type="dxa"/>
          </w:tcPr>
          <w:p>
            <w:pPr>
              <w:pStyle w:val="16"/>
              <w:spacing w:before="159"/>
              <w:ind w:left="107"/>
              <w:rPr>
                <w:color w:val="auto"/>
                <w:sz w:val="24"/>
              </w:rPr>
            </w:pPr>
            <w:r>
              <w:rPr>
                <w:color w:val="auto"/>
                <w:sz w:val="24"/>
              </w:rPr>
              <w:t>投标有效期</w:t>
            </w:r>
          </w:p>
        </w:tc>
        <w:tc>
          <w:tcPr>
            <w:tcW w:w="5852" w:type="dxa"/>
          </w:tcPr>
          <w:p>
            <w:pPr>
              <w:pStyle w:val="16"/>
              <w:spacing w:before="159"/>
              <w:ind w:left="106"/>
              <w:rPr>
                <w:color w:val="auto"/>
                <w:sz w:val="24"/>
              </w:rPr>
            </w:pPr>
            <w:r>
              <w:rPr>
                <w:color w:val="auto"/>
                <w:sz w:val="24"/>
              </w:rPr>
              <w:t xml:space="preserve">符合第二章“投标人须知”第 </w:t>
            </w:r>
            <w:r>
              <w:rPr>
                <w:rFonts w:ascii="Times New Roman" w:hAnsi="Times New Roman" w:eastAsia="Times New Roman"/>
                <w:color w:val="auto"/>
                <w:sz w:val="24"/>
              </w:rPr>
              <w:t xml:space="preserve">3.3.1 </w:t>
            </w:r>
            <w:r>
              <w:rPr>
                <w:color w:val="auto"/>
                <w:sz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49" w:type="dxa"/>
            <w:vMerge w:val="continue"/>
            <w:tcBorders>
              <w:top w:val="nil"/>
            </w:tcBorders>
          </w:tcPr>
          <w:p>
            <w:pPr>
              <w:rPr>
                <w:color w:val="auto"/>
                <w:sz w:val="2"/>
                <w:szCs w:val="2"/>
              </w:rPr>
            </w:pPr>
          </w:p>
        </w:tc>
        <w:tc>
          <w:tcPr>
            <w:tcW w:w="1012" w:type="dxa"/>
            <w:vMerge w:val="continue"/>
            <w:tcBorders>
              <w:top w:val="nil"/>
            </w:tcBorders>
          </w:tcPr>
          <w:p>
            <w:pPr>
              <w:rPr>
                <w:color w:val="auto"/>
                <w:sz w:val="2"/>
                <w:szCs w:val="2"/>
              </w:rPr>
            </w:pPr>
          </w:p>
        </w:tc>
        <w:tc>
          <w:tcPr>
            <w:tcW w:w="2063" w:type="dxa"/>
          </w:tcPr>
          <w:p>
            <w:pPr>
              <w:pStyle w:val="16"/>
              <w:spacing w:before="159"/>
              <w:ind w:left="107"/>
              <w:rPr>
                <w:color w:val="auto"/>
                <w:sz w:val="24"/>
              </w:rPr>
            </w:pPr>
            <w:r>
              <w:rPr>
                <w:color w:val="auto"/>
                <w:sz w:val="24"/>
              </w:rPr>
              <w:t>投标保证金</w:t>
            </w:r>
          </w:p>
        </w:tc>
        <w:tc>
          <w:tcPr>
            <w:tcW w:w="5852" w:type="dxa"/>
          </w:tcPr>
          <w:p>
            <w:pPr>
              <w:pStyle w:val="16"/>
              <w:spacing w:before="159"/>
              <w:ind w:left="106"/>
              <w:rPr>
                <w:color w:val="auto"/>
                <w:sz w:val="24"/>
              </w:rPr>
            </w:pPr>
            <w:r>
              <w:rPr>
                <w:color w:val="auto"/>
                <w:sz w:val="24"/>
              </w:rPr>
              <w:t xml:space="preserve">符合第二章“投标人须知”第 </w:t>
            </w:r>
            <w:r>
              <w:rPr>
                <w:rFonts w:ascii="Times New Roman" w:hAnsi="Times New Roman" w:eastAsia="Times New Roman"/>
                <w:color w:val="auto"/>
                <w:sz w:val="24"/>
              </w:rPr>
              <w:t xml:space="preserve">3.4.1 </w:t>
            </w:r>
            <w:r>
              <w:rPr>
                <w:color w:val="auto"/>
                <w:sz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649" w:type="dxa"/>
            <w:vMerge w:val="continue"/>
            <w:tcBorders>
              <w:top w:val="nil"/>
            </w:tcBorders>
          </w:tcPr>
          <w:p>
            <w:pPr>
              <w:rPr>
                <w:color w:val="auto"/>
                <w:sz w:val="2"/>
                <w:szCs w:val="2"/>
              </w:rPr>
            </w:pPr>
          </w:p>
        </w:tc>
        <w:tc>
          <w:tcPr>
            <w:tcW w:w="1012" w:type="dxa"/>
            <w:vMerge w:val="continue"/>
            <w:tcBorders>
              <w:top w:val="nil"/>
            </w:tcBorders>
          </w:tcPr>
          <w:p>
            <w:pPr>
              <w:rPr>
                <w:color w:val="auto"/>
                <w:sz w:val="2"/>
                <w:szCs w:val="2"/>
              </w:rPr>
            </w:pPr>
          </w:p>
        </w:tc>
        <w:tc>
          <w:tcPr>
            <w:tcW w:w="2063" w:type="dxa"/>
          </w:tcPr>
          <w:p>
            <w:pPr>
              <w:pStyle w:val="16"/>
              <w:spacing w:before="10"/>
              <w:rPr>
                <w:b/>
                <w:color w:val="auto"/>
                <w:sz w:val="34"/>
              </w:rPr>
            </w:pPr>
          </w:p>
          <w:p>
            <w:pPr>
              <w:pStyle w:val="16"/>
              <w:ind w:left="107"/>
              <w:rPr>
                <w:color w:val="auto"/>
                <w:sz w:val="24"/>
              </w:rPr>
            </w:pPr>
            <w:r>
              <w:rPr>
                <w:color w:val="auto"/>
                <w:sz w:val="24"/>
              </w:rPr>
              <w:t>权利义务</w:t>
            </w:r>
          </w:p>
        </w:tc>
        <w:tc>
          <w:tcPr>
            <w:tcW w:w="5852" w:type="dxa"/>
          </w:tcPr>
          <w:p>
            <w:pPr>
              <w:pStyle w:val="16"/>
              <w:spacing w:before="1"/>
              <w:rPr>
                <w:b/>
                <w:color w:val="auto"/>
                <w:sz w:val="19"/>
              </w:rPr>
            </w:pPr>
          </w:p>
          <w:p>
            <w:pPr>
              <w:pStyle w:val="16"/>
              <w:spacing w:line="312" w:lineRule="auto"/>
              <w:ind w:left="106" w:right="96"/>
              <w:rPr>
                <w:color w:val="auto"/>
                <w:sz w:val="24"/>
              </w:rPr>
            </w:pPr>
            <w:r>
              <w:rPr>
                <w:color w:val="auto"/>
                <w:sz w:val="24"/>
              </w:rPr>
              <w:t xml:space="preserve">符合第二章“投标人须知”第 </w:t>
            </w:r>
            <w:r>
              <w:rPr>
                <w:rFonts w:ascii="Times New Roman" w:hAnsi="Times New Roman" w:eastAsia="Times New Roman"/>
                <w:color w:val="auto"/>
                <w:sz w:val="24"/>
              </w:rPr>
              <w:t xml:space="preserve">1.12.1 </w:t>
            </w:r>
            <w:r>
              <w:rPr>
                <w:color w:val="auto"/>
                <w:sz w:val="24"/>
              </w:rPr>
              <w:t>项规定和第四章“合同条款及格式”中的实质性要求和条件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49" w:type="dxa"/>
            <w:vMerge w:val="continue"/>
            <w:tcBorders>
              <w:top w:val="nil"/>
            </w:tcBorders>
          </w:tcPr>
          <w:p>
            <w:pPr>
              <w:rPr>
                <w:color w:val="auto"/>
                <w:sz w:val="2"/>
                <w:szCs w:val="2"/>
              </w:rPr>
            </w:pPr>
          </w:p>
        </w:tc>
        <w:tc>
          <w:tcPr>
            <w:tcW w:w="1012" w:type="dxa"/>
            <w:vMerge w:val="continue"/>
            <w:tcBorders>
              <w:top w:val="nil"/>
            </w:tcBorders>
          </w:tcPr>
          <w:p>
            <w:pPr>
              <w:rPr>
                <w:color w:val="auto"/>
                <w:sz w:val="2"/>
                <w:szCs w:val="2"/>
              </w:rPr>
            </w:pPr>
          </w:p>
        </w:tc>
        <w:tc>
          <w:tcPr>
            <w:tcW w:w="2063" w:type="dxa"/>
          </w:tcPr>
          <w:p>
            <w:pPr>
              <w:pStyle w:val="16"/>
              <w:spacing w:before="1"/>
              <w:rPr>
                <w:b/>
                <w:color w:val="auto"/>
                <w:sz w:val="20"/>
              </w:rPr>
            </w:pPr>
          </w:p>
          <w:p>
            <w:pPr>
              <w:pStyle w:val="16"/>
              <w:ind w:left="107"/>
              <w:rPr>
                <w:color w:val="auto"/>
                <w:sz w:val="24"/>
              </w:rPr>
            </w:pPr>
            <w:r>
              <w:rPr>
                <w:color w:val="auto"/>
                <w:sz w:val="24"/>
              </w:rPr>
              <w:t>监理大纲</w:t>
            </w:r>
          </w:p>
        </w:tc>
        <w:tc>
          <w:tcPr>
            <w:tcW w:w="5852" w:type="dxa"/>
          </w:tcPr>
          <w:p>
            <w:pPr>
              <w:pStyle w:val="16"/>
              <w:spacing w:before="1"/>
              <w:rPr>
                <w:b/>
                <w:color w:val="auto"/>
                <w:sz w:val="20"/>
              </w:rPr>
            </w:pPr>
          </w:p>
          <w:p>
            <w:pPr>
              <w:pStyle w:val="16"/>
              <w:ind w:left="106"/>
              <w:rPr>
                <w:color w:val="auto"/>
                <w:sz w:val="24"/>
              </w:rPr>
            </w:pPr>
            <w:r>
              <w:rPr>
                <w:color w:val="auto"/>
                <w:sz w:val="24"/>
              </w:rPr>
              <w:t>符合第五章“委托人要求”中的实质性要求和条件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661" w:type="dxa"/>
            <w:gridSpan w:val="2"/>
          </w:tcPr>
          <w:p>
            <w:pPr>
              <w:pStyle w:val="16"/>
              <w:spacing w:before="2"/>
              <w:rPr>
                <w:b/>
                <w:color w:val="auto"/>
                <w:sz w:val="20"/>
              </w:rPr>
            </w:pPr>
          </w:p>
          <w:p>
            <w:pPr>
              <w:pStyle w:val="16"/>
              <w:spacing w:before="1"/>
              <w:ind w:firstLine="482" w:firstLineChars="200"/>
              <w:rPr>
                <w:b/>
                <w:color w:val="auto"/>
                <w:sz w:val="24"/>
              </w:rPr>
            </w:pPr>
            <w:r>
              <w:rPr>
                <w:b/>
                <w:color w:val="auto"/>
                <w:sz w:val="24"/>
              </w:rPr>
              <w:t>条款号</w:t>
            </w:r>
          </w:p>
        </w:tc>
        <w:tc>
          <w:tcPr>
            <w:tcW w:w="2063" w:type="dxa"/>
          </w:tcPr>
          <w:p>
            <w:pPr>
              <w:pStyle w:val="16"/>
              <w:spacing w:before="2"/>
              <w:rPr>
                <w:b/>
                <w:color w:val="auto"/>
                <w:sz w:val="20"/>
              </w:rPr>
            </w:pPr>
          </w:p>
          <w:p>
            <w:pPr>
              <w:pStyle w:val="16"/>
              <w:spacing w:before="1"/>
              <w:ind w:left="597"/>
              <w:rPr>
                <w:b/>
                <w:color w:val="auto"/>
                <w:sz w:val="24"/>
              </w:rPr>
            </w:pPr>
            <w:r>
              <w:rPr>
                <w:b/>
                <w:color w:val="auto"/>
                <w:sz w:val="24"/>
              </w:rPr>
              <w:t>条款内容</w:t>
            </w:r>
          </w:p>
        </w:tc>
        <w:tc>
          <w:tcPr>
            <w:tcW w:w="5852" w:type="dxa"/>
          </w:tcPr>
          <w:p>
            <w:pPr>
              <w:pStyle w:val="16"/>
              <w:spacing w:before="2"/>
              <w:rPr>
                <w:b/>
                <w:color w:val="auto"/>
                <w:sz w:val="20"/>
              </w:rPr>
            </w:pPr>
          </w:p>
          <w:p>
            <w:pPr>
              <w:pStyle w:val="16"/>
              <w:spacing w:before="1"/>
              <w:ind w:left="2221" w:right="2095"/>
              <w:jc w:val="center"/>
              <w:rPr>
                <w:b/>
                <w:color w:val="auto"/>
                <w:sz w:val="24"/>
              </w:rPr>
            </w:pPr>
            <w:r>
              <w:rPr>
                <w:b/>
                <w:color w:val="auto"/>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1661" w:type="dxa"/>
            <w:gridSpan w:val="2"/>
          </w:tcPr>
          <w:p>
            <w:pPr>
              <w:pStyle w:val="16"/>
              <w:rPr>
                <w:b/>
                <w:color w:val="auto"/>
                <w:sz w:val="24"/>
              </w:rPr>
            </w:pPr>
          </w:p>
          <w:p>
            <w:pPr>
              <w:pStyle w:val="16"/>
              <w:spacing w:before="174"/>
              <w:ind w:firstLine="480" w:firstLineChars="200"/>
              <w:rPr>
                <w:color w:val="auto"/>
                <w:sz w:val="24"/>
              </w:rPr>
            </w:pPr>
            <w:r>
              <w:rPr>
                <w:color w:val="auto"/>
                <w:sz w:val="24"/>
              </w:rPr>
              <w:t>2.2.1</w:t>
            </w:r>
          </w:p>
        </w:tc>
        <w:tc>
          <w:tcPr>
            <w:tcW w:w="2063" w:type="dxa"/>
            <w:vAlign w:val="center"/>
          </w:tcPr>
          <w:p>
            <w:pPr>
              <w:pStyle w:val="16"/>
              <w:spacing w:before="174"/>
              <w:ind w:right="18"/>
              <w:jc w:val="center"/>
              <w:rPr>
                <w:color w:val="auto"/>
                <w:sz w:val="24"/>
              </w:rPr>
            </w:pPr>
            <w:r>
              <w:rPr>
                <w:color w:val="auto"/>
                <w:sz w:val="24"/>
              </w:rPr>
              <w:t>分值构成</w:t>
            </w:r>
          </w:p>
          <w:p>
            <w:pPr>
              <w:pStyle w:val="16"/>
              <w:spacing w:before="91"/>
              <w:ind w:right="18"/>
              <w:jc w:val="center"/>
              <w:rPr>
                <w:color w:val="auto"/>
                <w:sz w:val="24"/>
              </w:rPr>
            </w:pPr>
            <w:r>
              <w:rPr>
                <w:color w:val="auto"/>
                <w:sz w:val="24"/>
              </w:rPr>
              <w:t>(总分 100 分)</w:t>
            </w:r>
          </w:p>
        </w:tc>
        <w:tc>
          <w:tcPr>
            <w:tcW w:w="5852" w:type="dxa"/>
            <w:vAlign w:val="center"/>
          </w:tcPr>
          <w:p>
            <w:pPr>
              <w:pStyle w:val="16"/>
              <w:spacing w:before="1" w:line="360" w:lineRule="auto"/>
              <w:ind w:left="106"/>
              <w:jc w:val="both"/>
              <w:rPr>
                <w:rFonts w:hint="eastAsia"/>
                <w:color w:val="auto"/>
                <w:sz w:val="24"/>
              </w:rPr>
            </w:pPr>
            <w:r>
              <w:rPr>
                <w:rFonts w:hint="eastAsia"/>
                <w:color w:val="auto"/>
                <w:sz w:val="24"/>
              </w:rPr>
              <w:t>技术分值 ：</w:t>
            </w:r>
            <w:r>
              <w:rPr>
                <w:rFonts w:hint="eastAsia"/>
                <w:color w:val="auto"/>
                <w:sz w:val="24"/>
                <w:lang w:val="en-US" w:eastAsia="zh-CN"/>
              </w:rPr>
              <w:t>3</w:t>
            </w:r>
            <w:r>
              <w:rPr>
                <w:rFonts w:hint="eastAsia"/>
                <w:color w:val="auto"/>
                <w:sz w:val="24"/>
              </w:rPr>
              <w:t>0分</w:t>
            </w:r>
          </w:p>
          <w:p>
            <w:pPr>
              <w:pStyle w:val="16"/>
              <w:spacing w:before="1" w:line="360" w:lineRule="auto"/>
              <w:ind w:left="106"/>
              <w:jc w:val="both"/>
              <w:rPr>
                <w:rFonts w:hint="eastAsia"/>
                <w:color w:val="auto"/>
                <w:sz w:val="24"/>
              </w:rPr>
            </w:pPr>
            <w:r>
              <w:rPr>
                <w:rFonts w:hint="eastAsia"/>
                <w:color w:val="auto"/>
                <w:sz w:val="24"/>
              </w:rPr>
              <w:t>商务分值 ：60分</w:t>
            </w:r>
          </w:p>
          <w:p>
            <w:pPr>
              <w:pStyle w:val="16"/>
              <w:spacing w:before="1" w:line="360" w:lineRule="auto"/>
              <w:ind w:left="106"/>
              <w:jc w:val="both"/>
              <w:rPr>
                <w:color w:val="auto"/>
                <w:sz w:val="24"/>
              </w:rPr>
            </w:pPr>
            <w:r>
              <w:rPr>
                <w:rFonts w:hint="eastAsia"/>
                <w:color w:val="auto"/>
                <w:sz w:val="24"/>
              </w:rPr>
              <w:t>报价分值 ：</w:t>
            </w:r>
            <w:r>
              <w:rPr>
                <w:rFonts w:hint="eastAsia"/>
                <w:color w:val="auto"/>
                <w:sz w:val="24"/>
                <w:lang w:val="en-US" w:eastAsia="zh-CN"/>
              </w:rPr>
              <w:t>1</w:t>
            </w:r>
            <w:r>
              <w:rPr>
                <w:rFonts w:hint="eastAsia"/>
                <w:color w:val="auto"/>
                <w:sz w:val="24"/>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9" w:hRule="atLeast"/>
        </w:trPr>
        <w:tc>
          <w:tcPr>
            <w:tcW w:w="1661" w:type="dxa"/>
            <w:gridSpan w:val="2"/>
          </w:tcPr>
          <w:p>
            <w:pPr>
              <w:pStyle w:val="16"/>
              <w:rPr>
                <w:b/>
                <w:strike w:val="0"/>
                <w:dstrike w:val="0"/>
                <w:color w:val="auto"/>
                <w:sz w:val="24"/>
              </w:rPr>
            </w:pPr>
          </w:p>
          <w:p>
            <w:pPr>
              <w:pStyle w:val="16"/>
              <w:rPr>
                <w:b/>
                <w:strike w:val="0"/>
                <w:dstrike w:val="0"/>
                <w:color w:val="auto"/>
                <w:sz w:val="24"/>
              </w:rPr>
            </w:pPr>
          </w:p>
          <w:p>
            <w:pPr>
              <w:pStyle w:val="16"/>
              <w:rPr>
                <w:b/>
                <w:strike w:val="0"/>
                <w:dstrike w:val="0"/>
                <w:color w:val="auto"/>
                <w:sz w:val="24"/>
              </w:rPr>
            </w:pPr>
          </w:p>
          <w:p>
            <w:pPr>
              <w:pStyle w:val="16"/>
              <w:spacing w:before="8"/>
              <w:rPr>
                <w:b/>
                <w:strike w:val="0"/>
                <w:dstrike w:val="0"/>
                <w:color w:val="auto"/>
                <w:sz w:val="18"/>
              </w:rPr>
            </w:pPr>
          </w:p>
          <w:p>
            <w:pPr>
              <w:pStyle w:val="16"/>
              <w:spacing w:before="1"/>
              <w:ind w:firstLine="480" w:firstLineChars="200"/>
              <w:rPr>
                <w:strike w:val="0"/>
                <w:dstrike w:val="0"/>
                <w:color w:val="auto"/>
                <w:sz w:val="24"/>
              </w:rPr>
            </w:pPr>
            <w:r>
              <w:rPr>
                <w:strike w:val="0"/>
                <w:dstrike w:val="0"/>
                <w:color w:val="auto"/>
                <w:sz w:val="24"/>
              </w:rPr>
              <w:t>2.2.2</w:t>
            </w:r>
          </w:p>
        </w:tc>
        <w:tc>
          <w:tcPr>
            <w:tcW w:w="2063" w:type="dxa"/>
          </w:tcPr>
          <w:p>
            <w:pPr>
              <w:pStyle w:val="16"/>
              <w:rPr>
                <w:b/>
                <w:strike w:val="0"/>
                <w:dstrike w:val="0"/>
                <w:color w:val="auto"/>
                <w:sz w:val="24"/>
              </w:rPr>
            </w:pPr>
          </w:p>
          <w:p>
            <w:pPr>
              <w:pStyle w:val="16"/>
              <w:rPr>
                <w:b/>
                <w:strike w:val="0"/>
                <w:dstrike w:val="0"/>
                <w:color w:val="auto"/>
                <w:sz w:val="24"/>
              </w:rPr>
            </w:pPr>
          </w:p>
          <w:p>
            <w:pPr>
              <w:pStyle w:val="16"/>
              <w:spacing w:before="12"/>
              <w:rPr>
                <w:b/>
                <w:strike w:val="0"/>
                <w:dstrike w:val="0"/>
                <w:color w:val="auto"/>
                <w:sz w:val="26"/>
              </w:rPr>
            </w:pPr>
          </w:p>
          <w:p>
            <w:pPr>
              <w:pStyle w:val="16"/>
              <w:spacing w:line="312" w:lineRule="auto"/>
              <w:ind w:left="712" w:right="241" w:hanging="600"/>
              <w:rPr>
                <w:strike w:val="0"/>
                <w:dstrike w:val="0"/>
                <w:color w:val="auto"/>
                <w:sz w:val="24"/>
              </w:rPr>
            </w:pPr>
            <w:r>
              <w:rPr>
                <w:strike w:val="0"/>
                <w:dstrike w:val="0"/>
                <w:color w:val="auto"/>
                <w:sz w:val="24"/>
              </w:rPr>
              <w:t>评标基准价计算方法</w:t>
            </w:r>
          </w:p>
        </w:tc>
        <w:tc>
          <w:tcPr>
            <w:tcW w:w="5852" w:type="dxa"/>
          </w:tcPr>
          <w:p>
            <w:pPr>
              <w:pStyle w:val="16"/>
              <w:spacing w:before="161" w:line="312" w:lineRule="auto"/>
              <w:ind w:left="106" w:right="48"/>
              <w:jc w:val="both"/>
              <w:rPr>
                <w:strike w:val="0"/>
                <w:dstrike w:val="0"/>
                <w:color w:val="auto"/>
                <w:sz w:val="24"/>
              </w:rPr>
            </w:pPr>
            <w:r>
              <w:rPr>
                <w:strike w:val="0"/>
                <w:dstrike w:val="0"/>
                <w:color w:val="auto"/>
                <w:spacing w:val="-10"/>
                <w:sz w:val="24"/>
              </w:rPr>
              <w:t xml:space="preserve">当通过资格性、符合性审查的有效投标人大于 </w:t>
            </w:r>
            <w:r>
              <w:rPr>
                <w:strike w:val="0"/>
                <w:dstrike w:val="0"/>
                <w:color w:val="auto"/>
                <w:sz w:val="24"/>
              </w:rPr>
              <w:t>5</w:t>
            </w:r>
            <w:r>
              <w:rPr>
                <w:strike w:val="0"/>
                <w:dstrike w:val="0"/>
                <w:color w:val="auto"/>
                <w:spacing w:val="-30"/>
                <w:sz w:val="24"/>
              </w:rPr>
              <w:t xml:space="preserve"> 名</w:t>
            </w:r>
            <w:r>
              <w:rPr>
                <w:strike w:val="0"/>
                <w:dstrike w:val="0"/>
                <w:color w:val="auto"/>
                <w:spacing w:val="-9"/>
                <w:sz w:val="24"/>
              </w:rPr>
              <w:t>时，去掉一个最高价和一个最低价，取余下有效投</w:t>
            </w:r>
            <w:r>
              <w:rPr>
                <w:strike w:val="0"/>
                <w:dstrike w:val="0"/>
                <w:color w:val="auto"/>
                <w:spacing w:val="8"/>
                <w:sz w:val="24"/>
              </w:rPr>
              <w:t>标价的算术平均值作为评标基准价；如通过资格</w:t>
            </w:r>
            <w:r>
              <w:rPr>
                <w:strike w:val="0"/>
                <w:dstrike w:val="0"/>
                <w:color w:val="auto"/>
                <w:spacing w:val="4"/>
                <w:sz w:val="24"/>
              </w:rPr>
              <w:t xml:space="preserve">性、符合性审查的有效投标人等于或小于 </w:t>
            </w:r>
            <w:r>
              <w:rPr>
                <w:strike w:val="0"/>
                <w:dstrike w:val="0"/>
                <w:color w:val="auto"/>
                <w:sz w:val="24"/>
              </w:rPr>
              <w:t>5</w:t>
            </w:r>
            <w:r>
              <w:rPr>
                <w:strike w:val="0"/>
                <w:dstrike w:val="0"/>
                <w:color w:val="auto"/>
                <w:spacing w:val="-20"/>
                <w:sz w:val="24"/>
              </w:rPr>
              <w:t xml:space="preserve"> 名时， </w:t>
            </w:r>
            <w:r>
              <w:rPr>
                <w:strike w:val="0"/>
                <w:dstrike w:val="0"/>
                <w:color w:val="auto"/>
                <w:spacing w:val="-3"/>
                <w:sz w:val="24"/>
              </w:rPr>
              <w:t>则将有效投标价的算术平均值作为评标基准价</w:t>
            </w:r>
            <w:r>
              <w:rPr>
                <w:strike w:val="0"/>
                <w:dstrike w:val="0"/>
                <w:color w:val="auto"/>
                <w:sz w:val="24"/>
              </w:rPr>
              <w:t>（保留三位小数</w:t>
            </w:r>
            <w:r>
              <w:rPr>
                <w:strike w:val="0"/>
                <w:dstrike w:val="0"/>
                <w:color w:val="auto"/>
                <w:sz w:val="28"/>
              </w:rPr>
              <w:t>）</w:t>
            </w:r>
            <w:r>
              <w:rPr>
                <w:strike w:val="0"/>
                <w:dstrike w:val="0"/>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61" w:type="dxa"/>
            <w:gridSpan w:val="2"/>
          </w:tcPr>
          <w:p>
            <w:pPr>
              <w:pStyle w:val="16"/>
              <w:spacing w:before="12"/>
              <w:rPr>
                <w:b/>
                <w:color w:val="auto"/>
                <w:sz w:val="21"/>
              </w:rPr>
            </w:pPr>
          </w:p>
          <w:p>
            <w:pPr>
              <w:pStyle w:val="16"/>
              <w:ind w:firstLine="480" w:firstLineChars="200"/>
              <w:rPr>
                <w:rFonts w:hint="eastAsia" w:eastAsia="宋体"/>
                <w:color w:val="auto"/>
                <w:sz w:val="24"/>
                <w:lang w:eastAsia="zh-CN"/>
              </w:rPr>
            </w:pPr>
            <w:r>
              <w:rPr>
                <w:color w:val="auto"/>
                <w:sz w:val="24"/>
              </w:rPr>
              <w:t>2.2.</w:t>
            </w:r>
            <w:r>
              <w:rPr>
                <w:rFonts w:hint="eastAsia"/>
                <w:color w:val="auto"/>
                <w:sz w:val="24"/>
                <w:lang w:val="en-US" w:eastAsia="zh-CN"/>
              </w:rPr>
              <w:t>2</w:t>
            </w:r>
          </w:p>
        </w:tc>
        <w:tc>
          <w:tcPr>
            <w:tcW w:w="2063" w:type="dxa"/>
          </w:tcPr>
          <w:p>
            <w:pPr>
              <w:pStyle w:val="16"/>
              <w:spacing w:before="80"/>
              <w:ind w:left="302"/>
              <w:rPr>
                <w:color w:val="auto"/>
                <w:sz w:val="24"/>
              </w:rPr>
            </w:pPr>
            <w:r>
              <w:rPr>
                <w:color w:val="auto"/>
                <w:sz w:val="24"/>
              </w:rPr>
              <w:t>投标报价的偏</w:t>
            </w:r>
          </w:p>
          <w:p>
            <w:pPr>
              <w:pStyle w:val="16"/>
              <w:spacing w:before="93" w:line="299" w:lineRule="exact"/>
              <w:ind w:left="302"/>
              <w:rPr>
                <w:color w:val="auto"/>
                <w:sz w:val="24"/>
              </w:rPr>
            </w:pPr>
            <w:r>
              <w:rPr>
                <w:color w:val="auto"/>
                <w:sz w:val="24"/>
              </w:rPr>
              <w:t>差率计算公式</w:t>
            </w:r>
          </w:p>
        </w:tc>
        <w:tc>
          <w:tcPr>
            <w:tcW w:w="5852" w:type="dxa"/>
          </w:tcPr>
          <w:p>
            <w:pPr>
              <w:pStyle w:val="16"/>
              <w:spacing w:before="12"/>
              <w:rPr>
                <w:b/>
                <w:color w:val="auto"/>
                <w:sz w:val="21"/>
              </w:rPr>
            </w:pPr>
          </w:p>
          <w:p>
            <w:pPr>
              <w:pStyle w:val="16"/>
              <w:ind w:left="190"/>
              <w:rPr>
                <w:color w:val="auto"/>
                <w:sz w:val="24"/>
              </w:rPr>
            </w:pPr>
            <w:r>
              <w:rPr>
                <w:color w:val="auto"/>
                <w:sz w:val="24"/>
              </w:rPr>
              <w:t>不计算偏差率。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661" w:type="dxa"/>
            <w:gridSpan w:val="2"/>
          </w:tcPr>
          <w:p>
            <w:pPr>
              <w:pStyle w:val="16"/>
              <w:spacing w:before="2"/>
              <w:rPr>
                <w:b/>
                <w:color w:val="auto"/>
                <w:sz w:val="20"/>
              </w:rPr>
            </w:pPr>
          </w:p>
          <w:p>
            <w:pPr>
              <w:pStyle w:val="16"/>
              <w:ind w:firstLine="482" w:firstLineChars="200"/>
              <w:rPr>
                <w:rFonts w:hint="eastAsia" w:eastAsia="宋体"/>
                <w:b/>
                <w:color w:val="auto"/>
                <w:sz w:val="24"/>
                <w:lang w:eastAsia="zh-CN"/>
              </w:rPr>
            </w:pPr>
            <w:r>
              <w:rPr>
                <w:b/>
                <w:color w:val="auto"/>
                <w:sz w:val="24"/>
              </w:rPr>
              <w:t>条款号</w:t>
            </w:r>
          </w:p>
        </w:tc>
        <w:tc>
          <w:tcPr>
            <w:tcW w:w="2063" w:type="dxa"/>
            <w:vAlign w:val="top"/>
          </w:tcPr>
          <w:p>
            <w:pPr>
              <w:pStyle w:val="16"/>
              <w:spacing w:before="2"/>
              <w:jc w:val="center"/>
              <w:rPr>
                <w:b/>
                <w:color w:val="auto"/>
                <w:sz w:val="20"/>
              </w:rPr>
            </w:pPr>
          </w:p>
          <w:p>
            <w:pPr>
              <w:pStyle w:val="16"/>
              <w:ind w:left="107"/>
              <w:jc w:val="center"/>
              <w:rPr>
                <w:b/>
                <w:color w:val="auto"/>
                <w:sz w:val="24"/>
              </w:rPr>
            </w:pPr>
            <w:r>
              <w:rPr>
                <w:b/>
                <w:color w:val="auto"/>
                <w:sz w:val="24"/>
              </w:rPr>
              <w:t>评审因素</w:t>
            </w:r>
          </w:p>
        </w:tc>
        <w:tc>
          <w:tcPr>
            <w:tcW w:w="5852" w:type="dxa"/>
          </w:tcPr>
          <w:p>
            <w:pPr>
              <w:pStyle w:val="16"/>
              <w:spacing w:before="2"/>
              <w:rPr>
                <w:b/>
                <w:color w:val="auto"/>
                <w:sz w:val="20"/>
              </w:rPr>
            </w:pPr>
          </w:p>
          <w:p>
            <w:pPr>
              <w:pStyle w:val="16"/>
              <w:ind w:left="2197" w:right="2153"/>
              <w:jc w:val="center"/>
              <w:rPr>
                <w:b/>
                <w:color w:val="auto"/>
                <w:sz w:val="24"/>
              </w:rPr>
            </w:pPr>
            <w:r>
              <w:rPr>
                <w:b/>
                <w:color w:val="auto"/>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49" w:type="dxa"/>
            <w:vMerge w:val="restart"/>
            <w:tcBorders>
              <w:right w:val="single" w:color="auto" w:sz="4" w:space="0"/>
            </w:tcBorders>
            <w:vAlign w:val="center"/>
          </w:tcPr>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cs="宋体"/>
                <w:color w:val="auto"/>
                <w:sz w:val="24"/>
                <w:szCs w:val="22"/>
                <w:lang w:val="en-US" w:eastAsia="zh-CN" w:bidi="zh-CN"/>
              </w:rPr>
            </w:pPr>
            <w:r>
              <w:rPr>
                <w:rFonts w:hint="eastAsia" w:cs="宋体"/>
                <w:color w:val="auto"/>
                <w:sz w:val="24"/>
                <w:szCs w:val="22"/>
                <w:lang w:val="en-US" w:eastAsia="zh-CN" w:bidi="zh-CN"/>
              </w:rPr>
              <w:t>2.2.3</w:t>
            </w:r>
          </w:p>
          <w:p>
            <w:pPr>
              <w:pStyle w:val="2"/>
              <w:rPr>
                <w:rFonts w:hint="default"/>
                <w:color w:val="auto"/>
                <w:lang w:val="en-US" w:eastAsia="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en-US" w:eastAsia="zh-CN" w:bidi="zh-CN"/>
              </w:rPr>
            </w:pPr>
          </w:p>
        </w:tc>
        <w:tc>
          <w:tcPr>
            <w:tcW w:w="1012" w:type="dxa"/>
            <w:vMerge w:val="restart"/>
            <w:tcBorders>
              <w:left w:val="single" w:color="auto" w:sz="4" w:space="0"/>
            </w:tcBorders>
            <w:vAlign w:val="center"/>
          </w:tcPr>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p>
          <w:p>
            <w:pPr>
              <w:spacing w:line="420" w:lineRule="exact"/>
              <w:jc w:val="center"/>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技术评审（分值：</w:t>
            </w:r>
            <w:r>
              <w:rPr>
                <w:rFonts w:hint="eastAsia" w:ascii="宋体" w:hAnsi="宋体" w:eastAsia="宋体" w:cs="宋体"/>
                <w:color w:val="auto"/>
                <w:sz w:val="24"/>
                <w:szCs w:val="22"/>
                <w:lang w:val="en-US" w:eastAsia="zh-CN" w:bidi="zh-CN"/>
              </w:rPr>
              <w:t>3</w:t>
            </w:r>
            <w:r>
              <w:rPr>
                <w:rFonts w:hint="eastAsia" w:ascii="宋体" w:hAnsi="宋体" w:eastAsia="宋体" w:cs="宋体"/>
                <w:color w:val="auto"/>
                <w:sz w:val="24"/>
                <w:szCs w:val="22"/>
                <w:lang w:val="zh-CN" w:eastAsia="zh-CN" w:bidi="zh-CN"/>
              </w:rPr>
              <w:t>0分）</w:t>
            </w:r>
          </w:p>
          <w:p>
            <w:pPr>
              <w:spacing w:line="420" w:lineRule="exact"/>
              <w:jc w:val="center"/>
              <w:rPr>
                <w:rFonts w:hint="eastAsia" w:ascii="宋体" w:hAnsi="宋体" w:eastAsia="宋体" w:cs="宋体"/>
                <w:color w:val="auto"/>
                <w:sz w:val="24"/>
                <w:szCs w:val="22"/>
                <w:lang w:val="zh-CN" w:eastAsia="zh-CN" w:bidi="zh-CN"/>
              </w:rPr>
            </w:pPr>
          </w:p>
        </w:tc>
        <w:tc>
          <w:tcPr>
            <w:tcW w:w="2063" w:type="dxa"/>
            <w:vAlign w:val="center"/>
          </w:tcPr>
          <w:p>
            <w:pPr>
              <w:autoSpaceDN w:val="0"/>
              <w:spacing w:line="240" w:lineRule="auto"/>
              <w:ind w:left="0" w:leftChars="0" w:right="0" w:rightChars="0"/>
              <w:jc w:val="center"/>
              <w:rPr>
                <w:rFonts w:hint="default" w:ascii="宋体" w:hAnsi="宋体" w:eastAsia="宋体" w:cs="宋体"/>
                <w:color w:val="auto"/>
                <w:sz w:val="24"/>
                <w:szCs w:val="22"/>
                <w:lang w:val="en-US" w:eastAsia="zh-CN" w:bidi="zh-CN"/>
              </w:rPr>
            </w:pPr>
            <w:r>
              <w:rPr>
                <w:rFonts w:hint="eastAsia" w:ascii="宋体" w:hAnsi="宋体" w:eastAsia="宋体" w:cs="宋体"/>
                <w:color w:val="auto"/>
                <w:sz w:val="21"/>
              </w:rPr>
              <w:t>投资控制措施</w:t>
            </w:r>
            <w:r>
              <w:rPr>
                <w:rFonts w:hint="eastAsia" w:cs="宋体"/>
                <w:color w:val="auto"/>
                <w:sz w:val="21"/>
                <w:lang w:val="en-US" w:eastAsia="zh-CN"/>
              </w:rPr>
              <w:t>(4分)</w:t>
            </w:r>
          </w:p>
        </w:tc>
        <w:tc>
          <w:tcPr>
            <w:tcW w:w="5852" w:type="dxa"/>
            <w:vAlign w:val="center"/>
          </w:tcPr>
          <w:p>
            <w:pPr>
              <w:autoSpaceDN w:val="0"/>
              <w:spacing w:line="240" w:lineRule="auto"/>
              <w:ind w:left="0" w:leftChars="0" w:right="0" w:rightChars="0"/>
              <w:rPr>
                <w:rFonts w:ascii="宋体" w:hAnsi="宋体" w:eastAsia="宋体" w:cs="宋体"/>
                <w:color w:val="auto"/>
                <w:sz w:val="24"/>
                <w:szCs w:val="22"/>
                <w:lang w:val="zh-CN" w:eastAsia="zh-CN" w:bidi="zh-CN"/>
              </w:rPr>
            </w:pPr>
            <w:r>
              <w:rPr>
                <w:rFonts w:hint="eastAsia" w:ascii="宋体" w:hAnsi="宋体" w:eastAsia="宋体" w:cs="宋体"/>
                <w:color w:val="auto"/>
                <w:sz w:val="21"/>
              </w:rPr>
              <w:t>要求目标明确、方法合理可行、措施具体、针对性强。优得4分，良得2分，中得1分，差或无得0分。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49" w:type="dxa"/>
            <w:vMerge w:val="continue"/>
            <w:tcBorders>
              <w:right w:val="single" w:color="auto" w:sz="4" w:space="0"/>
            </w:tcBorders>
            <w:vAlign w:val="center"/>
          </w:tcPr>
          <w:p>
            <w:pPr>
              <w:spacing w:line="420" w:lineRule="exact"/>
              <w:ind w:left="0" w:leftChars="0" w:right="0" w:rightChars="0"/>
              <w:jc w:val="center"/>
              <w:rPr>
                <w:rFonts w:hint="eastAsia" w:ascii="宋体" w:hAnsi="宋体" w:eastAsia="宋体" w:cs="宋体"/>
                <w:color w:val="auto"/>
                <w:sz w:val="24"/>
                <w:szCs w:val="22"/>
                <w:lang w:val="en-US" w:eastAsia="zh-CN" w:bidi="zh-CN"/>
              </w:rPr>
            </w:pPr>
          </w:p>
        </w:tc>
        <w:tc>
          <w:tcPr>
            <w:tcW w:w="1012" w:type="dxa"/>
            <w:vMerge w:val="continue"/>
            <w:tcBorders>
              <w:left w:val="single" w:color="auto" w:sz="4" w:space="0"/>
            </w:tcBorders>
            <w:vAlign w:val="center"/>
          </w:tcPr>
          <w:p>
            <w:pPr>
              <w:spacing w:line="420" w:lineRule="exact"/>
              <w:ind w:left="0" w:leftChars="0" w:right="0" w:rightChars="0"/>
              <w:jc w:val="center"/>
              <w:rPr>
                <w:rFonts w:hint="eastAsia" w:ascii="宋体" w:hAnsi="宋体" w:eastAsia="宋体" w:cs="宋体"/>
                <w:color w:val="auto"/>
                <w:sz w:val="24"/>
                <w:szCs w:val="22"/>
                <w:lang w:val="en-US" w:eastAsia="zh-CN" w:bidi="zh-CN"/>
              </w:rPr>
            </w:pPr>
          </w:p>
        </w:tc>
        <w:tc>
          <w:tcPr>
            <w:tcW w:w="2063" w:type="dxa"/>
            <w:vAlign w:val="center"/>
          </w:tcPr>
          <w:p>
            <w:pPr>
              <w:autoSpaceDN w:val="0"/>
              <w:spacing w:line="240" w:lineRule="auto"/>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rPr>
              <w:t>进度控制措施</w:t>
            </w:r>
            <w:r>
              <w:rPr>
                <w:rFonts w:hint="eastAsia" w:cs="宋体"/>
                <w:color w:val="auto"/>
                <w:sz w:val="21"/>
                <w:lang w:val="en-US" w:eastAsia="zh-CN"/>
              </w:rPr>
              <w:t>(4分)</w:t>
            </w:r>
          </w:p>
        </w:tc>
        <w:tc>
          <w:tcPr>
            <w:tcW w:w="5852" w:type="dxa"/>
            <w:vAlign w:val="center"/>
          </w:tcPr>
          <w:p>
            <w:pPr>
              <w:autoSpaceDN w:val="0"/>
              <w:spacing w:line="240" w:lineRule="auto"/>
              <w:ind w:left="0" w:leftChars="0" w:right="0" w:rightChars="0"/>
              <w:rPr>
                <w:rFonts w:ascii="宋体" w:hAnsi="宋体" w:eastAsia="宋体" w:cs="宋体"/>
                <w:color w:val="auto"/>
                <w:sz w:val="24"/>
                <w:szCs w:val="22"/>
                <w:lang w:val="zh-CN" w:eastAsia="zh-CN" w:bidi="zh-CN"/>
              </w:rPr>
            </w:pPr>
            <w:r>
              <w:rPr>
                <w:rFonts w:hint="eastAsia" w:ascii="宋体" w:hAnsi="宋体" w:eastAsia="宋体" w:cs="宋体"/>
                <w:color w:val="auto"/>
                <w:sz w:val="21"/>
              </w:rPr>
              <w:t>对进度控制措施的目标、方法、措施等进行横向对比。优得4分，良得2分，中得1分，差或无得0分。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49" w:type="dxa"/>
            <w:vMerge w:val="continue"/>
            <w:tcBorders>
              <w:right w:val="single" w:color="auto" w:sz="4" w:space="0"/>
            </w:tcBorders>
            <w:vAlign w:val="center"/>
          </w:tcPr>
          <w:p>
            <w:pPr>
              <w:spacing w:line="420" w:lineRule="exact"/>
              <w:ind w:left="0" w:leftChars="0" w:right="0" w:rightChars="0"/>
              <w:jc w:val="center"/>
              <w:rPr>
                <w:rFonts w:hint="eastAsia" w:ascii="宋体" w:hAnsi="宋体" w:eastAsia="宋体" w:cs="宋体"/>
                <w:color w:val="auto"/>
                <w:sz w:val="24"/>
                <w:szCs w:val="22"/>
                <w:lang w:val="en-US" w:eastAsia="zh-CN" w:bidi="zh-CN"/>
              </w:rPr>
            </w:pPr>
          </w:p>
        </w:tc>
        <w:tc>
          <w:tcPr>
            <w:tcW w:w="1012" w:type="dxa"/>
            <w:vMerge w:val="continue"/>
            <w:tcBorders>
              <w:left w:val="single" w:color="auto" w:sz="4" w:space="0"/>
            </w:tcBorders>
            <w:vAlign w:val="center"/>
          </w:tcPr>
          <w:p>
            <w:pPr>
              <w:spacing w:line="420" w:lineRule="exact"/>
              <w:ind w:left="0" w:leftChars="0" w:right="0" w:rightChars="0"/>
              <w:jc w:val="center"/>
              <w:rPr>
                <w:rFonts w:hint="eastAsia" w:ascii="宋体" w:hAnsi="宋体" w:eastAsia="宋体" w:cs="宋体"/>
                <w:color w:val="auto"/>
                <w:sz w:val="24"/>
                <w:szCs w:val="22"/>
                <w:lang w:val="en-US" w:eastAsia="zh-CN" w:bidi="zh-CN"/>
              </w:rPr>
            </w:pPr>
          </w:p>
        </w:tc>
        <w:tc>
          <w:tcPr>
            <w:tcW w:w="2063" w:type="dxa"/>
            <w:vAlign w:val="center"/>
          </w:tcPr>
          <w:p>
            <w:pPr>
              <w:autoSpaceDN w:val="0"/>
              <w:spacing w:line="240" w:lineRule="auto"/>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rPr>
              <w:t>质量控制措施</w:t>
            </w:r>
            <w:r>
              <w:rPr>
                <w:rFonts w:hint="eastAsia" w:cs="宋体"/>
                <w:color w:val="auto"/>
                <w:sz w:val="21"/>
                <w:lang w:val="en-US" w:eastAsia="zh-CN"/>
              </w:rPr>
              <w:t>(4分)</w:t>
            </w:r>
          </w:p>
        </w:tc>
        <w:tc>
          <w:tcPr>
            <w:tcW w:w="5852" w:type="dxa"/>
            <w:vAlign w:val="center"/>
          </w:tcPr>
          <w:p>
            <w:pPr>
              <w:autoSpaceDN w:val="0"/>
              <w:spacing w:line="240" w:lineRule="auto"/>
              <w:ind w:left="0" w:leftChars="0" w:right="0" w:rightChars="0"/>
              <w:rPr>
                <w:rFonts w:ascii="宋体" w:hAnsi="宋体" w:eastAsia="宋体" w:cs="宋体"/>
                <w:color w:val="auto"/>
                <w:sz w:val="24"/>
                <w:szCs w:val="22"/>
                <w:lang w:val="zh-CN" w:eastAsia="zh-CN" w:bidi="zh-CN"/>
              </w:rPr>
            </w:pPr>
            <w:r>
              <w:rPr>
                <w:rFonts w:hint="eastAsia" w:ascii="宋体" w:hAnsi="宋体" w:eastAsia="宋体" w:cs="宋体"/>
                <w:color w:val="auto"/>
                <w:sz w:val="21"/>
              </w:rPr>
              <w:t>要求目标明确、科学可行、管理明晰。优得4分，良得2分，中得1分，差或无得0分。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49" w:type="dxa"/>
            <w:vMerge w:val="continue"/>
            <w:tcBorders>
              <w:right w:val="single" w:color="auto" w:sz="4" w:space="0"/>
            </w:tcBorders>
            <w:vAlign w:val="center"/>
          </w:tcPr>
          <w:p>
            <w:pPr>
              <w:spacing w:line="420" w:lineRule="exact"/>
              <w:ind w:left="0" w:leftChars="0" w:right="0" w:rightChars="0"/>
              <w:jc w:val="center"/>
              <w:rPr>
                <w:rFonts w:hint="eastAsia" w:ascii="宋体" w:hAnsi="宋体" w:eastAsia="宋体" w:cs="宋体"/>
                <w:color w:val="auto"/>
                <w:sz w:val="24"/>
                <w:szCs w:val="22"/>
                <w:lang w:val="en-US" w:eastAsia="zh-CN" w:bidi="zh-CN"/>
              </w:rPr>
            </w:pPr>
          </w:p>
        </w:tc>
        <w:tc>
          <w:tcPr>
            <w:tcW w:w="1012" w:type="dxa"/>
            <w:vMerge w:val="continue"/>
            <w:tcBorders>
              <w:left w:val="single" w:color="auto" w:sz="4" w:space="0"/>
            </w:tcBorders>
            <w:vAlign w:val="center"/>
          </w:tcPr>
          <w:p>
            <w:pPr>
              <w:spacing w:line="420" w:lineRule="exact"/>
              <w:ind w:left="0" w:leftChars="0" w:right="0" w:rightChars="0"/>
              <w:jc w:val="center"/>
              <w:rPr>
                <w:rFonts w:hint="eastAsia" w:ascii="宋体" w:hAnsi="宋体" w:eastAsia="宋体" w:cs="宋体"/>
                <w:color w:val="auto"/>
                <w:sz w:val="24"/>
                <w:szCs w:val="22"/>
                <w:lang w:val="en-US" w:eastAsia="zh-CN" w:bidi="zh-CN"/>
              </w:rPr>
            </w:pPr>
          </w:p>
        </w:tc>
        <w:tc>
          <w:tcPr>
            <w:tcW w:w="2063" w:type="dxa"/>
            <w:vAlign w:val="center"/>
          </w:tcPr>
          <w:p>
            <w:pPr>
              <w:autoSpaceDN w:val="0"/>
              <w:spacing w:line="240" w:lineRule="auto"/>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rPr>
              <w:t>合同管理、信息管理</w:t>
            </w:r>
            <w:r>
              <w:rPr>
                <w:rFonts w:hint="eastAsia" w:cs="宋体"/>
                <w:color w:val="auto"/>
                <w:sz w:val="21"/>
                <w:lang w:val="en-US" w:eastAsia="zh-CN"/>
              </w:rPr>
              <w:t>(3分)</w:t>
            </w:r>
          </w:p>
        </w:tc>
        <w:tc>
          <w:tcPr>
            <w:tcW w:w="5852" w:type="dxa"/>
            <w:vAlign w:val="center"/>
          </w:tcPr>
          <w:p>
            <w:pPr>
              <w:autoSpaceDN w:val="0"/>
              <w:spacing w:line="240" w:lineRule="auto"/>
              <w:ind w:left="0" w:leftChars="0" w:right="0" w:rightChars="0"/>
              <w:rPr>
                <w:rFonts w:ascii="宋体" w:hAnsi="宋体" w:eastAsia="宋体" w:cs="宋体"/>
                <w:color w:val="auto"/>
                <w:sz w:val="24"/>
                <w:szCs w:val="22"/>
                <w:lang w:val="zh-CN" w:eastAsia="zh-CN" w:bidi="zh-CN"/>
              </w:rPr>
            </w:pPr>
            <w:r>
              <w:rPr>
                <w:rFonts w:hint="eastAsia" w:ascii="宋体" w:hAnsi="宋体" w:eastAsia="宋体" w:cs="宋体"/>
                <w:color w:val="auto"/>
                <w:sz w:val="21"/>
              </w:rPr>
              <w:t>对合同管理、信息管理进行横向对比。优得3分，良得2分，中得1分，差或无得0分。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49" w:type="dxa"/>
            <w:vMerge w:val="continue"/>
            <w:tcBorders>
              <w:right w:val="single" w:color="auto" w:sz="4" w:space="0"/>
            </w:tcBorders>
            <w:vAlign w:val="center"/>
          </w:tcPr>
          <w:p>
            <w:pPr>
              <w:spacing w:line="420" w:lineRule="exact"/>
              <w:ind w:left="0" w:leftChars="0" w:right="0" w:rightChars="0"/>
              <w:jc w:val="center"/>
              <w:rPr>
                <w:rFonts w:hint="eastAsia" w:ascii="宋体" w:hAnsi="宋体" w:eastAsia="宋体" w:cs="宋体"/>
                <w:color w:val="auto"/>
                <w:sz w:val="24"/>
                <w:szCs w:val="22"/>
                <w:lang w:val="en-US" w:eastAsia="zh-CN" w:bidi="zh-CN"/>
              </w:rPr>
            </w:pPr>
          </w:p>
        </w:tc>
        <w:tc>
          <w:tcPr>
            <w:tcW w:w="1012" w:type="dxa"/>
            <w:vMerge w:val="continue"/>
            <w:tcBorders>
              <w:left w:val="single" w:color="auto" w:sz="4" w:space="0"/>
            </w:tcBorders>
            <w:vAlign w:val="center"/>
          </w:tcPr>
          <w:p>
            <w:pPr>
              <w:spacing w:line="420" w:lineRule="exact"/>
              <w:ind w:left="0" w:leftChars="0" w:right="0" w:rightChars="0"/>
              <w:jc w:val="center"/>
              <w:rPr>
                <w:rFonts w:hint="eastAsia" w:ascii="宋体" w:hAnsi="宋体" w:eastAsia="宋体" w:cs="宋体"/>
                <w:color w:val="auto"/>
                <w:sz w:val="24"/>
                <w:szCs w:val="22"/>
                <w:lang w:val="en-US" w:eastAsia="zh-CN" w:bidi="zh-CN"/>
              </w:rPr>
            </w:pPr>
          </w:p>
        </w:tc>
        <w:tc>
          <w:tcPr>
            <w:tcW w:w="2063" w:type="dxa"/>
            <w:vAlign w:val="center"/>
          </w:tcPr>
          <w:p>
            <w:pPr>
              <w:autoSpaceDN w:val="0"/>
              <w:spacing w:line="240" w:lineRule="auto"/>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rPr>
              <w:t>组织协调</w:t>
            </w:r>
            <w:r>
              <w:rPr>
                <w:rFonts w:hint="eastAsia" w:cs="宋体"/>
                <w:color w:val="auto"/>
                <w:sz w:val="21"/>
                <w:lang w:val="en-US" w:eastAsia="zh-CN"/>
              </w:rPr>
              <w:t>(3分)</w:t>
            </w:r>
          </w:p>
        </w:tc>
        <w:tc>
          <w:tcPr>
            <w:tcW w:w="5852" w:type="dxa"/>
            <w:vAlign w:val="center"/>
          </w:tcPr>
          <w:p>
            <w:pPr>
              <w:autoSpaceDN w:val="0"/>
              <w:spacing w:line="240" w:lineRule="auto"/>
              <w:ind w:left="0" w:leftChars="0" w:right="0" w:rightChars="0"/>
              <w:rPr>
                <w:rFonts w:ascii="宋体" w:hAnsi="宋体" w:eastAsia="宋体" w:cs="宋体"/>
                <w:color w:val="auto"/>
                <w:sz w:val="24"/>
                <w:szCs w:val="22"/>
                <w:lang w:val="zh-CN" w:eastAsia="zh-CN" w:bidi="zh-CN"/>
              </w:rPr>
            </w:pPr>
            <w:r>
              <w:rPr>
                <w:rFonts w:hint="eastAsia" w:ascii="宋体" w:hAnsi="宋体" w:eastAsia="宋体" w:cs="宋体"/>
                <w:color w:val="auto"/>
                <w:sz w:val="21"/>
              </w:rPr>
              <w:t>协调方法合理、针对性强、有具体措施。优得3分，良得2分，中得1分，差或无得0分。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49" w:type="dxa"/>
            <w:vMerge w:val="continue"/>
            <w:tcBorders>
              <w:right w:val="single" w:color="auto" w:sz="4" w:space="0"/>
            </w:tcBorders>
            <w:vAlign w:val="center"/>
          </w:tcPr>
          <w:p>
            <w:pPr>
              <w:ind w:left="0" w:leftChars="0" w:right="0" w:rightChars="0"/>
              <w:jc w:val="center"/>
              <w:rPr>
                <w:rFonts w:hint="eastAsia" w:ascii="宋体" w:hAnsi="宋体" w:eastAsia="宋体" w:cs="宋体"/>
                <w:color w:val="auto"/>
                <w:sz w:val="24"/>
                <w:szCs w:val="22"/>
                <w:lang w:val="en-US" w:eastAsia="zh-CN" w:bidi="zh-CN"/>
              </w:rPr>
            </w:pPr>
          </w:p>
        </w:tc>
        <w:tc>
          <w:tcPr>
            <w:tcW w:w="1012" w:type="dxa"/>
            <w:vMerge w:val="continue"/>
            <w:tcBorders>
              <w:left w:val="single" w:color="auto" w:sz="4" w:space="0"/>
            </w:tcBorders>
            <w:vAlign w:val="center"/>
          </w:tcPr>
          <w:p>
            <w:pPr>
              <w:ind w:left="0" w:leftChars="0" w:right="0" w:rightChars="0"/>
              <w:jc w:val="center"/>
              <w:rPr>
                <w:rFonts w:hint="eastAsia" w:ascii="宋体" w:hAnsi="宋体" w:eastAsia="宋体" w:cs="宋体"/>
                <w:color w:val="auto"/>
                <w:sz w:val="24"/>
                <w:szCs w:val="22"/>
                <w:lang w:val="en-US" w:eastAsia="zh-CN" w:bidi="zh-CN"/>
              </w:rPr>
            </w:pPr>
          </w:p>
        </w:tc>
        <w:tc>
          <w:tcPr>
            <w:tcW w:w="2063" w:type="dxa"/>
            <w:vAlign w:val="center"/>
          </w:tcPr>
          <w:p>
            <w:pPr>
              <w:autoSpaceDN w:val="0"/>
              <w:spacing w:line="240" w:lineRule="auto"/>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rPr>
              <w:t>监理工作程序</w:t>
            </w:r>
            <w:r>
              <w:rPr>
                <w:rFonts w:hint="eastAsia" w:cs="宋体"/>
                <w:color w:val="auto"/>
                <w:sz w:val="21"/>
                <w:lang w:val="en-US" w:eastAsia="zh-CN"/>
              </w:rPr>
              <w:t>(3分)</w:t>
            </w:r>
          </w:p>
        </w:tc>
        <w:tc>
          <w:tcPr>
            <w:tcW w:w="5852" w:type="dxa"/>
            <w:vAlign w:val="center"/>
          </w:tcPr>
          <w:p>
            <w:pPr>
              <w:autoSpaceDN w:val="0"/>
              <w:spacing w:line="240" w:lineRule="auto"/>
              <w:ind w:left="0" w:leftChars="0" w:right="0" w:rightChars="0"/>
              <w:rPr>
                <w:rFonts w:ascii="宋体" w:hAnsi="宋体" w:eastAsia="宋体" w:cs="宋体"/>
                <w:color w:val="auto"/>
                <w:sz w:val="24"/>
                <w:szCs w:val="22"/>
                <w:lang w:val="zh-CN" w:eastAsia="zh-CN" w:bidi="zh-CN"/>
              </w:rPr>
            </w:pPr>
            <w:r>
              <w:rPr>
                <w:rFonts w:hint="eastAsia" w:ascii="宋体" w:hAnsi="宋体" w:eastAsia="宋体" w:cs="宋体"/>
                <w:color w:val="auto"/>
                <w:sz w:val="21"/>
              </w:rPr>
              <w:t>有清晰的工作流程图、工作准则。优得3分，良得2分，中得1分，差或无得0分。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49" w:type="dxa"/>
            <w:vMerge w:val="continue"/>
            <w:tcBorders>
              <w:right w:val="single" w:color="auto" w:sz="4" w:space="0"/>
            </w:tcBorders>
            <w:vAlign w:val="center"/>
          </w:tcPr>
          <w:p>
            <w:pPr>
              <w:ind w:left="0" w:leftChars="0" w:right="0" w:rightChars="0"/>
              <w:jc w:val="center"/>
              <w:rPr>
                <w:rFonts w:hint="eastAsia" w:ascii="宋体" w:hAnsi="宋体" w:eastAsia="宋体" w:cs="宋体"/>
                <w:color w:val="auto"/>
                <w:sz w:val="24"/>
                <w:szCs w:val="22"/>
                <w:lang w:val="en-US" w:eastAsia="zh-CN" w:bidi="zh-CN"/>
              </w:rPr>
            </w:pPr>
          </w:p>
        </w:tc>
        <w:tc>
          <w:tcPr>
            <w:tcW w:w="1012" w:type="dxa"/>
            <w:vMerge w:val="continue"/>
            <w:tcBorders>
              <w:left w:val="single" w:color="auto" w:sz="4" w:space="0"/>
            </w:tcBorders>
            <w:vAlign w:val="center"/>
          </w:tcPr>
          <w:p>
            <w:pPr>
              <w:ind w:left="0" w:leftChars="0" w:right="0" w:rightChars="0"/>
              <w:jc w:val="center"/>
              <w:rPr>
                <w:rFonts w:hint="eastAsia" w:ascii="宋体" w:hAnsi="宋体" w:eastAsia="宋体" w:cs="宋体"/>
                <w:color w:val="auto"/>
                <w:sz w:val="24"/>
                <w:szCs w:val="22"/>
                <w:lang w:val="en-US" w:eastAsia="zh-CN" w:bidi="zh-CN"/>
              </w:rPr>
            </w:pPr>
          </w:p>
        </w:tc>
        <w:tc>
          <w:tcPr>
            <w:tcW w:w="2063" w:type="dxa"/>
            <w:vAlign w:val="center"/>
          </w:tcPr>
          <w:p>
            <w:pPr>
              <w:autoSpaceDN w:val="0"/>
              <w:spacing w:line="240" w:lineRule="auto"/>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rPr>
              <w:t>安全、文明施工管理</w:t>
            </w:r>
            <w:r>
              <w:rPr>
                <w:rFonts w:hint="eastAsia" w:cs="宋体"/>
                <w:color w:val="auto"/>
                <w:sz w:val="21"/>
                <w:lang w:val="en-US" w:eastAsia="zh-CN"/>
              </w:rPr>
              <w:t>(3分)</w:t>
            </w:r>
          </w:p>
        </w:tc>
        <w:tc>
          <w:tcPr>
            <w:tcW w:w="5852" w:type="dxa"/>
            <w:vAlign w:val="center"/>
          </w:tcPr>
          <w:p>
            <w:pPr>
              <w:autoSpaceDN w:val="0"/>
              <w:spacing w:line="240" w:lineRule="auto"/>
              <w:ind w:left="0" w:leftChars="0" w:right="0" w:rightChars="0"/>
              <w:rPr>
                <w:rFonts w:ascii="宋体" w:hAnsi="宋体" w:eastAsia="宋体" w:cs="宋体"/>
                <w:color w:val="auto"/>
                <w:sz w:val="24"/>
                <w:szCs w:val="22"/>
                <w:lang w:val="zh-CN" w:eastAsia="zh-CN" w:bidi="zh-CN"/>
              </w:rPr>
            </w:pPr>
            <w:r>
              <w:rPr>
                <w:rFonts w:hint="eastAsia" w:ascii="宋体" w:hAnsi="宋体" w:eastAsia="宋体" w:cs="宋体"/>
                <w:color w:val="auto"/>
                <w:sz w:val="21"/>
              </w:rPr>
              <w:t>有具体的管理措施。优得3分，良得2分，中得1分，差或无得0分。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49" w:type="dxa"/>
            <w:vMerge w:val="continue"/>
            <w:tcBorders>
              <w:right w:val="single" w:color="auto" w:sz="4" w:space="0"/>
            </w:tcBorders>
            <w:vAlign w:val="center"/>
          </w:tcPr>
          <w:p>
            <w:pPr>
              <w:ind w:left="0" w:leftChars="0" w:right="0" w:rightChars="0"/>
              <w:jc w:val="center"/>
              <w:rPr>
                <w:rFonts w:hint="eastAsia" w:ascii="宋体" w:hAnsi="宋体" w:eastAsia="宋体" w:cs="宋体"/>
                <w:color w:val="auto"/>
                <w:sz w:val="24"/>
                <w:szCs w:val="22"/>
                <w:lang w:val="en-US" w:eastAsia="zh-CN" w:bidi="zh-CN"/>
              </w:rPr>
            </w:pPr>
          </w:p>
        </w:tc>
        <w:tc>
          <w:tcPr>
            <w:tcW w:w="1012" w:type="dxa"/>
            <w:vMerge w:val="continue"/>
            <w:tcBorders>
              <w:left w:val="single" w:color="auto" w:sz="4" w:space="0"/>
            </w:tcBorders>
            <w:vAlign w:val="center"/>
          </w:tcPr>
          <w:p>
            <w:pPr>
              <w:ind w:left="0" w:leftChars="0" w:right="0" w:rightChars="0"/>
              <w:jc w:val="center"/>
              <w:rPr>
                <w:rFonts w:hint="eastAsia" w:ascii="宋体" w:hAnsi="宋体" w:eastAsia="宋体" w:cs="宋体"/>
                <w:color w:val="auto"/>
                <w:sz w:val="24"/>
                <w:szCs w:val="22"/>
                <w:lang w:val="en-US" w:eastAsia="zh-CN" w:bidi="zh-CN"/>
              </w:rPr>
            </w:pPr>
          </w:p>
        </w:tc>
        <w:tc>
          <w:tcPr>
            <w:tcW w:w="2063" w:type="dxa"/>
            <w:vAlign w:val="center"/>
          </w:tcPr>
          <w:p>
            <w:pPr>
              <w:autoSpaceDN w:val="0"/>
              <w:spacing w:line="240" w:lineRule="auto"/>
              <w:jc w:val="center"/>
              <w:rPr>
                <w:rFonts w:hint="eastAsia" w:ascii="宋体" w:hAnsi="宋体" w:eastAsia="宋体" w:cs="宋体"/>
                <w:color w:val="auto"/>
                <w:sz w:val="21"/>
              </w:rPr>
            </w:pPr>
            <w:r>
              <w:rPr>
                <w:rFonts w:hint="eastAsia" w:ascii="宋体" w:hAnsi="宋体" w:eastAsia="宋体" w:cs="宋体"/>
                <w:color w:val="auto"/>
                <w:sz w:val="21"/>
              </w:rPr>
              <w:t>重点难点监控</w:t>
            </w:r>
          </w:p>
          <w:p>
            <w:pPr>
              <w:autoSpaceDN w:val="0"/>
              <w:spacing w:line="240" w:lineRule="auto"/>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rPr>
              <w:t>措施</w:t>
            </w:r>
            <w:r>
              <w:rPr>
                <w:rFonts w:hint="eastAsia" w:cs="宋体"/>
                <w:color w:val="auto"/>
                <w:sz w:val="21"/>
                <w:lang w:val="en-US" w:eastAsia="zh-CN"/>
              </w:rPr>
              <w:t>(3分)</w:t>
            </w:r>
          </w:p>
        </w:tc>
        <w:tc>
          <w:tcPr>
            <w:tcW w:w="5852" w:type="dxa"/>
            <w:vAlign w:val="center"/>
          </w:tcPr>
          <w:p>
            <w:pPr>
              <w:autoSpaceDE w:val="0"/>
              <w:autoSpaceDN w:val="0"/>
              <w:spacing w:line="240" w:lineRule="auto"/>
              <w:ind w:left="0" w:leftChars="0" w:right="0" w:rightChars="0"/>
              <w:textAlignment w:val="baseline"/>
              <w:rPr>
                <w:rFonts w:ascii="宋体" w:hAnsi="宋体" w:eastAsia="宋体" w:cs="宋体"/>
                <w:color w:val="auto"/>
                <w:sz w:val="24"/>
                <w:szCs w:val="22"/>
                <w:lang w:val="zh-CN" w:eastAsia="zh-CN" w:bidi="zh-CN"/>
              </w:rPr>
            </w:pPr>
            <w:r>
              <w:rPr>
                <w:rFonts w:hint="eastAsia" w:ascii="宋体" w:hAnsi="宋体" w:eastAsia="宋体" w:cs="宋体"/>
                <w:color w:val="auto"/>
                <w:sz w:val="21"/>
              </w:rPr>
              <w:t>要求针对性强、措施具体、可操作。优得3分，良得2分，中得1分，差或无得0分。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49" w:type="dxa"/>
            <w:vMerge w:val="continue"/>
            <w:tcBorders>
              <w:bottom w:val="single" w:color="auto" w:sz="4" w:space="0"/>
              <w:right w:val="single" w:color="auto" w:sz="4" w:space="0"/>
            </w:tcBorders>
            <w:vAlign w:val="center"/>
          </w:tcPr>
          <w:p>
            <w:pPr>
              <w:ind w:left="0" w:leftChars="0" w:right="0" w:rightChars="0"/>
              <w:jc w:val="center"/>
              <w:rPr>
                <w:rFonts w:hint="eastAsia" w:ascii="宋体" w:hAnsi="宋体" w:eastAsia="宋体" w:cs="宋体"/>
                <w:color w:val="auto"/>
                <w:sz w:val="24"/>
                <w:szCs w:val="22"/>
                <w:lang w:val="en-US" w:eastAsia="zh-CN" w:bidi="zh-CN"/>
              </w:rPr>
            </w:pPr>
          </w:p>
        </w:tc>
        <w:tc>
          <w:tcPr>
            <w:tcW w:w="1012" w:type="dxa"/>
            <w:vMerge w:val="continue"/>
            <w:tcBorders>
              <w:left w:val="single" w:color="auto" w:sz="4" w:space="0"/>
              <w:bottom w:val="single" w:color="auto" w:sz="4" w:space="0"/>
            </w:tcBorders>
            <w:vAlign w:val="center"/>
          </w:tcPr>
          <w:p>
            <w:pPr>
              <w:ind w:left="0" w:leftChars="0" w:right="0" w:rightChars="0"/>
              <w:jc w:val="center"/>
              <w:rPr>
                <w:rFonts w:hint="eastAsia" w:ascii="宋体" w:hAnsi="宋体" w:eastAsia="宋体" w:cs="宋体"/>
                <w:color w:val="auto"/>
                <w:sz w:val="24"/>
                <w:szCs w:val="22"/>
                <w:lang w:val="en-US" w:eastAsia="zh-CN" w:bidi="zh-CN"/>
              </w:rPr>
            </w:pPr>
          </w:p>
        </w:tc>
        <w:tc>
          <w:tcPr>
            <w:tcW w:w="2063" w:type="dxa"/>
            <w:tcBorders>
              <w:bottom w:val="single" w:color="auto" w:sz="4" w:space="0"/>
            </w:tcBorders>
            <w:vAlign w:val="center"/>
          </w:tcPr>
          <w:p>
            <w:pPr>
              <w:autoSpaceDN w:val="0"/>
              <w:spacing w:line="240" w:lineRule="auto"/>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rPr>
              <w:t>合理化建议</w:t>
            </w:r>
            <w:r>
              <w:rPr>
                <w:rFonts w:hint="eastAsia" w:cs="宋体"/>
                <w:color w:val="auto"/>
                <w:sz w:val="21"/>
                <w:lang w:val="en-US" w:eastAsia="zh-CN"/>
              </w:rPr>
              <w:t>(3分)</w:t>
            </w:r>
          </w:p>
        </w:tc>
        <w:tc>
          <w:tcPr>
            <w:tcW w:w="5852" w:type="dxa"/>
            <w:vAlign w:val="center"/>
          </w:tcPr>
          <w:p>
            <w:pPr>
              <w:autoSpaceDE w:val="0"/>
              <w:autoSpaceDN w:val="0"/>
              <w:spacing w:line="240" w:lineRule="auto"/>
              <w:ind w:left="0" w:leftChars="0" w:right="0" w:rightChars="0"/>
              <w:textAlignment w:val="baseline"/>
              <w:rPr>
                <w:rFonts w:ascii="宋体" w:hAnsi="宋体" w:eastAsia="宋体" w:cs="宋体"/>
                <w:color w:val="auto"/>
                <w:sz w:val="24"/>
                <w:szCs w:val="22"/>
                <w:lang w:val="zh-CN" w:eastAsia="zh-CN" w:bidi="zh-CN"/>
              </w:rPr>
            </w:pPr>
            <w:r>
              <w:rPr>
                <w:rFonts w:hint="eastAsia" w:ascii="宋体" w:hAnsi="宋体" w:eastAsia="宋体" w:cs="宋体"/>
                <w:color w:val="auto"/>
                <w:sz w:val="21"/>
              </w:rPr>
              <w:t>具有科学、合理、可行及具体措施的建议并经评委分析论证认同。优得3分，良得2分，中得1分，差或无得0分。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49" w:type="dxa"/>
            <w:vMerge w:val="restart"/>
            <w:tcBorders>
              <w:top w:val="single" w:color="auto" w:sz="4" w:space="0"/>
              <w:right w:val="single" w:color="auto" w:sz="4" w:space="0"/>
            </w:tcBorders>
            <w:vAlign w:val="center"/>
          </w:tcPr>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eastAsia" w:cs="宋体"/>
                <w:color w:val="auto"/>
                <w:sz w:val="24"/>
                <w:szCs w:val="22"/>
                <w:lang w:val="en-US" w:eastAsia="zh-CN" w:bidi="zh-CN"/>
              </w:rPr>
            </w:pPr>
          </w:p>
          <w:p>
            <w:pPr>
              <w:spacing w:line="420" w:lineRule="exact"/>
              <w:ind w:left="0" w:leftChars="0" w:right="0" w:rightChars="0"/>
              <w:jc w:val="center"/>
              <w:rPr>
                <w:rFonts w:hint="default" w:ascii="宋体" w:hAnsi="宋体" w:eastAsia="宋体" w:cs="宋体"/>
                <w:color w:val="auto"/>
                <w:sz w:val="24"/>
                <w:szCs w:val="22"/>
                <w:lang w:val="en-US" w:eastAsia="zh-CN" w:bidi="zh-CN"/>
              </w:rPr>
            </w:pPr>
            <w:r>
              <w:rPr>
                <w:rFonts w:hint="eastAsia" w:cs="宋体"/>
                <w:color w:val="auto"/>
                <w:sz w:val="24"/>
                <w:szCs w:val="22"/>
                <w:lang w:val="en-US" w:eastAsia="zh-CN" w:bidi="zh-CN"/>
              </w:rPr>
              <w:t>2.2.4</w:t>
            </w:r>
          </w:p>
        </w:tc>
        <w:tc>
          <w:tcPr>
            <w:tcW w:w="1012" w:type="dxa"/>
            <w:vMerge w:val="restart"/>
            <w:tcBorders>
              <w:top w:val="single" w:color="auto" w:sz="4" w:space="0"/>
              <w:left w:val="single" w:color="auto" w:sz="4" w:space="0"/>
            </w:tcBorders>
            <w:vAlign w:val="center"/>
          </w:tcPr>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p>
          <w:p>
            <w:pPr>
              <w:spacing w:line="420" w:lineRule="exact"/>
              <w:ind w:left="0" w:leftChars="0" w:right="0" w:rightChars="0"/>
              <w:jc w:val="center"/>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商务评审（分值：60分）</w:t>
            </w:r>
          </w:p>
        </w:tc>
        <w:tc>
          <w:tcPr>
            <w:tcW w:w="2063" w:type="dxa"/>
            <w:tcBorders>
              <w:top w:val="single" w:color="auto" w:sz="4" w:space="0"/>
            </w:tcBorders>
            <w:vAlign w:val="center"/>
          </w:tcPr>
          <w:p>
            <w:pPr>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szCs w:val="21"/>
                <w:lang w:val="en-US"/>
              </w:rPr>
              <w:t>企业信誉及实力</w:t>
            </w:r>
            <w:r>
              <w:rPr>
                <w:rFonts w:hint="eastAsia" w:ascii="宋体" w:hAnsi="宋体" w:eastAsia="宋体" w:cs="宋体"/>
                <w:color w:val="auto"/>
                <w:sz w:val="21"/>
                <w:szCs w:val="21"/>
                <w:lang w:val="en-US" w:eastAsia="zh-CN"/>
              </w:rPr>
              <w:t>（20分）</w:t>
            </w:r>
          </w:p>
        </w:tc>
        <w:tc>
          <w:tcPr>
            <w:tcW w:w="5852" w:type="dxa"/>
            <w:vAlign w:val="center"/>
          </w:tcPr>
          <w:p>
            <w:pPr>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获得</w:t>
            </w:r>
            <w:r>
              <w:rPr>
                <w:rFonts w:hint="eastAsia" w:ascii="宋体" w:hAnsi="宋体" w:eastAsia="宋体" w:cs="宋体"/>
                <w:color w:val="auto"/>
                <w:sz w:val="21"/>
                <w:szCs w:val="21"/>
                <w:lang w:val="en-US"/>
              </w:rPr>
              <w:t>“守合同重信用”的得3分。</w:t>
            </w:r>
          </w:p>
          <w:p>
            <w:pPr>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2.获得省级或以上环境保护产业协会A级（含）以上信用企业得5分。</w:t>
            </w:r>
          </w:p>
          <w:p>
            <w:pPr>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3.获得企业信用</w:t>
            </w:r>
            <w:r>
              <w:rPr>
                <w:rFonts w:hint="eastAsia" w:ascii="宋体" w:hAnsi="宋体" w:eastAsia="宋体" w:cs="宋体"/>
                <w:color w:val="auto"/>
                <w:sz w:val="21"/>
                <w:szCs w:val="21"/>
                <w:lang w:val="en-US" w:eastAsia="zh-CN"/>
              </w:rPr>
              <w:t>等级</w:t>
            </w:r>
            <w:r>
              <w:rPr>
                <w:rFonts w:hint="eastAsia" w:ascii="宋体" w:hAnsi="宋体" w:eastAsia="宋体" w:cs="宋体"/>
                <w:color w:val="auto"/>
                <w:sz w:val="21"/>
                <w:szCs w:val="21"/>
                <w:lang w:val="en-US"/>
              </w:rPr>
              <w:t>AAA级的得5分，AA级的得3分，A级的得1分。</w:t>
            </w:r>
          </w:p>
          <w:p>
            <w:pPr>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4.获得市级或以上建设工程安全生产文明施工示范工地得1分，本项最多得2分。</w:t>
            </w:r>
          </w:p>
          <w:p>
            <w:pPr>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5.具有省级或以上环境保护产业协会颁发的建设项目环境监理资格行业评定证书得5分。</w:t>
            </w:r>
          </w:p>
          <w:p>
            <w:pPr>
              <w:ind w:left="0" w:leftChars="0" w:right="0" w:rightChars="0" w:firstLine="420" w:firstLineChars="200"/>
              <w:rPr>
                <w:rFonts w:ascii="宋体" w:hAnsi="宋体" w:eastAsia="宋体" w:cs="宋体"/>
                <w:color w:val="auto"/>
                <w:sz w:val="24"/>
                <w:szCs w:val="22"/>
                <w:lang w:val="zh-CN" w:eastAsia="zh-CN" w:bidi="zh-CN"/>
              </w:rPr>
            </w:pPr>
            <w:r>
              <w:rPr>
                <w:rFonts w:hint="eastAsia" w:ascii="宋体" w:hAnsi="宋体" w:eastAsia="宋体" w:cs="宋体"/>
                <w:color w:val="auto"/>
                <w:sz w:val="21"/>
                <w:szCs w:val="21"/>
                <w:lang w:val="en-US"/>
              </w:rPr>
              <w:t>（注：提供以上有效证书复印件，无提供不得分）。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649" w:type="dxa"/>
            <w:vMerge w:val="continue"/>
            <w:tcBorders>
              <w:right w:val="single" w:color="auto" w:sz="4" w:space="0"/>
            </w:tcBorders>
            <w:vAlign w:val="center"/>
          </w:tcPr>
          <w:p>
            <w:pPr>
              <w:ind w:left="0" w:leftChars="0" w:right="0" w:rightChars="0"/>
              <w:rPr>
                <w:rFonts w:hint="eastAsia" w:ascii="宋体" w:hAnsi="宋体" w:eastAsia="宋体" w:cs="宋体"/>
                <w:color w:val="auto"/>
                <w:sz w:val="24"/>
                <w:szCs w:val="22"/>
                <w:lang w:val="en-US" w:eastAsia="zh-CN" w:bidi="zh-CN"/>
              </w:rPr>
            </w:pPr>
          </w:p>
        </w:tc>
        <w:tc>
          <w:tcPr>
            <w:tcW w:w="1012" w:type="dxa"/>
            <w:vMerge w:val="continue"/>
            <w:tcBorders>
              <w:left w:val="single" w:color="auto" w:sz="4" w:space="0"/>
            </w:tcBorders>
            <w:vAlign w:val="center"/>
          </w:tcPr>
          <w:p>
            <w:pPr>
              <w:ind w:left="0" w:leftChars="0" w:right="0" w:rightChars="0"/>
              <w:rPr>
                <w:rFonts w:hint="eastAsia" w:ascii="宋体" w:hAnsi="宋体" w:eastAsia="宋体" w:cs="宋体"/>
                <w:color w:val="auto"/>
                <w:sz w:val="24"/>
                <w:szCs w:val="22"/>
                <w:lang w:val="en-US" w:eastAsia="zh-CN" w:bidi="zh-CN"/>
              </w:rPr>
            </w:pPr>
          </w:p>
        </w:tc>
        <w:tc>
          <w:tcPr>
            <w:tcW w:w="2063" w:type="dxa"/>
            <w:vAlign w:val="center"/>
          </w:tcPr>
          <w:p>
            <w:pPr>
              <w:autoSpaceDN w:val="0"/>
              <w:spacing w:line="240" w:lineRule="auto"/>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szCs w:val="21"/>
                <w:lang w:val="en-US"/>
              </w:rPr>
              <w:t>企业业绩</w:t>
            </w:r>
            <w:r>
              <w:rPr>
                <w:rFonts w:hint="eastAsia" w:ascii="宋体" w:hAnsi="宋体" w:eastAsia="宋体" w:cs="宋体"/>
                <w:color w:val="auto"/>
                <w:sz w:val="21"/>
                <w:szCs w:val="21"/>
                <w:lang w:val="en-US" w:eastAsia="zh-CN"/>
              </w:rPr>
              <w:t>（10分）</w:t>
            </w:r>
          </w:p>
        </w:tc>
        <w:tc>
          <w:tcPr>
            <w:tcW w:w="5852" w:type="dxa"/>
            <w:vAlign w:val="center"/>
          </w:tcPr>
          <w:p>
            <w:pPr>
              <w:autoSpaceDN w:val="0"/>
              <w:spacing w:line="24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自2013年至今，完成过质量合格的类似工程每个得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分,本项最多得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rPr>
              <w:t>分。</w:t>
            </w:r>
          </w:p>
          <w:p>
            <w:pPr>
              <w:adjustRightInd w:val="0"/>
              <w:snapToGrid w:val="0"/>
              <w:spacing w:line="360" w:lineRule="auto"/>
              <w:rPr>
                <w:rFonts w:ascii="宋体" w:hAnsi="宋体" w:eastAsia="宋体" w:cs="宋体"/>
                <w:color w:val="auto"/>
                <w:sz w:val="24"/>
                <w:szCs w:val="22"/>
                <w:lang w:val="zh-CN" w:eastAsia="zh-CN" w:bidi="zh-CN"/>
              </w:rPr>
            </w:pPr>
            <w:r>
              <w:rPr>
                <w:rFonts w:hint="eastAsia" w:ascii="宋体" w:hAnsi="宋体" w:eastAsia="宋体" w:cs="宋体"/>
                <w:color w:val="auto"/>
                <w:sz w:val="21"/>
                <w:szCs w:val="21"/>
                <w:lang w:val="en-US"/>
              </w:rPr>
              <w:t>（注：提供中标通知书或合同复印件，</w:t>
            </w:r>
            <w:r>
              <w:rPr>
                <w:rFonts w:hint="eastAsia" w:ascii="宋体" w:hAnsi="宋体" w:cs="宋体"/>
                <w:color w:val="000000"/>
                <w:kern w:val="0"/>
                <w:szCs w:val="21"/>
                <w:highlight w:val="none"/>
                <w:shd w:val="clear" w:color="auto" w:fill="FFFFFF"/>
              </w:rPr>
              <w:t>完成时间以竣工验收报告或竣工验收证明的时间为准</w:t>
            </w:r>
            <w:r>
              <w:rPr>
                <w:rFonts w:hint="eastAsia" w:cs="宋体"/>
                <w:color w:val="000000"/>
                <w:kern w:val="0"/>
                <w:szCs w:val="21"/>
                <w:highlight w:val="none"/>
                <w:shd w:val="clear" w:color="auto" w:fill="FFFFFF"/>
                <w:lang w:eastAsia="zh-CN"/>
              </w:rPr>
              <w:t>，</w:t>
            </w:r>
            <w:r>
              <w:rPr>
                <w:rFonts w:hint="eastAsia" w:ascii="宋体" w:hAnsi="宋体" w:eastAsia="宋体" w:cs="宋体"/>
                <w:color w:val="auto"/>
                <w:sz w:val="21"/>
                <w:szCs w:val="21"/>
                <w:lang w:val="en-US"/>
              </w:rPr>
              <w:t>无提供不得分）。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4" w:hRule="atLeast"/>
        </w:trPr>
        <w:tc>
          <w:tcPr>
            <w:tcW w:w="649" w:type="dxa"/>
            <w:vMerge w:val="continue"/>
            <w:tcBorders>
              <w:right w:val="single" w:color="auto" w:sz="4" w:space="0"/>
            </w:tcBorders>
            <w:vAlign w:val="center"/>
          </w:tcPr>
          <w:p>
            <w:pPr>
              <w:ind w:left="0" w:leftChars="0" w:right="0" w:rightChars="0"/>
              <w:rPr>
                <w:rFonts w:hint="eastAsia" w:ascii="宋体" w:hAnsi="宋体" w:eastAsia="宋体" w:cs="宋体"/>
                <w:color w:val="auto"/>
                <w:sz w:val="24"/>
                <w:szCs w:val="22"/>
                <w:lang w:val="en-US" w:eastAsia="zh-CN" w:bidi="zh-CN"/>
              </w:rPr>
            </w:pPr>
          </w:p>
        </w:tc>
        <w:tc>
          <w:tcPr>
            <w:tcW w:w="1012" w:type="dxa"/>
            <w:vMerge w:val="continue"/>
            <w:tcBorders>
              <w:left w:val="single" w:color="auto" w:sz="4" w:space="0"/>
            </w:tcBorders>
            <w:vAlign w:val="center"/>
          </w:tcPr>
          <w:p>
            <w:pPr>
              <w:ind w:left="0" w:leftChars="0" w:right="0" w:rightChars="0"/>
              <w:rPr>
                <w:rFonts w:hint="eastAsia" w:ascii="宋体" w:hAnsi="宋体" w:eastAsia="宋体" w:cs="宋体"/>
                <w:color w:val="auto"/>
                <w:sz w:val="24"/>
                <w:szCs w:val="22"/>
                <w:lang w:val="en-US" w:eastAsia="zh-CN" w:bidi="zh-CN"/>
              </w:rPr>
            </w:pPr>
          </w:p>
        </w:tc>
        <w:tc>
          <w:tcPr>
            <w:tcW w:w="2063" w:type="dxa"/>
            <w:vAlign w:val="center"/>
          </w:tcPr>
          <w:p>
            <w:pPr>
              <w:autoSpaceDN w:val="0"/>
              <w:spacing w:line="240" w:lineRule="auto"/>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拟派项目人员</w:t>
            </w:r>
          </w:p>
          <w:p>
            <w:pPr>
              <w:autoSpaceDN w:val="0"/>
              <w:spacing w:line="240" w:lineRule="auto"/>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szCs w:val="21"/>
                <w:lang w:val="en-US"/>
              </w:rPr>
              <w:t>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30分</w:t>
            </w:r>
            <w:r>
              <w:rPr>
                <w:rFonts w:hint="eastAsia" w:ascii="宋体" w:hAnsi="宋体" w:eastAsia="宋体" w:cs="宋体"/>
                <w:color w:val="auto"/>
                <w:sz w:val="21"/>
                <w:szCs w:val="21"/>
                <w:lang w:eastAsia="zh-CN"/>
              </w:rPr>
              <w:t>）</w:t>
            </w:r>
          </w:p>
        </w:tc>
        <w:tc>
          <w:tcPr>
            <w:tcW w:w="5852" w:type="dxa"/>
            <w:vAlign w:val="center"/>
          </w:tcPr>
          <w:p>
            <w:pPr>
              <w:autoSpaceDN w:val="0"/>
              <w:spacing w:line="24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1.项目负责人：</w:t>
            </w:r>
          </w:p>
          <w:p>
            <w:pPr>
              <w:autoSpaceDN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（1）具有</w:t>
            </w:r>
            <w:r>
              <w:rPr>
                <w:rFonts w:hint="eastAsia" w:ascii="宋体" w:hAnsi="宋体" w:eastAsia="宋体" w:cs="宋体"/>
                <w:color w:val="auto"/>
                <w:sz w:val="21"/>
                <w:szCs w:val="21"/>
                <w:lang w:val="en-US" w:eastAsia="zh-CN"/>
              </w:rPr>
              <w:t>市政公用工程专业注册建造师的得5分。</w:t>
            </w:r>
          </w:p>
          <w:p>
            <w:pPr>
              <w:autoSpaceDN w:val="0"/>
              <w:spacing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具有</w:t>
            </w:r>
            <w:r>
              <w:rPr>
                <w:rFonts w:hint="eastAsia" w:ascii="宋体" w:hAnsi="宋体" w:eastAsia="宋体" w:cs="宋体"/>
                <w:color w:val="auto"/>
                <w:sz w:val="21"/>
                <w:szCs w:val="21"/>
                <w:lang w:val="en-US" w:eastAsia="zh-CN"/>
              </w:rPr>
              <w:t>建筑工程专业注册建造师的得5分。</w:t>
            </w:r>
          </w:p>
          <w:p>
            <w:pPr>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（注：提供以上有效证书复印件，无提供不得分）。</w:t>
            </w:r>
          </w:p>
          <w:p>
            <w:pPr>
              <w:autoSpaceDN w:val="0"/>
              <w:spacing w:line="24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2.项目总监代表：</w:t>
            </w:r>
          </w:p>
          <w:p>
            <w:pPr>
              <w:autoSpaceDN w:val="0"/>
              <w:spacing w:line="24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（1）具有</w:t>
            </w:r>
            <w:r>
              <w:rPr>
                <w:rFonts w:hint="eastAsia" w:ascii="宋体" w:hAnsi="宋体" w:eastAsia="宋体" w:cs="宋体"/>
                <w:color w:val="auto"/>
                <w:sz w:val="21"/>
                <w:szCs w:val="21"/>
                <w:lang w:val="en-US" w:eastAsia="zh-CN"/>
              </w:rPr>
              <w:t>注册监理工程</w:t>
            </w:r>
            <w:r>
              <w:rPr>
                <w:rFonts w:hint="eastAsia" w:ascii="宋体" w:hAnsi="宋体" w:eastAsia="宋体" w:cs="宋体"/>
                <w:color w:val="auto"/>
                <w:sz w:val="21"/>
                <w:szCs w:val="21"/>
                <w:lang w:val="en-US"/>
              </w:rPr>
              <w:t>证书得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分</w:t>
            </w:r>
            <w:r>
              <w:rPr>
                <w:rFonts w:hint="eastAsia" w:ascii="宋体" w:hAnsi="宋体" w:eastAsia="宋体" w:cs="宋体"/>
                <w:color w:val="auto"/>
                <w:sz w:val="21"/>
                <w:szCs w:val="21"/>
                <w:lang w:val="en-US" w:eastAsia="zh-CN"/>
              </w:rPr>
              <w:t>，具有专业监理工程师证书得2分</w:t>
            </w:r>
            <w:r>
              <w:rPr>
                <w:rFonts w:hint="eastAsia" w:ascii="宋体" w:hAnsi="宋体" w:eastAsia="宋体" w:cs="宋体"/>
                <w:color w:val="auto"/>
                <w:sz w:val="21"/>
                <w:szCs w:val="21"/>
                <w:lang w:val="en-US"/>
              </w:rPr>
              <w:t>。</w:t>
            </w:r>
          </w:p>
          <w:p>
            <w:pPr>
              <w:autoSpaceDN w:val="0"/>
              <w:spacing w:line="24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（2）具有</w:t>
            </w:r>
            <w:r>
              <w:rPr>
                <w:rFonts w:hint="eastAsia" w:ascii="宋体" w:hAnsi="宋体" w:eastAsia="宋体" w:cs="宋体"/>
                <w:color w:val="auto"/>
                <w:sz w:val="21"/>
                <w:szCs w:val="21"/>
                <w:lang w:val="en-US" w:eastAsia="zh-CN"/>
              </w:rPr>
              <w:t>高级（或以上）</w:t>
            </w:r>
            <w:r>
              <w:rPr>
                <w:rFonts w:hint="eastAsia" w:ascii="宋体" w:hAnsi="宋体" w:eastAsia="宋体" w:cs="宋体"/>
                <w:color w:val="auto"/>
                <w:sz w:val="21"/>
                <w:szCs w:val="21"/>
                <w:lang w:val="en-US"/>
              </w:rPr>
              <w:t>工程师职称得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分</w:t>
            </w:r>
            <w:r>
              <w:rPr>
                <w:rFonts w:hint="eastAsia" w:ascii="宋体" w:hAnsi="宋体" w:eastAsia="宋体" w:cs="宋体"/>
                <w:color w:val="auto"/>
                <w:sz w:val="21"/>
                <w:szCs w:val="21"/>
                <w:lang w:val="en-US" w:eastAsia="zh-CN"/>
              </w:rPr>
              <w:t>，中级（或以下）</w:t>
            </w:r>
            <w:r>
              <w:rPr>
                <w:rFonts w:hint="eastAsia" w:ascii="宋体" w:hAnsi="宋体" w:eastAsia="宋体" w:cs="宋体"/>
                <w:color w:val="auto"/>
                <w:sz w:val="21"/>
                <w:szCs w:val="21"/>
                <w:lang w:val="en-US"/>
              </w:rPr>
              <w:t>工程师职称得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分</w:t>
            </w:r>
            <w:r>
              <w:rPr>
                <w:rFonts w:hint="eastAsia" w:ascii="宋体" w:hAnsi="宋体" w:eastAsia="宋体" w:cs="宋体"/>
                <w:color w:val="auto"/>
                <w:sz w:val="21"/>
                <w:szCs w:val="21"/>
                <w:lang w:val="en-US" w:eastAsia="zh-CN"/>
              </w:rPr>
              <w:t>。</w:t>
            </w:r>
          </w:p>
          <w:p>
            <w:pPr>
              <w:autoSpaceDN w:val="0"/>
              <w:spacing w:line="24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（2）具有信用管理师一级证书得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rPr>
              <w:t>分，二级证书得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分，三级证书得1分。</w:t>
            </w:r>
          </w:p>
          <w:p>
            <w:pPr>
              <w:autoSpaceDN w:val="0"/>
              <w:spacing w:line="240" w:lineRule="auto"/>
              <w:ind w:left="0" w:leftChars="0" w:right="0" w:rightChars="0"/>
              <w:jc w:val="both"/>
              <w:rPr>
                <w:rFonts w:ascii="宋体" w:hAnsi="宋体" w:eastAsia="宋体" w:cs="宋体"/>
                <w:color w:val="auto"/>
                <w:sz w:val="24"/>
                <w:szCs w:val="22"/>
                <w:lang w:val="zh-CN" w:eastAsia="zh-CN" w:bidi="zh-CN"/>
              </w:rPr>
            </w:pPr>
            <w:r>
              <w:rPr>
                <w:rFonts w:hint="eastAsia" w:ascii="宋体" w:hAnsi="宋体" w:eastAsia="宋体" w:cs="宋体"/>
                <w:color w:val="auto"/>
                <w:sz w:val="21"/>
                <w:szCs w:val="21"/>
                <w:lang w:val="en-US"/>
              </w:rPr>
              <w:t>（注：提供以上有效证书复印件，无提供不得分）。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2" w:hRule="atLeast"/>
        </w:trPr>
        <w:tc>
          <w:tcPr>
            <w:tcW w:w="649" w:type="dxa"/>
            <w:tcBorders>
              <w:right w:val="single" w:color="auto" w:sz="4" w:space="0"/>
            </w:tcBorders>
            <w:vAlign w:val="center"/>
          </w:tcPr>
          <w:p>
            <w:pPr>
              <w:spacing w:line="300" w:lineRule="exact"/>
              <w:ind w:left="0" w:leftChars="0" w:right="0" w:rightChars="0"/>
              <w:jc w:val="center"/>
              <w:rPr>
                <w:rFonts w:hint="default" w:ascii="宋体" w:hAnsi="宋体" w:eastAsia="宋体" w:cs="宋体"/>
                <w:color w:val="auto"/>
                <w:sz w:val="24"/>
                <w:szCs w:val="22"/>
                <w:lang w:val="en-US" w:eastAsia="zh-CN" w:bidi="zh-CN"/>
              </w:rPr>
            </w:pPr>
            <w:r>
              <w:rPr>
                <w:rFonts w:hint="eastAsia" w:cs="宋体"/>
                <w:color w:val="auto"/>
                <w:sz w:val="24"/>
                <w:szCs w:val="22"/>
                <w:lang w:val="en-US" w:eastAsia="zh-CN" w:bidi="zh-CN"/>
              </w:rPr>
              <w:t>2.2.5</w:t>
            </w:r>
          </w:p>
        </w:tc>
        <w:tc>
          <w:tcPr>
            <w:tcW w:w="1012" w:type="dxa"/>
            <w:tcBorders>
              <w:left w:val="single" w:color="auto" w:sz="4" w:space="0"/>
            </w:tcBorders>
            <w:vAlign w:val="center"/>
          </w:tcPr>
          <w:p>
            <w:pPr>
              <w:spacing w:line="300" w:lineRule="exact"/>
              <w:jc w:val="center"/>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报价评审</w:t>
            </w:r>
          </w:p>
          <w:p>
            <w:pPr>
              <w:spacing w:line="300" w:lineRule="exact"/>
              <w:ind w:left="0" w:leftChars="0" w:right="0" w:rightChars="0"/>
              <w:jc w:val="center"/>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（分值：</w:t>
            </w:r>
            <w:r>
              <w:rPr>
                <w:rFonts w:hint="eastAsia" w:ascii="宋体" w:hAnsi="宋体" w:eastAsia="宋体" w:cs="宋体"/>
                <w:color w:val="auto"/>
                <w:sz w:val="24"/>
                <w:szCs w:val="22"/>
                <w:lang w:val="en-US" w:eastAsia="zh-CN" w:bidi="zh-CN"/>
              </w:rPr>
              <w:t>1</w:t>
            </w:r>
            <w:r>
              <w:rPr>
                <w:rFonts w:hint="eastAsia" w:ascii="宋体" w:hAnsi="宋体" w:eastAsia="宋体" w:cs="宋体"/>
                <w:color w:val="auto"/>
                <w:sz w:val="24"/>
                <w:szCs w:val="22"/>
                <w:lang w:val="zh-CN" w:eastAsia="zh-CN" w:bidi="zh-CN"/>
              </w:rPr>
              <w:t>0分）</w:t>
            </w:r>
          </w:p>
        </w:tc>
        <w:tc>
          <w:tcPr>
            <w:tcW w:w="2063" w:type="dxa"/>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pPr>
              <w:spacing w:line="300" w:lineRule="exact"/>
              <w:ind w:left="0" w:leftChars="0" w:right="0" w:rightChars="0"/>
              <w:jc w:val="center"/>
              <w:rPr>
                <w:rFonts w:ascii="宋体" w:hAnsi="宋体" w:eastAsia="宋体" w:cs="宋体"/>
                <w:color w:val="auto"/>
                <w:sz w:val="24"/>
                <w:szCs w:val="22"/>
                <w:lang w:val="zh-CN" w:eastAsia="zh-CN" w:bidi="zh-CN"/>
              </w:rPr>
            </w:pPr>
            <w:r>
              <w:rPr>
                <w:rFonts w:hint="eastAsia" w:ascii="宋体" w:hAnsi="宋体" w:eastAsia="宋体" w:cs="宋体"/>
                <w:color w:val="auto"/>
                <w:sz w:val="21"/>
                <w:szCs w:val="21"/>
              </w:rPr>
              <w:t>（满分</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p>
        </w:tc>
        <w:tc>
          <w:tcPr>
            <w:tcW w:w="5852" w:type="dxa"/>
            <w:vAlign w:val="center"/>
          </w:tcPr>
          <w:p>
            <w:pPr>
              <w:spacing w:line="3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投标报价得分（满分为</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p>
          <w:p>
            <w:pPr>
              <w:spacing w:line="3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报价得分按下式计算，当按下式计算的报价得分小于零时按0分计。</w:t>
            </w:r>
          </w:p>
          <w:p>
            <w:pPr>
              <w:spacing w:line="3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报价</w:t>
            </w:r>
            <w:r>
              <w:rPr>
                <w:rFonts w:hint="eastAsia" w:ascii="宋体" w:hAnsi="宋体" w:eastAsia="宋体" w:cs="宋体"/>
                <w:color w:val="auto"/>
                <w:sz w:val="21"/>
                <w:szCs w:val="21"/>
                <w:lang w:eastAsia="zh-CN"/>
              </w:rPr>
              <w:t>得分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0－2×100×（1-A/B)（当B﹥A） 或</w:t>
            </w:r>
          </w:p>
          <w:p>
            <w:pPr>
              <w:spacing w:line="3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报价</w:t>
            </w:r>
            <w:r>
              <w:rPr>
                <w:rFonts w:hint="eastAsia" w:ascii="宋体" w:hAnsi="宋体" w:eastAsia="宋体" w:cs="宋体"/>
                <w:color w:val="auto"/>
                <w:sz w:val="21"/>
                <w:szCs w:val="21"/>
                <w:lang w:eastAsia="zh-CN"/>
              </w:rPr>
              <w:t>得分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0－1×100×（1-B/A)（当B≤A）。</w:t>
            </w:r>
          </w:p>
          <w:p>
            <w:pPr>
              <w:spacing w:line="300" w:lineRule="exact"/>
              <w:ind w:left="0" w:leftChars="0" w:right="0" w:rightChars="0" w:firstLine="420" w:firstLineChars="200"/>
              <w:rPr>
                <w:rFonts w:ascii="宋体" w:hAnsi="宋体" w:eastAsia="宋体" w:cs="宋体"/>
                <w:color w:val="auto"/>
                <w:sz w:val="24"/>
                <w:szCs w:val="22"/>
                <w:lang w:val="zh-CN" w:eastAsia="zh-CN" w:bidi="zh-CN"/>
              </w:rPr>
            </w:pPr>
            <w:r>
              <w:rPr>
                <w:rFonts w:hint="eastAsia" w:ascii="宋体" w:hAnsi="宋体" w:eastAsia="宋体" w:cs="宋体"/>
                <w:color w:val="auto"/>
                <w:sz w:val="21"/>
                <w:szCs w:val="21"/>
              </w:rPr>
              <w:t>其中：B为通过资格审查和符合性审查的投标人填报的有效投标报价，A为所有有效投标报价B的算术平均值（当有效投标报价大于或等于5个时，去掉一个最高值和一个最低值后平均，所有计算结果保留小数点后三位，第四位四舍五入）。</w:t>
            </w:r>
          </w:p>
        </w:tc>
      </w:tr>
    </w:tbl>
    <w:p>
      <w:pPr>
        <w:adjustRightInd w:val="0"/>
        <w:snapToGrid w:val="0"/>
        <w:spacing w:line="360" w:lineRule="auto"/>
        <w:rPr>
          <w:rFonts w:hint="default" w:eastAsia="宋体"/>
          <w:b/>
          <w:bCs/>
          <w:color w:val="auto"/>
          <w:lang w:val="en-US" w:eastAsia="zh-CN"/>
        </w:rPr>
      </w:pPr>
      <w:r>
        <w:rPr>
          <w:b/>
          <w:bCs/>
          <w:color w:val="auto"/>
        </w:rPr>
        <w:t>注：</w:t>
      </w:r>
      <w:r>
        <w:rPr>
          <w:rFonts w:hint="eastAsia"/>
          <w:b/>
          <w:bCs/>
          <w:color w:val="auto"/>
          <w:lang w:val="en-US" w:eastAsia="zh-CN"/>
        </w:rPr>
        <w:t>1、投标人的综合得分为将各评委的评分取算术平均分（分数出现小数点时，保留小数点后二位，第三位小数四舍五入）。</w:t>
      </w:r>
    </w:p>
    <w:p>
      <w:pPr>
        <w:adjustRightInd w:val="0"/>
        <w:snapToGrid w:val="0"/>
        <w:spacing w:line="360" w:lineRule="auto"/>
        <w:rPr>
          <w:b/>
          <w:bCs/>
          <w:color w:val="auto"/>
        </w:rPr>
      </w:pPr>
      <w:r>
        <w:rPr>
          <w:rFonts w:hint="eastAsia"/>
          <w:b/>
          <w:bCs/>
          <w:color w:val="auto"/>
          <w:lang w:val="en-US" w:eastAsia="zh-CN"/>
        </w:rPr>
        <w:t>2、</w:t>
      </w:r>
      <w:r>
        <w:rPr>
          <w:b/>
          <w:bCs/>
          <w:color w:val="auto"/>
        </w:rPr>
        <w:t>评标办法所要求提供的所有复</w:t>
      </w:r>
      <w:bookmarkStart w:id="131" w:name="_GoBack"/>
      <w:bookmarkEnd w:id="131"/>
      <w:r>
        <w:rPr>
          <w:b/>
          <w:bCs/>
          <w:color w:val="auto"/>
        </w:rPr>
        <w:t>印件、截图和网页打印页均须加盖投标人公章。</w:t>
      </w:r>
    </w:p>
    <w:p>
      <w:pPr>
        <w:pStyle w:val="7"/>
        <w:ind w:left="0"/>
        <w:rPr>
          <w:b/>
          <w:color w:val="auto"/>
        </w:rPr>
      </w:pPr>
    </w:p>
    <w:p>
      <w:pPr>
        <w:pStyle w:val="7"/>
        <w:ind w:left="0"/>
        <w:rPr>
          <w:b/>
          <w:color w:val="auto"/>
        </w:rPr>
      </w:pPr>
    </w:p>
    <w:p>
      <w:pPr>
        <w:pStyle w:val="7"/>
        <w:ind w:left="0"/>
        <w:rPr>
          <w:b/>
          <w:color w:val="auto"/>
        </w:rPr>
      </w:pPr>
    </w:p>
    <w:p>
      <w:pPr>
        <w:pStyle w:val="7"/>
        <w:ind w:left="0"/>
        <w:rPr>
          <w:b/>
          <w:color w:val="auto"/>
        </w:rPr>
      </w:pPr>
    </w:p>
    <w:p>
      <w:pPr>
        <w:pStyle w:val="7"/>
        <w:ind w:left="0"/>
        <w:rPr>
          <w:b/>
          <w:color w:val="auto"/>
        </w:rPr>
      </w:pPr>
    </w:p>
    <w:p>
      <w:pPr>
        <w:pStyle w:val="15"/>
        <w:numPr>
          <w:ilvl w:val="0"/>
          <w:numId w:val="29"/>
        </w:numPr>
        <w:tabs>
          <w:tab w:val="left" w:pos="797"/>
        </w:tabs>
        <w:spacing w:before="1" w:after="0" w:line="240" w:lineRule="auto"/>
        <w:ind w:left="796" w:right="0" w:hanging="402"/>
        <w:jc w:val="left"/>
        <w:rPr>
          <w:rFonts w:ascii="Times New Roman" w:eastAsia="Times New Roman"/>
          <w:b/>
          <w:color w:val="auto"/>
          <w:sz w:val="32"/>
        </w:rPr>
      </w:pPr>
      <w:r>
        <w:rPr>
          <w:b/>
          <w:color w:val="auto"/>
          <w:sz w:val="32"/>
        </w:rPr>
        <w:t>评标方法</w:t>
      </w:r>
    </w:p>
    <w:p>
      <w:pPr>
        <w:pStyle w:val="7"/>
        <w:spacing w:before="9"/>
        <w:ind w:left="0"/>
        <w:rPr>
          <w:b/>
          <w:color w:val="auto"/>
          <w:sz w:val="25"/>
        </w:rPr>
      </w:pPr>
    </w:p>
    <w:p>
      <w:pPr>
        <w:pStyle w:val="7"/>
        <w:spacing w:line="364" w:lineRule="auto"/>
        <w:ind w:right="348" w:firstLine="480"/>
        <w:jc w:val="both"/>
        <w:rPr>
          <w:color w:val="auto"/>
        </w:rPr>
      </w:pPr>
      <w:r>
        <w:rPr>
          <w:color w:val="auto"/>
          <w:spacing w:val="-3"/>
        </w:rPr>
        <w:t>本次评标采用综合评估法。评标委员会对满足招标文件实质性要求的投标文件，按照本章</w:t>
      </w:r>
      <w:r>
        <w:rPr>
          <w:strike w:val="0"/>
          <w:dstrike w:val="0"/>
          <w:color w:val="auto"/>
          <w:spacing w:val="-3"/>
        </w:rPr>
        <w:t xml:space="preserve">第 </w:t>
      </w:r>
      <w:r>
        <w:rPr>
          <w:rFonts w:ascii="Times New Roman" w:eastAsia="Times New Roman"/>
          <w:strike w:val="0"/>
          <w:dstrike w:val="0"/>
          <w:color w:val="auto"/>
          <w:spacing w:val="-3"/>
        </w:rPr>
        <w:t xml:space="preserve">2.2 </w:t>
      </w:r>
      <w:r>
        <w:rPr>
          <w:strike w:val="0"/>
          <w:dstrike w:val="0"/>
          <w:color w:val="auto"/>
          <w:spacing w:val="-3"/>
        </w:rPr>
        <w:t>款</w:t>
      </w:r>
      <w:r>
        <w:rPr>
          <w:color w:val="auto"/>
          <w:spacing w:val="-3"/>
        </w:rPr>
        <w:t>规定的评分标准进行打分，并按得分由高到低顺序推荐中标候选人，</w:t>
      </w:r>
      <w:r>
        <w:rPr>
          <w:color w:val="auto"/>
          <w:spacing w:val="-4"/>
        </w:rPr>
        <w:t>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pStyle w:val="15"/>
        <w:numPr>
          <w:ilvl w:val="0"/>
          <w:numId w:val="29"/>
        </w:numPr>
        <w:tabs>
          <w:tab w:val="left" w:pos="797"/>
        </w:tabs>
        <w:spacing w:before="0" w:after="0" w:line="410" w:lineRule="exact"/>
        <w:ind w:left="796" w:right="0" w:hanging="402"/>
        <w:jc w:val="left"/>
        <w:rPr>
          <w:rFonts w:ascii="Times New Roman" w:eastAsia="Times New Roman"/>
          <w:b/>
          <w:color w:val="auto"/>
          <w:sz w:val="32"/>
        </w:rPr>
      </w:pPr>
      <w:r>
        <w:rPr>
          <w:b/>
          <w:color w:val="auto"/>
          <w:sz w:val="32"/>
        </w:rPr>
        <w:t>评审标准</w:t>
      </w:r>
    </w:p>
    <w:p>
      <w:pPr>
        <w:pStyle w:val="7"/>
        <w:spacing w:before="11"/>
        <w:ind w:left="0"/>
        <w:rPr>
          <w:b/>
          <w:color w:val="auto"/>
          <w:sz w:val="25"/>
        </w:rPr>
      </w:pPr>
    </w:p>
    <w:p>
      <w:pPr>
        <w:pStyle w:val="4"/>
        <w:numPr>
          <w:ilvl w:val="1"/>
          <w:numId w:val="29"/>
        </w:numPr>
        <w:tabs>
          <w:tab w:val="left" w:pos="1018"/>
        </w:tabs>
        <w:spacing w:before="0" w:after="0" w:line="240" w:lineRule="auto"/>
        <w:ind w:left="1017" w:right="0" w:hanging="486"/>
        <w:jc w:val="left"/>
        <w:rPr>
          <w:rFonts w:hint="eastAsia"/>
          <w:color w:val="auto"/>
          <w:spacing w:val="-3"/>
        </w:rPr>
      </w:pPr>
      <w:r>
        <w:rPr>
          <w:rFonts w:hint="eastAsia"/>
          <w:color w:val="auto"/>
          <w:spacing w:val="-3"/>
        </w:rPr>
        <w:t>初步评审标准</w:t>
      </w:r>
    </w:p>
    <w:p>
      <w:pPr>
        <w:pStyle w:val="15"/>
        <w:numPr>
          <w:ilvl w:val="2"/>
          <w:numId w:val="29"/>
        </w:numPr>
        <w:tabs>
          <w:tab w:val="left" w:pos="1337"/>
        </w:tabs>
        <w:spacing w:before="185" w:after="0" w:line="240" w:lineRule="auto"/>
        <w:ind w:left="1336" w:right="0" w:hanging="521"/>
        <w:jc w:val="left"/>
        <w:rPr>
          <w:rFonts w:ascii="Times New Roman" w:eastAsia="Times New Roman"/>
          <w:color w:val="auto"/>
          <w:sz w:val="24"/>
        </w:rPr>
      </w:pPr>
      <w:r>
        <w:rPr>
          <w:color w:val="auto"/>
          <w:sz w:val="24"/>
        </w:rPr>
        <w:t>形式评审标准：见评标办法前附表。</w:t>
      </w:r>
    </w:p>
    <w:p>
      <w:pPr>
        <w:pStyle w:val="15"/>
        <w:numPr>
          <w:ilvl w:val="2"/>
          <w:numId w:val="29"/>
        </w:numPr>
        <w:tabs>
          <w:tab w:val="left" w:pos="1337"/>
        </w:tabs>
        <w:spacing w:before="161" w:after="0" w:line="240" w:lineRule="auto"/>
        <w:ind w:left="1336" w:right="0" w:hanging="521"/>
        <w:jc w:val="left"/>
        <w:rPr>
          <w:rFonts w:ascii="Times New Roman" w:eastAsia="Times New Roman"/>
          <w:color w:val="auto"/>
          <w:sz w:val="24"/>
        </w:rPr>
      </w:pPr>
      <w:r>
        <w:rPr>
          <w:color w:val="auto"/>
          <w:sz w:val="24"/>
        </w:rPr>
        <w:t>资格评审标准：见评标办法前附表。</w:t>
      </w:r>
    </w:p>
    <w:p>
      <w:pPr>
        <w:pStyle w:val="15"/>
        <w:numPr>
          <w:ilvl w:val="2"/>
          <w:numId w:val="29"/>
        </w:numPr>
        <w:tabs>
          <w:tab w:val="left" w:pos="1337"/>
        </w:tabs>
        <w:spacing w:before="158" w:after="0" w:line="240" w:lineRule="auto"/>
        <w:ind w:left="1336" w:right="0" w:hanging="521"/>
        <w:jc w:val="left"/>
        <w:rPr>
          <w:rFonts w:ascii="Times New Roman" w:eastAsia="Times New Roman"/>
          <w:color w:val="auto"/>
          <w:sz w:val="21"/>
        </w:rPr>
      </w:pPr>
      <w:r>
        <w:rPr>
          <w:color w:val="auto"/>
          <w:sz w:val="24"/>
        </w:rPr>
        <w:t>响应性评审标准：见评标办法前附表。</w:t>
      </w:r>
    </w:p>
    <w:p>
      <w:pPr>
        <w:pStyle w:val="7"/>
        <w:spacing w:before="12"/>
        <w:ind w:left="0"/>
        <w:rPr>
          <w:color w:val="auto"/>
          <w:sz w:val="21"/>
        </w:rPr>
      </w:pPr>
    </w:p>
    <w:p>
      <w:pPr>
        <w:pStyle w:val="4"/>
        <w:numPr>
          <w:ilvl w:val="1"/>
          <w:numId w:val="29"/>
        </w:numPr>
        <w:tabs>
          <w:tab w:val="left" w:pos="1018"/>
        </w:tabs>
        <w:spacing w:before="0" w:after="0" w:line="240" w:lineRule="auto"/>
        <w:ind w:left="1017" w:right="0" w:hanging="486"/>
        <w:jc w:val="left"/>
        <w:rPr>
          <w:color w:val="auto"/>
          <w:spacing w:val="-3"/>
        </w:rPr>
      </w:pPr>
      <w:r>
        <w:rPr>
          <w:rFonts w:hint="eastAsia"/>
          <w:color w:val="auto"/>
          <w:spacing w:val="-3"/>
        </w:rPr>
        <w:t>分值构成与评分标准</w:t>
      </w:r>
    </w:p>
    <w:p>
      <w:pPr>
        <w:pStyle w:val="15"/>
        <w:numPr>
          <w:ilvl w:val="2"/>
          <w:numId w:val="29"/>
        </w:numPr>
        <w:tabs>
          <w:tab w:val="left" w:pos="996"/>
        </w:tabs>
        <w:spacing w:before="185" w:after="0" w:line="240" w:lineRule="auto"/>
        <w:ind w:left="996" w:right="0" w:hanging="601"/>
        <w:jc w:val="left"/>
        <w:rPr>
          <w:rFonts w:ascii="Times New Roman" w:eastAsia="Times New Roman"/>
          <w:color w:val="auto"/>
          <w:sz w:val="24"/>
        </w:rPr>
      </w:pPr>
      <w:r>
        <w:rPr>
          <w:color w:val="auto"/>
          <w:sz w:val="24"/>
        </w:rPr>
        <w:t>分值构成</w:t>
      </w:r>
    </w:p>
    <w:p>
      <w:pPr>
        <w:pStyle w:val="15"/>
        <w:numPr>
          <w:ilvl w:val="0"/>
          <w:numId w:val="30"/>
        </w:numPr>
        <w:tabs>
          <w:tab w:val="left" w:pos="997"/>
        </w:tabs>
        <w:spacing w:before="158" w:after="0" w:line="240" w:lineRule="auto"/>
        <w:ind w:left="997" w:right="0" w:hanging="602"/>
        <w:jc w:val="left"/>
        <w:rPr>
          <w:color w:val="auto"/>
          <w:sz w:val="24"/>
        </w:rPr>
      </w:pPr>
      <w:r>
        <w:rPr>
          <w:rFonts w:hint="eastAsia"/>
          <w:color w:val="auto"/>
          <w:sz w:val="24"/>
          <w:lang w:val="en-US" w:eastAsia="zh-CN"/>
        </w:rPr>
        <w:t>技术</w:t>
      </w:r>
      <w:r>
        <w:rPr>
          <w:color w:val="auto"/>
          <w:sz w:val="24"/>
        </w:rPr>
        <w:t>分值：见评标办法前附表；</w:t>
      </w:r>
    </w:p>
    <w:p>
      <w:pPr>
        <w:pStyle w:val="15"/>
        <w:numPr>
          <w:ilvl w:val="0"/>
          <w:numId w:val="30"/>
        </w:numPr>
        <w:tabs>
          <w:tab w:val="left" w:pos="997"/>
        </w:tabs>
        <w:spacing w:before="161" w:after="0" w:line="240" w:lineRule="auto"/>
        <w:ind w:left="997" w:right="0" w:hanging="602"/>
        <w:jc w:val="left"/>
        <w:rPr>
          <w:color w:val="auto"/>
          <w:sz w:val="24"/>
        </w:rPr>
      </w:pPr>
      <w:r>
        <w:rPr>
          <w:rFonts w:hint="eastAsia"/>
          <w:color w:val="auto"/>
          <w:sz w:val="24"/>
          <w:lang w:val="en-US" w:eastAsia="zh-CN"/>
        </w:rPr>
        <w:t>商务</w:t>
      </w:r>
      <w:r>
        <w:rPr>
          <w:color w:val="auto"/>
          <w:sz w:val="24"/>
        </w:rPr>
        <w:t>分值：见评标办法前附表；</w:t>
      </w:r>
    </w:p>
    <w:p>
      <w:pPr>
        <w:pStyle w:val="15"/>
        <w:numPr>
          <w:ilvl w:val="0"/>
          <w:numId w:val="30"/>
        </w:numPr>
        <w:tabs>
          <w:tab w:val="left" w:pos="997"/>
        </w:tabs>
        <w:spacing w:before="158" w:after="0" w:line="240" w:lineRule="auto"/>
        <w:ind w:left="997" w:right="0" w:hanging="602"/>
        <w:jc w:val="left"/>
        <w:rPr>
          <w:color w:val="auto"/>
          <w:sz w:val="24"/>
        </w:rPr>
      </w:pPr>
      <w:r>
        <w:rPr>
          <w:color w:val="auto"/>
          <w:sz w:val="24"/>
        </w:rPr>
        <w:t>报价分值：见评标办法前附表；</w:t>
      </w:r>
    </w:p>
    <w:p>
      <w:pPr>
        <w:pStyle w:val="15"/>
        <w:numPr>
          <w:ilvl w:val="2"/>
          <w:numId w:val="29"/>
        </w:numPr>
        <w:tabs>
          <w:tab w:val="left" w:pos="996"/>
        </w:tabs>
        <w:spacing w:before="158" w:after="0" w:line="240" w:lineRule="auto"/>
        <w:ind w:left="996" w:right="0" w:hanging="601"/>
        <w:jc w:val="left"/>
        <w:rPr>
          <w:rFonts w:ascii="Times New Roman" w:eastAsia="Times New Roman"/>
          <w:strike w:val="0"/>
          <w:dstrike w:val="0"/>
          <w:color w:val="auto"/>
          <w:sz w:val="24"/>
        </w:rPr>
      </w:pPr>
      <w:r>
        <w:rPr>
          <w:strike w:val="0"/>
          <w:dstrike w:val="0"/>
          <w:color w:val="auto"/>
          <w:sz w:val="24"/>
        </w:rPr>
        <w:t>评标基准价计算</w:t>
      </w:r>
    </w:p>
    <w:p>
      <w:pPr>
        <w:pStyle w:val="7"/>
        <w:spacing w:before="41"/>
        <w:rPr>
          <w:strike w:val="0"/>
          <w:dstrike w:val="0"/>
          <w:color w:val="auto"/>
        </w:rPr>
      </w:pPr>
      <w:r>
        <w:rPr>
          <w:strike w:val="0"/>
          <w:dstrike w:val="0"/>
          <w:color w:val="auto"/>
        </w:rPr>
        <w:t>评标基准价计算方法：见评标办法前附表。</w:t>
      </w:r>
    </w:p>
    <w:p>
      <w:pPr>
        <w:pStyle w:val="15"/>
        <w:numPr>
          <w:ilvl w:val="0"/>
          <w:numId w:val="0"/>
        </w:numPr>
        <w:tabs>
          <w:tab w:val="left" w:pos="996"/>
        </w:tabs>
        <w:spacing w:before="158" w:after="0" w:line="240" w:lineRule="auto"/>
        <w:ind w:left="395" w:leftChars="0" w:right="0" w:rightChars="0"/>
        <w:jc w:val="left"/>
        <w:rPr>
          <w:rFonts w:ascii="Times New Roman" w:eastAsia="Times New Roman"/>
          <w:color w:val="auto"/>
          <w:sz w:val="24"/>
        </w:rPr>
      </w:pPr>
      <w:r>
        <w:rPr>
          <w:rFonts w:hint="eastAsia"/>
          <w:color w:val="auto"/>
          <w:sz w:val="24"/>
          <w:lang w:val="en-US" w:eastAsia="zh-CN"/>
        </w:rPr>
        <w:t>2.2.2</w:t>
      </w:r>
      <w:r>
        <w:rPr>
          <w:color w:val="auto"/>
          <w:sz w:val="24"/>
        </w:rPr>
        <w:t>投标报价的偏差率计算</w:t>
      </w:r>
    </w:p>
    <w:p>
      <w:pPr>
        <w:pStyle w:val="7"/>
        <w:spacing w:before="161"/>
        <w:rPr>
          <w:color w:val="auto"/>
        </w:rPr>
      </w:pPr>
      <w:r>
        <w:rPr>
          <w:color w:val="auto"/>
        </w:rPr>
        <w:t>投标报价的偏差率计算公式：见评标办法前附表。</w:t>
      </w:r>
    </w:p>
    <w:p>
      <w:pPr>
        <w:pStyle w:val="15"/>
        <w:numPr>
          <w:ilvl w:val="2"/>
          <w:numId w:val="29"/>
        </w:numPr>
        <w:tabs>
          <w:tab w:val="left" w:pos="996"/>
        </w:tabs>
        <w:spacing w:before="158" w:after="0" w:line="240" w:lineRule="auto"/>
        <w:ind w:left="996" w:right="0" w:hanging="601"/>
        <w:jc w:val="left"/>
        <w:rPr>
          <w:rFonts w:ascii="Times New Roman" w:eastAsia="Times New Roman"/>
          <w:color w:val="auto"/>
          <w:sz w:val="24"/>
        </w:rPr>
      </w:pPr>
      <w:r>
        <w:rPr>
          <w:color w:val="auto"/>
          <w:sz w:val="24"/>
        </w:rPr>
        <w:t>评分标准</w:t>
      </w:r>
    </w:p>
    <w:p>
      <w:pPr>
        <w:pStyle w:val="15"/>
        <w:numPr>
          <w:ilvl w:val="0"/>
          <w:numId w:val="31"/>
        </w:numPr>
        <w:tabs>
          <w:tab w:val="left" w:pos="997"/>
        </w:tabs>
        <w:spacing w:before="160" w:after="0" w:line="240" w:lineRule="auto"/>
        <w:ind w:left="997" w:right="0" w:hanging="602"/>
        <w:jc w:val="left"/>
        <w:rPr>
          <w:color w:val="auto"/>
          <w:sz w:val="24"/>
        </w:rPr>
      </w:pPr>
      <w:r>
        <w:rPr>
          <w:rFonts w:hint="eastAsia"/>
          <w:color w:val="auto"/>
          <w:sz w:val="24"/>
          <w:lang w:val="en-US" w:eastAsia="zh-CN"/>
        </w:rPr>
        <w:t>技术评审</w:t>
      </w:r>
      <w:r>
        <w:rPr>
          <w:color w:val="auto"/>
          <w:sz w:val="24"/>
        </w:rPr>
        <w:t>评分标准：见评标办法前附表；</w:t>
      </w:r>
    </w:p>
    <w:p>
      <w:pPr>
        <w:pStyle w:val="15"/>
        <w:numPr>
          <w:ilvl w:val="0"/>
          <w:numId w:val="31"/>
        </w:numPr>
        <w:tabs>
          <w:tab w:val="left" w:pos="997"/>
        </w:tabs>
        <w:spacing w:before="158" w:after="0" w:line="240" w:lineRule="auto"/>
        <w:ind w:left="997" w:right="0" w:hanging="602"/>
        <w:jc w:val="left"/>
        <w:rPr>
          <w:color w:val="auto"/>
          <w:sz w:val="24"/>
        </w:rPr>
      </w:pPr>
      <w:r>
        <w:rPr>
          <w:rFonts w:hint="eastAsia"/>
          <w:color w:val="auto"/>
          <w:sz w:val="24"/>
          <w:lang w:val="en-US" w:eastAsia="zh-CN"/>
        </w:rPr>
        <w:t>商务评审</w:t>
      </w:r>
      <w:r>
        <w:rPr>
          <w:color w:val="auto"/>
          <w:sz w:val="24"/>
        </w:rPr>
        <w:t>评分标准：见评标办法前附表；</w:t>
      </w:r>
    </w:p>
    <w:p>
      <w:pPr>
        <w:pStyle w:val="15"/>
        <w:numPr>
          <w:ilvl w:val="0"/>
          <w:numId w:val="31"/>
        </w:numPr>
        <w:tabs>
          <w:tab w:val="left" w:pos="997"/>
        </w:tabs>
        <w:spacing w:before="161" w:after="0" w:line="240" w:lineRule="auto"/>
        <w:ind w:left="997" w:right="0" w:hanging="602"/>
        <w:jc w:val="left"/>
        <w:rPr>
          <w:color w:val="auto"/>
          <w:sz w:val="24"/>
        </w:rPr>
      </w:pPr>
      <w:r>
        <w:rPr>
          <w:color w:val="auto"/>
          <w:sz w:val="24"/>
        </w:rPr>
        <w:t>报价</w:t>
      </w:r>
      <w:r>
        <w:rPr>
          <w:rFonts w:hint="eastAsia"/>
          <w:color w:val="auto"/>
          <w:sz w:val="24"/>
          <w:lang w:val="en-US" w:eastAsia="zh-CN"/>
        </w:rPr>
        <w:t>评审</w:t>
      </w:r>
      <w:r>
        <w:rPr>
          <w:color w:val="auto"/>
          <w:sz w:val="24"/>
        </w:rPr>
        <w:t>评分标准：见评标办法前附表；</w:t>
      </w:r>
    </w:p>
    <w:p>
      <w:pPr>
        <w:pStyle w:val="7"/>
        <w:spacing w:before="11"/>
        <w:ind w:left="0"/>
        <w:rPr>
          <w:color w:val="auto"/>
          <w:sz w:val="21"/>
        </w:rPr>
      </w:pPr>
    </w:p>
    <w:p>
      <w:pPr>
        <w:pStyle w:val="15"/>
        <w:numPr>
          <w:ilvl w:val="0"/>
          <w:numId w:val="29"/>
        </w:numPr>
        <w:tabs>
          <w:tab w:val="left" w:pos="797"/>
        </w:tabs>
        <w:spacing w:before="0" w:after="0" w:line="410" w:lineRule="exact"/>
        <w:ind w:left="796" w:right="0" w:hanging="402"/>
        <w:jc w:val="left"/>
        <w:rPr>
          <w:b/>
          <w:color w:val="auto"/>
          <w:sz w:val="32"/>
        </w:rPr>
      </w:pPr>
      <w:r>
        <w:rPr>
          <w:b/>
          <w:color w:val="auto"/>
          <w:sz w:val="32"/>
        </w:rPr>
        <w:t>评标程序</w:t>
      </w:r>
    </w:p>
    <w:p>
      <w:pPr>
        <w:pStyle w:val="15"/>
        <w:numPr>
          <w:ilvl w:val="1"/>
          <w:numId w:val="29"/>
        </w:numPr>
        <w:tabs>
          <w:tab w:val="left" w:pos="1018"/>
        </w:tabs>
        <w:spacing w:before="158" w:after="0" w:line="240" w:lineRule="auto"/>
        <w:ind w:left="1017" w:right="0" w:hanging="486"/>
        <w:jc w:val="both"/>
        <w:rPr>
          <w:rFonts w:hint="eastAsia" w:ascii="宋体" w:hAnsi="宋体" w:eastAsia="宋体" w:cs="宋体"/>
          <w:color w:val="auto"/>
          <w:spacing w:val="-3"/>
          <w:sz w:val="28"/>
          <w:szCs w:val="28"/>
          <w:lang w:val="zh-CN" w:eastAsia="zh-CN" w:bidi="zh-CN"/>
        </w:rPr>
      </w:pPr>
      <w:r>
        <w:rPr>
          <w:rFonts w:hint="eastAsia" w:ascii="宋体" w:hAnsi="宋体" w:eastAsia="宋体" w:cs="宋体"/>
          <w:color w:val="auto"/>
          <w:spacing w:val="-3"/>
          <w:sz w:val="28"/>
          <w:szCs w:val="28"/>
          <w:lang w:val="zh-CN" w:eastAsia="zh-CN" w:bidi="zh-CN"/>
        </w:rPr>
        <w:t>初步评审</w:t>
      </w:r>
    </w:p>
    <w:p>
      <w:pPr>
        <w:pStyle w:val="15"/>
        <w:numPr>
          <w:ilvl w:val="2"/>
          <w:numId w:val="29"/>
        </w:numPr>
        <w:tabs>
          <w:tab w:val="left" w:pos="1344"/>
        </w:tabs>
        <w:spacing w:before="161" w:after="0" w:line="364" w:lineRule="auto"/>
        <w:ind w:left="395" w:right="416" w:firstLine="420"/>
        <w:jc w:val="both"/>
        <w:rPr>
          <w:rFonts w:ascii="Times New Roman" w:hAnsi="Times New Roman" w:eastAsia="Times New Roman"/>
          <w:color w:val="auto"/>
          <w:sz w:val="24"/>
        </w:rPr>
      </w:pPr>
      <w:r>
        <w:rPr>
          <w:color w:val="auto"/>
          <w:spacing w:val="4"/>
          <w:sz w:val="24"/>
        </w:rPr>
        <w:t>评标委员会可以要求投标人提交第二章</w:t>
      </w:r>
      <w:r>
        <w:rPr>
          <w:rFonts w:ascii="Times New Roman" w:hAnsi="Times New Roman" w:eastAsia="Times New Roman"/>
          <w:color w:val="auto"/>
          <w:spacing w:val="6"/>
          <w:sz w:val="24"/>
        </w:rPr>
        <w:t>“</w:t>
      </w:r>
      <w:r>
        <w:rPr>
          <w:color w:val="auto"/>
          <w:spacing w:val="4"/>
          <w:sz w:val="24"/>
        </w:rPr>
        <w:t>投标人须知</w:t>
      </w:r>
      <w:r>
        <w:rPr>
          <w:rFonts w:ascii="Times New Roman" w:hAnsi="Times New Roman" w:eastAsia="Times New Roman"/>
          <w:color w:val="auto"/>
          <w:spacing w:val="6"/>
          <w:sz w:val="24"/>
        </w:rPr>
        <w:t>”</w:t>
      </w:r>
      <w:r>
        <w:rPr>
          <w:color w:val="auto"/>
          <w:spacing w:val="3"/>
          <w:sz w:val="24"/>
        </w:rPr>
        <w:t>规定的有关证明和证件</w:t>
      </w:r>
      <w:r>
        <w:rPr>
          <w:color w:val="auto"/>
          <w:spacing w:val="1"/>
          <w:sz w:val="24"/>
        </w:rPr>
        <w:t xml:space="preserve">的原件，以便核验。评标委员会依据本章第 </w:t>
      </w:r>
      <w:r>
        <w:rPr>
          <w:rFonts w:ascii="Times New Roman" w:hAnsi="Times New Roman" w:eastAsia="Times New Roman"/>
          <w:color w:val="auto"/>
          <w:sz w:val="24"/>
        </w:rPr>
        <w:t>2.1</w:t>
      </w:r>
      <w:r>
        <w:rPr>
          <w:rFonts w:ascii="Times New Roman" w:hAnsi="Times New Roman" w:eastAsia="Times New Roman"/>
          <w:color w:val="auto"/>
          <w:spacing w:val="23"/>
          <w:sz w:val="24"/>
        </w:rPr>
        <w:t xml:space="preserve"> </w:t>
      </w:r>
      <w:r>
        <w:rPr>
          <w:color w:val="auto"/>
          <w:sz w:val="24"/>
        </w:rPr>
        <w:t>款规定的标准对投标文件进行初步评审。有一项不符合评审标准的，评标委员会应当否决其投标。</w:t>
      </w:r>
    </w:p>
    <w:p>
      <w:pPr>
        <w:pStyle w:val="15"/>
        <w:numPr>
          <w:ilvl w:val="2"/>
          <w:numId w:val="29"/>
        </w:numPr>
        <w:tabs>
          <w:tab w:val="left" w:pos="1337"/>
        </w:tabs>
        <w:spacing w:before="0" w:after="0" w:line="307" w:lineRule="exact"/>
        <w:ind w:left="1336" w:right="0" w:hanging="521"/>
        <w:jc w:val="both"/>
        <w:rPr>
          <w:rFonts w:ascii="Times New Roman" w:eastAsia="Times New Roman"/>
          <w:color w:val="auto"/>
          <w:sz w:val="24"/>
        </w:rPr>
      </w:pPr>
      <w:r>
        <w:rPr>
          <w:color w:val="auto"/>
          <w:sz w:val="24"/>
        </w:rPr>
        <w:t>投标人有以下情形之一的，评标委员会应当否决其投标：</w:t>
      </w:r>
    </w:p>
    <w:p>
      <w:pPr>
        <w:pStyle w:val="15"/>
        <w:numPr>
          <w:ilvl w:val="0"/>
          <w:numId w:val="32"/>
        </w:numPr>
        <w:tabs>
          <w:tab w:val="left" w:pos="1417"/>
        </w:tabs>
        <w:spacing w:before="158" w:after="0" w:line="364" w:lineRule="auto"/>
        <w:ind w:left="395" w:right="768" w:firstLine="420"/>
        <w:jc w:val="left"/>
        <w:rPr>
          <w:color w:val="auto"/>
          <w:sz w:val="24"/>
        </w:rPr>
      </w:pPr>
      <w:r>
        <w:rPr>
          <w:color w:val="auto"/>
          <w:spacing w:val="-1"/>
          <w:sz w:val="24"/>
        </w:rPr>
        <w:t>投标文件没有对招标文件的实质性要求和条件作出响应，或者对招标文件</w:t>
      </w:r>
      <w:r>
        <w:rPr>
          <w:color w:val="auto"/>
          <w:sz w:val="24"/>
        </w:rPr>
        <w:t>的偏差超出招标文件规定的偏差范围或最高项数；</w:t>
      </w:r>
    </w:p>
    <w:p>
      <w:pPr>
        <w:pStyle w:val="15"/>
        <w:numPr>
          <w:ilvl w:val="0"/>
          <w:numId w:val="32"/>
        </w:numPr>
        <w:tabs>
          <w:tab w:val="left" w:pos="1417"/>
        </w:tabs>
        <w:spacing w:before="0" w:after="0" w:line="306" w:lineRule="exact"/>
        <w:ind w:left="1417" w:right="0" w:hanging="601"/>
        <w:jc w:val="left"/>
        <w:rPr>
          <w:color w:val="auto"/>
          <w:sz w:val="24"/>
        </w:rPr>
      </w:pPr>
      <w:r>
        <w:rPr>
          <w:color w:val="auto"/>
          <w:sz w:val="24"/>
        </w:rPr>
        <w:t>有串通投标、弄虚作假、行贿等违法行为。</w:t>
      </w:r>
    </w:p>
    <w:p>
      <w:pPr>
        <w:pStyle w:val="15"/>
        <w:numPr>
          <w:ilvl w:val="2"/>
          <w:numId w:val="29"/>
        </w:numPr>
        <w:tabs>
          <w:tab w:val="left" w:pos="1344"/>
        </w:tabs>
        <w:spacing w:before="158" w:after="0" w:line="364" w:lineRule="auto"/>
        <w:ind w:left="395" w:right="515" w:firstLine="420"/>
        <w:jc w:val="both"/>
        <w:rPr>
          <w:rFonts w:ascii="Times New Roman" w:eastAsia="Times New Roman"/>
          <w:color w:val="auto"/>
          <w:sz w:val="24"/>
        </w:rPr>
      </w:pPr>
      <w:r>
        <w:rPr>
          <w:color w:val="auto"/>
          <w:sz w:val="24"/>
        </w:rPr>
        <w:t>投标报价有算术错误及其他错误的，评标委员会按以下原则要求投标人对投标报价进行修正，并要求投标人书面澄清确认。投标人拒不澄清确认的，评标委员会应当否决其投标：</w:t>
      </w:r>
    </w:p>
    <w:p>
      <w:pPr>
        <w:pStyle w:val="7"/>
        <w:numPr>
          <w:ilvl w:val="0"/>
          <w:numId w:val="33"/>
        </w:numPr>
        <w:spacing w:line="307" w:lineRule="exact"/>
        <w:ind w:left="816"/>
        <w:rPr>
          <w:color w:val="auto"/>
        </w:rPr>
      </w:pPr>
      <w:r>
        <w:rPr>
          <w:color w:val="auto"/>
        </w:rPr>
        <w:t>投标文件中的大写金额与小写金额不一致的，以大写金额为准；</w:t>
      </w:r>
    </w:p>
    <w:p>
      <w:pPr>
        <w:pStyle w:val="7"/>
        <w:numPr>
          <w:ilvl w:val="0"/>
          <w:numId w:val="33"/>
        </w:numPr>
        <w:spacing w:line="307" w:lineRule="exact"/>
        <w:ind w:left="816"/>
        <w:rPr>
          <w:color w:val="auto"/>
        </w:rPr>
      </w:pPr>
      <w:r>
        <w:rPr>
          <w:color w:val="auto"/>
        </w:rPr>
        <w:t>总价金额与单价金额不一致的，以单价金额为准，但单价金额小数点有明显</w:t>
      </w:r>
    </w:p>
    <w:p>
      <w:pPr>
        <w:pStyle w:val="7"/>
        <w:numPr>
          <w:ilvl w:val="0"/>
          <w:numId w:val="0"/>
        </w:numPr>
        <w:spacing w:line="307" w:lineRule="exact"/>
        <w:ind w:right="0" w:rightChars="0" w:firstLine="480" w:firstLineChars="200"/>
        <w:rPr>
          <w:color w:val="auto"/>
        </w:rPr>
      </w:pPr>
      <w:r>
        <w:rPr>
          <w:color w:val="auto"/>
        </w:rPr>
        <w:t>错误的除外。</w:t>
      </w:r>
    </w:p>
    <w:p>
      <w:pPr>
        <w:pStyle w:val="15"/>
        <w:numPr>
          <w:ilvl w:val="1"/>
          <w:numId w:val="29"/>
        </w:numPr>
        <w:tabs>
          <w:tab w:val="left" w:pos="1018"/>
        </w:tabs>
        <w:spacing w:before="158" w:after="0" w:line="240" w:lineRule="auto"/>
        <w:ind w:left="1017" w:right="0" w:hanging="486"/>
        <w:jc w:val="both"/>
        <w:rPr>
          <w:rFonts w:hint="eastAsia" w:ascii="宋体" w:hAnsi="宋体" w:eastAsia="宋体" w:cs="宋体"/>
          <w:color w:val="auto"/>
          <w:spacing w:val="-3"/>
          <w:sz w:val="28"/>
          <w:szCs w:val="28"/>
          <w:lang w:val="zh-CN" w:eastAsia="zh-CN" w:bidi="zh-CN"/>
        </w:rPr>
      </w:pPr>
      <w:r>
        <w:rPr>
          <w:rFonts w:hint="eastAsia" w:ascii="宋体" w:hAnsi="宋体" w:eastAsia="宋体" w:cs="宋体"/>
          <w:color w:val="auto"/>
          <w:spacing w:val="-3"/>
          <w:sz w:val="28"/>
          <w:szCs w:val="28"/>
          <w:lang w:val="zh-CN" w:eastAsia="zh-CN" w:bidi="zh-CN"/>
        </w:rPr>
        <w:t>详细评审</w:t>
      </w:r>
    </w:p>
    <w:p>
      <w:pPr>
        <w:pStyle w:val="15"/>
        <w:numPr>
          <w:ilvl w:val="2"/>
          <w:numId w:val="34"/>
        </w:numPr>
        <w:tabs>
          <w:tab w:val="left" w:pos="996"/>
        </w:tabs>
        <w:spacing w:before="160" w:after="0" w:line="364" w:lineRule="auto"/>
        <w:ind w:left="395" w:right="408" w:firstLine="0"/>
        <w:jc w:val="left"/>
        <w:rPr>
          <w:color w:val="auto"/>
          <w:sz w:val="24"/>
        </w:rPr>
      </w:pPr>
      <w:r>
        <w:rPr>
          <w:color w:val="auto"/>
          <w:sz w:val="24"/>
        </w:rPr>
        <w:t xml:space="preserve">评标委员会按本章第 </w:t>
      </w:r>
      <w:r>
        <w:rPr>
          <w:rFonts w:ascii="Times New Roman" w:eastAsia="Times New Roman"/>
          <w:color w:val="auto"/>
          <w:sz w:val="24"/>
        </w:rPr>
        <w:t xml:space="preserve">2.2 </w:t>
      </w:r>
      <w:r>
        <w:rPr>
          <w:color w:val="auto"/>
          <w:spacing w:val="-1"/>
          <w:sz w:val="24"/>
        </w:rPr>
        <w:t>款规定的量化因素和分值进行打分，并计算出综合评估</w:t>
      </w:r>
      <w:r>
        <w:rPr>
          <w:color w:val="auto"/>
          <w:sz w:val="24"/>
        </w:rPr>
        <w:t>得分。</w:t>
      </w:r>
    </w:p>
    <w:p>
      <w:pPr>
        <w:pStyle w:val="15"/>
        <w:numPr>
          <w:ilvl w:val="0"/>
          <w:numId w:val="0"/>
        </w:numPr>
        <w:tabs>
          <w:tab w:val="left" w:pos="997"/>
        </w:tabs>
        <w:spacing w:before="0" w:after="0" w:line="306" w:lineRule="exact"/>
        <w:ind w:left="395" w:leftChars="0" w:right="0" w:rightChars="0"/>
        <w:jc w:val="left"/>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color w:val="auto"/>
          <w:sz w:val="24"/>
        </w:rPr>
        <w:t xml:space="preserve">按本章第 </w:t>
      </w:r>
      <w:r>
        <w:rPr>
          <w:rFonts w:hint="eastAsia" w:ascii="Times New Roman"/>
          <w:color w:val="auto"/>
          <w:sz w:val="24"/>
          <w:lang w:val="en-US" w:eastAsia="zh-CN"/>
        </w:rPr>
        <w:t>2.2.3</w:t>
      </w:r>
      <w:r>
        <w:rPr>
          <w:color w:val="auto"/>
          <w:spacing w:val="-3"/>
          <w:sz w:val="24"/>
        </w:rPr>
        <w:t>目规定的评审因素和分值对</w:t>
      </w:r>
      <w:r>
        <w:rPr>
          <w:rFonts w:hint="eastAsia"/>
          <w:color w:val="auto"/>
          <w:sz w:val="24"/>
          <w:lang w:val="en-US" w:eastAsia="zh-CN"/>
        </w:rPr>
        <w:t>技术评审</w:t>
      </w:r>
      <w:r>
        <w:rPr>
          <w:color w:val="auto"/>
          <w:spacing w:val="-3"/>
          <w:sz w:val="24"/>
        </w:rPr>
        <w:t xml:space="preserve">计算出得分 </w:t>
      </w:r>
      <w:r>
        <w:rPr>
          <w:color w:val="auto"/>
          <w:sz w:val="24"/>
        </w:rPr>
        <w:t>F1；</w:t>
      </w:r>
    </w:p>
    <w:p>
      <w:pPr>
        <w:pStyle w:val="15"/>
        <w:numPr>
          <w:ilvl w:val="0"/>
          <w:numId w:val="0"/>
        </w:numPr>
        <w:tabs>
          <w:tab w:val="left" w:pos="997"/>
        </w:tabs>
        <w:spacing w:before="158" w:after="0" w:line="240" w:lineRule="auto"/>
        <w:ind w:left="395" w:leftChars="0" w:right="0" w:rightChars="0"/>
        <w:jc w:val="left"/>
        <w:rPr>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color w:val="auto"/>
          <w:sz w:val="24"/>
        </w:rPr>
        <w:t xml:space="preserve">按本章第 </w:t>
      </w:r>
      <w:r>
        <w:rPr>
          <w:rFonts w:ascii="Times New Roman" w:eastAsia="Times New Roman"/>
          <w:color w:val="auto"/>
          <w:sz w:val="24"/>
        </w:rPr>
        <w:t>2.2.4</w:t>
      </w:r>
      <w:r>
        <w:rPr>
          <w:color w:val="auto"/>
          <w:spacing w:val="-3"/>
          <w:sz w:val="24"/>
        </w:rPr>
        <w:t>目规定的评审因素和分值对</w:t>
      </w:r>
      <w:r>
        <w:rPr>
          <w:rFonts w:hint="eastAsia"/>
          <w:color w:val="auto"/>
          <w:sz w:val="24"/>
          <w:lang w:val="en-US" w:eastAsia="zh-CN"/>
        </w:rPr>
        <w:t>商务评审</w:t>
      </w:r>
      <w:r>
        <w:rPr>
          <w:color w:val="auto"/>
          <w:spacing w:val="-3"/>
          <w:sz w:val="24"/>
        </w:rPr>
        <w:t xml:space="preserve">计算出得分 </w:t>
      </w:r>
      <w:r>
        <w:rPr>
          <w:color w:val="auto"/>
          <w:sz w:val="24"/>
        </w:rPr>
        <w:t>F2；</w:t>
      </w:r>
    </w:p>
    <w:p>
      <w:pPr>
        <w:pStyle w:val="15"/>
        <w:numPr>
          <w:ilvl w:val="0"/>
          <w:numId w:val="0"/>
        </w:numPr>
        <w:tabs>
          <w:tab w:val="left" w:pos="997"/>
        </w:tabs>
        <w:spacing w:before="161" w:after="0" w:line="240" w:lineRule="auto"/>
        <w:ind w:left="395" w:leftChars="0" w:right="0" w:rightChars="0"/>
        <w:jc w:val="left"/>
        <w:rPr>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color w:val="auto"/>
          <w:sz w:val="24"/>
        </w:rPr>
        <w:t xml:space="preserve">按本章第 </w:t>
      </w:r>
      <w:r>
        <w:rPr>
          <w:rFonts w:ascii="Times New Roman" w:eastAsia="Times New Roman"/>
          <w:color w:val="auto"/>
          <w:sz w:val="24"/>
        </w:rPr>
        <w:t>2.2.</w:t>
      </w:r>
      <w:r>
        <w:rPr>
          <w:rFonts w:hint="eastAsia" w:ascii="Times New Roman"/>
          <w:color w:val="auto"/>
          <w:sz w:val="24"/>
          <w:lang w:val="en-US" w:eastAsia="zh-CN"/>
        </w:rPr>
        <w:t>5</w:t>
      </w:r>
      <w:r>
        <w:rPr>
          <w:color w:val="auto"/>
          <w:spacing w:val="-3"/>
          <w:sz w:val="24"/>
        </w:rPr>
        <w:t>目规定的评审因素和分值对报价</w:t>
      </w:r>
      <w:r>
        <w:rPr>
          <w:rFonts w:hint="eastAsia"/>
          <w:color w:val="auto"/>
          <w:sz w:val="24"/>
          <w:lang w:val="en-US" w:eastAsia="zh-CN"/>
        </w:rPr>
        <w:t>评审</w:t>
      </w:r>
      <w:r>
        <w:rPr>
          <w:color w:val="auto"/>
          <w:spacing w:val="-3"/>
          <w:sz w:val="24"/>
        </w:rPr>
        <w:t xml:space="preserve">计算出得分 </w:t>
      </w:r>
      <w:r>
        <w:rPr>
          <w:color w:val="auto"/>
          <w:sz w:val="24"/>
        </w:rPr>
        <w:t>F3；</w:t>
      </w:r>
    </w:p>
    <w:p>
      <w:pPr>
        <w:pStyle w:val="15"/>
        <w:numPr>
          <w:ilvl w:val="2"/>
          <w:numId w:val="34"/>
        </w:numPr>
        <w:tabs>
          <w:tab w:val="left" w:pos="996"/>
        </w:tabs>
        <w:spacing w:before="61" w:after="0" w:line="240" w:lineRule="auto"/>
        <w:ind w:left="996" w:right="0" w:hanging="601"/>
        <w:jc w:val="both"/>
        <w:rPr>
          <w:color w:val="auto"/>
          <w:sz w:val="24"/>
        </w:rPr>
      </w:pPr>
      <w:bookmarkStart w:id="40" w:name="第四章合同条款及格式"/>
      <w:bookmarkEnd w:id="40"/>
      <w:bookmarkStart w:id="41" w:name="第四章合同条款及格式"/>
      <w:bookmarkEnd w:id="41"/>
      <w:r>
        <w:rPr>
          <w:color w:val="auto"/>
          <w:sz w:val="24"/>
        </w:rPr>
        <w:t>评分分值计算保留小数点后两位，小数点后第三位</w:t>
      </w:r>
      <w:r>
        <w:rPr>
          <w:rFonts w:ascii="Times New Roman" w:hAnsi="Times New Roman" w:eastAsia="Times New Roman"/>
          <w:color w:val="auto"/>
          <w:sz w:val="24"/>
        </w:rPr>
        <w:t>“</w:t>
      </w:r>
      <w:r>
        <w:rPr>
          <w:color w:val="auto"/>
          <w:sz w:val="24"/>
        </w:rPr>
        <w:t>四舍五入</w:t>
      </w:r>
      <w:r>
        <w:rPr>
          <w:rFonts w:ascii="Times New Roman" w:hAnsi="Times New Roman" w:eastAsia="Times New Roman"/>
          <w:color w:val="auto"/>
          <w:sz w:val="24"/>
        </w:rPr>
        <w:t>”</w:t>
      </w:r>
      <w:r>
        <w:rPr>
          <w:color w:val="auto"/>
          <w:sz w:val="24"/>
        </w:rPr>
        <w:t>。</w:t>
      </w:r>
    </w:p>
    <w:p>
      <w:pPr>
        <w:pStyle w:val="15"/>
        <w:numPr>
          <w:ilvl w:val="2"/>
          <w:numId w:val="34"/>
        </w:numPr>
        <w:tabs>
          <w:tab w:val="left" w:pos="996"/>
        </w:tabs>
        <w:spacing w:before="158" w:after="0" w:line="240" w:lineRule="auto"/>
        <w:ind w:left="996" w:right="0" w:hanging="601"/>
        <w:jc w:val="both"/>
        <w:rPr>
          <w:color w:val="auto"/>
          <w:sz w:val="24"/>
        </w:rPr>
      </w:pPr>
      <w:r>
        <w:rPr>
          <w:color w:val="auto"/>
          <w:sz w:val="24"/>
        </w:rPr>
        <w:t>投标人得分</w:t>
      </w:r>
      <w:r>
        <w:rPr>
          <w:rFonts w:ascii="Times New Roman" w:eastAsia="Times New Roman"/>
          <w:color w:val="auto"/>
          <w:sz w:val="24"/>
        </w:rPr>
        <w:t>=F1+F2+F3</w:t>
      </w:r>
      <w:r>
        <w:rPr>
          <w:color w:val="auto"/>
          <w:sz w:val="24"/>
        </w:rPr>
        <w:t>。</w:t>
      </w:r>
    </w:p>
    <w:p>
      <w:pPr>
        <w:pStyle w:val="15"/>
        <w:numPr>
          <w:ilvl w:val="2"/>
          <w:numId w:val="34"/>
        </w:numPr>
        <w:tabs>
          <w:tab w:val="left" w:pos="996"/>
        </w:tabs>
        <w:spacing w:before="161" w:after="0" w:line="364" w:lineRule="auto"/>
        <w:ind w:left="395" w:right="396" w:firstLine="0"/>
        <w:jc w:val="both"/>
        <w:rPr>
          <w:color w:val="auto"/>
          <w:sz w:val="24"/>
        </w:rPr>
      </w:pPr>
      <w:r>
        <w:rPr>
          <w:color w:val="auto"/>
          <w:sz w:val="24"/>
        </w:rPr>
        <w:t>评标委员会发现投标人的报价明显低于其他投标报价，使得其投标报价可能低于</w:t>
      </w:r>
      <w:r>
        <w:rPr>
          <w:color w:val="auto"/>
          <w:spacing w:val="-6"/>
          <w:sz w:val="24"/>
        </w:rPr>
        <w:t>其个别成本的，应当要求该投标人作出书面说明并提供相应的证明材料。投标人不能合</w:t>
      </w:r>
      <w:r>
        <w:rPr>
          <w:color w:val="auto"/>
          <w:spacing w:val="-4"/>
          <w:sz w:val="24"/>
        </w:rPr>
        <w:t>理说明或者不能提供相应证明材料的，评标委员会应当认定该投标人以低于成本报价竞</w:t>
      </w:r>
      <w:r>
        <w:rPr>
          <w:color w:val="auto"/>
          <w:sz w:val="24"/>
        </w:rPr>
        <w:t>标，并否决其投标。</w:t>
      </w:r>
    </w:p>
    <w:p>
      <w:pPr>
        <w:pStyle w:val="15"/>
        <w:numPr>
          <w:ilvl w:val="1"/>
          <w:numId w:val="29"/>
        </w:numPr>
        <w:tabs>
          <w:tab w:val="left" w:pos="1018"/>
        </w:tabs>
        <w:spacing w:before="158" w:after="0" w:line="240" w:lineRule="auto"/>
        <w:ind w:left="1017" w:right="0" w:hanging="486"/>
        <w:jc w:val="both"/>
        <w:rPr>
          <w:rFonts w:hint="eastAsia" w:ascii="宋体" w:hAnsi="宋体" w:eastAsia="宋体" w:cs="宋体"/>
          <w:color w:val="auto"/>
          <w:spacing w:val="-3"/>
          <w:sz w:val="28"/>
          <w:szCs w:val="28"/>
          <w:lang w:val="zh-CN" w:eastAsia="zh-CN" w:bidi="zh-CN"/>
        </w:rPr>
      </w:pPr>
      <w:r>
        <w:rPr>
          <w:rFonts w:hint="eastAsia" w:ascii="宋体" w:hAnsi="宋体" w:eastAsia="宋体" w:cs="宋体"/>
          <w:color w:val="auto"/>
          <w:spacing w:val="-3"/>
          <w:sz w:val="28"/>
          <w:szCs w:val="28"/>
          <w:lang w:val="zh-CN" w:eastAsia="zh-CN" w:bidi="zh-CN"/>
        </w:rPr>
        <w:t>投标文件的澄清</w:t>
      </w:r>
    </w:p>
    <w:p>
      <w:pPr>
        <w:pStyle w:val="15"/>
        <w:numPr>
          <w:ilvl w:val="2"/>
          <w:numId w:val="29"/>
        </w:numPr>
        <w:tabs>
          <w:tab w:val="left" w:pos="1421"/>
        </w:tabs>
        <w:spacing w:before="158" w:after="0" w:line="364" w:lineRule="auto"/>
        <w:ind w:left="395" w:right="348" w:firstLine="480"/>
        <w:jc w:val="both"/>
        <w:rPr>
          <w:rFonts w:ascii="Times New Roman" w:eastAsia="Times New Roman"/>
          <w:color w:val="auto"/>
          <w:sz w:val="24"/>
        </w:rPr>
      </w:pPr>
      <w:r>
        <w:rPr>
          <w:color w:val="auto"/>
          <w:sz w:val="24"/>
        </w:rPr>
        <w:t>在评标过程中，评标委员会可以书面形式要求投标人对投标文件中含义不明</w:t>
      </w:r>
      <w:r>
        <w:rPr>
          <w:color w:val="auto"/>
          <w:spacing w:val="-6"/>
          <w:sz w:val="24"/>
        </w:rPr>
        <w:t>确、对同类问题表述不一致或者有明显文字和计算错误的内容作必要的澄清、说明或补</w:t>
      </w:r>
      <w:r>
        <w:rPr>
          <w:color w:val="auto"/>
          <w:spacing w:val="-7"/>
          <w:sz w:val="24"/>
        </w:rPr>
        <w:t>正。澄清、说明或补正应以书面方式进行。评标委员会不接受投标人主动提出的澄清、</w:t>
      </w:r>
      <w:r>
        <w:rPr>
          <w:color w:val="auto"/>
          <w:sz w:val="24"/>
        </w:rPr>
        <w:t>说明或补正。</w:t>
      </w:r>
    </w:p>
    <w:p>
      <w:pPr>
        <w:pStyle w:val="15"/>
        <w:numPr>
          <w:ilvl w:val="2"/>
          <w:numId w:val="29"/>
        </w:numPr>
        <w:tabs>
          <w:tab w:val="left" w:pos="1344"/>
        </w:tabs>
        <w:spacing w:before="0" w:after="0" w:line="364" w:lineRule="auto"/>
        <w:ind w:left="395" w:right="515" w:firstLine="420"/>
        <w:jc w:val="both"/>
        <w:rPr>
          <w:rFonts w:ascii="Times New Roman" w:eastAsia="Times New Roman"/>
          <w:color w:val="auto"/>
          <w:sz w:val="24"/>
        </w:rPr>
      </w:pPr>
      <w:r>
        <w:rPr>
          <w:color w:val="auto"/>
          <w:sz w:val="24"/>
        </w:rPr>
        <w:t>澄清、说明或补正不得超出投标文件的范围且不得改变投标文件的实质性内容，并构成投标文件的组成部分。</w:t>
      </w:r>
    </w:p>
    <w:p>
      <w:pPr>
        <w:pStyle w:val="15"/>
        <w:numPr>
          <w:ilvl w:val="2"/>
          <w:numId w:val="29"/>
        </w:numPr>
        <w:tabs>
          <w:tab w:val="left" w:pos="1344"/>
        </w:tabs>
        <w:spacing w:before="0" w:after="0" w:line="362" w:lineRule="auto"/>
        <w:ind w:left="395" w:right="396" w:firstLine="420"/>
        <w:jc w:val="both"/>
        <w:rPr>
          <w:rFonts w:ascii="Times New Roman" w:eastAsia="Times New Roman"/>
          <w:color w:val="auto"/>
          <w:sz w:val="24"/>
        </w:rPr>
      </w:pPr>
      <w:r>
        <w:rPr>
          <w:color w:val="auto"/>
          <w:spacing w:val="-4"/>
          <w:sz w:val="24"/>
        </w:rPr>
        <w:t>评标委员会对投标人提交的澄清、说明或补正有疑问的，可以要求投标人进一</w:t>
      </w:r>
      <w:r>
        <w:rPr>
          <w:color w:val="auto"/>
          <w:sz w:val="24"/>
        </w:rPr>
        <w:t>步澄清、说明或补正，直至满足评标委员会的要求。</w:t>
      </w:r>
    </w:p>
    <w:p>
      <w:pPr>
        <w:pStyle w:val="15"/>
        <w:numPr>
          <w:ilvl w:val="1"/>
          <w:numId w:val="29"/>
        </w:numPr>
        <w:tabs>
          <w:tab w:val="left" w:pos="1018"/>
        </w:tabs>
        <w:spacing w:before="158" w:after="0" w:line="240" w:lineRule="auto"/>
        <w:ind w:left="1017" w:right="0" w:hanging="486"/>
        <w:jc w:val="both"/>
        <w:rPr>
          <w:rFonts w:hint="eastAsia" w:ascii="宋体" w:hAnsi="宋体" w:eastAsia="宋体" w:cs="宋体"/>
          <w:color w:val="auto"/>
          <w:spacing w:val="-3"/>
          <w:sz w:val="28"/>
          <w:szCs w:val="28"/>
          <w:lang w:val="zh-CN" w:eastAsia="zh-CN" w:bidi="zh-CN"/>
        </w:rPr>
      </w:pPr>
      <w:r>
        <w:rPr>
          <w:rFonts w:hint="eastAsia" w:ascii="宋体" w:hAnsi="宋体" w:eastAsia="宋体" w:cs="宋体"/>
          <w:color w:val="auto"/>
          <w:spacing w:val="-3"/>
          <w:sz w:val="28"/>
          <w:szCs w:val="28"/>
          <w:lang w:val="zh-CN" w:eastAsia="zh-CN" w:bidi="zh-CN"/>
        </w:rPr>
        <w:t>评标结果</w:t>
      </w:r>
    </w:p>
    <w:p>
      <w:pPr>
        <w:pStyle w:val="15"/>
        <w:numPr>
          <w:ilvl w:val="2"/>
          <w:numId w:val="29"/>
        </w:numPr>
        <w:tabs>
          <w:tab w:val="left" w:pos="1344"/>
        </w:tabs>
        <w:spacing w:before="158" w:after="0" w:line="364" w:lineRule="auto"/>
        <w:ind w:left="395" w:right="515" w:firstLine="420"/>
        <w:jc w:val="both"/>
        <w:rPr>
          <w:rFonts w:ascii="Times New Roman" w:hAnsi="Times New Roman" w:eastAsia="Times New Roman"/>
          <w:color w:val="auto"/>
          <w:sz w:val="24"/>
        </w:rPr>
      </w:pPr>
      <w:r>
        <w:rPr>
          <w:color w:val="auto"/>
          <w:sz w:val="24"/>
        </w:rPr>
        <w:t>除第二章</w:t>
      </w:r>
      <w:r>
        <w:rPr>
          <w:rFonts w:ascii="Times New Roman" w:hAnsi="Times New Roman" w:eastAsia="Times New Roman"/>
          <w:color w:val="auto"/>
          <w:spacing w:val="3"/>
          <w:sz w:val="24"/>
        </w:rPr>
        <w:t>“</w:t>
      </w:r>
      <w:r>
        <w:rPr>
          <w:color w:val="auto"/>
          <w:sz w:val="24"/>
        </w:rPr>
        <w:t>投标人须知</w:t>
      </w:r>
      <w:r>
        <w:rPr>
          <w:rFonts w:ascii="Times New Roman" w:hAnsi="Times New Roman" w:eastAsia="Times New Roman"/>
          <w:color w:val="auto"/>
          <w:spacing w:val="3"/>
          <w:sz w:val="24"/>
        </w:rPr>
        <w:t>”</w:t>
      </w:r>
      <w:r>
        <w:rPr>
          <w:color w:val="auto"/>
          <w:sz w:val="24"/>
        </w:rPr>
        <w:t>前附表授权直接确定中标人外，评标委员会按照得分由高到低的顺序推荐中标候选人，并标明排序。如果出现两个或两个以上投标人得分相同且为最高分，则由评标委员会按照少数服从多数的原则投票决定中标候选顺序。</w:t>
      </w:r>
    </w:p>
    <w:p>
      <w:pPr>
        <w:pStyle w:val="15"/>
        <w:numPr>
          <w:ilvl w:val="2"/>
          <w:numId w:val="29"/>
        </w:numPr>
        <w:tabs>
          <w:tab w:val="left" w:pos="1337"/>
        </w:tabs>
        <w:spacing w:before="0" w:after="0" w:line="362" w:lineRule="auto"/>
        <w:ind w:left="395" w:right="846" w:firstLine="420"/>
        <w:jc w:val="both"/>
        <w:rPr>
          <w:rFonts w:ascii="Times New Roman" w:eastAsia="Times New Roman"/>
          <w:color w:val="auto"/>
          <w:sz w:val="24"/>
        </w:rPr>
      </w:pPr>
      <w:r>
        <w:rPr>
          <w:color w:val="auto"/>
          <w:spacing w:val="-1"/>
          <w:sz w:val="24"/>
        </w:rPr>
        <w:t>评标委员会完成评标后，应当向招标人提交书面评标报告和中标候选人名</w:t>
      </w:r>
      <w:r>
        <w:rPr>
          <w:color w:val="auto"/>
          <w:sz w:val="24"/>
        </w:rPr>
        <w:t>单。</w:t>
      </w:r>
    </w:p>
    <w:p>
      <w:pPr>
        <w:spacing w:after="0" w:line="362" w:lineRule="auto"/>
        <w:jc w:val="both"/>
        <w:rPr>
          <w:rFonts w:ascii="Times New Roman" w:eastAsia="Times New Roman"/>
          <w:color w:val="auto"/>
          <w:sz w:val="24"/>
        </w:rPr>
        <w:sectPr>
          <w:footerReference r:id="rId8" w:type="default"/>
          <w:pgSz w:w="11910" w:h="16840"/>
          <w:pgMar w:top="1340" w:right="1020" w:bottom="900" w:left="1020" w:header="0" w:footer="640" w:gutter="0"/>
          <w:pgBorders>
            <w:top w:val="none" w:sz="0" w:space="0"/>
            <w:left w:val="none" w:sz="0" w:space="0"/>
            <w:bottom w:val="none" w:sz="0" w:space="0"/>
            <w:right w:val="none" w:sz="0" w:space="0"/>
          </w:pgBorders>
          <w:pgNumType w:fmt="decimal"/>
          <w:cols w:space="720" w:num="1"/>
        </w:sectPr>
      </w:pPr>
    </w:p>
    <w:p>
      <w:pPr>
        <w:spacing w:before="80"/>
        <w:ind w:left="1" w:right="0" w:firstLine="0"/>
        <w:jc w:val="center"/>
        <w:rPr>
          <w:b/>
          <w:color w:val="auto"/>
          <w:sz w:val="36"/>
        </w:rPr>
      </w:pPr>
      <w:bookmarkStart w:id="42" w:name="_TOC_250002"/>
      <w:bookmarkEnd w:id="42"/>
      <w:r>
        <w:rPr>
          <w:b/>
          <w:color w:val="auto"/>
          <w:sz w:val="36"/>
        </w:rPr>
        <w:t>第四章 合同条款及格式</w:t>
      </w:r>
    </w:p>
    <w:p>
      <w:pPr>
        <w:pStyle w:val="7"/>
        <w:spacing w:before="5"/>
        <w:ind w:left="0"/>
        <w:rPr>
          <w:b/>
          <w:color w:val="auto"/>
          <w:sz w:val="47"/>
        </w:rPr>
      </w:pPr>
    </w:p>
    <w:p>
      <w:pPr>
        <w:pStyle w:val="5"/>
        <w:ind w:left="1176"/>
        <w:rPr>
          <w:color w:val="auto"/>
        </w:rPr>
      </w:pPr>
      <w:r>
        <w:rPr>
          <w:rFonts w:ascii="Times New Roman" w:eastAsia="Times New Roman"/>
          <w:color w:val="auto"/>
        </w:rPr>
        <w:t>1</w:t>
      </w:r>
      <w:r>
        <w:rPr>
          <w:color w:val="auto"/>
        </w:rPr>
        <w:t>、本章合同格式仅供参考，甲乙双方根据实际情况修改。</w:t>
      </w:r>
    </w:p>
    <w:p>
      <w:pPr>
        <w:spacing w:after="0"/>
        <w:rPr>
          <w:color w:val="auto"/>
        </w:rPr>
        <w:sectPr>
          <w:pgSz w:w="11910" w:h="16840"/>
          <w:pgMar w:top="1580" w:right="1020" w:bottom="900" w:left="1020" w:header="0" w:footer="640" w:gutter="0"/>
          <w:pgBorders>
            <w:top w:val="none" w:sz="0" w:space="0"/>
            <w:left w:val="none" w:sz="0" w:space="0"/>
            <w:bottom w:val="none" w:sz="0" w:space="0"/>
            <w:right w:val="none" w:sz="0" w:space="0"/>
          </w:pgBorders>
          <w:pgNumType w:fmt="decimal"/>
          <w:cols w:space="720" w:num="1"/>
        </w:sectPr>
      </w:pPr>
    </w:p>
    <w:p>
      <w:pPr>
        <w:spacing w:line="360" w:lineRule="auto"/>
        <w:jc w:val="center"/>
        <w:rPr>
          <w:rFonts w:hint="eastAsia" w:ascii="宋体" w:hAnsi="宋体" w:eastAsia="宋体" w:cs="宋体"/>
          <w:b/>
          <w:bCs/>
          <w:color w:val="auto"/>
          <w:sz w:val="52"/>
          <w:szCs w:val="52"/>
          <w:highlight w:val="none"/>
        </w:rPr>
      </w:pPr>
    </w:p>
    <w:p>
      <w:pPr>
        <w:pStyle w:val="2"/>
        <w:rPr>
          <w:rFonts w:hint="eastAsia"/>
          <w:color w:val="auto"/>
        </w:rPr>
      </w:pPr>
    </w:p>
    <w:p>
      <w:pPr>
        <w:pStyle w:val="2"/>
        <w:rPr>
          <w:rFonts w:hint="eastAsia" w:ascii="宋体" w:hAnsi="宋体" w:eastAsia="宋体" w:cs="宋体"/>
          <w:b/>
          <w:bCs/>
          <w:color w:val="auto"/>
          <w:sz w:val="52"/>
          <w:szCs w:val="52"/>
          <w:highlight w:val="none"/>
        </w:rPr>
      </w:pPr>
    </w:p>
    <w:p>
      <w:pPr>
        <w:pStyle w:val="2"/>
        <w:rPr>
          <w:rFonts w:hint="eastAsia" w:ascii="宋体" w:hAnsi="宋体" w:eastAsia="宋体" w:cs="宋体"/>
          <w:b/>
          <w:bCs/>
          <w:color w:val="auto"/>
          <w:sz w:val="52"/>
          <w:szCs w:val="52"/>
          <w:highlight w:val="none"/>
        </w:rPr>
      </w:pPr>
    </w:p>
    <w:p>
      <w:pPr>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建设工程监理合同</w:t>
      </w:r>
    </w:p>
    <w:p>
      <w:pPr>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（示范文本）</w:t>
      </w:r>
    </w:p>
    <w:p>
      <w:pPr>
        <w:spacing w:line="360" w:lineRule="auto"/>
        <w:jc w:val="center"/>
        <w:rPr>
          <w:rFonts w:hint="eastAsia" w:ascii="宋体" w:hAnsi="宋体" w:eastAsia="宋体" w:cs="宋体"/>
          <w:bCs/>
          <w:color w:val="auto"/>
          <w:sz w:val="48"/>
          <w:szCs w:val="48"/>
          <w:highlight w:val="none"/>
        </w:rPr>
      </w:pP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p>
    <w:p>
      <w:pPr>
        <w:pStyle w:val="17"/>
        <w:rPr>
          <w:rFonts w:hint="eastAsia"/>
          <w:color w:val="auto"/>
          <w:highlight w:val="none"/>
        </w:rPr>
      </w:pP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p>
    <w:p>
      <w:pPr>
        <w:jc w:val="center"/>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t xml:space="preserve">  住房和城乡建设部</w:t>
      </w:r>
    </w:p>
    <w:p>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制定</w:t>
      </w:r>
    </w:p>
    <w:p>
      <w:pPr>
        <w:jc w:val="center"/>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t xml:space="preserve">   国家工商行政管理总局</w:t>
      </w:r>
    </w:p>
    <w:p>
      <w:pPr>
        <w:spacing w:line="360" w:lineRule="auto"/>
        <w:jc w:val="center"/>
        <w:rPr>
          <w:rFonts w:hint="eastAsia" w:ascii="宋体" w:hAnsi="宋体" w:eastAsia="宋体" w:cs="宋体"/>
          <w:b/>
          <w:bCs/>
          <w:color w:val="auto"/>
          <w:sz w:val="24"/>
          <w:highlight w:val="none"/>
        </w:rPr>
      </w:pPr>
    </w:p>
    <w:p>
      <w:pPr>
        <w:tabs>
          <w:tab w:val="left" w:pos="3120"/>
        </w:tabs>
        <w:spacing w:line="360" w:lineRule="auto"/>
        <w:ind w:firstLine="2650" w:firstLineChars="600"/>
        <w:rPr>
          <w:rFonts w:hint="eastAsia" w:ascii="宋体" w:hAnsi="宋体" w:eastAsia="宋体" w:cs="宋体"/>
          <w:b/>
          <w:bCs/>
          <w:color w:val="auto"/>
          <w:sz w:val="44"/>
          <w:szCs w:val="44"/>
          <w:highlight w:val="none"/>
        </w:rPr>
      </w:pPr>
    </w:p>
    <w:p>
      <w:pPr>
        <w:pStyle w:val="8"/>
        <w:rPr>
          <w:rFonts w:hint="eastAsia" w:hAnsi="宋体" w:eastAsia="宋体" w:cs="宋体"/>
          <w:b/>
          <w:bCs/>
          <w:color w:val="auto"/>
          <w:sz w:val="44"/>
          <w:szCs w:val="44"/>
          <w:highlight w:val="none"/>
        </w:rPr>
      </w:pPr>
    </w:p>
    <w:p>
      <w:pPr>
        <w:tabs>
          <w:tab w:val="left" w:pos="3120"/>
        </w:tabs>
        <w:spacing w:line="360" w:lineRule="auto"/>
        <w:rPr>
          <w:rFonts w:hint="eastAsia" w:ascii="宋体" w:hAnsi="宋体" w:eastAsia="宋体" w:cs="宋体"/>
          <w:b/>
          <w:bCs/>
          <w:color w:val="auto"/>
          <w:sz w:val="44"/>
          <w:szCs w:val="44"/>
          <w:highlight w:val="none"/>
        </w:rPr>
      </w:pPr>
    </w:p>
    <w:p>
      <w:pPr>
        <w:tabs>
          <w:tab w:val="left" w:pos="3120"/>
        </w:tabs>
        <w:spacing w:line="360" w:lineRule="auto"/>
        <w:ind w:firstLine="2650" w:firstLineChars="60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第一部分  协议书</w:t>
      </w:r>
    </w:p>
    <w:p>
      <w:pPr>
        <w:adjustRightInd w:val="0"/>
        <w:snapToGrid w:val="0"/>
        <w:spacing w:line="360" w:lineRule="auto"/>
        <w:ind w:firstLine="326" w:firstLineChars="250"/>
        <w:rPr>
          <w:rFonts w:hint="eastAsia" w:ascii="宋体" w:hAnsi="宋体" w:eastAsia="宋体" w:cs="宋体"/>
          <w:b/>
          <w:color w:val="auto"/>
          <w:sz w:val="13"/>
          <w:szCs w:val="13"/>
          <w:highlight w:val="none"/>
        </w:rPr>
      </w:pP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委托人（全称）：</w:t>
      </w:r>
      <w:r>
        <w:rPr>
          <w:rFonts w:hint="eastAsia" w:ascii="宋体" w:hAnsi="宋体" w:eastAsia="宋体" w:cs="宋体"/>
          <w:b/>
          <w:color w:val="auto"/>
          <w:sz w:val="24"/>
          <w:szCs w:val="24"/>
          <w:highlight w:val="none"/>
          <w:u w:val="single"/>
        </w:rPr>
        <w:t xml:space="preserve">                                      </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监理人（全称）：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hint="eastAsia" w:ascii="宋体" w:hAnsi="宋体" w:eastAsia="宋体" w:cs="宋体"/>
          <w:b/>
          <w:color w:val="auto"/>
          <w:sz w:val="24"/>
          <w:szCs w:val="24"/>
          <w:highlight w:val="none"/>
        </w:rPr>
      </w:pPr>
      <w:bookmarkStart w:id="43" w:name="_Toc6961"/>
      <w:bookmarkStart w:id="44" w:name="_Toc20532"/>
      <w:bookmarkStart w:id="45" w:name="_Toc26062"/>
      <w:bookmarkStart w:id="46" w:name="_Toc13740"/>
      <w:r>
        <w:rPr>
          <w:rFonts w:hint="eastAsia" w:ascii="宋体" w:hAnsi="宋体" w:eastAsia="宋体" w:cs="宋体"/>
          <w:b/>
          <w:color w:val="auto"/>
          <w:sz w:val="24"/>
          <w:szCs w:val="24"/>
          <w:highlight w:val="none"/>
        </w:rPr>
        <w:t>一、工程概况</w:t>
      </w:r>
      <w:bookmarkEnd w:id="43"/>
      <w:bookmarkEnd w:id="44"/>
      <w:bookmarkEnd w:id="45"/>
      <w:bookmarkEnd w:id="46"/>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工程规模：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77" w:firstLineChars="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二、词语限定</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协议书中相关词语的含义与通用条件中的定义与解释相同。</w:t>
      </w:r>
    </w:p>
    <w:p>
      <w:pPr>
        <w:spacing w:line="360" w:lineRule="auto"/>
        <w:ind w:firstLine="477" w:firstLineChars="198"/>
        <w:outlineLvl w:val="0"/>
        <w:rPr>
          <w:rFonts w:hint="eastAsia" w:ascii="宋体" w:hAnsi="宋体" w:eastAsia="宋体" w:cs="宋体"/>
          <w:b/>
          <w:color w:val="auto"/>
          <w:sz w:val="24"/>
          <w:szCs w:val="24"/>
          <w:highlight w:val="none"/>
        </w:rPr>
      </w:pPr>
      <w:bookmarkStart w:id="47" w:name="_Toc27039"/>
      <w:bookmarkStart w:id="48" w:name="_Toc2782"/>
      <w:bookmarkStart w:id="49" w:name="_Toc9864"/>
      <w:bookmarkStart w:id="50" w:name="_Toc1281"/>
      <w:r>
        <w:rPr>
          <w:rFonts w:hint="eastAsia" w:ascii="宋体" w:hAnsi="宋体" w:eastAsia="宋体" w:cs="宋体"/>
          <w:b/>
          <w:color w:val="auto"/>
          <w:sz w:val="24"/>
          <w:szCs w:val="24"/>
          <w:highlight w:val="none"/>
        </w:rPr>
        <w:t>三、组成本合同的文件</w:t>
      </w:r>
      <w:bookmarkEnd w:id="47"/>
      <w:bookmarkEnd w:id="48"/>
      <w:bookmarkEnd w:id="49"/>
      <w:bookmarkEnd w:id="50"/>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协议书；</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中标通知书（适用于招标工程）或委托书（适用于非招标工程）；</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投标文件（适用于招标工程）或监理与相关服务建议书（适用于非招标工程）；</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专用条件；</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通用条件；</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附录，即：</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附录A  相关服务的范围和内容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附录B  委托人派遣的人员和提供的</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本合同签订后，双方依法签订的补充协议也是本合同文件的组成部分。</w:t>
      </w:r>
    </w:p>
    <w:p>
      <w:pPr>
        <w:pStyle w:val="8"/>
        <w:rPr>
          <w:rFonts w:hint="eastAsia"/>
          <w:color w:val="auto"/>
          <w:sz w:val="24"/>
          <w:szCs w:val="24"/>
          <w:highlight w:val="none"/>
        </w:rPr>
      </w:pPr>
    </w:p>
    <w:p>
      <w:pPr>
        <w:spacing w:line="360" w:lineRule="auto"/>
        <w:ind w:firstLine="477" w:firstLineChars="198"/>
        <w:outlineLvl w:val="0"/>
        <w:rPr>
          <w:rFonts w:hint="eastAsia" w:ascii="宋体" w:hAnsi="宋体" w:eastAsia="宋体" w:cs="宋体"/>
          <w:b/>
          <w:color w:val="auto"/>
          <w:sz w:val="24"/>
          <w:szCs w:val="24"/>
          <w:highlight w:val="none"/>
        </w:rPr>
      </w:pPr>
      <w:bookmarkStart w:id="51" w:name="_Toc18318"/>
      <w:bookmarkStart w:id="52" w:name="_Toc17811"/>
      <w:bookmarkStart w:id="53" w:name="_Toc24694"/>
      <w:bookmarkStart w:id="54" w:name="_Toc16577"/>
      <w:r>
        <w:rPr>
          <w:rFonts w:hint="eastAsia" w:ascii="宋体" w:hAnsi="宋体" w:eastAsia="宋体" w:cs="宋体"/>
          <w:b/>
          <w:color w:val="auto"/>
          <w:sz w:val="24"/>
          <w:szCs w:val="24"/>
          <w:highlight w:val="none"/>
        </w:rPr>
        <w:t>四、总监理工程师</w:t>
      </w:r>
      <w:bookmarkEnd w:id="51"/>
      <w:bookmarkEnd w:id="52"/>
      <w:bookmarkEnd w:id="53"/>
      <w:bookmarkEnd w:id="54"/>
    </w:p>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auto"/>
        <w:ind w:firstLine="477" w:firstLineChars="198"/>
        <w:outlineLvl w:val="0"/>
        <w:rPr>
          <w:rFonts w:hint="eastAsia" w:ascii="宋体" w:hAnsi="宋体" w:eastAsia="宋体" w:cs="宋体"/>
          <w:b/>
          <w:color w:val="auto"/>
          <w:sz w:val="24"/>
          <w:szCs w:val="24"/>
          <w:highlight w:val="none"/>
        </w:rPr>
      </w:pPr>
      <w:bookmarkStart w:id="55" w:name="_Toc5037"/>
      <w:bookmarkStart w:id="56" w:name="_Toc25337"/>
      <w:bookmarkStart w:id="57" w:name="_Toc13259"/>
      <w:bookmarkStart w:id="58" w:name="_Toc29587"/>
      <w:r>
        <w:rPr>
          <w:rFonts w:hint="eastAsia" w:ascii="宋体" w:hAnsi="宋体" w:eastAsia="宋体" w:cs="宋体"/>
          <w:b/>
          <w:color w:val="auto"/>
          <w:sz w:val="24"/>
          <w:szCs w:val="24"/>
          <w:highlight w:val="none"/>
        </w:rPr>
        <w:t>五、签约酬金</w:t>
      </w:r>
      <w:bookmarkEnd w:id="55"/>
      <w:bookmarkEnd w:id="56"/>
      <w:bookmarkEnd w:id="57"/>
      <w:bookmarkEnd w:id="58"/>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签约酬金（大写）：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监理酬金：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相关服务酬金：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（1）勘察阶段服务</w:t>
      </w:r>
      <w:r>
        <w:rPr>
          <w:rFonts w:hint="eastAsia" w:ascii="宋体" w:hAnsi="宋体" w:eastAsia="宋体" w:cs="宋体"/>
          <w:color w:val="auto"/>
          <w:sz w:val="24"/>
          <w:szCs w:val="24"/>
          <w:highlight w:val="none"/>
        </w:rPr>
        <w:t>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（2）设计阶段服务</w:t>
      </w:r>
      <w:r>
        <w:rPr>
          <w:rFonts w:hint="eastAsia" w:ascii="宋体" w:hAnsi="宋体" w:eastAsia="宋体" w:cs="宋体"/>
          <w:color w:val="auto"/>
          <w:sz w:val="24"/>
          <w:szCs w:val="24"/>
          <w:highlight w:val="none"/>
        </w:rPr>
        <w:t>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（3）保修阶段服务</w:t>
      </w:r>
      <w:r>
        <w:rPr>
          <w:rFonts w:hint="eastAsia" w:ascii="宋体" w:hAnsi="宋体" w:eastAsia="宋体" w:cs="宋体"/>
          <w:color w:val="auto"/>
          <w:sz w:val="24"/>
          <w:szCs w:val="24"/>
          <w:highlight w:val="none"/>
        </w:rPr>
        <w:t>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其他相关服务酬金：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77" w:firstLineChars="198"/>
        <w:outlineLvl w:val="0"/>
        <w:rPr>
          <w:rFonts w:hint="eastAsia" w:ascii="宋体" w:hAnsi="宋体" w:eastAsia="宋体" w:cs="宋体"/>
          <w:b/>
          <w:color w:val="auto"/>
          <w:sz w:val="24"/>
          <w:szCs w:val="24"/>
          <w:highlight w:val="none"/>
        </w:rPr>
      </w:pPr>
      <w:bookmarkStart w:id="59" w:name="_Toc1085"/>
      <w:bookmarkStart w:id="60" w:name="_Toc30683"/>
      <w:bookmarkStart w:id="61" w:name="_Toc4121"/>
      <w:bookmarkStart w:id="62" w:name="_Toc31467"/>
      <w:r>
        <w:rPr>
          <w:rFonts w:hint="eastAsia" w:ascii="宋体" w:hAnsi="宋体" w:eastAsia="宋体" w:cs="宋体"/>
          <w:b/>
          <w:color w:val="auto"/>
          <w:sz w:val="24"/>
          <w:szCs w:val="24"/>
          <w:highlight w:val="none"/>
        </w:rPr>
        <w:t>六、期限</w:t>
      </w:r>
      <w:bookmarkEnd w:id="59"/>
      <w:bookmarkEnd w:id="60"/>
      <w:bookmarkEnd w:id="61"/>
      <w:bookmarkEnd w:id="62"/>
    </w:p>
    <w:p>
      <w:pPr>
        <w:adjustRightInd w:val="0"/>
        <w:snapToGrid w:val="0"/>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sz w:val="24"/>
          <w:szCs w:val="24"/>
          <w:highlight w:val="none"/>
        </w:rPr>
        <w:t>监理期限：</w:t>
      </w:r>
    </w:p>
    <w:p>
      <w:pPr>
        <w:adjustRightInd w:val="0"/>
        <w:snapToGrid w:val="0"/>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 </w:t>
      </w:r>
      <w:r>
        <w:rPr>
          <w:rFonts w:hint="eastAsia" w:ascii="宋体" w:hAnsi="宋体" w:eastAsia="宋体" w:cs="宋体"/>
          <w:color w:val="auto"/>
          <w:sz w:val="24"/>
          <w:szCs w:val="24"/>
          <w:highlight w:val="none"/>
        </w:rPr>
        <w:t>相关服务期限：</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（1）勘察阶段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（2）设计阶段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（3）保修阶段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其他相关服务期限自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pPr>
        <w:spacing w:line="360" w:lineRule="auto"/>
        <w:ind w:firstLine="477" w:firstLineChars="198"/>
        <w:outlineLvl w:val="0"/>
        <w:rPr>
          <w:rFonts w:hint="eastAsia" w:ascii="宋体" w:hAnsi="宋体" w:eastAsia="宋体" w:cs="宋体"/>
          <w:b/>
          <w:color w:val="auto"/>
          <w:sz w:val="24"/>
          <w:szCs w:val="24"/>
          <w:highlight w:val="none"/>
        </w:rPr>
      </w:pPr>
      <w:bookmarkStart w:id="63" w:name="_Toc27975"/>
      <w:bookmarkStart w:id="64" w:name="_Toc20684"/>
      <w:bookmarkStart w:id="65" w:name="_Toc9008"/>
      <w:bookmarkStart w:id="66" w:name="_Toc10818"/>
      <w:r>
        <w:rPr>
          <w:rFonts w:hint="eastAsia" w:ascii="宋体" w:hAnsi="宋体" w:eastAsia="宋体" w:cs="宋体"/>
          <w:b/>
          <w:color w:val="auto"/>
          <w:sz w:val="24"/>
          <w:szCs w:val="24"/>
          <w:highlight w:val="none"/>
        </w:rPr>
        <w:t>七、双方承诺</w:t>
      </w:r>
      <w:bookmarkEnd w:id="63"/>
      <w:bookmarkEnd w:id="64"/>
      <w:bookmarkEnd w:id="65"/>
      <w:bookmarkEnd w:id="66"/>
    </w:p>
    <w:p>
      <w:pPr>
        <w:spacing w:line="360" w:lineRule="auto"/>
        <w:ind w:firstLine="475" w:firstLineChars="198"/>
        <w:outlineLvl w:val="0"/>
        <w:rPr>
          <w:rFonts w:hint="eastAsia" w:ascii="宋体" w:hAnsi="宋体" w:eastAsia="宋体" w:cs="宋体"/>
          <w:b/>
          <w:color w:val="auto"/>
          <w:sz w:val="24"/>
          <w:szCs w:val="24"/>
          <w:highlight w:val="none"/>
        </w:rPr>
      </w:pPr>
      <w:bookmarkStart w:id="67" w:name="_Toc1710"/>
      <w:bookmarkStart w:id="68" w:name="_Toc29786"/>
      <w:bookmarkStart w:id="69" w:name="_Toc27694"/>
      <w:bookmarkStart w:id="70" w:name="_Toc8189"/>
      <w:r>
        <w:rPr>
          <w:rFonts w:hint="eastAsia" w:ascii="宋体" w:hAnsi="宋体" w:eastAsia="宋体" w:cs="宋体"/>
          <w:color w:val="auto"/>
          <w:sz w:val="24"/>
          <w:szCs w:val="24"/>
          <w:highlight w:val="none"/>
        </w:rPr>
        <w:t>1. 监理人向委托人承诺，按照本合同约定</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监理与相关服务。</w:t>
      </w:r>
      <w:bookmarkEnd w:id="67"/>
      <w:bookmarkEnd w:id="68"/>
      <w:bookmarkEnd w:id="69"/>
      <w:bookmarkEnd w:id="70"/>
    </w:p>
    <w:p>
      <w:pPr>
        <w:spacing w:line="360" w:lineRule="auto"/>
        <w:ind w:firstLine="475" w:firstLineChars="198"/>
        <w:outlineLvl w:val="0"/>
        <w:rPr>
          <w:rFonts w:hint="eastAsia" w:ascii="宋体" w:hAnsi="宋体" w:eastAsia="宋体" w:cs="宋体"/>
          <w:color w:val="auto"/>
          <w:sz w:val="24"/>
          <w:szCs w:val="24"/>
          <w:highlight w:val="none"/>
        </w:rPr>
      </w:pPr>
      <w:bookmarkStart w:id="71" w:name="_Toc25737"/>
      <w:bookmarkStart w:id="72" w:name="_Toc23227"/>
      <w:bookmarkStart w:id="73" w:name="_Toc16800"/>
      <w:bookmarkStart w:id="74" w:name="_Toc8326"/>
      <w:r>
        <w:rPr>
          <w:rFonts w:hint="eastAsia" w:ascii="宋体" w:hAnsi="宋体" w:eastAsia="宋体" w:cs="宋体"/>
          <w:color w:val="auto"/>
          <w:sz w:val="24"/>
          <w:szCs w:val="24"/>
          <w:highlight w:val="none"/>
        </w:rPr>
        <w:t>2. 委托人向监理人承诺，按照本合同约定派遣相应的人员，提供</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、设备，并按本合同约定支付酬金。</w:t>
      </w:r>
      <w:bookmarkEnd w:id="71"/>
      <w:bookmarkEnd w:id="72"/>
      <w:bookmarkEnd w:id="73"/>
      <w:bookmarkEnd w:id="74"/>
    </w:p>
    <w:p>
      <w:pPr>
        <w:spacing w:line="360" w:lineRule="auto"/>
        <w:ind w:firstLine="477" w:firstLineChars="198"/>
        <w:outlineLvl w:val="0"/>
        <w:rPr>
          <w:rFonts w:hint="eastAsia" w:ascii="宋体" w:hAnsi="宋体" w:eastAsia="宋体" w:cs="宋体"/>
          <w:b/>
          <w:color w:val="auto"/>
          <w:sz w:val="24"/>
          <w:szCs w:val="24"/>
          <w:highlight w:val="none"/>
        </w:rPr>
      </w:pPr>
      <w:bookmarkStart w:id="75" w:name="_Toc4470"/>
      <w:bookmarkStart w:id="76" w:name="_Toc11575"/>
      <w:bookmarkStart w:id="77" w:name="_Toc8480"/>
      <w:bookmarkStart w:id="78" w:name="_Toc21299"/>
      <w:r>
        <w:rPr>
          <w:rFonts w:hint="eastAsia" w:ascii="宋体" w:hAnsi="宋体" w:eastAsia="宋体" w:cs="宋体"/>
          <w:b/>
          <w:color w:val="auto"/>
          <w:sz w:val="24"/>
          <w:szCs w:val="24"/>
          <w:highlight w:val="none"/>
        </w:rPr>
        <w:t>八、合同订立</w:t>
      </w:r>
      <w:bookmarkEnd w:id="75"/>
      <w:bookmarkEnd w:id="76"/>
      <w:bookmarkEnd w:id="77"/>
      <w:bookmarkEnd w:id="78"/>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 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adjustRightInd w:val="0"/>
        <w:snapToGrid w:val="0"/>
        <w:spacing w:line="360" w:lineRule="auto"/>
        <w:ind w:left="662" w:leftChars="301"/>
        <w:rPr>
          <w:rFonts w:hint="eastAsia" w:ascii="宋体" w:hAnsi="宋体" w:eastAsia="宋体" w:cs="宋体"/>
          <w:color w:val="auto"/>
          <w:sz w:val="24"/>
          <w:szCs w:val="24"/>
          <w:highlight w:val="none"/>
        </w:rPr>
      </w:pPr>
    </w:p>
    <w:p>
      <w:pPr>
        <w:adjustRightInd w:val="0"/>
        <w:snapToGrid w:val="0"/>
        <w:spacing w:line="360" w:lineRule="auto"/>
        <w:ind w:left="662" w:leftChars="301"/>
        <w:rPr>
          <w:rFonts w:hint="eastAsia" w:ascii="宋体" w:hAnsi="宋体" w:eastAsia="宋体" w:cs="宋体"/>
          <w:color w:val="auto"/>
          <w:sz w:val="24"/>
          <w:szCs w:val="24"/>
          <w:highlight w:val="none"/>
        </w:rPr>
      </w:pP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r>
        <w:rPr>
          <w:rFonts w:hint="eastAsia" w:ascii="宋体" w:hAnsi="宋体" w:eastAsia="宋体" w:cs="宋体"/>
          <w:color w:val="auto"/>
          <w:sz w:val="24"/>
          <w:szCs w:val="24"/>
          <w:highlight w:val="none"/>
          <w:u w:val="single"/>
        </w:rPr>
        <w:t xml:space="preserve">   （盖章）     </w:t>
      </w:r>
      <w:r>
        <w:rPr>
          <w:rFonts w:hint="eastAsia" w:ascii="宋体" w:hAnsi="宋体" w:eastAsia="宋体" w:cs="宋体"/>
          <w:color w:val="auto"/>
          <w:sz w:val="24"/>
          <w:szCs w:val="24"/>
          <w:highlight w:val="none"/>
        </w:rPr>
        <w:t xml:space="preserve">   监理人：</w:t>
      </w:r>
      <w:r>
        <w:rPr>
          <w:rFonts w:hint="eastAsia" w:ascii="宋体" w:hAnsi="宋体" w:eastAsia="宋体" w:cs="宋体"/>
          <w:color w:val="auto"/>
          <w:sz w:val="24"/>
          <w:szCs w:val="24"/>
          <w:highlight w:val="none"/>
          <w:u w:val="single"/>
        </w:rPr>
        <w:t xml:space="preserve">   （盖章）        </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住所：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         法定代表人或其授权</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 xml:space="preserve">（签字）      </w:t>
      </w:r>
      <w:r>
        <w:rPr>
          <w:rFonts w:hint="eastAsia" w:ascii="宋体" w:hAnsi="宋体" w:eastAsia="宋体" w:cs="宋体"/>
          <w:color w:val="auto"/>
          <w:sz w:val="24"/>
          <w:szCs w:val="24"/>
          <w:highlight w:val="none"/>
        </w:rPr>
        <w:t xml:space="preserve">   的代理人：</w:t>
      </w:r>
      <w:r>
        <w:rPr>
          <w:rFonts w:hint="eastAsia" w:ascii="宋体" w:hAnsi="宋体" w:eastAsia="宋体" w:cs="宋体"/>
          <w:color w:val="auto"/>
          <w:sz w:val="24"/>
          <w:szCs w:val="24"/>
          <w:highlight w:val="none"/>
          <w:u w:val="single"/>
        </w:rPr>
        <w:t xml:space="preserve">（签字）                </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pPr>
        <w:adjustRightInd w:val="0"/>
        <w:snapToGrid w:val="0"/>
        <w:spacing w:line="360" w:lineRule="auto"/>
        <w:ind w:firstLine="475" w:firstLineChars="198"/>
        <w:rPr>
          <w:rFonts w:hint="eastAsia" w:ascii="宋体" w:hAnsi="宋体" w:eastAsia="宋体" w:cs="宋体"/>
          <w:color w:val="auto"/>
          <w:szCs w:val="28"/>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Cs w:val="28"/>
          <w:highlight w:val="none"/>
          <w:u w:val="single"/>
        </w:rPr>
        <w:t xml:space="preserve">                </w:t>
      </w:r>
    </w:p>
    <w:p>
      <w:pPr>
        <w:pageBreakBefore/>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第二部分  通用条件</w:t>
      </w:r>
    </w:p>
    <w:p>
      <w:pPr>
        <w:spacing w:line="360" w:lineRule="auto"/>
        <w:jc w:val="center"/>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pPr>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bCs/>
          <w:color w:val="auto"/>
          <w:sz w:val="24"/>
          <w:szCs w:val="24"/>
          <w:highlight w:val="none"/>
        </w:rPr>
        <w:t>定义</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除根据上下文另有其意义外，组成本合同的全部文件中的下列名词和用语应具有本款所赋予的含义：</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“工程”是指按照本合同约定实施监理与相关服务的建设工程。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“委托人”是指本合同中委托监理与相关服务的一方，及其合法的继承人或受让人。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“监理人”是指本合同中提供监理与相关服务的一方，及其合法的继承人。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“承包人”是指在工程范围内与委托人签订勘察、设计、施工等有关合同的当事人，及其合法的继承人。</w:t>
      </w:r>
    </w:p>
    <w:p>
      <w:pPr>
        <w:pStyle w:val="8"/>
        <w:spacing w:line="360" w:lineRule="auto"/>
        <w:ind w:firstLine="570"/>
        <w:rPr>
          <w:rFonts w:hint="eastAsia" w:hAnsi="宋体" w:eastAsia="宋体" w:cs="宋体"/>
          <w:color w:val="auto"/>
          <w:sz w:val="24"/>
          <w:szCs w:val="24"/>
          <w:highlight w:val="none"/>
        </w:rPr>
      </w:pPr>
      <w:r>
        <w:rPr>
          <w:rFonts w:hint="eastAsia" w:hAnsi="宋体" w:eastAsia="宋体" w:cs="宋体"/>
          <w:color w:val="auto"/>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“相关服务”是指监理人受委托人的委托 ，按照本合同约定，在勘察、设计、保修等阶段提供的服务活动。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 “正常工作”指本合同订立时通用条件和专用条件中约定的监理人的工作。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 “附加工作”是指本合同约定的正常工作以外监理人的工作。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 “项目监理机构”是指监理人派驻工程负责履行本合同的组织机构。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“酬金”是指监理人履行本合同义务，委托人按照本合同约定给付监理人的金额。</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“正常工作</w:t>
      </w:r>
      <w:r>
        <w:rPr>
          <w:rFonts w:hint="eastAsia" w:ascii="宋体" w:hAnsi="宋体" w:eastAsia="宋体" w:cs="宋体"/>
          <w:color w:val="auto"/>
          <w:kern w:val="0"/>
          <w:sz w:val="24"/>
          <w:szCs w:val="24"/>
          <w:highlight w:val="none"/>
        </w:rPr>
        <w:t>酬金”</w:t>
      </w:r>
      <w:r>
        <w:rPr>
          <w:rFonts w:hint="eastAsia" w:ascii="宋体" w:hAnsi="宋体" w:eastAsia="宋体" w:cs="宋体"/>
          <w:color w:val="auto"/>
          <w:sz w:val="24"/>
          <w:szCs w:val="24"/>
          <w:highlight w:val="none"/>
        </w:rPr>
        <w:t>是指监理人完成正常工作，委托人应给付监理人并在协议书中载明的签约</w:t>
      </w:r>
      <w:r>
        <w:rPr>
          <w:rFonts w:hint="eastAsia" w:ascii="宋体" w:hAnsi="宋体" w:eastAsia="宋体" w:cs="宋体"/>
          <w:color w:val="auto"/>
          <w:kern w:val="0"/>
          <w:sz w:val="24"/>
          <w:szCs w:val="24"/>
          <w:highlight w:val="none"/>
        </w:rPr>
        <w:t>酬金额</w:t>
      </w:r>
      <w:r>
        <w:rPr>
          <w:rFonts w:hint="eastAsia" w:ascii="宋体" w:hAnsi="宋体" w:eastAsia="宋体" w:cs="宋体"/>
          <w:color w:val="auto"/>
          <w:sz w:val="24"/>
          <w:szCs w:val="24"/>
          <w:highlight w:val="none"/>
        </w:rPr>
        <w:t>。</w:t>
      </w:r>
    </w:p>
    <w:p>
      <w:pPr>
        <w:adjustRightInd w:val="0"/>
        <w:snapToGrid w:val="0"/>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“附加工作酬金”是指监理人完成附加工作，委托人应给付监理人的金额。</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“一方”是指委托人或监理人；“双方”是指委托人和监理人；“第三方”是指除委托人和监理人以外的有关方。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 “天”是指第一天零时至第二天零时的时间。</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1.1.17“月”是指按公历从一个月中任何一天开始的一个公历月时间。</w:t>
      </w:r>
    </w:p>
    <w:p>
      <w:pPr>
        <w:adjustRightInd w:val="0"/>
        <w:snapToGrid w:val="0"/>
        <w:spacing w:line="36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20" w:leftChars="1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1.2 </w:t>
      </w:r>
      <w:r>
        <w:rPr>
          <w:rFonts w:hint="eastAsia" w:ascii="宋体" w:hAnsi="宋体" w:eastAsia="宋体" w:cs="宋体"/>
          <w:color w:val="auto"/>
          <w:sz w:val="24"/>
          <w:szCs w:val="24"/>
          <w:highlight w:val="none"/>
        </w:rPr>
        <w:t>解释</w:t>
      </w:r>
    </w:p>
    <w:p>
      <w:pPr>
        <w:tabs>
          <w:tab w:val="left" w:pos="61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（1）协议书；</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（2）中标通知书（适用于招标工程）或委托书（适用于非招标工程）；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（3）专用条件及附录A、附录B；</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（4）通用条件；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（5）投标文件（适用于招标工程）或监理与相关服务建议书（适用于非招标工程）。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双方签订的补充协议与其他文件发生矛盾或歧义时，属于同一类内容的文件，应以最新签署的为准。</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监理人的义务</w:t>
      </w:r>
    </w:p>
    <w:p>
      <w:pPr>
        <w:adjustRightInd w:val="0"/>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2.1 监理的范围和工作内容</w:t>
      </w:r>
    </w:p>
    <w:p>
      <w:pPr>
        <w:adjustRightInd w:val="0"/>
        <w:snapToGrid w:val="0"/>
        <w:spacing w:line="360" w:lineRule="auto"/>
        <w:ind w:left="44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监理范围在专用条件中约定。</w:t>
      </w:r>
    </w:p>
    <w:p>
      <w:pPr>
        <w:adjustRightInd w:val="0"/>
        <w:snapToGrid w:val="0"/>
        <w:spacing w:line="360" w:lineRule="auto"/>
        <w:ind w:left="44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除专用条件另有约定外，监理工作内容包括：</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（2）熟悉工程设计文件，并参加由委托人主持的图纸会审和设计交底会议；</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（3）参加由委托人主持的第一次工地会议；主持监理例会并根据工程需要主持或参加专题会议；</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（5）检查施工承包人工程质量、安全生产管理制度及组织机构和人员资格；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（6）检查施工承包人专职安全生产管理人员的配备情况；</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（7）审查施工承包人提交的施工进度计划，核查承包人对施工进度计划的调整；</w:t>
      </w:r>
    </w:p>
    <w:p>
      <w:pPr>
        <w:adjustRightInd w:val="0"/>
        <w:snapToGrid w:val="0"/>
        <w:spacing w:line="36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（8）检查施工承包人的试验室；</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（9）审核施工分包人资质条件；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（10）查验施工承包人的施工测量放线成果；</w:t>
      </w:r>
    </w:p>
    <w:p>
      <w:pPr>
        <w:adjustRightInd w:val="0"/>
        <w:snapToGrid w:val="0"/>
        <w:spacing w:line="36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（11）审查工程开工条件，对条件具备的签发开工令；</w:t>
      </w:r>
    </w:p>
    <w:p>
      <w:pPr>
        <w:adjustRightInd w:val="0"/>
        <w:snapToGrid w:val="0"/>
        <w:spacing w:line="36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101" w:leftChars="-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（13）审核施工承包人提交的工程款支付申请，签发或出具工程款支付证书，并报委托人审核、批准；</w:t>
      </w:r>
    </w:p>
    <w:p>
      <w:pPr>
        <w:adjustRightInd w:val="0"/>
        <w:snapToGrid w:val="0"/>
        <w:spacing w:line="36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（14）在巡视、旁站和检验过程中，发现工程质量、施工安全存在事故隐患的，要求施工承包人整改并报委托人；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（15）经委托人同意，签发工程暂停令和复工令；</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（16）审查施工承包人提交的采用新材料、新工艺、新技术、新设备的论证材料及相关验收标准；</w:t>
      </w:r>
    </w:p>
    <w:p>
      <w:pPr>
        <w:adjustRightInd w:val="0"/>
        <w:snapToGrid w:val="0"/>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（17）验收隐蔽工程、分部分项工程；</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（18）审查施工承包人提交的工程变更申请，协调处理施工进度调整、费用索赔、合同争议等事项；</w:t>
      </w:r>
    </w:p>
    <w:p>
      <w:pPr>
        <w:adjustRightInd w:val="0"/>
        <w:snapToGrid w:val="0"/>
        <w:spacing w:line="36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（19）审查施工承包人提交的竣工验收申请，编写工程质量评估报告；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（20）参加工程竣工验收，签署竣工验收意见；</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（21）审查施工承包人提交的竣工结算申请并报委托人；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（22）编制、整理工程监理归档文件并报委托人。</w:t>
      </w:r>
    </w:p>
    <w:p>
      <w:pPr>
        <w:spacing w:line="360" w:lineRule="auto"/>
        <w:ind w:left="44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相关服务的范围和内容在附录A中约定。</w:t>
      </w:r>
    </w:p>
    <w:p>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bCs/>
          <w:color w:val="auto"/>
          <w:sz w:val="24"/>
          <w:szCs w:val="24"/>
          <w:highlight w:val="none"/>
        </w:rPr>
        <w:t>监理与相关服务依据</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（1）适用的法律、行政法规及部门规章；</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（2）与工程有关的标准；</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（3）工程设计及有关文件；</w:t>
      </w:r>
    </w:p>
    <w:p>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（4）本合同及委托人与第三方签订的与实施工程有关的其他合同。</w:t>
      </w:r>
    </w:p>
    <w:p>
      <w:pPr>
        <w:spacing w:line="360" w:lineRule="auto"/>
        <w:ind w:left="220" w:leftChars="10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双方根据工程的行业和地域特点，在专用条件中具体约定监理依据。</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相关服务依据在专用条件中约定。</w:t>
      </w:r>
    </w:p>
    <w:p>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项目监理机构和人员</w:t>
      </w:r>
    </w:p>
    <w:p>
      <w:pPr>
        <w:adjustRightInd w:val="0"/>
        <w:snapToGrid w:val="0"/>
        <w:spacing w:line="360" w:lineRule="auto"/>
        <w:ind w:firstLine="64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2.3.2本合同履行过程中，总监理工程师及重要岗位监理人员应保持相对稳定，以保证监理工作正常进行。</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2.3.4 监理人应及时更换有下列情形之一的监理人员：</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（1）严重过失行为的；</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（2）有违法行为不能履行职责的；</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（3）涉嫌犯罪的；</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（4）不能胜任岗位职责的；</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（5）严重违反职业道德的；</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（6）专用条件约定的其他情形。</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2.3.5 委托人可要求监理人更换不能胜任本职工作的项目监理机构人员。</w:t>
      </w:r>
    </w:p>
    <w:p>
      <w:pPr>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 履行职责</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监理人应遵循职业道德准则和行为规范，严格按照法律法规、工程建设有关标准及本合同履行职责。</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 除专用条件另有约定外，监理人发现承包人的人员不能胜任本职工作的，有权要求承包人予以调换。</w:t>
      </w:r>
    </w:p>
    <w:p>
      <w:pPr>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 提交报告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监理人应按专用条件约定的种类、时间和份数向委托人提交监理与相关服务的报告。</w:t>
      </w:r>
    </w:p>
    <w:p>
      <w:pPr>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 文件资料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在本合同履行期内，监理人应在现场保留工作所用的图纸、报告及记录监理工</w:t>
      </w:r>
      <w:r>
        <w:rPr>
          <w:rFonts w:hint="eastAsia" w:ascii="宋体" w:hAnsi="宋体" w:eastAsia="宋体" w:cs="宋体"/>
          <w:color w:val="auto"/>
          <w:sz w:val="24"/>
          <w:szCs w:val="24"/>
          <w:highlight w:val="none"/>
        </w:rPr>
        <w:t>作的相关文件。工程竣工后，应当按照档案管理规定将监理有关文件归档。</w:t>
      </w:r>
    </w:p>
    <w:p>
      <w:pPr>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 使用委托人的财产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3．委托人的义务</w:t>
      </w:r>
    </w:p>
    <w:p>
      <w:pPr>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告知</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委托人应在委托人与承包人签订的合同中明确监理人、总监理工程师和授予项目监理机构的权限。如有变更，应及时通知承包人。</w:t>
      </w:r>
    </w:p>
    <w:p>
      <w:pPr>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提供资料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委托人应按照附录B约定，无偿向监理人提供工程有关的资料。</w:t>
      </w:r>
      <w:r>
        <w:rPr>
          <w:rFonts w:hint="eastAsia" w:ascii="宋体" w:hAnsi="宋体" w:eastAsia="宋体" w:cs="宋体"/>
          <w:color w:val="auto"/>
          <w:sz w:val="24"/>
          <w:szCs w:val="24"/>
          <w:highlight w:val="none"/>
        </w:rPr>
        <w:t>在本合同履行过程中，委托人应及时向监理人提供最新的与工程有关的资料。</w:t>
      </w:r>
    </w:p>
    <w:p>
      <w:pPr>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提供工作条件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委托人应为监理人完成监理与相关服务提供必要的条件。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3.3.1 </w:t>
      </w:r>
      <w:r>
        <w:rPr>
          <w:rFonts w:hint="eastAsia" w:ascii="宋体" w:hAnsi="宋体" w:eastAsia="宋体" w:cs="宋体"/>
          <w:color w:val="auto"/>
          <w:sz w:val="24"/>
          <w:szCs w:val="24"/>
          <w:highlight w:val="none"/>
        </w:rPr>
        <w:t>委托人应按照附录B约定，派遣相应的人员，提供房屋、设备，供监理人</w:t>
      </w:r>
      <w:r>
        <w:rPr>
          <w:rFonts w:hint="eastAsia" w:ascii="宋体" w:hAnsi="宋体" w:eastAsia="宋体" w:cs="宋体"/>
          <w:color w:val="auto"/>
          <w:kern w:val="0"/>
          <w:sz w:val="24"/>
          <w:szCs w:val="24"/>
          <w:highlight w:val="none"/>
        </w:rPr>
        <w:t>无偿</w:t>
      </w:r>
      <w:r>
        <w:rPr>
          <w:rFonts w:hint="eastAsia" w:ascii="宋体" w:hAnsi="宋体" w:eastAsia="宋体" w:cs="宋体"/>
          <w:color w:val="auto"/>
          <w:sz w:val="24"/>
          <w:szCs w:val="24"/>
          <w:highlight w:val="none"/>
        </w:rPr>
        <w:t>使用。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3.3.2 </w:t>
      </w:r>
      <w:r>
        <w:rPr>
          <w:rFonts w:hint="eastAsia" w:ascii="宋体" w:hAnsi="宋体" w:eastAsia="宋体" w:cs="宋体"/>
          <w:color w:val="auto"/>
          <w:sz w:val="24"/>
          <w:szCs w:val="24"/>
          <w:highlight w:val="none"/>
        </w:rPr>
        <w:t>委托人应负责协调工程建设中所有外部关系，为监理人履行本合同提供必要的外部条件。</w:t>
      </w:r>
    </w:p>
    <w:p>
      <w:pPr>
        <w:snapToGrid w:val="0"/>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委托人代表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 委托人意见或要求</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在本合同约定的监理与相关服务工作范围内，委托人对承包人的任何意见或要求应通知监理人，由监理人向承包人发出相应指令。</w:t>
      </w:r>
    </w:p>
    <w:p>
      <w:pPr>
        <w:snapToGrid w:val="0"/>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 答复</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委托人应在专用条件约定的时间内，对监理人以书面形式提交并要求作出决定的事宜，给予书面答复。逾期未答复的，视为委托人认可。</w:t>
      </w:r>
    </w:p>
    <w:p>
      <w:pPr>
        <w:snapToGrid w:val="0"/>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 支付</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委托人应按本合同约定，向监理人支付酬金。</w:t>
      </w: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违约责任</w:t>
      </w:r>
    </w:p>
    <w:p>
      <w:pPr>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监理人的违约责任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监理人未履行本合同义务的，应承担相应的责任。</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因监理人违反本合同约定</w:t>
      </w:r>
      <w:r>
        <w:rPr>
          <w:rFonts w:hint="eastAsia" w:ascii="宋体" w:hAnsi="宋体" w:eastAsia="宋体" w:cs="宋体"/>
          <w:color w:val="auto"/>
          <w:sz w:val="24"/>
          <w:szCs w:val="24"/>
          <w:highlight w:val="none"/>
        </w:rPr>
        <w:t>给委托人造成损失的，监理人应当赔偿委托人损失</w:t>
      </w:r>
      <w:r>
        <w:rPr>
          <w:rFonts w:hint="eastAsia" w:ascii="宋体" w:hAnsi="宋体" w:eastAsia="宋体" w:cs="宋体"/>
          <w:color w:val="auto"/>
          <w:kern w:val="0"/>
          <w:sz w:val="24"/>
          <w:szCs w:val="24"/>
          <w:highlight w:val="none"/>
        </w:rPr>
        <w:t>。赔偿金额的确定方法在专用条件中约定。监理人承担部分赔偿责任的，其承担赔偿金额由双方协商确定。</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 监理人向委托人的索赔不成立时，监理人应赔偿委托人由此发生的费用。</w:t>
      </w:r>
    </w:p>
    <w:p>
      <w:pPr>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委托人的违约责任</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委托人未履行本合同义务的，应承担相应的责任。</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 委托人违反本合同约定造成监理人损失的，委托人应予以赔偿。</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 委托人向监理人的索赔不成立时，应赔偿监理人由此引起的费用。</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4.2.3 </w:t>
      </w:r>
      <w:r>
        <w:rPr>
          <w:rFonts w:hint="eastAsia" w:ascii="宋体" w:hAnsi="宋体" w:eastAsia="宋体" w:cs="宋体"/>
          <w:color w:val="auto"/>
          <w:kern w:val="0"/>
          <w:sz w:val="24"/>
          <w:szCs w:val="24"/>
          <w:highlight w:val="none"/>
        </w:rPr>
        <w:t>委托人未能按期支付</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超过28天，应按专用条件约定支付逾期付款利息。</w:t>
      </w:r>
    </w:p>
    <w:p>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 除外责任</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因非监理人的原因，且监理人无过错，发生工程质量事故、安全事故、工期延误等造成的损失，监理人不承担赔偿责任。</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因不可抗力导致本合同全部或部分不能履行时，双方各自承担其因此而造成的损失、损害。</w:t>
      </w: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支付</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bCs/>
          <w:color w:val="auto"/>
          <w:sz w:val="24"/>
          <w:szCs w:val="24"/>
          <w:highlight w:val="none"/>
        </w:rPr>
        <w:t>支付货币</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除专用条件另有约定外，酬金均以人民币支付。涉及外币支付的，所采用的货币种类、比例和汇率在专用条件中约定。</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5.2 支付申请</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5.3 支付酬金</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支付的酬金包括正常工作酬金、附加工作酬金、合理化建议奖励金额及费用。</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5.4 </w:t>
      </w:r>
      <w:r>
        <w:rPr>
          <w:rFonts w:hint="eastAsia" w:ascii="宋体" w:hAnsi="宋体" w:eastAsia="宋体" w:cs="宋体"/>
          <w:bCs/>
          <w:color w:val="auto"/>
          <w:sz w:val="24"/>
          <w:szCs w:val="24"/>
          <w:highlight w:val="none"/>
        </w:rPr>
        <w:t>有争议部分的付款</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合同生效、变更、暂停、解除与终止</w:t>
      </w:r>
    </w:p>
    <w:p>
      <w:pPr>
        <w:spacing w:line="360" w:lineRule="auto"/>
        <w:ind w:left="22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6.1生效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除法律另有规定或者专用条件另有约定外，委托人和监理人的法定代表人或其授权代理人在协议书上签字并盖单位章后本合同生效。</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bCs/>
          <w:color w:val="auto"/>
          <w:sz w:val="24"/>
          <w:szCs w:val="24"/>
          <w:highlight w:val="none"/>
        </w:rPr>
        <w:t>变更</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任何一方提出变更请求时，双方经协商一致后可进行变更。</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因工程规模、监理范围的变化导致监理人的正常工作量减少时，正常工作酬金应作相应调整。调整方法在专用条件中约定。</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6.3 暂停与</w:t>
      </w:r>
      <w:r>
        <w:rPr>
          <w:rFonts w:hint="eastAsia" w:ascii="宋体" w:hAnsi="宋体" w:eastAsia="宋体" w:cs="宋体"/>
          <w:bCs/>
          <w:color w:val="auto"/>
          <w:sz w:val="24"/>
          <w:szCs w:val="24"/>
          <w:highlight w:val="none"/>
        </w:rPr>
        <w:t>解除</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解除本合同的协议必须采取书面形式，协议未达成之前，本合同仍然有效。</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酬金支付至本合同解除日，且应承担第4.2款约定的责任。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酬金支付至</w:t>
      </w:r>
      <w:r>
        <w:rPr>
          <w:rFonts w:hint="eastAsia" w:ascii="宋体" w:hAnsi="宋体" w:eastAsia="宋体" w:cs="宋体"/>
          <w:color w:val="auto"/>
          <w:kern w:val="0"/>
          <w:sz w:val="24"/>
          <w:szCs w:val="24"/>
          <w:highlight w:val="none"/>
        </w:rPr>
        <w:t>限期改正通知到达监理人之日</w:t>
      </w:r>
      <w:r>
        <w:rPr>
          <w:rFonts w:hint="eastAsia" w:ascii="宋体" w:hAnsi="宋体" w:eastAsia="宋体" w:cs="宋体"/>
          <w:color w:val="auto"/>
          <w:sz w:val="24"/>
          <w:szCs w:val="24"/>
          <w:highlight w:val="none"/>
        </w:rPr>
        <w:t>，但监理人应承担第4.1款约定的责任。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6.3.5 因不可抗力致使本合同部分或全部不能履行时，一方应立即通知另一方，可暂停或解除本合同。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6.3.6 本合同解除后，本合同约定的有关结算、清理、争议解决方式的条件仍然有效。</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6.4 </w:t>
      </w:r>
      <w:r>
        <w:rPr>
          <w:rFonts w:hint="eastAsia" w:ascii="宋体" w:hAnsi="宋体" w:eastAsia="宋体" w:cs="宋体"/>
          <w:bCs/>
          <w:color w:val="auto"/>
          <w:sz w:val="24"/>
          <w:szCs w:val="24"/>
          <w:highlight w:val="none"/>
        </w:rPr>
        <w:t>终止</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以下条件全部满足时，本合同即告终止：</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（1）监理人完成本合同约定的全部工作；</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（2）委托人与监理人结清并支付全部酬金。</w:t>
      </w: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争议解决</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bCs/>
          <w:color w:val="auto"/>
          <w:sz w:val="24"/>
          <w:szCs w:val="24"/>
          <w:highlight w:val="none"/>
        </w:rPr>
        <w:t>协商</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双方应本着诚信原则协商解决彼此间的争议。</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bCs/>
          <w:color w:val="auto"/>
          <w:sz w:val="24"/>
          <w:szCs w:val="24"/>
          <w:highlight w:val="none"/>
        </w:rPr>
        <w:t>调解</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如果双方不能在14天内或双方商定的其他时间内解决本合同争议，可以将其提交给专用条件约定的或事后达成协议的调解人进行调解。</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bCs/>
          <w:color w:val="auto"/>
          <w:sz w:val="24"/>
          <w:szCs w:val="24"/>
          <w:highlight w:val="none"/>
        </w:rPr>
        <w:t>仲裁或诉讼</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双方均有权不经调解直接向专用条件约定的仲裁机构申请仲裁或向有管辖权的人民法院提起诉讼。</w:t>
      </w: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pPr>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8.1 </w:t>
      </w:r>
      <w:r>
        <w:rPr>
          <w:rFonts w:hint="eastAsia" w:ascii="宋体" w:hAnsi="宋体" w:eastAsia="宋体" w:cs="宋体"/>
          <w:bCs/>
          <w:color w:val="auto"/>
          <w:sz w:val="24"/>
          <w:szCs w:val="24"/>
          <w:highlight w:val="none"/>
        </w:rPr>
        <w:t>外出考察费用</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经委托人同意，监理人员外出考察发生的费用由委托人审核后支付。</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eastAsia="宋体" w:cs="宋体"/>
          <w:bCs/>
          <w:color w:val="auto"/>
          <w:sz w:val="24"/>
          <w:szCs w:val="24"/>
          <w:highlight w:val="none"/>
        </w:rPr>
        <w:t>检测费用</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委托人要求监理人进行的材料和设备检测所发生的费用，由委托人支付，支付时间在专用条件中约定。</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8.3 </w:t>
      </w:r>
      <w:r>
        <w:rPr>
          <w:rFonts w:hint="eastAsia" w:ascii="宋体" w:hAnsi="宋体" w:eastAsia="宋体" w:cs="宋体"/>
          <w:bCs/>
          <w:color w:val="auto"/>
          <w:sz w:val="24"/>
          <w:szCs w:val="24"/>
          <w:highlight w:val="none"/>
        </w:rPr>
        <w:t>咨询费用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经委托人同意，根据工程需要由监理人组织的相关咨询论证会以及聘请相关专家等发生的费用由委托人支付，支付时间在专用条件中约定。</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8.4 </w:t>
      </w:r>
      <w:r>
        <w:rPr>
          <w:rFonts w:hint="eastAsia" w:ascii="宋体" w:hAnsi="宋体" w:eastAsia="宋体" w:cs="宋体"/>
          <w:bCs/>
          <w:color w:val="auto"/>
          <w:sz w:val="24"/>
          <w:szCs w:val="24"/>
          <w:highlight w:val="none"/>
        </w:rPr>
        <w:t>奖励</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8.5 </w:t>
      </w:r>
      <w:r>
        <w:rPr>
          <w:rFonts w:hint="eastAsia" w:ascii="宋体" w:hAnsi="宋体" w:eastAsia="宋体" w:cs="宋体"/>
          <w:bCs/>
          <w:color w:val="auto"/>
          <w:sz w:val="24"/>
          <w:szCs w:val="24"/>
          <w:highlight w:val="none"/>
        </w:rPr>
        <w:t>守法诚信</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监理人及其工作人员不得从与实施工程有关的第三方处获得任何经济利益。</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8.6 </w:t>
      </w:r>
      <w:r>
        <w:rPr>
          <w:rFonts w:hint="eastAsia" w:ascii="宋体" w:hAnsi="宋体" w:eastAsia="宋体" w:cs="宋体"/>
          <w:bCs/>
          <w:color w:val="auto"/>
          <w:sz w:val="24"/>
          <w:szCs w:val="24"/>
          <w:highlight w:val="none"/>
        </w:rPr>
        <w:t>保密</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双方不得泄露对方申明的保密资料，亦不得泄露与实施工程有关的第三方所提供的保密资料，保密事项在专用条件中约定。</w:t>
      </w: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8.7 </w:t>
      </w:r>
      <w:r>
        <w:rPr>
          <w:rFonts w:hint="eastAsia" w:ascii="宋体" w:hAnsi="宋体" w:eastAsia="宋体" w:cs="宋体"/>
          <w:bCs/>
          <w:color w:val="auto"/>
          <w:sz w:val="24"/>
          <w:szCs w:val="24"/>
          <w:highlight w:val="none"/>
        </w:rPr>
        <w:t>通知</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本合同涉及的通知均应当采用书面形式，并在送达对方时生效，收件人应书面签收。</w:t>
      </w:r>
    </w:p>
    <w:p>
      <w:pPr>
        <w:snapToGrid w:val="0"/>
        <w:spacing w:line="360" w:lineRule="auto"/>
        <w:ind w:left="220" w:leftChars="100"/>
        <w:rPr>
          <w:rFonts w:hint="eastAsia" w:ascii="宋体" w:hAnsi="宋体" w:eastAsia="宋体" w:cs="宋体"/>
          <w:color w:val="auto"/>
          <w:sz w:val="24"/>
          <w:szCs w:val="24"/>
          <w:highlight w:val="none"/>
        </w:rPr>
      </w:pPr>
    </w:p>
    <w:p>
      <w:pPr>
        <w:snapToGrid w:val="0"/>
        <w:spacing w:line="360" w:lineRule="auto"/>
        <w:ind w:left="22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8.8 </w:t>
      </w:r>
      <w:r>
        <w:rPr>
          <w:rFonts w:hint="eastAsia" w:ascii="宋体" w:hAnsi="宋体" w:eastAsia="宋体" w:cs="宋体"/>
          <w:bCs/>
          <w:color w:val="auto"/>
          <w:sz w:val="24"/>
          <w:szCs w:val="24"/>
          <w:highlight w:val="none"/>
        </w:rPr>
        <w:t>著作权</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监理人对其编制的文件拥有著作权。</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第三部分  专用条件</w:t>
      </w:r>
    </w:p>
    <w:p>
      <w:pPr>
        <w:spacing w:line="360" w:lineRule="auto"/>
        <w:jc w:val="center"/>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解释</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.1 本合同文件除使用中文外，还可用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.2 约定本合同文件的解释顺序为：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监理人义务</w:t>
      </w:r>
    </w:p>
    <w:p>
      <w:pPr>
        <w:adjustRightInd w:val="0"/>
        <w:snapToGrid w:val="0"/>
        <w:spacing w:line="360" w:lineRule="auto"/>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监理的范围和</w:t>
      </w:r>
      <w:r>
        <w:rPr>
          <w:rFonts w:hint="eastAsia" w:ascii="宋体" w:hAnsi="宋体" w:eastAsia="宋体" w:cs="宋体"/>
          <w:bCs/>
          <w:color w:val="auto"/>
          <w:sz w:val="24"/>
          <w:szCs w:val="24"/>
          <w:highlight w:val="none"/>
        </w:rPr>
        <w:t>内容</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 监理范围包括：</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2.1.2 监理工作内容还包括：</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监理与相关服务依据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2.2.2 相关服务依据包括：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w:t>
      </w:r>
      <w:r>
        <w:rPr>
          <w:rFonts w:hint="eastAsia" w:ascii="宋体" w:hAnsi="宋体" w:eastAsia="宋体" w:cs="宋体"/>
          <w:color w:val="auto"/>
          <w:kern w:val="0"/>
          <w:sz w:val="24"/>
          <w:szCs w:val="24"/>
          <w:highlight w:val="none"/>
        </w:rPr>
        <w:t>项目监理机构和人员</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更换监理人员的其他情形：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auto"/>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eastAsia="宋体" w:cs="宋体"/>
          <w:color w:val="auto"/>
          <w:kern w:val="0"/>
          <w:sz w:val="24"/>
          <w:szCs w:val="24"/>
          <w:highlight w:val="none"/>
        </w:rPr>
        <w:t>履行职责</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对监理人的授权范围：</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outlineLvl w:val="0"/>
        <w:rPr>
          <w:rFonts w:hint="eastAsia" w:ascii="宋体" w:hAnsi="宋体" w:eastAsia="宋体" w:cs="宋体"/>
          <w:color w:val="auto"/>
          <w:sz w:val="24"/>
          <w:szCs w:val="24"/>
          <w:highlight w:val="none"/>
        </w:rPr>
      </w:pPr>
      <w:bookmarkStart w:id="79" w:name="_Toc25219"/>
      <w:bookmarkStart w:id="80" w:name="_Toc19136"/>
      <w:bookmarkStart w:id="81" w:name="_Toc28442"/>
      <w:bookmarkStart w:id="82" w:name="_Toc10548"/>
      <w:r>
        <w:rPr>
          <w:rFonts w:hint="eastAsia" w:ascii="宋体" w:hAnsi="宋体" w:eastAsia="宋体" w:cs="宋体"/>
          <w:color w:val="auto"/>
          <w:sz w:val="24"/>
          <w:szCs w:val="24"/>
          <w:highlight w:val="none"/>
        </w:rPr>
        <w:t>在涉及工程延期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天内和（或）金额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万元内的变更，监理人不需请示委托人即可向承包人发布变更通知。</w:t>
      </w:r>
      <w:bookmarkEnd w:id="79"/>
      <w:bookmarkEnd w:id="80"/>
      <w:bookmarkEnd w:id="81"/>
      <w:bookmarkEnd w:id="82"/>
    </w:p>
    <w:p>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监理人有权要求承包人调换其人员</w:t>
      </w:r>
      <w:r>
        <w:rPr>
          <w:rFonts w:hint="eastAsia" w:ascii="宋体" w:hAnsi="宋体" w:eastAsia="宋体" w:cs="宋体"/>
          <w:color w:val="auto"/>
          <w:sz w:val="24"/>
          <w:szCs w:val="24"/>
          <w:highlight w:val="none"/>
        </w:rPr>
        <w:t>的限制条件：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2.5 </w:t>
      </w:r>
      <w:r>
        <w:rPr>
          <w:rFonts w:hint="eastAsia" w:ascii="宋体" w:hAnsi="宋体" w:eastAsia="宋体" w:cs="宋体"/>
          <w:color w:val="auto"/>
          <w:sz w:val="24"/>
          <w:szCs w:val="24"/>
          <w:highlight w:val="none"/>
        </w:rPr>
        <w:t>提交</w:t>
      </w:r>
      <w:r>
        <w:rPr>
          <w:rFonts w:hint="eastAsia" w:ascii="宋体" w:hAnsi="宋体" w:eastAsia="宋体" w:cs="宋体"/>
          <w:color w:val="auto"/>
          <w:kern w:val="0"/>
          <w:sz w:val="24"/>
          <w:szCs w:val="24"/>
          <w:highlight w:val="none"/>
        </w:rPr>
        <w:t>报告</w:t>
      </w:r>
    </w:p>
    <w:p>
      <w:pPr>
        <w:adjustRightInd w:val="0"/>
        <w:snapToGrid w:val="0"/>
        <w:spacing w:line="360" w:lineRule="auto"/>
        <w:ind w:firstLine="5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监理人应提交报告的种类(</w:t>
      </w:r>
      <w:r>
        <w:rPr>
          <w:rFonts w:hint="eastAsia" w:ascii="宋体" w:hAnsi="宋体" w:eastAsia="宋体" w:cs="宋体"/>
          <w:color w:val="auto"/>
          <w:kern w:val="0"/>
          <w:sz w:val="24"/>
          <w:szCs w:val="24"/>
          <w:highlight w:val="none"/>
        </w:rPr>
        <w:t>包括监理规划、监理月报及约定的专项报告)</w:t>
      </w:r>
      <w:r>
        <w:rPr>
          <w:rFonts w:hint="eastAsia" w:ascii="宋体" w:hAnsi="宋体" w:eastAsia="宋体" w:cs="宋体"/>
          <w:color w:val="auto"/>
          <w:sz w:val="24"/>
          <w:szCs w:val="24"/>
          <w:highlight w:val="none"/>
        </w:rPr>
        <w:t>、时间和份数</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w:t>
      </w:r>
      <w:r>
        <w:rPr>
          <w:rFonts w:hint="eastAsia"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 使用委托人的财产</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附录B中由委托人无偿提供的房屋、设备的所有权属于：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监理人应在本合同终止后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天内移交委托人无偿提供的房屋、设备，移交的时间和方式为：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3. 委托人义务  </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3.</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 委托人代表</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委托人代表为：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235" w:firstLineChars="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答复</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委托人同意在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天内，对监理人书面提交并要求做出决定的事宜给予书面答复。</w:t>
      </w: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违约责任</w:t>
      </w:r>
    </w:p>
    <w:p>
      <w:pPr>
        <w:spacing w:line="360" w:lineRule="auto"/>
        <w:ind w:left="22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监理人的违约责任</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4.1.1监理人赔偿金额按下列方法确定：</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赔偿金＝直接经济损失×正常工作酬金÷工程概算</w:t>
      </w:r>
      <w:r>
        <w:rPr>
          <w:rFonts w:hint="eastAsia" w:ascii="宋体" w:hAnsi="宋体" w:eastAsia="宋体" w:cs="宋体"/>
          <w:color w:val="auto"/>
          <w:kern w:val="0"/>
          <w:sz w:val="24"/>
          <w:szCs w:val="24"/>
          <w:highlight w:val="none"/>
        </w:rPr>
        <w:t>投资额（或建筑安装工程费）</w:t>
      </w:r>
    </w:p>
    <w:p>
      <w:pPr>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委托人的违约责任</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委托人</w:t>
      </w:r>
      <w:r>
        <w:rPr>
          <w:rFonts w:hint="eastAsia" w:ascii="宋体" w:hAnsi="宋体" w:eastAsia="宋体" w:cs="宋体"/>
          <w:color w:val="auto"/>
          <w:kern w:val="0"/>
          <w:sz w:val="24"/>
          <w:szCs w:val="24"/>
          <w:highlight w:val="none"/>
        </w:rPr>
        <w:t>逾期付款利息按下列方法确定：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逾期付款利息＝当期应付款总额×银行同期贷款利率×拖延支付天数</w:t>
      </w: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5. 支付</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5.1 </w:t>
      </w:r>
      <w:r>
        <w:rPr>
          <w:rFonts w:hint="eastAsia" w:ascii="宋体" w:hAnsi="宋体" w:eastAsia="宋体" w:cs="宋体"/>
          <w:bCs/>
          <w:color w:val="auto"/>
          <w:sz w:val="24"/>
          <w:szCs w:val="24"/>
          <w:highlight w:val="none"/>
        </w:rPr>
        <w:t>支付货币</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币种为：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，比例为：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，汇率为：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支付酬金</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正常工作</w:t>
      </w:r>
      <w:r>
        <w:rPr>
          <w:rFonts w:hint="eastAsia" w:ascii="宋体" w:hAnsi="宋体" w:eastAsia="宋体" w:cs="宋体"/>
          <w:color w:val="auto"/>
          <w:sz w:val="24"/>
          <w:szCs w:val="24"/>
          <w:highlight w:val="none"/>
        </w:rPr>
        <w:t>酬金的</w:t>
      </w:r>
      <w:r>
        <w:rPr>
          <w:rFonts w:hint="eastAsia" w:ascii="宋体" w:hAnsi="宋体" w:eastAsia="宋体" w:cs="宋体"/>
          <w:color w:val="auto"/>
          <w:kern w:val="0"/>
          <w:sz w:val="24"/>
          <w:szCs w:val="24"/>
          <w:highlight w:val="none"/>
        </w:rPr>
        <w:t>支付</w:t>
      </w:r>
      <w:r>
        <w:rPr>
          <w:rFonts w:hint="eastAsia" w:ascii="宋体" w:hAnsi="宋体" w:eastAsia="宋体" w:cs="宋体"/>
          <w:color w:val="auto"/>
          <w:sz w:val="24"/>
          <w:szCs w:val="24"/>
          <w:highlight w:val="none"/>
        </w:rPr>
        <w:t>：</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支付次数</w:t>
            </w:r>
          </w:p>
        </w:tc>
        <w:tc>
          <w:tcPr>
            <w:tcW w:w="212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支付时间</w:t>
            </w:r>
          </w:p>
        </w:tc>
        <w:tc>
          <w:tcPr>
            <w:tcW w:w="1559" w:type="dxa"/>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支付比例</w:t>
            </w:r>
          </w:p>
        </w:tc>
        <w:tc>
          <w:tcPr>
            <w:tcW w:w="283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首付款</w:t>
            </w:r>
          </w:p>
        </w:tc>
        <w:tc>
          <w:tcPr>
            <w:tcW w:w="2127" w:type="dxa"/>
            <w:noWrap w:val="0"/>
            <w:vAlign w:val="top"/>
          </w:tcPr>
          <w:p>
            <w:pPr>
              <w:spacing w:line="360" w:lineRule="auto"/>
              <w:jc w:val="center"/>
              <w:rPr>
                <w:rFonts w:hint="eastAsia" w:ascii="宋体" w:hAnsi="宋体" w:eastAsia="宋体" w:cs="宋体"/>
                <w:color w:val="auto"/>
                <w:sz w:val="24"/>
                <w:szCs w:val="24"/>
                <w:highlight w:val="none"/>
              </w:rPr>
            </w:pPr>
          </w:p>
        </w:tc>
        <w:tc>
          <w:tcPr>
            <w:tcW w:w="1559" w:type="dxa"/>
            <w:noWrap w:val="0"/>
            <w:vAlign w:val="top"/>
          </w:tcPr>
          <w:p>
            <w:pPr>
              <w:spacing w:line="360" w:lineRule="auto"/>
              <w:rPr>
                <w:rFonts w:hint="eastAsia" w:ascii="宋体" w:hAnsi="宋体" w:eastAsia="宋体" w:cs="宋体"/>
                <w:color w:val="auto"/>
                <w:sz w:val="24"/>
                <w:szCs w:val="24"/>
                <w:highlight w:val="none"/>
              </w:rPr>
            </w:pPr>
          </w:p>
        </w:tc>
        <w:tc>
          <w:tcPr>
            <w:tcW w:w="283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第二次付款</w:t>
            </w:r>
          </w:p>
        </w:tc>
        <w:tc>
          <w:tcPr>
            <w:tcW w:w="2127" w:type="dxa"/>
            <w:noWrap w:val="0"/>
            <w:vAlign w:val="top"/>
          </w:tcPr>
          <w:p>
            <w:pPr>
              <w:spacing w:line="360" w:lineRule="auto"/>
              <w:ind w:firstLine="360" w:firstLineChars="150"/>
              <w:rPr>
                <w:rFonts w:hint="eastAsia" w:ascii="宋体" w:hAnsi="宋体" w:eastAsia="宋体" w:cs="宋体"/>
                <w:color w:val="auto"/>
                <w:sz w:val="24"/>
                <w:szCs w:val="24"/>
                <w:highlight w:val="none"/>
              </w:rPr>
            </w:pPr>
          </w:p>
        </w:tc>
        <w:tc>
          <w:tcPr>
            <w:tcW w:w="1559" w:type="dxa"/>
            <w:noWrap w:val="0"/>
            <w:vAlign w:val="top"/>
          </w:tcPr>
          <w:p>
            <w:pPr>
              <w:spacing w:line="360" w:lineRule="auto"/>
              <w:rPr>
                <w:rFonts w:hint="eastAsia" w:ascii="宋体" w:hAnsi="宋体" w:eastAsia="宋体" w:cs="宋体"/>
                <w:color w:val="auto"/>
                <w:sz w:val="24"/>
                <w:szCs w:val="24"/>
                <w:highlight w:val="none"/>
              </w:rPr>
            </w:pPr>
          </w:p>
        </w:tc>
        <w:tc>
          <w:tcPr>
            <w:tcW w:w="2835" w:type="dxa"/>
            <w:noWrap w:val="0"/>
            <w:vAlign w:val="top"/>
          </w:tcPr>
          <w:p>
            <w:pPr>
              <w:spacing w:line="360" w:lineRule="auto"/>
              <w:ind w:firstLine="840" w:firstLineChars="35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第三次付款</w:t>
            </w:r>
          </w:p>
        </w:tc>
        <w:tc>
          <w:tcPr>
            <w:tcW w:w="2127" w:type="dxa"/>
            <w:noWrap w:val="0"/>
            <w:vAlign w:val="top"/>
          </w:tcPr>
          <w:p>
            <w:pPr>
              <w:spacing w:line="360" w:lineRule="auto"/>
              <w:ind w:firstLine="360" w:firstLineChars="150"/>
              <w:rPr>
                <w:rFonts w:hint="eastAsia" w:ascii="宋体" w:hAnsi="宋体" w:eastAsia="宋体" w:cs="宋体"/>
                <w:color w:val="auto"/>
                <w:sz w:val="24"/>
                <w:szCs w:val="24"/>
                <w:highlight w:val="none"/>
              </w:rPr>
            </w:pPr>
          </w:p>
        </w:tc>
        <w:tc>
          <w:tcPr>
            <w:tcW w:w="1559" w:type="dxa"/>
            <w:noWrap w:val="0"/>
            <w:vAlign w:val="top"/>
          </w:tcPr>
          <w:p>
            <w:pPr>
              <w:spacing w:line="360" w:lineRule="auto"/>
              <w:rPr>
                <w:rFonts w:hint="eastAsia" w:ascii="宋体" w:hAnsi="宋体" w:eastAsia="宋体" w:cs="宋体"/>
                <w:color w:val="auto"/>
                <w:sz w:val="24"/>
                <w:szCs w:val="24"/>
                <w:highlight w:val="none"/>
              </w:rPr>
            </w:pPr>
          </w:p>
        </w:tc>
        <w:tc>
          <w:tcPr>
            <w:tcW w:w="283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27" w:type="dxa"/>
            <w:noWrap w:val="0"/>
            <w:vAlign w:val="top"/>
          </w:tcPr>
          <w:p>
            <w:pPr>
              <w:spacing w:line="360" w:lineRule="auto"/>
              <w:rPr>
                <w:rFonts w:hint="eastAsia" w:ascii="宋体" w:hAnsi="宋体" w:eastAsia="宋体" w:cs="宋体"/>
                <w:color w:val="auto"/>
                <w:sz w:val="24"/>
                <w:szCs w:val="24"/>
                <w:highlight w:val="none"/>
              </w:rPr>
            </w:pPr>
          </w:p>
        </w:tc>
        <w:tc>
          <w:tcPr>
            <w:tcW w:w="1559" w:type="dxa"/>
            <w:noWrap w:val="0"/>
            <w:vAlign w:val="top"/>
          </w:tcPr>
          <w:p>
            <w:pPr>
              <w:spacing w:line="360" w:lineRule="auto"/>
              <w:rPr>
                <w:rFonts w:hint="eastAsia" w:ascii="宋体" w:hAnsi="宋体" w:eastAsia="宋体" w:cs="宋体"/>
                <w:color w:val="auto"/>
                <w:sz w:val="24"/>
                <w:szCs w:val="24"/>
                <w:highlight w:val="none"/>
              </w:rPr>
            </w:pPr>
          </w:p>
        </w:tc>
        <w:tc>
          <w:tcPr>
            <w:tcW w:w="283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最后付款</w:t>
            </w:r>
          </w:p>
        </w:tc>
        <w:tc>
          <w:tcPr>
            <w:tcW w:w="2127" w:type="dxa"/>
            <w:noWrap w:val="0"/>
            <w:vAlign w:val="top"/>
          </w:tcPr>
          <w:p>
            <w:pPr>
              <w:spacing w:line="360" w:lineRule="auto"/>
              <w:rPr>
                <w:rFonts w:hint="eastAsia" w:ascii="宋体" w:hAnsi="宋体" w:eastAsia="宋体" w:cs="宋体"/>
                <w:color w:val="auto"/>
                <w:sz w:val="24"/>
                <w:szCs w:val="24"/>
                <w:highlight w:val="none"/>
              </w:rPr>
            </w:pPr>
          </w:p>
        </w:tc>
        <w:tc>
          <w:tcPr>
            <w:tcW w:w="1559" w:type="dxa"/>
            <w:noWrap w:val="0"/>
            <w:vAlign w:val="top"/>
          </w:tcPr>
          <w:p>
            <w:pPr>
              <w:spacing w:line="360" w:lineRule="auto"/>
              <w:jc w:val="center"/>
              <w:rPr>
                <w:rFonts w:hint="eastAsia" w:ascii="宋体" w:hAnsi="宋体" w:eastAsia="宋体" w:cs="宋体"/>
                <w:color w:val="auto"/>
                <w:sz w:val="24"/>
                <w:szCs w:val="24"/>
                <w:highlight w:val="none"/>
              </w:rPr>
            </w:pPr>
          </w:p>
        </w:tc>
        <w:tc>
          <w:tcPr>
            <w:tcW w:w="2835" w:type="dxa"/>
            <w:noWrap w:val="0"/>
            <w:vAlign w:val="top"/>
          </w:tcPr>
          <w:p>
            <w:pPr>
              <w:spacing w:line="360" w:lineRule="auto"/>
              <w:jc w:val="center"/>
              <w:rPr>
                <w:rFonts w:hint="eastAsia" w:ascii="宋体" w:hAnsi="宋体" w:eastAsia="宋体" w:cs="宋体"/>
                <w:color w:val="auto"/>
                <w:sz w:val="24"/>
                <w:szCs w:val="24"/>
                <w:highlight w:val="none"/>
              </w:rPr>
            </w:pPr>
          </w:p>
        </w:tc>
      </w:tr>
    </w:tbl>
    <w:p>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
          <w:bCs/>
          <w:color w:val="auto"/>
          <w:sz w:val="24"/>
          <w:szCs w:val="24"/>
          <w:highlight w:val="none"/>
        </w:rPr>
        <w:t>. 合同生效、变更、暂停、解除与终止</w:t>
      </w:r>
    </w:p>
    <w:p>
      <w:pPr>
        <w:adjustRightInd w:val="0"/>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生效</w:t>
      </w:r>
    </w:p>
    <w:p>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本合同生效条件：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变更</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除不可抗力外， 因非监理人原因导致本合同期限延长时，附加工作酬金按下列方法确定：</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附加工作</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本合同期限延长</w:t>
      </w:r>
      <w:r>
        <w:rPr>
          <w:rFonts w:hint="eastAsia" w:ascii="宋体" w:hAnsi="宋体" w:eastAsia="宋体" w:cs="宋体"/>
          <w:color w:val="auto"/>
          <w:kern w:val="0"/>
          <w:sz w:val="24"/>
          <w:szCs w:val="24"/>
          <w:highlight w:val="none"/>
        </w:rPr>
        <w:t>时间（天）×正常工作酬金÷</w:t>
      </w:r>
      <w:r>
        <w:rPr>
          <w:rFonts w:hint="eastAsia" w:ascii="宋体" w:hAnsi="宋体" w:eastAsia="宋体" w:cs="宋体"/>
          <w:color w:val="auto"/>
          <w:sz w:val="24"/>
          <w:szCs w:val="24"/>
          <w:highlight w:val="none"/>
        </w:rPr>
        <w:t>协议书约定的监理与相关服务期限</w:t>
      </w:r>
      <w:r>
        <w:rPr>
          <w:rFonts w:hint="eastAsia" w:ascii="宋体" w:hAnsi="宋体" w:eastAsia="宋体" w:cs="宋体"/>
          <w:color w:val="auto"/>
          <w:kern w:val="0"/>
          <w:sz w:val="24"/>
          <w:szCs w:val="24"/>
          <w:highlight w:val="none"/>
        </w:rPr>
        <w:t>（天）</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附加工作酬金按下列方法确定：</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附加工作</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=善后工作及恢复服务的准备工作时间（天）×正常工作酬金÷</w:t>
      </w:r>
      <w:r>
        <w:rPr>
          <w:rFonts w:hint="eastAsia" w:ascii="宋体" w:hAnsi="宋体" w:eastAsia="宋体" w:cs="宋体"/>
          <w:color w:val="auto"/>
          <w:sz w:val="24"/>
          <w:szCs w:val="24"/>
          <w:highlight w:val="none"/>
        </w:rPr>
        <w:t>协议书约定的监理与相关服务期限</w:t>
      </w:r>
      <w:r>
        <w:rPr>
          <w:rFonts w:hint="eastAsia" w:ascii="宋体" w:hAnsi="宋体" w:eastAsia="宋体" w:cs="宋体"/>
          <w:color w:val="auto"/>
          <w:kern w:val="0"/>
          <w:sz w:val="24"/>
          <w:szCs w:val="24"/>
          <w:highlight w:val="none"/>
        </w:rPr>
        <w:t>（天）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正常工作酬金增加额按下列方法确定： </w:t>
      </w:r>
    </w:p>
    <w:p>
      <w:pPr>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正常工作酬金增加额</w:t>
      </w:r>
      <w:r>
        <w:rPr>
          <w:rFonts w:hint="eastAsia" w:ascii="宋体" w:hAnsi="宋体" w:eastAsia="宋体" w:cs="宋体"/>
          <w:color w:val="auto"/>
          <w:kern w:val="0"/>
          <w:sz w:val="24"/>
          <w:szCs w:val="24"/>
          <w:highlight w:val="none"/>
        </w:rPr>
        <w:t>=工程投资额</w:t>
      </w:r>
      <w:r>
        <w:rPr>
          <w:rFonts w:hint="eastAsia" w:ascii="宋体" w:hAnsi="宋体" w:eastAsia="宋体" w:cs="宋体"/>
          <w:color w:val="auto"/>
          <w:sz w:val="24"/>
          <w:szCs w:val="24"/>
          <w:highlight w:val="none"/>
        </w:rPr>
        <w:t>或建筑安装工程费</w:t>
      </w:r>
      <w:r>
        <w:rPr>
          <w:rFonts w:hint="eastAsia" w:ascii="宋体" w:hAnsi="宋体" w:eastAsia="宋体" w:cs="宋体"/>
          <w:color w:val="auto"/>
          <w:kern w:val="0"/>
          <w:sz w:val="24"/>
          <w:szCs w:val="24"/>
          <w:highlight w:val="none"/>
        </w:rPr>
        <w:t>增加额×正常工作酬金÷工程概算投资额（或建筑安装工程费）</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因工程规模、监理范围的变化导致监理人的正常工作量减少时，按减少工作量的比例从协议书约定的正常工作酬金中扣减相同比例的酬金。</w:t>
      </w:r>
    </w:p>
    <w:p>
      <w:pPr>
        <w:snapToGrid w:val="0"/>
        <w:spacing w:line="360" w:lineRule="auto"/>
        <w:rPr>
          <w:rFonts w:hint="eastAsia" w:ascii="宋体" w:hAnsi="宋体" w:eastAsia="宋体" w:cs="宋体"/>
          <w:b/>
          <w:bCs/>
          <w:color w:val="auto"/>
          <w:sz w:val="24"/>
          <w:szCs w:val="24"/>
          <w:highlight w:val="none"/>
        </w:rPr>
      </w:pP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7. 争议解决</w:t>
      </w:r>
    </w:p>
    <w:p>
      <w:pPr>
        <w:snapToGrid w:val="0"/>
        <w:spacing w:line="360" w:lineRule="auto"/>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调解</w:t>
      </w:r>
    </w:p>
    <w:p>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本合同争议进行调解时，可提交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进行调解。</w:t>
      </w:r>
    </w:p>
    <w:p>
      <w:pPr>
        <w:snapToGrid w:val="0"/>
        <w:spacing w:line="360" w:lineRule="auto"/>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仲裁或诉讼</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合同争议的最终解决方式为下列第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仲裁委员会进行仲裁。</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人民法院提起诉讼。</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Cs/>
          <w:color w:val="auto"/>
          <w:sz w:val="24"/>
          <w:szCs w:val="24"/>
          <w:highlight w:val="none"/>
        </w:rPr>
        <w:t>8.</w:t>
      </w: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 检测费用</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委托人应在检测工作完成后</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天内支付检测费用。</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8.</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rPr>
        <w:t xml:space="preserve"> 咨询费用</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委托人应在咨询工作完成后</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天内支付咨询费用。</w:t>
      </w:r>
    </w:p>
    <w:p>
      <w:pPr>
        <w:snapToGrid w:val="0"/>
        <w:spacing w:line="360" w:lineRule="auto"/>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奖励</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合理化建议的奖励金额按下列方法确定为：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奖励金额＝工程投资节省额×奖励金额的比率；</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奖励金额的比率为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保密</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委托人申明的保密事项和期限：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监理人申明的保密事项和期限：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第三方申明的保密事项和期限：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firstLine="235" w:firstLineChars="98"/>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w:t>
      </w:r>
      <w:r>
        <w:rPr>
          <w:rFonts w:hint="eastAsia" w:cs="宋体"/>
          <w:color w:val="auto"/>
          <w:sz w:val="24"/>
          <w:szCs w:val="24"/>
          <w:highlight w:val="none"/>
          <w:lang w:val="en-US" w:eastAsia="zh-CN"/>
        </w:rPr>
        <w:t>5</w:t>
      </w:r>
      <w:r>
        <w:rPr>
          <w:rFonts w:hint="eastAsia" w:ascii="宋体" w:hAnsi="宋体" w:eastAsia="宋体" w:cs="宋体"/>
          <w:bCs/>
          <w:color w:val="auto"/>
          <w:sz w:val="24"/>
          <w:szCs w:val="24"/>
          <w:highlight w:val="none"/>
        </w:rPr>
        <w:t>著作权</w:t>
      </w:r>
    </w:p>
    <w:p>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监理人在本合同履行期间及本合同终止后两年内出版涉及本工程的有关监理与相关服务的资料的限制条件：</w:t>
      </w:r>
      <w:r>
        <w:rPr>
          <w:rFonts w:hint="eastAsia" w:ascii="宋体" w:hAnsi="宋体" w:eastAsia="宋体" w:cs="宋体"/>
          <w:color w:val="auto"/>
          <w:sz w:val="24"/>
          <w:szCs w:val="24"/>
          <w:highlight w:val="none"/>
          <w:u w:val="single"/>
        </w:rPr>
        <w:t xml:space="preserve">                                                 </w:t>
      </w:r>
    </w:p>
    <w:p>
      <w:pPr>
        <w:adjustRightInd w:val="0"/>
        <w:snapToGrid w:val="0"/>
        <w:spacing w:before="206" w:beforeLines="50" w:after="206"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djustRightInd w:val="0"/>
        <w:snapToGrid w:val="0"/>
        <w:spacing w:before="206" w:beforeLines="50" w:after="206" w:afterLines="50"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 补充条款</w:t>
      </w:r>
      <w:r>
        <w:rPr>
          <w:rFonts w:hint="eastAsia" w:ascii="宋体" w:hAnsi="宋体" w:eastAsia="宋体" w:cs="宋体"/>
          <w:color w:val="auto"/>
          <w:sz w:val="24"/>
          <w:szCs w:val="24"/>
          <w:highlight w:val="none"/>
          <w:u w:val="single"/>
        </w:rPr>
        <w:t xml:space="preserve">                                                  </w:t>
      </w:r>
    </w:p>
    <w:p>
      <w:pPr>
        <w:adjustRightInd w:val="0"/>
        <w:snapToGrid w:val="0"/>
        <w:spacing w:before="206" w:beforeLines="50" w:after="206"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附录A  相关服务的范围和内容</w:t>
      </w:r>
    </w:p>
    <w:p>
      <w:pPr>
        <w:snapToGrid w:val="0"/>
        <w:spacing w:before="206" w:beforeLines="50" w:after="206" w:afterLines="50" w:line="360" w:lineRule="auto"/>
        <w:ind w:firstLine="960" w:firstLineChars="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A-1 勘察阶段：</w:t>
      </w:r>
      <w:r>
        <w:rPr>
          <w:rFonts w:hint="eastAsia" w:ascii="宋体" w:hAnsi="宋体" w:eastAsia="宋体" w:cs="宋体"/>
          <w:color w:val="auto"/>
          <w:sz w:val="24"/>
          <w:szCs w:val="24"/>
          <w:highlight w:val="none"/>
          <w:u w:val="single"/>
        </w:rPr>
        <w:t xml:space="preserve">                                        </w:t>
      </w:r>
    </w:p>
    <w:p>
      <w:pPr>
        <w:snapToGrid w:val="0"/>
        <w:spacing w:before="206" w:beforeLines="50" w:after="20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napToGrid w:val="0"/>
        <w:spacing w:before="206" w:beforeLines="50" w:after="206" w:afterLines="50" w:line="360" w:lineRule="auto"/>
        <w:ind w:firstLine="960" w:firstLineChars="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A-2 设计阶段：</w:t>
      </w:r>
      <w:r>
        <w:rPr>
          <w:rFonts w:hint="eastAsia" w:ascii="宋体" w:hAnsi="宋体" w:eastAsia="宋体" w:cs="宋体"/>
          <w:color w:val="auto"/>
          <w:sz w:val="24"/>
          <w:szCs w:val="24"/>
          <w:highlight w:val="none"/>
          <w:u w:val="single"/>
        </w:rPr>
        <w:t xml:space="preserve">                                </w:t>
      </w:r>
    </w:p>
    <w:p>
      <w:pPr>
        <w:snapToGrid w:val="0"/>
        <w:spacing w:before="206" w:beforeLines="50" w:after="20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before="206" w:beforeLines="50" w:after="206" w:afterLines="50" w:line="360" w:lineRule="auto"/>
        <w:ind w:firstLine="960" w:firstLineChars="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A-3 保修阶段：</w:t>
      </w:r>
      <w:r>
        <w:rPr>
          <w:rFonts w:hint="eastAsia" w:ascii="宋体" w:hAnsi="宋体" w:eastAsia="宋体" w:cs="宋体"/>
          <w:color w:val="auto"/>
          <w:sz w:val="24"/>
          <w:szCs w:val="24"/>
          <w:highlight w:val="none"/>
          <w:u w:val="single"/>
        </w:rPr>
        <w:t xml:space="preserve">                                                      </w:t>
      </w:r>
    </w:p>
    <w:p>
      <w:pPr>
        <w:snapToGrid w:val="0"/>
        <w:spacing w:before="206" w:beforeLines="50" w:after="20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before="206" w:beforeLines="50" w:after="206" w:afterLines="50"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 xml:space="preserve">A-4 </w:t>
      </w:r>
      <w:r>
        <w:rPr>
          <w:rFonts w:hint="eastAsia" w:ascii="宋体" w:hAnsi="宋体" w:eastAsia="宋体" w:cs="宋体"/>
          <w:color w:val="auto"/>
          <w:sz w:val="24"/>
          <w:szCs w:val="24"/>
          <w:highlight w:val="none"/>
        </w:rPr>
        <w:t>其他（专业技术咨询、外部协调工作等）：</w:t>
      </w:r>
      <w:r>
        <w:rPr>
          <w:rFonts w:hint="eastAsia" w:ascii="宋体" w:hAnsi="宋体" w:eastAsia="宋体" w:cs="宋体"/>
          <w:color w:val="auto"/>
          <w:sz w:val="24"/>
          <w:szCs w:val="24"/>
          <w:highlight w:val="none"/>
          <w:u w:val="single"/>
        </w:rPr>
        <w:t xml:space="preserve">   </w:t>
      </w:r>
    </w:p>
    <w:p>
      <w:pPr>
        <w:snapToGrid w:val="0"/>
        <w:spacing w:before="206" w:beforeLines="50" w:after="20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before="206" w:beforeLines="50" w:after="20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before="206" w:beforeLines="50" w:after="206" w:afterLines="50" w:line="360" w:lineRule="auto"/>
        <w:ind w:firstLine="1446" w:firstLineChars="6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附录B  委托人派遣的人员和提供的房屋、资料、设备</w:t>
      </w:r>
    </w:p>
    <w:p>
      <w:pPr>
        <w:spacing w:before="206" w:beforeLines="50"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B-1  委托人派遣的人员</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2200"/>
        <w:gridCol w:w="2366"/>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88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20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6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工作要求</w:t>
            </w:r>
          </w:p>
        </w:tc>
        <w:tc>
          <w:tcPr>
            <w:tcW w:w="206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88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工程技术人员</w:t>
            </w:r>
          </w:p>
        </w:tc>
        <w:tc>
          <w:tcPr>
            <w:tcW w:w="2200" w:type="dxa"/>
            <w:noWrap w:val="0"/>
            <w:vAlign w:val="center"/>
          </w:tcPr>
          <w:p>
            <w:pPr>
              <w:spacing w:line="440" w:lineRule="exact"/>
              <w:ind w:left="-4" w:leftChars="-51" w:hanging="108" w:hangingChars="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c>
          <w:tcPr>
            <w:tcW w:w="2366" w:type="dxa"/>
            <w:noWrap w:val="0"/>
            <w:vAlign w:val="center"/>
          </w:tcPr>
          <w:p>
            <w:pPr>
              <w:spacing w:line="440" w:lineRule="exact"/>
              <w:ind w:left="-4" w:leftChars="-51" w:hanging="108" w:hangingChars="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c>
          <w:tcPr>
            <w:tcW w:w="2066" w:type="dxa"/>
            <w:noWrap w:val="0"/>
            <w:vAlign w:val="center"/>
          </w:tcPr>
          <w:p>
            <w:pPr>
              <w:spacing w:line="440" w:lineRule="exact"/>
              <w:ind w:left="-4" w:leftChars="-51" w:hanging="108" w:hangingChars="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88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辅助工作人员</w:t>
            </w:r>
          </w:p>
        </w:tc>
        <w:tc>
          <w:tcPr>
            <w:tcW w:w="2200" w:type="dxa"/>
            <w:noWrap w:val="0"/>
            <w:vAlign w:val="center"/>
          </w:tcPr>
          <w:p>
            <w:pPr>
              <w:spacing w:line="440" w:lineRule="exact"/>
              <w:ind w:left="-4" w:leftChars="-51" w:hanging="108" w:hangingChars="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c>
          <w:tcPr>
            <w:tcW w:w="2366" w:type="dxa"/>
            <w:noWrap w:val="0"/>
            <w:vAlign w:val="center"/>
          </w:tcPr>
          <w:p>
            <w:pPr>
              <w:spacing w:line="440" w:lineRule="exact"/>
              <w:ind w:left="-4" w:leftChars="-51" w:hanging="108" w:hangingChars="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c>
          <w:tcPr>
            <w:tcW w:w="2066" w:type="dxa"/>
            <w:noWrap w:val="0"/>
            <w:vAlign w:val="center"/>
          </w:tcPr>
          <w:p>
            <w:pPr>
              <w:spacing w:line="440" w:lineRule="exact"/>
              <w:ind w:left="-4" w:leftChars="-51" w:hanging="108" w:hangingChars="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88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其他人员</w:t>
            </w:r>
          </w:p>
        </w:tc>
        <w:tc>
          <w:tcPr>
            <w:tcW w:w="2200" w:type="dxa"/>
            <w:noWrap w:val="0"/>
            <w:vAlign w:val="center"/>
          </w:tcPr>
          <w:p>
            <w:pPr>
              <w:spacing w:line="440" w:lineRule="exact"/>
              <w:ind w:left="-4" w:leftChars="-51" w:hanging="108" w:hangingChars="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c>
          <w:tcPr>
            <w:tcW w:w="2366" w:type="dxa"/>
            <w:noWrap w:val="0"/>
            <w:vAlign w:val="center"/>
          </w:tcPr>
          <w:p>
            <w:pPr>
              <w:spacing w:line="440" w:lineRule="exact"/>
              <w:ind w:left="-4" w:leftChars="-51" w:hanging="108" w:hangingChars="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c>
          <w:tcPr>
            <w:tcW w:w="2066" w:type="dxa"/>
            <w:noWrap w:val="0"/>
            <w:vAlign w:val="center"/>
          </w:tcPr>
          <w:p>
            <w:pPr>
              <w:spacing w:line="440" w:lineRule="exact"/>
              <w:ind w:left="-4" w:leftChars="-51" w:hanging="108" w:hangingChars="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88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0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6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6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pStyle w:val="6"/>
        <w:ind w:left="0" w:leftChars="0" w:firstLine="0" w:firstLineChars="0"/>
        <w:rPr>
          <w:rFonts w:hint="eastAsia"/>
          <w:color w:val="auto"/>
          <w:sz w:val="24"/>
          <w:szCs w:val="24"/>
          <w:highlight w:val="none"/>
        </w:rPr>
      </w:pPr>
    </w:p>
    <w:p>
      <w:pPr>
        <w:spacing w:before="206" w:beforeLines="50" w:line="360" w:lineRule="auto"/>
        <w:outlineLvl w:val="0"/>
        <w:rPr>
          <w:rFonts w:hint="eastAsia" w:ascii="宋体" w:hAnsi="宋体" w:eastAsia="宋体" w:cs="宋体"/>
          <w:b/>
          <w:color w:val="auto"/>
          <w:kern w:val="0"/>
          <w:sz w:val="24"/>
          <w:szCs w:val="24"/>
          <w:highlight w:val="none"/>
        </w:rPr>
      </w:pPr>
      <w:bookmarkStart w:id="83" w:name="_Toc30053"/>
      <w:bookmarkStart w:id="84" w:name="_Toc15165"/>
      <w:bookmarkStart w:id="85" w:name="_Toc410"/>
      <w:r>
        <w:rPr>
          <w:rFonts w:hint="eastAsia" w:ascii="宋体" w:hAnsi="宋体" w:eastAsia="宋体" w:cs="宋体"/>
          <w:b/>
          <w:color w:val="auto"/>
          <w:kern w:val="0"/>
          <w:sz w:val="24"/>
          <w:szCs w:val="24"/>
          <w:highlight w:val="none"/>
        </w:rPr>
        <w:br w:type="page"/>
      </w:r>
      <w:bookmarkStart w:id="86" w:name="_Toc19884"/>
      <w:r>
        <w:rPr>
          <w:rFonts w:hint="eastAsia" w:ascii="宋体" w:hAnsi="宋体" w:eastAsia="宋体" w:cs="宋体"/>
          <w:b/>
          <w:color w:val="auto"/>
          <w:kern w:val="0"/>
          <w:sz w:val="24"/>
          <w:szCs w:val="24"/>
          <w:highlight w:val="none"/>
        </w:rPr>
        <w:t>B-2  委托人提供的房屋</w:t>
      </w:r>
      <w:bookmarkEnd w:id="83"/>
      <w:bookmarkEnd w:id="84"/>
      <w:bookmarkEnd w:id="85"/>
      <w:bookmarkEnd w:id="86"/>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2351"/>
        <w:gridCol w:w="2351"/>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3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面积</w:t>
            </w:r>
          </w:p>
        </w:tc>
        <w:tc>
          <w:tcPr>
            <w:tcW w:w="2053"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办公用房</w:t>
            </w:r>
          </w:p>
        </w:tc>
        <w:tc>
          <w:tcPr>
            <w:tcW w:w="2351" w:type="dxa"/>
            <w:noWrap w:val="0"/>
            <w:vAlign w:val="center"/>
          </w:tcPr>
          <w:p>
            <w:pPr>
              <w:spacing w:line="360" w:lineRule="auto"/>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51" w:type="dxa"/>
            <w:noWrap w:val="0"/>
            <w:vAlign w:val="center"/>
          </w:tcPr>
          <w:p>
            <w:pPr>
              <w:spacing w:line="360" w:lineRule="auto"/>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53"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生活用房</w:t>
            </w:r>
          </w:p>
        </w:tc>
        <w:tc>
          <w:tcPr>
            <w:tcW w:w="23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53"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02" w:type="dxa"/>
            <w:noWrap w:val="0"/>
            <w:vAlign w:val="center"/>
          </w:tcPr>
          <w:p>
            <w:pPr>
              <w:spacing w:line="360" w:lineRule="auto"/>
              <w:jc w:val="center"/>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3. 试验用房</w:t>
            </w:r>
          </w:p>
        </w:tc>
        <w:tc>
          <w:tcPr>
            <w:tcW w:w="23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53"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样品用房</w:t>
            </w:r>
          </w:p>
        </w:tc>
        <w:tc>
          <w:tcPr>
            <w:tcW w:w="23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53"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53"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7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用餐及其他生活条件</w:t>
            </w:r>
          </w:p>
        </w:tc>
        <w:tc>
          <w:tcPr>
            <w:tcW w:w="6755" w:type="dxa"/>
            <w:gridSpan w:val="3"/>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pPr>
        <w:spacing w:before="206" w:beforeLines="50" w:line="360" w:lineRule="auto"/>
        <w:outlineLvl w:val="0"/>
        <w:rPr>
          <w:rFonts w:hint="eastAsia" w:ascii="宋体" w:hAnsi="宋体" w:eastAsia="宋体" w:cs="宋体"/>
          <w:b/>
          <w:color w:val="auto"/>
          <w:kern w:val="0"/>
          <w:sz w:val="24"/>
          <w:szCs w:val="24"/>
          <w:highlight w:val="none"/>
        </w:rPr>
      </w:pPr>
    </w:p>
    <w:p>
      <w:pPr>
        <w:spacing w:before="206" w:beforeLines="50" w:line="360" w:lineRule="auto"/>
        <w:outlineLvl w:val="0"/>
        <w:rPr>
          <w:rFonts w:hint="eastAsia" w:ascii="宋体" w:hAnsi="宋体" w:eastAsia="宋体" w:cs="宋体"/>
          <w:b/>
          <w:color w:val="auto"/>
          <w:kern w:val="0"/>
          <w:sz w:val="24"/>
          <w:szCs w:val="24"/>
          <w:highlight w:val="none"/>
        </w:rPr>
      </w:pPr>
      <w:bookmarkStart w:id="87" w:name="_Toc26369"/>
      <w:bookmarkStart w:id="88" w:name="_Toc26614"/>
      <w:bookmarkStart w:id="89" w:name="_Toc28340"/>
      <w:bookmarkStart w:id="90" w:name="_Toc25882"/>
      <w:r>
        <w:rPr>
          <w:rFonts w:hint="eastAsia" w:ascii="宋体" w:hAnsi="宋体" w:eastAsia="宋体" w:cs="宋体"/>
          <w:b/>
          <w:color w:val="auto"/>
          <w:kern w:val="0"/>
          <w:sz w:val="24"/>
          <w:szCs w:val="24"/>
          <w:highlight w:val="none"/>
        </w:rPr>
        <w:t>B-3  委托人提供的资料</w:t>
      </w:r>
      <w:bookmarkEnd w:id="87"/>
      <w:bookmarkEnd w:id="88"/>
      <w:bookmarkEnd w:id="89"/>
      <w:bookmarkEnd w:id="90"/>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3"/>
        <w:gridCol w:w="1662"/>
        <w:gridCol w:w="2393"/>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123"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662"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份数</w:t>
            </w:r>
          </w:p>
        </w:tc>
        <w:tc>
          <w:tcPr>
            <w:tcW w:w="2393"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提供时间</w:t>
            </w:r>
          </w:p>
        </w:tc>
        <w:tc>
          <w:tcPr>
            <w:tcW w:w="2320"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123"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工程立项文件</w:t>
            </w:r>
          </w:p>
        </w:tc>
        <w:tc>
          <w:tcPr>
            <w:tcW w:w="1662" w:type="dxa"/>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393" w:type="dxa"/>
            <w:noWrap w:val="0"/>
            <w:vAlign w:val="center"/>
          </w:tcPr>
          <w:p>
            <w:pPr>
              <w:spacing w:line="440" w:lineRule="exact"/>
              <w:ind w:left="-158" w:leftChars="-72" w:right="-79" w:rightChars="-36" w:firstLine="148" w:firstLineChars="62"/>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按相关规范法律时限前提供</w:t>
            </w:r>
          </w:p>
        </w:tc>
        <w:tc>
          <w:tcPr>
            <w:tcW w:w="2320" w:type="dxa"/>
            <w:noWrap w:val="0"/>
            <w:vAlign w:val="center"/>
          </w:tcPr>
          <w:p>
            <w:pPr>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123"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工程勘察文件</w:t>
            </w:r>
          </w:p>
        </w:tc>
        <w:tc>
          <w:tcPr>
            <w:tcW w:w="1662" w:type="dxa"/>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393" w:type="dxa"/>
            <w:noWrap w:val="0"/>
            <w:vAlign w:val="center"/>
          </w:tcPr>
          <w:p>
            <w:pPr>
              <w:spacing w:line="440" w:lineRule="exact"/>
              <w:ind w:left="-158" w:leftChars="-72" w:right="-79" w:rightChars="-36" w:firstLine="148" w:firstLineChars="62"/>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按相关规范法律时限前提供</w:t>
            </w:r>
          </w:p>
        </w:tc>
        <w:tc>
          <w:tcPr>
            <w:tcW w:w="2320" w:type="dxa"/>
            <w:noWrap w:val="0"/>
            <w:vAlign w:val="center"/>
          </w:tcPr>
          <w:p>
            <w:pPr>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123"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工程设计及施工图纸</w:t>
            </w:r>
          </w:p>
        </w:tc>
        <w:tc>
          <w:tcPr>
            <w:tcW w:w="1662" w:type="dxa"/>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393" w:type="dxa"/>
            <w:noWrap w:val="0"/>
            <w:vAlign w:val="center"/>
          </w:tcPr>
          <w:p>
            <w:pPr>
              <w:spacing w:line="440" w:lineRule="exact"/>
              <w:ind w:left="-158" w:leftChars="-72" w:right="-79" w:rightChars="-36" w:firstLine="148" w:firstLineChars="62"/>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按相关规范法律时限前提供</w:t>
            </w:r>
          </w:p>
        </w:tc>
        <w:tc>
          <w:tcPr>
            <w:tcW w:w="2320" w:type="dxa"/>
            <w:noWrap w:val="0"/>
            <w:vAlign w:val="center"/>
          </w:tcPr>
          <w:p>
            <w:pPr>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3123"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 工程承包合同及其他相关合同</w:t>
            </w:r>
          </w:p>
        </w:tc>
        <w:tc>
          <w:tcPr>
            <w:tcW w:w="1662" w:type="dxa"/>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393" w:type="dxa"/>
            <w:noWrap w:val="0"/>
            <w:vAlign w:val="center"/>
          </w:tcPr>
          <w:p>
            <w:pPr>
              <w:spacing w:line="440" w:lineRule="exact"/>
              <w:ind w:left="-158" w:leftChars="-72" w:right="-79" w:rightChars="-36" w:firstLine="148" w:firstLineChars="62"/>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按相关规范法律时限前提供</w:t>
            </w:r>
          </w:p>
        </w:tc>
        <w:tc>
          <w:tcPr>
            <w:tcW w:w="2320" w:type="dxa"/>
            <w:noWrap w:val="0"/>
            <w:vAlign w:val="center"/>
          </w:tcPr>
          <w:p>
            <w:pPr>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123"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 施工许可文件</w:t>
            </w:r>
          </w:p>
        </w:tc>
        <w:tc>
          <w:tcPr>
            <w:tcW w:w="1662" w:type="dxa"/>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393" w:type="dxa"/>
            <w:noWrap w:val="0"/>
            <w:vAlign w:val="center"/>
          </w:tcPr>
          <w:p>
            <w:pPr>
              <w:spacing w:line="440" w:lineRule="exact"/>
              <w:ind w:left="-158" w:leftChars="-72" w:right="-79" w:rightChars="-36" w:firstLine="148" w:firstLineChars="62"/>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按相关规范法律时限前提供</w:t>
            </w:r>
          </w:p>
        </w:tc>
        <w:tc>
          <w:tcPr>
            <w:tcW w:w="2320" w:type="dxa"/>
            <w:noWrap w:val="0"/>
            <w:vAlign w:val="center"/>
          </w:tcPr>
          <w:p>
            <w:pPr>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123"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 其他文件</w:t>
            </w:r>
          </w:p>
        </w:tc>
        <w:tc>
          <w:tcPr>
            <w:tcW w:w="1662" w:type="dxa"/>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393" w:type="dxa"/>
            <w:noWrap w:val="0"/>
            <w:vAlign w:val="center"/>
          </w:tcPr>
          <w:p>
            <w:pPr>
              <w:spacing w:line="440" w:lineRule="exact"/>
              <w:ind w:left="-158" w:leftChars="-72" w:right="-79" w:rightChars="-36" w:firstLine="148" w:firstLineChars="62"/>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按相关规范法律时限前提供</w:t>
            </w:r>
          </w:p>
        </w:tc>
        <w:tc>
          <w:tcPr>
            <w:tcW w:w="2320" w:type="dxa"/>
            <w:noWrap w:val="0"/>
            <w:vAlign w:val="center"/>
          </w:tcPr>
          <w:p>
            <w:pPr>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3" w:type="dxa"/>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1662" w:type="dxa"/>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393" w:type="dxa"/>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320" w:type="dxa"/>
            <w:noWrap w:val="0"/>
            <w:vAlign w:val="center"/>
          </w:tcPr>
          <w:p>
            <w:pPr>
              <w:spacing w:line="360" w:lineRule="auto"/>
              <w:jc w:val="center"/>
              <w:rPr>
                <w:rFonts w:hint="eastAsia" w:ascii="宋体" w:hAnsi="宋体" w:eastAsia="宋体" w:cs="宋体"/>
                <w:color w:val="auto"/>
                <w:kern w:val="0"/>
                <w:sz w:val="24"/>
                <w:szCs w:val="24"/>
                <w:highlight w:val="none"/>
              </w:rPr>
            </w:pPr>
          </w:p>
        </w:tc>
      </w:tr>
    </w:tbl>
    <w:p>
      <w:pPr>
        <w:spacing w:before="206" w:beforeLines="50"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4"/>
          <w:szCs w:val="24"/>
          <w:highlight w:val="none"/>
        </w:rPr>
        <w:t>B-4 委托人提供的设备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4"/>
        <w:gridCol w:w="1736"/>
        <w:gridCol w:w="2326"/>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2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73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型号与规格</w:t>
            </w:r>
          </w:p>
        </w:tc>
        <w:tc>
          <w:tcPr>
            <w:tcW w:w="203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2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通讯设备</w:t>
            </w:r>
          </w:p>
        </w:tc>
        <w:tc>
          <w:tcPr>
            <w:tcW w:w="173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3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2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办公设备</w:t>
            </w:r>
          </w:p>
        </w:tc>
        <w:tc>
          <w:tcPr>
            <w:tcW w:w="173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3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2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交通工具</w:t>
            </w:r>
          </w:p>
        </w:tc>
        <w:tc>
          <w:tcPr>
            <w:tcW w:w="173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3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2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检测和试验设备</w:t>
            </w:r>
          </w:p>
        </w:tc>
        <w:tc>
          <w:tcPr>
            <w:tcW w:w="173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3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264" w:type="dxa"/>
            <w:noWrap w:val="0"/>
            <w:vAlign w:val="center"/>
          </w:tcPr>
          <w:p>
            <w:pPr>
              <w:spacing w:line="360" w:lineRule="auto"/>
              <w:jc w:val="center"/>
              <w:rPr>
                <w:rFonts w:hint="eastAsia" w:ascii="宋体" w:hAnsi="宋体" w:eastAsia="宋体" w:cs="宋体"/>
                <w:color w:val="auto"/>
                <w:sz w:val="24"/>
                <w:szCs w:val="24"/>
                <w:highlight w:val="none"/>
              </w:rPr>
            </w:pPr>
          </w:p>
        </w:tc>
        <w:tc>
          <w:tcPr>
            <w:tcW w:w="1736" w:type="dxa"/>
            <w:noWrap w:val="0"/>
            <w:vAlign w:val="center"/>
          </w:tcPr>
          <w:p>
            <w:pPr>
              <w:spacing w:line="360" w:lineRule="auto"/>
              <w:jc w:val="center"/>
              <w:rPr>
                <w:rFonts w:hint="eastAsia" w:ascii="宋体" w:hAnsi="宋体" w:eastAsia="宋体" w:cs="宋体"/>
                <w:color w:val="auto"/>
                <w:sz w:val="24"/>
                <w:szCs w:val="24"/>
                <w:highlight w:val="none"/>
              </w:rPr>
            </w:pPr>
          </w:p>
        </w:tc>
        <w:tc>
          <w:tcPr>
            <w:tcW w:w="2326" w:type="dxa"/>
            <w:noWrap w:val="0"/>
            <w:vAlign w:val="center"/>
          </w:tcPr>
          <w:p>
            <w:pPr>
              <w:spacing w:line="360" w:lineRule="auto"/>
              <w:jc w:val="center"/>
              <w:rPr>
                <w:rFonts w:hint="eastAsia" w:ascii="宋体" w:hAnsi="宋体" w:eastAsia="宋体" w:cs="宋体"/>
                <w:color w:val="auto"/>
                <w:sz w:val="24"/>
                <w:szCs w:val="24"/>
                <w:highlight w:val="none"/>
              </w:rPr>
            </w:pPr>
          </w:p>
        </w:tc>
        <w:tc>
          <w:tcPr>
            <w:tcW w:w="2031" w:type="dxa"/>
            <w:noWrap w:val="0"/>
            <w:vAlign w:val="center"/>
          </w:tcPr>
          <w:p>
            <w:pPr>
              <w:spacing w:line="360" w:lineRule="auto"/>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p>
    <w:p>
      <w:pPr>
        <w:spacing w:before="40"/>
        <w:ind w:right="0"/>
        <w:jc w:val="left"/>
        <w:rPr>
          <w:color w:val="auto"/>
          <w:sz w:val="44"/>
        </w:rPr>
        <w:sectPr>
          <w:pgSz w:w="11910" w:h="16840"/>
          <w:pgMar w:top="1360" w:right="1020" w:bottom="900" w:left="1020" w:header="0" w:footer="640" w:gutter="0"/>
          <w:pgBorders>
            <w:top w:val="none" w:sz="0" w:space="0"/>
            <w:left w:val="none" w:sz="0" w:space="0"/>
            <w:bottom w:val="none" w:sz="0" w:space="0"/>
            <w:right w:val="none" w:sz="0" w:space="0"/>
          </w:pgBorders>
          <w:pgNumType w:fmt="decimal"/>
          <w:cols w:space="720" w:num="1"/>
        </w:sect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spacing w:before="7"/>
        <w:ind w:left="0"/>
        <w:rPr>
          <w:color w:val="auto"/>
          <w:sz w:val="16"/>
        </w:rPr>
      </w:pPr>
    </w:p>
    <w:p>
      <w:pPr>
        <w:spacing w:before="37"/>
        <w:ind w:left="1" w:right="0" w:firstLine="0"/>
        <w:jc w:val="center"/>
        <w:rPr>
          <w:b/>
          <w:color w:val="auto"/>
          <w:sz w:val="44"/>
        </w:rPr>
      </w:pPr>
      <w:bookmarkStart w:id="91" w:name="第二卷"/>
      <w:bookmarkEnd w:id="91"/>
      <w:r>
        <w:rPr>
          <w:b/>
          <w:color w:val="auto"/>
          <w:sz w:val="44"/>
        </w:rPr>
        <w:t>第二卷</w:t>
      </w:r>
    </w:p>
    <w:p>
      <w:pPr>
        <w:spacing w:after="0"/>
        <w:jc w:val="center"/>
        <w:rPr>
          <w:color w:val="auto"/>
          <w:sz w:val="44"/>
        </w:rPr>
        <w:sectPr>
          <w:footerReference r:id="rId9" w:type="default"/>
          <w:pgSz w:w="11910" w:h="16840"/>
          <w:pgMar w:top="1580" w:right="1020" w:bottom="980" w:left="1020" w:header="0" w:footer="789" w:gutter="0"/>
          <w:pgBorders>
            <w:top w:val="none" w:sz="0" w:space="0"/>
            <w:left w:val="none" w:sz="0" w:space="0"/>
            <w:bottom w:val="none" w:sz="0" w:space="0"/>
            <w:right w:val="none" w:sz="0" w:space="0"/>
          </w:pgBorders>
          <w:pgNumType w:fmt="decimal"/>
          <w:cols w:space="720" w:num="1"/>
        </w:sectPr>
      </w:pPr>
    </w:p>
    <w:p>
      <w:pPr>
        <w:tabs>
          <w:tab w:val="left" w:pos="1767"/>
        </w:tabs>
        <w:spacing w:before="23"/>
        <w:ind w:left="1" w:right="0" w:firstLine="0"/>
        <w:jc w:val="center"/>
        <w:rPr>
          <w:b/>
          <w:color w:val="auto"/>
          <w:sz w:val="44"/>
        </w:rPr>
      </w:pPr>
      <w:bookmarkStart w:id="92" w:name="_TOC_250001"/>
      <w:bookmarkEnd w:id="92"/>
      <w:r>
        <w:rPr>
          <w:b/>
          <w:color w:val="auto"/>
          <w:sz w:val="44"/>
        </w:rPr>
        <w:t>第五章</w:t>
      </w:r>
      <w:r>
        <w:rPr>
          <w:b/>
          <w:color w:val="auto"/>
          <w:sz w:val="44"/>
        </w:rPr>
        <w:tab/>
      </w:r>
      <w:r>
        <w:rPr>
          <w:b/>
          <w:color w:val="auto"/>
          <w:sz w:val="44"/>
        </w:rPr>
        <w:t>委托人要求</w:t>
      </w:r>
    </w:p>
    <w:p>
      <w:pPr>
        <w:pStyle w:val="7"/>
        <w:spacing w:before="4"/>
        <w:ind w:left="0"/>
        <w:rPr>
          <w:b/>
          <w:color w:val="auto"/>
          <w:sz w:val="50"/>
        </w:rPr>
      </w:pPr>
    </w:p>
    <w:p>
      <w:pPr>
        <w:spacing w:before="0"/>
        <w:ind w:left="1" w:right="0" w:firstLine="0"/>
        <w:jc w:val="center"/>
        <w:rPr>
          <w:b/>
          <w:color w:val="auto"/>
          <w:sz w:val="28"/>
        </w:rPr>
      </w:pPr>
      <w:bookmarkStart w:id="93" w:name="监理工作基本要求"/>
      <w:bookmarkEnd w:id="93"/>
      <w:r>
        <w:rPr>
          <w:b/>
          <w:color w:val="auto"/>
          <w:sz w:val="28"/>
        </w:rPr>
        <w:t>监理工作基本要求</w:t>
      </w:r>
    </w:p>
    <w:p>
      <w:pPr>
        <w:pStyle w:val="7"/>
        <w:spacing w:before="245" w:line="364" w:lineRule="auto"/>
        <w:ind w:right="395" w:firstLine="480"/>
        <w:rPr>
          <w:color w:val="auto"/>
        </w:rPr>
      </w:pPr>
      <w:r>
        <w:rPr>
          <w:color w:val="auto"/>
        </w:rPr>
        <w:t>1、严格执行国家标准《建设工程监理规范》（GB50319-2013）和有关现行的法律法规等规定，及建设方项目管理制度。</w:t>
      </w:r>
    </w:p>
    <w:p>
      <w:pPr>
        <w:pStyle w:val="7"/>
        <w:spacing w:line="306" w:lineRule="exact"/>
        <w:ind w:left="876"/>
        <w:rPr>
          <w:color w:val="auto"/>
        </w:rPr>
      </w:pPr>
      <w:r>
        <w:rPr>
          <w:color w:val="auto"/>
        </w:rPr>
        <w:t>2、协助招标人做好图纸会审记录及负责审查施工组织方案等工作。</w:t>
      </w:r>
    </w:p>
    <w:p>
      <w:pPr>
        <w:pStyle w:val="7"/>
        <w:spacing w:before="158" w:line="364" w:lineRule="auto"/>
        <w:ind w:right="288" w:firstLine="480"/>
        <w:jc w:val="both"/>
        <w:rPr>
          <w:color w:val="auto"/>
        </w:rPr>
      </w:pPr>
      <w:r>
        <w:rPr>
          <w:color w:val="auto"/>
        </w:rPr>
        <w:t>3、负责本工程项目施工全过程监理，主要为施工过程中的质量、进度、投资的目</w:t>
      </w:r>
      <w:r>
        <w:rPr>
          <w:color w:val="auto"/>
          <w:spacing w:val="-5"/>
        </w:rPr>
        <w:t>标控制，安全、合同、信息管理及现场协调</w:t>
      </w:r>
      <w:r>
        <w:rPr>
          <w:color w:val="auto"/>
        </w:rPr>
        <w:t>（</w:t>
      </w:r>
      <w:r>
        <w:rPr>
          <w:color w:val="auto"/>
          <w:spacing w:val="-6"/>
        </w:rPr>
        <w:t>包括：工程施工进度、质量、安全、文明</w:t>
      </w:r>
      <w:r>
        <w:rPr>
          <w:color w:val="auto"/>
          <w:spacing w:val="-8"/>
        </w:rPr>
        <w:t>施工、造价等控制。驻场监理人员应对所承担的监理工程进行巡视、抽检、实行旁站监</w:t>
      </w:r>
      <w:r>
        <w:rPr>
          <w:color w:val="auto"/>
          <w:spacing w:val="-7"/>
        </w:rPr>
        <w:t>理；会同有关部门做好现场签证和进度款填报及审核工作，对每一道工序的质量进行验</w:t>
      </w:r>
      <w:r>
        <w:rPr>
          <w:color w:val="auto"/>
          <w:spacing w:val="-9"/>
        </w:rPr>
        <w:t>收检查；正确、如实填写监理日记，监理月报，发现问题或事故隐患应及时向建设方的</w:t>
      </w:r>
      <w:r>
        <w:rPr>
          <w:color w:val="auto"/>
          <w:spacing w:val="-11"/>
        </w:rPr>
        <w:t>项目负责人通报，督促施工单位按程序施工，并做好施工全过程的协调工作；收集整理</w:t>
      </w:r>
      <w:r>
        <w:rPr>
          <w:color w:val="auto"/>
          <w:spacing w:val="-13"/>
        </w:rPr>
        <w:t>工程施工原始数据和档案资料以及合同管理，组织工程预验收，负责整理资料交招标人</w:t>
      </w:r>
      <w:r>
        <w:rPr>
          <w:color w:val="auto"/>
          <w:spacing w:val="-9"/>
        </w:rPr>
        <w:t>审查，按招标人有关规定完善管理程序，协助做好工程竣工结算资料等必须履行的职责与义务，整理的资料必须符合《城市建设档案管理规定》2019</w:t>
      </w:r>
      <w:r>
        <w:rPr>
          <w:color w:val="auto"/>
          <w:spacing w:val="-8"/>
        </w:rPr>
        <w:t xml:space="preserve"> 年修订版等相关要求</w:t>
      </w:r>
      <w:r>
        <w:rPr>
          <w:color w:val="auto"/>
        </w:rPr>
        <w:t>）</w:t>
      </w:r>
      <w:r>
        <w:rPr>
          <w:color w:val="auto"/>
          <w:spacing w:val="-18"/>
        </w:rPr>
        <w:t>。</w:t>
      </w:r>
    </w:p>
    <w:p>
      <w:pPr>
        <w:pStyle w:val="7"/>
        <w:spacing w:line="364" w:lineRule="auto"/>
        <w:ind w:right="395" w:firstLine="480"/>
        <w:jc w:val="both"/>
        <w:rPr>
          <w:color w:val="auto"/>
        </w:rPr>
      </w:pPr>
      <w:r>
        <w:rPr>
          <w:color w:val="auto"/>
        </w:rPr>
        <w:t>4、严格按照建设部有关规定进行旁站监理管理，驻场监理人员数量应能满足本项</w:t>
      </w:r>
      <w:r>
        <w:rPr>
          <w:color w:val="auto"/>
          <w:spacing w:val="-2"/>
        </w:rPr>
        <w:t xml:space="preserve">目工程监理工作的需要且专业搭配恰当，重要部位、关键工序须保证 </w:t>
      </w:r>
      <w:r>
        <w:rPr>
          <w:color w:val="auto"/>
        </w:rPr>
        <w:t>24</w:t>
      </w:r>
      <w:r>
        <w:rPr>
          <w:color w:val="auto"/>
          <w:spacing w:val="-6"/>
        </w:rPr>
        <w:t xml:space="preserve"> 小时旁站跟踪管理，同时具有良好的职业道德和严谨的工作作风。</w:t>
      </w:r>
    </w:p>
    <w:p>
      <w:pPr>
        <w:pStyle w:val="7"/>
        <w:spacing w:line="364" w:lineRule="auto"/>
        <w:ind w:right="276" w:firstLine="480"/>
        <w:rPr>
          <w:color w:val="auto"/>
        </w:rPr>
      </w:pPr>
      <w:r>
        <w:rPr>
          <w:color w:val="auto"/>
        </w:rPr>
        <w:t>5</w:t>
      </w:r>
      <w:r>
        <w:rPr>
          <w:color w:val="auto"/>
          <w:spacing w:val="-7"/>
        </w:rPr>
        <w:t xml:space="preserve">、配合招标人做好各责任主体间的协调工作，服从招标人项目负责人的现场管理， </w:t>
      </w:r>
      <w:r>
        <w:rPr>
          <w:color w:val="auto"/>
        </w:rPr>
        <w:t>督促施工单位落实招标人的项目管理相关制度要求。</w:t>
      </w:r>
    </w:p>
    <w:p>
      <w:pPr>
        <w:spacing w:after="0" w:line="364" w:lineRule="auto"/>
        <w:rPr>
          <w:color w:val="auto"/>
        </w:rPr>
        <w:sectPr>
          <w:pgSz w:w="11910" w:h="16840"/>
          <w:pgMar w:top="1380" w:right="1020" w:bottom="980" w:left="1020" w:header="0" w:footer="789" w:gutter="0"/>
          <w:pgBorders>
            <w:top w:val="none" w:sz="0" w:space="0"/>
            <w:left w:val="none" w:sz="0" w:space="0"/>
            <w:bottom w:val="none" w:sz="0" w:space="0"/>
            <w:right w:val="none" w:sz="0" w:space="0"/>
          </w:pgBorders>
          <w:pgNumType w:fmt="decimal"/>
          <w:cols w:space="720" w:num="1"/>
        </w:sect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pStyle w:val="7"/>
        <w:ind w:left="0"/>
        <w:rPr>
          <w:color w:val="auto"/>
          <w:sz w:val="20"/>
        </w:rPr>
      </w:pPr>
    </w:p>
    <w:p>
      <w:pPr>
        <w:spacing w:before="210"/>
        <w:ind w:left="1" w:right="0" w:firstLine="0"/>
        <w:jc w:val="center"/>
        <w:rPr>
          <w:b/>
          <w:color w:val="auto"/>
          <w:sz w:val="44"/>
        </w:rPr>
      </w:pPr>
      <w:r>
        <w:rPr>
          <w:b/>
          <w:color w:val="auto"/>
          <w:sz w:val="44"/>
        </w:rPr>
        <w:t>第三卷</w:t>
      </w:r>
    </w:p>
    <w:p>
      <w:pPr>
        <w:spacing w:after="0"/>
        <w:jc w:val="center"/>
        <w:rPr>
          <w:color w:val="auto"/>
          <w:sz w:val="44"/>
        </w:rPr>
        <w:sectPr>
          <w:pgSz w:w="11910" w:h="16840"/>
          <w:pgMar w:top="1580" w:right="1020" w:bottom="980" w:left="1020" w:header="0" w:footer="789" w:gutter="0"/>
          <w:pgBorders>
            <w:top w:val="none" w:sz="0" w:space="0"/>
            <w:left w:val="none" w:sz="0" w:space="0"/>
            <w:bottom w:val="none" w:sz="0" w:space="0"/>
            <w:right w:val="none" w:sz="0" w:space="0"/>
          </w:pgBorders>
          <w:pgNumType w:fmt="decimal"/>
          <w:cols w:space="720" w:num="1"/>
        </w:sectPr>
      </w:pPr>
    </w:p>
    <w:p>
      <w:pPr>
        <w:spacing w:before="20"/>
        <w:ind w:left="399" w:right="0" w:firstLine="0"/>
        <w:jc w:val="center"/>
        <w:rPr>
          <w:b/>
          <w:color w:val="auto"/>
          <w:sz w:val="44"/>
        </w:rPr>
      </w:pPr>
      <w:bookmarkStart w:id="94" w:name="_TOC_250000"/>
      <w:bookmarkEnd w:id="94"/>
      <w:r>
        <w:rPr>
          <w:b/>
          <w:color w:val="auto"/>
          <w:sz w:val="44"/>
        </w:rPr>
        <w:t>第六章 投标文件格式</w:t>
      </w:r>
    </w:p>
    <w:p>
      <w:pPr>
        <w:spacing w:after="0"/>
        <w:jc w:val="center"/>
        <w:rPr>
          <w:color w:val="auto"/>
          <w:sz w:val="44"/>
        </w:rPr>
        <w:sectPr>
          <w:pgSz w:w="11910" w:h="16840"/>
          <w:pgMar w:top="1380" w:right="1020" w:bottom="980" w:left="1020" w:header="0" w:footer="789" w:gutter="0"/>
          <w:pgBorders>
            <w:top w:val="none" w:sz="0" w:space="0"/>
            <w:left w:val="none" w:sz="0" w:space="0"/>
            <w:bottom w:val="none" w:sz="0" w:space="0"/>
            <w:right w:val="none" w:sz="0" w:space="0"/>
          </w:pgBorders>
          <w:pgNumType w:fmt="decimal"/>
          <w:cols w:space="720" w:num="1"/>
        </w:sectPr>
      </w:pPr>
    </w:p>
    <w:p>
      <w:pPr>
        <w:pStyle w:val="7"/>
        <w:ind w:left="0"/>
        <w:rPr>
          <w:b/>
          <w:color w:val="auto"/>
          <w:sz w:val="20"/>
        </w:rPr>
      </w:pPr>
    </w:p>
    <w:p>
      <w:pPr>
        <w:pStyle w:val="7"/>
        <w:ind w:left="0"/>
        <w:rPr>
          <w:b/>
          <w:color w:val="auto"/>
          <w:sz w:val="20"/>
        </w:rPr>
      </w:pPr>
    </w:p>
    <w:p>
      <w:pPr>
        <w:pStyle w:val="7"/>
        <w:ind w:left="0"/>
        <w:rPr>
          <w:b/>
          <w:color w:val="auto"/>
          <w:sz w:val="20"/>
        </w:rPr>
      </w:pPr>
    </w:p>
    <w:p>
      <w:pPr>
        <w:pStyle w:val="7"/>
        <w:ind w:left="0"/>
        <w:rPr>
          <w:b/>
          <w:color w:val="auto"/>
          <w:sz w:val="20"/>
        </w:rPr>
      </w:pPr>
    </w:p>
    <w:p>
      <w:pPr>
        <w:pStyle w:val="7"/>
        <w:spacing w:before="9"/>
        <w:ind w:left="0"/>
        <w:rPr>
          <w:b/>
          <w:color w:val="auto"/>
          <w:sz w:val="26"/>
        </w:rPr>
      </w:pPr>
    </w:p>
    <w:p>
      <w:pPr>
        <w:autoSpaceDE w:val="0"/>
        <w:autoSpaceDN w:val="0"/>
        <w:adjustRightInd w:val="0"/>
        <w:spacing w:line="360" w:lineRule="auto"/>
        <w:jc w:val="center"/>
        <w:rPr>
          <w:rFonts w:hint="eastAsia" w:ascii="宋体" w:hAnsi="宋体" w:cs="宋体"/>
          <w:b/>
          <w:color w:val="auto"/>
          <w:kern w:val="0"/>
          <w:sz w:val="44"/>
          <w:szCs w:val="44"/>
          <w:lang w:eastAsia="zh-CN"/>
        </w:rPr>
      </w:pPr>
      <w:bookmarkStart w:id="95" w:name="  广东省梅州市平远县大柘镇城乡融合发展示范带人居环境整治提升项目（一期）(第一"/>
      <w:bookmarkEnd w:id="95"/>
      <w:bookmarkStart w:id="96" w:name="目  录"/>
      <w:bookmarkEnd w:id="96"/>
      <w:r>
        <w:rPr>
          <w:rFonts w:hint="eastAsia" w:ascii="宋体" w:hAnsi="宋体" w:cs="宋体"/>
          <w:b/>
          <w:color w:val="auto"/>
          <w:kern w:val="0"/>
          <w:sz w:val="44"/>
          <w:szCs w:val="44"/>
          <w:lang w:eastAsia="zh-CN"/>
        </w:rPr>
        <w:t>平远县东石镇美丽圩镇建设攻坚行动项目(一期)</w:t>
      </w:r>
    </w:p>
    <w:p>
      <w:pPr>
        <w:autoSpaceDE w:val="0"/>
        <w:autoSpaceDN w:val="0"/>
        <w:adjustRightInd w:val="0"/>
        <w:spacing w:line="360" w:lineRule="auto"/>
        <w:jc w:val="center"/>
        <w:rPr>
          <w:rFonts w:hint="default" w:ascii="宋体" w:hAnsi="宋体" w:cs="宋体"/>
          <w:b/>
          <w:color w:val="auto"/>
          <w:kern w:val="0"/>
          <w:sz w:val="44"/>
          <w:szCs w:val="44"/>
          <w:lang w:val="en-US" w:eastAsia="zh-CN"/>
        </w:rPr>
      </w:pPr>
      <w:r>
        <w:rPr>
          <w:rFonts w:hint="eastAsia" w:cs="宋体"/>
          <w:b/>
          <w:color w:val="auto"/>
          <w:kern w:val="0"/>
          <w:sz w:val="44"/>
          <w:szCs w:val="44"/>
          <w:lang w:val="en-US" w:eastAsia="zh-CN"/>
        </w:rPr>
        <w:t>监理</w:t>
      </w:r>
    </w:p>
    <w:p>
      <w:pPr>
        <w:pStyle w:val="7"/>
        <w:ind w:left="0"/>
        <w:rPr>
          <w:b/>
          <w:color w:val="auto"/>
          <w:sz w:val="40"/>
        </w:rPr>
      </w:pPr>
    </w:p>
    <w:p>
      <w:pPr>
        <w:pStyle w:val="7"/>
        <w:ind w:left="0"/>
        <w:rPr>
          <w:b/>
          <w:color w:val="auto"/>
          <w:sz w:val="40"/>
        </w:rPr>
      </w:pPr>
    </w:p>
    <w:p>
      <w:pPr>
        <w:pStyle w:val="7"/>
        <w:ind w:left="0"/>
        <w:rPr>
          <w:b/>
          <w:color w:val="auto"/>
          <w:sz w:val="40"/>
        </w:rPr>
      </w:pPr>
    </w:p>
    <w:p>
      <w:pPr>
        <w:pStyle w:val="7"/>
        <w:ind w:left="0"/>
        <w:rPr>
          <w:b/>
          <w:color w:val="auto"/>
          <w:sz w:val="40"/>
        </w:rPr>
      </w:pPr>
    </w:p>
    <w:p>
      <w:pPr>
        <w:spacing w:before="322"/>
        <w:ind w:left="432" w:right="433" w:firstLine="0"/>
        <w:jc w:val="center"/>
        <w:rPr>
          <w:b/>
          <w:color w:val="auto"/>
          <w:sz w:val="72"/>
        </w:rPr>
      </w:pPr>
      <w:bookmarkStart w:id="97" w:name="投标文件"/>
      <w:bookmarkEnd w:id="97"/>
      <w:r>
        <w:rPr>
          <w:b/>
          <w:color w:val="auto"/>
          <w:sz w:val="72"/>
        </w:rPr>
        <w:t>投标文件</w:t>
      </w:r>
    </w:p>
    <w:p>
      <w:pPr>
        <w:pStyle w:val="7"/>
        <w:ind w:left="0"/>
        <w:rPr>
          <w:b/>
          <w:color w:val="auto"/>
          <w:sz w:val="72"/>
        </w:rPr>
      </w:pPr>
    </w:p>
    <w:p>
      <w:pPr>
        <w:pStyle w:val="7"/>
        <w:ind w:left="0"/>
        <w:rPr>
          <w:b/>
          <w:color w:val="auto"/>
          <w:sz w:val="72"/>
        </w:rPr>
      </w:pPr>
    </w:p>
    <w:p>
      <w:pPr>
        <w:pStyle w:val="7"/>
        <w:ind w:left="0"/>
        <w:rPr>
          <w:b/>
          <w:color w:val="auto"/>
          <w:sz w:val="72"/>
        </w:rPr>
      </w:pPr>
    </w:p>
    <w:p>
      <w:pPr>
        <w:pStyle w:val="7"/>
        <w:spacing w:before="9"/>
        <w:ind w:left="0"/>
        <w:rPr>
          <w:b/>
          <w:color w:val="auto"/>
          <w:sz w:val="107"/>
        </w:rPr>
      </w:pPr>
    </w:p>
    <w:p>
      <w:pPr>
        <w:pStyle w:val="4"/>
        <w:tabs>
          <w:tab w:val="left" w:pos="6748"/>
          <w:tab w:val="left" w:pos="7312"/>
        </w:tabs>
        <w:spacing w:line="364" w:lineRule="auto"/>
        <w:ind w:left="1432" w:right="1429" w:hanging="3"/>
        <w:jc w:val="center"/>
        <w:rPr>
          <w:rFonts w:hint="eastAsia" w:ascii="黑体" w:eastAsia="黑体"/>
          <w:color w:val="auto"/>
        </w:rPr>
      </w:pPr>
      <w:bookmarkStart w:id="98" w:name="投标人：                              （盖单位章）"/>
      <w:bookmarkEnd w:id="98"/>
      <w:r>
        <w:rPr>
          <w:rFonts w:hint="eastAsia" w:ascii="黑体" w:eastAsia="黑体"/>
          <w:color w:val="auto"/>
        </w:rPr>
        <w:t>投</w:t>
      </w:r>
      <w:r>
        <w:rPr>
          <w:rFonts w:hint="eastAsia" w:ascii="黑体" w:eastAsia="黑体"/>
          <w:color w:val="auto"/>
          <w:spacing w:val="-3"/>
        </w:rPr>
        <w:t>标</w:t>
      </w:r>
      <w:r>
        <w:rPr>
          <w:rFonts w:hint="eastAsia" w:ascii="黑体" w:eastAsia="黑体"/>
          <w:color w:val="auto"/>
        </w:rPr>
        <w:t>人</w:t>
      </w:r>
      <w:r>
        <w:rPr>
          <w:rFonts w:hint="eastAsia" w:ascii="黑体" w:eastAsia="黑体"/>
          <w:color w:val="auto"/>
          <w:spacing w:val="-3"/>
        </w:rPr>
        <w:t>：</w:t>
      </w:r>
      <w:r>
        <w:rPr>
          <w:rFonts w:hint="eastAsia" w:ascii="黑体" w:eastAsia="黑体"/>
          <w:color w:val="auto"/>
          <w:spacing w:val="-3"/>
          <w:u w:val="single"/>
        </w:rPr>
        <w:t xml:space="preserve"> </w:t>
      </w:r>
      <w:r>
        <w:rPr>
          <w:rFonts w:hint="eastAsia" w:ascii="黑体" w:eastAsia="黑体"/>
          <w:color w:val="auto"/>
          <w:spacing w:val="-3"/>
          <w:u w:val="single"/>
        </w:rPr>
        <w:tab/>
      </w:r>
      <w:r>
        <w:rPr>
          <w:rFonts w:hint="eastAsia" w:ascii="黑体" w:eastAsia="黑体"/>
          <w:color w:val="auto"/>
        </w:rPr>
        <w:t>（</w:t>
      </w:r>
      <w:r>
        <w:rPr>
          <w:rFonts w:hint="eastAsia" w:ascii="黑体" w:eastAsia="黑体"/>
          <w:color w:val="auto"/>
          <w:spacing w:val="-3"/>
        </w:rPr>
        <w:t>盖</w:t>
      </w:r>
      <w:r>
        <w:rPr>
          <w:rFonts w:hint="eastAsia" w:ascii="黑体" w:eastAsia="黑体"/>
          <w:color w:val="auto"/>
        </w:rPr>
        <w:t>单位</w:t>
      </w:r>
      <w:r>
        <w:rPr>
          <w:rFonts w:hint="eastAsia" w:ascii="黑体" w:eastAsia="黑体"/>
          <w:color w:val="auto"/>
          <w:spacing w:val="-3"/>
        </w:rPr>
        <w:t>章</w:t>
      </w:r>
      <w:r>
        <w:rPr>
          <w:rFonts w:hint="eastAsia" w:ascii="黑体" w:eastAsia="黑体"/>
          <w:color w:val="auto"/>
        </w:rPr>
        <w:t xml:space="preserve">） </w:t>
      </w:r>
      <w:bookmarkStart w:id="99" w:name="法定代表人或其委托代理人：                （签字）"/>
      <w:bookmarkEnd w:id="99"/>
      <w:r>
        <w:rPr>
          <w:rFonts w:hint="eastAsia" w:ascii="黑体" w:eastAsia="黑体"/>
          <w:color w:val="auto"/>
        </w:rPr>
        <w:t>法</w:t>
      </w:r>
      <w:r>
        <w:rPr>
          <w:rFonts w:hint="eastAsia" w:ascii="黑体" w:eastAsia="黑体"/>
          <w:color w:val="auto"/>
          <w:spacing w:val="-3"/>
        </w:rPr>
        <w:t>定</w:t>
      </w:r>
      <w:r>
        <w:rPr>
          <w:rFonts w:hint="eastAsia" w:ascii="黑体" w:eastAsia="黑体"/>
          <w:color w:val="auto"/>
        </w:rPr>
        <w:t>代表</w:t>
      </w:r>
      <w:r>
        <w:rPr>
          <w:rFonts w:hint="eastAsia" w:ascii="黑体" w:eastAsia="黑体"/>
          <w:color w:val="auto"/>
          <w:spacing w:val="-3"/>
        </w:rPr>
        <w:t>人</w:t>
      </w:r>
      <w:r>
        <w:rPr>
          <w:rFonts w:hint="eastAsia" w:ascii="黑体" w:eastAsia="黑体"/>
          <w:color w:val="auto"/>
        </w:rPr>
        <w:t>或其</w:t>
      </w:r>
      <w:r>
        <w:rPr>
          <w:rFonts w:hint="eastAsia" w:ascii="黑体" w:eastAsia="黑体"/>
          <w:color w:val="auto"/>
          <w:spacing w:val="-3"/>
        </w:rPr>
        <w:t>委</w:t>
      </w:r>
      <w:r>
        <w:rPr>
          <w:rFonts w:hint="eastAsia" w:ascii="黑体" w:eastAsia="黑体"/>
          <w:color w:val="auto"/>
        </w:rPr>
        <w:t>托代</w:t>
      </w:r>
      <w:r>
        <w:rPr>
          <w:rFonts w:hint="eastAsia" w:ascii="黑体" w:eastAsia="黑体"/>
          <w:color w:val="auto"/>
          <w:spacing w:val="-3"/>
        </w:rPr>
        <w:t>理</w:t>
      </w:r>
      <w:r>
        <w:rPr>
          <w:rFonts w:hint="eastAsia" w:ascii="黑体" w:eastAsia="黑体"/>
          <w:color w:val="auto"/>
        </w:rPr>
        <w:t>人</w:t>
      </w:r>
      <w:r>
        <w:rPr>
          <w:rFonts w:hint="eastAsia" w:ascii="黑体" w:eastAsia="黑体"/>
          <w:color w:val="auto"/>
          <w:spacing w:val="-3"/>
        </w:rPr>
        <w:t>：</w:t>
      </w:r>
      <w:r>
        <w:rPr>
          <w:rFonts w:hint="eastAsia" w:ascii="黑体" w:eastAsia="黑体"/>
          <w:color w:val="auto"/>
          <w:spacing w:val="-3"/>
          <w:u w:val="single"/>
        </w:rPr>
        <w:t xml:space="preserve"> </w:t>
      </w:r>
      <w:r>
        <w:rPr>
          <w:rFonts w:hint="eastAsia" w:ascii="黑体" w:eastAsia="黑体"/>
          <w:color w:val="auto"/>
          <w:spacing w:val="-3"/>
          <w:u w:val="single"/>
        </w:rPr>
        <w:tab/>
      </w:r>
      <w:r>
        <w:rPr>
          <w:rFonts w:hint="eastAsia" w:ascii="黑体" w:eastAsia="黑体"/>
          <w:color w:val="auto"/>
          <w:spacing w:val="-3"/>
          <w:u w:val="single"/>
        </w:rPr>
        <w:tab/>
      </w:r>
      <w:r>
        <w:rPr>
          <w:rFonts w:hint="eastAsia" w:ascii="黑体" w:eastAsia="黑体"/>
          <w:color w:val="auto"/>
        </w:rPr>
        <w:t>（</w:t>
      </w:r>
      <w:r>
        <w:rPr>
          <w:rFonts w:hint="eastAsia" w:ascii="黑体" w:eastAsia="黑体"/>
          <w:color w:val="auto"/>
          <w:spacing w:val="-3"/>
        </w:rPr>
        <w:t>签</w:t>
      </w:r>
      <w:r>
        <w:rPr>
          <w:rFonts w:hint="eastAsia" w:ascii="黑体" w:eastAsia="黑体"/>
          <w:color w:val="auto"/>
        </w:rPr>
        <w:t>字</w:t>
      </w:r>
      <w:r>
        <w:rPr>
          <w:rFonts w:hint="eastAsia" w:ascii="黑体" w:eastAsia="黑体"/>
          <w:color w:val="auto"/>
          <w:spacing w:val="-15"/>
        </w:rPr>
        <w:t>）</w:t>
      </w:r>
    </w:p>
    <w:p>
      <w:pPr>
        <w:pStyle w:val="4"/>
        <w:tabs>
          <w:tab w:val="left" w:pos="6721"/>
        </w:tabs>
        <w:spacing w:line="358" w:lineRule="exact"/>
        <w:ind w:left="1" w:firstLine="0"/>
        <w:jc w:val="center"/>
        <w:rPr>
          <w:rFonts w:hint="eastAsia" w:ascii="黑体" w:eastAsia="黑体"/>
          <w:color w:val="auto"/>
        </w:rPr>
      </w:pPr>
      <w:bookmarkStart w:id="100" w:name="拟派总监理工程师（项目负责人）：                （签字）"/>
      <w:bookmarkEnd w:id="100"/>
      <w:r>
        <w:rPr>
          <w:rFonts w:hint="eastAsia" w:ascii="黑体" w:eastAsia="黑体"/>
          <w:color w:val="auto"/>
        </w:rPr>
        <w:t>拟</w:t>
      </w:r>
      <w:r>
        <w:rPr>
          <w:rFonts w:hint="eastAsia" w:ascii="黑体" w:eastAsia="黑体"/>
          <w:color w:val="auto"/>
          <w:spacing w:val="-3"/>
        </w:rPr>
        <w:t>派</w:t>
      </w:r>
      <w:r>
        <w:rPr>
          <w:rFonts w:hint="eastAsia" w:ascii="黑体" w:eastAsia="黑体"/>
          <w:color w:val="auto"/>
        </w:rPr>
        <w:t>总监</w:t>
      </w:r>
      <w:r>
        <w:rPr>
          <w:rFonts w:hint="eastAsia" w:ascii="黑体" w:eastAsia="黑体"/>
          <w:color w:val="auto"/>
          <w:spacing w:val="-3"/>
        </w:rPr>
        <w:t>理</w:t>
      </w:r>
      <w:r>
        <w:rPr>
          <w:rFonts w:hint="eastAsia" w:ascii="黑体" w:eastAsia="黑体"/>
          <w:color w:val="auto"/>
        </w:rPr>
        <w:t>工程</w:t>
      </w:r>
      <w:r>
        <w:rPr>
          <w:rFonts w:hint="eastAsia" w:ascii="黑体" w:eastAsia="黑体"/>
          <w:color w:val="auto"/>
          <w:spacing w:val="-3"/>
        </w:rPr>
        <w:t>师</w:t>
      </w:r>
      <w:r>
        <w:rPr>
          <w:rFonts w:hint="eastAsia" w:ascii="黑体" w:eastAsia="黑体"/>
          <w:color w:val="auto"/>
        </w:rPr>
        <w:t>（项</w:t>
      </w:r>
      <w:r>
        <w:rPr>
          <w:rFonts w:hint="eastAsia" w:ascii="黑体" w:eastAsia="黑体"/>
          <w:color w:val="auto"/>
          <w:spacing w:val="-3"/>
        </w:rPr>
        <w:t>目</w:t>
      </w:r>
      <w:r>
        <w:rPr>
          <w:rFonts w:hint="eastAsia" w:ascii="黑体" w:eastAsia="黑体"/>
          <w:color w:val="auto"/>
        </w:rPr>
        <w:t>负责</w:t>
      </w:r>
      <w:r>
        <w:rPr>
          <w:rFonts w:hint="eastAsia" w:ascii="黑体" w:eastAsia="黑体"/>
          <w:color w:val="auto"/>
          <w:spacing w:val="-3"/>
        </w:rPr>
        <w:t>人</w:t>
      </w:r>
      <w:r>
        <w:rPr>
          <w:rFonts w:hint="eastAsia" w:ascii="黑体" w:eastAsia="黑体"/>
          <w:color w:val="auto"/>
        </w:rPr>
        <w:t>）：</w:t>
      </w:r>
      <w:r>
        <w:rPr>
          <w:rFonts w:hint="eastAsia" w:ascii="黑体" w:eastAsia="黑体"/>
          <w:color w:val="auto"/>
          <w:u w:val="single"/>
        </w:rPr>
        <w:t xml:space="preserve"> </w:t>
      </w:r>
      <w:r>
        <w:rPr>
          <w:rFonts w:hint="eastAsia" w:ascii="黑体" w:eastAsia="黑体"/>
          <w:color w:val="auto"/>
          <w:u w:val="single"/>
        </w:rPr>
        <w:tab/>
      </w:r>
      <w:r>
        <w:rPr>
          <w:rFonts w:hint="eastAsia" w:ascii="黑体" w:eastAsia="黑体"/>
          <w:color w:val="auto"/>
        </w:rPr>
        <w:t>（</w:t>
      </w:r>
      <w:r>
        <w:rPr>
          <w:rFonts w:hint="eastAsia" w:ascii="黑体" w:eastAsia="黑体"/>
          <w:color w:val="auto"/>
          <w:spacing w:val="-3"/>
        </w:rPr>
        <w:t>签</w:t>
      </w:r>
      <w:r>
        <w:rPr>
          <w:rFonts w:hint="eastAsia" w:ascii="黑体" w:eastAsia="黑体"/>
          <w:color w:val="auto"/>
        </w:rPr>
        <w:t>字）</w:t>
      </w:r>
    </w:p>
    <w:p>
      <w:pPr>
        <w:pStyle w:val="4"/>
        <w:tabs>
          <w:tab w:val="left" w:pos="1120"/>
          <w:tab w:val="left" w:pos="2519"/>
          <w:tab w:val="left" w:pos="3919"/>
        </w:tabs>
        <w:spacing w:before="186"/>
        <w:ind w:left="0" w:firstLine="0"/>
        <w:jc w:val="center"/>
        <w:rPr>
          <w:rFonts w:hint="eastAsia" w:ascii="黑体" w:eastAsia="黑体"/>
          <w:color w:val="auto"/>
        </w:rPr>
      </w:pPr>
      <w:bookmarkStart w:id="101" w:name="        年        月        日"/>
      <w:bookmarkEnd w:id="101"/>
      <w:r>
        <w:rPr>
          <w:rFonts w:ascii="Times New Roman" w:eastAsia="Times New Roman"/>
          <w:color w:val="auto"/>
          <w:w w:val="100"/>
          <w:u w:val="single"/>
        </w:rPr>
        <w:t xml:space="preserve"> </w:t>
      </w:r>
      <w:r>
        <w:rPr>
          <w:rFonts w:ascii="Times New Roman" w:eastAsia="Times New Roman"/>
          <w:color w:val="auto"/>
          <w:u w:val="single"/>
        </w:rPr>
        <w:tab/>
      </w:r>
      <w:r>
        <w:rPr>
          <w:rFonts w:hint="eastAsia" w:ascii="黑体" w:eastAsia="黑体"/>
          <w:color w:val="auto"/>
          <w:spacing w:val="-3"/>
        </w:rPr>
        <w:t>年</w:t>
      </w:r>
      <w:r>
        <w:rPr>
          <w:rFonts w:hint="eastAsia" w:ascii="黑体" w:eastAsia="黑体"/>
          <w:color w:val="auto"/>
          <w:spacing w:val="-3"/>
          <w:u w:val="single"/>
        </w:rPr>
        <w:t xml:space="preserve"> </w:t>
      </w:r>
      <w:r>
        <w:rPr>
          <w:rFonts w:hint="eastAsia" w:ascii="黑体" w:eastAsia="黑体"/>
          <w:color w:val="auto"/>
          <w:spacing w:val="-3"/>
          <w:u w:val="single"/>
        </w:rPr>
        <w:tab/>
      </w:r>
      <w:r>
        <w:rPr>
          <w:rFonts w:hint="eastAsia" w:ascii="黑体" w:eastAsia="黑体"/>
          <w:color w:val="auto"/>
        </w:rPr>
        <w:t>月</w:t>
      </w:r>
      <w:r>
        <w:rPr>
          <w:rFonts w:hint="eastAsia" w:ascii="黑体" w:eastAsia="黑体"/>
          <w:color w:val="auto"/>
          <w:u w:val="single"/>
        </w:rPr>
        <w:t xml:space="preserve"> </w:t>
      </w:r>
      <w:r>
        <w:rPr>
          <w:rFonts w:hint="eastAsia" w:ascii="黑体" w:eastAsia="黑体"/>
          <w:color w:val="auto"/>
          <w:u w:val="single"/>
        </w:rPr>
        <w:tab/>
      </w:r>
      <w:r>
        <w:rPr>
          <w:rFonts w:hint="eastAsia" w:ascii="黑体" w:eastAsia="黑体"/>
          <w:color w:val="auto"/>
        </w:rPr>
        <w:t>日</w:t>
      </w:r>
    </w:p>
    <w:p>
      <w:pPr>
        <w:spacing w:after="0"/>
        <w:jc w:val="center"/>
        <w:rPr>
          <w:rFonts w:hint="eastAsia" w:ascii="黑体" w:eastAsia="黑体"/>
          <w:color w:val="auto"/>
        </w:rPr>
        <w:sectPr>
          <w:pgSz w:w="11910" w:h="16840"/>
          <w:pgMar w:top="1580" w:right="1020" w:bottom="980" w:left="1020" w:header="0" w:footer="789" w:gutter="0"/>
          <w:pgBorders>
            <w:top w:val="none" w:sz="0" w:space="0"/>
            <w:left w:val="none" w:sz="0" w:space="0"/>
            <w:bottom w:val="none" w:sz="0" w:space="0"/>
            <w:right w:val="none" w:sz="0" w:space="0"/>
          </w:pgBorders>
          <w:pgNumType w:fmt="decimal"/>
          <w:cols w:space="720" w:num="1"/>
        </w:sectPr>
      </w:pPr>
    </w:p>
    <w:p>
      <w:pPr>
        <w:tabs>
          <w:tab w:val="left" w:pos="719"/>
        </w:tabs>
        <w:spacing w:before="21"/>
        <w:ind w:left="0" w:right="0" w:firstLine="0"/>
        <w:jc w:val="center"/>
        <w:rPr>
          <w:color w:val="auto"/>
          <w:sz w:val="36"/>
        </w:rPr>
      </w:pPr>
      <w:bookmarkStart w:id="102" w:name="一、投标函及投标函附录"/>
      <w:bookmarkEnd w:id="102"/>
      <w:r>
        <w:rPr>
          <w:color w:val="auto"/>
          <w:sz w:val="36"/>
        </w:rPr>
        <w:t>目</w:t>
      </w:r>
      <w:r>
        <w:rPr>
          <w:color w:val="auto"/>
          <w:sz w:val="36"/>
        </w:rPr>
        <w:tab/>
      </w:r>
      <w:r>
        <w:rPr>
          <w:color w:val="auto"/>
          <w:sz w:val="36"/>
        </w:rPr>
        <w:t>录</w:t>
      </w:r>
    </w:p>
    <w:p>
      <w:pPr>
        <w:pStyle w:val="7"/>
        <w:spacing w:before="11"/>
        <w:ind w:left="0"/>
        <w:rPr>
          <w:color w:val="auto"/>
          <w:sz w:val="13"/>
        </w:rPr>
      </w:pPr>
    </w:p>
    <w:p>
      <w:pPr>
        <w:pStyle w:val="7"/>
        <w:spacing w:before="67"/>
        <w:rPr>
          <w:color w:val="auto"/>
        </w:rPr>
      </w:pPr>
      <w:bookmarkStart w:id="103" w:name="一、投标函及投标函附录"/>
      <w:bookmarkEnd w:id="103"/>
      <w:r>
        <w:rPr>
          <w:color w:val="auto"/>
        </w:rPr>
        <w:t>一、投标函及投标函附录</w:t>
      </w:r>
    </w:p>
    <w:p>
      <w:pPr>
        <w:pStyle w:val="7"/>
        <w:spacing w:before="10"/>
        <w:ind w:left="0"/>
        <w:rPr>
          <w:color w:val="auto"/>
          <w:sz w:val="23"/>
        </w:rPr>
      </w:pPr>
    </w:p>
    <w:p>
      <w:pPr>
        <w:pStyle w:val="7"/>
        <w:spacing w:line="477" w:lineRule="auto"/>
        <w:ind w:right="3468"/>
        <w:rPr>
          <w:color w:val="auto"/>
        </w:rPr>
      </w:pPr>
      <w:bookmarkStart w:id="104" w:name="二、法定代表人身份证明（适用于无委托代理人的情况）"/>
      <w:bookmarkEnd w:id="104"/>
      <w:r>
        <w:rPr>
          <w:color w:val="auto"/>
        </w:rPr>
        <w:t>二、法定代表人身份证明</w:t>
      </w:r>
      <w:bookmarkStart w:id="105" w:name="三、授权委托书（适用于有委托代理人的情况）"/>
      <w:bookmarkEnd w:id="105"/>
    </w:p>
    <w:p>
      <w:pPr>
        <w:pStyle w:val="7"/>
        <w:spacing w:line="477" w:lineRule="auto"/>
        <w:ind w:right="3468"/>
        <w:rPr>
          <w:color w:val="auto"/>
        </w:rPr>
      </w:pPr>
      <w:r>
        <w:rPr>
          <w:color w:val="auto"/>
        </w:rPr>
        <w:t>三、授权委托书</w:t>
      </w:r>
    </w:p>
    <w:p>
      <w:pPr>
        <w:pStyle w:val="7"/>
        <w:keepNext w:val="0"/>
        <w:keepLines w:val="0"/>
        <w:pageBreakBefore w:val="0"/>
        <w:widowControl w:val="0"/>
        <w:kinsoku/>
        <w:wordWrap/>
        <w:overflowPunct/>
        <w:topLinePunct w:val="0"/>
        <w:autoSpaceDE w:val="0"/>
        <w:autoSpaceDN w:val="0"/>
        <w:bidi w:val="0"/>
        <w:adjustRightInd/>
        <w:snapToGrid/>
        <w:spacing w:line="478" w:lineRule="auto"/>
        <w:ind w:left="397" w:right="0"/>
        <w:textAlignment w:val="auto"/>
        <w:rPr>
          <w:color w:val="auto"/>
        </w:rPr>
      </w:pPr>
      <w:bookmarkStart w:id="106" w:name="四、投标保证金"/>
      <w:bookmarkEnd w:id="106"/>
      <w:r>
        <w:rPr>
          <w:color w:val="auto"/>
        </w:rPr>
        <w:t>四、投标保证金</w:t>
      </w:r>
      <w:bookmarkStart w:id="107" w:name="五、资格审查资料"/>
      <w:bookmarkEnd w:id="107"/>
      <w:r>
        <w:rPr>
          <w:color w:val="auto"/>
        </w:rPr>
        <w:t xml:space="preserve"> </w:t>
      </w:r>
    </w:p>
    <w:p>
      <w:pPr>
        <w:pStyle w:val="7"/>
        <w:keepNext w:val="0"/>
        <w:keepLines w:val="0"/>
        <w:pageBreakBefore w:val="0"/>
        <w:widowControl w:val="0"/>
        <w:kinsoku/>
        <w:wordWrap/>
        <w:overflowPunct/>
        <w:topLinePunct w:val="0"/>
        <w:autoSpaceDE w:val="0"/>
        <w:autoSpaceDN w:val="0"/>
        <w:bidi w:val="0"/>
        <w:adjustRightInd/>
        <w:snapToGrid/>
        <w:spacing w:line="478" w:lineRule="auto"/>
        <w:ind w:left="397" w:right="0"/>
        <w:textAlignment w:val="auto"/>
        <w:rPr>
          <w:color w:val="auto"/>
          <w:spacing w:val="-3"/>
        </w:rPr>
      </w:pPr>
      <w:r>
        <w:rPr>
          <w:color w:val="auto"/>
          <w:spacing w:val="-3"/>
        </w:rPr>
        <w:t>五、资格审查资料</w:t>
      </w:r>
      <w:bookmarkStart w:id="108" w:name="六、监理大纲"/>
      <w:bookmarkEnd w:id="108"/>
    </w:p>
    <w:p>
      <w:pPr>
        <w:pStyle w:val="7"/>
        <w:keepNext w:val="0"/>
        <w:keepLines w:val="0"/>
        <w:pageBreakBefore w:val="0"/>
        <w:widowControl w:val="0"/>
        <w:kinsoku/>
        <w:wordWrap/>
        <w:overflowPunct/>
        <w:topLinePunct w:val="0"/>
        <w:autoSpaceDE w:val="0"/>
        <w:autoSpaceDN w:val="0"/>
        <w:bidi w:val="0"/>
        <w:adjustRightInd/>
        <w:snapToGrid/>
        <w:spacing w:line="478" w:lineRule="auto"/>
        <w:ind w:left="397" w:right="0"/>
        <w:textAlignment w:val="auto"/>
        <w:rPr>
          <w:color w:val="auto"/>
          <w:spacing w:val="-3"/>
        </w:rPr>
      </w:pPr>
      <w:r>
        <w:rPr>
          <w:rFonts w:hint="eastAsia"/>
          <w:color w:val="auto"/>
          <w:spacing w:val="-3"/>
          <w:lang w:val="en-US" w:eastAsia="zh-CN"/>
        </w:rPr>
        <w:t>六、</w:t>
      </w:r>
      <w:r>
        <w:rPr>
          <w:rFonts w:hint="eastAsia"/>
          <w:color w:val="auto"/>
          <w:spacing w:val="-3"/>
          <w:lang w:val="zh-CN" w:eastAsia="zh-CN"/>
        </w:rPr>
        <w:t>商务评审的其他资料</w:t>
      </w:r>
    </w:p>
    <w:p>
      <w:pPr>
        <w:pStyle w:val="7"/>
        <w:spacing w:line="477" w:lineRule="auto"/>
        <w:ind w:right="7548"/>
        <w:rPr>
          <w:color w:val="auto"/>
        </w:rPr>
      </w:pPr>
      <w:r>
        <w:rPr>
          <w:color w:val="auto"/>
        </w:rPr>
        <w:t>七、监理大纲</w:t>
      </w:r>
    </w:p>
    <w:p>
      <w:pPr>
        <w:pStyle w:val="7"/>
        <w:spacing w:line="305" w:lineRule="exact"/>
        <w:rPr>
          <w:color w:val="auto"/>
        </w:rPr>
      </w:pPr>
      <w:bookmarkStart w:id="109" w:name="七、其他资料"/>
      <w:bookmarkEnd w:id="109"/>
      <w:r>
        <w:rPr>
          <w:rFonts w:hint="eastAsia"/>
          <w:color w:val="auto"/>
          <w:lang w:val="en-US" w:eastAsia="zh-CN"/>
        </w:rPr>
        <w:t>八</w:t>
      </w:r>
      <w:r>
        <w:rPr>
          <w:color w:val="auto"/>
        </w:rPr>
        <w:t>、其他资料</w:t>
      </w:r>
    </w:p>
    <w:p>
      <w:pPr>
        <w:spacing w:after="0" w:line="305" w:lineRule="exact"/>
        <w:rPr>
          <w:color w:val="auto"/>
        </w:rPr>
        <w:sectPr>
          <w:footerReference r:id="rId10" w:type="default"/>
          <w:pgSz w:w="11910" w:h="16840"/>
          <w:pgMar w:top="1380" w:right="1020" w:bottom="980" w:left="1020" w:header="0" w:footer="789" w:gutter="0"/>
          <w:pgBorders>
            <w:top w:val="none" w:sz="0" w:space="0"/>
            <w:left w:val="none" w:sz="0" w:space="0"/>
            <w:bottom w:val="none" w:sz="0" w:space="0"/>
            <w:right w:val="none" w:sz="0" w:space="0"/>
          </w:pgBorders>
          <w:pgNumType w:fmt="decimal"/>
          <w:cols w:space="720" w:num="1"/>
        </w:sectPr>
      </w:pPr>
    </w:p>
    <w:p>
      <w:pPr>
        <w:spacing w:before="79"/>
        <w:ind w:left="3" w:right="0" w:firstLine="0"/>
        <w:jc w:val="center"/>
        <w:rPr>
          <w:b/>
          <w:color w:val="auto"/>
          <w:sz w:val="32"/>
        </w:rPr>
      </w:pPr>
      <w:r>
        <w:rPr>
          <w:b/>
          <w:color w:val="auto"/>
          <w:sz w:val="32"/>
        </w:rPr>
        <w:t>一、投标函及投标函附录</w:t>
      </w:r>
    </w:p>
    <w:p>
      <w:pPr>
        <w:spacing w:after="0"/>
        <w:rPr>
          <w:color w:val="auto"/>
          <w:sz w:val="20"/>
        </w:rPr>
        <w:sectPr>
          <w:pgSz w:w="11910" w:h="16840"/>
          <w:pgMar w:top="1580" w:right="1020" w:bottom="980" w:left="1020" w:header="0" w:footer="789" w:gutter="0"/>
          <w:pgBorders>
            <w:top w:val="none" w:sz="0" w:space="0"/>
            <w:left w:val="none" w:sz="0" w:space="0"/>
            <w:bottom w:val="none" w:sz="0" w:space="0"/>
            <w:right w:val="none" w:sz="0" w:space="0"/>
          </w:pgBorders>
          <w:pgNumType w:fmt="decimal"/>
          <w:cols w:space="720" w:num="1"/>
        </w:sectPr>
      </w:pPr>
    </w:p>
    <w:p>
      <w:pPr>
        <w:pStyle w:val="7"/>
        <w:spacing w:before="74"/>
        <w:rPr>
          <w:rFonts w:ascii="Times New Roman" w:eastAsia="Times New Roman"/>
          <w:color w:val="auto"/>
        </w:rPr>
      </w:pPr>
      <w:bookmarkStart w:id="110" w:name="（一）投标函1"/>
      <w:bookmarkEnd w:id="110"/>
      <w:r>
        <w:rPr>
          <w:color w:val="auto"/>
        </w:rPr>
        <w:t>（一）</w:t>
      </w:r>
      <w:r>
        <w:rPr>
          <w:color w:val="auto"/>
          <w:spacing w:val="-15"/>
        </w:rPr>
        <w:t xml:space="preserve">投标函 </w:t>
      </w:r>
      <w:r>
        <w:rPr>
          <w:rFonts w:ascii="Times New Roman" w:eastAsia="Times New Roman"/>
          <w:color w:val="auto"/>
        </w:rPr>
        <w:t>1</w:t>
      </w:r>
    </w:p>
    <w:p>
      <w:pPr>
        <w:pStyle w:val="7"/>
        <w:spacing w:before="11"/>
        <w:ind w:left="0"/>
        <w:rPr>
          <w:rFonts w:ascii="Times New Roman"/>
          <w:color w:val="auto"/>
          <w:sz w:val="41"/>
        </w:rPr>
      </w:pPr>
      <w:r>
        <w:rPr>
          <w:color w:val="auto"/>
        </w:rPr>
        <w:br w:type="column"/>
      </w:r>
    </w:p>
    <w:p>
      <w:pPr>
        <w:spacing w:before="0"/>
        <w:ind w:left="395" w:right="0" w:firstLine="0"/>
        <w:jc w:val="left"/>
        <w:rPr>
          <w:rFonts w:hint="eastAsia" w:ascii="宋体" w:hAnsi="宋体" w:eastAsia="宋体" w:cs="宋体"/>
          <w:b/>
          <w:bCs/>
          <w:color w:val="auto"/>
          <w:sz w:val="36"/>
        </w:rPr>
      </w:pPr>
      <w:bookmarkStart w:id="111" w:name="投标承诺书"/>
      <w:bookmarkEnd w:id="111"/>
      <w:r>
        <w:rPr>
          <w:rFonts w:hint="eastAsia" w:ascii="宋体" w:hAnsi="宋体" w:eastAsia="宋体" w:cs="宋体"/>
          <w:b/>
          <w:bCs/>
          <w:color w:val="auto"/>
          <w:sz w:val="36"/>
        </w:rPr>
        <w:t>投标承诺书</w:t>
      </w:r>
    </w:p>
    <w:p>
      <w:pPr>
        <w:spacing w:after="0"/>
        <w:jc w:val="left"/>
        <w:rPr>
          <w:color w:val="auto"/>
          <w:sz w:val="36"/>
        </w:rPr>
        <w:sectPr>
          <w:type w:val="continuous"/>
          <w:pgSz w:w="11910" w:h="16840"/>
          <w:pgMar w:top="1580" w:right="1020" w:bottom="280" w:left="1020" w:header="720" w:footer="720" w:gutter="0"/>
          <w:pgBorders>
            <w:top w:val="none" w:sz="0" w:space="0"/>
            <w:left w:val="none" w:sz="0" w:space="0"/>
            <w:bottom w:val="none" w:sz="0" w:space="0"/>
            <w:right w:val="none" w:sz="0" w:space="0"/>
          </w:pgBorders>
          <w:pgNumType w:fmt="decimal"/>
          <w:cols w:equalWidth="0" w:num="2">
            <w:col w:w="2057" w:space="1579"/>
            <w:col w:w="6234"/>
          </w:cols>
        </w:sectPr>
      </w:pPr>
    </w:p>
    <w:p>
      <w:pPr>
        <w:pStyle w:val="7"/>
        <w:ind w:left="0"/>
        <w:rPr>
          <w:color w:val="auto"/>
          <w:sz w:val="20"/>
        </w:rPr>
      </w:pPr>
    </w:p>
    <w:p>
      <w:pPr>
        <w:pStyle w:val="7"/>
        <w:spacing w:before="4"/>
        <w:ind w:left="0"/>
        <w:rPr>
          <w:color w:val="auto"/>
          <w:sz w:val="18"/>
        </w:rPr>
      </w:pPr>
    </w:p>
    <w:p>
      <w:pPr>
        <w:pStyle w:val="7"/>
        <w:rPr>
          <w:color w:val="auto"/>
        </w:rPr>
      </w:pPr>
      <w:r>
        <w:rPr>
          <w:rFonts w:hint="eastAsia"/>
          <w:color w:val="auto"/>
          <w:u w:val="single"/>
          <w:lang w:eastAsia="zh-CN"/>
        </w:rPr>
        <w:t>平远县东石镇人民政府</w:t>
      </w:r>
      <w:r>
        <w:rPr>
          <w:color w:val="auto"/>
        </w:rPr>
        <w:t>：</w:t>
      </w:r>
    </w:p>
    <w:p>
      <w:pPr>
        <w:pStyle w:val="7"/>
        <w:spacing w:before="3"/>
        <w:ind w:left="0"/>
        <w:rPr>
          <w:color w:val="auto"/>
          <w:sz w:val="32"/>
        </w:rPr>
      </w:pPr>
    </w:p>
    <w:p>
      <w:pPr>
        <w:pStyle w:val="15"/>
        <w:numPr>
          <w:ilvl w:val="2"/>
          <w:numId w:val="35"/>
        </w:numPr>
        <w:tabs>
          <w:tab w:val="left" w:pos="1237"/>
          <w:tab w:val="left" w:pos="5075"/>
          <w:tab w:val="left" w:pos="9273"/>
        </w:tabs>
        <w:spacing w:before="0" w:after="0" w:line="364" w:lineRule="auto"/>
        <w:ind w:left="395" w:right="389" w:firstLine="480"/>
        <w:jc w:val="both"/>
        <w:rPr>
          <w:color w:val="auto"/>
          <w:sz w:val="24"/>
        </w:rPr>
      </w:pPr>
      <w:r>
        <w:rPr>
          <w:color w:val="auto"/>
          <w:sz w:val="24"/>
        </w:rPr>
        <w:t>我方已仔细研究了</w:t>
      </w:r>
      <w:r>
        <w:rPr>
          <w:color w:val="auto"/>
          <w:sz w:val="24"/>
          <w:u w:val="single"/>
        </w:rPr>
        <w:t xml:space="preserve">   </w:t>
      </w:r>
      <w:r>
        <w:rPr>
          <w:rFonts w:hint="eastAsia" w:ascii="宋体" w:hAnsi="宋体" w:eastAsia="宋体" w:cs="宋体"/>
          <w:b/>
          <w:color w:val="auto"/>
          <w:sz w:val="24"/>
          <w:szCs w:val="24"/>
          <w:highlight w:val="none"/>
          <w:u w:val="single"/>
        </w:rPr>
        <w:t>（项目名称）</w:t>
      </w:r>
      <w:r>
        <w:rPr>
          <w:rFonts w:ascii="Times New Roman" w:eastAsia="Times New Roman"/>
          <w:color w:val="auto"/>
          <w:sz w:val="24"/>
          <w:u w:val="single"/>
        </w:rPr>
        <w:t xml:space="preserve">      </w:t>
      </w:r>
      <w:r>
        <w:rPr>
          <w:rFonts w:ascii="Times New Roman" w:eastAsia="Times New Roman"/>
          <w:color w:val="auto"/>
          <w:spacing w:val="2"/>
          <w:sz w:val="24"/>
        </w:rPr>
        <w:t xml:space="preserve"> </w:t>
      </w:r>
      <w:r>
        <w:rPr>
          <w:color w:val="auto"/>
          <w:sz w:val="24"/>
        </w:rPr>
        <w:t>招标文件的全部内容</w:t>
      </w:r>
      <w:r>
        <w:rPr>
          <w:color w:val="auto"/>
          <w:spacing w:val="-58"/>
          <w:sz w:val="24"/>
        </w:rPr>
        <w:t>，</w:t>
      </w:r>
      <w:r>
        <w:rPr>
          <w:color w:val="auto"/>
          <w:sz w:val="24"/>
        </w:rPr>
        <w:t>愿意以</w:t>
      </w:r>
      <w:r>
        <w:rPr>
          <w:rFonts w:hint="eastAsia"/>
          <w:color w:val="auto"/>
          <w:sz w:val="24"/>
        </w:rPr>
        <w:t>（小写）￥</w:t>
      </w:r>
      <w:r>
        <w:rPr>
          <w:rFonts w:hint="eastAsia"/>
          <w:color w:val="auto"/>
          <w:sz w:val="24"/>
          <w:u w:val="single"/>
        </w:rPr>
        <w:t xml:space="preserve">            </w:t>
      </w:r>
      <w:r>
        <w:rPr>
          <w:rFonts w:hint="eastAsia"/>
          <w:color w:val="auto"/>
          <w:sz w:val="24"/>
        </w:rPr>
        <w:t>，（精确至小数点后两位）（大写）人民币：</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rPr>
        <w:t>的投标报价</w:t>
      </w:r>
      <w:r>
        <w:rPr>
          <w:color w:val="auto"/>
          <w:sz w:val="24"/>
        </w:rPr>
        <w:t>，监理服务期限：</w:t>
      </w:r>
      <w:r>
        <w:rPr>
          <w:color w:val="auto"/>
          <w:sz w:val="24"/>
          <w:u w:val="single"/>
        </w:rPr>
        <w:t xml:space="preserve"> </w:t>
      </w:r>
      <w:r>
        <w:rPr>
          <w:color w:val="auto"/>
          <w:sz w:val="24"/>
          <w:u w:val="single"/>
        </w:rPr>
        <w:tab/>
      </w:r>
      <w:r>
        <w:rPr>
          <w:color w:val="auto"/>
          <w:sz w:val="24"/>
        </w:rPr>
        <w:t>，</w:t>
      </w:r>
      <w:r>
        <w:rPr>
          <w:rFonts w:hint="eastAsia"/>
          <w:color w:val="auto"/>
          <w:sz w:val="24"/>
        </w:rPr>
        <w:t>在规定期限内按照招标文件及监理合同、规范要求完成上述项目的工程监理任务。</w:t>
      </w:r>
    </w:p>
    <w:p>
      <w:pPr>
        <w:pStyle w:val="15"/>
        <w:numPr>
          <w:ilvl w:val="2"/>
          <w:numId w:val="35"/>
        </w:numPr>
        <w:tabs>
          <w:tab w:val="left" w:pos="1116"/>
        </w:tabs>
        <w:spacing w:before="0" w:after="0" w:line="304" w:lineRule="exact"/>
        <w:ind w:left="1116" w:right="0" w:hanging="300"/>
        <w:jc w:val="both"/>
        <w:rPr>
          <w:color w:val="auto"/>
          <w:sz w:val="24"/>
        </w:rPr>
      </w:pPr>
      <w:r>
        <w:rPr>
          <w:color w:val="auto"/>
          <w:sz w:val="24"/>
        </w:rPr>
        <w:t>我方的投标文件包括下列内容：</w:t>
      </w:r>
    </w:p>
    <w:p>
      <w:pPr>
        <w:pStyle w:val="15"/>
        <w:numPr>
          <w:ilvl w:val="0"/>
          <w:numId w:val="36"/>
        </w:numPr>
        <w:tabs>
          <w:tab w:val="left" w:pos="1398"/>
        </w:tabs>
        <w:spacing w:before="160" w:after="0" w:line="240" w:lineRule="auto"/>
        <w:ind w:left="1397" w:right="0" w:hanging="602"/>
        <w:jc w:val="left"/>
        <w:rPr>
          <w:color w:val="auto"/>
          <w:sz w:val="24"/>
        </w:rPr>
      </w:pPr>
      <w:bookmarkStart w:id="112" w:name="（1）投标函及投标函附录；"/>
      <w:bookmarkEnd w:id="112"/>
      <w:bookmarkStart w:id="113" w:name="（1）投标函及投标函附录；"/>
      <w:bookmarkEnd w:id="113"/>
      <w:r>
        <w:rPr>
          <w:color w:val="auto"/>
          <w:sz w:val="24"/>
        </w:rPr>
        <w:t>投标函及投标函附录；</w:t>
      </w:r>
    </w:p>
    <w:p>
      <w:pPr>
        <w:pStyle w:val="15"/>
        <w:numPr>
          <w:ilvl w:val="0"/>
          <w:numId w:val="36"/>
        </w:numPr>
        <w:tabs>
          <w:tab w:val="left" w:pos="1398"/>
        </w:tabs>
        <w:spacing w:before="161" w:after="0" w:line="240" w:lineRule="auto"/>
        <w:ind w:left="1397" w:right="0" w:hanging="602"/>
        <w:jc w:val="left"/>
        <w:rPr>
          <w:color w:val="auto"/>
          <w:sz w:val="24"/>
        </w:rPr>
      </w:pPr>
      <w:bookmarkStart w:id="114" w:name="（2）法定代表人身份证明或授权委托书；"/>
      <w:bookmarkEnd w:id="114"/>
      <w:bookmarkStart w:id="115" w:name="（2）法定代表人身份证明或授权委托书；"/>
      <w:bookmarkEnd w:id="115"/>
      <w:r>
        <w:rPr>
          <w:color w:val="auto"/>
          <w:sz w:val="24"/>
        </w:rPr>
        <w:t>法定代表人身份证明</w:t>
      </w:r>
      <w:r>
        <w:rPr>
          <w:rFonts w:hint="eastAsia"/>
          <w:color w:val="auto"/>
          <w:sz w:val="24"/>
          <w:lang w:eastAsia="zh-CN"/>
        </w:rPr>
        <w:t>；</w:t>
      </w:r>
    </w:p>
    <w:p>
      <w:pPr>
        <w:pStyle w:val="15"/>
        <w:numPr>
          <w:ilvl w:val="0"/>
          <w:numId w:val="36"/>
        </w:numPr>
        <w:tabs>
          <w:tab w:val="left" w:pos="1398"/>
        </w:tabs>
        <w:spacing w:before="161" w:after="0" w:line="240" w:lineRule="auto"/>
        <w:ind w:left="1397" w:right="0" w:hanging="602"/>
        <w:jc w:val="left"/>
        <w:rPr>
          <w:color w:val="auto"/>
          <w:sz w:val="24"/>
        </w:rPr>
      </w:pPr>
      <w:r>
        <w:rPr>
          <w:color w:val="auto"/>
          <w:sz w:val="24"/>
        </w:rPr>
        <w:t>授权委托书；</w:t>
      </w:r>
    </w:p>
    <w:p>
      <w:pPr>
        <w:pStyle w:val="15"/>
        <w:numPr>
          <w:ilvl w:val="0"/>
          <w:numId w:val="36"/>
        </w:numPr>
        <w:tabs>
          <w:tab w:val="left" w:pos="1398"/>
        </w:tabs>
        <w:spacing w:before="158" w:after="0" w:line="240" w:lineRule="auto"/>
        <w:ind w:left="1397" w:right="0" w:hanging="602"/>
        <w:jc w:val="left"/>
        <w:rPr>
          <w:color w:val="auto"/>
          <w:sz w:val="24"/>
        </w:rPr>
      </w:pPr>
      <w:bookmarkStart w:id="116" w:name="（3）投标保证金；"/>
      <w:bookmarkEnd w:id="116"/>
      <w:bookmarkStart w:id="117" w:name="（3）投标保证金；"/>
      <w:bookmarkEnd w:id="117"/>
      <w:r>
        <w:rPr>
          <w:color w:val="auto"/>
          <w:sz w:val="24"/>
        </w:rPr>
        <w:t>投标保证金；</w:t>
      </w:r>
    </w:p>
    <w:p>
      <w:pPr>
        <w:pStyle w:val="15"/>
        <w:numPr>
          <w:ilvl w:val="0"/>
          <w:numId w:val="36"/>
        </w:numPr>
        <w:tabs>
          <w:tab w:val="left" w:pos="1398"/>
        </w:tabs>
        <w:spacing w:before="161" w:after="0" w:line="240" w:lineRule="auto"/>
        <w:ind w:left="1397" w:right="0" w:hanging="602"/>
        <w:jc w:val="left"/>
        <w:rPr>
          <w:color w:val="auto"/>
          <w:sz w:val="24"/>
        </w:rPr>
      </w:pPr>
      <w:bookmarkStart w:id="118" w:name="（4）资格审查资料；"/>
      <w:bookmarkEnd w:id="118"/>
      <w:bookmarkStart w:id="119" w:name="（4）资格审查资料；"/>
      <w:bookmarkEnd w:id="119"/>
      <w:r>
        <w:rPr>
          <w:color w:val="auto"/>
          <w:sz w:val="24"/>
        </w:rPr>
        <w:t>资格审查资料；</w:t>
      </w:r>
    </w:p>
    <w:p>
      <w:pPr>
        <w:pStyle w:val="15"/>
        <w:numPr>
          <w:ilvl w:val="0"/>
          <w:numId w:val="36"/>
        </w:numPr>
        <w:tabs>
          <w:tab w:val="left" w:pos="1398"/>
        </w:tabs>
        <w:spacing w:before="158" w:after="0" w:line="240" w:lineRule="auto"/>
        <w:ind w:left="1397" w:right="0" w:hanging="602"/>
        <w:jc w:val="left"/>
        <w:rPr>
          <w:color w:val="auto"/>
          <w:sz w:val="24"/>
        </w:rPr>
      </w:pPr>
      <w:bookmarkStart w:id="120" w:name="（5）监理大纲。"/>
      <w:bookmarkEnd w:id="120"/>
      <w:bookmarkStart w:id="121" w:name="（5）监理大纲。"/>
      <w:bookmarkEnd w:id="121"/>
      <w:r>
        <w:rPr>
          <w:rFonts w:hint="eastAsia"/>
          <w:color w:val="auto"/>
          <w:spacing w:val="-3"/>
          <w:lang w:val="zh-CN" w:eastAsia="zh-CN"/>
        </w:rPr>
        <w:t>商务评审的其他资料；</w:t>
      </w:r>
    </w:p>
    <w:p>
      <w:pPr>
        <w:pStyle w:val="15"/>
        <w:numPr>
          <w:ilvl w:val="0"/>
          <w:numId w:val="36"/>
        </w:numPr>
        <w:tabs>
          <w:tab w:val="left" w:pos="1398"/>
        </w:tabs>
        <w:spacing w:before="158" w:after="0" w:line="240" w:lineRule="auto"/>
        <w:ind w:left="1397" w:right="0" w:hanging="602"/>
        <w:jc w:val="left"/>
        <w:rPr>
          <w:color w:val="auto"/>
          <w:sz w:val="24"/>
        </w:rPr>
      </w:pPr>
      <w:r>
        <w:rPr>
          <w:color w:val="auto"/>
          <w:sz w:val="24"/>
        </w:rPr>
        <w:t>监理大纲。</w:t>
      </w:r>
    </w:p>
    <w:p>
      <w:pPr>
        <w:pStyle w:val="7"/>
        <w:spacing w:before="160"/>
        <w:ind w:left="816"/>
        <w:rPr>
          <w:color w:val="auto"/>
        </w:rPr>
      </w:pPr>
      <w:r>
        <w:rPr>
          <w:color w:val="auto"/>
        </w:rPr>
        <w:t>投标文件的上述组成部分如存在内容不一致的，以投标函为准。</w:t>
      </w:r>
    </w:p>
    <w:p>
      <w:pPr>
        <w:pStyle w:val="15"/>
        <w:numPr>
          <w:ilvl w:val="2"/>
          <w:numId w:val="35"/>
        </w:numPr>
        <w:tabs>
          <w:tab w:val="left" w:pos="1177"/>
        </w:tabs>
        <w:spacing w:before="158" w:after="0" w:line="240" w:lineRule="auto"/>
        <w:ind w:left="1177" w:right="0" w:hanging="361"/>
        <w:jc w:val="left"/>
        <w:rPr>
          <w:color w:val="auto"/>
          <w:sz w:val="24"/>
        </w:rPr>
      </w:pPr>
      <w:r>
        <w:rPr>
          <w:color w:val="auto"/>
          <w:sz w:val="24"/>
        </w:rPr>
        <w:t>我方承诺在招标文件规定的投标有效期内不撤销投标文件。</w:t>
      </w:r>
    </w:p>
    <w:p>
      <w:pPr>
        <w:pStyle w:val="15"/>
        <w:numPr>
          <w:ilvl w:val="2"/>
          <w:numId w:val="35"/>
        </w:numPr>
        <w:tabs>
          <w:tab w:val="left" w:pos="1177"/>
        </w:tabs>
        <w:spacing w:before="161" w:after="0" w:line="240" w:lineRule="auto"/>
        <w:ind w:left="1177" w:right="0" w:hanging="361"/>
        <w:jc w:val="left"/>
        <w:rPr>
          <w:color w:val="auto"/>
          <w:sz w:val="24"/>
        </w:rPr>
      </w:pPr>
      <w:r>
        <w:rPr>
          <w:color w:val="auto"/>
          <w:sz w:val="24"/>
        </w:rPr>
        <w:t>如我方中标，我方承诺：</w:t>
      </w:r>
    </w:p>
    <w:p>
      <w:pPr>
        <w:pStyle w:val="15"/>
        <w:numPr>
          <w:ilvl w:val="3"/>
          <w:numId w:val="35"/>
        </w:numPr>
        <w:tabs>
          <w:tab w:val="left" w:pos="1837"/>
        </w:tabs>
        <w:spacing w:before="158" w:after="0" w:line="240" w:lineRule="auto"/>
        <w:ind w:left="1837" w:right="0" w:hanging="601"/>
        <w:jc w:val="left"/>
        <w:rPr>
          <w:color w:val="auto"/>
          <w:sz w:val="24"/>
        </w:rPr>
      </w:pPr>
      <w:r>
        <w:rPr>
          <w:color w:val="auto"/>
          <w:sz w:val="24"/>
        </w:rPr>
        <w:t>在收到中标通知书后，在中标通知书规定的期限内与你方签订合同；</w:t>
      </w:r>
    </w:p>
    <w:p>
      <w:pPr>
        <w:pStyle w:val="15"/>
        <w:numPr>
          <w:ilvl w:val="3"/>
          <w:numId w:val="35"/>
        </w:numPr>
        <w:tabs>
          <w:tab w:val="left" w:pos="1837"/>
        </w:tabs>
        <w:spacing w:before="160" w:after="0" w:line="240" w:lineRule="auto"/>
        <w:ind w:left="1837" w:right="0" w:hanging="601"/>
        <w:jc w:val="left"/>
        <w:rPr>
          <w:color w:val="auto"/>
          <w:sz w:val="24"/>
        </w:rPr>
      </w:pPr>
      <w:r>
        <w:rPr>
          <w:color w:val="auto"/>
          <w:sz w:val="24"/>
        </w:rPr>
        <w:t>在签订合同时不向你方提出附加条件；</w:t>
      </w:r>
    </w:p>
    <w:p>
      <w:pPr>
        <w:pStyle w:val="15"/>
        <w:numPr>
          <w:ilvl w:val="3"/>
          <w:numId w:val="35"/>
        </w:numPr>
        <w:tabs>
          <w:tab w:val="left" w:pos="1837"/>
        </w:tabs>
        <w:spacing w:before="158" w:after="0" w:line="240" w:lineRule="auto"/>
        <w:ind w:left="1837" w:right="0" w:hanging="601"/>
        <w:jc w:val="left"/>
        <w:rPr>
          <w:color w:val="auto"/>
          <w:sz w:val="24"/>
        </w:rPr>
      </w:pPr>
      <w:r>
        <w:rPr>
          <w:color w:val="auto"/>
          <w:sz w:val="24"/>
        </w:rPr>
        <w:t>按照招标文件要求提交履约保证金；</w:t>
      </w:r>
    </w:p>
    <w:p>
      <w:pPr>
        <w:pStyle w:val="15"/>
        <w:numPr>
          <w:ilvl w:val="3"/>
          <w:numId w:val="35"/>
        </w:numPr>
        <w:tabs>
          <w:tab w:val="left" w:pos="1837"/>
        </w:tabs>
        <w:spacing w:before="161" w:after="0" w:line="240" w:lineRule="auto"/>
        <w:ind w:left="1837" w:right="0" w:hanging="601"/>
        <w:jc w:val="left"/>
        <w:rPr>
          <w:color w:val="auto"/>
          <w:sz w:val="24"/>
        </w:rPr>
      </w:pPr>
      <w:r>
        <w:rPr>
          <w:color w:val="auto"/>
          <w:sz w:val="24"/>
        </w:rPr>
        <w:t>在合同约定的期限内完成合同规定的全部义务。</w:t>
      </w:r>
    </w:p>
    <w:p>
      <w:pPr>
        <w:pStyle w:val="15"/>
        <w:numPr>
          <w:ilvl w:val="2"/>
          <w:numId w:val="35"/>
        </w:numPr>
        <w:tabs>
          <w:tab w:val="left" w:pos="1177"/>
        </w:tabs>
        <w:spacing w:before="160" w:after="0" w:line="362" w:lineRule="auto"/>
        <w:ind w:left="816" w:right="392" w:firstLine="0"/>
        <w:jc w:val="left"/>
        <w:rPr>
          <w:color w:val="auto"/>
          <w:sz w:val="24"/>
        </w:rPr>
      </w:pPr>
      <w:r>
        <w:rPr>
          <w:color w:val="auto"/>
          <w:spacing w:val="-6"/>
          <w:sz w:val="24"/>
        </w:rPr>
        <w:t>我方在此声明，所递交的投标文件及有关资料内容完整、真实和准确，且不存</w:t>
      </w:r>
      <w:r>
        <w:rPr>
          <w:color w:val="auto"/>
          <w:spacing w:val="-4"/>
          <w:sz w:val="24"/>
        </w:rPr>
        <w:t>在第二章</w:t>
      </w:r>
      <w:r>
        <w:rPr>
          <w:rFonts w:ascii="Times New Roman" w:hAnsi="Times New Roman" w:eastAsia="Times New Roman"/>
          <w:color w:val="auto"/>
          <w:sz w:val="24"/>
        </w:rPr>
        <w:t>“</w:t>
      </w:r>
      <w:r>
        <w:rPr>
          <w:color w:val="auto"/>
          <w:sz w:val="24"/>
        </w:rPr>
        <w:t>投标人须知</w:t>
      </w:r>
      <w:r>
        <w:rPr>
          <w:rFonts w:ascii="Times New Roman" w:hAnsi="Times New Roman" w:eastAsia="Times New Roman"/>
          <w:color w:val="auto"/>
          <w:sz w:val="24"/>
        </w:rPr>
        <w:t>”</w:t>
      </w:r>
      <w:r>
        <w:rPr>
          <w:color w:val="auto"/>
          <w:sz w:val="24"/>
        </w:rPr>
        <w:t xml:space="preserve">第 </w:t>
      </w:r>
      <w:r>
        <w:rPr>
          <w:rFonts w:ascii="Times New Roman" w:hAnsi="Times New Roman" w:eastAsia="Times New Roman"/>
          <w:color w:val="auto"/>
          <w:sz w:val="24"/>
        </w:rPr>
        <w:t xml:space="preserve">1.4.3 </w:t>
      </w:r>
      <w:r>
        <w:rPr>
          <w:color w:val="auto"/>
          <w:sz w:val="24"/>
        </w:rPr>
        <w:t>项规定的任何一种情形。</w:t>
      </w:r>
    </w:p>
    <w:p>
      <w:pPr>
        <w:pStyle w:val="7"/>
        <w:spacing w:before="6"/>
        <w:ind w:left="0"/>
        <w:rPr>
          <w:color w:val="auto"/>
          <w:sz w:val="21"/>
          <w:szCs w:val="18"/>
        </w:rPr>
      </w:pPr>
    </w:p>
    <w:p>
      <w:pPr>
        <w:pStyle w:val="7"/>
        <w:tabs>
          <w:tab w:val="left" w:pos="8075"/>
          <w:tab w:val="left" w:pos="8555"/>
        </w:tabs>
        <w:spacing w:before="1" w:line="364" w:lineRule="auto"/>
        <w:ind w:left="4236" w:right="348"/>
        <w:rPr>
          <w:color w:val="auto"/>
        </w:rPr>
      </w:pPr>
      <w:r>
        <w:rPr>
          <w:color w:val="auto"/>
        </w:rPr>
        <w:t>投 标 人：</w:t>
      </w:r>
      <w:r>
        <w:rPr>
          <w:color w:val="auto"/>
          <w:u w:val="single"/>
        </w:rPr>
        <w:t xml:space="preserve"> </w:t>
      </w:r>
      <w:r>
        <w:rPr>
          <w:color w:val="auto"/>
          <w:u w:val="single"/>
        </w:rPr>
        <w:tab/>
      </w:r>
      <w:r>
        <w:rPr>
          <w:color w:val="auto"/>
        </w:rPr>
        <w:t>（盖单位章</w:t>
      </w:r>
      <w:r>
        <w:rPr>
          <w:color w:val="auto"/>
          <w:spacing w:val="-18"/>
        </w:rPr>
        <w:t xml:space="preserve">） </w:t>
      </w:r>
      <w:r>
        <w:rPr>
          <w:color w:val="auto"/>
        </w:rPr>
        <w:t>法定代表人或其委托代理人：</w:t>
      </w:r>
      <w:r>
        <w:rPr>
          <w:color w:val="auto"/>
          <w:u w:val="single"/>
        </w:rPr>
        <w:t xml:space="preserve"> </w:t>
      </w:r>
      <w:r>
        <w:rPr>
          <w:color w:val="auto"/>
          <w:u w:val="single"/>
        </w:rPr>
        <w:tab/>
      </w:r>
      <w:r>
        <w:rPr>
          <w:color w:val="auto"/>
          <w:u w:val="single"/>
        </w:rPr>
        <w:tab/>
      </w:r>
      <w:r>
        <w:rPr>
          <w:color w:val="auto"/>
        </w:rPr>
        <w:t>（签字</w:t>
      </w:r>
      <w:r>
        <w:rPr>
          <w:color w:val="auto"/>
          <w:spacing w:val="-18"/>
        </w:rPr>
        <w:t>）</w:t>
      </w:r>
    </w:p>
    <w:p>
      <w:pPr>
        <w:pStyle w:val="7"/>
        <w:tabs>
          <w:tab w:val="left" w:pos="6515"/>
          <w:tab w:val="left" w:pos="7115"/>
          <w:tab w:val="left" w:pos="7835"/>
        </w:tabs>
        <w:spacing w:line="306" w:lineRule="exact"/>
        <w:ind w:left="5916"/>
        <w:rPr>
          <w:color w:val="auto"/>
        </w:rPr>
        <w:sectPr>
          <w:type w:val="continuous"/>
          <w:pgSz w:w="11910" w:h="16840"/>
          <w:pgMar w:top="1580" w:right="1020" w:bottom="280" w:left="1020" w:header="720" w:footer="720" w:gutter="0"/>
          <w:pgBorders>
            <w:top w:val="none" w:sz="0" w:space="0"/>
            <w:left w:val="none" w:sz="0" w:space="0"/>
            <w:bottom w:val="none" w:sz="0" w:space="0"/>
            <w:right w:val="none" w:sz="0" w:space="0"/>
          </w:pgBorders>
          <w:pgNumType w:fmt="decimal"/>
          <w:cols w:space="720" w:num="1"/>
        </w:sectPr>
      </w:pPr>
      <w:r>
        <w:rPr>
          <w:rFonts w:ascii="Times New Roman" w:eastAsia="Times New Roman"/>
          <w:color w:val="auto"/>
          <w:u w:val="single"/>
        </w:rPr>
        <w:t xml:space="preserve"> </w:t>
      </w:r>
      <w:r>
        <w:rPr>
          <w:rFonts w:ascii="Times New Roman" w:eastAsia="Times New Roman"/>
          <w:color w:val="auto"/>
          <w:u w:val="single"/>
        </w:rPr>
        <w:tab/>
      </w:r>
      <w:r>
        <w:rPr>
          <w:color w:val="auto"/>
          <w:u w:val="single"/>
        </w:rPr>
        <w:t>年</w:t>
      </w:r>
      <w:r>
        <w:rPr>
          <w:color w:val="auto"/>
          <w:u w:val="single"/>
        </w:rPr>
        <w:tab/>
      </w:r>
      <w:r>
        <w:rPr>
          <w:color w:val="auto"/>
          <w:u w:val="single"/>
        </w:rPr>
        <w:t>月</w:t>
      </w:r>
      <w:r>
        <w:rPr>
          <w:color w:val="auto"/>
          <w:u w:val="single"/>
        </w:rPr>
        <w:tab/>
      </w:r>
      <w:r>
        <w:rPr>
          <w:color w:val="auto"/>
          <w:u w:val="single"/>
        </w:rPr>
        <w:t>日</w:t>
      </w:r>
    </w:p>
    <w:p>
      <w:pPr>
        <w:pStyle w:val="4"/>
        <w:spacing w:before="62"/>
        <w:ind w:left="616" w:firstLine="0"/>
        <w:rPr>
          <w:color w:val="auto"/>
        </w:rPr>
      </w:pPr>
      <w:r>
        <w:rPr>
          <w:color w:val="auto"/>
        </w:rPr>
        <w:t>（二）投标函附录</w:t>
      </w:r>
    </w:p>
    <w:p>
      <w:pPr>
        <w:pStyle w:val="7"/>
        <w:ind w:left="0"/>
        <w:rPr>
          <w:color w:val="auto"/>
          <w:sz w:val="20"/>
        </w:rPr>
      </w:pPr>
    </w:p>
    <w:p>
      <w:pPr>
        <w:pStyle w:val="7"/>
        <w:spacing w:before="7"/>
        <w:ind w:left="0"/>
        <w:rPr>
          <w:color w:val="auto"/>
          <w:sz w:val="22"/>
        </w:rPr>
      </w:pPr>
    </w:p>
    <w:tbl>
      <w:tblPr>
        <w:tblStyle w:val="12"/>
        <w:tblW w:w="0" w:type="auto"/>
        <w:tblInd w:w="14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8"/>
        <w:gridCol w:w="2372"/>
        <w:gridCol w:w="2160"/>
        <w:gridCol w:w="14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028" w:type="dxa"/>
          </w:tcPr>
          <w:p>
            <w:pPr>
              <w:pStyle w:val="16"/>
              <w:spacing w:before="136"/>
              <w:ind w:left="251" w:right="235"/>
              <w:jc w:val="center"/>
              <w:rPr>
                <w:b/>
                <w:color w:val="auto"/>
                <w:sz w:val="24"/>
              </w:rPr>
            </w:pPr>
            <w:r>
              <w:rPr>
                <w:b/>
                <w:color w:val="auto"/>
                <w:sz w:val="24"/>
              </w:rPr>
              <w:t>序号</w:t>
            </w:r>
          </w:p>
        </w:tc>
        <w:tc>
          <w:tcPr>
            <w:tcW w:w="2372" w:type="dxa"/>
          </w:tcPr>
          <w:p>
            <w:pPr>
              <w:pStyle w:val="16"/>
              <w:spacing w:before="136"/>
              <w:ind w:left="445" w:right="423"/>
              <w:jc w:val="center"/>
              <w:rPr>
                <w:b/>
                <w:color w:val="auto"/>
                <w:sz w:val="24"/>
              </w:rPr>
            </w:pPr>
            <w:r>
              <w:rPr>
                <w:b/>
                <w:color w:val="auto"/>
                <w:sz w:val="24"/>
              </w:rPr>
              <w:t>条款名称</w:t>
            </w:r>
          </w:p>
        </w:tc>
        <w:tc>
          <w:tcPr>
            <w:tcW w:w="2160" w:type="dxa"/>
          </w:tcPr>
          <w:p>
            <w:pPr>
              <w:pStyle w:val="16"/>
              <w:spacing w:before="136"/>
              <w:ind w:left="602"/>
              <w:rPr>
                <w:b/>
                <w:color w:val="auto"/>
                <w:sz w:val="24"/>
              </w:rPr>
            </w:pPr>
            <w:r>
              <w:rPr>
                <w:b/>
                <w:color w:val="auto"/>
                <w:sz w:val="24"/>
              </w:rPr>
              <w:t>约定内容</w:t>
            </w:r>
          </w:p>
        </w:tc>
        <w:tc>
          <w:tcPr>
            <w:tcW w:w="1480" w:type="dxa"/>
          </w:tcPr>
          <w:p>
            <w:pPr>
              <w:pStyle w:val="16"/>
              <w:spacing w:before="136"/>
              <w:ind w:left="501"/>
              <w:rPr>
                <w:b/>
                <w:color w:val="auto"/>
                <w:sz w:val="24"/>
              </w:rPr>
            </w:pPr>
            <w:r>
              <w:rPr>
                <w:b/>
                <w:color w:val="auto"/>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8" w:type="dxa"/>
          </w:tcPr>
          <w:p>
            <w:pPr>
              <w:pStyle w:val="16"/>
              <w:spacing w:before="137"/>
              <w:ind w:left="16"/>
              <w:jc w:val="center"/>
              <w:rPr>
                <w:color w:val="auto"/>
                <w:sz w:val="24"/>
              </w:rPr>
            </w:pPr>
            <w:r>
              <w:rPr>
                <w:color w:val="auto"/>
                <w:w w:val="92"/>
                <w:sz w:val="24"/>
              </w:rPr>
              <w:t>1</w:t>
            </w:r>
          </w:p>
        </w:tc>
        <w:tc>
          <w:tcPr>
            <w:tcW w:w="2372" w:type="dxa"/>
          </w:tcPr>
          <w:p>
            <w:pPr>
              <w:pStyle w:val="16"/>
              <w:spacing w:before="137"/>
              <w:ind w:left="445" w:right="426"/>
              <w:jc w:val="center"/>
              <w:rPr>
                <w:color w:val="auto"/>
                <w:sz w:val="24"/>
              </w:rPr>
            </w:pPr>
            <w:r>
              <w:rPr>
                <w:color w:val="auto"/>
                <w:sz w:val="24"/>
              </w:rPr>
              <w:t>总监理工程师</w:t>
            </w:r>
          </w:p>
        </w:tc>
        <w:tc>
          <w:tcPr>
            <w:tcW w:w="2160" w:type="dxa"/>
          </w:tcPr>
          <w:p>
            <w:pPr>
              <w:pStyle w:val="16"/>
              <w:spacing w:before="137"/>
              <w:ind w:left="9"/>
              <w:rPr>
                <w:color w:val="auto"/>
                <w:sz w:val="24"/>
              </w:rPr>
            </w:pPr>
            <w:r>
              <w:rPr>
                <w:color w:val="auto"/>
                <w:sz w:val="24"/>
              </w:rPr>
              <w:t>姓名：</w:t>
            </w:r>
          </w:p>
        </w:tc>
        <w:tc>
          <w:tcPr>
            <w:tcW w:w="1480" w:type="dxa"/>
          </w:tcPr>
          <w:p>
            <w:pPr>
              <w:pStyle w:val="16"/>
              <w:rPr>
                <w:rFonts w:ascii="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028" w:type="dxa"/>
          </w:tcPr>
          <w:p>
            <w:pPr>
              <w:pStyle w:val="16"/>
              <w:spacing w:before="135"/>
              <w:ind w:left="16"/>
              <w:jc w:val="center"/>
              <w:rPr>
                <w:color w:val="auto"/>
                <w:sz w:val="24"/>
              </w:rPr>
            </w:pPr>
            <w:r>
              <w:rPr>
                <w:color w:val="auto"/>
                <w:w w:val="92"/>
                <w:sz w:val="24"/>
              </w:rPr>
              <w:t>2</w:t>
            </w:r>
          </w:p>
        </w:tc>
        <w:tc>
          <w:tcPr>
            <w:tcW w:w="2372" w:type="dxa"/>
          </w:tcPr>
          <w:p>
            <w:pPr>
              <w:pStyle w:val="16"/>
              <w:spacing w:before="135"/>
              <w:ind w:left="445" w:right="426"/>
              <w:jc w:val="center"/>
              <w:rPr>
                <w:color w:val="auto"/>
                <w:sz w:val="24"/>
              </w:rPr>
            </w:pPr>
            <w:r>
              <w:rPr>
                <w:color w:val="auto"/>
                <w:sz w:val="24"/>
              </w:rPr>
              <w:t>监理服务期限</w:t>
            </w:r>
          </w:p>
        </w:tc>
        <w:tc>
          <w:tcPr>
            <w:tcW w:w="2160" w:type="dxa"/>
          </w:tcPr>
          <w:p>
            <w:pPr>
              <w:pStyle w:val="16"/>
              <w:rPr>
                <w:rFonts w:ascii="Times New Roman"/>
                <w:color w:val="auto"/>
                <w:sz w:val="24"/>
              </w:rPr>
            </w:pPr>
          </w:p>
        </w:tc>
        <w:tc>
          <w:tcPr>
            <w:tcW w:w="1480" w:type="dxa"/>
          </w:tcPr>
          <w:p>
            <w:pPr>
              <w:pStyle w:val="16"/>
              <w:rPr>
                <w:rFonts w:ascii="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8" w:type="dxa"/>
          </w:tcPr>
          <w:p>
            <w:pPr>
              <w:pStyle w:val="16"/>
              <w:spacing w:before="136"/>
              <w:ind w:left="16"/>
              <w:jc w:val="center"/>
              <w:rPr>
                <w:color w:val="auto"/>
                <w:sz w:val="24"/>
              </w:rPr>
            </w:pPr>
            <w:r>
              <w:rPr>
                <w:color w:val="auto"/>
                <w:w w:val="92"/>
                <w:sz w:val="24"/>
              </w:rPr>
              <w:t>3</w:t>
            </w:r>
          </w:p>
        </w:tc>
        <w:tc>
          <w:tcPr>
            <w:tcW w:w="2372" w:type="dxa"/>
          </w:tcPr>
          <w:p>
            <w:pPr>
              <w:pStyle w:val="16"/>
              <w:spacing w:before="136"/>
              <w:ind w:left="445" w:right="426"/>
              <w:jc w:val="center"/>
              <w:rPr>
                <w:color w:val="auto"/>
                <w:sz w:val="24"/>
              </w:rPr>
            </w:pPr>
            <w:r>
              <w:rPr>
                <w:color w:val="auto"/>
                <w:sz w:val="24"/>
              </w:rPr>
              <w:t>投标有效期</w:t>
            </w:r>
          </w:p>
        </w:tc>
        <w:tc>
          <w:tcPr>
            <w:tcW w:w="2160" w:type="dxa"/>
          </w:tcPr>
          <w:p>
            <w:pPr>
              <w:pStyle w:val="16"/>
              <w:rPr>
                <w:rFonts w:ascii="Times New Roman"/>
                <w:color w:val="auto"/>
                <w:sz w:val="24"/>
              </w:rPr>
            </w:pPr>
          </w:p>
        </w:tc>
        <w:tc>
          <w:tcPr>
            <w:tcW w:w="1480" w:type="dxa"/>
          </w:tcPr>
          <w:p>
            <w:pPr>
              <w:pStyle w:val="16"/>
              <w:rPr>
                <w:rFonts w:ascii="Times New Roman"/>
                <w:color w:val="auto"/>
                <w:sz w:val="24"/>
              </w:rPr>
            </w:pPr>
          </w:p>
        </w:tc>
      </w:tr>
    </w:tbl>
    <w:p>
      <w:pPr>
        <w:pStyle w:val="7"/>
        <w:ind w:left="0"/>
        <w:rPr>
          <w:color w:val="auto"/>
          <w:sz w:val="20"/>
        </w:rPr>
      </w:pPr>
    </w:p>
    <w:p>
      <w:pPr>
        <w:pStyle w:val="7"/>
        <w:spacing w:before="12"/>
        <w:ind w:left="0"/>
        <w:rPr>
          <w:color w:val="auto"/>
          <w:sz w:val="28"/>
        </w:rPr>
      </w:pPr>
    </w:p>
    <w:p>
      <w:pPr>
        <w:pStyle w:val="7"/>
        <w:tabs>
          <w:tab w:val="left" w:pos="8075"/>
          <w:tab w:val="left" w:pos="8555"/>
        </w:tabs>
        <w:spacing w:before="67" w:line="362" w:lineRule="auto"/>
        <w:ind w:left="4236" w:right="348"/>
        <w:rPr>
          <w:color w:val="auto"/>
        </w:rPr>
      </w:pPr>
      <w:r>
        <w:rPr>
          <w:color w:val="auto"/>
        </w:rPr>
        <w:t>投 标 人：</w:t>
      </w:r>
      <w:r>
        <w:rPr>
          <w:color w:val="auto"/>
          <w:u w:val="single"/>
        </w:rPr>
        <w:t xml:space="preserve"> </w:t>
      </w:r>
      <w:r>
        <w:rPr>
          <w:color w:val="auto"/>
          <w:u w:val="single"/>
        </w:rPr>
        <w:tab/>
      </w:r>
      <w:r>
        <w:rPr>
          <w:color w:val="auto"/>
        </w:rPr>
        <w:t>（盖单位章</w:t>
      </w:r>
      <w:r>
        <w:rPr>
          <w:color w:val="auto"/>
          <w:spacing w:val="-18"/>
        </w:rPr>
        <w:t xml:space="preserve">） </w:t>
      </w:r>
      <w:r>
        <w:rPr>
          <w:color w:val="auto"/>
        </w:rPr>
        <w:t>法定代表人或其委托代理人：</w:t>
      </w:r>
      <w:r>
        <w:rPr>
          <w:color w:val="auto"/>
          <w:u w:val="single"/>
        </w:rPr>
        <w:t xml:space="preserve"> </w:t>
      </w:r>
      <w:r>
        <w:rPr>
          <w:color w:val="auto"/>
          <w:u w:val="single"/>
        </w:rPr>
        <w:tab/>
      </w:r>
      <w:r>
        <w:rPr>
          <w:color w:val="auto"/>
          <w:u w:val="single"/>
        </w:rPr>
        <w:tab/>
      </w:r>
      <w:r>
        <w:rPr>
          <w:color w:val="auto"/>
        </w:rPr>
        <w:t>（签字</w:t>
      </w:r>
      <w:r>
        <w:rPr>
          <w:color w:val="auto"/>
          <w:spacing w:val="-18"/>
        </w:rPr>
        <w:t>）</w:t>
      </w:r>
    </w:p>
    <w:p>
      <w:pPr>
        <w:pStyle w:val="7"/>
        <w:tabs>
          <w:tab w:val="left" w:pos="6515"/>
          <w:tab w:val="left" w:pos="7115"/>
          <w:tab w:val="left" w:pos="7835"/>
        </w:tabs>
        <w:spacing w:before="2"/>
        <w:ind w:left="5916"/>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u w:val="single"/>
        </w:rPr>
        <w:t>年</w:t>
      </w:r>
      <w:r>
        <w:rPr>
          <w:color w:val="auto"/>
          <w:u w:val="single"/>
        </w:rPr>
        <w:tab/>
      </w:r>
      <w:r>
        <w:rPr>
          <w:color w:val="auto"/>
          <w:u w:val="single"/>
        </w:rPr>
        <w:t>月</w:t>
      </w:r>
      <w:r>
        <w:rPr>
          <w:color w:val="auto"/>
          <w:u w:val="single"/>
        </w:rPr>
        <w:tab/>
      </w:r>
      <w:r>
        <w:rPr>
          <w:color w:val="auto"/>
          <w:u w:val="single"/>
        </w:rPr>
        <w:t>日</w:t>
      </w:r>
    </w:p>
    <w:p>
      <w:pPr>
        <w:spacing w:after="0"/>
        <w:rPr>
          <w:color w:val="auto"/>
        </w:rPr>
        <w:sectPr>
          <w:pgSz w:w="11910" w:h="16840"/>
          <w:pgMar w:top="1580" w:right="1020" w:bottom="980" w:left="1020" w:header="0" w:footer="789" w:gutter="0"/>
          <w:pgBorders>
            <w:top w:val="none" w:sz="0" w:space="0"/>
            <w:left w:val="none" w:sz="0" w:space="0"/>
            <w:bottom w:val="none" w:sz="0" w:space="0"/>
            <w:right w:val="none" w:sz="0" w:space="0"/>
          </w:pgBorders>
          <w:pgNumType w:fmt="decimal"/>
          <w:cols w:space="720" w:num="1"/>
        </w:sectPr>
      </w:pPr>
    </w:p>
    <w:p>
      <w:pPr>
        <w:pStyle w:val="7"/>
        <w:spacing w:before="7"/>
        <w:ind w:left="0"/>
        <w:rPr>
          <w:color w:val="auto"/>
          <w:sz w:val="17"/>
        </w:rPr>
      </w:pPr>
    </w:p>
    <w:p>
      <w:pPr>
        <w:spacing w:after="0"/>
        <w:rPr>
          <w:color w:val="auto"/>
          <w:sz w:val="17"/>
        </w:rPr>
        <w:sectPr>
          <w:pgSz w:w="11910" w:h="16840"/>
          <w:pgMar w:top="1580" w:right="1020" w:bottom="980" w:left="1020" w:header="0" w:footer="789" w:gutter="0"/>
          <w:pgBorders>
            <w:top w:val="none" w:sz="0" w:space="0"/>
            <w:left w:val="none" w:sz="0" w:space="0"/>
            <w:bottom w:val="none" w:sz="0" w:space="0"/>
            <w:right w:val="none" w:sz="0" w:space="0"/>
          </w:pgBorders>
          <w:pgNumType w:fmt="decimal"/>
          <w:cols w:space="720" w:num="1"/>
        </w:sectPr>
      </w:pPr>
    </w:p>
    <w:p>
      <w:pPr>
        <w:pStyle w:val="7"/>
        <w:spacing w:before="74"/>
        <w:rPr>
          <w:rFonts w:ascii="Times New Roman" w:eastAsia="Times New Roman"/>
          <w:color w:val="auto"/>
        </w:rPr>
      </w:pPr>
      <w:bookmarkStart w:id="122" w:name="（三）投标函2"/>
      <w:bookmarkEnd w:id="122"/>
      <w:r>
        <w:rPr>
          <w:color w:val="auto"/>
        </w:rPr>
        <w:t>（三）</w:t>
      </w:r>
      <w:r>
        <w:rPr>
          <w:color w:val="auto"/>
          <w:spacing w:val="-15"/>
        </w:rPr>
        <w:t xml:space="preserve">投标函 </w:t>
      </w:r>
      <w:r>
        <w:rPr>
          <w:rFonts w:ascii="Times New Roman" w:eastAsia="Times New Roman"/>
          <w:color w:val="auto"/>
        </w:rPr>
        <w:t>2</w:t>
      </w:r>
    </w:p>
    <w:p>
      <w:pPr>
        <w:pStyle w:val="7"/>
        <w:spacing w:before="4"/>
        <w:ind w:left="0"/>
        <w:rPr>
          <w:rFonts w:ascii="Times New Roman"/>
          <w:color w:val="auto"/>
          <w:sz w:val="45"/>
        </w:rPr>
      </w:pPr>
      <w:r>
        <w:rPr>
          <w:color w:val="auto"/>
        </w:rPr>
        <w:br w:type="column"/>
      </w:r>
    </w:p>
    <w:p>
      <w:pPr>
        <w:spacing w:before="0"/>
        <w:ind w:left="395" w:right="0" w:firstLine="0"/>
        <w:jc w:val="left"/>
        <w:rPr>
          <w:b/>
          <w:color w:val="auto"/>
          <w:sz w:val="32"/>
        </w:rPr>
      </w:pPr>
      <w:bookmarkStart w:id="123" w:name="投标人廉政承诺书"/>
      <w:bookmarkEnd w:id="123"/>
      <w:r>
        <w:rPr>
          <w:b/>
          <w:color w:val="auto"/>
          <w:sz w:val="32"/>
        </w:rPr>
        <w:t>投标人廉政承诺书</w:t>
      </w:r>
    </w:p>
    <w:p>
      <w:pPr>
        <w:spacing w:after="0"/>
        <w:jc w:val="left"/>
        <w:rPr>
          <w:color w:val="auto"/>
          <w:sz w:val="32"/>
        </w:rPr>
        <w:sectPr>
          <w:type w:val="continuous"/>
          <w:pgSz w:w="11910" w:h="16840"/>
          <w:pgMar w:top="1580" w:right="1020" w:bottom="280" w:left="1020" w:header="720" w:footer="720" w:gutter="0"/>
          <w:pgBorders>
            <w:top w:val="none" w:sz="0" w:space="0"/>
            <w:left w:val="none" w:sz="0" w:space="0"/>
            <w:bottom w:val="none" w:sz="0" w:space="0"/>
            <w:right w:val="none" w:sz="0" w:space="0"/>
          </w:pgBorders>
          <w:pgNumType w:fmt="decimal"/>
          <w:cols w:equalWidth="0" w:num="2">
            <w:col w:w="2057" w:space="1195"/>
            <w:col w:w="6618"/>
          </w:cols>
        </w:sectPr>
      </w:pPr>
    </w:p>
    <w:p>
      <w:pPr>
        <w:pStyle w:val="7"/>
        <w:ind w:left="0"/>
        <w:rPr>
          <w:b/>
          <w:color w:val="auto"/>
          <w:sz w:val="20"/>
        </w:rPr>
      </w:pPr>
    </w:p>
    <w:p>
      <w:pPr>
        <w:pStyle w:val="7"/>
        <w:ind w:left="0"/>
        <w:rPr>
          <w:b/>
          <w:color w:val="auto"/>
          <w:sz w:val="20"/>
        </w:rPr>
      </w:pPr>
    </w:p>
    <w:p>
      <w:pPr>
        <w:pStyle w:val="7"/>
        <w:ind w:left="0"/>
        <w:rPr>
          <w:b/>
          <w:color w:val="auto"/>
          <w:sz w:val="16"/>
        </w:rPr>
      </w:pPr>
    </w:p>
    <w:p>
      <w:pPr>
        <w:pStyle w:val="7"/>
        <w:spacing w:before="74" w:line="436" w:lineRule="auto"/>
        <w:ind w:right="392" w:firstLine="480" w:firstLineChars="200"/>
        <w:jc w:val="both"/>
        <w:rPr>
          <w:color w:val="auto"/>
        </w:rPr>
      </w:pPr>
      <w:r>
        <w:rPr>
          <w:color w:val="auto"/>
        </w:rPr>
        <w:t>本企业自愿参与</w:t>
      </w:r>
      <w:r>
        <w:rPr>
          <w:color w:val="auto"/>
          <w:u w:val="single"/>
        </w:rPr>
        <w:t xml:space="preserve"> </w:t>
      </w:r>
      <w:r>
        <w:rPr>
          <w:rFonts w:hint="eastAsia" w:ascii="宋体" w:hAnsi="宋体" w:eastAsia="宋体" w:cs="宋体"/>
          <w:b/>
          <w:color w:val="auto"/>
          <w:szCs w:val="28"/>
          <w:highlight w:val="none"/>
          <w:u w:val="single"/>
        </w:rPr>
        <w:t xml:space="preserve"> （项目名称）</w:t>
      </w:r>
      <w:r>
        <w:rPr>
          <w:rFonts w:ascii="Times New Roman" w:eastAsia="Times New Roman"/>
          <w:color w:val="auto"/>
          <w:spacing w:val="12"/>
          <w:u w:val="single"/>
        </w:rPr>
        <w:t xml:space="preserve"> </w:t>
      </w:r>
      <w:r>
        <w:rPr>
          <w:color w:val="auto"/>
        </w:rPr>
        <w:t>投标的公平竞争活动，并在廉政纪律方面，</w:t>
      </w:r>
      <w:r>
        <w:rPr>
          <w:color w:val="auto"/>
          <w:spacing w:val="-6"/>
        </w:rPr>
        <w:t>保证做到廉洁奉公、干净办事，坚决抵制利用不良行为谋取不正当利益。在此，向招标</w:t>
      </w:r>
      <w:r>
        <w:rPr>
          <w:color w:val="auto"/>
        </w:rPr>
        <w:t>人</w:t>
      </w:r>
      <w:r>
        <w:rPr>
          <w:color w:val="auto"/>
          <w:u w:val="single"/>
        </w:rPr>
        <w:t xml:space="preserve"> </w:t>
      </w:r>
      <w:r>
        <w:rPr>
          <w:rFonts w:hint="eastAsia"/>
          <w:color w:val="auto"/>
          <w:u w:val="single"/>
          <w:lang w:eastAsia="zh-CN"/>
        </w:rPr>
        <w:t>平远县东石镇人民政府</w:t>
      </w:r>
      <w:r>
        <w:rPr>
          <w:color w:val="auto"/>
          <w:u w:val="single"/>
        </w:rPr>
        <w:t xml:space="preserve"> </w:t>
      </w:r>
      <w:r>
        <w:rPr>
          <w:color w:val="auto"/>
        </w:rPr>
        <w:t>郑重承诺如下：</w:t>
      </w:r>
    </w:p>
    <w:p>
      <w:pPr>
        <w:pStyle w:val="7"/>
        <w:spacing w:before="1" w:line="439" w:lineRule="auto"/>
        <w:ind w:right="395" w:firstLine="616"/>
        <w:rPr>
          <w:color w:val="auto"/>
        </w:rPr>
      </w:pPr>
      <w:r>
        <w:rPr>
          <w:color w:val="auto"/>
        </w:rPr>
        <w:t>一、本企业不与他人相互串通投标，不排挤他人的公平竞争，损害国家、社会公共利益或他人的合法权益。</w:t>
      </w:r>
    </w:p>
    <w:p>
      <w:pPr>
        <w:pStyle w:val="7"/>
        <w:spacing w:line="436" w:lineRule="auto"/>
        <w:ind w:right="395" w:firstLine="616"/>
        <w:rPr>
          <w:color w:val="auto"/>
        </w:rPr>
      </w:pPr>
      <w:r>
        <w:rPr>
          <w:color w:val="auto"/>
        </w:rPr>
        <w:t>二、不采取向招标人、招标代理机构、与招标投标活动依法负有行政监督职责的工作人员、交易中心工作人员或者评标委员会成员行贿和请客送礼等手段谋取中标。</w:t>
      </w:r>
    </w:p>
    <w:p>
      <w:pPr>
        <w:pStyle w:val="7"/>
        <w:spacing w:line="436" w:lineRule="auto"/>
        <w:ind w:right="395" w:firstLine="616"/>
        <w:rPr>
          <w:color w:val="auto"/>
        </w:rPr>
      </w:pPr>
      <w:r>
        <w:rPr>
          <w:color w:val="auto"/>
        </w:rPr>
        <w:t>三、不以低于本企业成本的报价竞标，不以他人名义投标或者以其他方式弄虚作假，骗取中标。</w:t>
      </w:r>
    </w:p>
    <w:p>
      <w:pPr>
        <w:pStyle w:val="7"/>
        <w:spacing w:line="307" w:lineRule="exact"/>
        <w:ind w:left="1012"/>
        <w:rPr>
          <w:color w:val="auto"/>
        </w:rPr>
      </w:pPr>
      <w:r>
        <w:rPr>
          <w:color w:val="auto"/>
        </w:rPr>
        <w:t>四、保证中标后不向相关管理、监督人员行贿，否则愿意接受处罚。</w:t>
      </w:r>
    </w:p>
    <w:p>
      <w:pPr>
        <w:pStyle w:val="7"/>
        <w:ind w:left="0"/>
        <w:rPr>
          <w:color w:val="auto"/>
        </w:rPr>
      </w:pPr>
    </w:p>
    <w:p>
      <w:pPr>
        <w:pStyle w:val="7"/>
        <w:ind w:left="0"/>
        <w:rPr>
          <w:color w:val="auto"/>
        </w:rPr>
      </w:pPr>
    </w:p>
    <w:p>
      <w:pPr>
        <w:pStyle w:val="7"/>
        <w:ind w:left="0"/>
        <w:rPr>
          <w:color w:val="auto"/>
        </w:rPr>
      </w:pPr>
    </w:p>
    <w:p>
      <w:pPr>
        <w:pStyle w:val="7"/>
        <w:spacing w:before="10"/>
        <w:ind w:left="0"/>
        <w:rPr>
          <w:color w:val="auto"/>
          <w:sz w:val="18"/>
        </w:rPr>
      </w:pPr>
    </w:p>
    <w:p>
      <w:pPr>
        <w:pStyle w:val="7"/>
        <w:tabs>
          <w:tab w:val="left" w:pos="8075"/>
          <w:tab w:val="left" w:pos="8555"/>
        </w:tabs>
        <w:spacing w:line="362" w:lineRule="auto"/>
        <w:ind w:left="4236" w:right="348"/>
        <w:rPr>
          <w:color w:val="auto"/>
        </w:rPr>
      </w:pPr>
      <w:r>
        <w:rPr>
          <w:color w:val="auto"/>
        </w:rPr>
        <w:t>投 标 人：</w:t>
      </w:r>
      <w:r>
        <w:rPr>
          <w:color w:val="auto"/>
          <w:u w:val="single"/>
        </w:rPr>
        <w:t xml:space="preserve"> </w:t>
      </w:r>
      <w:r>
        <w:rPr>
          <w:color w:val="auto"/>
          <w:u w:val="single"/>
        </w:rPr>
        <w:tab/>
      </w:r>
      <w:r>
        <w:rPr>
          <w:color w:val="auto"/>
        </w:rPr>
        <w:t>（盖单位章</w:t>
      </w:r>
      <w:r>
        <w:rPr>
          <w:color w:val="auto"/>
          <w:spacing w:val="-18"/>
        </w:rPr>
        <w:t xml:space="preserve">） </w:t>
      </w:r>
      <w:r>
        <w:rPr>
          <w:color w:val="auto"/>
        </w:rPr>
        <w:t>法定代表人或其委托代理人：</w:t>
      </w:r>
      <w:r>
        <w:rPr>
          <w:color w:val="auto"/>
          <w:u w:val="single"/>
        </w:rPr>
        <w:t xml:space="preserve"> </w:t>
      </w:r>
      <w:r>
        <w:rPr>
          <w:color w:val="auto"/>
          <w:u w:val="single"/>
        </w:rPr>
        <w:tab/>
      </w:r>
      <w:r>
        <w:rPr>
          <w:color w:val="auto"/>
          <w:u w:val="single"/>
        </w:rPr>
        <w:tab/>
      </w:r>
      <w:r>
        <w:rPr>
          <w:color w:val="auto"/>
        </w:rPr>
        <w:t>（签字</w:t>
      </w:r>
      <w:r>
        <w:rPr>
          <w:color w:val="auto"/>
          <w:spacing w:val="-18"/>
        </w:rPr>
        <w:t>）</w:t>
      </w:r>
    </w:p>
    <w:p>
      <w:pPr>
        <w:pStyle w:val="7"/>
        <w:tabs>
          <w:tab w:val="left" w:pos="6515"/>
          <w:tab w:val="left" w:pos="7115"/>
          <w:tab w:val="left" w:pos="7835"/>
        </w:tabs>
        <w:spacing w:before="5"/>
        <w:ind w:left="5916"/>
        <w:rPr>
          <w:color w:val="auto"/>
        </w:rPr>
        <w:sectPr>
          <w:type w:val="continuous"/>
          <w:pgSz w:w="11910" w:h="16840"/>
          <w:pgMar w:top="1580" w:right="1020" w:bottom="280" w:left="1020" w:header="720" w:footer="720" w:gutter="0"/>
          <w:pgBorders>
            <w:top w:val="none" w:sz="0" w:space="0"/>
            <w:left w:val="none" w:sz="0" w:space="0"/>
            <w:bottom w:val="none" w:sz="0" w:space="0"/>
            <w:right w:val="none" w:sz="0" w:space="0"/>
          </w:pgBorders>
          <w:pgNumType w:fmt="decimal"/>
          <w:cols w:space="720" w:num="1"/>
        </w:sectPr>
      </w:pPr>
      <w:r>
        <w:rPr>
          <w:rFonts w:ascii="Times New Roman" w:eastAsia="Times New Roman"/>
          <w:color w:val="auto"/>
          <w:u w:val="single"/>
        </w:rPr>
        <w:t xml:space="preserve"> </w:t>
      </w:r>
      <w:r>
        <w:rPr>
          <w:rFonts w:ascii="Times New Roman" w:eastAsia="Times New Roman"/>
          <w:color w:val="auto"/>
          <w:u w:val="single"/>
        </w:rPr>
        <w:tab/>
      </w:r>
      <w:r>
        <w:rPr>
          <w:color w:val="auto"/>
          <w:u w:val="single"/>
        </w:rPr>
        <w:t>年</w:t>
      </w:r>
      <w:r>
        <w:rPr>
          <w:color w:val="auto"/>
          <w:u w:val="single"/>
        </w:rPr>
        <w:tab/>
      </w:r>
      <w:r>
        <w:rPr>
          <w:color w:val="auto"/>
          <w:u w:val="single"/>
        </w:rPr>
        <w:t>月</w:t>
      </w:r>
      <w:r>
        <w:rPr>
          <w:color w:val="auto"/>
          <w:u w:val="single"/>
        </w:rPr>
        <w:tab/>
      </w:r>
      <w:r>
        <w:rPr>
          <w:color w:val="auto"/>
          <w:u w:val="single"/>
        </w:rPr>
        <w:t>日</w:t>
      </w:r>
    </w:p>
    <w:p>
      <w:pPr>
        <w:spacing w:before="54"/>
        <w:ind w:left="3" w:right="0" w:firstLine="0"/>
        <w:jc w:val="center"/>
        <w:rPr>
          <w:b/>
          <w:color w:val="auto"/>
          <w:sz w:val="32"/>
        </w:rPr>
      </w:pPr>
      <w:bookmarkStart w:id="124" w:name="二、法定代表人身份证明"/>
      <w:bookmarkEnd w:id="124"/>
      <w:r>
        <w:rPr>
          <w:b/>
          <w:color w:val="auto"/>
          <w:sz w:val="32"/>
        </w:rPr>
        <w:t>二、法定代表人身份证明</w:t>
      </w:r>
    </w:p>
    <w:p>
      <w:pPr>
        <w:pStyle w:val="7"/>
        <w:ind w:left="0"/>
        <w:rPr>
          <w:b/>
          <w:color w:val="auto"/>
          <w:sz w:val="32"/>
        </w:rPr>
      </w:pPr>
    </w:p>
    <w:p>
      <w:pPr>
        <w:pStyle w:val="7"/>
        <w:ind w:left="0"/>
        <w:rPr>
          <w:b/>
          <w:color w:val="auto"/>
          <w:sz w:val="32"/>
        </w:rPr>
      </w:pPr>
    </w:p>
    <w:p>
      <w:pPr>
        <w:pStyle w:val="7"/>
        <w:tabs>
          <w:tab w:val="left" w:pos="2735"/>
          <w:tab w:val="left" w:pos="3935"/>
          <w:tab w:val="left" w:pos="5135"/>
          <w:tab w:val="left" w:pos="5255"/>
          <w:tab w:val="left" w:pos="5375"/>
        </w:tabs>
        <w:spacing w:before="230" w:line="364" w:lineRule="auto"/>
        <w:ind w:right="4428"/>
        <w:rPr>
          <w:rFonts w:ascii="Times New Roman" w:eastAsia="Times New Roman"/>
          <w:color w:val="auto"/>
        </w:rPr>
      </w:pPr>
      <w:r>
        <w:rPr>
          <w:color w:val="auto"/>
        </w:rPr>
        <w:t>投标人名称：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单位性质：</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地址：</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成立时间：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spacing w:val="-18"/>
        </w:rPr>
        <w:t>日</w:t>
      </w:r>
      <w:r>
        <w:rPr>
          <w:color w:val="auto"/>
        </w:rPr>
        <w:t>经营期限：</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p>
    <w:p>
      <w:pPr>
        <w:pStyle w:val="7"/>
        <w:tabs>
          <w:tab w:val="left" w:pos="2135"/>
          <w:tab w:val="left" w:pos="2735"/>
          <w:tab w:val="left" w:pos="4055"/>
          <w:tab w:val="left" w:pos="5795"/>
          <w:tab w:val="left" w:pos="8135"/>
        </w:tabs>
        <w:spacing w:line="362" w:lineRule="auto"/>
        <w:ind w:right="1727"/>
        <w:rPr>
          <w:color w:val="auto"/>
        </w:rPr>
      </w:pPr>
      <w:r>
        <w:rPr>
          <w:color w:val="auto"/>
        </w:rPr>
        <w:t>姓名：</w:t>
      </w:r>
      <w:r>
        <w:rPr>
          <w:color w:val="auto"/>
          <w:u w:val="single"/>
        </w:rPr>
        <w:t xml:space="preserve"> </w:t>
      </w:r>
      <w:r>
        <w:rPr>
          <w:color w:val="auto"/>
          <w:u w:val="single"/>
        </w:rPr>
        <w:tab/>
      </w:r>
      <w:r>
        <w:rPr>
          <w:color w:val="auto"/>
        </w:rPr>
        <w:t>性别：</w:t>
      </w:r>
      <w:r>
        <w:rPr>
          <w:color w:val="auto"/>
          <w:u w:val="single"/>
        </w:rPr>
        <w:t xml:space="preserve"> </w:t>
      </w:r>
      <w:r>
        <w:rPr>
          <w:color w:val="auto"/>
          <w:u w:val="single"/>
        </w:rPr>
        <w:tab/>
      </w:r>
      <w:r>
        <w:rPr>
          <w:color w:val="auto"/>
        </w:rPr>
        <w:t>年龄：</w:t>
      </w:r>
      <w:r>
        <w:rPr>
          <w:color w:val="auto"/>
          <w:u w:val="single"/>
        </w:rPr>
        <w:t xml:space="preserve"> </w:t>
      </w:r>
      <w:r>
        <w:rPr>
          <w:color w:val="auto"/>
          <w:u w:val="single"/>
        </w:rPr>
        <w:tab/>
      </w:r>
      <w:r>
        <w:rPr>
          <w:color w:val="auto"/>
        </w:rPr>
        <w:t>职务：</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系</w:t>
      </w:r>
      <w:r>
        <w:rPr>
          <w:color w:val="auto"/>
          <w:u w:val="single"/>
        </w:rPr>
        <w:t xml:space="preserve"> </w:t>
      </w:r>
      <w:r>
        <w:rPr>
          <w:color w:val="auto"/>
          <w:u w:val="single"/>
        </w:rPr>
        <w:tab/>
      </w:r>
      <w:r>
        <w:rPr>
          <w:color w:val="auto"/>
          <w:u w:val="single"/>
        </w:rPr>
        <w:tab/>
      </w:r>
      <w:r>
        <w:rPr>
          <w:rFonts w:ascii="Times New Roman" w:eastAsia="Times New Roman"/>
          <w:color w:val="auto"/>
          <w:spacing w:val="-1"/>
        </w:rPr>
        <w:t>(</w:t>
      </w:r>
      <w:r>
        <w:rPr>
          <w:color w:val="auto"/>
        </w:rPr>
        <w:t>投标人名称</w:t>
      </w:r>
      <w:r>
        <w:rPr>
          <w:rFonts w:ascii="Times New Roman" w:eastAsia="Times New Roman"/>
          <w:color w:val="auto"/>
        </w:rPr>
        <w:t>)</w:t>
      </w:r>
      <w:r>
        <w:rPr>
          <w:color w:val="auto"/>
        </w:rPr>
        <w:t>的法定代表人。</w:t>
      </w:r>
    </w:p>
    <w:p>
      <w:pPr>
        <w:pStyle w:val="7"/>
        <w:spacing w:before="3"/>
        <w:ind w:left="876"/>
        <w:rPr>
          <w:color w:val="auto"/>
        </w:rPr>
      </w:pPr>
      <w:r>
        <w:rPr>
          <w:color w:val="auto"/>
        </w:rPr>
        <w:t>特此证明。</w:t>
      </w:r>
    </w:p>
    <w:p>
      <w:pPr>
        <w:pStyle w:val="7"/>
        <w:ind w:left="0"/>
        <w:rPr>
          <w:color w:val="auto"/>
        </w:rPr>
      </w:pPr>
    </w:p>
    <w:p>
      <w:pPr>
        <w:pStyle w:val="7"/>
        <w:spacing w:before="9"/>
        <w:ind w:left="0"/>
        <w:rPr>
          <w:color w:val="auto"/>
          <w:sz w:val="20"/>
        </w:rPr>
      </w:pPr>
    </w:p>
    <w:p>
      <w:pPr>
        <w:pStyle w:val="7"/>
        <w:spacing w:before="1"/>
        <w:rPr>
          <w:color w:val="auto"/>
        </w:rPr>
      </w:pPr>
      <w:r>
        <w:rPr>
          <w:color w:val="auto"/>
        </w:rPr>
        <w:t>附：法定代表人身份证复印件</w:t>
      </w:r>
    </w:p>
    <w:p>
      <w:pPr>
        <w:pStyle w:val="7"/>
        <w:ind w:left="0"/>
        <w:rPr>
          <w:color w:val="auto"/>
        </w:rPr>
      </w:pPr>
    </w:p>
    <w:p>
      <w:pPr>
        <w:pStyle w:val="7"/>
        <w:spacing w:before="7"/>
        <w:ind w:left="0"/>
        <w:rPr>
          <w:color w:val="auto"/>
          <w:sz w:val="19"/>
        </w:rPr>
      </w:pPr>
    </w:p>
    <w:p>
      <w:pPr>
        <w:pStyle w:val="7"/>
        <w:spacing w:before="1"/>
        <w:rPr>
          <w:color w:val="auto"/>
        </w:rPr>
      </w:pPr>
      <w:r>
        <w:rPr>
          <w:color w:val="auto"/>
        </w:rPr>
        <w:t>注：本身份证明需由投标人加盖单位公章。</w:t>
      </w:r>
    </w:p>
    <w:p>
      <w:pPr>
        <w:pStyle w:val="7"/>
        <w:ind w:left="0"/>
        <w:rPr>
          <w:color w:val="auto"/>
        </w:rPr>
      </w:pPr>
    </w:p>
    <w:p>
      <w:pPr>
        <w:pStyle w:val="7"/>
        <w:ind w:left="0"/>
        <w:rPr>
          <w:color w:val="auto"/>
        </w:rPr>
      </w:pPr>
    </w:p>
    <w:p>
      <w:pPr>
        <w:pStyle w:val="7"/>
        <w:tabs>
          <w:tab w:val="left" w:pos="6515"/>
        </w:tabs>
        <w:spacing w:before="188"/>
        <w:ind w:left="3516"/>
        <w:rPr>
          <w:color w:val="auto"/>
        </w:rPr>
      </w:pPr>
      <w:r>
        <w:rPr>
          <w:color w:val="auto"/>
        </w:rPr>
        <w:t>投标人：</w:t>
      </w:r>
      <w:r>
        <w:rPr>
          <w:color w:val="auto"/>
          <w:u w:val="single"/>
        </w:rPr>
        <w:t xml:space="preserve"> </w:t>
      </w:r>
      <w:r>
        <w:rPr>
          <w:color w:val="auto"/>
          <w:u w:val="single"/>
        </w:rPr>
        <w:tab/>
      </w:r>
      <w:r>
        <w:rPr>
          <w:color w:val="auto"/>
        </w:rPr>
        <w:t>（盖单位章）</w:t>
      </w:r>
    </w:p>
    <w:p>
      <w:pPr>
        <w:pStyle w:val="7"/>
        <w:tabs>
          <w:tab w:val="left" w:pos="5315"/>
          <w:tab w:val="left" w:pos="6275"/>
          <w:tab w:val="left" w:pos="7115"/>
        </w:tabs>
        <w:spacing w:before="158"/>
        <w:ind w:left="4236"/>
        <w:rPr>
          <w:color w:val="auto"/>
        </w:rPr>
        <w:sectPr>
          <w:pgSz w:w="11910" w:h="16840"/>
          <w:pgMar w:top="1580" w:right="1020" w:bottom="980" w:left="1020" w:header="0" w:footer="789" w:gutter="0"/>
          <w:pgBorders>
            <w:top w:val="none" w:sz="0" w:space="0"/>
            <w:left w:val="none" w:sz="0" w:space="0"/>
            <w:bottom w:val="none" w:sz="0" w:space="0"/>
            <w:right w:val="none" w:sz="0" w:space="0"/>
          </w:pgBorders>
          <w:pgNumType w:fmt="decimal"/>
          <w:cols w:space="720" w:num="1"/>
        </w:sect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before="224"/>
        <w:ind w:left="432" w:right="433" w:firstLine="0"/>
        <w:jc w:val="center"/>
        <w:rPr>
          <w:b/>
          <w:color w:val="auto"/>
          <w:sz w:val="32"/>
        </w:rPr>
      </w:pPr>
      <w:bookmarkStart w:id="125" w:name="三、授权委托书"/>
      <w:bookmarkEnd w:id="125"/>
      <w:r>
        <w:rPr>
          <w:b/>
          <w:color w:val="auto"/>
          <w:sz w:val="32"/>
        </w:rPr>
        <w:t>三、授权委托书</w:t>
      </w:r>
    </w:p>
    <w:p>
      <w:pPr>
        <w:pStyle w:val="7"/>
        <w:ind w:left="0"/>
        <w:rPr>
          <w:b/>
          <w:color w:val="auto"/>
          <w:sz w:val="32"/>
        </w:rPr>
      </w:pPr>
    </w:p>
    <w:p>
      <w:pPr>
        <w:pStyle w:val="7"/>
        <w:tabs>
          <w:tab w:val="left" w:pos="2068"/>
          <w:tab w:val="left" w:pos="2155"/>
          <w:tab w:val="left" w:pos="3904"/>
          <w:tab w:val="left" w:pos="4458"/>
          <w:tab w:val="left" w:pos="6271"/>
        </w:tabs>
        <w:spacing w:before="239" w:line="364" w:lineRule="auto"/>
        <w:ind w:right="272" w:firstLine="480"/>
        <w:rPr>
          <w:color w:val="auto"/>
        </w:rPr>
      </w:pPr>
      <w:r>
        <w:rPr>
          <w:color w:val="auto"/>
        </w:rPr>
        <w:t>本人</w:t>
      </w:r>
      <w:r>
        <w:rPr>
          <w:color w:val="auto"/>
          <w:u w:val="single"/>
        </w:rPr>
        <w:t xml:space="preserve"> </w:t>
      </w:r>
      <w:r>
        <w:rPr>
          <w:color w:val="auto"/>
          <w:u w:val="single"/>
        </w:rPr>
        <w:tab/>
      </w:r>
      <w:r>
        <w:rPr>
          <w:color w:val="auto"/>
          <w:u w:val="single"/>
        </w:rPr>
        <w:tab/>
      </w:r>
      <w:r>
        <w:rPr>
          <w:color w:val="auto"/>
          <w:u w:val="single"/>
        </w:rPr>
        <w:t>（</w:t>
      </w:r>
      <w:r>
        <w:rPr>
          <w:color w:val="auto"/>
        </w:rPr>
        <w:t>姓名</w:t>
      </w:r>
      <w:r>
        <w:rPr>
          <w:color w:val="auto"/>
          <w:spacing w:val="-44"/>
        </w:rPr>
        <w:t>）</w:t>
      </w:r>
      <w:r>
        <w:rPr>
          <w:color w:val="auto"/>
        </w:rPr>
        <w:t>系</w:t>
      </w:r>
      <w:r>
        <w:rPr>
          <w:color w:val="auto"/>
          <w:u w:val="single"/>
        </w:rPr>
        <w:t xml:space="preserve"> </w:t>
      </w:r>
      <w:r>
        <w:rPr>
          <w:color w:val="auto"/>
          <w:u w:val="single"/>
        </w:rPr>
        <w:tab/>
      </w:r>
      <w:r>
        <w:rPr>
          <w:color w:val="auto"/>
          <w:u w:val="single"/>
        </w:rPr>
        <w:tab/>
      </w:r>
      <w:r>
        <w:rPr>
          <w:color w:val="auto"/>
          <w:u w:val="single"/>
        </w:rPr>
        <w:tab/>
      </w:r>
      <w:r>
        <w:rPr>
          <w:color w:val="auto"/>
          <w:u w:val="single"/>
        </w:rPr>
        <w:t>（</w:t>
      </w:r>
      <w:r>
        <w:rPr>
          <w:color w:val="auto"/>
        </w:rPr>
        <w:t>投标人名称</w:t>
      </w:r>
      <w:r>
        <w:rPr>
          <w:color w:val="auto"/>
          <w:spacing w:val="-41"/>
        </w:rPr>
        <w:t>）</w:t>
      </w:r>
      <w:r>
        <w:rPr>
          <w:color w:val="auto"/>
        </w:rPr>
        <w:t>的法定代表人</w:t>
      </w:r>
      <w:r>
        <w:rPr>
          <w:color w:val="auto"/>
          <w:spacing w:val="-16"/>
        </w:rPr>
        <w:t xml:space="preserve">， </w:t>
      </w:r>
      <w:r>
        <w:rPr>
          <w:color w:val="auto"/>
        </w:rPr>
        <w:t>现委托</w:t>
      </w:r>
      <w:r>
        <w:rPr>
          <w:color w:val="auto"/>
          <w:u w:val="single"/>
        </w:rPr>
        <w:t xml:space="preserve"> </w:t>
      </w:r>
      <w:r>
        <w:rPr>
          <w:color w:val="auto"/>
          <w:u w:val="single"/>
        </w:rPr>
        <w:tab/>
      </w:r>
      <w:r>
        <w:rPr>
          <w:color w:val="auto"/>
        </w:rPr>
        <w:t>（姓名</w:t>
      </w:r>
      <w:r>
        <w:rPr>
          <w:color w:val="auto"/>
          <w:spacing w:val="-8"/>
        </w:rPr>
        <w:t>）</w:t>
      </w:r>
      <w:r>
        <w:rPr>
          <w:color w:val="auto"/>
        </w:rPr>
        <w:t>为我方代理人</w:t>
      </w:r>
      <w:r>
        <w:rPr>
          <w:color w:val="auto"/>
          <w:spacing w:val="-10"/>
        </w:rPr>
        <w:t>。</w:t>
      </w:r>
      <w:r>
        <w:rPr>
          <w:color w:val="auto"/>
        </w:rPr>
        <w:t>代理人根据授权</w:t>
      </w:r>
      <w:r>
        <w:rPr>
          <w:color w:val="auto"/>
          <w:spacing w:val="-10"/>
        </w:rPr>
        <w:t>，</w:t>
      </w:r>
      <w:r>
        <w:rPr>
          <w:color w:val="auto"/>
        </w:rPr>
        <w:t>以我方名义签署</w:t>
      </w:r>
      <w:r>
        <w:rPr>
          <w:color w:val="auto"/>
          <w:spacing w:val="-8"/>
        </w:rPr>
        <w:t>、</w:t>
      </w:r>
      <w:r>
        <w:rPr>
          <w:color w:val="auto"/>
        </w:rPr>
        <w:t>澄清</w:t>
      </w:r>
      <w:r>
        <w:rPr>
          <w:color w:val="auto"/>
          <w:spacing w:val="-8"/>
        </w:rPr>
        <w:t>、</w:t>
      </w:r>
      <w:r>
        <w:rPr>
          <w:color w:val="auto"/>
        </w:rPr>
        <w:t>说明、补正、递交、撤回、修改</w:t>
      </w:r>
      <w:r>
        <w:rPr>
          <w:color w:val="auto"/>
          <w:u w:val="single"/>
        </w:rPr>
        <w:t xml:space="preserve"> </w:t>
      </w:r>
      <w:r>
        <w:rPr>
          <w:color w:val="auto"/>
          <w:u w:val="single"/>
        </w:rPr>
        <w:tab/>
      </w:r>
      <w:r>
        <w:rPr>
          <w:rFonts w:hint="eastAsia" w:ascii="宋体" w:hAnsi="宋体" w:eastAsia="宋体" w:cs="宋体"/>
          <w:b/>
          <w:color w:val="auto"/>
          <w:szCs w:val="28"/>
          <w:highlight w:val="none"/>
          <w:u w:val="single"/>
        </w:rPr>
        <w:t>（项目名称）</w:t>
      </w:r>
      <w:r>
        <w:rPr>
          <w:rFonts w:ascii="Times New Roman" w:eastAsia="Times New Roman"/>
          <w:color w:val="auto"/>
          <w:u w:val="single"/>
        </w:rPr>
        <w:tab/>
      </w:r>
      <w:r>
        <w:rPr>
          <w:color w:val="auto"/>
        </w:rPr>
        <w:t>投标文件</w:t>
      </w:r>
      <w:r>
        <w:rPr>
          <w:color w:val="auto"/>
          <w:spacing w:val="-29"/>
        </w:rPr>
        <w:t>、</w:t>
      </w:r>
      <w:r>
        <w:rPr>
          <w:color w:val="auto"/>
        </w:rPr>
        <w:t>签订合同和处理有关事宜，其法律后果由我方承担。</w:t>
      </w:r>
    </w:p>
    <w:p>
      <w:pPr>
        <w:pStyle w:val="7"/>
        <w:tabs>
          <w:tab w:val="left" w:pos="3635"/>
        </w:tabs>
        <w:spacing w:line="364" w:lineRule="auto"/>
        <w:ind w:left="876" w:right="5988"/>
        <w:rPr>
          <w:color w:val="auto"/>
        </w:rPr>
      </w:pPr>
      <w:r>
        <w:rPr>
          <w:color w:val="auto"/>
        </w:rPr>
        <w:t>委托期限：</w:t>
      </w:r>
      <w:r>
        <w:rPr>
          <w:color w:val="auto"/>
          <w:u w:val="single"/>
        </w:rPr>
        <w:t xml:space="preserve"> </w:t>
      </w:r>
      <w:r>
        <w:rPr>
          <w:color w:val="auto"/>
          <w:u w:val="single"/>
        </w:rPr>
        <w:tab/>
      </w:r>
      <w:r>
        <w:rPr>
          <w:color w:val="auto"/>
          <w:spacing w:val="-18"/>
        </w:rPr>
        <w:t>。</w:t>
      </w:r>
      <w:r>
        <w:rPr>
          <w:color w:val="auto"/>
        </w:rPr>
        <w:t>代理人无转委托权。</w:t>
      </w:r>
    </w:p>
    <w:p>
      <w:pPr>
        <w:pStyle w:val="7"/>
        <w:ind w:left="0"/>
        <w:rPr>
          <w:color w:val="auto"/>
        </w:rPr>
      </w:pPr>
    </w:p>
    <w:p>
      <w:pPr>
        <w:pStyle w:val="7"/>
        <w:spacing w:before="170"/>
        <w:ind w:left="876"/>
        <w:rPr>
          <w:color w:val="auto"/>
        </w:rPr>
      </w:pPr>
      <w:r>
        <w:rPr>
          <w:color w:val="auto"/>
        </w:rPr>
        <w:t>附：法定代表人身份证复印件及委托代理人身份证复印件并加盖公章</w:t>
      </w:r>
    </w:p>
    <w:p>
      <w:pPr>
        <w:pStyle w:val="7"/>
        <w:ind w:left="0"/>
        <w:rPr>
          <w:color w:val="auto"/>
        </w:rPr>
      </w:pPr>
    </w:p>
    <w:p>
      <w:pPr>
        <w:pStyle w:val="7"/>
        <w:ind w:left="0"/>
        <w:rPr>
          <w:color w:val="auto"/>
        </w:rPr>
      </w:pPr>
    </w:p>
    <w:p>
      <w:pPr>
        <w:pStyle w:val="7"/>
        <w:ind w:left="0"/>
        <w:rPr>
          <w:color w:val="auto"/>
        </w:rPr>
      </w:pPr>
    </w:p>
    <w:p>
      <w:pPr>
        <w:pStyle w:val="7"/>
        <w:spacing w:before="9"/>
        <w:ind w:left="0"/>
        <w:rPr>
          <w:color w:val="auto"/>
          <w:sz w:val="28"/>
        </w:rPr>
      </w:pPr>
    </w:p>
    <w:p>
      <w:pPr>
        <w:pStyle w:val="7"/>
        <w:tabs>
          <w:tab w:val="left" w:pos="8027"/>
          <w:tab w:val="left" w:pos="8507"/>
        </w:tabs>
        <w:spacing w:line="626" w:lineRule="auto"/>
        <w:ind w:left="3348" w:right="396"/>
        <w:rPr>
          <w:color w:val="auto"/>
        </w:rPr>
      </w:pPr>
      <w:r>
        <w:rPr>
          <w:color w:val="auto"/>
        </w:rPr>
        <w:t>投标人：</w:t>
      </w:r>
      <w:r>
        <w:rPr>
          <w:color w:val="auto"/>
          <w:u w:val="single"/>
        </w:rPr>
        <w:t xml:space="preserve"> </w:t>
      </w:r>
      <w:r>
        <w:rPr>
          <w:color w:val="auto"/>
          <w:u w:val="single"/>
        </w:rPr>
        <w:tab/>
      </w:r>
      <w:r>
        <w:rPr>
          <w:color w:val="auto"/>
        </w:rPr>
        <w:t>（盖单位章</w:t>
      </w:r>
      <w:r>
        <w:rPr>
          <w:color w:val="auto"/>
          <w:spacing w:val="-18"/>
        </w:rPr>
        <w:t xml:space="preserve">） </w:t>
      </w:r>
      <w:r>
        <w:rPr>
          <w:color w:val="auto"/>
        </w:rPr>
        <w:t>法定代表人：</w:t>
      </w:r>
      <w:r>
        <w:rPr>
          <w:color w:val="auto"/>
          <w:u w:val="single"/>
        </w:rPr>
        <w:t xml:space="preserve"> </w:t>
      </w:r>
      <w:r>
        <w:rPr>
          <w:color w:val="auto"/>
          <w:u w:val="single"/>
        </w:rPr>
        <w:tab/>
      </w:r>
      <w:r>
        <w:rPr>
          <w:color w:val="auto"/>
          <w:u w:val="single"/>
        </w:rPr>
        <w:tab/>
      </w:r>
      <w:r>
        <w:rPr>
          <w:color w:val="auto"/>
        </w:rPr>
        <w:t>（签字</w:t>
      </w:r>
      <w:r>
        <w:rPr>
          <w:color w:val="auto"/>
          <w:spacing w:val="-18"/>
        </w:rPr>
        <w:t>）</w:t>
      </w:r>
    </w:p>
    <w:p>
      <w:pPr>
        <w:pStyle w:val="7"/>
        <w:tabs>
          <w:tab w:val="left" w:pos="9107"/>
        </w:tabs>
        <w:spacing w:line="303" w:lineRule="exact"/>
        <w:ind w:left="4836"/>
        <w:rPr>
          <w:rFonts w:ascii="Times New Roman" w:eastAsia="Times New Roman"/>
          <w:color w:val="auto"/>
        </w:rPr>
      </w:pPr>
      <w:r>
        <w:rPr>
          <w:color w:val="auto"/>
        </w:rPr>
        <w:t>身份证号码：</w:t>
      </w:r>
      <w:r>
        <w:rPr>
          <w:rFonts w:ascii="Times New Roman" w:eastAsia="Times New Roman"/>
          <w:color w:val="auto"/>
          <w:u w:val="single"/>
        </w:rPr>
        <w:t xml:space="preserve"> </w:t>
      </w:r>
      <w:r>
        <w:rPr>
          <w:rFonts w:ascii="Times New Roman" w:eastAsia="Times New Roman"/>
          <w:color w:val="auto"/>
          <w:u w:val="single"/>
        </w:rPr>
        <w:tab/>
      </w:r>
    </w:p>
    <w:p>
      <w:pPr>
        <w:pStyle w:val="7"/>
        <w:ind w:left="0"/>
        <w:rPr>
          <w:rFonts w:ascii="Times New Roman"/>
          <w:color w:val="auto"/>
          <w:sz w:val="20"/>
        </w:rPr>
      </w:pPr>
    </w:p>
    <w:p>
      <w:pPr>
        <w:pStyle w:val="7"/>
        <w:spacing w:before="4"/>
        <w:ind w:left="0"/>
        <w:rPr>
          <w:rFonts w:ascii="Times New Roman"/>
          <w:color w:val="auto"/>
          <w:sz w:val="16"/>
        </w:rPr>
      </w:pPr>
    </w:p>
    <w:p>
      <w:pPr>
        <w:pStyle w:val="7"/>
        <w:tabs>
          <w:tab w:val="left" w:pos="8507"/>
          <w:tab w:val="left" w:pos="9107"/>
        </w:tabs>
        <w:spacing w:before="74" w:line="626" w:lineRule="auto"/>
        <w:ind w:left="4836" w:right="396" w:hanging="1488"/>
        <w:rPr>
          <w:rFonts w:ascii="Times New Roman" w:eastAsia="Times New Roman"/>
          <w:color w:val="auto"/>
        </w:rPr>
      </w:pPr>
      <w:r>
        <w:rPr>
          <w:color w:val="auto"/>
        </w:rPr>
        <w:t>委托代理人：</w:t>
      </w:r>
      <w:r>
        <w:rPr>
          <w:color w:val="auto"/>
          <w:u w:val="single"/>
        </w:rPr>
        <w:t xml:space="preserve"> </w:t>
      </w:r>
      <w:r>
        <w:rPr>
          <w:color w:val="auto"/>
          <w:u w:val="single"/>
        </w:rPr>
        <w:tab/>
      </w:r>
      <w:r>
        <w:rPr>
          <w:color w:val="auto"/>
        </w:rPr>
        <w:t>（签字</w:t>
      </w:r>
      <w:r>
        <w:rPr>
          <w:color w:val="auto"/>
          <w:spacing w:val="-18"/>
        </w:rPr>
        <w:t xml:space="preserve">） </w:t>
      </w:r>
      <w:r>
        <w:rPr>
          <w:color w:val="auto"/>
        </w:rPr>
        <w:t>身份证号码：</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pPr>
        <w:pStyle w:val="7"/>
        <w:spacing w:before="8"/>
        <w:ind w:left="0"/>
        <w:rPr>
          <w:rFonts w:ascii="Times New Roman"/>
          <w:color w:val="auto"/>
          <w:sz w:val="28"/>
        </w:rPr>
      </w:pPr>
    </w:p>
    <w:p>
      <w:pPr>
        <w:pStyle w:val="7"/>
        <w:tabs>
          <w:tab w:val="left" w:pos="839"/>
          <w:tab w:val="left" w:pos="1799"/>
          <w:tab w:val="left" w:pos="2519"/>
        </w:tabs>
        <w:spacing w:before="67"/>
        <w:ind w:left="0" w:right="396"/>
        <w:jc w:val="right"/>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jc w:val="right"/>
        <w:rPr>
          <w:color w:val="auto"/>
        </w:rPr>
        <w:sectPr>
          <w:pgSz w:w="11910" w:h="16840"/>
          <w:pgMar w:top="1580" w:right="1020" w:bottom="980" w:left="1020" w:header="0" w:footer="789" w:gutter="0"/>
          <w:pgBorders>
            <w:top w:val="none" w:sz="0" w:space="0"/>
            <w:left w:val="none" w:sz="0" w:space="0"/>
            <w:bottom w:val="none" w:sz="0" w:space="0"/>
            <w:right w:val="none" w:sz="0" w:space="0"/>
          </w:pgBorders>
          <w:pgNumType w:fmt="decimal"/>
          <w:cols w:space="720" w:num="1"/>
        </w:sectPr>
      </w:pPr>
    </w:p>
    <w:p>
      <w:pPr>
        <w:spacing w:before="40"/>
        <w:ind w:left="432" w:right="433" w:firstLine="0"/>
        <w:jc w:val="center"/>
        <w:rPr>
          <w:b/>
          <w:color w:val="auto"/>
          <w:sz w:val="32"/>
        </w:rPr>
      </w:pPr>
      <w:bookmarkStart w:id="126" w:name="四、投标保证金"/>
      <w:bookmarkEnd w:id="126"/>
      <w:r>
        <w:rPr>
          <w:b/>
          <w:color w:val="auto"/>
          <w:sz w:val="32"/>
        </w:rPr>
        <w:t>四、投标保证金</w:t>
      </w:r>
    </w:p>
    <w:p>
      <w:pPr>
        <w:pStyle w:val="7"/>
        <w:spacing w:before="251" w:line="412" w:lineRule="auto"/>
        <w:ind w:left="816" w:right="1848"/>
        <w:rPr>
          <w:color w:val="auto"/>
        </w:rPr>
      </w:pPr>
      <w:r>
        <w:rPr>
          <w:color w:val="auto"/>
        </w:rPr>
        <w:t>若采用银行转账，投标人应在此提供汇款凭证的复印件并加盖公章。如采用银行保函，参考格式如下。</w:t>
      </w:r>
    </w:p>
    <w:p>
      <w:pPr>
        <w:pStyle w:val="7"/>
        <w:spacing w:before="10"/>
        <w:ind w:left="0"/>
        <w:rPr>
          <w:color w:val="auto"/>
          <w:sz w:val="30"/>
        </w:rPr>
      </w:pPr>
    </w:p>
    <w:p>
      <w:pPr>
        <w:pStyle w:val="7"/>
        <w:rPr>
          <w:color w:val="auto"/>
        </w:rPr>
      </w:pPr>
      <w:r>
        <w:rPr>
          <w:rFonts w:hint="eastAsia"/>
          <w:color w:val="auto"/>
          <w:u w:val="single"/>
          <w:lang w:eastAsia="zh-CN"/>
        </w:rPr>
        <w:t>平远县东石镇人民政府</w:t>
      </w:r>
      <w:r>
        <w:rPr>
          <w:color w:val="auto"/>
        </w:rPr>
        <w:t>：</w:t>
      </w:r>
    </w:p>
    <w:p>
      <w:pPr>
        <w:pStyle w:val="7"/>
        <w:ind w:left="0"/>
        <w:rPr>
          <w:color w:val="auto"/>
        </w:rPr>
      </w:pPr>
    </w:p>
    <w:p>
      <w:pPr>
        <w:pStyle w:val="7"/>
        <w:tabs>
          <w:tab w:val="left" w:pos="1515"/>
          <w:tab w:val="left" w:pos="3448"/>
          <w:tab w:val="left" w:pos="5800"/>
          <w:tab w:val="left" w:pos="7907"/>
          <w:tab w:val="left" w:pos="8507"/>
          <w:tab w:val="left" w:pos="9227"/>
        </w:tabs>
        <w:spacing w:before="179" w:line="364" w:lineRule="auto"/>
        <w:ind w:right="276" w:firstLine="480"/>
        <w:rPr>
          <w:color w:val="auto"/>
        </w:rPr>
      </w:pPr>
      <w:r>
        <w:rPr>
          <w:color w:val="auto"/>
        </w:rPr>
        <w:t>鉴于</w:t>
      </w:r>
      <w:r>
        <w:rPr>
          <w:rFonts w:ascii="Times New Roman" w:hAnsi="Times New Roman" w:eastAsia="Times New Roman"/>
          <w:color w:val="auto"/>
          <w:w w:val="94"/>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r>
        <w:rPr>
          <w:color w:val="auto"/>
          <w:w w:val="94"/>
          <w:u w:val="single"/>
        </w:rPr>
        <w:t>（</w:t>
      </w:r>
      <w:r>
        <w:rPr>
          <w:color w:val="auto"/>
          <w:spacing w:val="2"/>
          <w:w w:val="94"/>
        </w:rPr>
        <w:t>投</w:t>
      </w:r>
      <w:r>
        <w:rPr>
          <w:color w:val="auto"/>
          <w:spacing w:val="-1"/>
          <w:w w:val="94"/>
        </w:rPr>
        <w:t>标</w:t>
      </w:r>
      <w:r>
        <w:rPr>
          <w:color w:val="auto"/>
          <w:spacing w:val="2"/>
          <w:w w:val="94"/>
        </w:rPr>
        <w:t>人</w:t>
      </w:r>
      <w:r>
        <w:rPr>
          <w:color w:val="auto"/>
          <w:w w:val="94"/>
        </w:rPr>
        <w:t>名</w:t>
      </w:r>
      <w:r>
        <w:rPr>
          <w:color w:val="auto"/>
          <w:spacing w:val="2"/>
          <w:w w:val="94"/>
        </w:rPr>
        <w:t>称</w:t>
      </w:r>
      <w:r>
        <w:rPr>
          <w:color w:val="auto"/>
          <w:spacing w:val="-137"/>
          <w:w w:val="94"/>
        </w:rPr>
        <w:t>）</w:t>
      </w:r>
      <w:r>
        <w:rPr>
          <w:color w:val="auto"/>
          <w:w w:val="94"/>
        </w:rPr>
        <w:t>（</w:t>
      </w:r>
      <w:r>
        <w:rPr>
          <w:color w:val="auto"/>
          <w:spacing w:val="2"/>
          <w:w w:val="94"/>
        </w:rPr>
        <w:t>以下</w:t>
      </w:r>
      <w:r>
        <w:rPr>
          <w:color w:val="auto"/>
          <w:spacing w:val="-70"/>
          <w:w w:val="94"/>
        </w:rPr>
        <w:t>称</w:t>
      </w:r>
      <w:r>
        <w:rPr>
          <w:color w:val="auto"/>
          <w:spacing w:val="2"/>
          <w:w w:val="94"/>
        </w:rPr>
        <w:t>“投</w:t>
      </w:r>
      <w:r>
        <w:rPr>
          <w:color w:val="auto"/>
          <w:w w:val="94"/>
        </w:rPr>
        <w:t>标</w:t>
      </w:r>
      <w:r>
        <w:rPr>
          <w:color w:val="auto"/>
          <w:spacing w:val="-1"/>
          <w:w w:val="94"/>
        </w:rPr>
        <w:t>人</w:t>
      </w:r>
      <w:r>
        <w:rPr>
          <w:color w:val="auto"/>
          <w:spacing w:val="-65"/>
          <w:w w:val="94"/>
        </w:rPr>
        <w:t>”</w:t>
      </w:r>
      <w:r>
        <w:rPr>
          <w:color w:val="auto"/>
          <w:spacing w:val="-70"/>
          <w:w w:val="94"/>
        </w:rPr>
        <w:t>）</w:t>
      </w:r>
      <w:r>
        <w:rPr>
          <w:color w:val="auto"/>
          <w:w w:val="94"/>
        </w:rPr>
        <w:t>于</w:t>
      </w:r>
      <w:r>
        <w:rPr>
          <w:color w:val="auto"/>
          <w:spacing w:val="2"/>
        </w:rPr>
        <w:t xml:space="preserve"> </w:t>
      </w:r>
      <w:r>
        <w:rPr>
          <w:rFonts w:ascii="Times New Roman" w:hAnsi="Times New Roman" w:eastAsia="Times New Roman"/>
          <w:color w:val="auto"/>
          <w:w w:val="94"/>
          <w:u w:val="single"/>
        </w:rPr>
        <w:t xml:space="preserve"> </w:t>
      </w:r>
      <w:r>
        <w:rPr>
          <w:rFonts w:ascii="Times New Roman" w:hAnsi="Times New Roman" w:eastAsia="Times New Roman"/>
          <w:color w:val="auto"/>
          <w:u w:val="single"/>
        </w:rPr>
        <w:tab/>
      </w:r>
      <w:r>
        <w:rPr>
          <w:color w:val="auto"/>
        </w:rPr>
        <w:t>年</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color w:val="auto"/>
        </w:rPr>
        <w:t>月</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color w:val="auto"/>
        </w:rPr>
        <w:t>日参加</w:t>
      </w:r>
      <w:r>
        <w:rPr>
          <w:color w:val="auto"/>
          <w:u w:val="single"/>
        </w:rPr>
        <w:t xml:space="preserve"> </w:t>
      </w:r>
      <w:r>
        <w:rPr>
          <w:rFonts w:hint="eastAsia" w:ascii="宋体" w:hAnsi="宋体" w:eastAsia="宋体" w:cs="宋体"/>
          <w:b/>
          <w:color w:val="auto"/>
          <w:szCs w:val="28"/>
          <w:highlight w:val="none"/>
          <w:u w:val="single"/>
        </w:rPr>
        <w:t>（项目名称）</w:t>
      </w:r>
      <w:r>
        <w:rPr>
          <w:rFonts w:hint="eastAsia" w:ascii="Times New Roman" w:hAnsi="Times New Roman"/>
          <w:color w:val="auto"/>
          <w:u w:val="single"/>
          <w:lang w:val="en-US" w:eastAsia="zh-CN"/>
        </w:rPr>
        <w:t xml:space="preserve"> </w:t>
      </w:r>
      <w:r>
        <w:rPr>
          <w:color w:val="auto"/>
        </w:rPr>
        <w:t>招标的投标</w:t>
      </w:r>
      <w:r>
        <w:rPr>
          <w:color w:val="auto"/>
          <w:spacing w:val="-17"/>
        </w:rPr>
        <w:t>，</w:t>
      </w:r>
      <w:r>
        <w:rPr>
          <w:color w:val="auto"/>
          <w:spacing w:val="-17"/>
          <w:u w:val="single"/>
        </w:rPr>
        <w:t xml:space="preserve"> </w:t>
      </w:r>
      <w:r>
        <w:rPr>
          <w:color w:val="auto"/>
          <w:spacing w:val="-17"/>
          <w:u w:val="single"/>
        </w:rPr>
        <w:tab/>
      </w:r>
      <w:r>
        <w:rPr>
          <w:color w:val="auto"/>
        </w:rPr>
        <w:t>（担保人名称</w:t>
      </w:r>
      <w:r>
        <w:rPr>
          <w:color w:val="auto"/>
          <w:spacing w:val="-17"/>
        </w:rPr>
        <w:t>，</w:t>
      </w:r>
      <w:r>
        <w:rPr>
          <w:color w:val="auto"/>
        </w:rPr>
        <w:t>以下简</w:t>
      </w:r>
      <w:r>
        <w:rPr>
          <w:color w:val="auto"/>
          <w:spacing w:val="-20"/>
        </w:rPr>
        <w:t>称</w:t>
      </w:r>
      <w:r>
        <w:rPr>
          <w:color w:val="auto"/>
          <w:u w:val="single"/>
        </w:rPr>
        <w:t>“我方</w:t>
      </w:r>
      <w:r>
        <w:rPr>
          <w:color w:val="auto"/>
          <w:spacing w:val="-18"/>
          <w:u w:val="single"/>
        </w:rPr>
        <w:t>”</w:t>
      </w:r>
      <w:r>
        <w:rPr>
          <w:color w:val="auto"/>
          <w:spacing w:val="-18"/>
          <w:u w:val="none"/>
        </w:rPr>
        <w:t>）</w:t>
      </w:r>
      <w:r>
        <w:rPr>
          <w:color w:val="auto"/>
          <w:spacing w:val="-18"/>
          <w:u w:val="single"/>
        </w:rPr>
        <w:t xml:space="preserve"> </w:t>
      </w:r>
      <w:r>
        <w:rPr>
          <w:color w:val="auto"/>
        </w:rPr>
        <w:t>无条件地</w:t>
      </w:r>
      <w:r>
        <w:rPr>
          <w:color w:val="auto"/>
          <w:spacing w:val="-17"/>
        </w:rPr>
        <w:t>、</w:t>
      </w:r>
      <w:r>
        <w:rPr>
          <w:color w:val="auto"/>
        </w:rPr>
        <w:t>不可撤销地保证</w:t>
      </w:r>
      <w:r>
        <w:rPr>
          <w:color w:val="auto"/>
          <w:spacing w:val="-15"/>
        </w:rPr>
        <w:t>：</w:t>
      </w:r>
      <w:r>
        <w:rPr>
          <w:color w:val="auto"/>
        </w:rPr>
        <w:t>若投标人在投标有效期内撤销投标文件</w:t>
      </w:r>
      <w:r>
        <w:rPr>
          <w:color w:val="auto"/>
          <w:spacing w:val="-17"/>
        </w:rPr>
        <w:t>，</w:t>
      </w:r>
      <w:r>
        <w:rPr>
          <w:color w:val="auto"/>
        </w:rPr>
        <w:t>中标后无正当理由不与招标人订立合同</w:t>
      </w:r>
      <w:r>
        <w:rPr>
          <w:color w:val="auto"/>
          <w:spacing w:val="-24"/>
        </w:rPr>
        <w:t>，</w:t>
      </w:r>
      <w:r>
        <w:rPr>
          <w:color w:val="auto"/>
        </w:rPr>
        <w:t>在签订合同时向招标人提出附加条件</w:t>
      </w:r>
      <w:r>
        <w:rPr>
          <w:color w:val="auto"/>
          <w:spacing w:val="-24"/>
        </w:rPr>
        <w:t>，</w:t>
      </w:r>
      <w:r>
        <w:rPr>
          <w:color w:val="auto"/>
        </w:rPr>
        <w:t>不按照招标文件要求提交履约保证金</w:t>
      </w:r>
      <w:r>
        <w:rPr>
          <w:color w:val="auto"/>
          <w:spacing w:val="-24"/>
        </w:rPr>
        <w:t>，</w:t>
      </w:r>
      <w:r>
        <w:rPr>
          <w:color w:val="auto"/>
        </w:rPr>
        <w:t>或者发生招标文件明确规定可以不予退还投标保证金的其他情形</w:t>
      </w:r>
      <w:r>
        <w:rPr>
          <w:color w:val="auto"/>
          <w:spacing w:val="-24"/>
        </w:rPr>
        <w:t>，</w:t>
      </w:r>
      <w:r>
        <w:rPr>
          <w:color w:val="auto"/>
        </w:rPr>
        <w:t xml:space="preserve">我方承担保证责任。收到你方书面通知后，我方在 </w:t>
      </w:r>
      <w:r>
        <w:rPr>
          <w:rFonts w:ascii="Times New Roman" w:hAnsi="Times New Roman" w:eastAsia="Times New Roman"/>
          <w:color w:val="auto"/>
        </w:rPr>
        <w:t xml:space="preserve">7 </w:t>
      </w:r>
      <w:r>
        <w:rPr>
          <w:color w:val="auto"/>
        </w:rPr>
        <w:t>日内向你方无条件支付人民币（大</w:t>
      </w:r>
    </w:p>
    <w:p>
      <w:pPr>
        <w:pStyle w:val="7"/>
        <w:tabs>
          <w:tab w:val="left" w:pos="3815"/>
        </w:tabs>
        <w:spacing w:line="302" w:lineRule="exact"/>
        <w:rPr>
          <w:color w:val="auto"/>
        </w:rPr>
      </w:pPr>
      <w:r>
        <w:rPr>
          <w:color w:val="auto"/>
        </w:rPr>
        <w:t>写）</w:t>
      </w:r>
      <w:r>
        <w:rPr>
          <w:color w:val="auto"/>
          <w:u w:val="single"/>
        </w:rPr>
        <w:t xml:space="preserve"> </w:t>
      </w:r>
      <w:r>
        <w:rPr>
          <w:color w:val="auto"/>
          <w:u w:val="single"/>
        </w:rPr>
        <w:tab/>
      </w:r>
      <w:r>
        <w:rPr>
          <w:color w:val="auto"/>
        </w:rPr>
        <w:t>。</w:t>
      </w:r>
    </w:p>
    <w:p>
      <w:pPr>
        <w:pStyle w:val="7"/>
        <w:spacing w:before="161" w:line="362" w:lineRule="auto"/>
        <w:ind w:right="408" w:firstLine="420"/>
        <w:rPr>
          <w:color w:val="auto"/>
        </w:rPr>
      </w:pPr>
      <w:r>
        <w:rPr>
          <w:color w:val="auto"/>
        </w:rPr>
        <w:t>本保函在投标有效期内保持有效。要求我方承担保证责任的通知应在投标有效期内送达我方。</w:t>
      </w:r>
    </w:p>
    <w:p>
      <w:pPr>
        <w:pStyle w:val="7"/>
        <w:tabs>
          <w:tab w:val="left" w:pos="8147"/>
          <w:tab w:val="left" w:pos="8627"/>
          <w:tab w:val="left" w:pos="9527"/>
        </w:tabs>
        <w:spacing w:before="204" w:line="364" w:lineRule="auto"/>
        <w:ind w:left="4236" w:right="276"/>
        <w:jc w:val="both"/>
        <w:rPr>
          <w:rFonts w:ascii="Times New Roman" w:eastAsia="Times New Roman"/>
          <w:color w:val="auto"/>
        </w:rPr>
      </w:pPr>
      <w:r>
        <w:rPr>
          <w:color w:val="auto"/>
        </w:rPr>
        <w:t>担保人名称：</w:t>
      </w:r>
      <w:r>
        <w:rPr>
          <w:color w:val="auto"/>
          <w:u w:val="single"/>
        </w:rPr>
        <w:tab/>
      </w:r>
      <w:r>
        <w:rPr>
          <w:color w:val="auto"/>
          <w:u w:val="single"/>
        </w:rPr>
        <w:t>（</w:t>
      </w:r>
      <w:r>
        <w:rPr>
          <w:color w:val="auto"/>
        </w:rPr>
        <w:t>盖单位章</w:t>
      </w:r>
      <w:r>
        <w:rPr>
          <w:color w:val="auto"/>
          <w:spacing w:val="-18"/>
        </w:rPr>
        <w:t xml:space="preserve">） </w:t>
      </w:r>
      <w:r>
        <w:rPr>
          <w:color w:val="auto"/>
        </w:rPr>
        <w:t>法定代表人或其委托代理人：</w:t>
      </w:r>
      <w:r>
        <w:rPr>
          <w:color w:val="auto"/>
          <w:u w:val="single"/>
        </w:rPr>
        <w:tab/>
      </w:r>
      <w:r>
        <w:rPr>
          <w:color w:val="auto"/>
          <w:u w:val="single"/>
        </w:rPr>
        <w:tab/>
      </w:r>
      <w:r>
        <w:rPr>
          <w:color w:val="auto"/>
          <w:u w:val="single"/>
        </w:rPr>
        <w:t>（</w:t>
      </w:r>
      <w:r>
        <w:rPr>
          <w:color w:val="auto"/>
        </w:rPr>
        <w:t>签字</w:t>
      </w:r>
      <w:r>
        <w:rPr>
          <w:color w:val="auto"/>
          <w:spacing w:val="-18"/>
        </w:rPr>
        <w:t xml:space="preserve">） </w:t>
      </w:r>
      <w:r>
        <w:rPr>
          <w:color w:val="auto"/>
        </w:rPr>
        <w:t>地    址：</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邮政编码：</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电   话 ：</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p>
    <w:p>
      <w:pPr>
        <w:pStyle w:val="7"/>
        <w:tabs>
          <w:tab w:val="left" w:pos="6635"/>
          <w:tab w:val="left" w:pos="7355"/>
          <w:tab w:val="left" w:pos="8075"/>
        </w:tabs>
        <w:spacing w:line="306" w:lineRule="exact"/>
        <w:ind w:left="5916"/>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pStyle w:val="7"/>
        <w:ind w:left="0"/>
        <w:rPr>
          <w:color w:val="auto"/>
          <w:sz w:val="26"/>
        </w:rPr>
      </w:pPr>
    </w:p>
    <w:p>
      <w:pPr>
        <w:pStyle w:val="7"/>
        <w:ind w:left="0"/>
        <w:rPr>
          <w:color w:val="auto"/>
          <w:sz w:val="26"/>
        </w:rPr>
      </w:pPr>
    </w:p>
    <w:p>
      <w:pPr>
        <w:pStyle w:val="7"/>
        <w:ind w:left="0"/>
        <w:rPr>
          <w:color w:val="auto"/>
          <w:sz w:val="34"/>
        </w:rPr>
      </w:pPr>
    </w:p>
    <w:p>
      <w:pPr>
        <w:spacing w:before="1" w:line="244" w:lineRule="auto"/>
        <w:ind w:left="395" w:right="364" w:firstLine="0"/>
        <w:jc w:val="left"/>
        <w:rPr>
          <w:b/>
          <w:color w:val="auto"/>
          <w:sz w:val="21"/>
        </w:rPr>
      </w:pPr>
      <w:r>
        <w:rPr>
          <w:b/>
          <w:color w:val="auto"/>
          <w:w w:val="95"/>
          <w:sz w:val="21"/>
        </w:rPr>
        <w:t xml:space="preserve">注：本保函格式只作为参考，投标人可根据当地银行及相关规定的格式填写，但主要内容须与本保   </w:t>
      </w:r>
      <w:r>
        <w:rPr>
          <w:b/>
          <w:color w:val="auto"/>
          <w:sz w:val="21"/>
        </w:rPr>
        <w:t>函内容原则上保持一致。</w:t>
      </w:r>
    </w:p>
    <w:p>
      <w:pPr>
        <w:spacing w:after="0" w:line="244" w:lineRule="auto"/>
        <w:jc w:val="left"/>
        <w:rPr>
          <w:color w:val="auto"/>
          <w:sz w:val="21"/>
        </w:rPr>
        <w:sectPr>
          <w:pgSz w:w="11910" w:h="16840"/>
          <w:pgMar w:top="1360" w:right="1020" w:bottom="980" w:left="1020" w:header="0" w:footer="789" w:gutter="0"/>
          <w:pgBorders>
            <w:top w:val="none" w:sz="0" w:space="0"/>
            <w:left w:val="none" w:sz="0" w:space="0"/>
            <w:bottom w:val="none" w:sz="0" w:space="0"/>
            <w:right w:val="none" w:sz="0" w:space="0"/>
          </w:pgBorders>
          <w:pgNumType w:fmt="decimal"/>
          <w:cols w:space="720" w:num="1"/>
        </w:sectPr>
      </w:pPr>
    </w:p>
    <w:p>
      <w:pPr>
        <w:spacing w:before="224"/>
        <w:ind w:left="432" w:right="433" w:firstLine="0"/>
        <w:jc w:val="center"/>
        <w:rPr>
          <w:b/>
          <w:color w:val="auto"/>
          <w:sz w:val="32"/>
        </w:rPr>
      </w:pPr>
      <w:bookmarkStart w:id="127" w:name="五、资格审查资料"/>
      <w:bookmarkEnd w:id="127"/>
      <w:r>
        <w:rPr>
          <w:b/>
          <w:color w:val="auto"/>
          <w:sz w:val="32"/>
        </w:rPr>
        <w:t>五、资格审查资料</w:t>
      </w:r>
    </w:p>
    <w:p>
      <w:pPr>
        <w:pStyle w:val="7"/>
        <w:spacing w:before="7"/>
        <w:ind w:left="0"/>
        <w:rPr>
          <w:b/>
          <w:color w:val="auto"/>
          <w:sz w:val="20"/>
        </w:rPr>
      </w:pPr>
    </w:p>
    <w:p>
      <w:pPr>
        <w:pStyle w:val="7"/>
        <w:spacing w:before="67" w:after="11"/>
        <w:rPr>
          <w:color w:val="auto"/>
        </w:rPr>
      </w:pPr>
      <w:bookmarkStart w:id="128" w:name="（一）投标人基本情况表"/>
      <w:bookmarkEnd w:id="128"/>
      <w:r>
        <w:rPr>
          <w:color w:val="auto"/>
        </w:rPr>
        <w:t>（一）投标人基本情况表</w:t>
      </w:r>
    </w:p>
    <w:tbl>
      <w:tblPr>
        <w:tblStyle w:val="12"/>
        <w:tblW w:w="0" w:type="auto"/>
        <w:tblInd w:w="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6"/>
        <w:gridCol w:w="883"/>
        <w:gridCol w:w="1199"/>
        <w:gridCol w:w="607"/>
        <w:gridCol w:w="604"/>
        <w:gridCol w:w="1254"/>
        <w:gridCol w:w="909"/>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6" w:type="dxa"/>
          </w:tcPr>
          <w:p>
            <w:pPr>
              <w:pStyle w:val="16"/>
              <w:spacing w:before="172"/>
              <w:ind w:left="437"/>
              <w:rPr>
                <w:color w:val="auto"/>
                <w:sz w:val="21"/>
              </w:rPr>
            </w:pPr>
            <w:r>
              <w:rPr>
                <w:color w:val="auto"/>
                <w:sz w:val="21"/>
              </w:rPr>
              <w:t>投标人名称</w:t>
            </w:r>
          </w:p>
        </w:tc>
        <w:tc>
          <w:tcPr>
            <w:tcW w:w="7345" w:type="dxa"/>
            <w:gridSpan w:val="7"/>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6" w:type="dxa"/>
          </w:tcPr>
          <w:p>
            <w:pPr>
              <w:pStyle w:val="16"/>
              <w:spacing w:before="172"/>
              <w:ind w:left="542"/>
              <w:rPr>
                <w:color w:val="auto"/>
                <w:sz w:val="21"/>
              </w:rPr>
            </w:pPr>
            <w:r>
              <w:rPr>
                <w:color w:val="auto"/>
                <w:sz w:val="21"/>
              </w:rPr>
              <w:t>注册地址</w:t>
            </w:r>
          </w:p>
        </w:tc>
        <w:tc>
          <w:tcPr>
            <w:tcW w:w="3293" w:type="dxa"/>
            <w:gridSpan w:val="4"/>
          </w:tcPr>
          <w:p>
            <w:pPr>
              <w:pStyle w:val="16"/>
              <w:rPr>
                <w:rFonts w:ascii="Times New Roman"/>
                <w:color w:val="auto"/>
                <w:sz w:val="20"/>
              </w:rPr>
            </w:pPr>
          </w:p>
        </w:tc>
        <w:tc>
          <w:tcPr>
            <w:tcW w:w="1254" w:type="dxa"/>
          </w:tcPr>
          <w:p>
            <w:pPr>
              <w:pStyle w:val="16"/>
              <w:spacing w:before="172"/>
              <w:ind w:left="186" w:right="177"/>
              <w:jc w:val="center"/>
              <w:rPr>
                <w:color w:val="auto"/>
                <w:sz w:val="21"/>
              </w:rPr>
            </w:pPr>
            <w:r>
              <w:rPr>
                <w:color w:val="auto"/>
                <w:sz w:val="21"/>
              </w:rPr>
              <w:t>邮政编码</w:t>
            </w:r>
          </w:p>
        </w:tc>
        <w:tc>
          <w:tcPr>
            <w:tcW w:w="2798" w:type="dxa"/>
            <w:gridSpan w:val="2"/>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6" w:type="dxa"/>
            <w:vMerge w:val="restart"/>
          </w:tcPr>
          <w:p>
            <w:pPr>
              <w:pStyle w:val="16"/>
              <w:rPr>
                <w:color w:val="auto"/>
                <w:sz w:val="20"/>
              </w:rPr>
            </w:pPr>
          </w:p>
          <w:p>
            <w:pPr>
              <w:pStyle w:val="16"/>
              <w:spacing w:before="2"/>
              <w:rPr>
                <w:color w:val="auto"/>
                <w:sz w:val="14"/>
              </w:rPr>
            </w:pPr>
          </w:p>
          <w:p>
            <w:pPr>
              <w:pStyle w:val="16"/>
              <w:ind w:left="542"/>
              <w:rPr>
                <w:color w:val="auto"/>
                <w:sz w:val="21"/>
              </w:rPr>
            </w:pPr>
            <w:r>
              <w:rPr>
                <w:color w:val="auto"/>
                <w:sz w:val="21"/>
              </w:rPr>
              <w:t>联系方式</w:t>
            </w:r>
          </w:p>
        </w:tc>
        <w:tc>
          <w:tcPr>
            <w:tcW w:w="883" w:type="dxa"/>
          </w:tcPr>
          <w:p>
            <w:pPr>
              <w:pStyle w:val="16"/>
              <w:spacing w:before="172"/>
              <w:ind w:left="8"/>
              <w:jc w:val="center"/>
              <w:rPr>
                <w:color w:val="auto"/>
                <w:sz w:val="21"/>
              </w:rPr>
            </w:pPr>
            <w:r>
              <w:rPr>
                <w:color w:val="auto"/>
                <w:sz w:val="21"/>
              </w:rPr>
              <w:t>联系人</w:t>
            </w:r>
          </w:p>
        </w:tc>
        <w:tc>
          <w:tcPr>
            <w:tcW w:w="2410" w:type="dxa"/>
            <w:gridSpan w:val="3"/>
          </w:tcPr>
          <w:p>
            <w:pPr>
              <w:pStyle w:val="16"/>
              <w:rPr>
                <w:rFonts w:ascii="Times New Roman"/>
                <w:color w:val="auto"/>
                <w:sz w:val="20"/>
              </w:rPr>
            </w:pPr>
          </w:p>
        </w:tc>
        <w:tc>
          <w:tcPr>
            <w:tcW w:w="1254" w:type="dxa"/>
          </w:tcPr>
          <w:p>
            <w:pPr>
              <w:pStyle w:val="16"/>
              <w:spacing w:before="172"/>
              <w:ind w:left="184" w:right="177"/>
              <w:jc w:val="center"/>
              <w:rPr>
                <w:color w:val="auto"/>
                <w:sz w:val="21"/>
              </w:rPr>
            </w:pPr>
            <w:r>
              <w:rPr>
                <w:color w:val="auto"/>
                <w:sz w:val="21"/>
              </w:rPr>
              <w:t>电 话</w:t>
            </w:r>
          </w:p>
        </w:tc>
        <w:tc>
          <w:tcPr>
            <w:tcW w:w="2798" w:type="dxa"/>
            <w:gridSpan w:val="2"/>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6" w:type="dxa"/>
            <w:vMerge w:val="continue"/>
            <w:tcBorders>
              <w:top w:val="nil"/>
            </w:tcBorders>
          </w:tcPr>
          <w:p>
            <w:pPr>
              <w:rPr>
                <w:color w:val="auto"/>
                <w:sz w:val="2"/>
                <w:szCs w:val="2"/>
              </w:rPr>
            </w:pPr>
          </w:p>
        </w:tc>
        <w:tc>
          <w:tcPr>
            <w:tcW w:w="883" w:type="dxa"/>
          </w:tcPr>
          <w:p>
            <w:pPr>
              <w:pStyle w:val="16"/>
              <w:tabs>
                <w:tab w:val="left" w:pos="428"/>
              </w:tabs>
              <w:spacing w:before="171"/>
              <w:ind w:left="8"/>
              <w:jc w:val="center"/>
              <w:rPr>
                <w:color w:val="auto"/>
                <w:sz w:val="21"/>
              </w:rPr>
            </w:pPr>
            <w:r>
              <w:rPr>
                <w:color w:val="auto"/>
                <w:sz w:val="21"/>
              </w:rPr>
              <w:t>传</w:t>
            </w:r>
            <w:r>
              <w:rPr>
                <w:color w:val="auto"/>
                <w:sz w:val="21"/>
              </w:rPr>
              <w:tab/>
            </w:r>
            <w:r>
              <w:rPr>
                <w:color w:val="auto"/>
                <w:sz w:val="21"/>
              </w:rPr>
              <w:t>真</w:t>
            </w:r>
          </w:p>
        </w:tc>
        <w:tc>
          <w:tcPr>
            <w:tcW w:w="2410" w:type="dxa"/>
            <w:gridSpan w:val="3"/>
          </w:tcPr>
          <w:p>
            <w:pPr>
              <w:pStyle w:val="16"/>
              <w:rPr>
                <w:rFonts w:ascii="Times New Roman"/>
                <w:color w:val="auto"/>
                <w:sz w:val="20"/>
              </w:rPr>
            </w:pPr>
          </w:p>
        </w:tc>
        <w:tc>
          <w:tcPr>
            <w:tcW w:w="1254" w:type="dxa"/>
          </w:tcPr>
          <w:p>
            <w:pPr>
              <w:pStyle w:val="16"/>
              <w:spacing w:before="171"/>
              <w:ind w:left="184" w:right="177"/>
              <w:jc w:val="center"/>
              <w:rPr>
                <w:color w:val="auto"/>
                <w:sz w:val="21"/>
              </w:rPr>
            </w:pPr>
            <w:r>
              <w:rPr>
                <w:color w:val="auto"/>
                <w:sz w:val="21"/>
              </w:rPr>
              <w:t>网 址</w:t>
            </w:r>
          </w:p>
        </w:tc>
        <w:tc>
          <w:tcPr>
            <w:tcW w:w="2798" w:type="dxa"/>
            <w:gridSpan w:val="2"/>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926" w:type="dxa"/>
          </w:tcPr>
          <w:p>
            <w:pPr>
              <w:pStyle w:val="16"/>
              <w:spacing w:before="171"/>
              <w:ind w:left="437"/>
              <w:rPr>
                <w:color w:val="auto"/>
                <w:sz w:val="21"/>
              </w:rPr>
            </w:pPr>
            <w:r>
              <w:rPr>
                <w:color w:val="auto"/>
                <w:sz w:val="21"/>
              </w:rPr>
              <w:t>法定代表人</w:t>
            </w:r>
          </w:p>
        </w:tc>
        <w:tc>
          <w:tcPr>
            <w:tcW w:w="883" w:type="dxa"/>
          </w:tcPr>
          <w:p>
            <w:pPr>
              <w:pStyle w:val="16"/>
              <w:spacing w:before="171"/>
              <w:ind w:left="3"/>
              <w:jc w:val="center"/>
              <w:rPr>
                <w:color w:val="auto"/>
                <w:sz w:val="21"/>
              </w:rPr>
            </w:pPr>
            <w:r>
              <w:rPr>
                <w:color w:val="auto"/>
                <w:sz w:val="21"/>
              </w:rPr>
              <w:t>姓名</w:t>
            </w:r>
          </w:p>
        </w:tc>
        <w:tc>
          <w:tcPr>
            <w:tcW w:w="1199" w:type="dxa"/>
          </w:tcPr>
          <w:p>
            <w:pPr>
              <w:pStyle w:val="16"/>
              <w:rPr>
                <w:rFonts w:ascii="Times New Roman"/>
                <w:color w:val="auto"/>
                <w:sz w:val="20"/>
              </w:rPr>
            </w:pPr>
          </w:p>
        </w:tc>
        <w:tc>
          <w:tcPr>
            <w:tcW w:w="1211" w:type="dxa"/>
            <w:gridSpan w:val="2"/>
          </w:tcPr>
          <w:p>
            <w:pPr>
              <w:pStyle w:val="16"/>
              <w:spacing w:before="171"/>
              <w:ind w:left="185"/>
              <w:rPr>
                <w:color w:val="auto"/>
                <w:sz w:val="21"/>
              </w:rPr>
            </w:pPr>
            <w:r>
              <w:rPr>
                <w:color w:val="auto"/>
                <w:sz w:val="21"/>
              </w:rPr>
              <w:t>技术职称</w:t>
            </w:r>
          </w:p>
        </w:tc>
        <w:tc>
          <w:tcPr>
            <w:tcW w:w="1254" w:type="dxa"/>
          </w:tcPr>
          <w:p>
            <w:pPr>
              <w:pStyle w:val="16"/>
              <w:rPr>
                <w:rFonts w:ascii="Times New Roman"/>
                <w:color w:val="auto"/>
                <w:sz w:val="20"/>
              </w:rPr>
            </w:pPr>
          </w:p>
        </w:tc>
        <w:tc>
          <w:tcPr>
            <w:tcW w:w="909" w:type="dxa"/>
          </w:tcPr>
          <w:p>
            <w:pPr>
              <w:pStyle w:val="16"/>
              <w:spacing w:before="171"/>
              <w:ind w:left="221" w:right="218"/>
              <w:jc w:val="center"/>
              <w:rPr>
                <w:color w:val="auto"/>
                <w:sz w:val="21"/>
              </w:rPr>
            </w:pPr>
            <w:r>
              <w:rPr>
                <w:color w:val="auto"/>
                <w:sz w:val="21"/>
              </w:rPr>
              <w:t>电话</w:t>
            </w:r>
          </w:p>
        </w:tc>
        <w:tc>
          <w:tcPr>
            <w:tcW w:w="1889" w:type="dxa"/>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6" w:type="dxa"/>
          </w:tcPr>
          <w:p>
            <w:pPr>
              <w:pStyle w:val="16"/>
              <w:spacing w:before="171"/>
              <w:ind w:left="437"/>
              <w:rPr>
                <w:color w:val="auto"/>
                <w:sz w:val="21"/>
              </w:rPr>
            </w:pPr>
            <w:r>
              <w:rPr>
                <w:color w:val="auto"/>
                <w:sz w:val="21"/>
              </w:rPr>
              <w:t>技术负责人</w:t>
            </w:r>
          </w:p>
        </w:tc>
        <w:tc>
          <w:tcPr>
            <w:tcW w:w="883" w:type="dxa"/>
          </w:tcPr>
          <w:p>
            <w:pPr>
              <w:pStyle w:val="16"/>
              <w:spacing w:before="171"/>
              <w:ind w:left="3"/>
              <w:jc w:val="center"/>
              <w:rPr>
                <w:color w:val="auto"/>
                <w:sz w:val="21"/>
              </w:rPr>
            </w:pPr>
            <w:r>
              <w:rPr>
                <w:color w:val="auto"/>
                <w:sz w:val="21"/>
              </w:rPr>
              <w:t>姓名</w:t>
            </w:r>
          </w:p>
        </w:tc>
        <w:tc>
          <w:tcPr>
            <w:tcW w:w="1199" w:type="dxa"/>
          </w:tcPr>
          <w:p>
            <w:pPr>
              <w:pStyle w:val="16"/>
              <w:rPr>
                <w:rFonts w:ascii="Times New Roman"/>
                <w:color w:val="auto"/>
                <w:sz w:val="20"/>
              </w:rPr>
            </w:pPr>
          </w:p>
        </w:tc>
        <w:tc>
          <w:tcPr>
            <w:tcW w:w="1211" w:type="dxa"/>
            <w:gridSpan w:val="2"/>
          </w:tcPr>
          <w:p>
            <w:pPr>
              <w:pStyle w:val="16"/>
              <w:spacing w:before="171"/>
              <w:ind w:left="185"/>
              <w:rPr>
                <w:color w:val="auto"/>
                <w:sz w:val="21"/>
              </w:rPr>
            </w:pPr>
            <w:r>
              <w:rPr>
                <w:color w:val="auto"/>
                <w:sz w:val="21"/>
              </w:rPr>
              <w:t>技术职称</w:t>
            </w:r>
          </w:p>
        </w:tc>
        <w:tc>
          <w:tcPr>
            <w:tcW w:w="1254" w:type="dxa"/>
          </w:tcPr>
          <w:p>
            <w:pPr>
              <w:pStyle w:val="16"/>
              <w:rPr>
                <w:rFonts w:ascii="Times New Roman"/>
                <w:color w:val="auto"/>
                <w:sz w:val="20"/>
              </w:rPr>
            </w:pPr>
          </w:p>
        </w:tc>
        <w:tc>
          <w:tcPr>
            <w:tcW w:w="909" w:type="dxa"/>
          </w:tcPr>
          <w:p>
            <w:pPr>
              <w:pStyle w:val="16"/>
              <w:spacing w:before="171"/>
              <w:ind w:left="221" w:right="218"/>
              <w:jc w:val="center"/>
              <w:rPr>
                <w:color w:val="auto"/>
                <w:sz w:val="21"/>
              </w:rPr>
            </w:pPr>
            <w:r>
              <w:rPr>
                <w:color w:val="auto"/>
                <w:sz w:val="21"/>
              </w:rPr>
              <w:t>电话</w:t>
            </w:r>
          </w:p>
        </w:tc>
        <w:tc>
          <w:tcPr>
            <w:tcW w:w="1889" w:type="dxa"/>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6" w:type="dxa"/>
          </w:tcPr>
          <w:p>
            <w:pPr>
              <w:pStyle w:val="16"/>
              <w:spacing w:before="171"/>
              <w:ind w:left="122"/>
              <w:rPr>
                <w:color w:val="auto"/>
                <w:sz w:val="21"/>
              </w:rPr>
            </w:pPr>
            <w:r>
              <w:rPr>
                <w:color w:val="auto"/>
                <w:sz w:val="21"/>
              </w:rPr>
              <w:t>企业监理资质证书</w:t>
            </w:r>
          </w:p>
        </w:tc>
        <w:tc>
          <w:tcPr>
            <w:tcW w:w="7345" w:type="dxa"/>
            <w:gridSpan w:val="7"/>
          </w:tcPr>
          <w:p>
            <w:pPr>
              <w:pStyle w:val="16"/>
              <w:tabs>
                <w:tab w:val="left" w:pos="1687"/>
                <w:tab w:val="left" w:pos="3470"/>
              </w:tabs>
              <w:spacing w:before="171"/>
              <w:ind w:left="7"/>
              <w:jc w:val="center"/>
              <w:rPr>
                <w:color w:val="auto"/>
                <w:sz w:val="21"/>
              </w:rPr>
            </w:pPr>
            <w:r>
              <w:rPr>
                <w:color w:val="auto"/>
                <w:sz w:val="21"/>
              </w:rPr>
              <w:t>类型：</w:t>
            </w:r>
            <w:r>
              <w:rPr>
                <w:color w:val="auto"/>
                <w:sz w:val="21"/>
              </w:rPr>
              <w:tab/>
            </w:r>
            <w:r>
              <w:rPr>
                <w:color w:val="auto"/>
                <w:sz w:val="21"/>
              </w:rPr>
              <w:t>等级：</w:t>
            </w:r>
            <w:r>
              <w:rPr>
                <w:color w:val="auto"/>
                <w:sz w:val="21"/>
              </w:rPr>
              <w:tab/>
            </w:r>
            <w:r>
              <w:rPr>
                <w:color w:val="auto"/>
                <w:sz w:val="21"/>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926" w:type="dxa"/>
          </w:tcPr>
          <w:p>
            <w:pPr>
              <w:pStyle w:val="16"/>
              <w:spacing w:before="110"/>
              <w:ind w:left="122"/>
              <w:rPr>
                <w:color w:val="auto"/>
                <w:sz w:val="21"/>
              </w:rPr>
            </w:pPr>
            <w:r>
              <w:rPr>
                <w:color w:val="auto"/>
                <w:sz w:val="21"/>
              </w:rPr>
              <w:t>质量管理体系证书</w:t>
            </w:r>
          </w:p>
          <w:p>
            <w:pPr>
              <w:pStyle w:val="16"/>
              <w:spacing w:before="130"/>
              <w:ind w:left="489"/>
              <w:rPr>
                <w:color w:val="auto"/>
                <w:sz w:val="21"/>
              </w:rPr>
            </w:pPr>
            <w:r>
              <w:rPr>
                <w:color w:val="auto"/>
                <w:sz w:val="21"/>
              </w:rPr>
              <w:t>（如有）</w:t>
            </w:r>
          </w:p>
        </w:tc>
        <w:tc>
          <w:tcPr>
            <w:tcW w:w="7345" w:type="dxa"/>
            <w:gridSpan w:val="7"/>
          </w:tcPr>
          <w:p>
            <w:pPr>
              <w:pStyle w:val="16"/>
              <w:spacing w:before="2"/>
              <w:rPr>
                <w:color w:val="auto"/>
                <w:sz w:val="24"/>
              </w:rPr>
            </w:pPr>
          </w:p>
          <w:p>
            <w:pPr>
              <w:pStyle w:val="16"/>
              <w:tabs>
                <w:tab w:val="left" w:pos="1687"/>
                <w:tab w:val="left" w:pos="3470"/>
              </w:tabs>
              <w:ind w:left="7"/>
              <w:jc w:val="center"/>
              <w:rPr>
                <w:color w:val="auto"/>
                <w:sz w:val="21"/>
              </w:rPr>
            </w:pPr>
            <w:r>
              <w:rPr>
                <w:color w:val="auto"/>
                <w:sz w:val="21"/>
              </w:rPr>
              <w:t>类型：</w:t>
            </w:r>
            <w:r>
              <w:rPr>
                <w:color w:val="auto"/>
                <w:sz w:val="21"/>
              </w:rPr>
              <w:tab/>
            </w:r>
            <w:r>
              <w:rPr>
                <w:color w:val="auto"/>
                <w:sz w:val="21"/>
              </w:rPr>
              <w:t>等级：</w:t>
            </w:r>
            <w:r>
              <w:rPr>
                <w:color w:val="auto"/>
                <w:sz w:val="21"/>
              </w:rPr>
              <w:tab/>
            </w:r>
            <w:r>
              <w:rPr>
                <w:color w:val="auto"/>
                <w:sz w:val="21"/>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926" w:type="dxa"/>
          </w:tcPr>
          <w:p>
            <w:pPr>
              <w:pStyle w:val="16"/>
              <w:spacing w:before="172"/>
              <w:ind w:left="437"/>
              <w:rPr>
                <w:color w:val="auto"/>
                <w:sz w:val="21"/>
              </w:rPr>
            </w:pPr>
            <w:r>
              <w:rPr>
                <w:color w:val="auto"/>
                <w:sz w:val="21"/>
              </w:rPr>
              <w:t>营业执照号</w:t>
            </w:r>
          </w:p>
        </w:tc>
        <w:tc>
          <w:tcPr>
            <w:tcW w:w="2082" w:type="dxa"/>
            <w:gridSpan w:val="2"/>
          </w:tcPr>
          <w:p>
            <w:pPr>
              <w:pStyle w:val="16"/>
              <w:rPr>
                <w:rFonts w:ascii="Times New Roman"/>
                <w:color w:val="auto"/>
                <w:sz w:val="20"/>
              </w:rPr>
            </w:pPr>
          </w:p>
        </w:tc>
        <w:tc>
          <w:tcPr>
            <w:tcW w:w="2465" w:type="dxa"/>
            <w:gridSpan w:val="3"/>
          </w:tcPr>
          <w:p>
            <w:pPr>
              <w:pStyle w:val="16"/>
              <w:spacing w:before="172"/>
              <w:ind w:left="602"/>
              <w:rPr>
                <w:color w:val="auto"/>
                <w:sz w:val="21"/>
              </w:rPr>
            </w:pPr>
            <w:r>
              <w:rPr>
                <w:color w:val="auto"/>
                <w:sz w:val="21"/>
              </w:rPr>
              <w:t>员工总人数：</w:t>
            </w:r>
          </w:p>
        </w:tc>
        <w:tc>
          <w:tcPr>
            <w:tcW w:w="2798" w:type="dxa"/>
            <w:gridSpan w:val="2"/>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6" w:type="dxa"/>
          </w:tcPr>
          <w:p>
            <w:pPr>
              <w:pStyle w:val="16"/>
              <w:spacing w:before="172"/>
              <w:ind w:left="542"/>
              <w:rPr>
                <w:color w:val="auto"/>
                <w:sz w:val="21"/>
              </w:rPr>
            </w:pPr>
            <w:r>
              <w:rPr>
                <w:color w:val="auto"/>
                <w:sz w:val="21"/>
              </w:rPr>
              <w:t>注册资本</w:t>
            </w:r>
          </w:p>
        </w:tc>
        <w:tc>
          <w:tcPr>
            <w:tcW w:w="2082" w:type="dxa"/>
            <w:gridSpan w:val="2"/>
          </w:tcPr>
          <w:p>
            <w:pPr>
              <w:pStyle w:val="16"/>
              <w:rPr>
                <w:rFonts w:ascii="Times New Roman"/>
                <w:color w:val="auto"/>
                <w:sz w:val="20"/>
              </w:rPr>
            </w:pPr>
          </w:p>
        </w:tc>
        <w:tc>
          <w:tcPr>
            <w:tcW w:w="607" w:type="dxa"/>
            <w:vMerge w:val="restart"/>
          </w:tcPr>
          <w:p>
            <w:pPr>
              <w:pStyle w:val="16"/>
              <w:rPr>
                <w:color w:val="auto"/>
                <w:sz w:val="20"/>
              </w:rPr>
            </w:pPr>
          </w:p>
          <w:p>
            <w:pPr>
              <w:pStyle w:val="16"/>
              <w:rPr>
                <w:color w:val="auto"/>
                <w:sz w:val="20"/>
              </w:rPr>
            </w:pPr>
          </w:p>
          <w:p>
            <w:pPr>
              <w:pStyle w:val="16"/>
              <w:spacing w:before="3"/>
              <w:rPr>
                <w:color w:val="auto"/>
                <w:sz w:val="20"/>
              </w:rPr>
            </w:pPr>
          </w:p>
          <w:p>
            <w:pPr>
              <w:pStyle w:val="16"/>
              <w:spacing w:line="355" w:lineRule="auto"/>
              <w:ind w:left="197" w:right="188"/>
              <w:rPr>
                <w:color w:val="auto"/>
                <w:sz w:val="21"/>
              </w:rPr>
            </w:pPr>
            <w:r>
              <w:rPr>
                <w:color w:val="auto"/>
                <w:sz w:val="21"/>
              </w:rPr>
              <w:t>其中</w:t>
            </w:r>
          </w:p>
        </w:tc>
        <w:tc>
          <w:tcPr>
            <w:tcW w:w="1858" w:type="dxa"/>
            <w:gridSpan w:val="2"/>
          </w:tcPr>
          <w:p>
            <w:pPr>
              <w:pStyle w:val="16"/>
              <w:spacing w:before="172"/>
              <w:ind w:left="298"/>
              <w:rPr>
                <w:color w:val="auto"/>
                <w:sz w:val="21"/>
              </w:rPr>
            </w:pPr>
            <w:r>
              <w:rPr>
                <w:color w:val="auto"/>
                <w:sz w:val="21"/>
              </w:rPr>
              <w:t>高级职称人员</w:t>
            </w:r>
          </w:p>
        </w:tc>
        <w:tc>
          <w:tcPr>
            <w:tcW w:w="2798" w:type="dxa"/>
            <w:gridSpan w:val="2"/>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6" w:type="dxa"/>
          </w:tcPr>
          <w:p>
            <w:pPr>
              <w:pStyle w:val="16"/>
              <w:spacing w:before="171"/>
              <w:ind w:left="542"/>
              <w:rPr>
                <w:color w:val="auto"/>
                <w:sz w:val="21"/>
              </w:rPr>
            </w:pPr>
            <w:r>
              <w:rPr>
                <w:color w:val="auto"/>
                <w:sz w:val="21"/>
              </w:rPr>
              <w:t>成立日期</w:t>
            </w:r>
          </w:p>
        </w:tc>
        <w:tc>
          <w:tcPr>
            <w:tcW w:w="2082" w:type="dxa"/>
            <w:gridSpan w:val="2"/>
          </w:tcPr>
          <w:p>
            <w:pPr>
              <w:pStyle w:val="16"/>
              <w:rPr>
                <w:rFonts w:ascii="Times New Roman"/>
                <w:color w:val="auto"/>
                <w:sz w:val="20"/>
              </w:rPr>
            </w:pPr>
          </w:p>
        </w:tc>
        <w:tc>
          <w:tcPr>
            <w:tcW w:w="607" w:type="dxa"/>
            <w:vMerge w:val="continue"/>
            <w:tcBorders>
              <w:top w:val="nil"/>
            </w:tcBorders>
          </w:tcPr>
          <w:p>
            <w:pPr>
              <w:rPr>
                <w:color w:val="auto"/>
                <w:sz w:val="2"/>
                <w:szCs w:val="2"/>
              </w:rPr>
            </w:pPr>
          </w:p>
        </w:tc>
        <w:tc>
          <w:tcPr>
            <w:tcW w:w="1858" w:type="dxa"/>
            <w:gridSpan w:val="2"/>
          </w:tcPr>
          <w:p>
            <w:pPr>
              <w:pStyle w:val="16"/>
              <w:spacing w:before="171"/>
              <w:ind w:left="298"/>
              <w:rPr>
                <w:color w:val="auto"/>
                <w:sz w:val="21"/>
              </w:rPr>
            </w:pPr>
            <w:r>
              <w:rPr>
                <w:color w:val="auto"/>
                <w:sz w:val="21"/>
              </w:rPr>
              <w:t>中级职称人员</w:t>
            </w:r>
          </w:p>
        </w:tc>
        <w:tc>
          <w:tcPr>
            <w:tcW w:w="2798" w:type="dxa"/>
            <w:gridSpan w:val="2"/>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926" w:type="dxa"/>
          </w:tcPr>
          <w:p>
            <w:pPr>
              <w:pStyle w:val="16"/>
              <w:spacing w:before="171"/>
              <w:ind w:left="122"/>
              <w:rPr>
                <w:color w:val="auto"/>
                <w:sz w:val="21"/>
              </w:rPr>
            </w:pPr>
            <w:r>
              <w:rPr>
                <w:color w:val="auto"/>
                <w:sz w:val="21"/>
              </w:rPr>
              <w:t>基本账户开户银行</w:t>
            </w:r>
          </w:p>
        </w:tc>
        <w:tc>
          <w:tcPr>
            <w:tcW w:w="2082" w:type="dxa"/>
            <w:gridSpan w:val="2"/>
          </w:tcPr>
          <w:p>
            <w:pPr>
              <w:pStyle w:val="16"/>
              <w:rPr>
                <w:rFonts w:ascii="Times New Roman"/>
                <w:color w:val="auto"/>
                <w:sz w:val="20"/>
              </w:rPr>
            </w:pPr>
          </w:p>
        </w:tc>
        <w:tc>
          <w:tcPr>
            <w:tcW w:w="607" w:type="dxa"/>
            <w:vMerge w:val="continue"/>
            <w:tcBorders>
              <w:top w:val="nil"/>
            </w:tcBorders>
          </w:tcPr>
          <w:p>
            <w:pPr>
              <w:rPr>
                <w:color w:val="auto"/>
                <w:sz w:val="2"/>
                <w:szCs w:val="2"/>
              </w:rPr>
            </w:pPr>
          </w:p>
        </w:tc>
        <w:tc>
          <w:tcPr>
            <w:tcW w:w="1858" w:type="dxa"/>
            <w:gridSpan w:val="2"/>
          </w:tcPr>
          <w:p>
            <w:pPr>
              <w:pStyle w:val="16"/>
              <w:spacing w:before="171"/>
              <w:ind w:left="298"/>
              <w:rPr>
                <w:color w:val="auto"/>
                <w:sz w:val="21"/>
              </w:rPr>
            </w:pPr>
            <w:r>
              <w:rPr>
                <w:color w:val="auto"/>
                <w:sz w:val="21"/>
              </w:rPr>
              <w:t>技术人员数量</w:t>
            </w:r>
          </w:p>
        </w:tc>
        <w:tc>
          <w:tcPr>
            <w:tcW w:w="2798" w:type="dxa"/>
            <w:gridSpan w:val="2"/>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6" w:type="dxa"/>
          </w:tcPr>
          <w:p>
            <w:pPr>
              <w:pStyle w:val="16"/>
              <w:spacing w:before="171"/>
              <w:ind w:left="122"/>
              <w:rPr>
                <w:color w:val="auto"/>
                <w:sz w:val="21"/>
              </w:rPr>
            </w:pPr>
            <w:r>
              <w:rPr>
                <w:color w:val="auto"/>
                <w:sz w:val="21"/>
              </w:rPr>
              <w:t>基本账户银行账号</w:t>
            </w:r>
          </w:p>
        </w:tc>
        <w:tc>
          <w:tcPr>
            <w:tcW w:w="2082" w:type="dxa"/>
            <w:gridSpan w:val="2"/>
          </w:tcPr>
          <w:p>
            <w:pPr>
              <w:pStyle w:val="16"/>
              <w:rPr>
                <w:rFonts w:ascii="Times New Roman"/>
                <w:color w:val="auto"/>
                <w:sz w:val="20"/>
              </w:rPr>
            </w:pPr>
          </w:p>
        </w:tc>
        <w:tc>
          <w:tcPr>
            <w:tcW w:w="607" w:type="dxa"/>
            <w:vMerge w:val="continue"/>
            <w:tcBorders>
              <w:top w:val="nil"/>
            </w:tcBorders>
          </w:tcPr>
          <w:p>
            <w:pPr>
              <w:rPr>
                <w:color w:val="auto"/>
                <w:sz w:val="2"/>
                <w:szCs w:val="2"/>
              </w:rPr>
            </w:pPr>
          </w:p>
        </w:tc>
        <w:tc>
          <w:tcPr>
            <w:tcW w:w="1858" w:type="dxa"/>
            <w:gridSpan w:val="2"/>
          </w:tcPr>
          <w:p>
            <w:pPr>
              <w:pStyle w:val="16"/>
              <w:spacing w:before="171"/>
              <w:ind w:left="298"/>
              <w:rPr>
                <w:color w:val="auto"/>
                <w:sz w:val="21"/>
              </w:rPr>
            </w:pPr>
            <w:r>
              <w:rPr>
                <w:color w:val="auto"/>
                <w:sz w:val="21"/>
              </w:rPr>
              <w:t>各类注册人员</w:t>
            </w:r>
          </w:p>
        </w:tc>
        <w:tc>
          <w:tcPr>
            <w:tcW w:w="2798" w:type="dxa"/>
            <w:gridSpan w:val="2"/>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926" w:type="dxa"/>
          </w:tcPr>
          <w:p>
            <w:pPr>
              <w:pStyle w:val="16"/>
              <w:spacing w:before="3"/>
              <w:rPr>
                <w:color w:val="auto"/>
                <w:sz w:val="23"/>
              </w:rPr>
            </w:pPr>
          </w:p>
          <w:p>
            <w:pPr>
              <w:pStyle w:val="16"/>
              <w:ind w:left="648"/>
              <w:rPr>
                <w:color w:val="auto"/>
                <w:sz w:val="21"/>
              </w:rPr>
            </w:pPr>
            <w:r>
              <w:rPr>
                <w:color w:val="auto"/>
                <w:sz w:val="21"/>
              </w:rPr>
              <w:t>经营范围</w:t>
            </w:r>
          </w:p>
        </w:tc>
        <w:tc>
          <w:tcPr>
            <w:tcW w:w="7345" w:type="dxa"/>
            <w:gridSpan w:val="7"/>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926" w:type="dxa"/>
          </w:tcPr>
          <w:p>
            <w:pPr>
              <w:pStyle w:val="16"/>
              <w:spacing w:before="110" w:line="357" w:lineRule="auto"/>
              <w:ind w:left="139" w:right="122" w:firstLine="206"/>
              <w:jc w:val="both"/>
              <w:rPr>
                <w:color w:val="auto"/>
                <w:sz w:val="21"/>
              </w:rPr>
            </w:pPr>
            <w:r>
              <w:rPr>
                <w:color w:val="auto"/>
                <w:w w:val="95"/>
                <w:sz w:val="21"/>
              </w:rPr>
              <w:t>投标人关联企业情况（包括但不限于与投标人法定代表人为同一人或者存在控股、管理关</w:t>
            </w:r>
          </w:p>
          <w:p>
            <w:pPr>
              <w:pStyle w:val="16"/>
              <w:spacing w:line="264" w:lineRule="exact"/>
              <w:ind w:left="245"/>
              <w:rPr>
                <w:color w:val="auto"/>
                <w:sz w:val="21"/>
              </w:rPr>
            </w:pPr>
            <w:r>
              <w:rPr>
                <w:color w:val="auto"/>
                <w:sz w:val="21"/>
              </w:rPr>
              <w:t>系的不同单位）</w:t>
            </w:r>
          </w:p>
        </w:tc>
        <w:tc>
          <w:tcPr>
            <w:tcW w:w="7345" w:type="dxa"/>
            <w:gridSpan w:val="7"/>
          </w:tcPr>
          <w:p>
            <w:pPr>
              <w:pStyle w:val="1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926" w:type="dxa"/>
          </w:tcPr>
          <w:p>
            <w:pPr>
              <w:pStyle w:val="16"/>
              <w:spacing w:before="12"/>
              <w:rPr>
                <w:color w:val="auto"/>
                <w:sz w:val="16"/>
              </w:rPr>
            </w:pPr>
          </w:p>
          <w:p>
            <w:pPr>
              <w:pStyle w:val="16"/>
              <w:ind w:left="730" w:right="726"/>
              <w:jc w:val="center"/>
              <w:rPr>
                <w:color w:val="auto"/>
                <w:sz w:val="21"/>
              </w:rPr>
            </w:pPr>
            <w:r>
              <w:rPr>
                <w:color w:val="auto"/>
                <w:sz w:val="21"/>
              </w:rPr>
              <w:t>备注</w:t>
            </w:r>
          </w:p>
        </w:tc>
        <w:tc>
          <w:tcPr>
            <w:tcW w:w="7345" w:type="dxa"/>
            <w:gridSpan w:val="7"/>
          </w:tcPr>
          <w:p>
            <w:pPr>
              <w:pStyle w:val="16"/>
              <w:rPr>
                <w:rFonts w:ascii="Times New Roman"/>
                <w:color w:val="auto"/>
                <w:sz w:val="20"/>
              </w:rPr>
            </w:pPr>
          </w:p>
        </w:tc>
      </w:tr>
    </w:tbl>
    <w:p>
      <w:pPr>
        <w:pStyle w:val="7"/>
        <w:spacing w:before="6"/>
        <w:ind w:left="0"/>
        <w:rPr>
          <w:color w:val="auto"/>
          <w:sz w:val="21"/>
        </w:rPr>
      </w:pPr>
    </w:p>
    <w:p>
      <w:pPr>
        <w:spacing w:before="0" w:line="364" w:lineRule="auto"/>
        <w:ind w:left="515" w:right="366" w:firstLine="0"/>
        <w:jc w:val="left"/>
        <w:rPr>
          <w:color w:val="auto"/>
          <w:sz w:val="24"/>
        </w:rPr>
      </w:pPr>
      <w:r>
        <w:rPr>
          <w:b/>
          <w:color w:val="auto"/>
          <w:sz w:val="24"/>
        </w:rPr>
        <w:t>注：请附以下资料（提供复印件或截图的，须加盖投标单位公章），</w:t>
      </w:r>
      <w:r>
        <w:rPr>
          <w:color w:val="auto"/>
          <w:sz w:val="24"/>
        </w:rPr>
        <w:t>投标人以银行转账形式提交投标保证金的，还应附基本账户开户许可证（或由投标人基本账户登记备</w:t>
      </w:r>
    </w:p>
    <w:p>
      <w:pPr>
        <w:spacing w:after="0" w:line="364" w:lineRule="auto"/>
        <w:jc w:val="left"/>
        <w:rPr>
          <w:color w:val="auto"/>
          <w:sz w:val="24"/>
        </w:rPr>
        <w:sectPr>
          <w:pgSz w:w="11910" w:h="16840"/>
          <w:pgMar w:top="1580" w:right="1020" w:bottom="980" w:left="1020" w:header="0" w:footer="789" w:gutter="0"/>
          <w:pgBorders>
            <w:top w:val="none" w:sz="0" w:space="0"/>
            <w:left w:val="none" w:sz="0" w:space="0"/>
            <w:bottom w:val="none" w:sz="0" w:space="0"/>
            <w:right w:val="none" w:sz="0" w:space="0"/>
          </w:pgBorders>
          <w:pgNumType w:fmt="decimal"/>
          <w:cols w:space="720" w:num="1"/>
        </w:sectPr>
      </w:pPr>
    </w:p>
    <w:p>
      <w:pPr>
        <w:pStyle w:val="7"/>
        <w:spacing w:before="41" w:line="362" w:lineRule="auto"/>
        <w:ind w:left="876" w:right="3813" w:hanging="360"/>
        <w:rPr>
          <w:color w:val="auto"/>
        </w:rPr>
      </w:pPr>
      <w:r>
        <w:rPr>
          <w:color w:val="auto"/>
        </w:rPr>
        <w:t>案的银行出具的“基本存款账户信息”）的复印件</w:t>
      </w:r>
      <w:r>
        <w:rPr>
          <w:b/>
          <w:color w:val="auto"/>
        </w:rPr>
        <w:t xml:space="preserve">： </w:t>
      </w:r>
      <w:r>
        <w:rPr>
          <w:color w:val="auto"/>
        </w:rPr>
        <w:t>1、企业营业执照副本、资质证书副本复印件；</w:t>
      </w:r>
    </w:p>
    <w:p>
      <w:pPr>
        <w:pStyle w:val="7"/>
        <w:spacing w:before="5" w:line="362" w:lineRule="auto"/>
        <w:ind w:right="468" w:firstLine="480"/>
        <w:rPr>
          <w:color w:val="auto"/>
        </w:rPr>
      </w:pPr>
      <w:r>
        <w:rPr>
          <w:color w:val="auto"/>
        </w:rPr>
        <w:t>2、拟派总监理工程师（项目负责人）的相关证书及二代身份证、在投标人处连续缴纳的至少 6 个月的社保证明复印件；</w:t>
      </w:r>
    </w:p>
    <w:p>
      <w:pPr>
        <w:pStyle w:val="7"/>
        <w:spacing w:before="5" w:line="362" w:lineRule="auto"/>
        <w:ind w:right="396" w:firstLine="480"/>
        <w:rPr>
          <w:color w:val="auto"/>
        </w:rPr>
      </w:pPr>
      <w:r>
        <w:rPr>
          <w:color w:val="auto"/>
        </w:rPr>
        <w:t>3、拟派专业监理工程师的相关证书及二代身份证、在投标人处连续缴纳的至少 6 个月的社保证明复印件；</w:t>
      </w:r>
    </w:p>
    <w:p>
      <w:pPr>
        <w:pStyle w:val="7"/>
        <w:spacing w:before="5" w:line="362" w:lineRule="auto"/>
        <w:ind w:right="335" w:firstLine="480"/>
        <w:rPr>
          <w:color w:val="auto"/>
        </w:rPr>
      </w:pPr>
      <w:r>
        <w:rPr>
          <w:color w:val="auto"/>
        </w:rPr>
        <w:t>4、拟派监理员的相关证书及二代身份证、在投标人处连续缴纳的至少 6 个月的社保证明复印件；</w:t>
      </w:r>
    </w:p>
    <w:p>
      <w:pPr>
        <w:pStyle w:val="7"/>
        <w:spacing w:before="158" w:line="364" w:lineRule="auto"/>
        <w:ind w:right="397" w:firstLine="480"/>
        <w:rPr>
          <w:color w:val="auto"/>
        </w:rPr>
      </w:pPr>
      <w:r>
        <w:rPr>
          <w:rFonts w:hint="eastAsia"/>
          <w:color w:val="auto"/>
          <w:lang w:val="en-US" w:eastAsia="zh-CN"/>
        </w:rPr>
        <w:t>5</w:t>
      </w:r>
      <w:r>
        <w:rPr>
          <w:color w:val="auto"/>
        </w:rPr>
        <w:t>、省外企业已在“进粤企业和人员诚信信息登记平台”录入相关信息的相关证明复印件；</w:t>
      </w:r>
    </w:p>
    <w:p>
      <w:pPr>
        <w:pStyle w:val="7"/>
        <w:spacing w:line="306" w:lineRule="exact"/>
        <w:ind w:left="876"/>
        <w:rPr>
          <w:color w:val="auto"/>
        </w:rPr>
      </w:pPr>
      <w:r>
        <w:rPr>
          <w:rFonts w:hint="eastAsia"/>
          <w:color w:val="auto"/>
          <w:lang w:val="en-US" w:eastAsia="zh-CN"/>
        </w:rPr>
        <w:t>6</w:t>
      </w:r>
      <w:r>
        <w:rPr>
          <w:color w:val="auto"/>
        </w:rPr>
        <w:t>、投标诚信承诺书原件（格式见后面）。</w:t>
      </w:r>
    </w:p>
    <w:p>
      <w:pPr>
        <w:pStyle w:val="7"/>
        <w:ind w:left="0"/>
        <w:rPr>
          <w:color w:val="auto"/>
          <w:sz w:val="32"/>
        </w:rPr>
      </w:pPr>
    </w:p>
    <w:p>
      <w:pPr>
        <w:pStyle w:val="7"/>
        <w:spacing w:line="362" w:lineRule="auto"/>
        <w:ind w:right="567"/>
        <w:rPr>
          <w:color w:val="auto"/>
        </w:rPr>
      </w:pPr>
      <w:r>
        <w:rPr>
          <w:color w:val="auto"/>
        </w:rPr>
        <w:t>注：如受疫情影响未能及时办理的，须提供相关部门有关延期办理的证明文件或网页截图等相关材料复印件加盖公章。</w:t>
      </w:r>
    </w:p>
    <w:p>
      <w:pPr>
        <w:spacing w:after="0" w:line="362" w:lineRule="auto"/>
        <w:rPr>
          <w:color w:val="auto"/>
        </w:rPr>
        <w:sectPr>
          <w:pgSz w:w="11910" w:h="16840"/>
          <w:pgMar w:top="1360" w:right="1020" w:bottom="980" w:left="1020" w:header="0" w:footer="789" w:gutter="0"/>
          <w:pgBorders>
            <w:top w:val="none" w:sz="0" w:space="0"/>
            <w:left w:val="none" w:sz="0" w:space="0"/>
            <w:bottom w:val="none" w:sz="0" w:space="0"/>
            <w:right w:val="none" w:sz="0" w:space="0"/>
          </w:pgBorders>
          <w:pgNumType w:fmt="decimal"/>
          <w:cols w:space="720" w:num="1"/>
        </w:sectPr>
      </w:pPr>
    </w:p>
    <w:p>
      <w:pPr>
        <w:spacing w:before="132"/>
        <w:ind w:left="358" w:right="0" w:firstLine="0"/>
        <w:jc w:val="center"/>
        <w:rPr>
          <w:b/>
          <w:color w:val="auto"/>
          <w:sz w:val="32"/>
        </w:rPr>
      </w:pPr>
      <w:r>
        <w:rPr>
          <w:b/>
          <w:color w:val="auto"/>
          <w:sz w:val="32"/>
        </w:rPr>
        <w:t>投标诚信承诺书</w:t>
      </w:r>
    </w:p>
    <w:p>
      <w:pPr>
        <w:pStyle w:val="7"/>
        <w:spacing w:before="9"/>
        <w:ind w:left="0"/>
        <w:rPr>
          <w:b/>
          <w:color w:val="auto"/>
          <w:sz w:val="26"/>
        </w:rPr>
      </w:pPr>
    </w:p>
    <w:p>
      <w:pPr>
        <w:pStyle w:val="5"/>
        <w:rPr>
          <w:rFonts w:hint="eastAsia" w:eastAsia="宋体"/>
          <w:color w:val="auto"/>
          <w:lang w:eastAsia="zh-CN"/>
        </w:rPr>
      </w:pPr>
      <w:r>
        <w:rPr>
          <w:color w:val="auto"/>
        </w:rPr>
        <w:t>致：</w:t>
      </w:r>
      <w:r>
        <w:rPr>
          <w:rFonts w:hint="eastAsia"/>
          <w:color w:val="auto"/>
          <w:lang w:eastAsia="zh-CN"/>
        </w:rPr>
        <w:t>平远县东石镇人民政府</w:t>
      </w:r>
    </w:p>
    <w:p>
      <w:pPr>
        <w:pStyle w:val="7"/>
        <w:spacing w:before="113" w:line="328" w:lineRule="auto"/>
        <w:ind w:right="588" w:firstLine="480"/>
        <w:rPr>
          <w:color w:val="auto"/>
        </w:rPr>
      </w:pPr>
      <w:r>
        <w:rPr>
          <w:color w:val="auto"/>
        </w:rPr>
        <w:t>本公司就自愿参加</w:t>
      </w:r>
      <w:r>
        <w:rPr>
          <w:rFonts w:hint="eastAsia"/>
          <w:b/>
          <w:bCs/>
          <w:color w:val="auto"/>
          <w:u w:val="single"/>
          <w:lang w:val="en-US" w:eastAsia="zh-CN"/>
        </w:rPr>
        <w:t xml:space="preserve">  （项目名称）  </w:t>
      </w:r>
      <w:r>
        <w:rPr>
          <w:color w:val="auto"/>
        </w:rPr>
        <w:t>的投标工作，作出郑重承诺如下：</w:t>
      </w:r>
    </w:p>
    <w:p>
      <w:pPr>
        <w:pStyle w:val="7"/>
        <w:spacing w:line="305" w:lineRule="exact"/>
        <w:ind w:left="873"/>
        <w:rPr>
          <w:color w:val="auto"/>
        </w:rPr>
      </w:pPr>
      <w:r>
        <w:rPr>
          <w:color w:val="auto"/>
        </w:rPr>
        <w:t>1、我单位拟派的项目管理班子人员均为本单位人员，提供的社保证明等材料真实有</w:t>
      </w:r>
    </w:p>
    <w:p>
      <w:pPr>
        <w:pStyle w:val="7"/>
        <w:spacing w:before="112"/>
        <w:rPr>
          <w:color w:val="auto"/>
        </w:rPr>
      </w:pPr>
      <w:r>
        <w:rPr>
          <w:color w:val="auto"/>
        </w:rPr>
        <w:t>效。</w:t>
      </w:r>
    </w:p>
    <w:p>
      <w:pPr>
        <w:pStyle w:val="7"/>
        <w:spacing w:before="96" w:line="312" w:lineRule="auto"/>
        <w:ind w:right="392" w:firstLine="420"/>
        <w:jc w:val="both"/>
        <w:rPr>
          <w:color w:val="auto"/>
        </w:rPr>
      </w:pPr>
      <w:r>
        <w:rPr>
          <w:color w:val="auto"/>
        </w:rPr>
        <w:t>2</w:t>
      </w:r>
      <w:r>
        <w:rPr>
          <w:color w:val="auto"/>
          <w:spacing w:val="-20"/>
        </w:rPr>
        <w:t xml:space="preserve">、自 </w:t>
      </w:r>
      <w:r>
        <w:rPr>
          <w:color w:val="auto"/>
        </w:rPr>
        <w:t>2021</w:t>
      </w:r>
      <w:r>
        <w:rPr>
          <w:color w:val="auto"/>
          <w:spacing w:val="-39"/>
        </w:rPr>
        <w:t xml:space="preserve"> 年 </w:t>
      </w:r>
      <w:r>
        <w:rPr>
          <w:rFonts w:hint="eastAsia"/>
          <w:color w:val="auto"/>
          <w:lang w:val="en-US" w:eastAsia="zh-CN"/>
        </w:rPr>
        <w:t>7</w:t>
      </w:r>
      <w:r>
        <w:rPr>
          <w:color w:val="auto"/>
          <w:spacing w:val="-39"/>
        </w:rPr>
        <w:t xml:space="preserve"> 月 </w:t>
      </w:r>
      <w:r>
        <w:rPr>
          <w:color w:val="auto"/>
        </w:rPr>
        <w:t>1</w:t>
      </w:r>
      <w:r>
        <w:rPr>
          <w:color w:val="auto"/>
          <w:spacing w:val="-8"/>
        </w:rPr>
        <w:t xml:space="preserve"> 日至本项目投标截止时间止</w:t>
      </w:r>
      <w:r>
        <w:rPr>
          <w:color w:val="auto"/>
        </w:rPr>
        <w:t>（以处罚或通报日期为准），</w:t>
      </w:r>
      <w:r>
        <w:rPr>
          <w:color w:val="auto"/>
          <w:spacing w:val="-6"/>
        </w:rPr>
        <w:t>我单</w:t>
      </w:r>
      <w:r>
        <w:rPr>
          <w:color w:val="auto"/>
          <w:spacing w:val="-2"/>
        </w:rPr>
        <w:t>位和拟派的总监理工程师</w:t>
      </w:r>
      <w:r>
        <w:rPr>
          <w:color w:val="auto"/>
        </w:rPr>
        <w:t>（项目负责人</w:t>
      </w:r>
      <w:r>
        <w:rPr>
          <w:color w:val="auto"/>
          <w:spacing w:val="-17"/>
        </w:rPr>
        <w:t>）</w:t>
      </w:r>
      <w:r>
        <w:rPr>
          <w:color w:val="auto"/>
          <w:spacing w:val="-3"/>
        </w:rPr>
        <w:t>在国家住房和城乡建设部“全国建筑市场监管</w:t>
      </w:r>
      <w:r>
        <w:rPr>
          <w:color w:val="auto"/>
          <w:spacing w:val="-7"/>
        </w:rPr>
        <w:t>公共服务平台”、“广东省建筑市场监管公共服务平台”以及梅州市住房和城乡建设局</w:t>
      </w:r>
      <w:r>
        <w:rPr>
          <w:color w:val="auto"/>
        </w:rPr>
        <w:t>未有被限制参与投标的信息，以及不在禁止参加房建市政工程投标的处罚期限内。</w:t>
      </w:r>
    </w:p>
    <w:p>
      <w:pPr>
        <w:spacing w:before="0" w:line="328" w:lineRule="auto"/>
        <w:ind w:left="876" w:right="375" w:hanging="8"/>
        <w:jc w:val="left"/>
        <w:rPr>
          <w:b/>
          <w:color w:val="auto"/>
          <w:sz w:val="24"/>
        </w:rPr>
      </w:pPr>
      <w:r>
        <w:rPr>
          <w:rFonts w:hint="eastAsia"/>
          <w:color w:val="auto"/>
          <w:spacing w:val="-5"/>
          <w:sz w:val="24"/>
          <w:lang w:val="en-US" w:eastAsia="zh-CN"/>
        </w:rPr>
        <w:t>3</w:t>
      </w:r>
      <w:r>
        <w:rPr>
          <w:color w:val="auto"/>
          <w:spacing w:val="-5"/>
          <w:sz w:val="24"/>
        </w:rPr>
        <w:t>、本单位所提供的一切材料都是真实、有效、合法，没有伪造、变造或虚假成份。</w:t>
      </w:r>
      <w:r>
        <w:rPr>
          <w:b/>
          <w:color w:val="auto"/>
          <w:spacing w:val="-5"/>
          <w:sz w:val="24"/>
        </w:rPr>
        <w:t>本单位如违反上述承诺，愿接受行政主管部门作出的处罚，并承担以下后果：</w:t>
      </w:r>
    </w:p>
    <w:p>
      <w:pPr>
        <w:pStyle w:val="7"/>
        <w:spacing w:line="305" w:lineRule="exact"/>
        <w:ind w:left="1356"/>
        <w:rPr>
          <w:color w:val="auto"/>
        </w:rPr>
      </w:pPr>
      <w:r>
        <w:rPr>
          <w:color w:val="auto"/>
        </w:rPr>
        <w:t>1、取消本单位在本项目中的投标资格或中标资格；</w:t>
      </w:r>
    </w:p>
    <w:p>
      <w:pPr>
        <w:pStyle w:val="7"/>
        <w:spacing w:before="107"/>
        <w:ind w:left="1356"/>
        <w:rPr>
          <w:color w:val="auto"/>
        </w:rPr>
      </w:pPr>
      <w:r>
        <w:rPr>
          <w:color w:val="auto"/>
        </w:rPr>
        <w:t>2、将本单位不良行为纳入诚信信息管理系统；</w:t>
      </w:r>
    </w:p>
    <w:p>
      <w:pPr>
        <w:pStyle w:val="7"/>
        <w:spacing w:before="113"/>
        <w:ind w:left="1356"/>
        <w:rPr>
          <w:color w:val="auto"/>
        </w:rPr>
      </w:pPr>
      <w:r>
        <w:rPr>
          <w:color w:val="auto"/>
        </w:rPr>
        <w:t>3、暂停本单位一年在梅州市行政区域参加房建市政工程的投标资格。</w:t>
      </w:r>
    </w:p>
    <w:p>
      <w:pPr>
        <w:pStyle w:val="7"/>
        <w:ind w:left="0"/>
        <w:rPr>
          <w:color w:val="auto"/>
        </w:rPr>
      </w:pPr>
    </w:p>
    <w:p>
      <w:pPr>
        <w:pStyle w:val="7"/>
        <w:ind w:left="0"/>
        <w:rPr>
          <w:color w:val="auto"/>
        </w:rPr>
      </w:pPr>
    </w:p>
    <w:p>
      <w:pPr>
        <w:pStyle w:val="7"/>
        <w:tabs>
          <w:tab w:val="left" w:pos="9527"/>
        </w:tabs>
        <w:spacing w:before="189"/>
        <w:ind w:left="4787"/>
        <w:rPr>
          <w:rFonts w:ascii="Times New Roman" w:eastAsia="Times New Roman"/>
          <w:color w:val="auto"/>
        </w:rPr>
      </w:pPr>
      <w:r>
        <w:rPr>
          <w:color w:val="auto"/>
        </w:rPr>
        <w:t>投标人：（盖章）</w:t>
      </w:r>
      <w:r>
        <w:rPr>
          <w:rFonts w:ascii="Times New Roman" w:eastAsia="Times New Roman"/>
          <w:color w:val="auto"/>
          <w:u w:val="single"/>
        </w:rPr>
        <w:t xml:space="preserve"> </w:t>
      </w:r>
      <w:r>
        <w:rPr>
          <w:rFonts w:ascii="Times New Roman" w:eastAsia="Times New Roman"/>
          <w:color w:val="auto"/>
          <w:u w:val="single"/>
        </w:rPr>
        <w:tab/>
      </w:r>
    </w:p>
    <w:p>
      <w:pPr>
        <w:pStyle w:val="7"/>
        <w:spacing w:before="8"/>
        <w:ind w:left="0"/>
        <w:rPr>
          <w:rFonts w:ascii="Times New Roman"/>
          <w:color w:val="auto"/>
          <w:sz w:val="16"/>
        </w:rPr>
      </w:pPr>
    </w:p>
    <w:p>
      <w:pPr>
        <w:pStyle w:val="7"/>
        <w:tabs>
          <w:tab w:val="left" w:pos="9248"/>
        </w:tabs>
        <w:spacing w:before="74"/>
        <w:ind w:left="5049"/>
        <w:rPr>
          <w:rFonts w:ascii="Times New Roman" w:eastAsia="Times New Roman"/>
          <w:color w:val="auto"/>
        </w:rPr>
      </w:pPr>
      <w:r>
        <w:rPr>
          <w:color w:val="auto"/>
          <w:spacing w:val="-3"/>
        </w:rPr>
        <w:t>法定代</w:t>
      </w:r>
      <w:r>
        <w:rPr>
          <w:color w:val="auto"/>
        </w:rPr>
        <w:t>表</w:t>
      </w:r>
      <w:r>
        <w:rPr>
          <w:color w:val="auto"/>
          <w:spacing w:val="-3"/>
        </w:rPr>
        <w:t>人签字</w:t>
      </w:r>
      <w:r>
        <w:rPr>
          <w:color w:val="auto"/>
          <w:spacing w:val="-4"/>
        </w:rPr>
        <w:t>：</w:t>
      </w:r>
      <w:r>
        <w:rPr>
          <w:rFonts w:ascii="Times New Roman" w:eastAsia="Times New Roman"/>
          <w:color w:val="auto"/>
          <w:u w:val="single"/>
        </w:rPr>
        <w:t xml:space="preserve"> </w:t>
      </w:r>
      <w:r>
        <w:rPr>
          <w:rFonts w:ascii="Times New Roman" w:eastAsia="Times New Roman"/>
          <w:color w:val="auto"/>
          <w:u w:val="single"/>
        </w:rPr>
        <w:tab/>
      </w:r>
    </w:p>
    <w:p>
      <w:pPr>
        <w:pStyle w:val="7"/>
        <w:spacing w:before="3"/>
        <w:ind w:left="0"/>
        <w:rPr>
          <w:rFonts w:ascii="Times New Roman"/>
          <w:color w:val="auto"/>
          <w:sz w:val="16"/>
        </w:rPr>
      </w:pPr>
    </w:p>
    <w:p>
      <w:pPr>
        <w:pStyle w:val="7"/>
        <w:tabs>
          <w:tab w:val="left" w:pos="7535"/>
          <w:tab w:val="left" w:pos="8255"/>
        </w:tabs>
        <w:spacing w:before="67"/>
        <w:ind w:left="5076"/>
        <w:rPr>
          <w:color w:val="auto"/>
        </w:rPr>
      </w:pPr>
      <w:r>
        <w:rPr>
          <w:color w:val="auto"/>
        </w:rPr>
        <w:t>承诺日期：2022</w:t>
      </w:r>
      <w:r>
        <w:rPr>
          <w:color w:val="auto"/>
          <w:spacing w:val="-60"/>
        </w:rPr>
        <w:t xml:space="preserve"> </w:t>
      </w:r>
      <w:r>
        <w:rPr>
          <w:color w:val="auto"/>
        </w:rPr>
        <w:t>年</w:t>
      </w:r>
      <w:r>
        <w:rPr>
          <w:color w:val="auto"/>
        </w:rPr>
        <w:tab/>
      </w:r>
      <w:r>
        <w:rPr>
          <w:color w:val="auto"/>
        </w:rPr>
        <w:t>月</w:t>
      </w:r>
      <w:r>
        <w:rPr>
          <w:color w:val="auto"/>
        </w:rPr>
        <w:tab/>
      </w:r>
      <w:r>
        <w:rPr>
          <w:color w:val="auto"/>
        </w:rPr>
        <w:t>日</w:t>
      </w:r>
    </w:p>
    <w:p>
      <w:pPr>
        <w:spacing w:after="0"/>
        <w:rPr>
          <w:color w:val="auto"/>
        </w:rPr>
        <w:sectPr>
          <w:pgSz w:w="11910" w:h="16840"/>
          <w:pgMar w:top="1580" w:right="1020" w:bottom="980" w:left="1020" w:header="0" w:footer="789" w:gutter="0"/>
          <w:pgBorders>
            <w:top w:val="none" w:sz="0" w:space="0"/>
            <w:left w:val="none" w:sz="0" w:space="0"/>
            <w:bottom w:val="none" w:sz="0" w:space="0"/>
            <w:right w:val="none" w:sz="0" w:space="0"/>
          </w:pgBorders>
          <w:pgNumType w:fmt="decimal"/>
          <w:cols w:space="720" w:num="1"/>
        </w:sectPr>
      </w:pPr>
    </w:p>
    <w:p>
      <w:pPr>
        <w:spacing w:line="360" w:lineRule="auto"/>
        <w:ind w:right="-45"/>
        <w:jc w:val="center"/>
        <w:rPr>
          <w:rFonts w:hint="eastAsia" w:ascii="宋体" w:hAnsi="宋体" w:eastAsia="宋体" w:cs="宋体"/>
          <w:b/>
          <w:color w:val="auto"/>
          <w:sz w:val="36"/>
          <w:szCs w:val="36"/>
          <w:highlight w:val="none"/>
        </w:rPr>
      </w:pPr>
      <w:r>
        <w:rPr>
          <w:rFonts w:hint="eastAsia" w:cs="宋体"/>
          <w:b/>
          <w:color w:val="auto"/>
          <w:sz w:val="32"/>
          <w:szCs w:val="32"/>
          <w:highlight w:val="none"/>
          <w:lang w:val="en-US" w:eastAsia="zh-CN"/>
        </w:rPr>
        <w:t>六、</w:t>
      </w:r>
      <w:r>
        <w:rPr>
          <w:rFonts w:hint="eastAsia" w:ascii="宋体" w:hAnsi="宋体" w:eastAsia="宋体" w:cs="宋体"/>
          <w:b/>
          <w:color w:val="auto"/>
          <w:sz w:val="32"/>
          <w:szCs w:val="32"/>
          <w:highlight w:val="none"/>
        </w:rPr>
        <w:t>商务评审的其他资料</w:t>
      </w:r>
    </w:p>
    <w:p>
      <w:pPr>
        <w:spacing w:line="360" w:lineRule="auto"/>
        <w:ind w:right="-45" w:firstLine="482" w:firstLineChars="200"/>
        <w:jc w:val="left"/>
        <w:rPr>
          <w:rFonts w:hint="eastAsia" w:ascii="宋体" w:hAnsi="宋体" w:eastAsia="宋体" w:cs="宋体"/>
          <w:b/>
          <w:color w:val="auto"/>
          <w:sz w:val="24"/>
          <w:szCs w:val="24"/>
          <w:highlight w:val="none"/>
        </w:rPr>
      </w:pPr>
    </w:p>
    <w:p>
      <w:pPr>
        <w:spacing w:line="360" w:lineRule="auto"/>
        <w:ind w:right="-45"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rPr>
        <w:t>企业信誉及实力</w:t>
      </w:r>
    </w:p>
    <w:p>
      <w:pPr>
        <w:spacing w:line="360" w:lineRule="auto"/>
        <w:ind w:right="-45"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rPr>
        <w:t>企业业绩</w:t>
      </w:r>
    </w:p>
    <w:p>
      <w:pPr>
        <w:spacing w:line="360" w:lineRule="auto"/>
        <w:ind w:right="-45"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3、企</w:t>
      </w:r>
      <w:r>
        <w:rPr>
          <w:rFonts w:hint="eastAsia" w:ascii="宋体" w:hAnsi="宋体" w:eastAsia="宋体" w:cs="宋体"/>
          <w:b/>
          <w:color w:val="auto"/>
          <w:sz w:val="24"/>
          <w:szCs w:val="24"/>
          <w:highlight w:val="none"/>
          <w:lang w:val="en-US"/>
        </w:rPr>
        <w:t>拟派项目人员情况</w:t>
      </w:r>
    </w:p>
    <w:p>
      <w:pPr>
        <w:spacing w:line="360" w:lineRule="auto"/>
        <w:ind w:right="-45"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、其他投标人认为必要的证明材料（如有）。</w:t>
      </w:r>
    </w:p>
    <w:p>
      <w:pPr>
        <w:spacing w:before="43"/>
        <w:ind w:left="432" w:right="433" w:firstLine="0"/>
        <w:jc w:val="center"/>
        <w:rPr>
          <w:b/>
          <w:color w:val="auto"/>
          <w:sz w:val="32"/>
        </w:rPr>
        <w:sectPr>
          <w:footerReference r:id="rId11" w:type="default"/>
          <w:pgSz w:w="11910" w:h="16840"/>
          <w:pgMar w:top="1360" w:right="1020" w:bottom="980" w:left="1020" w:header="0" w:footer="789" w:gutter="0"/>
          <w:pgBorders>
            <w:top w:val="none" w:sz="0" w:space="0"/>
            <w:left w:val="none" w:sz="0" w:space="0"/>
            <w:bottom w:val="none" w:sz="0" w:space="0"/>
            <w:right w:val="none" w:sz="0" w:space="0"/>
          </w:pgBorders>
          <w:pgNumType w:fmt="decimal"/>
          <w:cols w:space="720" w:num="1"/>
        </w:sectPr>
      </w:pPr>
    </w:p>
    <w:p>
      <w:pPr>
        <w:spacing w:before="43"/>
        <w:ind w:left="432" w:right="433" w:firstLine="0"/>
        <w:jc w:val="center"/>
        <w:rPr>
          <w:b/>
          <w:color w:val="auto"/>
          <w:sz w:val="32"/>
        </w:rPr>
      </w:pPr>
      <w:r>
        <w:rPr>
          <w:rFonts w:hint="eastAsia"/>
          <w:b/>
          <w:color w:val="auto"/>
          <w:sz w:val="32"/>
          <w:lang w:val="en-US" w:eastAsia="zh-CN"/>
        </w:rPr>
        <w:t>七</w:t>
      </w:r>
      <w:r>
        <w:rPr>
          <w:b/>
          <w:color w:val="auto"/>
          <w:sz w:val="32"/>
        </w:rPr>
        <w:t>、监理大纲</w:t>
      </w:r>
    </w:p>
    <w:p>
      <w:pPr>
        <w:pStyle w:val="7"/>
        <w:spacing w:before="5"/>
        <w:ind w:left="0"/>
        <w:rPr>
          <w:b/>
          <w:color w:val="auto"/>
        </w:rPr>
      </w:pPr>
    </w:p>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投标人应根据有关规定，针对工程项目的特点和监理工作经验，对委托任务的目的和工作范围的理解，制定工程项目监理计划和方案，提出监理工作大纲。监理大纲应包括但不局限以下内容：</w:t>
      </w:r>
    </w:p>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一、投资控制措施</w:t>
      </w:r>
    </w:p>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二、进度控制措施</w:t>
      </w:r>
    </w:p>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三、质量控制措施</w:t>
      </w:r>
    </w:p>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四、合同管理、信息管理</w:t>
      </w:r>
    </w:p>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五、组织协调</w:t>
      </w:r>
    </w:p>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六、监理工作程序</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七、安全、文明施工管理</w:t>
      </w:r>
    </w:p>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八、重点难点监控措施</w:t>
      </w:r>
    </w:p>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九、合理化建议</w:t>
      </w:r>
    </w:p>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rPr>
        <w:t>其他投标人认为必要的材料（如有）。</w:t>
      </w:r>
    </w:p>
    <w:p>
      <w:pPr>
        <w:spacing w:after="0"/>
        <w:rPr>
          <w:color w:val="auto"/>
        </w:rPr>
        <w:sectPr>
          <w:pgSz w:w="11910" w:h="16840"/>
          <w:pgMar w:top="1360" w:right="1020" w:bottom="980" w:left="1020" w:header="0" w:footer="789" w:gutter="0"/>
          <w:pgBorders>
            <w:top w:val="none" w:sz="0" w:space="0"/>
            <w:left w:val="none" w:sz="0" w:space="0"/>
            <w:bottom w:val="none" w:sz="0" w:space="0"/>
            <w:right w:val="none" w:sz="0" w:space="0"/>
          </w:pgBorders>
          <w:pgNumType w:fmt="decimal"/>
          <w:cols w:space="720" w:num="1"/>
        </w:sectPr>
      </w:pPr>
    </w:p>
    <w:p>
      <w:pPr>
        <w:spacing w:before="41"/>
        <w:ind w:left="432" w:right="433" w:firstLine="0"/>
        <w:jc w:val="center"/>
        <w:rPr>
          <w:b/>
          <w:color w:val="auto"/>
          <w:sz w:val="31"/>
        </w:rPr>
      </w:pPr>
      <w:r>
        <w:rPr>
          <w:rFonts w:hint="eastAsia"/>
          <w:b/>
          <w:color w:val="auto"/>
          <w:sz w:val="31"/>
          <w:lang w:val="en-US" w:eastAsia="zh-CN"/>
        </w:rPr>
        <w:t>八</w:t>
      </w:r>
      <w:r>
        <w:rPr>
          <w:b/>
          <w:color w:val="auto"/>
          <w:sz w:val="31"/>
        </w:rPr>
        <w:t>、其他资料</w:t>
      </w:r>
    </w:p>
    <w:p>
      <w:pPr>
        <w:pStyle w:val="7"/>
        <w:spacing w:before="5"/>
        <w:ind w:left="0"/>
        <w:rPr>
          <w:b/>
          <w:color w:val="auto"/>
          <w:sz w:val="44"/>
        </w:rPr>
      </w:pPr>
    </w:p>
    <w:p>
      <w:pPr>
        <w:pStyle w:val="4"/>
        <w:ind w:left="395" w:firstLine="0"/>
        <w:rPr>
          <w:color w:val="auto"/>
        </w:rPr>
      </w:pPr>
      <w:bookmarkStart w:id="129" w:name="投标人根据招标公告、评标办法等认为需提交的其他材料。"/>
      <w:bookmarkEnd w:id="129"/>
      <w:r>
        <w:rPr>
          <w:color w:val="auto"/>
        </w:rPr>
        <w:t>投标人根据招标公告、评标办法等认为需提交的其他材料。</w:t>
      </w:r>
    </w:p>
    <w:p>
      <w:pPr>
        <w:pStyle w:val="7"/>
        <w:ind w:left="0"/>
        <w:rPr>
          <w:color w:val="auto"/>
          <w:sz w:val="28"/>
        </w:rPr>
      </w:pPr>
    </w:p>
    <w:p>
      <w:pPr>
        <w:pStyle w:val="7"/>
        <w:ind w:left="0"/>
        <w:rPr>
          <w:color w:val="auto"/>
          <w:sz w:val="28"/>
        </w:rPr>
      </w:pPr>
    </w:p>
    <w:p>
      <w:pPr>
        <w:pStyle w:val="7"/>
        <w:ind w:left="0"/>
        <w:rPr>
          <w:color w:val="auto"/>
          <w:sz w:val="28"/>
        </w:rPr>
      </w:pPr>
    </w:p>
    <w:p>
      <w:pPr>
        <w:pStyle w:val="7"/>
        <w:ind w:left="0"/>
        <w:rPr>
          <w:color w:val="auto"/>
          <w:sz w:val="28"/>
        </w:rPr>
      </w:pPr>
    </w:p>
    <w:p>
      <w:pPr>
        <w:pStyle w:val="7"/>
        <w:ind w:left="0"/>
        <w:rPr>
          <w:color w:val="auto"/>
          <w:sz w:val="28"/>
        </w:rPr>
      </w:pPr>
    </w:p>
    <w:p>
      <w:pPr>
        <w:pStyle w:val="7"/>
        <w:spacing w:before="2"/>
        <w:ind w:left="0"/>
        <w:rPr>
          <w:color w:val="auto"/>
          <w:sz w:val="33"/>
        </w:rPr>
      </w:pPr>
    </w:p>
    <w:p>
      <w:pPr>
        <w:pStyle w:val="4"/>
        <w:ind w:left="395" w:firstLine="0"/>
        <w:rPr>
          <w:color w:val="auto"/>
        </w:rPr>
      </w:pPr>
      <w:bookmarkStart w:id="130" w:name="注：以下资料提供网页截图及复印件的均需加盖投标人公章。"/>
      <w:bookmarkEnd w:id="130"/>
      <w:r>
        <w:rPr>
          <w:color w:val="auto"/>
        </w:rPr>
        <w:t>注：以下资料提供网页截图及复印件的均需加盖投标人公章。</w:t>
      </w:r>
    </w:p>
    <w:sectPr>
      <w:pgSz w:w="11910" w:h="16840"/>
      <w:pgMar w:top="1360" w:right="1020" w:bottom="980" w:left="1020" w:header="0" w:footer="78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4gs8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V4gs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396" w:hanging="601"/>
        <w:jc w:val="left"/>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346" w:hanging="601"/>
      </w:pPr>
      <w:rPr>
        <w:rFonts w:hint="default"/>
        <w:lang w:val="zh-CN" w:eastAsia="zh-CN" w:bidi="zh-CN"/>
      </w:rPr>
    </w:lvl>
    <w:lvl w:ilvl="2" w:tentative="0">
      <w:start w:val="0"/>
      <w:numFmt w:val="bullet"/>
      <w:lvlText w:val="•"/>
      <w:lvlJc w:val="left"/>
      <w:pPr>
        <w:ind w:left="2293" w:hanging="601"/>
      </w:pPr>
      <w:rPr>
        <w:rFonts w:hint="default"/>
        <w:lang w:val="zh-CN" w:eastAsia="zh-CN" w:bidi="zh-CN"/>
      </w:rPr>
    </w:lvl>
    <w:lvl w:ilvl="3" w:tentative="0">
      <w:start w:val="0"/>
      <w:numFmt w:val="bullet"/>
      <w:lvlText w:val="•"/>
      <w:lvlJc w:val="left"/>
      <w:pPr>
        <w:ind w:left="323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32" w:hanging="601"/>
      </w:pPr>
      <w:rPr>
        <w:rFonts w:hint="default"/>
        <w:lang w:val="zh-CN" w:eastAsia="zh-CN" w:bidi="zh-CN"/>
      </w:rPr>
    </w:lvl>
    <w:lvl w:ilvl="6" w:tentative="0">
      <w:start w:val="0"/>
      <w:numFmt w:val="bullet"/>
      <w:lvlText w:val="•"/>
      <w:lvlJc w:val="left"/>
      <w:pPr>
        <w:ind w:left="6079" w:hanging="601"/>
      </w:pPr>
      <w:rPr>
        <w:rFonts w:hint="default"/>
        <w:lang w:val="zh-CN" w:eastAsia="zh-CN" w:bidi="zh-CN"/>
      </w:rPr>
    </w:lvl>
    <w:lvl w:ilvl="7" w:tentative="0">
      <w:start w:val="0"/>
      <w:numFmt w:val="bullet"/>
      <w:lvlText w:val="•"/>
      <w:lvlJc w:val="left"/>
      <w:pPr>
        <w:ind w:left="7025" w:hanging="601"/>
      </w:pPr>
      <w:rPr>
        <w:rFonts w:hint="default"/>
        <w:lang w:val="zh-CN" w:eastAsia="zh-CN" w:bidi="zh-CN"/>
      </w:rPr>
    </w:lvl>
    <w:lvl w:ilvl="8" w:tentative="0">
      <w:start w:val="0"/>
      <w:numFmt w:val="bullet"/>
      <w:lvlText w:val="•"/>
      <w:lvlJc w:val="left"/>
      <w:pPr>
        <w:ind w:left="7972" w:hanging="601"/>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796" w:hanging="401"/>
        <w:jc w:val="left"/>
      </w:pPr>
      <w:rPr>
        <w:rFonts w:hint="default"/>
        <w:b/>
        <w:bCs/>
        <w:spacing w:val="0"/>
        <w:w w:val="99"/>
        <w:lang w:val="zh-CN" w:eastAsia="zh-CN" w:bidi="zh-CN"/>
      </w:rPr>
    </w:lvl>
    <w:lvl w:ilvl="1" w:tentative="0">
      <w:start w:val="1"/>
      <w:numFmt w:val="decimal"/>
      <w:lvlText w:val="%1.%2"/>
      <w:lvlJc w:val="left"/>
      <w:pPr>
        <w:ind w:left="1017" w:hanging="485"/>
        <w:jc w:val="left"/>
      </w:pPr>
      <w:rPr>
        <w:rFonts w:hint="default"/>
        <w:w w:val="100"/>
        <w:lang w:val="zh-CN" w:eastAsia="zh-CN" w:bidi="zh-CN"/>
      </w:rPr>
    </w:lvl>
    <w:lvl w:ilvl="2" w:tentative="0">
      <w:start w:val="1"/>
      <w:numFmt w:val="decimal"/>
      <w:lvlText w:val="%1.%2.%3"/>
      <w:lvlJc w:val="left"/>
      <w:pPr>
        <w:ind w:left="396" w:hanging="528"/>
        <w:jc w:val="left"/>
      </w:pPr>
      <w:rPr>
        <w:rFonts w:hint="default"/>
        <w:w w:val="100"/>
        <w:lang w:val="zh-CN" w:eastAsia="zh-CN" w:bidi="zh-CN"/>
      </w:rPr>
    </w:lvl>
    <w:lvl w:ilvl="3" w:tentative="0">
      <w:start w:val="0"/>
      <w:numFmt w:val="bullet"/>
      <w:lvlText w:val="•"/>
      <w:lvlJc w:val="left"/>
      <w:pPr>
        <w:ind w:left="1020" w:hanging="528"/>
      </w:pPr>
      <w:rPr>
        <w:rFonts w:hint="default"/>
        <w:lang w:val="zh-CN" w:eastAsia="zh-CN" w:bidi="zh-CN"/>
      </w:rPr>
    </w:lvl>
    <w:lvl w:ilvl="4" w:tentative="0">
      <w:start w:val="0"/>
      <w:numFmt w:val="bullet"/>
      <w:lvlText w:val="•"/>
      <w:lvlJc w:val="left"/>
      <w:pPr>
        <w:ind w:left="1340" w:hanging="528"/>
      </w:pPr>
      <w:rPr>
        <w:rFonts w:hint="default"/>
        <w:lang w:val="zh-CN" w:eastAsia="zh-CN" w:bidi="zh-CN"/>
      </w:rPr>
    </w:lvl>
    <w:lvl w:ilvl="5" w:tentative="0">
      <w:start w:val="0"/>
      <w:numFmt w:val="bullet"/>
      <w:lvlText w:val="•"/>
      <w:lvlJc w:val="left"/>
      <w:pPr>
        <w:ind w:left="2760" w:hanging="528"/>
      </w:pPr>
      <w:rPr>
        <w:rFonts w:hint="default"/>
        <w:lang w:val="zh-CN" w:eastAsia="zh-CN" w:bidi="zh-CN"/>
      </w:rPr>
    </w:lvl>
    <w:lvl w:ilvl="6" w:tentative="0">
      <w:start w:val="0"/>
      <w:numFmt w:val="bullet"/>
      <w:lvlText w:val="•"/>
      <w:lvlJc w:val="left"/>
      <w:pPr>
        <w:ind w:left="4181" w:hanging="528"/>
      </w:pPr>
      <w:rPr>
        <w:rFonts w:hint="default"/>
        <w:lang w:val="zh-CN" w:eastAsia="zh-CN" w:bidi="zh-CN"/>
      </w:rPr>
    </w:lvl>
    <w:lvl w:ilvl="7" w:tentative="0">
      <w:start w:val="0"/>
      <w:numFmt w:val="bullet"/>
      <w:lvlText w:val="•"/>
      <w:lvlJc w:val="left"/>
      <w:pPr>
        <w:ind w:left="5602" w:hanging="528"/>
      </w:pPr>
      <w:rPr>
        <w:rFonts w:hint="default"/>
        <w:lang w:val="zh-CN" w:eastAsia="zh-CN" w:bidi="zh-CN"/>
      </w:rPr>
    </w:lvl>
    <w:lvl w:ilvl="8" w:tentative="0">
      <w:start w:val="0"/>
      <w:numFmt w:val="bullet"/>
      <w:lvlText w:val="•"/>
      <w:lvlJc w:val="left"/>
      <w:pPr>
        <w:ind w:left="7023" w:hanging="528"/>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396" w:hanging="601"/>
        <w:jc w:val="righ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346" w:hanging="601"/>
      </w:pPr>
      <w:rPr>
        <w:rFonts w:hint="default"/>
        <w:lang w:val="zh-CN" w:eastAsia="zh-CN" w:bidi="zh-CN"/>
      </w:rPr>
    </w:lvl>
    <w:lvl w:ilvl="2" w:tentative="0">
      <w:start w:val="0"/>
      <w:numFmt w:val="bullet"/>
      <w:lvlText w:val="•"/>
      <w:lvlJc w:val="left"/>
      <w:pPr>
        <w:ind w:left="2293" w:hanging="601"/>
      </w:pPr>
      <w:rPr>
        <w:rFonts w:hint="default"/>
        <w:lang w:val="zh-CN" w:eastAsia="zh-CN" w:bidi="zh-CN"/>
      </w:rPr>
    </w:lvl>
    <w:lvl w:ilvl="3" w:tentative="0">
      <w:start w:val="0"/>
      <w:numFmt w:val="bullet"/>
      <w:lvlText w:val="•"/>
      <w:lvlJc w:val="left"/>
      <w:pPr>
        <w:ind w:left="323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32" w:hanging="601"/>
      </w:pPr>
      <w:rPr>
        <w:rFonts w:hint="default"/>
        <w:lang w:val="zh-CN" w:eastAsia="zh-CN" w:bidi="zh-CN"/>
      </w:rPr>
    </w:lvl>
    <w:lvl w:ilvl="6" w:tentative="0">
      <w:start w:val="0"/>
      <w:numFmt w:val="bullet"/>
      <w:lvlText w:val="•"/>
      <w:lvlJc w:val="left"/>
      <w:pPr>
        <w:ind w:left="6079" w:hanging="601"/>
      </w:pPr>
      <w:rPr>
        <w:rFonts w:hint="default"/>
        <w:lang w:val="zh-CN" w:eastAsia="zh-CN" w:bidi="zh-CN"/>
      </w:rPr>
    </w:lvl>
    <w:lvl w:ilvl="7" w:tentative="0">
      <w:start w:val="0"/>
      <w:numFmt w:val="bullet"/>
      <w:lvlText w:val="•"/>
      <w:lvlJc w:val="left"/>
      <w:pPr>
        <w:ind w:left="7025" w:hanging="601"/>
      </w:pPr>
      <w:rPr>
        <w:rFonts w:hint="default"/>
        <w:lang w:val="zh-CN" w:eastAsia="zh-CN" w:bidi="zh-CN"/>
      </w:rPr>
    </w:lvl>
    <w:lvl w:ilvl="8" w:tentative="0">
      <w:start w:val="0"/>
      <w:numFmt w:val="bullet"/>
      <w:lvlText w:val="•"/>
      <w:lvlJc w:val="left"/>
      <w:pPr>
        <w:ind w:left="7972" w:hanging="601"/>
      </w:pPr>
      <w:rPr>
        <w:rFonts w:hint="default"/>
        <w:lang w:val="zh-CN" w:eastAsia="zh-CN" w:bidi="zh-CN"/>
      </w:rPr>
    </w:lvl>
  </w:abstractNum>
  <w:abstractNum w:abstractNumId="3">
    <w:nsid w:val="9288B902"/>
    <w:multiLevelType w:val="multilevel"/>
    <w:tmpl w:val="9288B902"/>
    <w:lvl w:ilvl="0" w:tentative="0">
      <w:start w:val="7"/>
      <w:numFmt w:val="decimal"/>
      <w:lvlText w:val="%1"/>
      <w:lvlJc w:val="left"/>
      <w:pPr>
        <w:ind w:left="396" w:hanging="528"/>
        <w:jc w:val="left"/>
      </w:pPr>
      <w:rPr>
        <w:rFonts w:hint="default"/>
        <w:lang w:val="zh-CN" w:eastAsia="zh-CN" w:bidi="zh-CN"/>
      </w:rPr>
    </w:lvl>
    <w:lvl w:ilvl="1" w:tentative="0">
      <w:start w:val="7"/>
      <w:numFmt w:val="decimal"/>
      <w:lvlText w:val="%1.%2"/>
      <w:lvlJc w:val="left"/>
      <w:pPr>
        <w:ind w:left="396" w:hanging="528"/>
        <w:jc w:val="left"/>
      </w:pPr>
      <w:rPr>
        <w:rFonts w:hint="default"/>
        <w:lang w:val="zh-CN" w:eastAsia="zh-CN" w:bidi="zh-CN"/>
      </w:rPr>
    </w:lvl>
    <w:lvl w:ilvl="2" w:tentative="0">
      <w:start w:val="1"/>
      <w:numFmt w:val="decimal"/>
      <w:lvlText w:val="%1.%2.%3"/>
      <w:lvlJc w:val="left"/>
      <w:pPr>
        <w:ind w:left="396" w:hanging="528"/>
        <w:jc w:val="left"/>
      </w:pPr>
      <w:rPr>
        <w:rFonts w:hint="default"/>
        <w:w w:val="100"/>
        <w:lang w:val="zh-CN" w:eastAsia="zh-CN" w:bidi="zh-CN"/>
      </w:rPr>
    </w:lvl>
    <w:lvl w:ilvl="3" w:tentative="0">
      <w:start w:val="0"/>
      <w:numFmt w:val="bullet"/>
      <w:lvlText w:val="•"/>
      <w:lvlJc w:val="left"/>
      <w:pPr>
        <w:ind w:left="3239" w:hanging="528"/>
      </w:pPr>
      <w:rPr>
        <w:rFonts w:hint="default"/>
        <w:lang w:val="zh-CN" w:eastAsia="zh-CN" w:bidi="zh-CN"/>
      </w:rPr>
    </w:lvl>
    <w:lvl w:ilvl="4" w:tentative="0">
      <w:start w:val="0"/>
      <w:numFmt w:val="bullet"/>
      <w:lvlText w:val="•"/>
      <w:lvlJc w:val="left"/>
      <w:pPr>
        <w:ind w:left="4186" w:hanging="528"/>
      </w:pPr>
      <w:rPr>
        <w:rFonts w:hint="default"/>
        <w:lang w:val="zh-CN" w:eastAsia="zh-CN" w:bidi="zh-CN"/>
      </w:rPr>
    </w:lvl>
    <w:lvl w:ilvl="5" w:tentative="0">
      <w:start w:val="0"/>
      <w:numFmt w:val="bullet"/>
      <w:lvlText w:val="•"/>
      <w:lvlJc w:val="left"/>
      <w:pPr>
        <w:ind w:left="5132" w:hanging="528"/>
      </w:pPr>
      <w:rPr>
        <w:rFonts w:hint="default"/>
        <w:lang w:val="zh-CN" w:eastAsia="zh-CN" w:bidi="zh-CN"/>
      </w:rPr>
    </w:lvl>
    <w:lvl w:ilvl="6" w:tentative="0">
      <w:start w:val="0"/>
      <w:numFmt w:val="bullet"/>
      <w:lvlText w:val="•"/>
      <w:lvlJc w:val="left"/>
      <w:pPr>
        <w:ind w:left="6079" w:hanging="528"/>
      </w:pPr>
      <w:rPr>
        <w:rFonts w:hint="default"/>
        <w:lang w:val="zh-CN" w:eastAsia="zh-CN" w:bidi="zh-CN"/>
      </w:rPr>
    </w:lvl>
    <w:lvl w:ilvl="7" w:tentative="0">
      <w:start w:val="0"/>
      <w:numFmt w:val="bullet"/>
      <w:lvlText w:val="•"/>
      <w:lvlJc w:val="left"/>
      <w:pPr>
        <w:ind w:left="7025" w:hanging="528"/>
      </w:pPr>
      <w:rPr>
        <w:rFonts w:hint="default"/>
        <w:lang w:val="zh-CN" w:eastAsia="zh-CN" w:bidi="zh-CN"/>
      </w:rPr>
    </w:lvl>
    <w:lvl w:ilvl="8" w:tentative="0">
      <w:start w:val="0"/>
      <w:numFmt w:val="bullet"/>
      <w:lvlText w:val="•"/>
      <w:lvlJc w:val="left"/>
      <w:pPr>
        <w:ind w:left="7972" w:hanging="528"/>
      </w:pPr>
      <w:rPr>
        <w:rFonts w:hint="default"/>
        <w:lang w:val="zh-CN" w:eastAsia="zh-CN" w:bidi="zh-CN"/>
      </w:rPr>
    </w:lvl>
  </w:abstractNum>
  <w:abstractNum w:abstractNumId="4">
    <w:nsid w:val="99EEFF61"/>
    <w:multiLevelType w:val="singleLevel"/>
    <w:tmpl w:val="99EEFF61"/>
    <w:lvl w:ilvl="0" w:tentative="0">
      <w:start w:val="2"/>
      <w:numFmt w:val="chineseCounting"/>
      <w:suff w:val="nothing"/>
      <w:lvlText w:val="%1、"/>
      <w:lvlJc w:val="left"/>
      <w:rPr>
        <w:rFonts w:hint="eastAsia"/>
      </w:rPr>
    </w:lvl>
  </w:abstractNum>
  <w:abstractNum w:abstractNumId="5">
    <w:nsid w:val="B0F1ACD9"/>
    <w:multiLevelType w:val="multilevel"/>
    <w:tmpl w:val="B0F1ACD9"/>
    <w:lvl w:ilvl="0" w:tentative="0">
      <w:start w:val="4"/>
      <w:numFmt w:val="decimal"/>
      <w:lvlText w:val="%1"/>
      <w:lvlJc w:val="left"/>
      <w:pPr>
        <w:ind w:left="396" w:hanging="528"/>
        <w:jc w:val="left"/>
      </w:pPr>
      <w:rPr>
        <w:rFonts w:hint="default"/>
        <w:lang w:val="zh-CN" w:eastAsia="zh-CN" w:bidi="zh-CN"/>
      </w:rPr>
    </w:lvl>
    <w:lvl w:ilvl="1" w:tentative="0">
      <w:start w:val="3"/>
      <w:numFmt w:val="decimal"/>
      <w:lvlText w:val="%1.%2"/>
      <w:lvlJc w:val="left"/>
      <w:pPr>
        <w:ind w:left="396" w:hanging="528"/>
        <w:jc w:val="left"/>
      </w:pPr>
      <w:rPr>
        <w:rFonts w:hint="default"/>
        <w:lang w:val="zh-CN" w:eastAsia="zh-CN" w:bidi="zh-CN"/>
      </w:rPr>
    </w:lvl>
    <w:lvl w:ilvl="2" w:tentative="0">
      <w:start w:val="2"/>
      <w:numFmt w:val="decimal"/>
      <w:lvlText w:val="%1.%2.%3"/>
      <w:lvlJc w:val="left"/>
      <w:pPr>
        <w:ind w:left="396" w:hanging="528"/>
        <w:jc w:val="left"/>
      </w:pPr>
      <w:rPr>
        <w:rFonts w:hint="default"/>
        <w:w w:val="100"/>
        <w:lang w:val="zh-CN" w:eastAsia="zh-CN" w:bidi="zh-CN"/>
      </w:rPr>
    </w:lvl>
    <w:lvl w:ilvl="3" w:tentative="0">
      <w:start w:val="0"/>
      <w:numFmt w:val="bullet"/>
      <w:lvlText w:val="•"/>
      <w:lvlJc w:val="left"/>
      <w:pPr>
        <w:ind w:left="3239" w:hanging="528"/>
      </w:pPr>
      <w:rPr>
        <w:rFonts w:hint="default"/>
        <w:lang w:val="zh-CN" w:eastAsia="zh-CN" w:bidi="zh-CN"/>
      </w:rPr>
    </w:lvl>
    <w:lvl w:ilvl="4" w:tentative="0">
      <w:start w:val="0"/>
      <w:numFmt w:val="bullet"/>
      <w:lvlText w:val="•"/>
      <w:lvlJc w:val="left"/>
      <w:pPr>
        <w:ind w:left="4186" w:hanging="528"/>
      </w:pPr>
      <w:rPr>
        <w:rFonts w:hint="default"/>
        <w:lang w:val="zh-CN" w:eastAsia="zh-CN" w:bidi="zh-CN"/>
      </w:rPr>
    </w:lvl>
    <w:lvl w:ilvl="5" w:tentative="0">
      <w:start w:val="0"/>
      <w:numFmt w:val="bullet"/>
      <w:lvlText w:val="•"/>
      <w:lvlJc w:val="left"/>
      <w:pPr>
        <w:ind w:left="5132" w:hanging="528"/>
      </w:pPr>
      <w:rPr>
        <w:rFonts w:hint="default"/>
        <w:lang w:val="zh-CN" w:eastAsia="zh-CN" w:bidi="zh-CN"/>
      </w:rPr>
    </w:lvl>
    <w:lvl w:ilvl="6" w:tentative="0">
      <w:start w:val="0"/>
      <w:numFmt w:val="bullet"/>
      <w:lvlText w:val="•"/>
      <w:lvlJc w:val="left"/>
      <w:pPr>
        <w:ind w:left="6079" w:hanging="528"/>
      </w:pPr>
      <w:rPr>
        <w:rFonts w:hint="default"/>
        <w:lang w:val="zh-CN" w:eastAsia="zh-CN" w:bidi="zh-CN"/>
      </w:rPr>
    </w:lvl>
    <w:lvl w:ilvl="7" w:tentative="0">
      <w:start w:val="0"/>
      <w:numFmt w:val="bullet"/>
      <w:lvlText w:val="•"/>
      <w:lvlJc w:val="left"/>
      <w:pPr>
        <w:ind w:left="7025" w:hanging="528"/>
      </w:pPr>
      <w:rPr>
        <w:rFonts w:hint="default"/>
        <w:lang w:val="zh-CN" w:eastAsia="zh-CN" w:bidi="zh-CN"/>
      </w:rPr>
    </w:lvl>
    <w:lvl w:ilvl="8" w:tentative="0">
      <w:start w:val="0"/>
      <w:numFmt w:val="bullet"/>
      <w:lvlText w:val="•"/>
      <w:lvlJc w:val="left"/>
      <w:pPr>
        <w:ind w:left="7972" w:hanging="528"/>
      </w:pPr>
      <w:rPr>
        <w:rFonts w:hint="default"/>
        <w:lang w:val="zh-CN" w:eastAsia="zh-CN" w:bidi="zh-CN"/>
      </w:rPr>
    </w:lvl>
  </w:abstractNum>
  <w:abstractNum w:abstractNumId="6">
    <w:nsid w:val="B5E306ED"/>
    <w:multiLevelType w:val="multilevel"/>
    <w:tmpl w:val="B5E306ED"/>
    <w:lvl w:ilvl="0" w:tentative="0">
      <w:start w:val="1"/>
      <w:numFmt w:val="decimal"/>
      <w:lvlText w:val="（%1）"/>
      <w:lvlJc w:val="left"/>
      <w:pPr>
        <w:ind w:left="71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03" w:hanging="601"/>
      </w:pPr>
      <w:rPr>
        <w:rFonts w:hint="default"/>
        <w:lang w:val="zh-CN" w:eastAsia="zh-CN" w:bidi="zh-CN"/>
      </w:rPr>
    </w:lvl>
    <w:lvl w:ilvl="2" w:tentative="0">
      <w:start w:val="0"/>
      <w:numFmt w:val="bullet"/>
      <w:lvlText w:val="•"/>
      <w:lvlJc w:val="left"/>
      <w:pPr>
        <w:ind w:left="1886" w:hanging="601"/>
      </w:pPr>
      <w:rPr>
        <w:rFonts w:hint="default"/>
        <w:lang w:val="zh-CN" w:eastAsia="zh-CN" w:bidi="zh-CN"/>
      </w:rPr>
    </w:lvl>
    <w:lvl w:ilvl="3" w:tentative="0">
      <w:start w:val="0"/>
      <w:numFmt w:val="bullet"/>
      <w:lvlText w:val="•"/>
      <w:lvlJc w:val="left"/>
      <w:pPr>
        <w:ind w:left="2470" w:hanging="601"/>
      </w:pPr>
      <w:rPr>
        <w:rFonts w:hint="default"/>
        <w:lang w:val="zh-CN" w:eastAsia="zh-CN" w:bidi="zh-CN"/>
      </w:rPr>
    </w:lvl>
    <w:lvl w:ilvl="4" w:tentative="0">
      <w:start w:val="0"/>
      <w:numFmt w:val="bullet"/>
      <w:lvlText w:val="•"/>
      <w:lvlJc w:val="left"/>
      <w:pPr>
        <w:ind w:left="3053" w:hanging="601"/>
      </w:pPr>
      <w:rPr>
        <w:rFonts w:hint="default"/>
        <w:lang w:val="zh-CN" w:eastAsia="zh-CN" w:bidi="zh-CN"/>
      </w:rPr>
    </w:lvl>
    <w:lvl w:ilvl="5" w:tentative="0">
      <w:start w:val="0"/>
      <w:numFmt w:val="bullet"/>
      <w:lvlText w:val="•"/>
      <w:lvlJc w:val="left"/>
      <w:pPr>
        <w:ind w:left="3637" w:hanging="601"/>
      </w:pPr>
      <w:rPr>
        <w:rFonts w:hint="default"/>
        <w:lang w:val="zh-CN" w:eastAsia="zh-CN" w:bidi="zh-CN"/>
      </w:rPr>
    </w:lvl>
    <w:lvl w:ilvl="6" w:tentative="0">
      <w:start w:val="0"/>
      <w:numFmt w:val="bullet"/>
      <w:lvlText w:val="•"/>
      <w:lvlJc w:val="left"/>
      <w:pPr>
        <w:ind w:left="4220" w:hanging="601"/>
      </w:pPr>
      <w:rPr>
        <w:rFonts w:hint="default"/>
        <w:lang w:val="zh-CN" w:eastAsia="zh-CN" w:bidi="zh-CN"/>
      </w:rPr>
    </w:lvl>
    <w:lvl w:ilvl="7" w:tentative="0">
      <w:start w:val="0"/>
      <w:numFmt w:val="bullet"/>
      <w:lvlText w:val="•"/>
      <w:lvlJc w:val="left"/>
      <w:pPr>
        <w:ind w:left="4803" w:hanging="601"/>
      </w:pPr>
      <w:rPr>
        <w:rFonts w:hint="default"/>
        <w:lang w:val="zh-CN" w:eastAsia="zh-CN" w:bidi="zh-CN"/>
      </w:rPr>
    </w:lvl>
    <w:lvl w:ilvl="8" w:tentative="0">
      <w:start w:val="0"/>
      <w:numFmt w:val="bullet"/>
      <w:lvlText w:val="•"/>
      <w:lvlJc w:val="left"/>
      <w:pPr>
        <w:ind w:left="5387" w:hanging="601"/>
      </w:pPr>
      <w:rPr>
        <w:rFonts w:hint="default"/>
        <w:lang w:val="zh-CN" w:eastAsia="zh-CN" w:bidi="zh-CN"/>
      </w:rPr>
    </w:lvl>
  </w:abstractNum>
  <w:abstractNum w:abstractNumId="7">
    <w:nsid w:val="C8879AEF"/>
    <w:multiLevelType w:val="multilevel"/>
    <w:tmpl w:val="C8879AEF"/>
    <w:lvl w:ilvl="0" w:tentative="0">
      <w:start w:val="2"/>
      <w:numFmt w:val="decimal"/>
      <w:lvlText w:val="%1"/>
      <w:lvlJc w:val="left"/>
      <w:pPr>
        <w:ind w:left="396" w:hanging="528"/>
        <w:jc w:val="left"/>
      </w:pPr>
      <w:rPr>
        <w:rFonts w:hint="default"/>
        <w:lang w:val="zh-CN" w:eastAsia="zh-CN" w:bidi="zh-CN"/>
      </w:rPr>
    </w:lvl>
    <w:lvl w:ilvl="1" w:tentative="0">
      <w:start w:val="2"/>
      <w:numFmt w:val="decimal"/>
      <w:lvlText w:val="%1.%2"/>
      <w:lvlJc w:val="left"/>
      <w:pPr>
        <w:ind w:left="396" w:hanging="528"/>
        <w:jc w:val="left"/>
      </w:pPr>
      <w:rPr>
        <w:rFonts w:hint="default"/>
        <w:lang w:val="zh-CN" w:eastAsia="zh-CN" w:bidi="zh-CN"/>
      </w:rPr>
    </w:lvl>
    <w:lvl w:ilvl="2" w:tentative="0">
      <w:start w:val="1"/>
      <w:numFmt w:val="decimal"/>
      <w:lvlText w:val="%1.%2.%3"/>
      <w:lvlJc w:val="left"/>
      <w:pPr>
        <w:ind w:left="396" w:hanging="528"/>
        <w:jc w:val="left"/>
      </w:pPr>
      <w:rPr>
        <w:rFonts w:hint="default"/>
        <w:w w:val="100"/>
        <w:lang w:val="zh-CN" w:eastAsia="zh-CN" w:bidi="zh-CN"/>
      </w:rPr>
    </w:lvl>
    <w:lvl w:ilvl="3" w:tentative="0">
      <w:start w:val="0"/>
      <w:numFmt w:val="bullet"/>
      <w:lvlText w:val="•"/>
      <w:lvlJc w:val="left"/>
      <w:pPr>
        <w:ind w:left="3239" w:hanging="528"/>
      </w:pPr>
      <w:rPr>
        <w:rFonts w:hint="default"/>
        <w:lang w:val="zh-CN" w:eastAsia="zh-CN" w:bidi="zh-CN"/>
      </w:rPr>
    </w:lvl>
    <w:lvl w:ilvl="4" w:tentative="0">
      <w:start w:val="0"/>
      <w:numFmt w:val="bullet"/>
      <w:lvlText w:val="•"/>
      <w:lvlJc w:val="left"/>
      <w:pPr>
        <w:ind w:left="4186" w:hanging="528"/>
      </w:pPr>
      <w:rPr>
        <w:rFonts w:hint="default"/>
        <w:lang w:val="zh-CN" w:eastAsia="zh-CN" w:bidi="zh-CN"/>
      </w:rPr>
    </w:lvl>
    <w:lvl w:ilvl="5" w:tentative="0">
      <w:start w:val="0"/>
      <w:numFmt w:val="bullet"/>
      <w:lvlText w:val="•"/>
      <w:lvlJc w:val="left"/>
      <w:pPr>
        <w:ind w:left="5132" w:hanging="528"/>
      </w:pPr>
      <w:rPr>
        <w:rFonts w:hint="default"/>
        <w:lang w:val="zh-CN" w:eastAsia="zh-CN" w:bidi="zh-CN"/>
      </w:rPr>
    </w:lvl>
    <w:lvl w:ilvl="6" w:tentative="0">
      <w:start w:val="0"/>
      <w:numFmt w:val="bullet"/>
      <w:lvlText w:val="•"/>
      <w:lvlJc w:val="left"/>
      <w:pPr>
        <w:ind w:left="6079" w:hanging="528"/>
      </w:pPr>
      <w:rPr>
        <w:rFonts w:hint="default"/>
        <w:lang w:val="zh-CN" w:eastAsia="zh-CN" w:bidi="zh-CN"/>
      </w:rPr>
    </w:lvl>
    <w:lvl w:ilvl="7" w:tentative="0">
      <w:start w:val="0"/>
      <w:numFmt w:val="bullet"/>
      <w:lvlText w:val="•"/>
      <w:lvlJc w:val="left"/>
      <w:pPr>
        <w:ind w:left="7025" w:hanging="528"/>
      </w:pPr>
      <w:rPr>
        <w:rFonts w:hint="default"/>
        <w:lang w:val="zh-CN" w:eastAsia="zh-CN" w:bidi="zh-CN"/>
      </w:rPr>
    </w:lvl>
    <w:lvl w:ilvl="8" w:tentative="0">
      <w:start w:val="0"/>
      <w:numFmt w:val="bullet"/>
      <w:lvlText w:val="•"/>
      <w:lvlJc w:val="left"/>
      <w:pPr>
        <w:ind w:left="7972" w:hanging="528"/>
      </w:pPr>
      <w:rPr>
        <w:rFonts w:hint="default"/>
        <w:lang w:val="zh-CN" w:eastAsia="zh-CN" w:bidi="zh-CN"/>
      </w:rPr>
    </w:lvl>
  </w:abstractNum>
  <w:abstractNum w:abstractNumId="8">
    <w:nsid w:val="CF092B84"/>
    <w:multiLevelType w:val="multilevel"/>
    <w:tmpl w:val="CF092B84"/>
    <w:lvl w:ilvl="0" w:tentative="0">
      <w:start w:val="2"/>
      <w:numFmt w:val="decimal"/>
      <w:lvlText w:val="%1"/>
      <w:lvlJc w:val="left"/>
      <w:pPr>
        <w:ind w:left="396" w:hanging="361"/>
        <w:jc w:val="left"/>
      </w:pPr>
      <w:rPr>
        <w:rFonts w:hint="default"/>
        <w:lang w:val="zh-CN" w:eastAsia="zh-CN" w:bidi="zh-CN"/>
      </w:rPr>
    </w:lvl>
    <w:lvl w:ilvl="1" w:tentative="0">
      <w:start w:val="1"/>
      <w:numFmt w:val="decimal"/>
      <w:lvlText w:val="%1.%2"/>
      <w:lvlJc w:val="left"/>
      <w:pPr>
        <w:ind w:left="396"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293" w:hanging="361"/>
      </w:pPr>
      <w:rPr>
        <w:rFonts w:hint="default"/>
        <w:lang w:val="zh-CN" w:eastAsia="zh-CN" w:bidi="zh-CN"/>
      </w:rPr>
    </w:lvl>
    <w:lvl w:ilvl="3" w:tentative="0">
      <w:start w:val="0"/>
      <w:numFmt w:val="bullet"/>
      <w:lvlText w:val="•"/>
      <w:lvlJc w:val="left"/>
      <w:pPr>
        <w:ind w:left="3239" w:hanging="361"/>
      </w:pPr>
      <w:rPr>
        <w:rFonts w:hint="default"/>
        <w:lang w:val="zh-CN" w:eastAsia="zh-CN" w:bidi="zh-CN"/>
      </w:rPr>
    </w:lvl>
    <w:lvl w:ilvl="4" w:tentative="0">
      <w:start w:val="0"/>
      <w:numFmt w:val="bullet"/>
      <w:lvlText w:val="•"/>
      <w:lvlJc w:val="left"/>
      <w:pPr>
        <w:ind w:left="4186" w:hanging="361"/>
      </w:pPr>
      <w:rPr>
        <w:rFonts w:hint="default"/>
        <w:lang w:val="zh-CN" w:eastAsia="zh-CN" w:bidi="zh-CN"/>
      </w:rPr>
    </w:lvl>
    <w:lvl w:ilvl="5" w:tentative="0">
      <w:start w:val="0"/>
      <w:numFmt w:val="bullet"/>
      <w:lvlText w:val="•"/>
      <w:lvlJc w:val="left"/>
      <w:pPr>
        <w:ind w:left="5132" w:hanging="361"/>
      </w:pPr>
      <w:rPr>
        <w:rFonts w:hint="default"/>
        <w:lang w:val="zh-CN" w:eastAsia="zh-CN" w:bidi="zh-CN"/>
      </w:rPr>
    </w:lvl>
    <w:lvl w:ilvl="6" w:tentative="0">
      <w:start w:val="0"/>
      <w:numFmt w:val="bullet"/>
      <w:lvlText w:val="•"/>
      <w:lvlJc w:val="left"/>
      <w:pPr>
        <w:ind w:left="6079" w:hanging="361"/>
      </w:pPr>
      <w:rPr>
        <w:rFonts w:hint="default"/>
        <w:lang w:val="zh-CN" w:eastAsia="zh-CN" w:bidi="zh-CN"/>
      </w:rPr>
    </w:lvl>
    <w:lvl w:ilvl="7" w:tentative="0">
      <w:start w:val="0"/>
      <w:numFmt w:val="bullet"/>
      <w:lvlText w:val="•"/>
      <w:lvlJc w:val="left"/>
      <w:pPr>
        <w:ind w:left="7025" w:hanging="361"/>
      </w:pPr>
      <w:rPr>
        <w:rFonts w:hint="default"/>
        <w:lang w:val="zh-CN" w:eastAsia="zh-CN" w:bidi="zh-CN"/>
      </w:rPr>
    </w:lvl>
    <w:lvl w:ilvl="8" w:tentative="0">
      <w:start w:val="0"/>
      <w:numFmt w:val="bullet"/>
      <w:lvlText w:val="•"/>
      <w:lvlJc w:val="left"/>
      <w:pPr>
        <w:ind w:left="7972" w:hanging="361"/>
      </w:pPr>
      <w:rPr>
        <w:rFonts w:hint="default"/>
        <w:lang w:val="zh-CN" w:eastAsia="zh-CN" w:bidi="zh-CN"/>
      </w:rPr>
    </w:lvl>
  </w:abstractNum>
  <w:abstractNum w:abstractNumId="9">
    <w:nsid w:val="D7D140E4"/>
    <w:multiLevelType w:val="multilevel"/>
    <w:tmpl w:val="D7D140E4"/>
    <w:lvl w:ilvl="0" w:tentative="0">
      <w:start w:val="1"/>
      <w:numFmt w:val="decimal"/>
      <w:lvlText w:val="（%1）"/>
      <w:lvlJc w:val="left"/>
      <w:pPr>
        <w:ind w:left="139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6" w:hanging="601"/>
      </w:pPr>
      <w:rPr>
        <w:rFonts w:hint="default"/>
        <w:lang w:val="zh-CN" w:eastAsia="zh-CN" w:bidi="zh-CN"/>
      </w:rPr>
    </w:lvl>
    <w:lvl w:ilvl="2" w:tentative="0">
      <w:start w:val="0"/>
      <w:numFmt w:val="bullet"/>
      <w:lvlText w:val="•"/>
      <w:lvlJc w:val="left"/>
      <w:pPr>
        <w:ind w:left="3093" w:hanging="601"/>
      </w:pPr>
      <w:rPr>
        <w:rFonts w:hint="default"/>
        <w:lang w:val="zh-CN" w:eastAsia="zh-CN" w:bidi="zh-CN"/>
      </w:rPr>
    </w:lvl>
    <w:lvl w:ilvl="3" w:tentative="0">
      <w:start w:val="0"/>
      <w:numFmt w:val="bullet"/>
      <w:lvlText w:val="•"/>
      <w:lvlJc w:val="left"/>
      <w:pPr>
        <w:ind w:left="3939" w:hanging="601"/>
      </w:pPr>
      <w:rPr>
        <w:rFonts w:hint="default"/>
        <w:lang w:val="zh-CN" w:eastAsia="zh-CN" w:bidi="zh-CN"/>
      </w:rPr>
    </w:lvl>
    <w:lvl w:ilvl="4" w:tentative="0">
      <w:start w:val="0"/>
      <w:numFmt w:val="bullet"/>
      <w:lvlText w:val="•"/>
      <w:lvlJc w:val="left"/>
      <w:pPr>
        <w:ind w:left="4786" w:hanging="601"/>
      </w:pPr>
      <w:rPr>
        <w:rFonts w:hint="default"/>
        <w:lang w:val="zh-CN" w:eastAsia="zh-CN" w:bidi="zh-CN"/>
      </w:rPr>
    </w:lvl>
    <w:lvl w:ilvl="5" w:tentative="0">
      <w:start w:val="0"/>
      <w:numFmt w:val="bullet"/>
      <w:lvlText w:val="•"/>
      <w:lvlJc w:val="left"/>
      <w:pPr>
        <w:ind w:left="5632" w:hanging="601"/>
      </w:pPr>
      <w:rPr>
        <w:rFonts w:hint="default"/>
        <w:lang w:val="zh-CN" w:eastAsia="zh-CN" w:bidi="zh-CN"/>
      </w:rPr>
    </w:lvl>
    <w:lvl w:ilvl="6" w:tentative="0">
      <w:start w:val="0"/>
      <w:numFmt w:val="bullet"/>
      <w:lvlText w:val="•"/>
      <w:lvlJc w:val="left"/>
      <w:pPr>
        <w:ind w:left="6479" w:hanging="601"/>
      </w:pPr>
      <w:rPr>
        <w:rFonts w:hint="default"/>
        <w:lang w:val="zh-CN" w:eastAsia="zh-CN" w:bidi="zh-CN"/>
      </w:rPr>
    </w:lvl>
    <w:lvl w:ilvl="7" w:tentative="0">
      <w:start w:val="0"/>
      <w:numFmt w:val="bullet"/>
      <w:lvlText w:val="•"/>
      <w:lvlJc w:val="left"/>
      <w:pPr>
        <w:ind w:left="7325" w:hanging="601"/>
      </w:pPr>
      <w:rPr>
        <w:rFonts w:hint="default"/>
        <w:lang w:val="zh-CN" w:eastAsia="zh-CN" w:bidi="zh-CN"/>
      </w:rPr>
    </w:lvl>
    <w:lvl w:ilvl="8" w:tentative="0">
      <w:start w:val="0"/>
      <w:numFmt w:val="bullet"/>
      <w:lvlText w:val="•"/>
      <w:lvlJc w:val="left"/>
      <w:pPr>
        <w:ind w:left="8172" w:hanging="601"/>
      </w:pPr>
      <w:rPr>
        <w:rFonts w:hint="default"/>
        <w:lang w:val="zh-CN" w:eastAsia="zh-CN" w:bidi="zh-CN"/>
      </w:rPr>
    </w:lvl>
  </w:abstractNum>
  <w:abstractNum w:abstractNumId="10">
    <w:nsid w:val="D7F9FE59"/>
    <w:multiLevelType w:val="multilevel"/>
    <w:tmpl w:val="D7F9FE59"/>
    <w:lvl w:ilvl="0" w:tentative="0">
      <w:start w:val="1"/>
      <w:numFmt w:val="decimal"/>
      <w:lvlText w:val="（%1）"/>
      <w:lvlJc w:val="left"/>
      <w:pPr>
        <w:ind w:left="1318" w:hanging="601"/>
        <w:jc w:val="left"/>
      </w:pPr>
      <w:rPr>
        <w:rFonts w:hint="default" w:ascii="宋体" w:hAnsi="宋体" w:eastAsia="宋体" w:cs="宋体"/>
        <w:w w:val="100"/>
        <w:sz w:val="22"/>
        <w:szCs w:val="22"/>
        <w:lang w:val="zh-CN" w:eastAsia="zh-CN" w:bidi="zh-CN"/>
      </w:rPr>
    </w:lvl>
    <w:lvl w:ilvl="1" w:tentative="0">
      <w:start w:val="2"/>
      <w:numFmt w:val="decimal"/>
      <w:lvlText w:val="（%2）"/>
      <w:lvlJc w:val="left"/>
      <w:pPr>
        <w:ind w:left="1417" w:hanging="601"/>
        <w:jc w:val="left"/>
      </w:pPr>
      <w:rPr>
        <w:rFonts w:hint="default"/>
        <w:w w:val="100"/>
        <w:lang w:val="zh-CN" w:eastAsia="zh-CN" w:bidi="zh-CN"/>
      </w:rPr>
    </w:lvl>
    <w:lvl w:ilvl="2" w:tentative="0">
      <w:start w:val="0"/>
      <w:numFmt w:val="bullet"/>
      <w:lvlText w:val="•"/>
      <w:lvlJc w:val="left"/>
      <w:pPr>
        <w:ind w:left="2358" w:hanging="601"/>
      </w:pPr>
      <w:rPr>
        <w:rFonts w:hint="default"/>
        <w:lang w:val="zh-CN" w:eastAsia="zh-CN" w:bidi="zh-CN"/>
      </w:rPr>
    </w:lvl>
    <w:lvl w:ilvl="3" w:tentative="0">
      <w:start w:val="0"/>
      <w:numFmt w:val="bullet"/>
      <w:lvlText w:val="•"/>
      <w:lvlJc w:val="left"/>
      <w:pPr>
        <w:ind w:left="3296" w:hanging="601"/>
      </w:pPr>
      <w:rPr>
        <w:rFonts w:hint="default"/>
        <w:lang w:val="zh-CN" w:eastAsia="zh-CN" w:bidi="zh-CN"/>
      </w:rPr>
    </w:lvl>
    <w:lvl w:ilvl="4" w:tentative="0">
      <w:start w:val="0"/>
      <w:numFmt w:val="bullet"/>
      <w:lvlText w:val="•"/>
      <w:lvlJc w:val="left"/>
      <w:pPr>
        <w:ind w:left="4235" w:hanging="601"/>
      </w:pPr>
      <w:rPr>
        <w:rFonts w:hint="default"/>
        <w:lang w:val="zh-CN" w:eastAsia="zh-CN" w:bidi="zh-CN"/>
      </w:rPr>
    </w:lvl>
    <w:lvl w:ilvl="5" w:tentative="0">
      <w:start w:val="0"/>
      <w:numFmt w:val="bullet"/>
      <w:lvlText w:val="•"/>
      <w:lvlJc w:val="left"/>
      <w:pPr>
        <w:ind w:left="5173" w:hanging="601"/>
      </w:pPr>
      <w:rPr>
        <w:rFonts w:hint="default"/>
        <w:lang w:val="zh-CN" w:eastAsia="zh-CN" w:bidi="zh-CN"/>
      </w:rPr>
    </w:lvl>
    <w:lvl w:ilvl="6" w:tentative="0">
      <w:start w:val="0"/>
      <w:numFmt w:val="bullet"/>
      <w:lvlText w:val="•"/>
      <w:lvlJc w:val="left"/>
      <w:pPr>
        <w:ind w:left="6111" w:hanging="601"/>
      </w:pPr>
      <w:rPr>
        <w:rFonts w:hint="default"/>
        <w:lang w:val="zh-CN" w:eastAsia="zh-CN" w:bidi="zh-CN"/>
      </w:rPr>
    </w:lvl>
    <w:lvl w:ilvl="7" w:tentative="0">
      <w:start w:val="0"/>
      <w:numFmt w:val="bullet"/>
      <w:lvlText w:val="•"/>
      <w:lvlJc w:val="left"/>
      <w:pPr>
        <w:ind w:left="7050" w:hanging="601"/>
      </w:pPr>
      <w:rPr>
        <w:rFonts w:hint="default"/>
        <w:lang w:val="zh-CN" w:eastAsia="zh-CN" w:bidi="zh-CN"/>
      </w:rPr>
    </w:lvl>
    <w:lvl w:ilvl="8" w:tentative="0">
      <w:start w:val="0"/>
      <w:numFmt w:val="bullet"/>
      <w:lvlText w:val="•"/>
      <w:lvlJc w:val="left"/>
      <w:pPr>
        <w:ind w:left="7988" w:hanging="601"/>
      </w:pPr>
      <w:rPr>
        <w:rFonts w:hint="default"/>
        <w:lang w:val="zh-CN" w:eastAsia="zh-CN" w:bidi="zh-CN"/>
      </w:rPr>
    </w:lvl>
  </w:abstractNum>
  <w:abstractNum w:abstractNumId="11">
    <w:nsid w:val="DCBA6B53"/>
    <w:multiLevelType w:val="multilevel"/>
    <w:tmpl w:val="DCBA6B53"/>
    <w:lvl w:ilvl="0" w:tentative="0">
      <w:start w:val="3"/>
      <w:numFmt w:val="decimal"/>
      <w:lvlText w:val="%1"/>
      <w:lvlJc w:val="left"/>
      <w:pPr>
        <w:ind w:left="396" w:hanging="528"/>
        <w:jc w:val="left"/>
      </w:pPr>
      <w:rPr>
        <w:rFonts w:hint="default"/>
        <w:lang w:val="zh-CN" w:eastAsia="zh-CN" w:bidi="zh-CN"/>
      </w:rPr>
    </w:lvl>
    <w:lvl w:ilvl="1" w:tentative="0">
      <w:start w:val="4"/>
      <w:numFmt w:val="decimal"/>
      <w:lvlText w:val="%1.%2"/>
      <w:lvlJc w:val="left"/>
      <w:pPr>
        <w:ind w:left="396" w:hanging="528"/>
        <w:jc w:val="left"/>
      </w:pPr>
      <w:rPr>
        <w:rFonts w:hint="default"/>
        <w:lang w:val="zh-CN" w:eastAsia="zh-CN" w:bidi="zh-CN"/>
      </w:rPr>
    </w:lvl>
    <w:lvl w:ilvl="2" w:tentative="0">
      <w:start w:val="1"/>
      <w:numFmt w:val="decimal"/>
      <w:lvlText w:val="%1.%2.%3"/>
      <w:lvlJc w:val="left"/>
      <w:pPr>
        <w:ind w:left="396" w:hanging="528"/>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39" w:hanging="528"/>
      </w:pPr>
      <w:rPr>
        <w:rFonts w:hint="default"/>
        <w:lang w:val="zh-CN" w:eastAsia="zh-CN" w:bidi="zh-CN"/>
      </w:rPr>
    </w:lvl>
    <w:lvl w:ilvl="4" w:tentative="0">
      <w:start w:val="0"/>
      <w:numFmt w:val="bullet"/>
      <w:lvlText w:val="•"/>
      <w:lvlJc w:val="left"/>
      <w:pPr>
        <w:ind w:left="4186" w:hanging="528"/>
      </w:pPr>
      <w:rPr>
        <w:rFonts w:hint="default"/>
        <w:lang w:val="zh-CN" w:eastAsia="zh-CN" w:bidi="zh-CN"/>
      </w:rPr>
    </w:lvl>
    <w:lvl w:ilvl="5" w:tentative="0">
      <w:start w:val="0"/>
      <w:numFmt w:val="bullet"/>
      <w:lvlText w:val="•"/>
      <w:lvlJc w:val="left"/>
      <w:pPr>
        <w:ind w:left="5132" w:hanging="528"/>
      </w:pPr>
      <w:rPr>
        <w:rFonts w:hint="default"/>
        <w:lang w:val="zh-CN" w:eastAsia="zh-CN" w:bidi="zh-CN"/>
      </w:rPr>
    </w:lvl>
    <w:lvl w:ilvl="6" w:tentative="0">
      <w:start w:val="0"/>
      <w:numFmt w:val="bullet"/>
      <w:lvlText w:val="•"/>
      <w:lvlJc w:val="left"/>
      <w:pPr>
        <w:ind w:left="6079" w:hanging="528"/>
      </w:pPr>
      <w:rPr>
        <w:rFonts w:hint="default"/>
        <w:lang w:val="zh-CN" w:eastAsia="zh-CN" w:bidi="zh-CN"/>
      </w:rPr>
    </w:lvl>
    <w:lvl w:ilvl="7" w:tentative="0">
      <w:start w:val="0"/>
      <w:numFmt w:val="bullet"/>
      <w:lvlText w:val="•"/>
      <w:lvlJc w:val="left"/>
      <w:pPr>
        <w:ind w:left="7025" w:hanging="528"/>
      </w:pPr>
      <w:rPr>
        <w:rFonts w:hint="default"/>
        <w:lang w:val="zh-CN" w:eastAsia="zh-CN" w:bidi="zh-CN"/>
      </w:rPr>
    </w:lvl>
    <w:lvl w:ilvl="8" w:tentative="0">
      <w:start w:val="0"/>
      <w:numFmt w:val="bullet"/>
      <w:lvlText w:val="•"/>
      <w:lvlJc w:val="left"/>
      <w:pPr>
        <w:ind w:left="7972" w:hanging="528"/>
      </w:pPr>
      <w:rPr>
        <w:rFonts w:hint="default"/>
        <w:lang w:val="zh-CN" w:eastAsia="zh-CN" w:bidi="zh-CN"/>
      </w:rPr>
    </w:lvl>
  </w:abstractNum>
  <w:abstractNum w:abstractNumId="12">
    <w:nsid w:val="F4B5D9F5"/>
    <w:multiLevelType w:val="multilevel"/>
    <w:tmpl w:val="F4B5D9F5"/>
    <w:lvl w:ilvl="0" w:tentative="0">
      <w:start w:val="3"/>
      <w:numFmt w:val="decimal"/>
      <w:lvlText w:val="%1"/>
      <w:lvlJc w:val="left"/>
      <w:pPr>
        <w:ind w:left="396" w:hanging="840"/>
        <w:jc w:val="left"/>
      </w:pPr>
      <w:rPr>
        <w:rFonts w:hint="default"/>
        <w:lang w:val="zh-CN" w:eastAsia="zh-CN" w:bidi="zh-CN"/>
      </w:rPr>
    </w:lvl>
    <w:lvl w:ilvl="1" w:tentative="0">
      <w:start w:val="2"/>
      <w:numFmt w:val="decimal"/>
      <w:lvlText w:val="%1.%2"/>
      <w:lvlJc w:val="left"/>
      <w:pPr>
        <w:ind w:left="396" w:hanging="840"/>
        <w:jc w:val="left"/>
      </w:pPr>
      <w:rPr>
        <w:rFonts w:hint="default"/>
        <w:lang w:val="zh-CN" w:eastAsia="zh-CN" w:bidi="zh-CN"/>
      </w:rPr>
    </w:lvl>
    <w:lvl w:ilvl="2" w:tentative="0">
      <w:start w:val="1"/>
      <w:numFmt w:val="decimal"/>
      <w:lvlText w:val="%1.%2.%3"/>
      <w:lvlJc w:val="left"/>
      <w:pPr>
        <w:ind w:left="396" w:hanging="840"/>
        <w:jc w:val="left"/>
      </w:pPr>
      <w:rPr>
        <w:rFonts w:hint="default"/>
        <w:spacing w:val="-22"/>
        <w:w w:val="100"/>
        <w:lang w:val="zh-CN" w:eastAsia="zh-CN" w:bidi="zh-CN"/>
      </w:rPr>
    </w:lvl>
    <w:lvl w:ilvl="3" w:tentative="0">
      <w:start w:val="0"/>
      <w:numFmt w:val="bullet"/>
      <w:lvlText w:val="•"/>
      <w:lvlJc w:val="left"/>
      <w:pPr>
        <w:ind w:left="3239" w:hanging="840"/>
      </w:pPr>
      <w:rPr>
        <w:rFonts w:hint="default"/>
        <w:lang w:val="zh-CN" w:eastAsia="zh-CN" w:bidi="zh-CN"/>
      </w:rPr>
    </w:lvl>
    <w:lvl w:ilvl="4" w:tentative="0">
      <w:start w:val="0"/>
      <w:numFmt w:val="bullet"/>
      <w:lvlText w:val="•"/>
      <w:lvlJc w:val="left"/>
      <w:pPr>
        <w:ind w:left="4186" w:hanging="840"/>
      </w:pPr>
      <w:rPr>
        <w:rFonts w:hint="default"/>
        <w:lang w:val="zh-CN" w:eastAsia="zh-CN" w:bidi="zh-CN"/>
      </w:rPr>
    </w:lvl>
    <w:lvl w:ilvl="5" w:tentative="0">
      <w:start w:val="0"/>
      <w:numFmt w:val="bullet"/>
      <w:lvlText w:val="•"/>
      <w:lvlJc w:val="left"/>
      <w:pPr>
        <w:ind w:left="5132" w:hanging="840"/>
      </w:pPr>
      <w:rPr>
        <w:rFonts w:hint="default"/>
        <w:lang w:val="zh-CN" w:eastAsia="zh-CN" w:bidi="zh-CN"/>
      </w:rPr>
    </w:lvl>
    <w:lvl w:ilvl="6" w:tentative="0">
      <w:start w:val="0"/>
      <w:numFmt w:val="bullet"/>
      <w:lvlText w:val="•"/>
      <w:lvlJc w:val="left"/>
      <w:pPr>
        <w:ind w:left="6079" w:hanging="840"/>
      </w:pPr>
      <w:rPr>
        <w:rFonts w:hint="default"/>
        <w:lang w:val="zh-CN" w:eastAsia="zh-CN" w:bidi="zh-CN"/>
      </w:rPr>
    </w:lvl>
    <w:lvl w:ilvl="7" w:tentative="0">
      <w:start w:val="0"/>
      <w:numFmt w:val="bullet"/>
      <w:lvlText w:val="•"/>
      <w:lvlJc w:val="left"/>
      <w:pPr>
        <w:ind w:left="7025" w:hanging="840"/>
      </w:pPr>
      <w:rPr>
        <w:rFonts w:hint="default"/>
        <w:lang w:val="zh-CN" w:eastAsia="zh-CN" w:bidi="zh-CN"/>
      </w:rPr>
    </w:lvl>
    <w:lvl w:ilvl="8" w:tentative="0">
      <w:start w:val="0"/>
      <w:numFmt w:val="bullet"/>
      <w:lvlText w:val="•"/>
      <w:lvlJc w:val="left"/>
      <w:pPr>
        <w:ind w:left="7972" w:hanging="840"/>
      </w:pPr>
      <w:rPr>
        <w:rFonts w:hint="default"/>
        <w:lang w:val="zh-CN" w:eastAsia="zh-CN" w:bidi="zh-CN"/>
      </w:rPr>
    </w:lvl>
  </w:abstractNum>
  <w:abstractNum w:abstractNumId="13">
    <w:nsid w:val="0053208E"/>
    <w:multiLevelType w:val="multilevel"/>
    <w:tmpl w:val="0053208E"/>
    <w:lvl w:ilvl="0" w:tentative="0">
      <w:start w:val="1"/>
      <w:numFmt w:val="decimal"/>
      <w:lvlText w:val="（%1）"/>
      <w:lvlJc w:val="left"/>
      <w:pPr>
        <w:ind w:left="396" w:hanging="601"/>
        <w:jc w:val="righ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46" w:hanging="601"/>
      </w:pPr>
      <w:rPr>
        <w:rFonts w:hint="default"/>
        <w:lang w:val="zh-CN" w:eastAsia="zh-CN" w:bidi="zh-CN"/>
      </w:rPr>
    </w:lvl>
    <w:lvl w:ilvl="2" w:tentative="0">
      <w:start w:val="0"/>
      <w:numFmt w:val="bullet"/>
      <w:lvlText w:val="•"/>
      <w:lvlJc w:val="left"/>
      <w:pPr>
        <w:ind w:left="2293" w:hanging="601"/>
      </w:pPr>
      <w:rPr>
        <w:rFonts w:hint="default"/>
        <w:lang w:val="zh-CN" w:eastAsia="zh-CN" w:bidi="zh-CN"/>
      </w:rPr>
    </w:lvl>
    <w:lvl w:ilvl="3" w:tentative="0">
      <w:start w:val="0"/>
      <w:numFmt w:val="bullet"/>
      <w:lvlText w:val="•"/>
      <w:lvlJc w:val="left"/>
      <w:pPr>
        <w:ind w:left="323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32" w:hanging="601"/>
      </w:pPr>
      <w:rPr>
        <w:rFonts w:hint="default"/>
        <w:lang w:val="zh-CN" w:eastAsia="zh-CN" w:bidi="zh-CN"/>
      </w:rPr>
    </w:lvl>
    <w:lvl w:ilvl="6" w:tentative="0">
      <w:start w:val="0"/>
      <w:numFmt w:val="bullet"/>
      <w:lvlText w:val="•"/>
      <w:lvlJc w:val="left"/>
      <w:pPr>
        <w:ind w:left="6079" w:hanging="601"/>
      </w:pPr>
      <w:rPr>
        <w:rFonts w:hint="default"/>
        <w:lang w:val="zh-CN" w:eastAsia="zh-CN" w:bidi="zh-CN"/>
      </w:rPr>
    </w:lvl>
    <w:lvl w:ilvl="7" w:tentative="0">
      <w:start w:val="0"/>
      <w:numFmt w:val="bullet"/>
      <w:lvlText w:val="•"/>
      <w:lvlJc w:val="left"/>
      <w:pPr>
        <w:ind w:left="7025" w:hanging="601"/>
      </w:pPr>
      <w:rPr>
        <w:rFonts w:hint="default"/>
        <w:lang w:val="zh-CN" w:eastAsia="zh-CN" w:bidi="zh-CN"/>
      </w:rPr>
    </w:lvl>
    <w:lvl w:ilvl="8" w:tentative="0">
      <w:start w:val="0"/>
      <w:numFmt w:val="bullet"/>
      <w:lvlText w:val="•"/>
      <w:lvlJc w:val="left"/>
      <w:pPr>
        <w:ind w:left="7972" w:hanging="601"/>
      </w:pPr>
      <w:rPr>
        <w:rFonts w:hint="default"/>
        <w:lang w:val="zh-CN" w:eastAsia="zh-CN" w:bidi="zh-CN"/>
      </w:rPr>
    </w:lvl>
  </w:abstractNum>
  <w:abstractNum w:abstractNumId="14">
    <w:nsid w:val="0248C179"/>
    <w:multiLevelType w:val="multilevel"/>
    <w:tmpl w:val="0248C179"/>
    <w:lvl w:ilvl="0" w:tentative="0">
      <w:start w:val="1"/>
      <w:numFmt w:val="decimal"/>
      <w:lvlText w:val="（%1）"/>
      <w:lvlJc w:val="left"/>
      <w:pPr>
        <w:ind w:left="1318"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174" w:hanging="601"/>
      </w:pPr>
      <w:rPr>
        <w:rFonts w:hint="default"/>
        <w:lang w:val="zh-CN" w:eastAsia="zh-CN" w:bidi="zh-CN"/>
      </w:rPr>
    </w:lvl>
    <w:lvl w:ilvl="2" w:tentative="0">
      <w:start w:val="0"/>
      <w:numFmt w:val="bullet"/>
      <w:lvlText w:val="•"/>
      <w:lvlJc w:val="left"/>
      <w:pPr>
        <w:ind w:left="3029" w:hanging="601"/>
      </w:pPr>
      <w:rPr>
        <w:rFonts w:hint="default"/>
        <w:lang w:val="zh-CN" w:eastAsia="zh-CN" w:bidi="zh-CN"/>
      </w:rPr>
    </w:lvl>
    <w:lvl w:ilvl="3" w:tentative="0">
      <w:start w:val="0"/>
      <w:numFmt w:val="bullet"/>
      <w:lvlText w:val="•"/>
      <w:lvlJc w:val="left"/>
      <w:pPr>
        <w:ind w:left="3883" w:hanging="601"/>
      </w:pPr>
      <w:rPr>
        <w:rFonts w:hint="default"/>
        <w:lang w:val="zh-CN" w:eastAsia="zh-CN" w:bidi="zh-CN"/>
      </w:rPr>
    </w:lvl>
    <w:lvl w:ilvl="4" w:tentative="0">
      <w:start w:val="0"/>
      <w:numFmt w:val="bullet"/>
      <w:lvlText w:val="•"/>
      <w:lvlJc w:val="left"/>
      <w:pPr>
        <w:ind w:left="4738" w:hanging="601"/>
      </w:pPr>
      <w:rPr>
        <w:rFonts w:hint="default"/>
        <w:lang w:val="zh-CN" w:eastAsia="zh-CN" w:bidi="zh-CN"/>
      </w:rPr>
    </w:lvl>
    <w:lvl w:ilvl="5" w:tentative="0">
      <w:start w:val="0"/>
      <w:numFmt w:val="bullet"/>
      <w:lvlText w:val="•"/>
      <w:lvlJc w:val="left"/>
      <w:pPr>
        <w:ind w:left="5592" w:hanging="601"/>
      </w:pPr>
      <w:rPr>
        <w:rFonts w:hint="default"/>
        <w:lang w:val="zh-CN" w:eastAsia="zh-CN" w:bidi="zh-CN"/>
      </w:rPr>
    </w:lvl>
    <w:lvl w:ilvl="6" w:tentative="0">
      <w:start w:val="0"/>
      <w:numFmt w:val="bullet"/>
      <w:lvlText w:val="•"/>
      <w:lvlJc w:val="left"/>
      <w:pPr>
        <w:ind w:left="6447" w:hanging="601"/>
      </w:pPr>
      <w:rPr>
        <w:rFonts w:hint="default"/>
        <w:lang w:val="zh-CN" w:eastAsia="zh-CN" w:bidi="zh-CN"/>
      </w:rPr>
    </w:lvl>
    <w:lvl w:ilvl="7" w:tentative="0">
      <w:start w:val="0"/>
      <w:numFmt w:val="bullet"/>
      <w:lvlText w:val="•"/>
      <w:lvlJc w:val="left"/>
      <w:pPr>
        <w:ind w:left="7301" w:hanging="601"/>
      </w:pPr>
      <w:rPr>
        <w:rFonts w:hint="default"/>
        <w:lang w:val="zh-CN" w:eastAsia="zh-CN" w:bidi="zh-CN"/>
      </w:rPr>
    </w:lvl>
    <w:lvl w:ilvl="8" w:tentative="0">
      <w:start w:val="0"/>
      <w:numFmt w:val="bullet"/>
      <w:lvlText w:val="•"/>
      <w:lvlJc w:val="left"/>
      <w:pPr>
        <w:ind w:left="8156" w:hanging="601"/>
      </w:pPr>
      <w:rPr>
        <w:rFonts w:hint="default"/>
        <w:lang w:val="zh-CN" w:eastAsia="zh-CN" w:bidi="zh-CN"/>
      </w:rPr>
    </w:lvl>
  </w:abstractNum>
  <w:abstractNum w:abstractNumId="15">
    <w:nsid w:val="03D62ECE"/>
    <w:multiLevelType w:val="multilevel"/>
    <w:tmpl w:val="03D62ECE"/>
    <w:lvl w:ilvl="0" w:tentative="0">
      <w:start w:val="1"/>
      <w:numFmt w:val="decimal"/>
      <w:lvlText w:val="（%1）"/>
      <w:lvlJc w:val="left"/>
      <w:pPr>
        <w:ind w:left="70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85" w:hanging="601"/>
      </w:pPr>
      <w:rPr>
        <w:rFonts w:hint="default"/>
        <w:lang w:val="zh-CN" w:eastAsia="zh-CN" w:bidi="zh-CN"/>
      </w:rPr>
    </w:lvl>
    <w:lvl w:ilvl="2" w:tentative="0">
      <w:start w:val="0"/>
      <w:numFmt w:val="bullet"/>
      <w:lvlText w:val="•"/>
      <w:lvlJc w:val="left"/>
      <w:pPr>
        <w:ind w:left="1870" w:hanging="601"/>
      </w:pPr>
      <w:rPr>
        <w:rFonts w:hint="default"/>
        <w:lang w:val="zh-CN" w:eastAsia="zh-CN" w:bidi="zh-CN"/>
      </w:rPr>
    </w:lvl>
    <w:lvl w:ilvl="3" w:tentative="0">
      <w:start w:val="0"/>
      <w:numFmt w:val="bullet"/>
      <w:lvlText w:val="•"/>
      <w:lvlJc w:val="left"/>
      <w:pPr>
        <w:ind w:left="2456" w:hanging="601"/>
      </w:pPr>
      <w:rPr>
        <w:rFonts w:hint="default"/>
        <w:lang w:val="zh-CN" w:eastAsia="zh-CN" w:bidi="zh-CN"/>
      </w:rPr>
    </w:lvl>
    <w:lvl w:ilvl="4" w:tentative="0">
      <w:start w:val="0"/>
      <w:numFmt w:val="bullet"/>
      <w:lvlText w:val="•"/>
      <w:lvlJc w:val="left"/>
      <w:pPr>
        <w:ind w:left="3041" w:hanging="601"/>
      </w:pPr>
      <w:rPr>
        <w:rFonts w:hint="default"/>
        <w:lang w:val="zh-CN" w:eastAsia="zh-CN" w:bidi="zh-CN"/>
      </w:rPr>
    </w:lvl>
    <w:lvl w:ilvl="5" w:tentative="0">
      <w:start w:val="0"/>
      <w:numFmt w:val="bullet"/>
      <w:lvlText w:val="•"/>
      <w:lvlJc w:val="left"/>
      <w:pPr>
        <w:ind w:left="3627" w:hanging="601"/>
      </w:pPr>
      <w:rPr>
        <w:rFonts w:hint="default"/>
        <w:lang w:val="zh-CN" w:eastAsia="zh-CN" w:bidi="zh-CN"/>
      </w:rPr>
    </w:lvl>
    <w:lvl w:ilvl="6" w:tentative="0">
      <w:start w:val="0"/>
      <w:numFmt w:val="bullet"/>
      <w:lvlText w:val="•"/>
      <w:lvlJc w:val="left"/>
      <w:pPr>
        <w:ind w:left="4212" w:hanging="601"/>
      </w:pPr>
      <w:rPr>
        <w:rFonts w:hint="default"/>
        <w:lang w:val="zh-CN" w:eastAsia="zh-CN" w:bidi="zh-CN"/>
      </w:rPr>
    </w:lvl>
    <w:lvl w:ilvl="7" w:tentative="0">
      <w:start w:val="0"/>
      <w:numFmt w:val="bullet"/>
      <w:lvlText w:val="•"/>
      <w:lvlJc w:val="left"/>
      <w:pPr>
        <w:ind w:left="4797" w:hanging="601"/>
      </w:pPr>
      <w:rPr>
        <w:rFonts w:hint="default"/>
        <w:lang w:val="zh-CN" w:eastAsia="zh-CN" w:bidi="zh-CN"/>
      </w:rPr>
    </w:lvl>
    <w:lvl w:ilvl="8" w:tentative="0">
      <w:start w:val="0"/>
      <w:numFmt w:val="bullet"/>
      <w:lvlText w:val="•"/>
      <w:lvlJc w:val="left"/>
      <w:pPr>
        <w:ind w:left="5383" w:hanging="601"/>
      </w:pPr>
      <w:rPr>
        <w:rFonts w:hint="default"/>
        <w:lang w:val="zh-CN" w:eastAsia="zh-CN" w:bidi="zh-CN"/>
      </w:rPr>
    </w:lvl>
  </w:abstractNum>
  <w:abstractNum w:abstractNumId="16">
    <w:nsid w:val="0CEF100B"/>
    <w:multiLevelType w:val="multilevel"/>
    <w:tmpl w:val="0CEF100B"/>
    <w:lvl w:ilvl="0" w:tentative="0">
      <w:start w:val="2"/>
      <w:numFmt w:val="upperLetter"/>
      <w:lvlText w:val="%1"/>
      <w:lvlJc w:val="left"/>
      <w:pPr>
        <w:ind w:left="1476" w:hanging="600"/>
        <w:jc w:val="left"/>
      </w:pPr>
      <w:rPr>
        <w:rFonts w:hint="default"/>
        <w:lang w:val="zh-CN" w:eastAsia="zh-CN" w:bidi="zh-CN"/>
      </w:rPr>
    </w:lvl>
    <w:lvl w:ilvl="1" w:tentative="0">
      <w:start w:val="2"/>
      <w:numFmt w:val="decimal"/>
      <w:lvlText w:val="%1-%2"/>
      <w:lvlJc w:val="left"/>
      <w:pPr>
        <w:ind w:left="1476" w:hanging="600"/>
        <w:jc w:val="right"/>
      </w:pPr>
      <w:rPr>
        <w:rFonts w:hint="default" w:ascii="宋体" w:hAnsi="宋体" w:eastAsia="宋体" w:cs="宋体"/>
        <w:w w:val="100"/>
        <w:sz w:val="24"/>
        <w:szCs w:val="24"/>
        <w:lang w:val="zh-CN" w:eastAsia="zh-CN" w:bidi="zh-CN"/>
      </w:rPr>
    </w:lvl>
    <w:lvl w:ilvl="2" w:tentative="0">
      <w:start w:val="1"/>
      <w:numFmt w:val="decimal"/>
      <w:lvlText w:val="%3."/>
      <w:lvlJc w:val="left"/>
      <w:pPr>
        <w:ind w:left="396" w:hanging="361"/>
        <w:jc w:val="left"/>
      </w:pPr>
      <w:rPr>
        <w:rFonts w:hint="default" w:ascii="Times New Roman" w:hAnsi="Times New Roman" w:eastAsia="Times New Roman" w:cs="Times New Roman"/>
        <w:spacing w:val="-48"/>
        <w:w w:val="100"/>
        <w:sz w:val="22"/>
        <w:szCs w:val="22"/>
        <w:lang w:val="zh-CN" w:eastAsia="zh-CN" w:bidi="zh-CN"/>
      </w:rPr>
    </w:lvl>
    <w:lvl w:ilvl="3" w:tentative="0">
      <w:start w:val="1"/>
      <w:numFmt w:val="decimal"/>
      <w:lvlText w:val="（%4）"/>
      <w:lvlJc w:val="left"/>
      <w:pPr>
        <w:ind w:left="1837" w:hanging="601"/>
        <w:jc w:val="left"/>
      </w:pPr>
      <w:rPr>
        <w:rFonts w:hint="default" w:ascii="宋体" w:hAnsi="宋体" w:eastAsia="宋体" w:cs="宋体"/>
        <w:w w:val="100"/>
        <w:sz w:val="22"/>
        <w:szCs w:val="22"/>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849" w:hanging="601"/>
      </w:pPr>
      <w:rPr>
        <w:rFonts w:hint="default"/>
        <w:lang w:val="zh-CN" w:eastAsia="zh-CN" w:bidi="zh-CN"/>
      </w:rPr>
    </w:lvl>
    <w:lvl w:ilvl="6" w:tentative="0">
      <w:start w:val="0"/>
      <w:numFmt w:val="bullet"/>
      <w:lvlText w:val="•"/>
      <w:lvlJc w:val="left"/>
      <w:pPr>
        <w:ind w:left="5852" w:hanging="601"/>
      </w:pPr>
      <w:rPr>
        <w:rFonts w:hint="default"/>
        <w:lang w:val="zh-CN" w:eastAsia="zh-CN" w:bidi="zh-CN"/>
      </w:rPr>
    </w:lvl>
    <w:lvl w:ilvl="7" w:tentative="0">
      <w:start w:val="0"/>
      <w:numFmt w:val="bullet"/>
      <w:lvlText w:val="•"/>
      <w:lvlJc w:val="left"/>
      <w:pPr>
        <w:ind w:left="6855" w:hanging="601"/>
      </w:pPr>
      <w:rPr>
        <w:rFonts w:hint="default"/>
        <w:lang w:val="zh-CN" w:eastAsia="zh-CN" w:bidi="zh-CN"/>
      </w:rPr>
    </w:lvl>
    <w:lvl w:ilvl="8" w:tentative="0">
      <w:start w:val="0"/>
      <w:numFmt w:val="bullet"/>
      <w:lvlText w:val="•"/>
      <w:lvlJc w:val="left"/>
      <w:pPr>
        <w:ind w:left="7858" w:hanging="601"/>
      </w:pPr>
      <w:rPr>
        <w:rFonts w:hint="default"/>
        <w:lang w:val="zh-CN" w:eastAsia="zh-CN" w:bidi="zh-CN"/>
      </w:rPr>
    </w:lvl>
  </w:abstractNum>
  <w:abstractNum w:abstractNumId="17">
    <w:nsid w:val="0E640482"/>
    <w:multiLevelType w:val="multilevel"/>
    <w:tmpl w:val="0E640482"/>
    <w:lvl w:ilvl="0" w:tentative="0">
      <w:start w:val="4"/>
      <w:numFmt w:val="decimal"/>
      <w:lvlText w:val="%1"/>
      <w:lvlJc w:val="left"/>
      <w:pPr>
        <w:ind w:left="1356" w:hanging="540"/>
        <w:jc w:val="left"/>
      </w:pPr>
      <w:rPr>
        <w:rFonts w:hint="default"/>
        <w:lang w:val="zh-CN" w:eastAsia="zh-CN" w:bidi="zh-CN"/>
      </w:rPr>
    </w:lvl>
    <w:lvl w:ilvl="1" w:tentative="0">
      <w:start w:val="1"/>
      <w:numFmt w:val="decimal"/>
      <w:lvlText w:val="%1.%2"/>
      <w:lvlJc w:val="left"/>
      <w:pPr>
        <w:ind w:left="1356" w:hanging="540"/>
        <w:jc w:val="left"/>
      </w:pPr>
      <w:rPr>
        <w:rFonts w:hint="default"/>
        <w:lang w:val="zh-CN" w:eastAsia="zh-CN" w:bidi="zh-CN"/>
      </w:rPr>
    </w:lvl>
    <w:lvl w:ilvl="2" w:tentative="0">
      <w:start w:val="2"/>
      <w:numFmt w:val="decimal"/>
      <w:lvlText w:val="%1.%2.%3"/>
      <w:lvlJc w:val="left"/>
      <w:pPr>
        <w:ind w:left="1356" w:hanging="54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11" w:hanging="540"/>
      </w:pPr>
      <w:rPr>
        <w:rFonts w:hint="default"/>
        <w:lang w:val="zh-CN" w:eastAsia="zh-CN" w:bidi="zh-CN"/>
      </w:rPr>
    </w:lvl>
    <w:lvl w:ilvl="4" w:tentative="0">
      <w:start w:val="0"/>
      <w:numFmt w:val="bullet"/>
      <w:lvlText w:val="•"/>
      <w:lvlJc w:val="left"/>
      <w:pPr>
        <w:ind w:left="4762" w:hanging="540"/>
      </w:pPr>
      <w:rPr>
        <w:rFonts w:hint="default"/>
        <w:lang w:val="zh-CN" w:eastAsia="zh-CN" w:bidi="zh-CN"/>
      </w:rPr>
    </w:lvl>
    <w:lvl w:ilvl="5" w:tentative="0">
      <w:start w:val="0"/>
      <w:numFmt w:val="bullet"/>
      <w:lvlText w:val="•"/>
      <w:lvlJc w:val="left"/>
      <w:pPr>
        <w:ind w:left="5612" w:hanging="540"/>
      </w:pPr>
      <w:rPr>
        <w:rFonts w:hint="default"/>
        <w:lang w:val="zh-CN" w:eastAsia="zh-CN" w:bidi="zh-CN"/>
      </w:rPr>
    </w:lvl>
    <w:lvl w:ilvl="6" w:tentative="0">
      <w:start w:val="0"/>
      <w:numFmt w:val="bullet"/>
      <w:lvlText w:val="•"/>
      <w:lvlJc w:val="left"/>
      <w:pPr>
        <w:ind w:left="6463" w:hanging="540"/>
      </w:pPr>
      <w:rPr>
        <w:rFonts w:hint="default"/>
        <w:lang w:val="zh-CN" w:eastAsia="zh-CN" w:bidi="zh-CN"/>
      </w:rPr>
    </w:lvl>
    <w:lvl w:ilvl="7" w:tentative="0">
      <w:start w:val="0"/>
      <w:numFmt w:val="bullet"/>
      <w:lvlText w:val="•"/>
      <w:lvlJc w:val="left"/>
      <w:pPr>
        <w:ind w:left="7313" w:hanging="540"/>
      </w:pPr>
      <w:rPr>
        <w:rFonts w:hint="default"/>
        <w:lang w:val="zh-CN" w:eastAsia="zh-CN" w:bidi="zh-CN"/>
      </w:rPr>
    </w:lvl>
    <w:lvl w:ilvl="8" w:tentative="0">
      <w:start w:val="0"/>
      <w:numFmt w:val="bullet"/>
      <w:lvlText w:val="•"/>
      <w:lvlJc w:val="left"/>
      <w:pPr>
        <w:ind w:left="8164" w:hanging="540"/>
      </w:pPr>
      <w:rPr>
        <w:rFonts w:hint="default"/>
        <w:lang w:val="zh-CN" w:eastAsia="zh-CN" w:bidi="zh-CN"/>
      </w:rPr>
    </w:lvl>
  </w:abstractNum>
  <w:abstractNum w:abstractNumId="18">
    <w:nsid w:val="243FCF68"/>
    <w:multiLevelType w:val="multilevel"/>
    <w:tmpl w:val="243FCF68"/>
    <w:lvl w:ilvl="0" w:tentative="0">
      <w:start w:val="3"/>
      <w:numFmt w:val="decimal"/>
      <w:lvlText w:val="%1"/>
      <w:lvlJc w:val="left"/>
      <w:pPr>
        <w:ind w:left="396" w:hanging="600"/>
        <w:jc w:val="left"/>
      </w:pPr>
      <w:rPr>
        <w:rFonts w:hint="default"/>
        <w:lang w:val="zh-CN" w:eastAsia="zh-CN" w:bidi="zh-CN"/>
      </w:rPr>
    </w:lvl>
    <w:lvl w:ilvl="1" w:tentative="0">
      <w:start w:val="2"/>
      <w:numFmt w:val="decimal"/>
      <w:lvlText w:val="%1.%2"/>
      <w:lvlJc w:val="left"/>
      <w:pPr>
        <w:ind w:left="396" w:hanging="600"/>
        <w:jc w:val="left"/>
      </w:pPr>
      <w:rPr>
        <w:rFonts w:hint="default"/>
        <w:lang w:val="zh-CN" w:eastAsia="zh-CN" w:bidi="zh-CN"/>
      </w:rPr>
    </w:lvl>
    <w:lvl w:ilvl="2" w:tentative="0">
      <w:start w:val="1"/>
      <w:numFmt w:val="decimal"/>
      <w:lvlText w:val="%1.%2.%3"/>
      <w:lvlJc w:val="left"/>
      <w:pPr>
        <w:ind w:left="396" w:hanging="600"/>
        <w:jc w:val="left"/>
      </w:pPr>
      <w:rPr>
        <w:rFonts w:hint="default" w:ascii="Times New Roman" w:hAnsi="Times New Roman" w:eastAsia="Times New Roman" w:cs="Times New Roman"/>
        <w:spacing w:val="-18"/>
        <w:w w:val="100"/>
        <w:sz w:val="24"/>
        <w:szCs w:val="24"/>
        <w:lang w:val="zh-CN" w:eastAsia="zh-CN" w:bidi="zh-CN"/>
      </w:rPr>
    </w:lvl>
    <w:lvl w:ilvl="3" w:tentative="0">
      <w:start w:val="0"/>
      <w:numFmt w:val="bullet"/>
      <w:lvlText w:val="•"/>
      <w:lvlJc w:val="left"/>
      <w:pPr>
        <w:ind w:left="3239" w:hanging="600"/>
      </w:pPr>
      <w:rPr>
        <w:rFonts w:hint="default"/>
        <w:lang w:val="zh-CN" w:eastAsia="zh-CN" w:bidi="zh-CN"/>
      </w:rPr>
    </w:lvl>
    <w:lvl w:ilvl="4" w:tentative="0">
      <w:start w:val="0"/>
      <w:numFmt w:val="bullet"/>
      <w:lvlText w:val="•"/>
      <w:lvlJc w:val="left"/>
      <w:pPr>
        <w:ind w:left="4186" w:hanging="600"/>
      </w:pPr>
      <w:rPr>
        <w:rFonts w:hint="default"/>
        <w:lang w:val="zh-CN" w:eastAsia="zh-CN" w:bidi="zh-CN"/>
      </w:rPr>
    </w:lvl>
    <w:lvl w:ilvl="5" w:tentative="0">
      <w:start w:val="0"/>
      <w:numFmt w:val="bullet"/>
      <w:lvlText w:val="•"/>
      <w:lvlJc w:val="left"/>
      <w:pPr>
        <w:ind w:left="5132" w:hanging="600"/>
      </w:pPr>
      <w:rPr>
        <w:rFonts w:hint="default"/>
        <w:lang w:val="zh-CN" w:eastAsia="zh-CN" w:bidi="zh-CN"/>
      </w:rPr>
    </w:lvl>
    <w:lvl w:ilvl="6" w:tentative="0">
      <w:start w:val="0"/>
      <w:numFmt w:val="bullet"/>
      <w:lvlText w:val="•"/>
      <w:lvlJc w:val="left"/>
      <w:pPr>
        <w:ind w:left="6079" w:hanging="600"/>
      </w:pPr>
      <w:rPr>
        <w:rFonts w:hint="default"/>
        <w:lang w:val="zh-CN" w:eastAsia="zh-CN" w:bidi="zh-CN"/>
      </w:rPr>
    </w:lvl>
    <w:lvl w:ilvl="7" w:tentative="0">
      <w:start w:val="0"/>
      <w:numFmt w:val="bullet"/>
      <w:lvlText w:val="•"/>
      <w:lvlJc w:val="left"/>
      <w:pPr>
        <w:ind w:left="7025" w:hanging="600"/>
      </w:pPr>
      <w:rPr>
        <w:rFonts w:hint="default"/>
        <w:lang w:val="zh-CN" w:eastAsia="zh-CN" w:bidi="zh-CN"/>
      </w:rPr>
    </w:lvl>
    <w:lvl w:ilvl="8" w:tentative="0">
      <w:start w:val="0"/>
      <w:numFmt w:val="bullet"/>
      <w:lvlText w:val="•"/>
      <w:lvlJc w:val="left"/>
      <w:pPr>
        <w:ind w:left="7972" w:hanging="600"/>
      </w:pPr>
      <w:rPr>
        <w:rFonts w:hint="default"/>
        <w:lang w:val="zh-CN" w:eastAsia="zh-CN" w:bidi="zh-CN"/>
      </w:rPr>
    </w:lvl>
  </w:abstractNum>
  <w:abstractNum w:abstractNumId="19">
    <w:nsid w:val="2470EC97"/>
    <w:multiLevelType w:val="multilevel"/>
    <w:tmpl w:val="2470EC97"/>
    <w:lvl w:ilvl="0" w:tentative="0">
      <w:start w:val="3"/>
      <w:numFmt w:val="decimal"/>
      <w:lvlText w:val="%1"/>
      <w:lvlJc w:val="left"/>
      <w:pPr>
        <w:ind w:left="1336" w:hanging="521"/>
        <w:jc w:val="left"/>
      </w:pPr>
      <w:rPr>
        <w:rFonts w:hint="default"/>
        <w:lang w:val="zh-CN" w:eastAsia="zh-CN" w:bidi="zh-CN"/>
      </w:rPr>
    </w:lvl>
    <w:lvl w:ilvl="1" w:tentative="0">
      <w:start w:val="3"/>
      <w:numFmt w:val="decimal"/>
      <w:lvlText w:val="%1.%2"/>
      <w:lvlJc w:val="left"/>
      <w:pPr>
        <w:ind w:left="1336" w:hanging="521"/>
        <w:jc w:val="left"/>
      </w:pPr>
      <w:rPr>
        <w:rFonts w:hint="default"/>
        <w:lang w:val="zh-CN" w:eastAsia="zh-CN" w:bidi="zh-CN"/>
      </w:rPr>
    </w:lvl>
    <w:lvl w:ilvl="2" w:tentative="0">
      <w:start w:val="1"/>
      <w:numFmt w:val="decimal"/>
      <w:lvlText w:val="%1.%2.%3"/>
      <w:lvlJc w:val="left"/>
      <w:pPr>
        <w:ind w:left="1336" w:hanging="521"/>
        <w:jc w:val="left"/>
      </w:pPr>
      <w:rPr>
        <w:rFonts w:hint="default"/>
        <w:w w:val="100"/>
        <w:lang w:val="zh-CN" w:eastAsia="zh-CN" w:bidi="zh-CN"/>
      </w:rPr>
    </w:lvl>
    <w:lvl w:ilvl="3" w:tentative="0">
      <w:start w:val="0"/>
      <w:numFmt w:val="bullet"/>
      <w:lvlText w:val="•"/>
      <w:lvlJc w:val="left"/>
      <w:pPr>
        <w:ind w:left="3897" w:hanging="521"/>
      </w:pPr>
      <w:rPr>
        <w:rFonts w:hint="default"/>
        <w:lang w:val="zh-CN" w:eastAsia="zh-CN" w:bidi="zh-CN"/>
      </w:rPr>
    </w:lvl>
    <w:lvl w:ilvl="4" w:tentative="0">
      <w:start w:val="0"/>
      <w:numFmt w:val="bullet"/>
      <w:lvlText w:val="•"/>
      <w:lvlJc w:val="left"/>
      <w:pPr>
        <w:ind w:left="4750" w:hanging="521"/>
      </w:pPr>
      <w:rPr>
        <w:rFonts w:hint="default"/>
        <w:lang w:val="zh-CN" w:eastAsia="zh-CN" w:bidi="zh-CN"/>
      </w:rPr>
    </w:lvl>
    <w:lvl w:ilvl="5" w:tentative="0">
      <w:start w:val="0"/>
      <w:numFmt w:val="bullet"/>
      <w:lvlText w:val="•"/>
      <w:lvlJc w:val="left"/>
      <w:pPr>
        <w:ind w:left="5602" w:hanging="521"/>
      </w:pPr>
      <w:rPr>
        <w:rFonts w:hint="default"/>
        <w:lang w:val="zh-CN" w:eastAsia="zh-CN" w:bidi="zh-CN"/>
      </w:rPr>
    </w:lvl>
    <w:lvl w:ilvl="6" w:tentative="0">
      <w:start w:val="0"/>
      <w:numFmt w:val="bullet"/>
      <w:lvlText w:val="•"/>
      <w:lvlJc w:val="left"/>
      <w:pPr>
        <w:ind w:left="6455" w:hanging="521"/>
      </w:pPr>
      <w:rPr>
        <w:rFonts w:hint="default"/>
        <w:lang w:val="zh-CN" w:eastAsia="zh-CN" w:bidi="zh-CN"/>
      </w:rPr>
    </w:lvl>
    <w:lvl w:ilvl="7" w:tentative="0">
      <w:start w:val="0"/>
      <w:numFmt w:val="bullet"/>
      <w:lvlText w:val="•"/>
      <w:lvlJc w:val="left"/>
      <w:pPr>
        <w:ind w:left="7307" w:hanging="521"/>
      </w:pPr>
      <w:rPr>
        <w:rFonts w:hint="default"/>
        <w:lang w:val="zh-CN" w:eastAsia="zh-CN" w:bidi="zh-CN"/>
      </w:rPr>
    </w:lvl>
    <w:lvl w:ilvl="8" w:tentative="0">
      <w:start w:val="0"/>
      <w:numFmt w:val="bullet"/>
      <w:lvlText w:val="•"/>
      <w:lvlJc w:val="left"/>
      <w:pPr>
        <w:ind w:left="8160" w:hanging="521"/>
      </w:pPr>
      <w:rPr>
        <w:rFonts w:hint="default"/>
        <w:lang w:val="zh-CN" w:eastAsia="zh-CN" w:bidi="zh-CN"/>
      </w:rPr>
    </w:lvl>
  </w:abstractNum>
  <w:abstractNum w:abstractNumId="20">
    <w:nsid w:val="25B654F3"/>
    <w:multiLevelType w:val="multilevel"/>
    <w:tmpl w:val="25B654F3"/>
    <w:lvl w:ilvl="0" w:tentative="0">
      <w:start w:val="1"/>
      <w:numFmt w:val="decimal"/>
      <w:lvlText w:val="%1."/>
      <w:lvlJc w:val="left"/>
      <w:pPr>
        <w:ind w:left="567" w:hanging="24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1159" w:hanging="241"/>
      </w:pPr>
      <w:rPr>
        <w:rFonts w:hint="default"/>
        <w:lang w:val="zh-CN" w:eastAsia="zh-CN" w:bidi="zh-CN"/>
      </w:rPr>
    </w:lvl>
    <w:lvl w:ilvl="2" w:tentative="0">
      <w:start w:val="0"/>
      <w:numFmt w:val="bullet"/>
      <w:lvlText w:val="•"/>
      <w:lvlJc w:val="left"/>
      <w:pPr>
        <w:ind w:left="1758" w:hanging="241"/>
      </w:pPr>
      <w:rPr>
        <w:rFonts w:hint="default"/>
        <w:lang w:val="zh-CN" w:eastAsia="zh-CN" w:bidi="zh-CN"/>
      </w:rPr>
    </w:lvl>
    <w:lvl w:ilvl="3" w:tentative="0">
      <w:start w:val="0"/>
      <w:numFmt w:val="bullet"/>
      <w:lvlText w:val="•"/>
      <w:lvlJc w:val="left"/>
      <w:pPr>
        <w:ind w:left="2358" w:hanging="241"/>
      </w:pPr>
      <w:rPr>
        <w:rFonts w:hint="default"/>
        <w:lang w:val="zh-CN" w:eastAsia="zh-CN" w:bidi="zh-CN"/>
      </w:rPr>
    </w:lvl>
    <w:lvl w:ilvl="4" w:tentative="0">
      <w:start w:val="0"/>
      <w:numFmt w:val="bullet"/>
      <w:lvlText w:val="•"/>
      <w:lvlJc w:val="left"/>
      <w:pPr>
        <w:ind w:left="2957" w:hanging="241"/>
      </w:pPr>
      <w:rPr>
        <w:rFonts w:hint="default"/>
        <w:lang w:val="zh-CN" w:eastAsia="zh-CN" w:bidi="zh-CN"/>
      </w:rPr>
    </w:lvl>
    <w:lvl w:ilvl="5" w:tentative="0">
      <w:start w:val="0"/>
      <w:numFmt w:val="bullet"/>
      <w:lvlText w:val="•"/>
      <w:lvlJc w:val="left"/>
      <w:pPr>
        <w:ind w:left="3557" w:hanging="241"/>
      </w:pPr>
      <w:rPr>
        <w:rFonts w:hint="default"/>
        <w:lang w:val="zh-CN" w:eastAsia="zh-CN" w:bidi="zh-CN"/>
      </w:rPr>
    </w:lvl>
    <w:lvl w:ilvl="6" w:tentative="0">
      <w:start w:val="0"/>
      <w:numFmt w:val="bullet"/>
      <w:lvlText w:val="•"/>
      <w:lvlJc w:val="left"/>
      <w:pPr>
        <w:ind w:left="4156" w:hanging="241"/>
      </w:pPr>
      <w:rPr>
        <w:rFonts w:hint="default"/>
        <w:lang w:val="zh-CN" w:eastAsia="zh-CN" w:bidi="zh-CN"/>
      </w:rPr>
    </w:lvl>
    <w:lvl w:ilvl="7" w:tentative="0">
      <w:start w:val="0"/>
      <w:numFmt w:val="bullet"/>
      <w:lvlText w:val="•"/>
      <w:lvlJc w:val="left"/>
      <w:pPr>
        <w:ind w:left="4755" w:hanging="241"/>
      </w:pPr>
      <w:rPr>
        <w:rFonts w:hint="default"/>
        <w:lang w:val="zh-CN" w:eastAsia="zh-CN" w:bidi="zh-CN"/>
      </w:rPr>
    </w:lvl>
    <w:lvl w:ilvl="8" w:tentative="0">
      <w:start w:val="0"/>
      <w:numFmt w:val="bullet"/>
      <w:lvlText w:val="•"/>
      <w:lvlJc w:val="left"/>
      <w:pPr>
        <w:ind w:left="5355" w:hanging="241"/>
      </w:pPr>
      <w:rPr>
        <w:rFonts w:hint="default"/>
        <w:lang w:val="zh-CN" w:eastAsia="zh-CN" w:bidi="zh-CN"/>
      </w:rPr>
    </w:lvl>
  </w:abstractNum>
  <w:abstractNum w:abstractNumId="21">
    <w:nsid w:val="2A8F537B"/>
    <w:multiLevelType w:val="multilevel"/>
    <w:tmpl w:val="2A8F537B"/>
    <w:lvl w:ilvl="0" w:tentative="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3953" w:hanging="601"/>
      </w:pPr>
      <w:rPr>
        <w:rFonts w:hint="default"/>
        <w:lang w:val="zh-CN" w:eastAsia="zh-CN" w:bidi="zh-CN"/>
      </w:rPr>
    </w:lvl>
    <w:lvl w:ilvl="4" w:tentative="0">
      <w:start w:val="0"/>
      <w:numFmt w:val="bullet"/>
      <w:lvlText w:val="•"/>
      <w:lvlJc w:val="left"/>
      <w:pPr>
        <w:ind w:left="4798" w:hanging="601"/>
      </w:pPr>
      <w:rPr>
        <w:rFonts w:hint="default"/>
        <w:lang w:val="zh-CN" w:eastAsia="zh-CN" w:bidi="zh-CN"/>
      </w:rPr>
    </w:lvl>
    <w:lvl w:ilvl="5" w:tentative="0">
      <w:start w:val="0"/>
      <w:numFmt w:val="bullet"/>
      <w:lvlText w:val="•"/>
      <w:lvlJc w:val="left"/>
      <w:pPr>
        <w:ind w:left="5642" w:hanging="601"/>
      </w:pPr>
      <w:rPr>
        <w:rFonts w:hint="default"/>
        <w:lang w:val="zh-CN" w:eastAsia="zh-CN" w:bidi="zh-CN"/>
      </w:rPr>
    </w:lvl>
    <w:lvl w:ilvl="6" w:tentative="0">
      <w:start w:val="0"/>
      <w:numFmt w:val="bullet"/>
      <w:lvlText w:val="•"/>
      <w:lvlJc w:val="left"/>
      <w:pPr>
        <w:ind w:left="6487" w:hanging="601"/>
      </w:pPr>
      <w:rPr>
        <w:rFonts w:hint="default"/>
        <w:lang w:val="zh-CN" w:eastAsia="zh-CN" w:bidi="zh-CN"/>
      </w:rPr>
    </w:lvl>
    <w:lvl w:ilvl="7" w:tentative="0">
      <w:start w:val="0"/>
      <w:numFmt w:val="bullet"/>
      <w:lvlText w:val="•"/>
      <w:lvlJc w:val="left"/>
      <w:pPr>
        <w:ind w:left="7331" w:hanging="601"/>
      </w:pPr>
      <w:rPr>
        <w:rFonts w:hint="default"/>
        <w:lang w:val="zh-CN" w:eastAsia="zh-CN" w:bidi="zh-CN"/>
      </w:rPr>
    </w:lvl>
    <w:lvl w:ilvl="8" w:tentative="0">
      <w:start w:val="0"/>
      <w:numFmt w:val="bullet"/>
      <w:lvlText w:val="•"/>
      <w:lvlJc w:val="left"/>
      <w:pPr>
        <w:ind w:left="8176" w:hanging="601"/>
      </w:pPr>
      <w:rPr>
        <w:rFonts w:hint="default"/>
        <w:lang w:val="zh-CN" w:eastAsia="zh-CN" w:bidi="zh-CN"/>
      </w:rPr>
    </w:lvl>
  </w:abstractNum>
  <w:abstractNum w:abstractNumId="22">
    <w:nsid w:val="39A0D9AC"/>
    <w:multiLevelType w:val="multilevel"/>
    <w:tmpl w:val="39A0D9AC"/>
    <w:lvl w:ilvl="0" w:tentative="0">
      <w:start w:val="8"/>
      <w:numFmt w:val="decimal"/>
      <w:lvlText w:val="%1"/>
      <w:lvlJc w:val="left"/>
      <w:pPr>
        <w:ind w:left="396" w:hanging="528"/>
        <w:jc w:val="left"/>
      </w:pPr>
      <w:rPr>
        <w:rFonts w:hint="default"/>
        <w:lang w:val="zh-CN" w:eastAsia="zh-CN" w:bidi="zh-CN"/>
      </w:rPr>
    </w:lvl>
    <w:lvl w:ilvl="1" w:tentative="0">
      <w:start w:val="5"/>
      <w:numFmt w:val="decimal"/>
      <w:lvlText w:val="%1.%2"/>
      <w:lvlJc w:val="left"/>
      <w:pPr>
        <w:ind w:left="396" w:hanging="528"/>
        <w:jc w:val="left"/>
      </w:pPr>
      <w:rPr>
        <w:rFonts w:hint="default"/>
        <w:lang w:val="zh-CN" w:eastAsia="zh-CN" w:bidi="zh-CN"/>
      </w:rPr>
    </w:lvl>
    <w:lvl w:ilvl="2" w:tentative="0">
      <w:start w:val="1"/>
      <w:numFmt w:val="decimal"/>
      <w:lvlText w:val="%1.%2.%3"/>
      <w:lvlJc w:val="left"/>
      <w:pPr>
        <w:ind w:left="396" w:hanging="528"/>
        <w:jc w:val="left"/>
      </w:pPr>
      <w:rPr>
        <w:rFonts w:hint="default"/>
        <w:w w:val="100"/>
        <w:lang w:val="zh-CN" w:eastAsia="zh-CN" w:bidi="zh-CN"/>
      </w:rPr>
    </w:lvl>
    <w:lvl w:ilvl="3" w:tentative="0">
      <w:start w:val="0"/>
      <w:numFmt w:val="bullet"/>
      <w:lvlText w:val="•"/>
      <w:lvlJc w:val="left"/>
      <w:pPr>
        <w:ind w:left="3239" w:hanging="528"/>
      </w:pPr>
      <w:rPr>
        <w:rFonts w:hint="default"/>
        <w:lang w:val="zh-CN" w:eastAsia="zh-CN" w:bidi="zh-CN"/>
      </w:rPr>
    </w:lvl>
    <w:lvl w:ilvl="4" w:tentative="0">
      <w:start w:val="0"/>
      <w:numFmt w:val="bullet"/>
      <w:lvlText w:val="•"/>
      <w:lvlJc w:val="left"/>
      <w:pPr>
        <w:ind w:left="4186" w:hanging="528"/>
      </w:pPr>
      <w:rPr>
        <w:rFonts w:hint="default"/>
        <w:lang w:val="zh-CN" w:eastAsia="zh-CN" w:bidi="zh-CN"/>
      </w:rPr>
    </w:lvl>
    <w:lvl w:ilvl="5" w:tentative="0">
      <w:start w:val="0"/>
      <w:numFmt w:val="bullet"/>
      <w:lvlText w:val="•"/>
      <w:lvlJc w:val="left"/>
      <w:pPr>
        <w:ind w:left="5132" w:hanging="528"/>
      </w:pPr>
      <w:rPr>
        <w:rFonts w:hint="default"/>
        <w:lang w:val="zh-CN" w:eastAsia="zh-CN" w:bidi="zh-CN"/>
      </w:rPr>
    </w:lvl>
    <w:lvl w:ilvl="6" w:tentative="0">
      <w:start w:val="0"/>
      <w:numFmt w:val="bullet"/>
      <w:lvlText w:val="•"/>
      <w:lvlJc w:val="left"/>
      <w:pPr>
        <w:ind w:left="6079" w:hanging="528"/>
      </w:pPr>
      <w:rPr>
        <w:rFonts w:hint="default"/>
        <w:lang w:val="zh-CN" w:eastAsia="zh-CN" w:bidi="zh-CN"/>
      </w:rPr>
    </w:lvl>
    <w:lvl w:ilvl="7" w:tentative="0">
      <w:start w:val="0"/>
      <w:numFmt w:val="bullet"/>
      <w:lvlText w:val="•"/>
      <w:lvlJc w:val="left"/>
      <w:pPr>
        <w:ind w:left="7025" w:hanging="528"/>
      </w:pPr>
      <w:rPr>
        <w:rFonts w:hint="default"/>
        <w:lang w:val="zh-CN" w:eastAsia="zh-CN" w:bidi="zh-CN"/>
      </w:rPr>
    </w:lvl>
    <w:lvl w:ilvl="8" w:tentative="0">
      <w:start w:val="0"/>
      <w:numFmt w:val="bullet"/>
      <w:lvlText w:val="•"/>
      <w:lvlJc w:val="left"/>
      <w:pPr>
        <w:ind w:left="7972" w:hanging="528"/>
      </w:pPr>
      <w:rPr>
        <w:rFonts w:hint="default"/>
        <w:lang w:val="zh-CN" w:eastAsia="zh-CN" w:bidi="zh-CN"/>
      </w:rPr>
    </w:lvl>
  </w:abstractNum>
  <w:abstractNum w:abstractNumId="23">
    <w:nsid w:val="419F8C40"/>
    <w:multiLevelType w:val="singleLevel"/>
    <w:tmpl w:val="419F8C40"/>
    <w:lvl w:ilvl="0" w:tentative="0">
      <w:start w:val="1"/>
      <w:numFmt w:val="chineseCounting"/>
      <w:suff w:val="space"/>
      <w:lvlText w:val="第%1章"/>
      <w:lvlJc w:val="left"/>
      <w:rPr>
        <w:rFonts w:hint="eastAsia"/>
      </w:rPr>
    </w:lvl>
  </w:abstractNum>
  <w:abstractNum w:abstractNumId="24">
    <w:nsid w:val="46A08BB8"/>
    <w:multiLevelType w:val="multilevel"/>
    <w:tmpl w:val="46A08BB8"/>
    <w:lvl w:ilvl="0" w:tentative="0">
      <w:start w:val="4"/>
      <w:numFmt w:val="decimal"/>
      <w:lvlText w:val="%1"/>
      <w:lvlJc w:val="left"/>
      <w:pPr>
        <w:ind w:left="396" w:hanging="528"/>
        <w:jc w:val="left"/>
      </w:pPr>
      <w:rPr>
        <w:rFonts w:hint="default"/>
        <w:lang w:val="zh-CN" w:eastAsia="zh-CN" w:bidi="zh-CN"/>
      </w:rPr>
    </w:lvl>
    <w:lvl w:ilvl="1" w:tentative="0">
      <w:start w:val="3"/>
      <w:numFmt w:val="decimal"/>
      <w:lvlText w:val="%1.%2"/>
      <w:lvlJc w:val="left"/>
      <w:pPr>
        <w:ind w:left="396" w:hanging="528"/>
        <w:jc w:val="left"/>
      </w:pPr>
      <w:rPr>
        <w:rFonts w:hint="default"/>
        <w:lang w:val="zh-CN" w:eastAsia="zh-CN" w:bidi="zh-CN"/>
      </w:rPr>
    </w:lvl>
    <w:lvl w:ilvl="2" w:tentative="0">
      <w:start w:val="1"/>
      <w:numFmt w:val="decimal"/>
      <w:lvlText w:val="%1.%2.%3"/>
      <w:lvlJc w:val="left"/>
      <w:pPr>
        <w:ind w:left="396" w:hanging="528"/>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39" w:hanging="528"/>
      </w:pPr>
      <w:rPr>
        <w:rFonts w:hint="default"/>
        <w:lang w:val="zh-CN" w:eastAsia="zh-CN" w:bidi="zh-CN"/>
      </w:rPr>
    </w:lvl>
    <w:lvl w:ilvl="4" w:tentative="0">
      <w:start w:val="0"/>
      <w:numFmt w:val="bullet"/>
      <w:lvlText w:val="•"/>
      <w:lvlJc w:val="left"/>
      <w:pPr>
        <w:ind w:left="4186" w:hanging="528"/>
      </w:pPr>
      <w:rPr>
        <w:rFonts w:hint="default"/>
        <w:lang w:val="zh-CN" w:eastAsia="zh-CN" w:bidi="zh-CN"/>
      </w:rPr>
    </w:lvl>
    <w:lvl w:ilvl="5" w:tentative="0">
      <w:start w:val="0"/>
      <w:numFmt w:val="bullet"/>
      <w:lvlText w:val="•"/>
      <w:lvlJc w:val="left"/>
      <w:pPr>
        <w:ind w:left="5132" w:hanging="528"/>
      </w:pPr>
      <w:rPr>
        <w:rFonts w:hint="default"/>
        <w:lang w:val="zh-CN" w:eastAsia="zh-CN" w:bidi="zh-CN"/>
      </w:rPr>
    </w:lvl>
    <w:lvl w:ilvl="6" w:tentative="0">
      <w:start w:val="0"/>
      <w:numFmt w:val="bullet"/>
      <w:lvlText w:val="•"/>
      <w:lvlJc w:val="left"/>
      <w:pPr>
        <w:ind w:left="6079" w:hanging="528"/>
      </w:pPr>
      <w:rPr>
        <w:rFonts w:hint="default"/>
        <w:lang w:val="zh-CN" w:eastAsia="zh-CN" w:bidi="zh-CN"/>
      </w:rPr>
    </w:lvl>
    <w:lvl w:ilvl="7" w:tentative="0">
      <w:start w:val="0"/>
      <w:numFmt w:val="bullet"/>
      <w:lvlText w:val="•"/>
      <w:lvlJc w:val="left"/>
      <w:pPr>
        <w:ind w:left="7025" w:hanging="528"/>
      </w:pPr>
      <w:rPr>
        <w:rFonts w:hint="default"/>
        <w:lang w:val="zh-CN" w:eastAsia="zh-CN" w:bidi="zh-CN"/>
      </w:rPr>
    </w:lvl>
    <w:lvl w:ilvl="8" w:tentative="0">
      <w:start w:val="0"/>
      <w:numFmt w:val="bullet"/>
      <w:lvlText w:val="•"/>
      <w:lvlJc w:val="left"/>
      <w:pPr>
        <w:ind w:left="7972" w:hanging="528"/>
      </w:pPr>
      <w:rPr>
        <w:rFonts w:hint="default"/>
        <w:lang w:val="zh-CN" w:eastAsia="zh-CN" w:bidi="zh-CN"/>
      </w:rPr>
    </w:lvl>
  </w:abstractNum>
  <w:abstractNum w:abstractNumId="25">
    <w:nsid w:val="4C1BAE26"/>
    <w:multiLevelType w:val="multilevel"/>
    <w:tmpl w:val="4C1BAE26"/>
    <w:lvl w:ilvl="0" w:tentative="0">
      <w:start w:val="3"/>
      <w:numFmt w:val="decimal"/>
      <w:lvlText w:val="%1"/>
      <w:lvlJc w:val="left"/>
      <w:pPr>
        <w:ind w:left="1336" w:hanging="521"/>
        <w:jc w:val="left"/>
      </w:pPr>
      <w:rPr>
        <w:rFonts w:hint="default"/>
        <w:lang w:val="zh-CN" w:eastAsia="zh-CN" w:bidi="zh-CN"/>
      </w:rPr>
    </w:lvl>
    <w:lvl w:ilvl="1" w:tentative="0">
      <w:start w:val="6"/>
      <w:numFmt w:val="decimal"/>
      <w:lvlText w:val="%1.%2"/>
      <w:lvlJc w:val="left"/>
      <w:pPr>
        <w:ind w:left="1336" w:hanging="521"/>
        <w:jc w:val="left"/>
      </w:pPr>
      <w:rPr>
        <w:rFonts w:hint="default"/>
        <w:lang w:val="zh-CN" w:eastAsia="zh-CN" w:bidi="zh-CN"/>
      </w:rPr>
    </w:lvl>
    <w:lvl w:ilvl="2" w:tentative="0">
      <w:start w:val="1"/>
      <w:numFmt w:val="decimal"/>
      <w:lvlText w:val="%1.%2.%3"/>
      <w:lvlJc w:val="left"/>
      <w:pPr>
        <w:ind w:left="1336" w:hanging="521"/>
        <w:jc w:val="left"/>
      </w:pPr>
      <w:rPr>
        <w:rFonts w:hint="default"/>
        <w:w w:val="100"/>
        <w:lang w:val="zh-CN" w:eastAsia="zh-CN" w:bidi="zh-CN"/>
      </w:rPr>
    </w:lvl>
    <w:lvl w:ilvl="3" w:tentative="0">
      <w:start w:val="0"/>
      <w:numFmt w:val="bullet"/>
      <w:lvlText w:val="•"/>
      <w:lvlJc w:val="left"/>
      <w:pPr>
        <w:ind w:left="3897" w:hanging="521"/>
      </w:pPr>
      <w:rPr>
        <w:rFonts w:hint="default"/>
        <w:lang w:val="zh-CN" w:eastAsia="zh-CN" w:bidi="zh-CN"/>
      </w:rPr>
    </w:lvl>
    <w:lvl w:ilvl="4" w:tentative="0">
      <w:start w:val="0"/>
      <w:numFmt w:val="bullet"/>
      <w:lvlText w:val="•"/>
      <w:lvlJc w:val="left"/>
      <w:pPr>
        <w:ind w:left="4750" w:hanging="521"/>
      </w:pPr>
      <w:rPr>
        <w:rFonts w:hint="default"/>
        <w:lang w:val="zh-CN" w:eastAsia="zh-CN" w:bidi="zh-CN"/>
      </w:rPr>
    </w:lvl>
    <w:lvl w:ilvl="5" w:tentative="0">
      <w:start w:val="0"/>
      <w:numFmt w:val="bullet"/>
      <w:lvlText w:val="•"/>
      <w:lvlJc w:val="left"/>
      <w:pPr>
        <w:ind w:left="5602" w:hanging="521"/>
      </w:pPr>
      <w:rPr>
        <w:rFonts w:hint="default"/>
        <w:lang w:val="zh-CN" w:eastAsia="zh-CN" w:bidi="zh-CN"/>
      </w:rPr>
    </w:lvl>
    <w:lvl w:ilvl="6" w:tentative="0">
      <w:start w:val="0"/>
      <w:numFmt w:val="bullet"/>
      <w:lvlText w:val="•"/>
      <w:lvlJc w:val="left"/>
      <w:pPr>
        <w:ind w:left="6455" w:hanging="521"/>
      </w:pPr>
      <w:rPr>
        <w:rFonts w:hint="default"/>
        <w:lang w:val="zh-CN" w:eastAsia="zh-CN" w:bidi="zh-CN"/>
      </w:rPr>
    </w:lvl>
    <w:lvl w:ilvl="7" w:tentative="0">
      <w:start w:val="0"/>
      <w:numFmt w:val="bullet"/>
      <w:lvlText w:val="•"/>
      <w:lvlJc w:val="left"/>
      <w:pPr>
        <w:ind w:left="7307" w:hanging="521"/>
      </w:pPr>
      <w:rPr>
        <w:rFonts w:hint="default"/>
        <w:lang w:val="zh-CN" w:eastAsia="zh-CN" w:bidi="zh-CN"/>
      </w:rPr>
    </w:lvl>
    <w:lvl w:ilvl="8" w:tentative="0">
      <w:start w:val="0"/>
      <w:numFmt w:val="bullet"/>
      <w:lvlText w:val="•"/>
      <w:lvlJc w:val="left"/>
      <w:pPr>
        <w:ind w:left="8160" w:hanging="521"/>
      </w:pPr>
      <w:rPr>
        <w:rFonts w:hint="default"/>
        <w:lang w:val="zh-CN" w:eastAsia="zh-CN" w:bidi="zh-CN"/>
      </w:rPr>
    </w:lvl>
  </w:abstractNum>
  <w:abstractNum w:abstractNumId="26">
    <w:nsid w:val="58765686"/>
    <w:multiLevelType w:val="multilevel"/>
    <w:tmpl w:val="58765686"/>
    <w:lvl w:ilvl="0" w:tentative="0">
      <w:start w:val="1"/>
      <w:numFmt w:val="decimal"/>
      <w:lvlText w:val="（%1）"/>
      <w:lvlJc w:val="left"/>
      <w:pPr>
        <w:ind w:left="99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86" w:hanging="601"/>
      </w:pPr>
      <w:rPr>
        <w:rFonts w:hint="default"/>
        <w:lang w:val="zh-CN" w:eastAsia="zh-CN" w:bidi="zh-CN"/>
      </w:rPr>
    </w:lvl>
    <w:lvl w:ilvl="2" w:tentative="0">
      <w:start w:val="0"/>
      <w:numFmt w:val="bullet"/>
      <w:lvlText w:val="•"/>
      <w:lvlJc w:val="left"/>
      <w:pPr>
        <w:ind w:left="2773" w:hanging="601"/>
      </w:pPr>
      <w:rPr>
        <w:rFonts w:hint="default"/>
        <w:lang w:val="zh-CN" w:eastAsia="zh-CN" w:bidi="zh-CN"/>
      </w:rPr>
    </w:lvl>
    <w:lvl w:ilvl="3" w:tentative="0">
      <w:start w:val="0"/>
      <w:numFmt w:val="bullet"/>
      <w:lvlText w:val="•"/>
      <w:lvlJc w:val="left"/>
      <w:pPr>
        <w:ind w:left="3659" w:hanging="601"/>
      </w:pPr>
      <w:rPr>
        <w:rFonts w:hint="default"/>
        <w:lang w:val="zh-CN" w:eastAsia="zh-CN" w:bidi="zh-CN"/>
      </w:rPr>
    </w:lvl>
    <w:lvl w:ilvl="4" w:tentative="0">
      <w:start w:val="0"/>
      <w:numFmt w:val="bullet"/>
      <w:lvlText w:val="•"/>
      <w:lvlJc w:val="left"/>
      <w:pPr>
        <w:ind w:left="4546" w:hanging="601"/>
      </w:pPr>
      <w:rPr>
        <w:rFonts w:hint="default"/>
        <w:lang w:val="zh-CN" w:eastAsia="zh-CN" w:bidi="zh-CN"/>
      </w:rPr>
    </w:lvl>
    <w:lvl w:ilvl="5" w:tentative="0">
      <w:start w:val="0"/>
      <w:numFmt w:val="bullet"/>
      <w:lvlText w:val="•"/>
      <w:lvlJc w:val="left"/>
      <w:pPr>
        <w:ind w:left="5432" w:hanging="601"/>
      </w:pPr>
      <w:rPr>
        <w:rFonts w:hint="default"/>
        <w:lang w:val="zh-CN" w:eastAsia="zh-CN" w:bidi="zh-CN"/>
      </w:rPr>
    </w:lvl>
    <w:lvl w:ilvl="6" w:tentative="0">
      <w:start w:val="0"/>
      <w:numFmt w:val="bullet"/>
      <w:lvlText w:val="•"/>
      <w:lvlJc w:val="left"/>
      <w:pPr>
        <w:ind w:left="6319" w:hanging="601"/>
      </w:pPr>
      <w:rPr>
        <w:rFonts w:hint="default"/>
        <w:lang w:val="zh-CN" w:eastAsia="zh-CN" w:bidi="zh-CN"/>
      </w:rPr>
    </w:lvl>
    <w:lvl w:ilvl="7" w:tentative="0">
      <w:start w:val="0"/>
      <w:numFmt w:val="bullet"/>
      <w:lvlText w:val="•"/>
      <w:lvlJc w:val="left"/>
      <w:pPr>
        <w:ind w:left="7205" w:hanging="601"/>
      </w:pPr>
      <w:rPr>
        <w:rFonts w:hint="default"/>
        <w:lang w:val="zh-CN" w:eastAsia="zh-CN" w:bidi="zh-CN"/>
      </w:rPr>
    </w:lvl>
    <w:lvl w:ilvl="8" w:tentative="0">
      <w:start w:val="0"/>
      <w:numFmt w:val="bullet"/>
      <w:lvlText w:val="•"/>
      <w:lvlJc w:val="left"/>
      <w:pPr>
        <w:ind w:left="8092" w:hanging="601"/>
      </w:pPr>
      <w:rPr>
        <w:rFonts w:hint="default"/>
        <w:lang w:val="zh-CN" w:eastAsia="zh-CN" w:bidi="zh-CN"/>
      </w:rPr>
    </w:lvl>
  </w:abstractNum>
  <w:abstractNum w:abstractNumId="27">
    <w:nsid w:val="59ADCABA"/>
    <w:multiLevelType w:val="multilevel"/>
    <w:tmpl w:val="59ADCABA"/>
    <w:lvl w:ilvl="0" w:tentative="0">
      <w:start w:val="3"/>
      <w:numFmt w:val="decimal"/>
      <w:lvlText w:val="%1"/>
      <w:lvlJc w:val="left"/>
      <w:pPr>
        <w:ind w:left="396" w:hanging="420"/>
        <w:jc w:val="left"/>
      </w:pPr>
      <w:rPr>
        <w:rFonts w:hint="default"/>
        <w:lang w:val="zh-CN" w:eastAsia="zh-CN" w:bidi="zh-CN"/>
      </w:rPr>
    </w:lvl>
    <w:lvl w:ilvl="1" w:tentative="0">
      <w:start w:val="1"/>
      <w:numFmt w:val="decimal"/>
      <w:lvlText w:val="%1.%2"/>
      <w:lvlJc w:val="left"/>
      <w:pPr>
        <w:ind w:left="396"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293" w:hanging="420"/>
      </w:pPr>
      <w:rPr>
        <w:rFonts w:hint="default"/>
        <w:lang w:val="zh-CN" w:eastAsia="zh-CN" w:bidi="zh-CN"/>
      </w:rPr>
    </w:lvl>
    <w:lvl w:ilvl="3" w:tentative="0">
      <w:start w:val="0"/>
      <w:numFmt w:val="bullet"/>
      <w:lvlText w:val="•"/>
      <w:lvlJc w:val="left"/>
      <w:pPr>
        <w:ind w:left="3239" w:hanging="420"/>
      </w:pPr>
      <w:rPr>
        <w:rFonts w:hint="default"/>
        <w:lang w:val="zh-CN" w:eastAsia="zh-CN" w:bidi="zh-CN"/>
      </w:rPr>
    </w:lvl>
    <w:lvl w:ilvl="4" w:tentative="0">
      <w:start w:val="0"/>
      <w:numFmt w:val="bullet"/>
      <w:lvlText w:val="•"/>
      <w:lvlJc w:val="left"/>
      <w:pPr>
        <w:ind w:left="4186" w:hanging="420"/>
      </w:pPr>
      <w:rPr>
        <w:rFonts w:hint="default"/>
        <w:lang w:val="zh-CN" w:eastAsia="zh-CN" w:bidi="zh-CN"/>
      </w:rPr>
    </w:lvl>
    <w:lvl w:ilvl="5" w:tentative="0">
      <w:start w:val="0"/>
      <w:numFmt w:val="bullet"/>
      <w:lvlText w:val="•"/>
      <w:lvlJc w:val="left"/>
      <w:pPr>
        <w:ind w:left="5132" w:hanging="420"/>
      </w:pPr>
      <w:rPr>
        <w:rFonts w:hint="default"/>
        <w:lang w:val="zh-CN" w:eastAsia="zh-CN" w:bidi="zh-CN"/>
      </w:rPr>
    </w:lvl>
    <w:lvl w:ilvl="6" w:tentative="0">
      <w:start w:val="0"/>
      <w:numFmt w:val="bullet"/>
      <w:lvlText w:val="•"/>
      <w:lvlJc w:val="left"/>
      <w:pPr>
        <w:ind w:left="6079" w:hanging="420"/>
      </w:pPr>
      <w:rPr>
        <w:rFonts w:hint="default"/>
        <w:lang w:val="zh-CN" w:eastAsia="zh-CN" w:bidi="zh-CN"/>
      </w:rPr>
    </w:lvl>
    <w:lvl w:ilvl="7" w:tentative="0">
      <w:start w:val="0"/>
      <w:numFmt w:val="bullet"/>
      <w:lvlText w:val="•"/>
      <w:lvlJc w:val="left"/>
      <w:pPr>
        <w:ind w:left="7025" w:hanging="420"/>
      </w:pPr>
      <w:rPr>
        <w:rFonts w:hint="default"/>
        <w:lang w:val="zh-CN" w:eastAsia="zh-CN" w:bidi="zh-CN"/>
      </w:rPr>
    </w:lvl>
    <w:lvl w:ilvl="8" w:tentative="0">
      <w:start w:val="0"/>
      <w:numFmt w:val="bullet"/>
      <w:lvlText w:val="•"/>
      <w:lvlJc w:val="left"/>
      <w:pPr>
        <w:ind w:left="7972" w:hanging="420"/>
      </w:pPr>
      <w:rPr>
        <w:rFonts w:hint="default"/>
        <w:lang w:val="zh-CN" w:eastAsia="zh-CN" w:bidi="zh-CN"/>
      </w:rPr>
    </w:lvl>
  </w:abstractNum>
  <w:abstractNum w:abstractNumId="28">
    <w:nsid w:val="5A241D34"/>
    <w:multiLevelType w:val="multilevel"/>
    <w:tmpl w:val="5A241D34"/>
    <w:lvl w:ilvl="0" w:tentative="0">
      <w:start w:val="2"/>
      <w:numFmt w:val="decimal"/>
      <w:lvlText w:val="%1."/>
      <w:lvlJc w:val="left"/>
      <w:pPr>
        <w:ind w:left="637"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1"/>
      <w:numFmt w:val="decimal"/>
      <w:lvlText w:val="%1.%2"/>
      <w:lvlJc w:val="left"/>
      <w:pPr>
        <w:ind w:left="1029" w:hanging="490"/>
        <w:jc w:val="left"/>
      </w:pPr>
      <w:rPr>
        <w:rFonts w:hint="default"/>
        <w:spacing w:val="-2"/>
        <w:w w:val="100"/>
        <w:lang w:val="zh-CN" w:eastAsia="zh-CN" w:bidi="zh-CN"/>
      </w:rPr>
    </w:lvl>
    <w:lvl w:ilvl="2" w:tentative="0">
      <w:start w:val="1"/>
      <w:numFmt w:val="decimal"/>
      <w:lvlText w:val="（%3）"/>
      <w:lvlJc w:val="left"/>
      <w:pPr>
        <w:ind w:left="1357" w:hanging="490"/>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360" w:hanging="490"/>
      </w:pPr>
      <w:rPr>
        <w:rFonts w:hint="default"/>
        <w:lang w:val="zh-CN" w:eastAsia="zh-CN" w:bidi="zh-CN"/>
      </w:rPr>
    </w:lvl>
    <w:lvl w:ilvl="4" w:tentative="0">
      <w:start w:val="0"/>
      <w:numFmt w:val="bullet"/>
      <w:lvlText w:val="•"/>
      <w:lvlJc w:val="left"/>
      <w:pPr>
        <w:ind w:left="2575" w:hanging="490"/>
      </w:pPr>
      <w:rPr>
        <w:rFonts w:hint="default"/>
        <w:lang w:val="zh-CN" w:eastAsia="zh-CN" w:bidi="zh-CN"/>
      </w:rPr>
    </w:lvl>
    <w:lvl w:ilvl="5" w:tentative="0">
      <w:start w:val="0"/>
      <w:numFmt w:val="bullet"/>
      <w:lvlText w:val="•"/>
      <w:lvlJc w:val="left"/>
      <w:pPr>
        <w:ind w:left="3790" w:hanging="490"/>
      </w:pPr>
      <w:rPr>
        <w:rFonts w:hint="default"/>
        <w:lang w:val="zh-CN" w:eastAsia="zh-CN" w:bidi="zh-CN"/>
      </w:rPr>
    </w:lvl>
    <w:lvl w:ilvl="6" w:tentative="0">
      <w:start w:val="0"/>
      <w:numFmt w:val="bullet"/>
      <w:lvlText w:val="•"/>
      <w:lvlJc w:val="left"/>
      <w:pPr>
        <w:ind w:left="5005" w:hanging="490"/>
      </w:pPr>
      <w:rPr>
        <w:rFonts w:hint="default"/>
        <w:lang w:val="zh-CN" w:eastAsia="zh-CN" w:bidi="zh-CN"/>
      </w:rPr>
    </w:lvl>
    <w:lvl w:ilvl="7" w:tentative="0">
      <w:start w:val="0"/>
      <w:numFmt w:val="bullet"/>
      <w:lvlText w:val="•"/>
      <w:lvlJc w:val="left"/>
      <w:pPr>
        <w:ind w:left="6220" w:hanging="490"/>
      </w:pPr>
      <w:rPr>
        <w:rFonts w:hint="default"/>
        <w:lang w:val="zh-CN" w:eastAsia="zh-CN" w:bidi="zh-CN"/>
      </w:rPr>
    </w:lvl>
    <w:lvl w:ilvl="8" w:tentative="0">
      <w:start w:val="0"/>
      <w:numFmt w:val="bullet"/>
      <w:lvlText w:val="•"/>
      <w:lvlJc w:val="left"/>
      <w:pPr>
        <w:ind w:left="7435" w:hanging="490"/>
      </w:pPr>
      <w:rPr>
        <w:rFonts w:hint="default"/>
        <w:lang w:val="zh-CN" w:eastAsia="zh-CN" w:bidi="zh-CN"/>
      </w:rPr>
    </w:lvl>
  </w:abstractNum>
  <w:abstractNum w:abstractNumId="29">
    <w:nsid w:val="5B774687"/>
    <w:multiLevelType w:val="singleLevel"/>
    <w:tmpl w:val="5B774687"/>
    <w:lvl w:ilvl="0" w:tentative="0">
      <w:start w:val="1"/>
      <w:numFmt w:val="decimal"/>
      <w:suff w:val="nothing"/>
      <w:lvlText w:val="（%1）"/>
      <w:lvlJc w:val="left"/>
    </w:lvl>
  </w:abstractNum>
  <w:abstractNum w:abstractNumId="30">
    <w:nsid w:val="5D005314"/>
    <w:multiLevelType w:val="singleLevel"/>
    <w:tmpl w:val="5D005314"/>
    <w:lvl w:ilvl="0" w:tentative="0">
      <w:start w:val="1"/>
      <w:numFmt w:val="decimal"/>
      <w:lvlText w:val="%1."/>
      <w:lvlJc w:val="left"/>
      <w:pPr>
        <w:tabs>
          <w:tab w:val="left" w:pos="312"/>
        </w:tabs>
      </w:pPr>
    </w:lvl>
  </w:abstractNum>
  <w:abstractNum w:abstractNumId="31">
    <w:nsid w:val="60382F6E"/>
    <w:multiLevelType w:val="multilevel"/>
    <w:tmpl w:val="60382F6E"/>
    <w:lvl w:ilvl="0" w:tentative="0">
      <w:start w:val="3"/>
      <w:numFmt w:val="decimal"/>
      <w:lvlText w:val="%1"/>
      <w:lvlJc w:val="left"/>
      <w:pPr>
        <w:ind w:left="396" w:hanging="528"/>
        <w:jc w:val="left"/>
      </w:pPr>
      <w:rPr>
        <w:rFonts w:hint="default"/>
        <w:lang w:val="zh-CN" w:eastAsia="zh-CN" w:bidi="zh-CN"/>
      </w:rPr>
    </w:lvl>
    <w:lvl w:ilvl="1" w:tentative="0">
      <w:start w:val="7"/>
      <w:numFmt w:val="decimal"/>
      <w:lvlText w:val="%1.%2"/>
      <w:lvlJc w:val="left"/>
      <w:pPr>
        <w:ind w:left="396" w:hanging="528"/>
        <w:jc w:val="left"/>
      </w:pPr>
      <w:rPr>
        <w:rFonts w:hint="default"/>
        <w:lang w:val="zh-CN" w:eastAsia="zh-CN" w:bidi="zh-CN"/>
      </w:rPr>
    </w:lvl>
    <w:lvl w:ilvl="2" w:tentative="0">
      <w:start w:val="1"/>
      <w:numFmt w:val="decimal"/>
      <w:lvlText w:val="%1.%2.%3"/>
      <w:lvlJc w:val="left"/>
      <w:pPr>
        <w:ind w:left="396" w:hanging="528"/>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39" w:hanging="528"/>
      </w:pPr>
      <w:rPr>
        <w:rFonts w:hint="default"/>
        <w:lang w:val="zh-CN" w:eastAsia="zh-CN" w:bidi="zh-CN"/>
      </w:rPr>
    </w:lvl>
    <w:lvl w:ilvl="4" w:tentative="0">
      <w:start w:val="0"/>
      <w:numFmt w:val="bullet"/>
      <w:lvlText w:val="•"/>
      <w:lvlJc w:val="left"/>
      <w:pPr>
        <w:ind w:left="4186" w:hanging="528"/>
      </w:pPr>
      <w:rPr>
        <w:rFonts w:hint="default"/>
        <w:lang w:val="zh-CN" w:eastAsia="zh-CN" w:bidi="zh-CN"/>
      </w:rPr>
    </w:lvl>
    <w:lvl w:ilvl="5" w:tentative="0">
      <w:start w:val="0"/>
      <w:numFmt w:val="bullet"/>
      <w:lvlText w:val="•"/>
      <w:lvlJc w:val="left"/>
      <w:pPr>
        <w:ind w:left="5132" w:hanging="528"/>
      </w:pPr>
      <w:rPr>
        <w:rFonts w:hint="default"/>
        <w:lang w:val="zh-CN" w:eastAsia="zh-CN" w:bidi="zh-CN"/>
      </w:rPr>
    </w:lvl>
    <w:lvl w:ilvl="6" w:tentative="0">
      <w:start w:val="0"/>
      <w:numFmt w:val="bullet"/>
      <w:lvlText w:val="•"/>
      <w:lvlJc w:val="left"/>
      <w:pPr>
        <w:ind w:left="6079" w:hanging="528"/>
      </w:pPr>
      <w:rPr>
        <w:rFonts w:hint="default"/>
        <w:lang w:val="zh-CN" w:eastAsia="zh-CN" w:bidi="zh-CN"/>
      </w:rPr>
    </w:lvl>
    <w:lvl w:ilvl="7" w:tentative="0">
      <w:start w:val="0"/>
      <w:numFmt w:val="bullet"/>
      <w:lvlText w:val="•"/>
      <w:lvlJc w:val="left"/>
      <w:pPr>
        <w:ind w:left="7025" w:hanging="528"/>
      </w:pPr>
      <w:rPr>
        <w:rFonts w:hint="default"/>
        <w:lang w:val="zh-CN" w:eastAsia="zh-CN" w:bidi="zh-CN"/>
      </w:rPr>
    </w:lvl>
    <w:lvl w:ilvl="8" w:tentative="0">
      <w:start w:val="0"/>
      <w:numFmt w:val="bullet"/>
      <w:lvlText w:val="•"/>
      <w:lvlJc w:val="left"/>
      <w:pPr>
        <w:ind w:left="7972" w:hanging="528"/>
      </w:pPr>
      <w:rPr>
        <w:rFonts w:hint="default"/>
        <w:lang w:val="zh-CN" w:eastAsia="zh-CN" w:bidi="zh-CN"/>
      </w:rPr>
    </w:lvl>
  </w:abstractNum>
  <w:abstractNum w:abstractNumId="32">
    <w:nsid w:val="72183CF9"/>
    <w:multiLevelType w:val="multilevel"/>
    <w:tmpl w:val="72183CF9"/>
    <w:lvl w:ilvl="0" w:tentative="0">
      <w:start w:val="1"/>
      <w:numFmt w:val="decimal"/>
      <w:lvlText w:val="%1"/>
      <w:lvlJc w:val="left"/>
      <w:pPr>
        <w:ind w:left="996" w:hanging="420"/>
        <w:jc w:val="left"/>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017" w:hanging="485"/>
        <w:jc w:val="left"/>
      </w:pPr>
      <w:rPr>
        <w:rFonts w:hint="default" w:ascii="Times New Roman" w:hAnsi="Times New Roman" w:eastAsia="Times New Roman" w:cs="Times New Roman"/>
        <w:spacing w:val="-1"/>
        <w:w w:val="100"/>
        <w:sz w:val="28"/>
        <w:szCs w:val="28"/>
        <w:lang w:val="zh-CN" w:eastAsia="zh-CN" w:bidi="zh-CN"/>
      </w:rPr>
    </w:lvl>
    <w:lvl w:ilvl="2" w:tentative="0">
      <w:start w:val="1"/>
      <w:numFmt w:val="decimal"/>
      <w:lvlText w:val="%1.%2.%3"/>
      <w:lvlJc w:val="left"/>
      <w:pPr>
        <w:ind w:left="396" w:hanging="840"/>
        <w:jc w:val="left"/>
      </w:pPr>
      <w:rPr>
        <w:rFonts w:hint="default"/>
        <w:w w:val="100"/>
        <w:lang w:val="zh-CN" w:eastAsia="zh-CN" w:bidi="zh-CN"/>
      </w:rPr>
    </w:lvl>
    <w:lvl w:ilvl="3" w:tentative="0">
      <w:start w:val="0"/>
      <w:numFmt w:val="bullet"/>
      <w:lvlText w:val="•"/>
      <w:lvlJc w:val="left"/>
      <w:pPr>
        <w:ind w:left="1340" w:hanging="840"/>
      </w:pPr>
      <w:rPr>
        <w:rFonts w:hint="default"/>
        <w:lang w:val="zh-CN" w:eastAsia="zh-CN" w:bidi="zh-CN"/>
      </w:rPr>
    </w:lvl>
    <w:lvl w:ilvl="4" w:tentative="0">
      <w:start w:val="0"/>
      <w:numFmt w:val="bullet"/>
      <w:lvlText w:val="•"/>
      <w:lvlJc w:val="left"/>
      <w:pPr>
        <w:ind w:left="2557" w:hanging="840"/>
      </w:pPr>
      <w:rPr>
        <w:rFonts w:hint="default"/>
        <w:lang w:val="zh-CN" w:eastAsia="zh-CN" w:bidi="zh-CN"/>
      </w:rPr>
    </w:lvl>
    <w:lvl w:ilvl="5" w:tentative="0">
      <w:start w:val="0"/>
      <w:numFmt w:val="bullet"/>
      <w:lvlText w:val="•"/>
      <w:lvlJc w:val="left"/>
      <w:pPr>
        <w:ind w:left="3775" w:hanging="840"/>
      </w:pPr>
      <w:rPr>
        <w:rFonts w:hint="default"/>
        <w:lang w:val="zh-CN" w:eastAsia="zh-CN" w:bidi="zh-CN"/>
      </w:rPr>
    </w:lvl>
    <w:lvl w:ilvl="6" w:tentative="0">
      <w:start w:val="0"/>
      <w:numFmt w:val="bullet"/>
      <w:lvlText w:val="•"/>
      <w:lvlJc w:val="left"/>
      <w:pPr>
        <w:ind w:left="4993" w:hanging="840"/>
      </w:pPr>
      <w:rPr>
        <w:rFonts w:hint="default"/>
        <w:lang w:val="zh-CN" w:eastAsia="zh-CN" w:bidi="zh-CN"/>
      </w:rPr>
    </w:lvl>
    <w:lvl w:ilvl="7" w:tentative="0">
      <w:start w:val="0"/>
      <w:numFmt w:val="bullet"/>
      <w:lvlText w:val="•"/>
      <w:lvlJc w:val="left"/>
      <w:pPr>
        <w:ind w:left="6211" w:hanging="840"/>
      </w:pPr>
      <w:rPr>
        <w:rFonts w:hint="default"/>
        <w:lang w:val="zh-CN" w:eastAsia="zh-CN" w:bidi="zh-CN"/>
      </w:rPr>
    </w:lvl>
    <w:lvl w:ilvl="8" w:tentative="0">
      <w:start w:val="0"/>
      <w:numFmt w:val="bullet"/>
      <w:lvlText w:val="•"/>
      <w:lvlJc w:val="left"/>
      <w:pPr>
        <w:ind w:left="7429" w:hanging="840"/>
      </w:pPr>
      <w:rPr>
        <w:rFonts w:hint="default"/>
        <w:lang w:val="zh-CN" w:eastAsia="zh-CN" w:bidi="zh-CN"/>
      </w:rPr>
    </w:lvl>
  </w:abstractNum>
  <w:abstractNum w:abstractNumId="33">
    <w:nsid w:val="77ECEA79"/>
    <w:multiLevelType w:val="multilevel"/>
    <w:tmpl w:val="77ECEA79"/>
    <w:lvl w:ilvl="0" w:tentative="0">
      <w:start w:val="6"/>
      <w:numFmt w:val="decimal"/>
      <w:lvlText w:val="%1"/>
      <w:lvlJc w:val="left"/>
      <w:pPr>
        <w:ind w:left="396" w:hanging="528"/>
        <w:jc w:val="left"/>
      </w:pPr>
      <w:rPr>
        <w:rFonts w:hint="default"/>
        <w:lang w:val="zh-CN" w:eastAsia="zh-CN" w:bidi="zh-CN"/>
      </w:rPr>
    </w:lvl>
    <w:lvl w:ilvl="1" w:tentative="0">
      <w:start w:val="1"/>
      <w:numFmt w:val="decimal"/>
      <w:lvlText w:val="%1.%2"/>
      <w:lvlJc w:val="left"/>
      <w:pPr>
        <w:ind w:left="396" w:hanging="528"/>
        <w:jc w:val="left"/>
      </w:pPr>
      <w:rPr>
        <w:rFonts w:hint="default"/>
        <w:lang w:val="zh-CN" w:eastAsia="zh-CN" w:bidi="zh-CN"/>
      </w:rPr>
    </w:lvl>
    <w:lvl w:ilvl="2" w:tentative="0">
      <w:start w:val="1"/>
      <w:numFmt w:val="decimal"/>
      <w:lvlText w:val="%1.%2.%3"/>
      <w:lvlJc w:val="left"/>
      <w:pPr>
        <w:ind w:left="396" w:hanging="528"/>
        <w:jc w:val="left"/>
      </w:pPr>
      <w:rPr>
        <w:rFonts w:hint="default" w:ascii="Times New Roman" w:hAnsi="Times New Roman" w:eastAsia="Times New Roman" w:cs="Times New Roman"/>
        <w:w w:val="100"/>
        <w:sz w:val="24"/>
        <w:szCs w:val="24"/>
        <w:lang w:val="zh-CN" w:eastAsia="zh-CN" w:bidi="zh-CN"/>
      </w:rPr>
    </w:lvl>
    <w:lvl w:ilvl="3" w:tentative="0">
      <w:start w:val="1"/>
      <w:numFmt w:val="decimal"/>
      <w:lvlText w:val="（%4）"/>
      <w:lvlJc w:val="left"/>
      <w:pPr>
        <w:ind w:left="1717" w:hanging="601"/>
        <w:jc w:val="left"/>
      </w:pPr>
      <w:rPr>
        <w:rFonts w:hint="default" w:ascii="宋体" w:hAnsi="宋体" w:eastAsia="宋体" w:cs="宋体"/>
        <w:w w:val="100"/>
        <w:sz w:val="22"/>
        <w:szCs w:val="22"/>
        <w:lang w:val="zh-CN" w:eastAsia="zh-CN" w:bidi="zh-CN"/>
      </w:rPr>
    </w:lvl>
    <w:lvl w:ilvl="4" w:tentative="0">
      <w:start w:val="0"/>
      <w:numFmt w:val="bullet"/>
      <w:lvlText w:val="•"/>
      <w:lvlJc w:val="left"/>
      <w:pPr>
        <w:ind w:left="4435" w:hanging="601"/>
      </w:pPr>
      <w:rPr>
        <w:rFonts w:hint="default"/>
        <w:lang w:val="zh-CN" w:eastAsia="zh-CN" w:bidi="zh-CN"/>
      </w:rPr>
    </w:lvl>
    <w:lvl w:ilvl="5" w:tentative="0">
      <w:start w:val="0"/>
      <w:numFmt w:val="bullet"/>
      <w:lvlText w:val="•"/>
      <w:lvlJc w:val="left"/>
      <w:pPr>
        <w:ind w:left="5340" w:hanging="601"/>
      </w:pPr>
      <w:rPr>
        <w:rFonts w:hint="default"/>
        <w:lang w:val="zh-CN" w:eastAsia="zh-CN" w:bidi="zh-CN"/>
      </w:rPr>
    </w:lvl>
    <w:lvl w:ilvl="6" w:tentative="0">
      <w:start w:val="0"/>
      <w:numFmt w:val="bullet"/>
      <w:lvlText w:val="•"/>
      <w:lvlJc w:val="left"/>
      <w:pPr>
        <w:ind w:left="6245" w:hanging="601"/>
      </w:pPr>
      <w:rPr>
        <w:rFonts w:hint="default"/>
        <w:lang w:val="zh-CN" w:eastAsia="zh-CN" w:bidi="zh-CN"/>
      </w:rPr>
    </w:lvl>
    <w:lvl w:ilvl="7" w:tentative="0">
      <w:start w:val="0"/>
      <w:numFmt w:val="bullet"/>
      <w:lvlText w:val="•"/>
      <w:lvlJc w:val="left"/>
      <w:pPr>
        <w:ind w:left="7150" w:hanging="601"/>
      </w:pPr>
      <w:rPr>
        <w:rFonts w:hint="default"/>
        <w:lang w:val="zh-CN" w:eastAsia="zh-CN" w:bidi="zh-CN"/>
      </w:rPr>
    </w:lvl>
    <w:lvl w:ilvl="8" w:tentative="0">
      <w:start w:val="0"/>
      <w:numFmt w:val="bullet"/>
      <w:lvlText w:val="•"/>
      <w:lvlJc w:val="left"/>
      <w:pPr>
        <w:ind w:left="8055" w:hanging="601"/>
      </w:pPr>
      <w:rPr>
        <w:rFonts w:hint="default"/>
        <w:lang w:val="zh-CN" w:eastAsia="zh-CN" w:bidi="zh-CN"/>
      </w:rPr>
    </w:lvl>
  </w:abstractNum>
  <w:abstractNum w:abstractNumId="34">
    <w:nsid w:val="7C246926"/>
    <w:multiLevelType w:val="multilevel"/>
    <w:tmpl w:val="7C246926"/>
    <w:lvl w:ilvl="0" w:tentative="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3953" w:hanging="601"/>
      </w:pPr>
      <w:rPr>
        <w:rFonts w:hint="default"/>
        <w:lang w:val="zh-CN" w:eastAsia="zh-CN" w:bidi="zh-CN"/>
      </w:rPr>
    </w:lvl>
    <w:lvl w:ilvl="4" w:tentative="0">
      <w:start w:val="0"/>
      <w:numFmt w:val="bullet"/>
      <w:lvlText w:val="•"/>
      <w:lvlJc w:val="left"/>
      <w:pPr>
        <w:ind w:left="4798" w:hanging="601"/>
      </w:pPr>
      <w:rPr>
        <w:rFonts w:hint="default"/>
        <w:lang w:val="zh-CN" w:eastAsia="zh-CN" w:bidi="zh-CN"/>
      </w:rPr>
    </w:lvl>
    <w:lvl w:ilvl="5" w:tentative="0">
      <w:start w:val="0"/>
      <w:numFmt w:val="bullet"/>
      <w:lvlText w:val="•"/>
      <w:lvlJc w:val="left"/>
      <w:pPr>
        <w:ind w:left="5642" w:hanging="601"/>
      </w:pPr>
      <w:rPr>
        <w:rFonts w:hint="default"/>
        <w:lang w:val="zh-CN" w:eastAsia="zh-CN" w:bidi="zh-CN"/>
      </w:rPr>
    </w:lvl>
    <w:lvl w:ilvl="6" w:tentative="0">
      <w:start w:val="0"/>
      <w:numFmt w:val="bullet"/>
      <w:lvlText w:val="•"/>
      <w:lvlJc w:val="left"/>
      <w:pPr>
        <w:ind w:left="6487" w:hanging="601"/>
      </w:pPr>
      <w:rPr>
        <w:rFonts w:hint="default"/>
        <w:lang w:val="zh-CN" w:eastAsia="zh-CN" w:bidi="zh-CN"/>
      </w:rPr>
    </w:lvl>
    <w:lvl w:ilvl="7" w:tentative="0">
      <w:start w:val="0"/>
      <w:numFmt w:val="bullet"/>
      <w:lvlText w:val="•"/>
      <w:lvlJc w:val="left"/>
      <w:pPr>
        <w:ind w:left="7331" w:hanging="601"/>
      </w:pPr>
      <w:rPr>
        <w:rFonts w:hint="default"/>
        <w:lang w:val="zh-CN" w:eastAsia="zh-CN" w:bidi="zh-CN"/>
      </w:rPr>
    </w:lvl>
    <w:lvl w:ilvl="8" w:tentative="0">
      <w:start w:val="0"/>
      <w:numFmt w:val="bullet"/>
      <w:lvlText w:val="•"/>
      <w:lvlJc w:val="left"/>
      <w:pPr>
        <w:ind w:left="8176" w:hanging="601"/>
      </w:pPr>
      <w:rPr>
        <w:rFonts w:hint="default"/>
        <w:lang w:val="zh-CN" w:eastAsia="zh-CN" w:bidi="zh-CN"/>
      </w:rPr>
    </w:lvl>
  </w:abstractNum>
  <w:abstractNum w:abstractNumId="35">
    <w:nsid w:val="7DEC2089"/>
    <w:multiLevelType w:val="multilevel"/>
    <w:tmpl w:val="7DEC2089"/>
    <w:lvl w:ilvl="0" w:tentative="0">
      <w:start w:val="1"/>
      <w:numFmt w:val="decimal"/>
      <w:lvlText w:val="（%1）"/>
      <w:lvlJc w:val="left"/>
      <w:pPr>
        <w:ind w:left="99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86" w:hanging="601"/>
      </w:pPr>
      <w:rPr>
        <w:rFonts w:hint="default"/>
        <w:lang w:val="zh-CN" w:eastAsia="zh-CN" w:bidi="zh-CN"/>
      </w:rPr>
    </w:lvl>
    <w:lvl w:ilvl="2" w:tentative="0">
      <w:start w:val="0"/>
      <w:numFmt w:val="bullet"/>
      <w:lvlText w:val="•"/>
      <w:lvlJc w:val="left"/>
      <w:pPr>
        <w:ind w:left="2773" w:hanging="601"/>
      </w:pPr>
      <w:rPr>
        <w:rFonts w:hint="default"/>
        <w:lang w:val="zh-CN" w:eastAsia="zh-CN" w:bidi="zh-CN"/>
      </w:rPr>
    </w:lvl>
    <w:lvl w:ilvl="3" w:tentative="0">
      <w:start w:val="0"/>
      <w:numFmt w:val="bullet"/>
      <w:lvlText w:val="•"/>
      <w:lvlJc w:val="left"/>
      <w:pPr>
        <w:ind w:left="3659" w:hanging="601"/>
      </w:pPr>
      <w:rPr>
        <w:rFonts w:hint="default"/>
        <w:lang w:val="zh-CN" w:eastAsia="zh-CN" w:bidi="zh-CN"/>
      </w:rPr>
    </w:lvl>
    <w:lvl w:ilvl="4" w:tentative="0">
      <w:start w:val="0"/>
      <w:numFmt w:val="bullet"/>
      <w:lvlText w:val="•"/>
      <w:lvlJc w:val="left"/>
      <w:pPr>
        <w:ind w:left="4546" w:hanging="601"/>
      </w:pPr>
      <w:rPr>
        <w:rFonts w:hint="default"/>
        <w:lang w:val="zh-CN" w:eastAsia="zh-CN" w:bidi="zh-CN"/>
      </w:rPr>
    </w:lvl>
    <w:lvl w:ilvl="5" w:tentative="0">
      <w:start w:val="0"/>
      <w:numFmt w:val="bullet"/>
      <w:lvlText w:val="•"/>
      <w:lvlJc w:val="left"/>
      <w:pPr>
        <w:ind w:left="5432" w:hanging="601"/>
      </w:pPr>
      <w:rPr>
        <w:rFonts w:hint="default"/>
        <w:lang w:val="zh-CN" w:eastAsia="zh-CN" w:bidi="zh-CN"/>
      </w:rPr>
    </w:lvl>
    <w:lvl w:ilvl="6" w:tentative="0">
      <w:start w:val="0"/>
      <w:numFmt w:val="bullet"/>
      <w:lvlText w:val="•"/>
      <w:lvlJc w:val="left"/>
      <w:pPr>
        <w:ind w:left="6319" w:hanging="601"/>
      </w:pPr>
      <w:rPr>
        <w:rFonts w:hint="default"/>
        <w:lang w:val="zh-CN" w:eastAsia="zh-CN" w:bidi="zh-CN"/>
      </w:rPr>
    </w:lvl>
    <w:lvl w:ilvl="7" w:tentative="0">
      <w:start w:val="0"/>
      <w:numFmt w:val="bullet"/>
      <w:lvlText w:val="•"/>
      <w:lvlJc w:val="left"/>
      <w:pPr>
        <w:ind w:left="7205" w:hanging="601"/>
      </w:pPr>
      <w:rPr>
        <w:rFonts w:hint="default"/>
        <w:lang w:val="zh-CN" w:eastAsia="zh-CN" w:bidi="zh-CN"/>
      </w:rPr>
    </w:lvl>
    <w:lvl w:ilvl="8" w:tentative="0">
      <w:start w:val="0"/>
      <w:numFmt w:val="bullet"/>
      <w:lvlText w:val="•"/>
      <w:lvlJc w:val="left"/>
      <w:pPr>
        <w:ind w:left="8092" w:hanging="601"/>
      </w:pPr>
      <w:rPr>
        <w:rFonts w:hint="default"/>
        <w:lang w:val="zh-CN" w:eastAsia="zh-CN" w:bidi="zh-CN"/>
      </w:rPr>
    </w:lvl>
  </w:abstractNum>
  <w:num w:numId="1">
    <w:abstractNumId w:val="4"/>
  </w:num>
  <w:num w:numId="2">
    <w:abstractNumId w:val="13"/>
  </w:num>
  <w:num w:numId="3">
    <w:abstractNumId w:val="23"/>
  </w:num>
  <w:num w:numId="4">
    <w:abstractNumId w:val="8"/>
  </w:num>
  <w:num w:numId="5">
    <w:abstractNumId w:val="27"/>
  </w:num>
  <w:num w:numId="6">
    <w:abstractNumId w:val="6"/>
  </w:num>
  <w:num w:numId="7">
    <w:abstractNumId w:val="30"/>
  </w:num>
  <w:num w:numId="8">
    <w:abstractNumId w:val="15"/>
  </w:num>
  <w:num w:numId="9">
    <w:abstractNumId w:val="20"/>
  </w:num>
  <w:num w:numId="10">
    <w:abstractNumId w:val="32"/>
  </w:num>
  <w:num w:numId="11">
    <w:abstractNumId w:val="14"/>
  </w:num>
  <w:num w:numId="12">
    <w:abstractNumId w:val="2"/>
  </w:num>
  <w:num w:numId="13">
    <w:abstractNumId w:val="21"/>
  </w:num>
  <w:num w:numId="14">
    <w:abstractNumId w:val="28"/>
  </w:num>
  <w:num w:numId="15">
    <w:abstractNumId w:val="7"/>
  </w:num>
  <w:num w:numId="16">
    <w:abstractNumId w:val="12"/>
  </w:num>
  <w:num w:numId="17">
    <w:abstractNumId w:val="19"/>
  </w:num>
  <w:num w:numId="18">
    <w:abstractNumId w:val="11"/>
  </w:num>
  <w:num w:numId="19">
    <w:abstractNumId w:val="10"/>
  </w:num>
  <w:num w:numId="20">
    <w:abstractNumId w:val="25"/>
  </w:num>
  <w:num w:numId="21">
    <w:abstractNumId w:val="31"/>
  </w:num>
  <w:num w:numId="22">
    <w:abstractNumId w:val="17"/>
  </w:num>
  <w:num w:numId="23">
    <w:abstractNumId w:val="24"/>
  </w:num>
  <w:num w:numId="24">
    <w:abstractNumId w:val="5"/>
  </w:num>
  <w:num w:numId="25">
    <w:abstractNumId w:val="34"/>
  </w:num>
  <w:num w:numId="26">
    <w:abstractNumId w:val="33"/>
  </w:num>
  <w:num w:numId="27">
    <w:abstractNumId w:val="3"/>
  </w:num>
  <w:num w:numId="28">
    <w:abstractNumId w:val="22"/>
  </w:num>
  <w:num w:numId="29">
    <w:abstractNumId w:val="1"/>
  </w:num>
  <w:num w:numId="30">
    <w:abstractNumId w:val="26"/>
  </w:num>
  <w:num w:numId="31">
    <w:abstractNumId w:val="35"/>
  </w:num>
  <w:num w:numId="32">
    <w:abstractNumId w:val="0"/>
  </w:num>
  <w:num w:numId="33">
    <w:abstractNumId w:val="29"/>
  </w:num>
  <w:num w:numId="34">
    <w:abstractNumId w:val="18"/>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70907"/>
    <w:rsid w:val="07074FFF"/>
    <w:rsid w:val="070F304E"/>
    <w:rsid w:val="075B789F"/>
    <w:rsid w:val="08351E28"/>
    <w:rsid w:val="0A52061B"/>
    <w:rsid w:val="0ABC216B"/>
    <w:rsid w:val="0B1D0F2B"/>
    <w:rsid w:val="0BAC52B7"/>
    <w:rsid w:val="13865E0C"/>
    <w:rsid w:val="146273DF"/>
    <w:rsid w:val="156C7D47"/>
    <w:rsid w:val="18044948"/>
    <w:rsid w:val="1BBA66E7"/>
    <w:rsid w:val="1F185407"/>
    <w:rsid w:val="209C476E"/>
    <w:rsid w:val="20BB695C"/>
    <w:rsid w:val="21500AB6"/>
    <w:rsid w:val="22AF6696"/>
    <w:rsid w:val="237A0042"/>
    <w:rsid w:val="23A411CC"/>
    <w:rsid w:val="273848AB"/>
    <w:rsid w:val="2D3176EB"/>
    <w:rsid w:val="2D500905"/>
    <w:rsid w:val="34122ECD"/>
    <w:rsid w:val="35573714"/>
    <w:rsid w:val="385F2A7E"/>
    <w:rsid w:val="396270C6"/>
    <w:rsid w:val="3AB45D18"/>
    <w:rsid w:val="423431A2"/>
    <w:rsid w:val="43CC7588"/>
    <w:rsid w:val="47417C78"/>
    <w:rsid w:val="47BE448F"/>
    <w:rsid w:val="47FB468F"/>
    <w:rsid w:val="488E0F05"/>
    <w:rsid w:val="48A85A16"/>
    <w:rsid w:val="4B654B68"/>
    <w:rsid w:val="4BC758DF"/>
    <w:rsid w:val="4E1C45C5"/>
    <w:rsid w:val="4F8763F2"/>
    <w:rsid w:val="52731664"/>
    <w:rsid w:val="528E3E25"/>
    <w:rsid w:val="52F37F71"/>
    <w:rsid w:val="54BB599D"/>
    <w:rsid w:val="57165786"/>
    <w:rsid w:val="5B2979CF"/>
    <w:rsid w:val="5BC32F88"/>
    <w:rsid w:val="5C195D05"/>
    <w:rsid w:val="5E700AAF"/>
    <w:rsid w:val="5EF4199D"/>
    <w:rsid w:val="658D13C9"/>
    <w:rsid w:val="6E3803C8"/>
    <w:rsid w:val="77D71596"/>
    <w:rsid w:val="79342504"/>
    <w:rsid w:val="7E0E4E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
      <w:outlineLvl w:val="1"/>
    </w:pPr>
    <w:rPr>
      <w:rFonts w:ascii="宋体" w:hAnsi="宋体" w:eastAsia="宋体" w:cs="宋体"/>
      <w:b/>
      <w:bCs/>
      <w:sz w:val="28"/>
      <w:szCs w:val="28"/>
      <w:lang w:val="zh-CN" w:eastAsia="zh-CN" w:bidi="zh-CN"/>
    </w:rPr>
  </w:style>
  <w:style w:type="paragraph" w:styleId="4">
    <w:name w:val="heading 2"/>
    <w:basedOn w:val="1"/>
    <w:next w:val="1"/>
    <w:qFormat/>
    <w:uiPriority w:val="1"/>
    <w:pPr>
      <w:ind w:left="1017" w:hanging="486"/>
      <w:outlineLvl w:val="2"/>
    </w:pPr>
    <w:rPr>
      <w:rFonts w:ascii="宋体" w:hAnsi="宋体" w:eastAsia="宋体" w:cs="宋体"/>
      <w:sz w:val="28"/>
      <w:szCs w:val="28"/>
      <w:lang w:val="zh-CN" w:eastAsia="zh-CN" w:bidi="zh-CN"/>
    </w:rPr>
  </w:style>
  <w:style w:type="paragraph" w:styleId="5">
    <w:name w:val="heading 3"/>
    <w:basedOn w:val="1"/>
    <w:next w:val="1"/>
    <w:qFormat/>
    <w:uiPriority w:val="1"/>
    <w:pPr>
      <w:ind w:left="395"/>
      <w:outlineLvl w:val="3"/>
    </w:pPr>
    <w:rPr>
      <w:rFonts w:ascii="宋体" w:hAnsi="宋体" w:eastAsia="宋体" w:cs="宋体"/>
      <w:b/>
      <w:bCs/>
      <w:sz w:val="24"/>
      <w:szCs w:val="24"/>
      <w:lang w:val="zh-CN" w:eastAsia="zh-CN" w:bidi="zh-CN"/>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纯文本1"/>
    <w:qFormat/>
    <w:uiPriority w:val="0"/>
    <w:rPr>
      <w:rFonts w:ascii="宋体" w:hAnsi="Courier New" w:eastAsia="宋体" w:cs="Times New Roman"/>
      <w:sz w:val="32"/>
      <w:szCs w:val="24"/>
      <w:lang w:val="en-US" w:eastAsia="zh-CN" w:bidi="ar-SA"/>
    </w:rPr>
  </w:style>
  <w:style w:type="paragraph" w:styleId="6">
    <w:name w:val="Normal Indent"/>
    <w:basedOn w:val="1"/>
    <w:qFormat/>
    <w:uiPriority w:val="0"/>
    <w:pPr>
      <w:ind w:firstLine="420"/>
    </w:pPr>
  </w:style>
  <w:style w:type="paragraph" w:styleId="7">
    <w:name w:val="Body Text"/>
    <w:basedOn w:val="1"/>
    <w:qFormat/>
    <w:uiPriority w:val="1"/>
    <w:pPr>
      <w:ind w:left="395"/>
    </w:pPr>
    <w:rPr>
      <w:rFonts w:ascii="宋体" w:hAnsi="宋体" w:eastAsia="宋体" w:cs="宋体"/>
      <w:sz w:val="24"/>
      <w:szCs w:val="24"/>
      <w:lang w:val="zh-CN" w:eastAsia="zh-CN" w:bidi="zh-CN"/>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140"/>
      <w:ind w:left="395"/>
    </w:pPr>
    <w:rPr>
      <w:rFonts w:ascii="宋体" w:hAnsi="宋体" w:eastAsia="宋体" w:cs="宋体"/>
      <w:sz w:val="28"/>
      <w:szCs w:val="28"/>
      <w:lang w:val="zh-CN" w:eastAsia="zh-CN" w:bidi="zh-CN"/>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395" w:hanging="601"/>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Plain Text1"/>
    <w:basedOn w:val="1"/>
    <w:qFormat/>
    <w:uiPriority w:val="0"/>
    <w:pPr>
      <w:adjustRightInd w:val="0"/>
      <w:textAlignment w:val="baseline"/>
    </w:pPr>
    <w:rPr>
      <w:rFonts w:ascii="宋体"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2022-02-22T08:53:00Z</dcterms:created>
  <dc:creator>Administrator</dc:creator>
  <cp:lastModifiedBy>จุ๊บ</cp:lastModifiedBy>
  <cp:lastPrinted>2022-03-02T19:38:00Z</cp:lastPrinted>
  <dcterms:modified xsi:type="dcterms:W3CDTF">2022-03-03T07:21:27Z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WPS 文字</vt:lpwstr>
  </property>
  <property fmtid="{D5CDD505-2E9C-101B-9397-08002B2CF9AE}" pid="4" name="LastSaved">
    <vt:filetime>2022-02-22T00:00:00Z</vt:filetime>
  </property>
  <property fmtid="{D5CDD505-2E9C-101B-9397-08002B2CF9AE}" pid="5" name="KSOProductBuildVer">
    <vt:lpwstr>2052-11.1.0.11365</vt:lpwstr>
  </property>
  <property fmtid="{D5CDD505-2E9C-101B-9397-08002B2CF9AE}" pid="6" name="ICV">
    <vt:lpwstr>4CEFE9C003AE48BB9F249F20D2028286</vt:lpwstr>
  </property>
</Properties>
</file>