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80"/>
        <w:spacing w:line="640" w:lineRule="exact"/>
        <w:jc w:val="left"/>
        <w:rPr>
          <w:rFonts w:hint="eastAsia" w:ascii="宋体" w:hAnsi="宋体" w:eastAsia="宋体" w:cs="宋体"/>
          <w:color w:val="auto"/>
          <w:sz w:val="32"/>
          <w:szCs w:val="32"/>
        </w:rPr>
      </w:pPr>
      <w:bookmarkStart w:id="0" w:name="_Toc4401"/>
      <w:bookmarkStart w:id="1" w:name="_Toc19231"/>
      <w:r>
        <w:rPr>
          <w:rFonts w:hint="eastAsia" w:ascii="宋体" w:hAnsi="宋体" w:eastAsia="宋体" w:cs="宋体"/>
        </w:rPr>
        <w:t>SF-2019-0204</w:t>
      </w:r>
      <w:r>
        <w:rPr>
          <w:rFonts w:hint="eastAsia" w:ascii="宋体" w:hAnsi="宋体" w:eastAsia="宋体" w:cs="宋体"/>
          <w:color w:val="auto"/>
          <w:sz w:val="30"/>
          <w:szCs w:val="30"/>
        </w:rPr>
        <w:tab/>
      </w:r>
      <w:r>
        <w:rPr>
          <w:rFonts w:hint="eastAsia" w:ascii="宋体" w:hAnsi="宋体" w:eastAsia="宋体" w:cs="宋体"/>
          <w:color w:val="auto"/>
          <w:sz w:val="30"/>
          <w:szCs w:val="30"/>
        </w:rPr>
        <w:t xml:space="preserve">                            </w:t>
      </w:r>
    </w:p>
    <w:p>
      <w:pPr>
        <w:pStyle w:val="380"/>
        <w:spacing w:line="640" w:lineRule="exact"/>
        <w:jc w:val="center"/>
        <w:rPr>
          <w:rFonts w:hint="eastAsia" w:ascii="宋体" w:hAnsi="宋体" w:eastAsia="宋体" w:cs="宋体"/>
          <w:color w:val="auto"/>
          <w:sz w:val="32"/>
          <w:szCs w:val="32"/>
        </w:rPr>
      </w:pPr>
      <w:r>
        <w:rPr>
          <w:rFonts w:hint="eastAsia" w:ascii="宋体" w:hAnsi="宋体" w:eastAsia="宋体" w:cs="宋体"/>
          <w:color w:val="auto"/>
          <w:sz w:val="32"/>
          <w:szCs w:val="32"/>
          <w:lang w:val="en-US" w:eastAsia="zh-CN"/>
        </w:rPr>
        <w:t xml:space="preserve">                                  </w:t>
      </w:r>
      <w:r>
        <w:rPr>
          <w:rFonts w:hint="eastAsia" w:ascii="宋体" w:hAnsi="宋体" w:eastAsia="宋体" w:cs="宋体"/>
          <w:color w:val="auto"/>
          <w:sz w:val="32"/>
          <w:szCs w:val="32"/>
        </w:rPr>
        <w:t>合同编号：</w:t>
      </w:r>
    </w:p>
    <w:p>
      <w:pPr>
        <w:tabs>
          <w:tab w:val="left" w:pos="3900"/>
          <w:tab w:val="right" w:pos="10245"/>
        </w:tabs>
        <w:wordWrap w:val="0"/>
        <w:spacing w:line="360" w:lineRule="auto"/>
        <w:jc w:val="left"/>
        <w:rPr>
          <w:rFonts w:hint="eastAsia" w:ascii="宋体" w:hAnsi="宋体" w:eastAsia="宋体" w:cs="宋体"/>
          <w:sz w:val="32"/>
          <w:szCs w:val="32"/>
          <w:u w:val="single"/>
        </w:rPr>
      </w:pPr>
    </w:p>
    <w:p>
      <w:pPr>
        <w:spacing w:line="360" w:lineRule="auto"/>
        <w:jc w:val="right"/>
        <w:rPr>
          <w:rFonts w:hint="eastAsia" w:ascii="宋体" w:hAnsi="宋体" w:eastAsia="宋体" w:cs="宋体"/>
          <w:sz w:val="32"/>
          <w:szCs w:val="32"/>
          <w:u w:val="single"/>
        </w:rPr>
      </w:pPr>
    </w:p>
    <w:p>
      <w:pPr>
        <w:pStyle w:val="3"/>
        <w:outlineLvl w:val="9"/>
        <w:rPr>
          <w:rFonts w:hint="eastAsia" w:ascii="宋体" w:hAnsi="宋体" w:eastAsia="宋体" w:cs="宋体"/>
        </w:rPr>
      </w:pPr>
    </w:p>
    <w:p>
      <w:pPr>
        <w:rPr>
          <w:rFonts w:hint="eastAsia" w:ascii="宋体" w:hAnsi="宋体" w:eastAsia="宋体" w:cs="宋体"/>
        </w:rPr>
      </w:pPr>
    </w:p>
    <w:p>
      <w:pPr>
        <w:spacing w:line="360" w:lineRule="auto"/>
        <w:jc w:val="center"/>
        <w:outlineLvl w:val="0"/>
        <w:rPr>
          <w:rFonts w:hint="eastAsia" w:ascii="宋体" w:hAnsi="宋体" w:eastAsia="宋体" w:cs="宋体"/>
          <w:b/>
          <w:bCs/>
          <w:spacing w:val="-40"/>
          <w:kern w:val="0"/>
          <w:sz w:val="52"/>
          <w:szCs w:val="52"/>
        </w:rPr>
      </w:pPr>
      <w:bookmarkStart w:id="2" w:name="_Toc22550"/>
      <w:r>
        <w:rPr>
          <w:rFonts w:hint="eastAsia" w:ascii="宋体" w:hAnsi="宋体" w:eastAsia="宋体" w:cs="宋体"/>
          <w:b/>
          <w:bCs/>
          <w:spacing w:val="-40"/>
          <w:kern w:val="0"/>
          <w:sz w:val="52"/>
          <w:szCs w:val="52"/>
        </w:rPr>
        <w:t>广 州 市 建 设 工 程 施 工 合 同</w:t>
      </w:r>
      <w:bookmarkEnd w:id="2"/>
    </w:p>
    <w:p>
      <w:pPr>
        <w:tabs>
          <w:tab w:val="left" w:pos="1380"/>
        </w:tabs>
        <w:spacing w:line="360" w:lineRule="auto"/>
        <w:rPr>
          <w:rFonts w:hint="eastAsia" w:ascii="宋体" w:hAnsi="宋体" w:eastAsia="宋体" w:cs="宋体"/>
          <w:sz w:val="32"/>
          <w:szCs w:val="32"/>
        </w:rPr>
      </w:pPr>
    </w:p>
    <w:p>
      <w:pPr>
        <w:tabs>
          <w:tab w:val="left" w:pos="1380"/>
        </w:tabs>
        <w:spacing w:line="360" w:lineRule="auto"/>
        <w:rPr>
          <w:rFonts w:hint="eastAsia" w:ascii="宋体" w:hAnsi="宋体" w:eastAsia="宋体" w:cs="宋体"/>
        </w:rPr>
      </w:pPr>
      <w:r>
        <w:rPr>
          <w:rFonts w:hint="eastAsia" w:ascii="宋体" w:hAnsi="宋体" w:eastAsia="宋体" w:cs="宋体"/>
          <w:sz w:val="32"/>
          <w:szCs w:val="32"/>
        </w:rPr>
        <w:tab/>
      </w:r>
    </w:p>
    <w:p>
      <w:pPr>
        <w:spacing w:line="640" w:lineRule="exact"/>
        <w:ind w:firstLine="1699" w:firstLineChars="531"/>
        <w:rPr>
          <w:rFonts w:hint="eastAsia" w:ascii="宋体" w:hAnsi="宋体" w:eastAsia="宋体" w:cs="宋体"/>
          <w:sz w:val="32"/>
          <w:szCs w:val="32"/>
          <w:u w:val="single"/>
        </w:rPr>
      </w:pPr>
    </w:p>
    <w:p>
      <w:pPr>
        <w:keepNext w:val="0"/>
        <w:keepLines w:val="0"/>
        <w:pageBreakBefore w:val="0"/>
        <w:widowControl/>
        <w:kinsoku/>
        <w:wordWrap/>
        <w:overflowPunct/>
        <w:topLinePunct w:val="0"/>
        <w:autoSpaceDE/>
        <w:autoSpaceDN/>
        <w:bidi w:val="0"/>
        <w:adjustRightInd/>
        <w:snapToGrid/>
        <w:spacing w:line="360" w:lineRule="auto"/>
        <w:ind w:left="3515" w:leftChars="912" w:hanging="1600" w:hangingChars="500"/>
        <w:textAlignment w:val="baseline"/>
        <w:rPr>
          <w:rFonts w:hint="eastAsia" w:ascii="宋体" w:hAnsi="宋体" w:eastAsia="宋体" w:cs="宋体"/>
          <w:sz w:val="32"/>
          <w:szCs w:val="32"/>
          <w:u w:val="single"/>
          <w:lang w:eastAsia="zh-CN"/>
        </w:rPr>
      </w:pPr>
      <w:r>
        <w:rPr>
          <w:rFonts w:hint="eastAsia" w:ascii="宋体" w:hAnsi="宋体" w:eastAsia="宋体" w:cs="宋体"/>
          <w:sz w:val="32"/>
          <w:szCs w:val="32"/>
        </w:rPr>
        <w:t>工程名称：</w:t>
      </w:r>
      <w:r>
        <w:rPr>
          <w:rFonts w:hint="eastAsia" w:ascii="宋体" w:hAnsi="宋体" w:eastAsia="宋体" w:cs="宋体"/>
          <w:sz w:val="32"/>
          <w:szCs w:val="32"/>
          <w:u w:val="single"/>
          <w:lang w:eastAsia="zh-CN"/>
        </w:rPr>
        <w:t>广州市天河区珠村小学改造工程施工总承包</w:t>
      </w:r>
    </w:p>
    <w:p>
      <w:pPr>
        <w:keepNext w:val="0"/>
        <w:keepLines w:val="0"/>
        <w:pageBreakBefore w:val="0"/>
        <w:widowControl/>
        <w:kinsoku/>
        <w:wordWrap/>
        <w:overflowPunct/>
        <w:topLinePunct w:val="0"/>
        <w:autoSpaceDE/>
        <w:autoSpaceDN/>
        <w:bidi w:val="0"/>
        <w:adjustRightInd/>
        <w:snapToGrid/>
        <w:spacing w:before="240" w:beforeLines="100" w:after="120" w:afterLines="50" w:line="360" w:lineRule="auto"/>
        <w:ind w:left="3515" w:leftChars="912" w:hanging="1600" w:hangingChars="500"/>
        <w:textAlignment w:val="baseline"/>
        <w:rPr>
          <w:rFonts w:hint="eastAsia" w:ascii="宋体" w:hAnsi="宋体" w:eastAsia="宋体" w:cs="宋体"/>
          <w:sz w:val="32"/>
          <w:szCs w:val="32"/>
          <w:u w:val="single"/>
          <w:lang w:eastAsia="zh-CN"/>
        </w:rPr>
      </w:pPr>
      <w:r>
        <w:rPr>
          <w:rFonts w:hint="eastAsia" w:ascii="宋体" w:hAnsi="宋体" w:eastAsia="宋体" w:cs="宋体"/>
          <w:sz w:val="32"/>
          <w:szCs w:val="32"/>
        </w:rPr>
        <w:t>工程地点：</w:t>
      </w:r>
      <w:r>
        <w:rPr>
          <w:rFonts w:hint="eastAsia" w:ascii="宋体" w:hAnsi="宋体" w:eastAsia="宋体" w:cs="宋体"/>
          <w:sz w:val="32"/>
          <w:szCs w:val="32"/>
          <w:u w:val="single"/>
        </w:rPr>
        <w:t>广州市天河区东横一路1号</w:t>
      </w:r>
    </w:p>
    <w:p>
      <w:pPr>
        <w:keepNext w:val="0"/>
        <w:keepLines w:val="0"/>
        <w:pageBreakBefore w:val="0"/>
        <w:widowControl/>
        <w:kinsoku/>
        <w:wordWrap/>
        <w:overflowPunct/>
        <w:topLinePunct w:val="0"/>
        <w:autoSpaceDE/>
        <w:autoSpaceDN/>
        <w:bidi w:val="0"/>
        <w:adjustRightInd/>
        <w:snapToGrid/>
        <w:spacing w:before="240" w:beforeLines="100" w:after="120" w:afterLines="50" w:line="360" w:lineRule="auto"/>
        <w:ind w:firstLine="1920" w:firstLineChars="600"/>
        <w:textAlignment w:val="baseline"/>
        <w:rPr>
          <w:rFonts w:hint="eastAsia" w:ascii="宋体" w:hAnsi="宋体" w:eastAsia="宋体" w:cs="宋体"/>
          <w:sz w:val="32"/>
          <w:szCs w:val="32"/>
          <w:u w:val="single"/>
        </w:rPr>
      </w:pPr>
      <w:r>
        <w:rPr>
          <w:rFonts w:hint="eastAsia" w:ascii="宋体" w:hAnsi="宋体" w:eastAsia="宋体" w:cs="宋体"/>
          <w:sz w:val="32"/>
          <w:szCs w:val="32"/>
        </w:rPr>
        <w:t>发 包 人：</w:t>
      </w:r>
      <w:r>
        <w:rPr>
          <w:rFonts w:hint="eastAsia" w:ascii="宋体" w:hAnsi="宋体" w:eastAsia="宋体" w:cs="宋体"/>
          <w:sz w:val="32"/>
          <w:szCs w:val="32"/>
          <w:u w:val="single"/>
          <w:lang w:eastAsia="zh-CN"/>
        </w:rPr>
        <w:t>广州市天河区珠村小学</w:t>
      </w:r>
      <w:r>
        <w:rPr>
          <w:rFonts w:hint="eastAsia" w:ascii="宋体" w:hAnsi="宋体" w:eastAsia="宋体" w:cs="宋体"/>
          <w:sz w:val="32"/>
          <w:szCs w:val="32"/>
          <w:u w:val="single"/>
        </w:rPr>
        <w:t xml:space="preserve">  </w:t>
      </w:r>
    </w:p>
    <w:p>
      <w:pPr>
        <w:keepNext w:val="0"/>
        <w:keepLines w:val="0"/>
        <w:pageBreakBefore w:val="0"/>
        <w:widowControl/>
        <w:kinsoku/>
        <w:wordWrap/>
        <w:overflowPunct/>
        <w:topLinePunct w:val="0"/>
        <w:autoSpaceDE/>
        <w:autoSpaceDN/>
        <w:bidi w:val="0"/>
        <w:adjustRightInd/>
        <w:snapToGrid/>
        <w:spacing w:before="240" w:beforeLines="100" w:after="120" w:afterLines="50" w:line="360" w:lineRule="auto"/>
        <w:ind w:firstLine="1920" w:firstLineChars="600"/>
        <w:textAlignment w:val="baseline"/>
        <w:rPr>
          <w:rFonts w:hint="eastAsia" w:ascii="宋体" w:hAnsi="宋体" w:eastAsia="宋体" w:cs="宋体"/>
          <w:sz w:val="32"/>
          <w:szCs w:val="32"/>
          <w:u w:val="single"/>
          <w:lang w:val="en-US" w:eastAsia="zh-CN"/>
        </w:rPr>
      </w:pPr>
      <w:r>
        <w:rPr>
          <w:rFonts w:hint="eastAsia" w:ascii="宋体" w:hAnsi="宋体" w:eastAsia="宋体" w:cs="宋体"/>
          <w:sz w:val="32"/>
          <w:szCs w:val="32"/>
        </w:rPr>
        <w:t>承 包 人：</w:t>
      </w:r>
      <w:r>
        <w:rPr>
          <w:rFonts w:hint="eastAsia" w:ascii="宋体" w:hAnsi="宋体" w:eastAsia="宋体" w:cs="宋体"/>
          <w:sz w:val="32"/>
          <w:szCs w:val="32"/>
          <w:u w:val="single"/>
          <w:lang w:val="en-US" w:eastAsia="zh-CN"/>
        </w:rPr>
        <w:t xml:space="preserve">  </w:t>
      </w:r>
    </w:p>
    <w:p>
      <w:pPr>
        <w:spacing w:line="360" w:lineRule="auto"/>
        <w:ind w:left="708" w:leftChars="337" w:firstLine="900" w:firstLineChars="300"/>
        <w:rPr>
          <w:rFonts w:hint="eastAsia" w:ascii="宋体" w:hAnsi="宋体" w:eastAsia="宋体" w:cs="宋体"/>
          <w:sz w:val="30"/>
          <w:szCs w:val="30"/>
          <w:u w:val="single"/>
        </w:rPr>
      </w:pPr>
    </w:p>
    <w:p>
      <w:pPr>
        <w:spacing w:line="360" w:lineRule="auto"/>
        <w:ind w:firstLine="900" w:firstLineChars="300"/>
        <w:rPr>
          <w:rFonts w:hint="eastAsia" w:ascii="宋体" w:hAnsi="宋体" w:eastAsia="宋体" w:cs="宋体"/>
          <w:sz w:val="30"/>
          <w:szCs w:val="30"/>
          <w:u w:val="single"/>
        </w:rPr>
      </w:pPr>
    </w:p>
    <w:p>
      <w:pPr>
        <w:spacing w:line="360" w:lineRule="auto"/>
        <w:ind w:firstLine="900" w:firstLineChars="300"/>
        <w:rPr>
          <w:rFonts w:hint="eastAsia" w:ascii="宋体" w:hAnsi="宋体" w:eastAsia="宋体" w:cs="宋体"/>
          <w:sz w:val="30"/>
          <w:szCs w:val="30"/>
          <w:u w:val="single"/>
        </w:rPr>
      </w:pPr>
    </w:p>
    <w:p>
      <w:pPr>
        <w:spacing w:line="240" w:lineRule="atLeast"/>
        <w:jc w:val="center"/>
        <w:outlineLvl w:val="0"/>
        <w:rPr>
          <w:rFonts w:hint="eastAsia" w:ascii="宋体" w:hAnsi="宋体" w:eastAsia="宋体" w:cs="宋体"/>
          <w:b/>
          <w:bCs/>
          <w:spacing w:val="50"/>
          <w:sz w:val="32"/>
          <w:szCs w:val="32"/>
        </w:rPr>
      </w:pPr>
      <w:bookmarkStart w:id="3" w:name="_Toc25858"/>
      <w:r>
        <w:rPr>
          <w:rFonts w:hint="eastAsia" w:ascii="宋体" w:hAnsi="宋体" w:eastAsia="宋体" w:cs="宋体"/>
          <w:b/>
          <w:bCs/>
          <w:spacing w:val="50"/>
          <w:sz w:val="32"/>
          <w:szCs w:val="32"/>
        </w:rPr>
        <w:t>广州市住房和城乡建设局</w:t>
      </w:r>
      <w:bookmarkEnd w:id="3"/>
    </w:p>
    <w:p>
      <w:pPr>
        <w:spacing w:line="240" w:lineRule="atLeast"/>
        <w:jc w:val="center"/>
        <w:rPr>
          <w:rFonts w:hint="eastAsia" w:ascii="宋体" w:hAnsi="宋体" w:eastAsia="宋体" w:cs="宋体"/>
          <w:b/>
          <w:bCs/>
          <w:spacing w:val="20"/>
          <w:sz w:val="32"/>
          <w:szCs w:val="32"/>
        </w:rPr>
      </w:pPr>
      <w:r>
        <w:rPr>
          <w:rFonts w:hint="eastAsia" w:ascii="宋体" w:hAnsi="宋体" w:eastAsia="宋体" w:cs="宋体"/>
          <w:b/>
          <w:bCs/>
          <w:spacing w:val="20"/>
          <w:sz w:val="32"/>
          <w:szCs w:val="32"/>
        </w:rPr>
        <w:t xml:space="preserve">                            制定</w:t>
      </w:r>
    </w:p>
    <w:p>
      <w:pPr>
        <w:spacing w:line="240" w:lineRule="atLeast"/>
        <w:ind w:firstLine="2836" w:firstLineChars="607"/>
        <w:outlineLvl w:val="0"/>
        <w:rPr>
          <w:rFonts w:hint="eastAsia" w:ascii="宋体" w:hAnsi="宋体" w:eastAsia="宋体" w:cs="宋体"/>
          <w:b/>
          <w:bCs/>
          <w:spacing w:val="73"/>
          <w:sz w:val="32"/>
          <w:szCs w:val="32"/>
        </w:rPr>
      </w:pPr>
      <w:bookmarkStart w:id="4" w:name="_Toc3577"/>
      <w:r>
        <w:rPr>
          <w:rFonts w:hint="eastAsia" w:ascii="宋体" w:hAnsi="宋体" w:eastAsia="宋体" w:cs="宋体"/>
          <w:b/>
          <w:bCs/>
          <w:spacing w:val="73"/>
          <w:sz w:val="32"/>
          <w:szCs w:val="32"/>
        </w:rPr>
        <w:t>广州市市场监督管理局</w:t>
      </w:r>
      <w:bookmarkEnd w:id="4"/>
    </w:p>
    <w:p>
      <w:pPr>
        <w:spacing w:line="240" w:lineRule="atLeast"/>
        <w:jc w:val="center"/>
        <w:rPr>
          <w:rFonts w:hint="eastAsia" w:ascii="宋体" w:hAnsi="宋体" w:eastAsia="宋体" w:cs="宋体"/>
          <w:b/>
          <w:bCs/>
          <w:spacing w:val="20"/>
          <w:sz w:val="32"/>
          <w:szCs w:val="32"/>
        </w:rPr>
      </w:pPr>
    </w:p>
    <w:p>
      <w:pPr>
        <w:spacing w:line="240" w:lineRule="atLeast"/>
        <w:jc w:val="center"/>
        <w:rPr>
          <w:rFonts w:hint="eastAsia" w:ascii="宋体" w:hAnsi="宋体" w:eastAsia="宋体" w:cs="宋体"/>
          <w:sz w:val="32"/>
          <w:szCs w:val="32"/>
          <w:u w:val="single"/>
        </w:rPr>
      </w:pPr>
    </w:p>
    <w:p>
      <w:pPr>
        <w:widowControl/>
        <w:spacing w:line="360" w:lineRule="auto"/>
        <w:jc w:val="left"/>
        <w:rPr>
          <w:rFonts w:hint="eastAsia" w:ascii="宋体" w:hAnsi="宋体" w:eastAsia="宋体" w:cs="宋体"/>
          <w:b/>
          <w:bCs/>
          <w:spacing w:val="80"/>
          <w:kern w:val="0"/>
          <w:sz w:val="36"/>
          <w:szCs w:val="36"/>
        </w:rPr>
        <w:sectPr>
          <w:footerReference r:id="rId3" w:type="default"/>
          <w:endnotePr>
            <w:numFmt w:val="decimal"/>
          </w:endnotePr>
          <w:pgSz w:w="11906" w:h="16838"/>
          <w:pgMar w:top="851" w:right="924" w:bottom="851" w:left="737" w:header="0" w:footer="0" w:gutter="0"/>
          <w:pgNumType w:fmt="decimal" w:start="1"/>
          <w:cols w:space="720" w:num="1"/>
        </w:sectPr>
      </w:pPr>
    </w:p>
    <w:sdt>
      <w:sdtPr>
        <w:rPr>
          <w:rFonts w:hint="eastAsia" w:ascii="宋体" w:hAnsi="宋体" w:eastAsia="宋体" w:cs="宋体"/>
          <w:sz w:val="36"/>
          <w:szCs w:val="36"/>
          <w:highlight w:val="none"/>
          <w:lang w:val="en-US" w:eastAsia="zh-CN"/>
        </w:rPr>
        <w:id w:val="147476811"/>
        <w15:color w:val="DBDBDB"/>
        <w:docPartObj>
          <w:docPartGallery w:val="Table of Contents"/>
          <w:docPartUnique/>
        </w:docPartObj>
      </w:sdtPr>
      <w:sdtEndPr>
        <w:rPr>
          <w:rFonts w:hint="eastAsia" w:ascii="宋体" w:hAnsi="宋体" w:eastAsia="宋体" w:cs="宋体"/>
          <w:sz w:val="36"/>
          <w:szCs w:val="36"/>
          <w:highlight w:val="none"/>
          <w:lang w:val="en-US" w:eastAsia="zh-CN"/>
        </w:rPr>
      </w:sdtEndPr>
      <w:sdtContent>
        <w:p>
          <w:pPr>
            <w:pStyle w:val="16"/>
            <w:jc w:val="center"/>
            <w:rPr>
              <w:rFonts w:hint="eastAsia" w:ascii="宋体" w:hAnsi="宋体" w:eastAsia="宋体" w:cs="宋体"/>
              <w:sz w:val="36"/>
              <w:szCs w:val="36"/>
              <w:highlight w:val="none"/>
            </w:rPr>
          </w:pPr>
          <w:r>
            <w:rPr>
              <w:rFonts w:hint="eastAsia" w:ascii="宋体" w:hAnsi="宋体" w:eastAsia="宋体" w:cs="宋体"/>
              <w:sz w:val="36"/>
              <w:szCs w:val="36"/>
              <w:highlight w:val="none"/>
            </w:rPr>
            <w:t>目</w:t>
          </w:r>
          <w:r>
            <w:rPr>
              <w:rFonts w:hint="eastAsia" w:ascii="宋体" w:hAnsi="宋体" w:eastAsia="宋体" w:cs="宋体"/>
              <w:sz w:val="36"/>
              <w:szCs w:val="36"/>
              <w:highlight w:val="none"/>
              <w:lang w:val="en-US" w:eastAsia="zh-CN"/>
            </w:rPr>
            <w:t xml:space="preserve"> </w:t>
          </w:r>
          <w:r>
            <w:rPr>
              <w:rFonts w:hint="eastAsia" w:ascii="宋体" w:hAnsi="宋体" w:eastAsia="宋体" w:cs="宋体"/>
              <w:sz w:val="36"/>
              <w:szCs w:val="36"/>
              <w:highlight w:val="none"/>
            </w:rPr>
            <w:t>录</w:t>
          </w:r>
        </w:p>
        <w:p>
          <w:pPr>
            <w:pStyle w:val="381"/>
            <w:keepNext w:val="0"/>
            <w:keepLines w:val="0"/>
            <w:pageBreakBefore w:val="0"/>
            <w:widowControl/>
            <w:tabs>
              <w:tab w:val="right" w:leader="dot" w:pos="10204"/>
            </w:tabs>
            <w:kinsoku/>
            <w:wordWrap/>
            <w:overflowPunct/>
            <w:topLinePunct w:val="0"/>
            <w:autoSpaceDE/>
            <w:autoSpaceDN/>
            <w:bidi w:val="0"/>
            <w:adjustRightInd/>
            <w:snapToGrid/>
            <w:spacing w:line="840" w:lineRule="auto"/>
            <w:textAlignment w:val="auto"/>
            <w:rPr>
              <w:rFonts w:hint="eastAsia" w:ascii="宋体" w:hAnsi="宋体" w:eastAsia="宋体" w:cs="宋体"/>
              <w:sz w:val="28"/>
              <w:szCs w:val="28"/>
            </w:rPr>
          </w:pPr>
          <w:r>
            <w:rPr>
              <w:rFonts w:hint="eastAsia" w:ascii="宋体" w:hAnsi="宋体" w:eastAsia="宋体" w:cs="宋体"/>
            </w:rPr>
            <w:fldChar w:fldCharType="begin"/>
          </w:r>
          <w:r>
            <w:rPr>
              <w:rFonts w:hint="eastAsia" w:ascii="宋体" w:hAnsi="宋体" w:eastAsia="宋体" w:cs="宋体"/>
            </w:rPr>
            <w:instrText xml:space="preserve">TOC \o "1-1" \h \u </w:instrText>
          </w:r>
          <w:r>
            <w:rPr>
              <w:rFonts w:hint="eastAsia" w:ascii="宋体" w:hAnsi="宋体" w:eastAsia="宋体" w:cs="宋体"/>
            </w:rPr>
            <w:fldChar w:fldCharType="separate"/>
          </w:r>
        </w:p>
        <w:p>
          <w:pPr>
            <w:pStyle w:val="381"/>
            <w:keepNext w:val="0"/>
            <w:keepLines w:val="0"/>
            <w:pageBreakBefore w:val="0"/>
            <w:widowControl/>
            <w:tabs>
              <w:tab w:val="right" w:leader="dot" w:pos="10204"/>
            </w:tabs>
            <w:kinsoku/>
            <w:wordWrap/>
            <w:overflowPunct/>
            <w:topLinePunct w:val="0"/>
            <w:autoSpaceDE/>
            <w:autoSpaceDN/>
            <w:bidi w:val="0"/>
            <w:adjustRightInd/>
            <w:snapToGrid/>
            <w:spacing w:line="84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HYPERLINK \l _Toc30481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highlight w:val="none"/>
              <w:lang w:val="zh-CN"/>
            </w:rPr>
            <w:t>总  说  明</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_Toc30481 \h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2</w:t>
          </w:r>
          <w:r>
            <w:rPr>
              <w:rFonts w:hint="eastAsia" w:ascii="宋体" w:hAnsi="宋体" w:eastAsia="宋体" w:cs="宋体"/>
              <w:b/>
              <w:bCs/>
              <w:sz w:val="24"/>
              <w:szCs w:val="24"/>
            </w:rPr>
            <w:fldChar w:fldCharType="end"/>
          </w:r>
          <w:r>
            <w:rPr>
              <w:rFonts w:hint="eastAsia" w:ascii="宋体" w:hAnsi="宋体" w:eastAsia="宋体" w:cs="宋体"/>
              <w:b/>
              <w:bCs/>
              <w:sz w:val="24"/>
              <w:szCs w:val="24"/>
            </w:rPr>
            <w:fldChar w:fldCharType="end"/>
          </w:r>
        </w:p>
        <w:p>
          <w:pPr>
            <w:pStyle w:val="381"/>
            <w:keepNext w:val="0"/>
            <w:keepLines w:val="0"/>
            <w:pageBreakBefore w:val="0"/>
            <w:widowControl/>
            <w:tabs>
              <w:tab w:val="right" w:leader="dot" w:pos="10204"/>
            </w:tabs>
            <w:kinsoku/>
            <w:wordWrap/>
            <w:overflowPunct/>
            <w:topLinePunct w:val="0"/>
            <w:autoSpaceDE/>
            <w:autoSpaceDN/>
            <w:bidi w:val="0"/>
            <w:adjustRightInd/>
            <w:snapToGrid/>
            <w:spacing w:line="84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HYPERLINK \l _Toc22078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highlight w:val="none"/>
            </w:rPr>
            <w:t>第一部分协议书</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_Toc22078 \h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4</w:t>
          </w:r>
          <w:r>
            <w:rPr>
              <w:rFonts w:hint="eastAsia" w:ascii="宋体" w:hAnsi="宋体" w:eastAsia="宋体" w:cs="宋体"/>
              <w:b/>
              <w:bCs/>
              <w:sz w:val="24"/>
              <w:szCs w:val="24"/>
            </w:rPr>
            <w:fldChar w:fldCharType="end"/>
          </w:r>
          <w:r>
            <w:rPr>
              <w:rFonts w:hint="eastAsia" w:ascii="宋体" w:hAnsi="宋体" w:eastAsia="宋体" w:cs="宋体"/>
              <w:b/>
              <w:bCs/>
              <w:sz w:val="24"/>
              <w:szCs w:val="24"/>
            </w:rPr>
            <w:fldChar w:fldCharType="end"/>
          </w:r>
        </w:p>
        <w:p>
          <w:pPr>
            <w:pStyle w:val="381"/>
            <w:keepNext w:val="0"/>
            <w:keepLines w:val="0"/>
            <w:pageBreakBefore w:val="0"/>
            <w:widowControl/>
            <w:tabs>
              <w:tab w:val="right" w:leader="dot" w:pos="10204"/>
            </w:tabs>
            <w:kinsoku/>
            <w:wordWrap/>
            <w:overflowPunct/>
            <w:topLinePunct w:val="0"/>
            <w:autoSpaceDE/>
            <w:autoSpaceDN/>
            <w:bidi w:val="0"/>
            <w:adjustRightInd/>
            <w:snapToGrid/>
            <w:spacing w:line="84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HYPERLINK \l _Toc22027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highlight w:val="none"/>
            </w:rPr>
            <w:t>第二部分通用条款</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_Toc22027 \h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7</w:t>
          </w:r>
          <w:r>
            <w:rPr>
              <w:rFonts w:hint="eastAsia" w:ascii="宋体" w:hAnsi="宋体" w:eastAsia="宋体" w:cs="宋体"/>
              <w:b/>
              <w:bCs/>
              <w:sz w:val="24"/>
              <w:szCs w:val="24"/>
            </w:rPr>
            <w:fldChar w:fldCharType="end"/>
          </w:r>
          <w:r>
            <w:rPr>
              <w:rFonts w:hint="eastAsia" w:ascii="宋体" w:hAnsi="宋体" w:eastAsia="宋体" w:cs="宋体"/>
              <w:b/>
              <w:bCs/>
              <w:sz w:val="24"/>
              <w:szCs w:val="24"/>
            </w:rPr>
            <w:fldChar w:fldCharType="end"/>
          </w:r>
        </w:p>
        <w:p>
          <w:pPr>
            <w:pStyle w:val="381"/>
            <w:keepNext w:val="0"/>
            <w:keepLines w:val="0"/>
            <w:pageBreakBefore w:val="0"/>
            <w:widowControl/>
            <w:tabs>
              <w:tab w:val="right" w:leader="dot" w:pos="10204"/>
            </w:tabs>
            <w:kinsoku/>
            <w:wordWrap/>
            <w:overflowPunct/>
            <w:topLinePunct w:val="0"/>
            <w:autoSpaceDE/>
            <w:autoSpaceDN/>
            <w:bidi w:val="0"/>
            <w:adjustRightInd/>
            <w:snapToGrid/>
            <w:spacing w:line="84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HYPERLINK \l _Toc30867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highlight w:val="none"/>
            </w:rPr>
            <w:t>第三部分专用条款</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_Toc30867 \h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8</w:t>
          </w:r>
          <w:r>
            <w:rPr>
              <w:rFonts w:hint="eastAsia" w:ascii="宋体" w:hAnsi="宋体" w:eastAsia="宋体" w:cs="宋体"/>
              <w:b/>
              <w:bCs/>
              <w:sz w:val="24"/>
              <w:szCs w:val="24"/>
            </w:rPr>
            <w:fldChar w:fldCharType="end"/>
          </w:r>
          <w:r>
            <w:rPr>
              <w:rFonts w:hint="eastAsia" w:ascii="宋体" w:hAnsi="宋体" w:eastAsia="宋体" w:cs="宋体"/>
              <w:b/>
              <w:bCs/>
              <w:sz w:val="24"/>
              <w:szCs w:val="24"/>
            </w:rPr>
            <w:fldChar w:fldCharType="end"/>
          </w:r>
        </w:p>
        <w:p>
          <w:pPr>
            <w:pStyle w:val="381"/>
            <w:keepNext w:val="0"/>
            <w:keepLines w:val="0"/>
            <w:pageBreakBefore w:val="0"/>
            <w:widowControl/>
            <w:tabs>
              <w:tab w:val="right" w:leader="dot" w:pos="10204"/>
            </w:tabs>
            <w:kinsoku/>
            <w:wordWrap/>
            <w:overflowPunct/>
            <w:topLinePunct w:val="0"/>
            <w:autoSpaceDE/>
            <w:autoSpaceDN/>
            <w:bidi w:val="0"/>
            <w:adjustRightInd/>
            <w:snapToGrid/>
            <w:spacing w:line="84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HYPERLINK \l _Toc32097 </w:instrText>
          </w:r>
          <w:r>
            <w:rPr>
              <w:rFonts w:hint="eastAsia" w:ascii="宋体" w:hAnsi="宋体" w:eastAsia="宋体" w:cs="宋体"/>
              <w:b/>
              <w:bCs/>
              <w:sz w:val="24"/>
              <w:szCs w:val="24"/>
            </w:rPr>
            <w:fldChar w:fldCharType="separate"/>
          </w:r>
          <w:r>
            <w:rPr>
              <w:rFonts w:hint="eastAsia" w:ascii="宋体" w:hAnsi="宋体" w:eastAsia="宋体" w:cs="宋体"/>
              <w:b/>
              <w:bCs/>
              <w:kern w:val="44"/>
              <w:sz w:val="24"/>
              <w:szCs w:val="24"/>
              <w:highlight w:val="none"/>
              <w:lang w:val="en-US" w:eastAsia="zh-CN" w:bidi="ar-SA"/>
            </w:rPr>
            <w:t>工程质量保修书</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_Toc32097 \h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53</w:t>
          </w:r>
          <w:r>
            <w:rPr>
              <w:rFonts w:hint="eastAsia" w:ascii="宋体" w:hAnsi="宋体" w:eastAsia="宋体" w:cs="宋体"/>
              <w:b/>
              <w:bCs/>
              <w:sz w:val="24"/>
              <w:szCs w:val="24"/>
            </w:rPr>
            <w:fldChar w:fldCharType="end"/>
          </w:r>
          <w:r>
            <w:rPr>
              <w:rFonts w:hint="eastAsia" w:ascii="宋体" w:hAnsi="宋体" w:eastAsia="宋体" w:cs="宋体"/>
              <w:b/>
              <w:bCs/>
              <w:sz w:val="24"/>
              <w:szCs w:val="24"/>
            </w:rPr>
            <w:fldChar w:fldCharType="end"/>
          </w:r>
        </w:p>
        <w:p>
          <w:pPr>
            <w:pStyle w:val="381"/>
            <w:keepNext w:val="0"/>
            <w:keepLines w:val="0"/>
            <w:pageBreakBefore w:val="0"/>
            <w:widowControl/>
            <w:tabs>
              <w:tab w:val="right" w:leader="dot" w:pos="10204"/>
            </w:tabs>
            <w:kinsoku/>
            <w:wordWrap/>
            <w:overflowPunct/>
            <w:topLinePunct w:val="0"/>
            <w:autoSpaceDE/>
            <w:autoSpaceDN/>
            <w:bidi w:val="0"/>
            <w:adjustRightInd/>
            <w:snapToGrid/>
            <w:spacing w:line="84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HYPERLINK \l _Toc29500 </w:instrText>
          </w:r>
          <w:r>
            <w:rPr>
              <w:rFonts w:hint="eastAsia" w:ascii="宋体" w:hAnsi="宋体" w:eastAsia="宋体" w:cs="宋体"/>
              <w:b/>
              <w:bCs/>
              <w:sz w:val="24"/>
              <w:szCs w:val="24"/>
            </w:rPr>
            <w:fldChar w:fldCharType="separate"/>
          </w:r>
          <w:r>
            <w:rPr>
              <w:rFonts w:hint="eastAsia" w:ascii="宋体" w:hAnsi="宋体" w:eastAsia="宋体" w:cs="宋体"/>
              <w:b/>
              <w:bCs/>
              <w:kern w:val="44"/>
              <w:sz w:val="24"/>
              <w:szCs w:val="24"/>
              <w:highlight w:val="none"/>
              <w:lang w:val="en-US" w:eastAsia="zh-CN" w:bidi="ar-SA"/>
            </w:rPr>
            <w:t>廉政合同</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_Toc29500 \h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55</w:t>
          </w:r>
          <w:r>
            <w:rPr>
              <w:rFonts w:hint="eastAsia" w:ascii="宋体" w:hAnsi="宋体" w:eastAsia="宋体" w:cs="宋体"/>
              <w:b/>
              <w:bCs/>
              <w:sz w:val="24"/>
              <w:szCs w:val="24"/>
            </w:rPr>
            <w:fldChar w:fldCharType="end"/>
          </w:r>
          <w:r>
            <w:rPr>
              <w:rFonts w:hint="eastAsia" w:ascii="宋体" w:hAnsi="宋体" w:eastAsia="宋体" w:cs="宋体"/>
              <w:b/>
              <w:bCs/>
              <w:sz w:val="24"/>
              <w:szCs w:val="24"/>
            </w:rPr>
            <w:fldChar w:fldCharType="end"/>
          </w:r>
        </w:p>
        <w:p>
          <w:pPr>
            <w:pStyle w:val="381"/>
            <w:keepNext w:val="0"/>
            <w:keepLines w:val="0"/>
            <w:pageBreakBefore w:val="0"/>
            <w:widowControl/>
            <w:tabs>
              <w:tab w:val="right" w:leader="dot" w:pos="10204"/>
            </w:tabs>
            <w:kinsoku/>
            <w:wordWrap/>
            <w:overflowPunct/>
            <w:topLinePunct w:val="0"/>
            <w:autoSpaceDE/>
            <w:autoSpaceDN/>
            <w:bidi w:val="0"/>
            <w:adjustRightInd/>
            <w:snapToGrid/>
            <w:spacing w:line="84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HYPERLINK \l _Toc26763 </w:instrText>
          </w:r>
          <w:r>
            <w:rPr>
              <w:rFonts w:hint="eastAsia" w:ascii="宋体" w:hAnsi="宋体" w:eastAsia="宋体" w:cs="宋体"/>
              <w:b/>
              <w:bCs/>
              <w:sz w:val="24"/>
              <w:szCs w:val="24"/>
            </w:rPr>
            <w:fldChar w:fldCharType="separate"/>
          </w:r>
          <w:r>
            <w:rPr>
              <w:rFonts w:hint="eastAsia" w:ascii="宋体" w:hAnsi="宋体" w:eastAsia="宋体" w:cs="宋体"/>
              <w:b/>
              <w:bCs/>
              <w:spacing w:val="-40"/>
              <w:kern w:val="2"/>
              <w:sz w:val="24"/>
              <w:szCs w:val="24"/>
              <w:highlight w:val="none"/>
              <w:lang w:val="en-US" w:eastAsia="zh-CN"/>
            </w:rPr>
            <w:t>广    州    市   建   设   工   程   施    工    合    同（补 充   协   议）</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_Toc26763 \h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58</w:t>
          </w:r>
          <w:r>
            <w:rPr>
              <w:rFonts w:hint="eastAsia" w:ascii="宋体" w:hAnsi="宋体" w:eastAsia="宋体" w:cs="宋体"/>
              <w:b/>
              <w:bCs/>
              <w:sz w:val="24"/>
              <w:szCs w:val="24"/>
            </w:rPr>
            <w:fldChar w:fldCharType="end"/>
          </w:r>
          <w:r>
            <w:rPr>
              <w:rFonts w:hint="eastAsia" w:ascii="宋体" w:hAnsi="宋体" w:eastAsia="宋体" w:cs="宋体"/>
              <w:b/>
              <w:bCs/>
              <w:sz w:val="24"/>
              <w:szCs w:val="24"/>
            </w:rPr>
            <w:fldChar w:fldCharType="end"/>
          </w:r>
        </w:p>
        <w:p>
          <w:pPr>
            <w:pStyle w:val="381"/>
            <w:keepNext w:val="0"/>
            <w:keepLines w:val="0"/>
            <w:pageBreakBefore w:val="0"/>
            <w:widowControl/>
            <w:tabs>
              <w:tab w:val="right" w:leader="dot" w:pos="10204"/>
            </w:tabs>
            <w:kinsoku/>
            <w:wordWrap/>
            <w:overflowPunct/>
            <w:topLinePunct w:val="0"/>
            <w:autoSpaceDE/>
            <w:autoSpaceDN/>
            <w:bidi w:val="0"/>
            <w:adjustRightInd/>
            <w:snapToGrid/>
            <w:spacing w:line="840" w:lineRule="auto"/>
            <w:textAlignment w:val="auto"/>
            <w:rPr>
              <w:rFonts w:hint="eastAsia" w:ascii="宋体" w:hAnsi="宋体" w:eastAsia="宋体" w:cs="宋体"/>
              <w:sz w:val="24"/>
              <w:szCs w:val="24"/>
            </w:rPr>
          </w:pP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HYPERLINK \l _Toc22545 </w:instrText>
          </w:r>
          <w:r>
            <w:rPr>
              <w:rFonts w:hint="eastAsia" w:ascii="宋体" w:hAnsi="宋体" w:eastAsia="宋体" w:cs="宋体"/>
              <w:b/>
              <w:bCs/>
              <w:sz w:val="24"/>
              <w:szCs w:val="24"/>
            </w:rPr>
            <w:fldChar w:fldCharType="separate"/>
          </w:r>
          <w:r>
            <w:rPr>
              <w:rFonts w:hint="eastAsia" w:ascii="宋体" w:hAnsi="宋体" w:eastAsia="宋体" w:cs="宋体"/>
              <w:b/>
              <w:bCs/>
              <w:kern w:val="44"/>
              <w:sz w:val="24"/>
              <w:szCs w:val="24"/>
              <w:highlight w:val="none"/>
              <w:lang w:val="en-US" w:eastAsia="zh-CN"/>
            </w:rPr>
            <w:t>项目工人工资支付分账管理协议</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_Toc22545 \h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59</w:t>
          </w:r>
          <w:r>
            <w:rPr>
              <w:rFonts w:hint="eastAsia" w:ascii="宋体" w:hAnsi="宋体" w:eastAsia="宋体" w:cs="宋体"/>
              <w:b/>
              <w:bCs/>
              <w:sz w:val="24"/>
              <w:szCs w:val="24"/>
            </w:rPr>
            <w:fldChar w:fldCharType="end"/>
          </w:r>
          <w:r>
            <w:rPr>
              <w:rFonts w:hint="eastAsia" w:ascii="宋体" w:hAnsi="宋体" w:eastAsia="宋体" w:cs="宋体"/>
              <w:b/>
              <w:bCs/>
              <w:sz w:val="24"/>
              <w:szCs w:val="24"/>
            </w:rPr>
            <w:fldChar w:fldCharType="end"/>
          </w:r>
        </w:p>
        <w:p>
          <w:pPr>
            <w:keepNext w:val="0"/>
            <w:keepLines w:val="0"/>
            <w:pageBreakBefore w:val="0"/>
            <w:widowControl/>
            <w:kinsoku/>
            <w:wordWrap/>
            <w:overflowPunct/>
            <w:topLinePunct w:val="0"/>
            <w:autoSpaceDE/>
            <w:autoSpaceDN/>
            <w:bidi w:val="0"/>
            <w:adjustRightInd/>
            <w:snapToGrid/>
            <w:spacing w:line="840" w:lineRule="auto"/>
            <w:textAlignment w:val="auto"/>
            <w:rPr>
              <w:rFonts w:hint="eastAsia" w:ascii="宋体" w:hAnsi="宋体" w:eastAsia="宋体" w:cs="宋体"/>
            </w:rPr>
          </w:pPr>
          <w:r>
            <w:rPr>
              <w:rFonts w:hint="eastAsia" w:ascii="宋体" w:hAnsi="宋体" w:eastAsia="宋体" w:cs="宋体"/>
            </w:rPr>
            <w:fldChar w:fldCharType="end"/>
          </w:r>
        </w:p>
      </w:sdtContent>
    </w:sdt>
    <w:p>
      <w:pPr>
        <w:pStyle w:val="16"/>
        <w:tabs>
          <w:tab w:val="right" w:leader="dot" w:pos="10204"/>
          <w:tab w:val="clear" w:pos="8493"/>
        </w:tabs>
        <w:rPr>
          <w:rFonts w:hint="eastAsia" w:ascii="宋体" w:hAnsi="宋体" w:eastAsia="宋体" w:cs="宋体"/>
          <w:highlight w:val="none"/>
          <w:lang w:eastAsia="zh-CN"/>
        </w:rPr>
      </w:pPr>
    </w:p>
    <w:p>
      <w:pPr>
        <w:outlineLvl w:val="9"/>
        <w:rPr>
          <w:rFonts w:hint="eastAsia" w:ascii="宋体" w:hAnsi="宋体" w:eastAsia="宋体" w:cs="宋体"/>
          <w:highlight w:val="none"/>
          <w:lang w:val="en-US" w:eastAsia="zh-CN"/>
        </w:rPr>
      </w:pPr>
    </w:p>
    <w:p>
      <w:pPr>
        <w:spacing w:before="0" w:after="0" w:line="500" w:lineRule="exact"/>
        <w:jc w:val="center"/>
        <w:rPr>
          <w:rFonts w:hint="eastAsia" w:ascii="宋体" w:hAnsi="宋体" w:eastAsia="宋体" w:cs="宋体"/>
          <w:sz w:val="36"/>
          <w:szCs w:val="36"/>
          <w:highlight w:val="none"/>
          <w:lang w:val="zh-CN"/>
        </w:rPr>
      </w:pPr>
      <w:r>
        <w:rPr>
          <w:rFonts w:hint="eastAsia" w:ascii="宋体" w:hAnsi="宋体" w:eastAsia="宋体" w:cs="宋体"/>
          <w:sz w:val="36"/>
          <w:szCs w:val="36"/>
          <w:highlight w:val="none"/>
          <w:lang w:val="zh-CN"/>
        </w:rPr>
        <w:br w:type="page"/>
      </w:r>
    </w:p>
    <w:p>
      <w:pPr>
        <w:pStyle w:val="379"/>
        <w:spacing w:before="0" w:after="0" w:line="500" w:lineRule="exact"/>
        <w:jc w:val="center"/>
        <w:outlineLvl w:val="0"/>
        <w:rPr>
          <w:rFonts w:hint="eastAsia" w:ascii="宋体" w:hAnsi="宋体" w:eastAsia="宋体" w:cs="宋体"/>
          <w:sz w:val="36"/>
          <w:szCs w:val="36"/>
          <w:highlight w:val="none"/>
          <w:lang w:val="zh-CN"/>
        </w:rPr>
      </w:pPr>
      <w:bookmarkStart w:id="5" w:name="_Toc30481"/>
      <w:r>
        <w:rPr>
          <w:rFonts w:hint="eastAsia" w:ascii="宋体" w:hAnsi="宋体" w:eastAsia="宋体" w:cs="宋体"/>
          <w:sz w:val="36"/>
          <w:szCs w:val="36"/>
          <w:highlight w:val="none"/>
          <w:lang w:val="zh-CN"/>
        </w:rPr>
        <w:t>总  说  明</w:t>
      </w:r>
      <w:bookmarkEnd w:id="5"/>
    </w:p>
    <w:p>
      <w:pPr>
        <w:rPr>
          <w:rFonts w:hint="eastAsia" w:ascii="宋体" w:hAnsi="宋体" w:eastAsia="宋体" w:cs="宋体"/>
          <w:highlight w:val="none"/>
          <w:lang w:val="zh-CN"/>
        </w:rPr>
      </w:pP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为了指导建设工程施工合同当事人的签约行为，维护合同当事人的合法权益，依据《中华人民共和国合同法》、《中华人民共和国建筑法》、《中华人民共和国招标投标法》以及相关法律法规，参照《建设工程施工合同（示范文本）》</w:t>
      </w:r>
      <w:r>
        <w:rPr>
          <w:rFonts w:hint="eastAsia" w:ascii="宋体" w:hAnsi="宋体" w:eastAsia="宋体" w:cs="宋体"/>
          <w:color w:val="000000"/>
          <w:sz w:val="24"/>
          <w:szCs w:val="24"/>
          <w:highlight w:val="none"/>
        </w:rPr>
        <w:t>（GF—2017—0201）</w:t>
      </w:r>
      <w:r>
        <w:rPr>
          <w:rFonts w:hint="eastAsia" w:ascii="宋体" w:hAnsi="宋体" w:eastAsia="宋体" w:cs="宋体"/>
          <w:sz w:val="24"/>
          <w:szCs w:val="24"/>
          <w:highlight w:val="none"/>
        </w:rPr>
        <w:t>、《广东省建设工程标准施工合同（2009年版）》等合同范本，广州市住房和城乡建设局、广州市市场监督管理局联合制定了合同示范文本《广州市建设工程施工合同》（SF-2019-0204）。为了便于合同当事人使用《广州市建设工程施工合同》（SF-2019-0204），现就有关问题说明如下：</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一、项目业主首要责任制</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项目业主或发包方应履行基本建设程序，按照先勘察、后设计、再施工的原则实施工程建设，及时办理各项建设工程手续，并具备法律法规规定的开工条件，在依法领取施工许可证等有关证件后再开工建设；同时需负责整个建设项目全过程的安全管理，包括对设备厂家、设计单位、监理单位、检测单位及各施工单位安全监督管理。</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二、《广州市建设工程施工合同》（SF-2019-0204）的组成</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《广州市建设工程施工合同》（SF-2019-0204）由协议书、通用条款和专用条款三部分组成。</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（一）协议书</w:t>
      </w:r>
    </w:p>
    <w:p>
      <w:pPr>
        <w:spacing w:line="500" w:lineRule="exact"/>
        <w:ind w:left="147" w:leftChars="70"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《广州市建设工程施工合同》（SF-2019-0204）协议书集中约定了合同当事人基本的合同权利义务。</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（二）通用条款</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通用条款是合同当事人根据《中华人民共和国合同法》、《中华人民共和国建筑法》等法律法规的规定，就工程施工的实施及相关事项，对合同当事人的权利义务作出的原则性约定。</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通用条款既考虑了现行法律法规对工程发承包计价的有关要求，也考虑了工程施工管理的特殊需要。</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（三）专用条款</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专用条款是对通用条款原则性约定的细化、完善、补充、修改或另行约定的条款。合同当事人可以根据不同建设工程的特点及发承包计价的具体情况，通过双方的谈判、协商对相应的专用条款进行修改补充。在使用专用条款时，应注意以下事项：</w:t>
      </w:r>
    </w:p>
    <w:p>
      <w:pPr>
        <w:spacing w:line="500" w:lineRule="exact"/>
        <w:ind w:right="25" w:rightChars="12"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1.专用条款的编号应与相应的通用条款的编号一致；</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2.合同当事人可以通过对专用条款的修改，满足具体工程的特殊要求，避免直接修改通用条款；</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3.在专用条款中有横道线的地方，合同当事人可针对相应的通用条款进行细化、完善、补充、修改或另行约定；如无细化、完善、补充、修改或另行约定，则填写“无”或划“/”。</w:t>
      </w:r>
    </w:p>
    <w:p>
      <w:pPr>
        <w:spacing w:line="500" w:lineRule="exact"/>
        <w:ind w:firstLine="480" w:firstLineChars="200"/>
        <w:rPr>
          <w:rFonts w:hint="eastAsia" w:ascii="宋体" w:hAnsi="宋体" w:eastAsia="宋体" w:cs="宋体"/>
          <w:b/>
          <w:bCs/>
          <w:sz w:val="24"/>
          <w:szCs w:val="24"/>
          <w:highlight w:val="none"/>
        </w:rPr>
      </w:pPr>
      <w:r>
        <w:rPr>
          <w:rFonts w:hint="eastAsia" w:ascii="宋体" w:hAnsi="宋体" w:eastAsia="宋体" w:cs="宋体"/>
          <w:sz w:val="24"/>
          <w:szCs w:val="24"/>
          <w:highlight w:val="none"/>
        </w:rPr>
        <w:t>三、《广州市建设工程施工合同》（SF-2019-0204）的适用范围</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《广州市建设工程施工合同》（SF-2019-0204）适用于广州市行政区域内建设工程的新建、扩建、改建、装修、修缮等施工项目的合同订立。其中，通用条款中带</w:t>
      </w:r>
      <w:r>
        <w:rPr>
          <w:rFonts w:hint="eastAsia" w:ascii="宋体" w:hAnsi="宋体" w:eastAsia="宋体" w:cs="宋体"/>
          <w:b/>
          <w:bCs/>
          <w:sz w:val="24"/>
          <w:szCs w:val="24"/>
          <w:highlight w:val="none"/>
        </w:rPr>
        <w:t>★</w:t>
      </w:r>
      <w:r>
        <w:rPr>
          <w:rFonts w:hint="eastAsia" w:ascii="宋体" w:hAnsi="宋体" w:eastAsia="宋体" w:cs="宋体"/>
          <w:sz w:val="24"/>
          <w:szCs w:val="24"/>
          <w:highlight w:val="none"/>
        </w:rPr>
        <w:t>号的条文，其内容是完整不可分割的，与法律、法规、规范有关联的条款，原则上应不进行删减，只能在专用条款中根据实际情况选择或在不违反原条款实质的前提下增加细化内容。其他内容合同当事人可结合建设工程具体情况，按照法律法规规定，根据《广州市建设工程施工合同》（SF-2019-0204）的内容，约定双方具体的权利义务。</w:t>
      </w:r>
    </w:p>
    <w:p>
      <w:pPr>
        <w:spacing w:line="500" w:lineRule="exact"/>
        <w:ind w:firstLine="616" w:firstLineChars="257"/>
        <w:rPr>
          <w:rFonts w:hint="eastAsia" w:ascii="宋体" w:hAnsi="宋体" w:eastAsia="宋体" w:cs="宋体"/>
          <w:sz w:val="24"/>
          <w:szCs w:val="24"/>
          <w:highlight w:val="none"/>
        </w:rPr>
      </w:pPr>
      <w:r>
        <w:rPr>
          <w:rFonts w:hint="eastAsia" w:ascii="宋体" w:hAnsi="宋体" w:eastAsia="宋体" w:cs="宋体"/>
          <w:sz w:val="24"/>
          <w:szCs w:val="24"/>
          <w:highlight w:val="none"/>
        </w:rPr>
        <w:t>四、其他事项</w:t>
      </w:r>
    </w:p>
    <w:p>
      <w:pPr>
        <w:spacing w:line="500" w:lineRule="exact"/>
        <w:ind w:firstLine="616" w:firstLineChars="257"/>
        <w:rPr>
          <w:rFonts w:hint="eastAsia" w:ascii="宋体" w:hAnsi="宋体" w:eastAsia="宋体" w:cs="宋体"/>
          <w:sz w:val="24"/>
          <w:szCs w:val="24"/>
          <w:highlight w:val="none"/>
        </w:rPr>
      </w:pPr>
      <w:r>
        <w:rPr>
          <w:rFonts w:hint="eastAsia" w:ascii="宋体" w:hAnsi="宋体" w:eastAsia="宋体" w:cs="宋体"/>
          <w:sz w:val="24"/>
          <w:szCs w:val="24"/>
          <w:highlight w:val="none"/>
        </w:rPr>
        <w:t>《广州市建设工程施工合同》（SF-2019-0204）》专用条款中的“预付款”、“进度款”、“竣工结算”条款，在签订合同时优先选择本合同中已列的支付条件、支付方式，如选择“其它方式”或“另作约定”形式的，需以合同附件的形式予以说明原因。</w:t>
      </w:r>
    </w:p>
    <w:p>
      <w:pPr>
        <w:widowControl/>
        <w:spacing w:beforeAutospacing="1" w:afterAutospacing="1"/>
        <w:jc w:val="left"/>
        <w:rPr>
          <w:rFonts w:hint="eastAsia" w:ascii="宋体" w:hAnsi="宋体" w:eastAsia="宋体" w:cs="宋体"/>
          <w:kern w:val="0"/>
          <w:sz w:val="36"/>
          <w:szCs w:val="36"/>
          <w:highlight w:val="none"/>
        </w:rPr>
        <w:sectPr>
          <w:footerReference r:id="rId5" w:type="first"/>
          <w:footerReference r:id="rId4" w:type="default"/>
          <w:endnotePr>
            <w:numFmt w:val="decimal"/>
          </w:endnotePr>
          <w:pgSz w:w="11906" w:h="16838"/>
          <w:pgMar w:top="1191" w:right="851" w:bottom="794" w:left="851" w:header="0" w:footer="0" w:gutter="0"/>
          <w:pgNumType w:fmt="decimal" w:start="1"/>
          <w:cols w:space="720" w:num="1"/>
          <w:titlePg/>
          <w:docGrid w:linePitch="286" w:charSpace="0"/>
        </w:sectPr>
      </w:pPr>
    </w:p>
    <w:p>
      <w:pPr>
        <w:pStyle w:val="3"/>
        <w:widowControl/>
        <w:spacing w:after="0" w:line="480" w:lineRule="auto"/>
        <w:ind w:firstLine="361"/>
        <w:jc w:val="center"/>
        <w:textAlignment w:val="baseline"/>
        <w:rPr>
          <w:rStyle w:val="25"/>
          <w:rFonts w:hint="eastAsia" w:ascii="宋体" w:hAnsi="宋体" w:eastAsia="宋体" w:cs="宋体"/>
          <w:color w:val="auto"/>
          <w:sz w:val="36"/>
          <w:szCs w:val="36"/>
          <w:highlight w:val="none"/>
          <w:u w:val="none"/>
        </w:rPr>
      </w:pPr>
      <w:bookmarkStart w:id="6" w:name="_Toc564"/>
      <w:bookmarkStart w:id="7" w:name="_Toc3908"/>
      <w:bookmarkStart w:id="8" w:name="_Toc22078"/>
      <w:r>
        <w:rPr>
          <w:rStyle w:val="25"/>
          <w:rFonts w:hint="eastAsia" w:ascii="宋体" w:hAnsi="宋体" w:eastAsia="宋体" w:cs="宋体"/>
          <w:color w:val="auto"/>
          <w:sz w:val="36"/>
          <w:szCs w:val="36"/>
          <w:highlight w:val="none"/>
        </w:rPr>
        <w:t>第一部分协议书</w:t>
      </w:r>
      <w:bookmarkEnd w:id="0"/>
      <w:bookmarkEnd w:id="1"/>
      <w:bookmarkEnd w:id="6"/>
      <w:bookmarkEnd w:id="7"/>
      <w:bookmarkEnd w:id="8"/>
    </w:p>
    <w:p>
      <w:pPr>
        <w:spacing w:line="312" w:lineRule="auto"/>
        <w:jc w:val="both"/>
        <w:textAlignment w:val="baseline"/>
        <w:rPr>
          <w:rStyle w:val="43"/>
          <w:rFonts w:hint="eastAsia" w:ascii="宋体" w:hAnsi="宋体" w:eastAsia="宋体" w:cs="宋体"/>
          <w:color w:val="auto"/>
          <w:kern w:val="2"/>
          <w:sz w:val="24"/>
          <w:szCs w:val="24"/>
          <w:highlight w:val="none"/>
          <w:u w:val="single"/>
          <w:lang w:val="en-US" w:eastAsia="zh-CN" w:bidi="ar-SA"/>
        </w:rPr>
      </w:pPr>
      <w:r>
        <w:rPr>
          <w:rStyle w:val="43"/>
          <w:rFonts w:hint="eastAsia" w:ascii="宋体" w:hAnsi="宋体" w:eastAsia="宋体" w:cs="宋体"/>
          <w:color w:val="auto"/>
          <w:kern w:val="2"/>
          <w:sz w:val="24"/>
          <w:szCs w:val="24"/>
          <w:highlight w:val="none"/>
          <w:lang w:val="en-US" w:eastAsia="zh-CN" w:bidi="ar-SA"/>
        </w:rPr>
        <w:t>发包人:（全称）</w:t>
      </w:r>
      <w:r>
        <w:rPr>
          <w:rStyle w:val="43"/>
          <w:rFonts w:hint="eastAsia" w:ascii="宋体" w:hAnsi="宋体" w:eastAsia="宋体" w:cs="宋体"/>
          <w:color w:val="auto"/>
          <w:kern w:val="2"/>
          <w:sz w:val="24"/>
          <w:szCs w:val="24"/>
          <w:highlight w:val="none"/>
          <w:u w:val="single"/>
          <w:lang w:val="en-US" w:eastAsia="zh-CN" w:bidi="ar-SA"/>
        </w:rPr>
        <w:t>广州市天河区珠村小学</w:t>
      </w:r>
    </w:p>
    <w:p>
      <w:pPr>
        <w:spacing w:line="312" w:lineRule="auto"/>
        <w:jc w:val="both"/>
        <w:textAlignment w:val="baseline"/>
        <w:rPr>
          <w:rStyle w:val="43"/>
          <w:rFonts w:hint="eastAsia" w:ascii="宋体" w:hAnsi="宋体" w:eastAsia="宋体" w:cs="宋体"/>
          <w:color w:val="auto"/>
          <w:kern w:val="2"/>
          <w:sz w:val="24"/>
          <w:szCs w:val="24"/>
          <w:highlight w:val="none"/>
          <w:u w:val="single"/>
          <w:lang w:val="en-US" w:eastAsia="zh-CN" w:bidi="ar-SA"/>
        </w:rPr>
      </w:pPr>
      <w:r>
        <w:rPr>
          <w:rStyle w:val="43"/>
          <w:rFonts w:hint="eastAsia" w:ascii="宋体" w:hAnsi="宋体" w:eastAsia="宋体" w:cs="宋体"/>
          <w:color w:val="auto"/>
          <w:kern w:val="2"/>
          <w:sz w:val="24"/>
          <w:szCs w:val="24"/>
          <w:highlight w:val="none"/>
          <w:lang w:val="en-US" w:eastAsia="zh-CN" w:bidi="ar-SA"/>
        </w:rPr>
        <w:t>承包人:（全称）</w:t>
      </w:r>
      <w:r>
        <w:rPr>
          <w:rStyle w:val="43"/>
          <w:rFonts w:hint="eastAsia" w:ascii="宋体" w:hAnsi="宋体" w:eastAsia="宋体" w:cs="宋体"/>
          <w:color w:val="auto"/>
          <w:kern w:val="2"/>
          <w:sz w:val="24"/>
          <w:szCs w:val="24"/>
          <w:highlight w:val="none"/>
          <w:u w:val="single"/>
          <w:lang w:val="en-US" w:eastAsia="zh-CN" w:bidi="ar-SA"/>
        </w:rPr>
        <w:t xml:space="preserve"> </w:t>
      </w:r>
    </w:p>
    <w:p>
      <w:pPr>
        <w:spacing w:line="312" w:lineRule="auto"/>
        <w:ind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依照《中华人民共和国民法典》、《中华人民共和国建筑法》及其他有关法律、行政法规、地方性法规和规章，以及国家和广东省、广州市、天河区关于建设项目的有关文件，遵循平等、自愿、公平和诚实信用的原则，发包人、承包人就本工程施工有关事项达成一致意见，订立本合同。</w:t>
      </w:r>
    </w:p>
    <w:p>
      <w:pPr>
        <w:spacing w:line="360" w:lineRule="auto"/>
        <w:ind w:left="0" w:leftChars="0"/>
        <w:jc w:val="both"/>
        <w:textAlignment w:val="baseline"/>
        <w:rPr>
          <w:rStyle w:val="43"/>
          <w:rFonts w:hint="eastAsia" w:ascii="宋体" w:hAnsi="宋体" w:eastAsia="宋体" w:cs="宋体"/>
          <w:color w:val="auto"/>
          <w:kern w:val="2"/>
          <w:sz w:val="24"/>
          <w:szCs w:val="24"/>
          <w:highlight w:val="none"/>
          <w:lang w:val="en-US" w:eastAsia="zh-CN" w:bidi="ar-SA"/>
        </w:rPr>
      </w:pPr>
      <w:bookmarkStart w:id="9" w:name="_Toc21921"/>
      <w:bookmarkStart w:id="10" w:name="_Toc2872"/>
      <w:r>
        <w:rPr>
          <w:rStyle w:val="43"/>
          <w:rFonts w:hint="eastAsia" w:ascii="宋体" w:hAnsi="宋体" w:eastAsia="宋体" w:cs="宋体"/>
          <w:b w:val="0"/>
          <w:bCs/>
          <w:color w:val="auto"/>
          <w:kern w:val="2"/>
          <w:sz w:val="24"/>
          <w:szCs w:val="24"/>
          <w:highlight w:val="none"/>
          <w:lang w:val="en-US" w:eastAsia="zh-CN" w:bidi="ar-SA"/>
        </w:rPr>
        <w:t>一</w:t>
      </w:r>
      <w:r>
        <w:rPr>
          <w:rStyle w:val="43"/>
          <w:rFonts w:hint="eastAsia" w:ascii="宋体" w:hAnsi="宋体" w:eastAsia="宋体" w:cs="宋体"/>
          <w:b/>
          <w:bCs/>
          <w:color w:val="auto"/>
          <w:kern w:val="2"/>
          <w:sz w:val="24"/>
          <w:szCs w:val="24"/>
          <w:highlight w:val="none"/>
          <w:lang w:val="en-US" w:eastAsia="zh-CN" w:bidi="ar-SA"/>
        </w:rPr>
        <w:t>、工程概况</w:t>
      </w:r>
      <w:bookmarkEnd w:id="9"/>
      <w:bookmarkEnd w:id="10"/>
    </w:p>
    <w:p>
      <w:pPr>
        <w:spacing w:line="360" w:lineRule="auto"/>
        <w:ind w:left="521" w:leftChars="248"/>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1.工程名称：</w:t>
      </w:r>
      <w:r>
        <w:rPr>
          <w:rStyle w:val="43"/>
          <w:rFonts w:hint="eastAsia" w:ascii="宋体" w:hAnsi="宋体" w:eastAsia="宋体" w:cs="宋体"/>
          <w:color w:val="auto"/>
          <w:kern w:val="2"/>
          <w:sz w:val="24"/>
          <w:szCs w:val="24"/>
          <w:highlight w:val="none"/>
          <w:u w:val="single"/>
          <w:lang w:val="en-US" w:eastAsia="zh-CN" w:bidi="ar-SA"/>
        </w:rPr>
        <w:t>广州市天河区珠村小学改造工程施工总承包</w:t>
      </w:r>
    </w:p>
    <w:p>
      <w:pPr>
        <w:spacing w:line="360" w:lineRule="auto"/>
        <w:ind w:left="521" w:leftChars="248"/>
        <w:jc w:val="both"/>
        <w:textAlignment w:val="baseline"/>
        <w:rPr>
          <w:rStyle w:val="43"/>
          <w:rFonts w:hint="eastAsia" w:ascii="宋体" w:hAnsi="宋体" w:eastAsia="宋体" w:cs="宋体"/>
          <w:color w:val="auto"/>
          <w:kern w:val="2"/>
          <w:sz w:val="24"/>
          <w:szCs w:val="24"/>
          <w:highlight w:val="none"/>
          <w:u w:val="single"/>
          <w:lang w:val="en-US" w:eastAsia="zh-CN" w:bidi="ar-SA"/>
        </w:rPr>
      </w:pPr>
      <w:r>
        <w:rPr>
          <w:rStyle w:val="43"/>
          <w:rFonts w:hint="eastAsia" w:ascii="宋体" w:hAnsi="宋体" w:eastAsia="宋体" w:cs="宋体"/>
          <w:color w:val="auto"/>
          <w:kern w:val="2"/>
          <w:sz w:val="24"/>
          <w:szCs w:val="24"/>
          <w:highlight w:val="none"/>
          <w:lang w:val="en-US" w:eastAsia="zh-CN" w:bidi="ar-SA"/>
        </w:rPr>
        <w:t>2.工程地点：</w:t>
      </w:r>
      <w:r>
        <w:rPr>
          <w:rFonts w:hint="eastAsia" w:ascii="宋体" w:hAnsi="宋体" w:cs="宋体"/>
          <w:color w:val="000000"/>
          <w:kern w:val="0"/>
          <w:sz w:val="24"/>
          <w:szCs w:val="24"/>
          <w:highlight w:val="none"/>
          <w:u w:val="single"/>
        </w:rPr>
        <w:t>广州市天河区东横一路1号</w:t>
      </w:r>
    </w:p>
    <w:p>
      <w:pPr>
        <w:spacing w:line="312" w:lineRule="auto"/>
        <w:ind w:firstLine="480" w:firstLineChars="200"/>
        <w:jc w:val="both"/>
        <w:textAlignment w:val="baseline"/>
        <w:rPr>
          <w:rStyle w:val="43"/>
          <w:rFonts w:hint="eastAsia" w:ascii="宋体" w:hAnsi="宋体" w:eastAsia="宋体" w:cs="宋体"/>
          <w:color w:val="auto"/>
          <w:kern w:val="2"/>
          <w:sz w:val="24"/>
          <w:szCs w:val="24"/>
          <w:highlight w:val="none"/>
          <w:u w:val="single"/>
          <w:lang w:val="en-US" w:eastAsia="zh-CN" w:bidi="ar-SA"/>
        </w:rPr>
      </w:pPr>
      <w:r>
        <w:rPr>
          <w:rStyle w:val="43"/>
          <w:rFonts w:hint="eastAsia" w:ascii="宋体" w:hAnsi="宋体" w:eastAsia="宋体" w:cs="宋体"/>
          <w:color w:val="auto"/>
          <w:kern w:val="2"/>
          <w:sz w:val="24"/>
          <w:szCs w:val="24"/>
          <w:highlight w:val="none"/>
          <w:lang w:val="en-US" w:eastAsia="zh-CN" w:bidi="ar-SA"/>
        </w:rPr>
        <w:t>3.工程立项、规划批准文件号：</w:t>
      </w:r>
      <w:r>
        <w:rPr>
          <w:rStyle w:val="43"/>
          <w:rFonts w:hint="eastAsia" w:ascii="宋体" w:hAnsi="宋体" w:eastAsia="宋体" w:cs="宋体"/>
          <w:color w:val="auto"/>
          <w:kern w:val="2"/>
          <w:sz w:val="24"/>
          <w:szCs w:val="24"/>
          <w:highlight w:val="none"/>
          <w:u w:val="single"/>
          <w:lang w:val="en-US" w:eastAsia="zh-CN" w:bidi="ar-SA"/>
        </w:rPr>
        <w:t>穗天发改投批〔2024〕13号</w:t>
      </w:r>
    </w:p>
    <w:p>
      <w:pPr>
        <w:spacing w:line="312" w:lineRule="auto"/>
        <w:ind w:firstLine="480" w:firstLineChars="200"/>
        <w:jc w:val="both"/>
        <w:textAlignment w:val="baseline"/>
        <w:rPr>
          <w:rStyle w:val="43"/>
          <w:rFonts w:hint="eastAsia" w:ascii="宋体" w:hAnsi="宋体" w:eastAsia="宋体" w:cs="宋体"/>
          <w:color w:val="auto"/>
          <w:kern w:val="2"/>
          <w:sz w:val="24"/>
          <w:szCs w:val="24"/>
          <w:highlight w:val="none"/>
          <w:u w:val="single"/>
          <w:lang w:val="en-US" w:eastAsia="zh-CN" w:bidi="ar-SA"/>
        </w:rPr>
      </w:pPr>
      <w:r>
        <w:rPr>
          <w:rStyle w:val="43"/>
          <w:rFonts w:hint="eastAsia" w:ascii="宋体" w:hAnsi="宋体" w:eastAsia="宋体" w:cs="宋体"/>
          <w:color w:val="auto"/>
          <w:kern w:val="2"/>
          <w:sz w:val="24"/>
          <w:szCs w:val="24"/>
          <w:highlight w:val="none"/>
          <w:lang w:val="en-US" w:eastAsia="zh-CN" w:bidi="ar-SA"/>
        </w:rPr>
        <w:t>4.资金来源：</w:t>
      </w:r>
      <w:r>
        <w:rPr>
          <w:rStyle w:val="43"/>
          <w:rFonts w:hint="eastAsia" w:ascii="宋体" w:hAnsi="宋体" w:eastAsia="宋体" w:cs="宋体"/>
          <w:color w:val="auto"/>
          <w:kern w:val="2"/>
          <w:sz w:val="24"/>
          <w:szCs w:val="24"/>
          <w:highlight w:val="none"/>
          <w:u w:val="single"/>
          <w:lang w:val="en-US" w:eastAsia="zh-CN" w:bidi="ar-SA"/>
        </w:rPr>
        <w:t>财政资金</w:t>
      </w:r>
    </w:p>
    <w:p>
      <w:pPr>
        <w:spacing w:line="360" w:lineRule="auto"/>
        <w:jc w:val="both"/>
        <w:textAlignment w:val="baseline"/>
        <w:rPr>
          <w:rStyle w:val="43"/>
          <w:rFonts w:hint="eastAsia" w:ascii="宋体" w:hAnsi="宋体" w:eastAsia="宋体" w:cs="宋体"/>
          <w:b/>
          <w:bCs/>
          <w:color w:val="auto"/>
          <w:kern w:val="2"/>
          <w:sz w:val="24"/>
          <w:szCs w:val="24"/>
          <w:highlight w:val="none"/>
          <w:lang w:val="en-US" w:eastAsia="zh-CN" w:bidi="ar-SA"/>
        </w:rPr>
      </w:pPr>
      <w:bookmarkStart w:id="11" w:name="_Toc2720"/>
      <w:bookmarkStart w:id="12" w:name="_Toc16144"/>
      <w:r>
        <w:rPr>
          <w:rStyle w:val="43"/>
          <w:rFonts w:hint="eastAsia" w:ascii="宋体" w:hAnsi="宋体" w:eastAsia="宋体" w:cs="宋体"/>
          <w:b w:val="0"/>
          <w:bCs/>
          <w:color w:val="auto"/>
          <w:kern w:val="2"/>
          <w:sz w:val="24"/>
          <w:szCs w:val="24"/>
          <w:highlight w:val="none"/>
          <w:lang w:val="en-US" w:eastAsia="zh-CN" w:bidi="ar-SA"/>
        </w:rPr>
        <w:t>二</w:t>
      </w:r>
      <w:r>
        <w:rPr>
          <w:rStyle w:val="43"/>
          <w:rFonts w:hint="eastAsia" w:ascii="宋体" w:hAnsi="宋体" w:eastAsia="宋体" w:cs="宋体"/>
          <w:b/>
          <w:bCs/>
          <w:color w:val="auto"/>
          <w:kern w:val="2"/>
          <w:sz w:val="24"/>
          <w:szCs w:val="24"/>
          <w:highlight w:val="none"/>
          <w:lang w:val="en-US" w:eastAsia="zh-CN" w:bidi="ar-SA"/>
        </w:rPr>
        <w:t>、工程内容与承包范围</w:t>
      </w:r>
      <w:bookmarkEnd w:id="11"/>
      <w:bookmarkEnd w:id="12"/>
    </w:p>
    <w:p>
      <w:pPr>
        <w:spacing w:line="312" w:lineRule="auto"/>
        <w:ind w:firstLine="480" w:firstLineChars="200"/>
        <w:jc w:val="both"/>
        <w:textAlignment w:val="baseline"/>
        <w:rPr>
          <w:rStyle w:val="43"/>
          <w:rFonts w:hint="eastAsia" w:ascii="宋体" w:hAnsi="宋体" w:eastAsia="宋体" w:cs="宋体"/>
          <w:color w:val="auto"/>
          <w:kern w:val="2"/>
          <w:sz w:val="24"/>
          <w:szCs w:val="24"/>
          <w:highlight w:val="none"/>
          <w:u w:val="single"/>
          <w:lang w:val="en-US" w:eastAsia="zh-CN" w:bidi="ar-SA"/>
        </w:rPr>
      </w:pPr>
      <w:r>
        <w:rPr>
          <w:rStyle w:val="43"/>
          <w:rFonts w:hint="eastAsia" w:ascii="宋体" w:hAnsi="宋体" w:eastAsia="宋体" w:cs="宋体"/>
          <w:color w:val="auto"/>
          <w:kern w:val="2"/>
          <w:sz w:val="24"/>
          <w:szCs w:val="24"/>
          <w:highlight w:val="none"/>
          <w:lang w:val="en-US" w:eastAsia="zh-CN" w:bidi="ar-SA"/>
        </w:rPr>
        <w:t>1.</w:t>
      </w:r>
      <w:r>
        <w:rPr>
          <w:rStyle w:val="43"/>
          <w:rFonts w:hint="eastAsia" w:ascii="宋体" w:hAnsi="宋体" w:eastAsia="宋体" w:cs="宋体"/>
          <w:color w:val="auto"/>
          <w:kern w:val="2"/>
          <w:sz w:val="24"/>
          <w:szCs w:val="24"/>
          <w:highlight w:val="none"/>
          <w:u w:val="single"/>
          <w:lang w:val="en-US" w:eastAsia="zh-CN" w:bidi="ar-SA"/>
        </w:rPr>
        <w:t xml:space="preserve">项目建设内容: </w:t>
      </w:r>
      <w:r>
        <w:rPr>
          <w:rFonts w:hint="eastAsia" w:ascii="宋体" w:hAnsi="宋体" w:cs="宋体"/>
          <w:sz w:val="24"/>
          <w:szCs w:val="24"/>
          <w:highlight w:val="none"/>
          <w:u w:val="single"/>
        </w:rPr>
        <w:t>本项目建设内容包括课室、办公室改造374.93平方米，地面改造工程3032.58平方米，外立面改造9370.70平方米，外墙窗改造3318平方米，厕所改造494.24平方米，校门及门卫室改造，给水工程改造，体育馆看台改造83.18平方米和球场改造3799.33平方米等（</w:t>
      </w:r>
      <w:r>
        <w:rPr>
          <w:rFonts w:hint="eastAsia" w:ascii="宋体" w:hAnsi="宋体" w:cs="宋体"/>
          <w:kern w:val="0"/>
          <w:sz w:val="24"/>
          <w:szCs w:val="24"/>
          <w:highlight w:val="none"/>
          <w:u w:val="single"/>
          <w:shd w:val="clear" w:color="auto" w:fill="FFFFFF"/>
        </w:rPr>
        <w:t>具体以招标图纸、工程量清单及有关资料说明为准</w:t>
      </w:r>
      <w:r>
        <w:rPr>
          <w:rFonts w:hint="eastAsia" w:ascii="宋体" w:hAnsi="宋体" w:cs="宋体"/>
          <w:sz w:val="24"/>
          <w:szCs w:val="24"/>
          <w:highlight w:val="none"/>
          <w:u w:val="single"/>
        </w:rPr>
        <w:t>）</w:t>
      </w:r>
      <w:r>
        <w:rPr>
          <w:rStyle w:val="43"/>
          <w:rFonts w:hint="eastAsia" w:ascii="宋体" w:hAnsi="宋体" w:eastAsia="宋体" w:cs="宋体"/>
          <w:color w:val="auto"/>
          <w:kern w:val="2"/>
          <w:sz w:val="24"/>
          <w:szCs w:val="24"/>
          <w:highlight w:val="none"/>
          <w:u w:val="single"/>
          <w:lang w:val="en-US" w:eastAsia="zh-CN" w:bidi="ar-SA"/>
        </w:rPr>
        <w:t>。</w:t>
      </w:r>
    </w:p>
    <w:p>
      <w:pPr>
        <w:spacing w:line="312" w:lineRule="auto"/>
        <w:ind w:left="-10" w:leftChars="-5"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2.</w:t>
      </w:r>
      <w:r>
        <w:rPr>
          <w:rStyle w:val="43"/>
          <w:rFonts w:hint="eastAsia" w:ascii="宋体" w:hAnsi="宋体" w:eastAsia="宋体" w:cs="宋体"/>
          <w:color w:val="auto"/>
          <w:kern w:val="2"/>
          <w:sz w:val="24"/>
          <w:szCs w:val="24"/>
          <w:highlight w:val="none"/>
          <w:u w:val="single"/>
          <w:lang w:val="en-US" w:eastAsia="zh-CN" w:bidi="ar-SA"/>
        </w:rPr>
        <w:t>由承包人按照本合同约定范围和图纸内容、工程量清单实行工程施工总承包，包括但不限于包工、包料、包工期、包质量、包安全、包文明施工，包承包范围内工程验收通过、包办理通水电气的全部手续、包移交、包结算、包资料整理、包竣工图编制、包总承包管理和现场整体组织、包专业协调及配合。</w:t>
      </w:r>
    </w:p>
    <w:p>
      <w:pPr>
        <w:spacing w:line="312" w:lineRule="auto"/>
        <w:ind w:left="-10" w:leftChars="-5"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3.</w:t>
      </w:r>
      <w:r>
        <w:rPr>
          <w:rStyle w:val="43"/>
          <w:rFonts w:hint="eastAsia" w:ascii="宋体" w:hAnsi="宋体" w:eastAsia="宋体" w:cs="宋体"/>
          <w:color w:val="auto"/>
          <w:kern w:val="2"/>
          <w:sz w:val="24"/>
          <w:szCs w:val="24"/>
          <w:highlight w:val="none"/>
          <w:u w:val="single"/>
          <w:lang w:val="en-US" w:eastAsia="zh-CN" w:bidi="ar-SA"/>
        </w:rPr>
        <w:t>工程量清单综合单价包干且不因施工条件、工程规模的变化而调整，招标文件及本合同另有规定的除外，工程量按实结算。工程结算价最终以政府终审部门审定为准。</w:t>
      </w:r>
    </w:p>
    <w:p>
      <w:pPr>
        <w:spacing w:line="312" w:lineRule="auto"/>
        <w:ind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4.</w:t>
      </w:r>
      <w:r>
        <w:rPr>
          <w:rStyle w:val="43"/>
          <w:rFonts w:hint="eastAsia" w:ascii="宋体" w:hAnsi="宋体" w:eastAsia="宋体" w:cs="宋体"/>
          <w:color w:val="auto"/>
          <w:kern w:val="2"/>
          <w:sz w:val="24"/>
          <w:szCs w:val="24"/>
          <w:highlight w:val="none"/>
          <w:u w:val="single"/>
          <w:lang w:val="en-US" w:eastAsia="zh-CN" w:bidi="ar-SA"/>
        </w:rPr>
        <w:t>绿色施工安全文明措施费包干。</w:t>
      </w:r>
    </w:p>
    <w:p>
      <w:pPr>
        <w:spacing w:line="312" w:lineRule="auto"/>
        <w:ind w:firstLine="480" w:firstLineChars="200"/>
        <w:jc w:val="both"/>
        <w:textAlignment w:val="baseline"/>
        <w:rPr>
          <w:rStyle w:val="43"/>
          <w:rFonts w:hint="eastAsia" w:ascii="宋体" w:hAnsi="宋体" w:eastAsia="宋体" w:cs="宋体"/>
          <w:color w:val="auto"/>
          <w:kern w:val="2"/>
          <w:sz w:val="24"/>
          <w:szCs w:val="24"/>
          <w:highlight w:val="yellow"/>
          <w:lang w:val="en-US" w:eastAsia="zh-CN" w:bidi="ar-SA"/>
        </w:rPr>
      </w:pPr>
      <w:r>
        <w:rPr>
          <w:rStyle w:val="43"/>
          <w:rFonts w:hint="eastAsia" w:ascii="宋体" w:hAnsi="宋体" w:eastAsia="宋体" w:cs="宋体"/>
          <w:color w:val="auto"/>
          <w:kern w:val="2"/>
          <w:sz w:val="24"/>
          <w:szCs w:val="24"/>
          <w:highlight w:val="none"/>
          <w:lang w:val="en-US" w:eastAsia="zh-CN" w:bidi="ar-SA"/>
        </w:rPr>
        <w:t>5.</w:t>
      </w:r>
      <w:r>
        <w:rPr>
          <w:rStyle w:val="43"/>
          <w:rFonts w:hint="eastAsia" w:ascii="宋体" w:hAnsi="宋体" w:eastAsia="宋体" w:cs="宋体"/>
          <w:color w:val="auto"/>
          <w:kern w:val="2"/>
          <w:sz w:val="24"/>
          <w:szCs w:val="24"/>
          <w:highlight w:val="none"/>
          <w:u w:val="single"/>
          <w:lang w:val="en-US" w:eastAsia="zh-CN" w:bidi="ar-SA"/>
        </w:rPr>
        <w:t>发包人根据工程实施情况，有权对承包人的承包范围及内容进行适当调整，并按专用条款的相关约定处理，承包人必须无条件服从。</w:t>
      </w:r>
    </w:p>
    <w:p>
      <w:pPr>
        <w:spacing w:line="360" w:lineRule="auto"/>
        <w:jc w:val="both"/>
        <w:textAlignment w:val="baseline"/>
        <w:rPr>
          <w:rStyle w:val="43"/>
          <w:rFonts w:hint="eastAsia" w:ascii="宋体" w:hAnsi="宋体" w:eastAsia="宋体" w:cs="宋体"/>
          <w:b/>
          <w:bCs/>
          <w:color w:val="auto"/>
          <w:kern w:val="2"/>
          <w:sz w:val="24"/>
          <w:szCs w:val="24"/>
          <w:highlight w:val="none"/>
          <w:lang w:val="en-US" w:eastAsia="zh-CN" w:bidi="ar-SA"/>
        </w:rPr>
      </w:pPr>
      <w:bookmarkStart w:id="13" w:name="_Toc14996"/>
      <w:bookmarkStart w:id="14" w:name="_Toc1952"/>
      <w:r>
        <w:rPr>
          <w:rStyle w:val="43"/>
          <w:rFonts w:hint="eastAsia" w:ascii="宋体" w:hAnsi="宋体" w:eastAsia="宋体" w:cs="宋体"/>
          <w:b w:val="0"/>
          <w:bCs/>
          <w:color w:val="auto"/>
          <w:kern w:val="2"/>
          <w:sz w:val="24"/>
          <w:szCs w:val="24"/>
          <w:highlight w:val="none"/>
          <w:lang w:val="en-US" w:eastAsia="zh-CN" w:bidi="ar-SA"/>
        </w:rPr>
        <w:t>三</w:t>
      </w:r>
      <w:r>
        <w:rPr>
          <w:rStyle w:val="43"/>
          <w:rFonts w:hint="eastAsia" w:ascii="宋体" w:hAnsi="宋体" w:eastAsia="宋体" w:cs="宋体"/>
          <w:b/>
          <w:bCs/>
          <w:color w:val="auto"/>
          <w:kern w:val="2"/>
          <w:sz w:val="24"/>
          <w:szCs w:val="24"/>
          <w:highlight w:val="none"/>
          <w:lang w:val="en-US" w:eastAsia="zh-CN" w:bidi="ar-SA"/>
        </w:rPr>
        <w:t>、合同工期</w:t>
      </w:r>
      <w:bookmarkEnd w:id="13"/>
      <w:bookmarkEnd w:id="14"/>
    </w:p>
    <w:p>
      <w:pPr>
        <w:spacing w:line="312" w:lineRule="auto"/>
        <w:ind w:left="2" w:firstLine="523" w:firstLineChars="218"/>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1.工程合同工期：</w:t>
      </w:r>
      <w:r>
        <w:rPr>
          <w:rStyle w:val="43"/>
          <w:rFonts w:hint="eastAsia" w:ascii="宋体" w:hAnsi="宋体" w:eastAsia="宋体" w:cs="宋体"/>
          <w:color w:val="auto"/>
          <w:kern w:val="2"/>
          <w:sz w:val="24"/>
          <w:szCs w:val="24"/>
          <w:highlight w:val="none"/>
          <w:u w:val="single"/>
          <w:lang w:val="en-US" w:eastAsia="zh-CN" w:bidi="ar-SA"/>
        </w:rPr>
        <w:t xml:space="preserve">    天</w:t>
      </w:r>
      <w:r>
        <w:rPr>
          <w:rStyle w:val="43"/>
          <w:rFonts w:hint="eastAsia" w:ascii="宋体" w:hAnsi="宋体" w:eastAsia="宋体" w:cs="宋体"/>
          <w:color w:val="auto"/>
          <w:kern w:val="2"/>
          <w:sz w:val="24"/>
          <w:szCs w:val="24"/>
          <w:highlight w:val="none"/>
          <w:lang w:val="en-US" w:eastAsia="zh-CN" w:bidi="ar-SA"/>
        </w:rPr>
        <w:t>。具体开工日期以总监理工程师发出的开工令为准。</w:t>
      </w:r>
    </w:p>
    <w:p>
      <w:pPr>
        <w:ind w:firstLine="200" w:firstLineChars="100"/>
        <w:jc w:val="both"/>
        <w:textAlignment w:val="baseline"/>
        <w:rPr>
          <w:rStyle w:val="25"/>
          <w:rFonts w:hint="eastAsia" w:ascii="宋体" w:hAnsi="宋体" w:eastAsia="宋体" w:cs="宋体"/>
          <w:b w:val="0"/>
          <w:bCs/>
          <w:color w:val="000000"/>
          <w:kern w:val="2"/>
          <w:sz w:val="20"/>
          <w:szCs w:val="24"/>
          <w:highlight w:val="none"/>
          <w:lang w:val="en-US" w:eastAsia="zh-CN" w:bidi="ar-SA"/>
        </w:rPr>
      </w:pPr>
      <w:r>
        <w:rPr>
          <w:rStyle w:val="25"/>
          <w:rFonts w:hint="eastAsia" w:ascii="宋体" w:hAnsi="宋体" w:eastAsia="宋体" w:cs="宋体"/>
          <w:b w:val="0"/>
          <w:bCs/>
          <w:color w:val="000000"/>
          <w:kern w:val="2"/>
          <w:sz w:val="20"/>
          <w:szCs w:val="24"/>
          <w:highlight w:val="none"/>
          <w:lang w:val="en-US" w:eastAsia="zh-CN" w:bidi="ar-SA"/>
        </w:rPr>
        <w:fldChar w:fldCharType="begin"/>
      </w:r>
      <w:r>
        <w:rPr>
          <w:rStyle w:val="25"/>
          <w:rFonts w:hint="eastAsia" w:ascii="宋体" w:hAnsi="宋体" w:eastAsia="宋体" w:cs="宋体"/>
          <w:b w:val="0"/>
          <w:bCs/>
          <w:color w:val="000000"/>
          <w:kern w:val="2"/>
          <w:sz w:val="20"/>
          <w:szCs w:val="24"/>
          <w:highlight w:val="none"/>
          <w:lang w:val="en-US" w:eastAsia="zh-CN" w:bidi="ar-SA"/>
        </w:rPr>
        <w:instrText xml:space="preserve">eq \o\ac(□,√)</w:instrText>
      </w:r>
      <w:r>
        <w:rPr>
          <w:rStyle w:val="25"/>
          <w:rFonts w:hint="eastAsia" w:ascii="宋体" w:hAnsi="宋体" w:eastAsia="宋体" w:cs="宋体"/>
          <w:b w:val="0"/>
          <w:bCs/>
          <w:color w:val="000000"/>
          <w:kern w:val="2"/>
          <w:sz w:val="20"/>
          <w:szCs w:val="24"/>
          <w:highlight w:val="none"/>
          <w:lang w:val="en-US" w:eastAsia="zh-CN" w:bidi="ar-SA"/>
        </w:rPr>
        <w:fldChar w:fldCharType="end"/>
      </w:r>
      <w:r>
        <w:rPr>
          <w:rStyle w:val="25"/>
          <w:rFonts w:hint="eastAsia" w:ascii="宋体" w:hAnsi="宋体" w:eastAsia="宋体" w:cs="宋体"/>
          <w:b w:val="0"/>
          <w:bCs/>
          <w:color w:val="000000"/>
          <w:kern w:val="2"/>
          <w:sz w:val="20"/>
          <w:szCs w:val="24"/>
          <w:highlight w:val="none"/>
          <w:lang w:val="en-US" w:eastAsia="zh-CN" w:bidi="ar-SA"/>
        </w:rPr>
        <w:t xml:space="preserve"> </w:t>
      </w:r>
      <w:r>
        <w:rPr>
          <w:rStyle w:val="25"/>
          <w:rFonts w:hint="eastAsia" w:ascii="宋体" w:hAnsi="宋体" w:eastAsia="宋体" w:cs="宋体"/>
          <w:b w:val="0"/>
          <w:bCs/>
          <w:color w:val="000000"/>
          <w:kern w:val="2"/>
          <w:sz w:val="24"/>
          <w:szCs w:val="24"/>
          <w:highlight w:val="none"/>
          <w:lang w:val="en-US" w:eastAsia="zh-CN" w:bidi="ar-SA"/>
        </w:rPr>
        <w:t>2.关键节点工期要求：</w:t>
      </w:r>
    </w:p>
    <w:p>
      <w:pPr>
        <w:spacing w:line="312" w:lineRule="auto"/>
        <w:ind w:left="2" w:firstLine="523" w:firstLineChars="218"/>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发包人根据工程实施情况，有权对本合同工程工期和节点工期进行适当调整，并按专用条款第36.5款的约定处理，承包人必须采取一切有效措施保合同工期和节点工期，不得延误。如不能按批准的计划完成任务，由承包人按专用条款第90.7款的约定向发包人承担违约责任。</w:t>
      </w:r>
    </w:p>
    <w:p>
      <w:pPr>
        <w:spacing w:line="360" w:lineRule="auto"/>
        <w:jc w:val="both"/>
        <w:textAlignment w:val="baseline"/>
        <w:rPr>
          <w:rStyle w:val="43"/>
          <w:rFonts w:hint="eastAsia" w:ascii="宋体" w:hAnsi="宋体" w:eastAsia="宋体" w:cs="宋体"/>
          <w:b/>
          <w:bCs/>
          <w:color w:val="auto"/>
          <w:kern w:val="2"/>
          <w:sz w:val="24"/>
          <w:szCs w:val="24"/>
          <w:highlight w:val="none"/>
          <w:lang w:val="en-US" w:eastAsia="zh-CN" w:bidi="ar-SA"/>
        </w:rPr>
      </w:pPr>
      <w:bookmarkStart w:id="15" w:name="_Toc26755"/>
      <w:bookmarkStart w:id="16" w:name="_Toc5094"/>
      <w:r>
        <w:rPr>
          <w:rStyle w:val="43"/>
          <w:rFonts w:hint="eastAsia" w:ascii="宋体" w:hAnsi="宋体" w:eastAsia="宋体" w:cs="宋体"/>
          <w:b w:val="0"/>
          <w:bCs/>
          <w:color w:val="auto"/>
          <w:kern w:val="2"/>
          <w:sz w:val="24"/>
          <w:szCs w:val="24"/>
          <w:highlight w:val="none"/>
          <w:lang w:val="en-US" w:eastAsia="zh-CN" w:bidi="ar-SA"/>
        </w:rPr>
        <w:t>四</w:t>
      </w:r>
      <w:r>
        <w:rPr>
          <w:rStyle w:val="43"/>
          <w:rFonts w:hint="eastAsia" w:ascii="宋体" w:hAnsi="宋体" w:eastAsia="宋体" w:cs="宋体"/>
          <w:b/>
          <w:bCs/>
          <w:color w:val="auto"/>
          <w:kern w:val="2"/>
          <w:sz w:val="24"/>
          <w:szCs w:val="24"/>
          <w:highlight w:val="none"/>
          <w:lang w:val="en-US" w:eastAsia="zh-CN" w:bidi="ar-SA"/>
        </w:rPr>
        <w:t>、质量标准</w:t>
      </w:r>
      <w:bookmarkEnd w:id="15"/>
      <w:bookmarkEnd w:id="16"/>
    </w:p>
    <w:p>
      <w:pPr>
        <w:spacing w:line="312" w:lineRule="auto"/>
        <w:ind w:left="2" w:firstLine="523" w:firstLineChars="218"/>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达到工程施工质量验收规范合格标准及国家现行相关专业有关施工质量验收规范标准，一次验收合格，且</w:t>
      </w:r>
    </w:p>
    <w:p>
      <w:pPr>
        <w:autoSpaceDE/>
        <w:autoSpaceDN/>
        <w:adjustRightInd/>
        <w:spacing w:line="360" w:lineRule="auto"/>
        <w:ind w:firstLine="720" w:firstLineChars="300"/>
        <w:jc w:val="both"/>
        <w:rPr>
          <w:rStyle w:val="43"/>
          <w:rFonts w:hint="eastAsia" w:ascii="宋体" w:hAnsi="宋体" w:eastAsia="宋体" w:cs="宋体"/>
          <w:color w:val="auto"/>
          <w:kern w:val="2"/>
          <w:sz w:val="24"/>
          <w:szCs w:val="24"/>
          <w:highlight w:val="none"/>
        </w:rPr>
      </w:pPr>
      <w:r>
        <w:rPr>
          <w:rStyle w:val="43"/>
          <w:rFonts w:hint="eastAsia" w:ascii="宋体" w:hAnsi="宋体" w:eastAsia="宋体" w:cs="宋体"/>
          <w:color w:val="auto"/>
          <w:kern w:val="2"/>
          <w:sz w:val="24"/>
          <w:szCs w:val="24"/>
          <w:highlight w:val="none"/>
        </w:rPr>
        <w:t xml:space="preserve">□ </w:t>
      </w:r>
      <w:r>
        <w:rPr>
          <w:rStyle w:val="43"/>
          <w:rFonts w:hint="eastAsia" w:ascii="宋体" w:hAnsi="宋体" w:eastAsia="宋体" w:cs="宋体"/>
          <w:color w:val="auto"/>
          <w:sz w:val="24"/>
          <w:szCs w:val="24"/>
          <w:highlight w:val="none"/>
        </w:rPr>
        <w:t>市级工程优质奖</w:t>
      </w:r>
      <w:r>
        <w:rPr>
          <w:rStyle w:val="43"/>
          <w:rFonts w:hint="eastAsia" w:ascii="宋体" w:hAnsi="宋体" w:eastAsia="宋体" w:cs="宋体"/>
          <w:color w:val="auto"/>
          <w:kern w:val="2"/>
          <w:sz w:val="24"/>
          <w:szCs w:val="24"/>
          <w:highlight w:val="none"/>
        </w:rPr>
        <w:t>；</w:t>
      </w:r>
    </w:p>
    <w:p>
      <w:pPr>
        <w:autoSpaceDE/>
        <w:autoSpaceDN/>
        <w:adjustRightInd/>
        <w:spacing w:line="360" w:lineRule="auto"/>
        <w:ind w:firstLine="720" w:firstLineChars="300"/>
        <w:jc w:val="both"/>
        <w:rPr>
          <w:rStyle w:val="43"/>
          <w:rFonts w:hint="eastAsia" w:ascii="宋体" w:hAnsi="宋体" w:eastAsia="宋体" w:cs="宋体"/>
          <w:color w:val="auto"/>
          <w:kern w:val="2"/>
          <w:sz w:val="24"/>
          <w:szCs w:val="24"/>
          <w:highlight w:val="none"/>
        </w:rPr>
      </w:pPr>
      <w:r>
        <w:rPr>
          <w:rStyle w:val="43"/>
          <w:rFonts w:hint="eastAsia" w:ascii="宋体" w:hAnsi="宋体" w:eastAsia="宋体" w:cs="宋体"/>
          <w:color w:val="auto"/>
          <w:kern w:val="2"/>
          <w:sz w:val="24"/>
          <w:szCs w:val="24"/>
          <w:highlight w:val="none"/>
        </w:rPr>
        <w:t xml:space="preserve">□ </w:t>
      </w:r>
      <w:r>
        <w:rPr>
          <w:rStyle w:val="43"/>
          <w:rFonts w:hint="eastAsia" w:ascii="宋体" w:hAnsi="宋体" w:eastAsia="宋体" w:cs="宋体"/>
          <w:color w:val="auto"/>
          <w:sz w:val="24"/>
          <w:szCs w:val="24"/>
          <w:highlight w:val="none"/>
        </w:rPr>
        <w:t>省级工程优质奖</w:t>
      </w:r>
      <w:r>
        <w:rPr>
          <w:rStyle w:val="43"/>
          <w:rFonts w:hint="eastAsia" w:ascii="宋体" w:hAnsi="宋体" w:eastAsia="宋体" w:cs="宋体"/>
          <w:color w:val="auto"/>
          <w:kern w:val="2"/>
          <w:sz w:val="24"/>
          <w:szCs w:val="24"/>
          <w:highlight w:val="none"/>
        </w:rPr>
        <w:t>；</w:t>
      </w:r>
    </w:p>
    <w:p>
      <w:pPr>
        <w:spacing w:line="360" w:lineRule="auto"/>
        <w:ind w:firstLine="720" w:firstLineChars="300"/>
        <w:jc w:val="both"/>
        <w:rPr>
          <w:rStyle w:val="43"/>
          <w:rFonts w:hint="eastAsia" w:ascii="宋体" w:hAnsi="宋体" w:eastAsia="宋体" w:cs="宋体"/>
          <w:color w:val="auto"/>
          <w:kern w:val="2"/>
          <w:sz w:val="24"/>
          <w:szCs w:val="24"/>
          <w:highlight w:val="none"/>
        </w:rPr>
      </w:pPr>
      <w:r>
        <w:rPr>
          <w:rStyle w:val="43"/>
          <w:rFonts w:hint="eastAsia" w:ascii="宋体" w:hAnsi="宋体" w:eastAsia="宋体" w:cs="宋体"/>
          <w:color w:val="auto"/>
          <w:kern w:val="2"/>
          <w:sz w:val="24"/>
          <w:szCs w:val="24"/>
          <w:highlight w:val="none"/>
        </w:rPr>
        <w:t xml:space="preserve">□ </w:t>
      </w:r>
      <w:r>
        <w:rPr>
          <w:rStyle w:val="43"/>
          <w:rFonts w:hint="eastAsia" w:ascii="宋体" w:hAnsi="宋体" w:eastAsia="宋体" w:cs="宋体"/>
          <w:color w:val="auto"/>
          <w:sz w:val="24"/>
          <w:szCs w:val="24"/>
          <w:highlight w:val="none"/>
        </w:rPr>
        <w:t>国家级工程优质奖</w:t>
      </w:r>
      <w:r>
        <w:rPr>
          <w:rStyle w:val="43"/>
          <w:rFonts w:hint="eastAsia" w:ascii="宋体" w:hAnsi="宋体" w:eastAsia="宋体" w:cs="宋体"/>
          <w:color w:val="auto"/>
          <w:kern w:val="2"/>
          <w:sz w:val="24"/>
          <w:szCs w:val="24"/>
          <w:highlight w:val="none"/>
        </w:rPr>
        <w:t>；</w:t>
      </w:r>
    </w:p>
    <w:p>
      <w:pPr>
        <w:spacing w:line="360" w:lineRule="auto"/>
        <w:ind w:firstLine="720" w:firstLineChars="300"/>
        <w:rPr>
          <w:rStyle w:val="43"/>
          <w:rFonts w:hint="eastAsia" w:ascii="宋体" w:hAnsi="宋体" w:eastAsia="宋体" w:cs="宋体"/>
          <w:color w:val="auto"/>
          <w:sz w:val="24"/>
          <w:szCs w:val="24"/>
          <w:highlight w:val="none"/>
          <w:u w:val="single"/>
        </w:rPr>
      </w:pPr>
      <w:r>
        <w:rPr>
          <w:rStyle w:val="43"/>
          <w:rFonts w:hint="eastAsia" w:ascii="宋体" w:hAnsi="宋体" w:eastAsia="宋体" w:cs="宋体"/>
          <w:color w:val="auto"/>
          <w:kern w:val="2"/>
          <w:sz w:val="24"/>
          <w:szCs w:val="24"/>
          <w:highlight w:val="none"/>
        </w:rPr>
        <w:t>□ 其它</w:t>
      </w:r>
    </w:p>
    <w:p>
      <w:pPr>
        <w:spacing w:line="312" w:lineRule="auto"/>
        <w:ind w:left="0" w:firstLine="720" w:firstLineChars="300"/>
        <w:jc w:val="left"/>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若承包人不能达到上述约定的质量目标的，承包人应按照本合同价款总金额的千分之五向发包人承担违约责任。</w:t>
      </w:r>
    </w:p>
    <w:p>
      <w:pPr>
        <w:spacing w:line="360" w:lineRule="auto"/>
        <w:jc w:val="both"/>
        <w:textAlignment w:val="baseline"/>
        <w:rPr>
          <w:rStyle w:val="43"/>
          <w:rFonts w:hint="eastAsia" w:ascii="宋体" w:hAnsi="宋体" w:eastAsia="宋体" w:cs="宋体"/>
          <w:b/>
          <w:bCs/>
          <w:color w:val="auto"/>
          <w:kern w:val="2"/>
          <w:sz w:val="24"/>
          <w:szCs w:val="24"/>
          <w:highlight w:val="none"/>
          <w:lang w:val="en-US" w:eastAsia="zh-CN" w:bidi="ar-SA"/>
        </w:rPr>
      </w:pPr>
      <w:bookmarkStart w:id="17" w:name="_Toc15487"/>
      <w:bookmarkStart w:id="18" w:name="_Toc28823"/>
      <w:r>
        <w:rPr>
          <w:rStyle w:val="43"/>
          <w:rFonts w:hint="eastAsia" w:ascii="宋体" w:hAnsi="宋体" w:eastAsia="宋体" w:cs="宋体"/>
          <w:b w:val="0"/>
          <w:bCs w:val="0"/>
          <w:color w:val="auto"/>
          <w:kern w:val="2"/>
          <w:sz w:val="24"/>
          <w:szCs w:val="24"/>
          <w:highlight w:val="none"/>
          <w:lang w:val="en-US" w:eastAsia="zh-CN" w:bidi="ar-SA"/>
        </w:rPr>
        <w:t>五</w:t>
      </w:r>
      <w:r>
        <w:rPr>
          <w:rStyle w:val="43"/>
          <w:rFonts w:hint="eastAsia" w:ascii="宋体" w:hAnsi="宋体" w:eastAsia="宋体" w:cs="宋体"/>
          <w:b/>
          <w:bCs/>
          <w:color w:val="auto"/>
          <w:kern w:val="2"/>
          <w:sz w:val="24"/>
          <w:szCs w:val="24"/>
          <w:highlight w:val="none"/>
          <w:lang w:val="en-US" w:eastAsia="zh-CN" w:bidi="ar-SA"/>
        </w:rPr>
        <w:t>、合同价款</w:t>
      </w:r>
      <w:bookmarkEnd w:id="17"/>
      <w:bookmarkEnd w:id="18"/>
    </w:p>
    <w:p>
      <w:pPr>
        <w:spacing w:line="312" w:lineRule="auto"/>
        <w:ind w:left="2" w:firstLine="523" w:firstLineChars="218"/>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1 本合同以人民币为报价和结算货币，除非发包人、承包人双方另有约定。</w:t>
      </w:r>
    </w:p>
    <w:p>
      <w:pPr>
        <w:spacing w:line="312" w:lineRule="auto"/>
        <w:ind w:left="2" w:firstLine="523" w:firstLineChars="218"/>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2 本合同价款为：</w:t>
      </w:r>
      <w:r>
        <w:rPr>
          <w:rStyle w:val="43"/>
          <w:rFonts w:hint="eastAsia" w:ascii="宋体" w:hAnsi="宋体" w:eastAsia="宋体" w:cs="宋体"/>
          <w:color w:val="auto"/>
          <w:kern w:val="2"/>
          <w:sz w:val="24"/>
          <w:szCs w:val="24"/>
          <w:highlight w:val="none"/>
          <w:u w:val="single"/>
          <w:lang w:val="en-US" w:eastAsia="zh-CN" w:bidi="ar-SA"/>
        </w:rPr>
        <w:t xml:space="preserve">      </w:t>
      </w:r>
      <w:r>
        <w:rPr>
          <w:rStyle w:val="43"/>
          <w:rFonts w:hint="eastAsia" w:ascii="宋体" w:hAnsi="宋体" w:eastAsia="宋体" w:cs="宋体"/>
          <w:color w:val="auto"/>
          <w:kern w:val="2"/>
          <w:sz w:val="24"/>
          <w:szCs w:val="24"/>
          <w:highlight w:val="none"/>
          <w:lang w:val="en-US" w:eastAsia="zh-CN" w:bidi="ar-SA"/>
        </w:rPr>
        <w:t>元（大写）其中暂列金额</w:t>
      </w:r>
      <w:r>
        <w:rPr>
          <w:rStyle w:val="43"/>
          <w:rFonts w:hint="eastAsia" w:ascii="宋体" w:hAnsi="宋体" w:eastAsia="宋体" w:cs="宋体"/>
          <w:color w:val="auto"/>
          <w:kern w:val="2"/>
          <w:sz w:val="24"/>
          <w:szCs w:val="24"/>
          <w:highlight w:val="none"/>
          <w:u w:val="single"/>
          <w:lang w:val="en-US" w:eastAsia="zh-CN" w:bidi="ar-SA"/>
        </w:rPr>
        <w:t xml:space="preserve">      </w:t>
      </w:r>
      <w:r>
        <w:rPr>
          <w:rStyle w:val="43"/>
          <w:rFonts w:hint="eastAsia" w:ascii="宋体" w:hAnsi="宋体" w:eastAsia="宋体" w:cs="宋体"/>
          <w:color w:val="auto"/>
          <w:kern w:val="2"/>
          <w:sz w:val="24"/>
          <w:szCs w:val="24"/>
          <w:highlight w:val="none"/>
          <w:lang w:val="en-US" w:eastAsia="zh-CN" w:bidi="ar-SA"/>
        </w:rPr>
        <w:t>元；</w:t>
      </w:r>
    </w:p>
    <w:p>
      <w:pPr>
        <w:spacing w:line="312" w:lineRule="auto"/>
        <w:ind w:left="2" w:firstLine="523" w:firstLineChars="218"/>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安全防护、绿色施工安全防护措施费</w:t>
      </w:r>
      <w:r>
        <w:rPr>
          <w:rStyle w:val="43"/>
          <w:rFonts w:hint="eastAsia" w:ascii="宋体" w:hAnsi="宋体" w:eastAsia="宋体" w:cs="宋体"/>
          <w:color w:val="auto"/>
          <w:kern w:val="2"/>
          <w:sz w:val="24"/>
          <w:szCs w:val="24"/>
          <w:highlight w:val="none"/>
          <w:u w:val="single"/>
          <w:lang w:val="en-US" w:eastAsia="zh-CN" w:bidi="ar-SA"/>
        </w:rPr>
        <w:t xml:space="preserve">       </w:t>
      </w:r>
      <w:r>
        <w:rPr>
          <w:rStyle w:val="43"/>
          <w:rFonts w:hint="eastAsia" w:ascii="宋体" w:hAnsi="宋体" w:eastAsia="宋体" w:cs="宋体"/>
          <w:color w:val="auto"/>
          <w:kern w:val="2"/>
          <w:sz w:val="24"/>
          <w:szCs w:val="24"/>
          <w:highlight w:val="none"/>
          <w:lang w:val="en-US" w:eastAsia="zh-CN" w:bidi="ar-SA"/>
        </w:rPr>
        <w:t>元。</w:t>
      </w:r>
    </w:p>
    <w:p>
      <w:pPr>
        <w:spacing w:line="312" w:lineRule="auto"/>
        <w:ind w:firstLine="600" w:firstLineChars="25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项目单价：</w:t>
      </w:r>
      <w:r>
        <w:rPr>
          <w:rFonts w:hint="eastAsia" w:ascii="宋体" w:hAnsi="宋体" w:eastAsia="宋体" w:cs="宋体"/>
          <w:sz w:val="24"/>
          <w:szCs w:val="24"/>
        </w:rPr>
        <w:t>□</w:t>
      </w:r>
      <w:r>
        <w:rPr>
          <w:rStyle w:val="43"/>
          <w:rFonts w:hint="eastAsia" w:ascii="宋体" w:hAnsi="宋体" w:eastAsia="宋体" w:cs="宋体"/>
          <w:color w:val="auto"/>
          <w:kern w:val="2"/>
          <w:sz w:val="24"/>
          <w:szCs w:val="24"/>
          <w:highlight w:val="none"/>
          <w:lang w:val="en-US" w:eastAsia="zh-CN" w:bidi="ar-SA"/>
        </w:rPr>
        <w:t>详见经审定的施工图预算（招标工程）；</w:t>
      </w:r>
    </w:p>
    <w:p>
      <w:pPr>
        <w:spacing w:line="312" w:lineRule="auto"/>
        <w:ind w:firstLine="1560" w:firstLineChars="650"/>
        <w:jc w:val="both"/>
        <w:textAlignment w:val="baseline"/>
        <w:rPr>
          <w:rStyle w:val="43"/>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z w:val="24"/>
          <w:szCs w:val="24"/>
        </w:rPr>
        <w:t>□</w:t>
      </w:r>
      <w:r>
        <w:rPr>
          <w:rStyle w:val="43"/>
          <w:rFonts w:hint="eastAsia" w:ascii="宋体" w:hAnsi="宋体" w:eastAsia="宋体" w:cs="宋体"/>
          <w:color w:val="auto"/>
          <w:kern w:val="2"/>
          <w:sz w:val="24"/>
          <w:szCs w:val="24"/>
          <w:highlight w:val="none"/>
          <w:lang w:val="en-US" w:eastAsia="zh-CN" w:bidi="ar-SA"/>
        </w:rPr>
        <w:t>详见经确认的工程量清单报价单或施工图预算书（非招标工程）。</w:t>
      </w:r>
    </w:p>
    <w:p>
      <w:pPr>
        <w:spacing w:line="360" w:lineRule="auto"/>
        <w:rPr>
          <w:rFonts w:hint="eastAsia" w:ascii="宋体" w:hAnsi="宋体" w:eastAsia="宋体" w:cs="宋体"/>
          <w:b/>
          <w:bCs/>
          <w:kern w:val="0"/>
          <w:sz w:val="24"/>
          <w:szCs w:val="24"/>
          <w:highlight w:val="none"/>
        </w:rPr>
      </w:pPr>
      <w:r>
        <w:rPr>
          <w:rFonts w:hint="eastAsia" w:ascii="宋体" w:hAnsi="宋体" w:eastAsia="宋体" w:cs="宋体"/>
          <w:b/>
          <w:bCs/>
          <w:sz w:val="24"/>
          <w:szCs w:val="24"/>
          <w:highlight w:val="none"/>
        </w:rPr>
        <w:t>★六、</w:t>
      </w:r>
      <w:r>
        <w:rPr>
          <w:rFonts w:hint="eastAsia" w:ascii="宋体" w:hAnsi="宋体" w:eastAsia="宋体" w:cs="宋体"/>
          <w:b/>
          <w:bCs/>
          <w:kern w:val="0"/>
          <w:sz w:val="24"/>
          <w:szCs w:val="24"/>
          <w:highlight w:val="none"/>
        </w:rPr>
        <w:t>工人工资支付分账</w:t>
      </w:r>
    </w:p>
    <w:p>
      <w:pPr>
        <w:spacing w:line="312" w:lineRule="auto"/>
        <w:ind w:firstLine="480" w:firstLineChars="200"/>
        <w:jc w:val="left"/>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详见附件三补充协议</w:t>
      </w:r>
    </w:p>
    <w:p>
      <w:pPr>
        <w:spacing w:line="360" w:lineRule="auto"/>
        <w:ind w:firstLine="0" w:firstLineChars="0"/>
        <w:jc w:val="both"/>
        <w:textAlignment w:val="baseline"/>
        <w:rPr>
          <w:rStyle w:val="43"/>
          <w:rFonts w:hint="eastAsia" w:ascii="宋体" w:hAnsi="宋体" w:eastAsia="宋体" w:cs="宋体"/>
          <w:b/>
          <w:bCs/>
          <w:color w:val="auto"/>
          <w:kern w:val="2"/>
          <w:sz w:val="24"/>
          <w:szCs w:val="24"/>
          <w:highlight w:val="none"/>
          <w:lang w:val="en-US" w:eastAsia="zh-CN" w:bidi="ar-SA"/>
        </w:rPr>
      </w:pPr>
      <w:bookmarkStart w:id="19" w:name="_Toc32707"/>
      <w:bookmarkStart w:id="20" w:name="_Toc30572"/>
      <w:r>
        <w:rPr>
          <w:rStyle w:val="43"/>
          <w:rFonts w:hint="eastAsia" w:ascii="宋体" w:hAnsi="宋体" w:eastAsia="宋体" w:cs="宋体"/>
          <w:b w:val="0"/>
          <w:bCs w:val="0"/>
          <w:color w:val="auto"/>
          <w:kern w:val="2"/>
          <w:sz w:val="24"/>
          <w:szCs w:val="24"/>
          <w:highlight w:val="none"/>
          <w:lang w:val="en-US" w:eastAsia="zh-CN" w:bidi="ar-SA"/>
        </w:rPr>
        <w:t>七</w:t>
      </w:r>
      <w:r>
        <w:rPr>
          <w:rStyle w:val="43"/>
          <w:rFonts w:hint="eastAsia" w:ascii="宋体" w:hAnsi="宋体" w:eastAsia="宋体" w:cs="宋体"/>
          <w:b/>
          <w:bCs/>
          <w:color w:val="auto"/>
          <w:kern w:val="2"/>
          <w:sz w:val="24"/>
          <w:szCs w:val="24"/>
          <w:highlight w:val="none"/>
          <w:lang w:val="en-US" w:eastAsia="zh-CN" w:bidi="ar-SA"/>
        </w:rPr>
        <w:t>、组成合同的文件</w:t>
      </w:r>
      <w:bookmarkEnd w:id="19"/>
      <w:bookmarkEnd w:id="20"/>
    </w:p>
    <w:p>
      <w:pPr>
        <w:spacing w:line="312" w:lineRule="auto"/>
        <w:ind w:left="2" w:firstLine="523" w:firstLineChars="218"/>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组成本合同的文件及优先解释顺序与本合同第三部分《专用条款》第2.2款赋予的规定一致。</w:t>
      </w:r>
    </w:p>
    <w:p>
      <w:pPr>
        <w:spacing w:line="360" w:lineRule="auto"/>
        <w:jc w:val="both"/>
        <w:textAlignment w:val="baseline"/>
        <w:rPr>
          <w:rStyle w:val="43"/>
          <w:rFonts w:hint="eastAsia" w:ascii="宋体" w:hAnsi="宋体" w:eastAsia="宋体" w:cs="宋体"/>
          <w:b/>
          <w:bCs/>
          <w:color w:val="auto"/>
          <w:kern w:val="2"/>
          <w:sz w:val="24"/>
          <w:szCs w:val="24"/>
          <w:highlight w:val="none"/>
          <w:lang w:val="en-US" w:eastAsia="zh-CN" w:bidi="ar-SA"/>
        </w:rPr>
      </w:pPr>
      <w:bookmarkStart w:id="21" w:name="_Toc30727"/>
      <w:bookmarkStart w:id="22" w:name="_Toc26366"/>
      <w:r>
        <w:rPr>
          <w:rStyle w:val="43"/>
          <w:rFonts w:hint="eastAsia" w:ascii="宋体" w:hAnsi="宋体" w:eastAsia="宋体" w:cs="宋体"/>
          <w:b w:val="0"/>
          <w:bCs w:val="0"/>
          <w:color w:val="auto"/>
          <w:kern w:val="2"/>
          <w:sz w:val="24"/>
          <w:szCs w:val="24"/>
          <w:highlight w:val="none"/>
          <w:lang w:val="en-US" w:eastAsia="zh-CN" w:bidi="ar-SA"/>
        </w:rPr>
        <w:t>八、</w:t>
      </w:r>
      <w:r>
        <w:rPr>
          <w:rStyle w:val="43"/>
          <w:rFonts w:hint="eastAsia" w:ascii="宋体" w:hAnsi="宋体" w:eastAsia="宋体" w:cs="宋体"/>
          <w:b/>
          <w:bCs/>
          <w:color w:val="auto"/>
          <w:kern w:val="2"/>
          <w:sz w:val="24"/>
          <w:szCs w:val="24"/>
          <w:highlight w:val="none"/>
          <w:lang w:val="en-US" w:eastAsia="zh-CN" w:bidi="ar-SA"/>
        </w:rPr>
        <w:t>词语含义</w:t>
      </w:r>
      <w:bookmarkEnd w:id="21"/>
      <w:bookmarkEnd w:id="22"/>
    </w:p>
    <w:p>
      <w:pPr>
        <w:spacing w:line="312" w:lineRule="auto"/>
        <w:ind w:left="2" w:firstLine="523" w:firstLineChars="218"/>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本协议书中有关词语含义与本合同第二部分《通用条款》中赋予它们的定义相同。</w:t>
      </w:r>
    </w:p>
    <w:p>
      <w:pPr>
        <w:spacing w:line="360" w:lineRule="auto"/>
        <w:jc w:val="both"/>
        <w:textAlignment w:val="baseline"/>
        <w:rPr>
          <w:rStyle w:val="43"/>
          <w:rFonts w:hint="eastAsia" w:ascii="宋体" w:hAnsi="宋体" w:eastAsia="宋体" w:cs="宋体"/>
          <w:b w:val="0"/>
          <w:bCs w:val="0"/>
          <w:color w:val="auto"/>
          <w:kern w:val="2"/>
          <w:sz w:val="24"/>
          <w:szCs w:val="24"/>
          <w:highlight w:val="none"/>
          <w:lang w:val="en-US" w:eastAsia="zh-CN" w:bidi="ar-SA"/>
        </w:rPr>
      </w:pPr>
      <w:bookmarkStart w:id="23" w:name="_Toc22996"/>
      <w:bookmarkStart w:id="24" w:name="_Toc15016"/>
      <w:r>
        <w:rPr>
          <w:rStyle w:val="43"/>
          <w:rFonts w:hint="eastAsia" w:ascii="宋体" w:hAnsi="宋体" w:eastAsia="宋体" w:cs="宋体"/>
          <w:b w:val="0"/>
          <w:bCs w:val="0"/>
          <w:color w:val="auto"/>
          <w:kern w:val="2"/>
          <w:sz w:val="24"/>
          <w:szCs w:val="24"/>
          <w:highlight w:val="none"/>
          <w:lang w:val="en-US" w:eastAsia="zh-CN" w:bidi="ar-SA"/>
        </w:rPr>
        <w:t>九、承包人承诺</w:t>
      </w:r>
      <w:bookmarkEnd w:id="23"/>
      <w:bookmarkEnd w:id="24"/>
    </w:p>
    <w:p>
      <w:pPr>
        <w:spacing w:line="312" w:lineRule="auto"/>
        <w:ind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承包人向发包人承诺按照合同约定完成采购、施工、竣工验收、移交、结算、管理及配合服务，并在质量保修期内承担工程质量保修责任。遵守发包人制订的符合国家和地方有关法律法规、规范和标准的规定的、为确保工程质量、进度、安全文明施工所必须的且并不针对某一特定承包人的各项管理制度、规定。</w:t>
      </w:r>
    </w:p>
    <w:p>
      <w:pPr>
        <w:spacing w:line="360" w:lineRule="auto"/>
        <w:jc w:val="both"/>
        <w:textAlignment w:val="baseline"/>
        <w:rPr>
          <w:rStyle w:val="43"/>
          <w:rFonts w:hint="eastAsia" w:ascii="宋体" w:hAnsi="宋体" w:eastAsia="宋体" w:cs="宋体"/>
          <w:b w:val="0"/>
          <w:bCs w:val="0"/>
          <w:color w:val="auto"/>
          <w:kern w:val="2"/>
          <w:sz w:val="24"/>
          <w:szCs w:val="24"/>
          <w:highlight w:val="none"/>
          <w:lang w:val="en-US" w:eastAsia="zh-CN" w:bidi="ar-SA"/>
        </w:rPr>
      </w:pPr>
      <w:bookmarkStart w:id="25" w:name="_Toc29661"/>
      <w:bookmarkStart w:id="26" w:name="_Toc19420"/>
      <w:r>
        <w:rPr>
          <w:rStyle w:val="43"/>
          <w:rFonts w:hint="eastAsia" w:ascii="宋体" w:hAnsi="宋体" w:eastAsia="宋体" w:cs="宋体"/>
          <w:b w:val="0"/>
          <w:bCs w:val="0"/>
          <w:color w:val="auto"/>
          <w:kern w:val="2"/>
          <w:sz w:val="24"/>
          <w:szCs w:val="24"/>
          <w:highlight w:val="none"/>
          <w:lang w:val="en-US" w:eastAsia="zh-CN" w:bidi="ar-SA"/>
        </w:rPr>
        <w:t>十、发包人承诺</w:t>
      </w:r>
      <w:bookmarkEnd w:id="25"/>
      <w:bookmarkEnd w:id="26"/>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发包人向承包人承诺已阅读、理解并接受本合同所有条款，按照本合同约定的时限和方法支付工程款及其他应当支付的款项，履行本合同所约定的全部义务。</w:t>
      </w:r>
    </w:p>
    <w:p>
      <w:pPr>
        <w:spacing w:line="360" w:lineRule="auto"/>
        <w:jc w:val="both"/>
        <w:textAlignment w:val="baseline"/>
        <w:rPr>
          <w:rStyle w:val="43"/>
          <w:rFonts w:hint="eastAsia" w:ascii="宋体" w:hAnsi="宋体" w:eastAsia="宋体" w:cs="宋体"/>
          <w:b w:val="0"/>
          <w:bCs w:val="0"/>
          <w:color w:val="auto"/>
          <w:kern w:val="2"/>
          <w:sz w:val="24"/>
          <w:szCs w:val="24"/>
          <w:highlight w:val="none"/>
          <w:lang w:val="en-US" w:eastAsia="zh-CN" w:bidi="ar-SA"/>
        </w:rPr>
      </w:pPr>
      <w:bookmarkStart w:id="27" w:name="_Toc31526"/>
      <w:bookmarkStart w:id="28" w:name="_Toc25943"/>
      <w:r>
        <w:rPr>
          <w:rStyle w:val="43"/>
          <w:rFonts w:hint="eastAsia" w:ascii="宋体" w:hAnsi="宋体" w:eastAsia="宋体" w:cs="宋体"/>
          <w:b w:val="0"/>
          <w:bCs w:val="0"/>
          <w:color w:val="auto"/>
          <w:kern w:val="2"/>
          <w:sz w:val="24"/>
          <w:szCs w:val="24"/>
          <w:highlight w:val="none"/>
          <w:lang w:val="en-US" w:eastAsia="zh-CN" w:bidi="ar-SA"/>
        </w:rPr>
        <w:t>十一、合同生效</w:t>
      </w:r>
      <w:bookmarkEnd w:id="27"/>
      <w:bookmarkEnd w:id="28"/>
    </w:p>
    <w:p>
      <w:pPr>
        <w:spacing w:line="312" w:lineRule="auto"/>
        <w:ind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本合同订立时间：</w:t>
      </w:r>
    </w:p>
    <w:p>
      <w:pPr>
        <w:spacing w:line="312" w:lineRule="auto"/>
        <w:ind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本合同订立地点：广州市天河区</w:t>
      </w:r>
    </w:p>
    <w:p>
      <w:pPr>
        <w:spacing w:line="312" w:lineRule="auto"/>
        <w:ind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发包人承包人约定本合同自双方签字盖章于</w:t>
      </w:r>
      <w:r>
        <w:rPr>
          <w:rStyle w:val="43"/>
          <w:rFonts w:hint="eastAsia" w:ascii="宋体" w:hAnsi="宋体" w:eastAsia="宋体" w:cs="宋体"/>
          <w:color w:val="auto"/>
          <w:kern w:val="2"/>
          <w:sz w:val="24"/>
          <w:szCs w:val="24"/>
          <w:highlight w:val="none"/>
          <w:u w:val="single"/>
          <w:lang w:val="en-US" w:eastAsia="zh-CN" w:bidi="ar-SA"/>
        </w:rPr>
        <w:t xml:space="preserve">     /      </w:t>
      </w:r>
      <w:r>
        <w:rPr>
          <w:rStyle w:val="43"/>
          <w:rFonts w:hint="eastAsia" w:ascii="宋体" w:hAnsi="宋体" w:eastAsia="宋体" w:cs="宋体"/>
          <w:color w:val="auto"/>
          <w:kern w:val="2"/>
          <w:sz w:val="24"/>
          <w:szCs w:val="24"/>
          <w:highlight w:val="none"/>
          <w:lang w:val="en-US" w:eastAsia="zh-CN" w:bidi="ar-SA"/>
        </w:rPr>
        <w:t>后生效。</w:t>
      </w:r>
    </w:p>
    <w:p>
      <w:pPr>
        <w:spacing w:line="360" w:lineRule="auto"/>
        <w:jc w:val="both"/>
        <w:textAlignment w:val="baseline"/>
        <w:rPr>
          <w:rStyle w:val="43"/>
          <w:rFonts w:hint="eastAsia" w:ascii="宋体" w:hAnsi="宋体" w:eastAsia="宋体" w:cs="宋体"/>
          <w:b/>
          <w:bCs/>
          <w:color w:val="auto"/>
          <w:kern w:val="2"/>
          <w:sz w:val="24"/>
          <w:szCs w:val="24"/>
          <w:highlight w:val="none"/>
          <w:lang w:val="en-US" w:eastAsia="zh-CN" w:bidi="ar-SA"/>
        </w:rPr>
      </w:pPr>
      <w:bookmarkStart w:id="29" w:name="_Toc7329"/>
      <w:bookmarkStart w:id="30" w:name="_Toc27136"/>
      <w:r>
        <w:rPr>
          <w:rStyle w:val="43"/>
          <w:rFonts w:hint="eastAsia" w:ascii="宋体" w:hAnsi="宋体" w:eastAsia="宋体" w:cs="宋体"/>
          <w:b w:val="0"/>
          <w:bCs/>
          <w:color w:val="auto"/>
          <w:kern w:val="2"/>
          <w:sz w:val="24"/>
          <w:szCs w:val="24"/>
          <w:highlight w:val="none"/>
          <w:lang w:val="en-US" w:eastAsia="zh-CN" w:bidi="ar-SA"/>
        </w:rPr>
        <w:t>十二</w:t>
      </w:r>
      <w:r>
        <w:rPr>
          <w:rStyle w:val="43"/>
          <w:rFonts w:hint="eastAsia" w:ascii="宋体" w:hAnsi="宋体" w:eastAsia="宋体" w:cs="宋体"/>
          <w:b/>
          <w:bCs/>
          <w:color w:val="auto"/>
          <w:kern w:val="2"/>
          <w:sz w:val="24"/>
          <w:szCs w:val="24"/>
          <w:highlight w:val="none"/>
          <w:lang w:val="en-US" w:eastAsia="zh-CN" w:bidi="ar-SA"/>
        </w:rPr>
        <w:t>、</w:t>
      </w:r>
      <w:r>
        <w:rPr>
          <w:rStyle w:val="43"/>
          <w:rFonts w:hint="eastAsia" w:ascii="宋体" w:hAnsi="宋体" w:eastAsia="宋体" w:cs="宋体"/>
          <w:b w:val="0"/>
          <w:bCs w:val="0"/>
          <w:color w:val="auto"/>
          <w:kern w:val="2"/>
          <w:sz w:val="24"/>
          <w:szCs w:val="24"/>
          <w:highlight w:val="none"/>
          <w:lang w:val="en-US" w:eastAsia="zh-CN" w:bidi="ar-SA"/>
        </w:rPr>
        <w:t>合同份数</w:t>
      </w:r>
      <w:bookmarkEnd w:id="29"/>
      <w:bookmarkEnd w:id="30"/>
    </w:p>
    <w:p>
      <w:pPr>
        <w:spacing w:line="360" w:lineRule="auto"/>
        <w:ind w:firstLine="480" w:firstLineChars="200"/>
        <w:jc w:val="left"/>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本合同一式</w:t>
      </w:r>
      <w:r>
        <w:rPr>
          <w:rStyle w:val="43"/>
          <w:rFonts w:hint="eastAsia" w:ascii="宋体" w:hAnsi="宋体" w:eastAsia="宋体" w:cs="宋体"/>
          <w:color w:val="auto"/>
          <w:kern w:val="2"/>
          <w:sz w:val="24"/>
          <w:szCs w:val="24"/>
          <w:highlight w:val="none"/>
          <w:u w:val="single"/>
          <w:lang w:val="en-US" w:eastAsia="zh-CN" w:bidi="ar-SA"/>
        </w:rPr>
        <w:t xml:space="preserve">    </w:t>
      </w:r>
      <w:r>
        <w:rPr>
          <w:rStyle w:val="43"/>
          <w:rFonts w:hint="eastAsia" w:ascii="宋体" w:hAnsi="宋体" w:eastAsia="宋体" w:cs="宋体"/>
          <w:color w:val="auto"/>
          <w:kern w:val="2"/>
          <w:sz w:val="24"/>
          <w:szCs w:val="24"/>
          <w:highlight w:val="none"/>
          <w:lang w:val="en-US" w:eastAsia="zh-CN" w:bidi="ar-SA"/>
        </w:rPr>
        <w:t>份，具有同等法律效力，其中甲方执</w:t>
      </w:r>
      <w:r>
        <w:rPr>
          <w:rStyle w:val="43"/>
          <w:rFonts w:hint="eastAsia" w:ascii="宋体" w:hAnsi="宋体" w:eastAsia="宋体" w:cs="宋体"/>
          <w:color w:val="auto"/>
          <w:kern w:val="2"/>
          <w:sz w:val="24"/>
          <w:szCs w:val="24"/>
          <w:highlight w:val="none"/>
          <w:u w:val="single"/>
          <w:lang w:val="en-US" w:eastAsia="zh-CN" w:bidi="ar-SA"/>
        </w:rPr>
        <w:t xml:space="preserve">  </w:t>
      </w:r>
      <w:r>
        <w:rPr>
          <w:rStyle w:val="43"/>
          <w:rFonts w:hint="eastAsia" w:ascii="宋体" w:hAnsi="宋体" w:eastAsia="宋体" w:cs="宋体"/>
          <w:color w:val="auto"/>
          <w:kern w:val="2"/>
          <w:sz w:val="24"/>
          <w:szCs w:val="24"/>
          <w:highlight w:val="none"/>
          <w:lang w:val="en-US" w:eastAsia="zh-CN" w:bidi="ar-SA"/>
        </w:rPr>
        <w:t>份，乙方执</w:t>
      </w:r>
      <w:r>
        <w:rPr>
          <w:rStyle w:val="43"/>
          <w:rFonts w:hint="eastAsia" w:ascii="宋体" w:hAnsi="宋体" w:eastAsia="宋体" w:cs="宋体"/>
          <w:color w:val="auto"/>
          <w:kern w:val="2"/>
          <w:sz w:val="24"/>
          <w:szCs w:val="24"/>
          <w:highlight w:val="none"/>
          <w:u w:val="single"/>
          <w:lang w:val="en-US" w:eastAsia="zh-CN" w:bidi="ar-SA"/>
        </w:rPr>
        <w:t xml:space="preserve">  </w:t>
      </w:r>
      <w:r>
        <w:rPr>
          <w:rStyle w:val="43"/>
          <w:rFonts w:hint="eastAsia" w:ascii="宋体" w:hAnsi="宋体" w:eastAsia="宋体" w:cs="宋体"/>
          <w:color w:val="auto"/>
          <w:kern w:val="2"/>
          <w:sz w:val="24"/>
          <w:szCs w:val="24"/>
          <w:highlight w:val="none"/>
          <w:lang w:val="en-US" w:eastAsia="zh-CN" w:bidi="ar-SA"/>
        </w:rPr>
        <w:t>份。</w:t>
      </w:r>
    </w:p>
    <w:p>
      <w:pPr>
        <w:jc w:val="center"/>
        <w:textAlignment w:val="baseline"/>
        <w:rPr>
          <w:rStyle w:val="43"/>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z w:val="24"/>
          <w:szCs w:val="24"/>
        </w:rPr>
        <w:t>（以下无正文）</w:t>
      </w:r>
    </w:p>
    <w:p>
      <w:pPr>
        <w:pStyle w:val="3"/>
        <w:outlineLvl w:val="9"/>
        <w:rPr>
          <w:rFonts w:hint="eastAsia" w:ascii="宋体" w:hAnsi="宋体" w:eastAsia="宋体" w:cs="宋体"/>
          <w:lang w:val="en-US" w:eastAsia="zh-CN"/>
        </w:rPr>
      </w:pPr>
    </w:p>
    <w:p>
      <w:pPr>
        <w:spacing w:line="360" w:lineRule="auto"/>
        <w:ind w:left="6720" w:hanging="6720" w:hangingChars="28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发包人：广州市天河区珠村小学             承包人：</w:t>
      </w:r>
    </w:p>
    <w:p>
      <w:pPr>
        <w:spacing w:line="360" w:lineRule="auto"/>
        <w:ind w:firstLine="1200" w:firstLineChars="5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 xml:space="preserve">                                  </w:t>
      </w:r>
    </w:p>
    <w:p>
      <w:pPr>
        <w:spacing w:line="360" w:lineRule="auto"/>
        <w:ind w:left="6120" w:hanging="6120" w:hangingChars="255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地址：广州市天河区东横一路1号             地址：</w:t>
      </w:r>
    </w:p>
    <w:p>
      <w:pPr>
        <w:spacing w:line="360" w:lineRule="auto"/>
        <w:ind w:left="6120" w:hanging="6120" w:hangingChars="255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法定代表人：                               法定代表人：</w:t>
      </w:r>
    </w:p>
    <w:p>
      <w:pPr>
        <w:tabs>
          <w:tab w:val="left" w:pos="525"/>
          <w:tab w:val="left" w:pos="1155"/>
        </w:tabs>
        <w:spacing w:line="360" w:lineRule="auto"/>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委托代理人：                               委托代理人：</w:t>
      </w:r>
    </w:p>
    <w:p>
      <w:pPr>
        <w:tabs>
          <w:tab w:val="left" w:pos="525"/>
          <w:tab w:val="left" w:pos="1155"/>
        </w:tabs>
        <w:spacing w:line="360" w:lineRule="auto"/>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电话：                                     电话</w:t>
      </w:r>
    </w:p>
    <w:p>
      <w:pPr>
        <w:tabs>
          <w:tab w:val="left" w:pos="525"/>
          <w:tab w:val="left" w:pos="1155"/>
        </w:tabs>
        <w:spacing w:line="360" w:lineRule="auto"/>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传真：                                     传真：</w:t>
      </w:r>
    </w:p>
    <w:p>
      <w:pPr>
        <w:tabs>
          <w:tab w:val="left" w:pos="525"/>
          <w:tab w:val="left" w:pos="1155"/>
        </w:tabs>
        <w:spacing w:line="360" w:lineRule="auto"/>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开户银行：</w:t>
      </w:r>
      <w:r>
        <w:rPr>
          <w:rStyle w:val="43"/>
          <w:rFonts w:hint="eastAsia" w:ascii="宋体" w:hAnsi="宋体" w:eastAsia="宋体" w:cs="宋体"/>
          <w:color w:val="auto"/>
          <w:kern w:val="0"/>
          <w:sz w:val="24"/>
          <w:szCs w:val="24"/>
          <w:highlight w:val="none"/>
          <w:lang w:val="en-US" w:eastAsia="zh-CN" w:bidi="ar-SA"/>
        </w:rPr>
        <w:t xml:space="preserve">                </w:t>
      </w:r>
      <w:r>
        <w:rPr>
          <w:rStyle w:val="43"/>
          <w:rFonts w:hint="eastAsia" w:ascii="宋体" w:hAnsi="宋体" w:eastAsia="宋体" w:cs="宋体"/>
          <w:color w:val="auto"/>
          <w:kern w:val="2"/>
          <w:sz w:val="24"/>
          <w:szCs w:val="24"/>
          <w:highlight w:val="none"/>
          <w:lang w:val="en-US" w:eastAsia="zh-CN" w:bidi="ar-SA"/>
        </w:rPr>
        <w:t xml:space="preserve">                 开户银行：</w:t>
      </w:r>
    </w:p>
    <w:p>
      <w:pPr>
        <w:tabs>
          <w:tab w:val="left" w:pos="525"/>
          <w:tab w:val="left" w:pos="1155"/>
          <w:tab w:val="left" w:pos="6090"/>
        </w:tabs>
        <w:spacing w:line="360" w:lineRule="auto"/>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帐号：</w:t>
      </w:r>
      <w:r>
        <w:rPr>
          <w:rStyle w:val="43"/>
          <w:rFonts w:hint="eastAsia" w:ascii="宋体" w:hAnsi="宋体" w:eastAsia="宋体" w:cs="宋体"/>
          <w:color w:val="auto"/>
          <w:kern w:val="0"/>
          <w:sz w:val="24"/>
          <w:szCs w:val="24"/>
          <w:highlight w:val="none"/>
          <w:lang w:val="en-US" w:eastAsia="zh-CN" w:bidi="ar-SA"/>
        </w:rPr>
        <w:t xml:space="preserve">                     </w:t>
      </w:r>
      <w:r>
        <w:rPr>
          <w:rStyle w:val="43"/>
          <w:rFonts w:hint="eastAsia" w:ascii="宋体" w:hAnsi="宋体" w:eastAsia="宋体" w:cs="宋体"/>
          <w:color w:val="auto"/>
          <w:kern w:val="2"/>
          <w:sz w:val="24"/>
          <w:szCs w:val="24"/>
          <w:highlight w:val="none"/>
          <w:lang w:val="en-US" w:eastAsia="zh-CN" w:bidi="ar-SA"/>
        </w:rPr>
        <w:t xml:space="preserve">                帐号：</w:t>
      </w:r>
    </w:p>
    <w:p>
      <w:pPr>
        <w:tabs>
          <w:tab w:val="left" w:pos="525"/>
          <w:tab w:val="left" w:pos="1155"/>
        </w:tabs>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邮政编码：                                 邮政编码：</w:t>
      </w:r>
    </w:p>
    <w:p>
      <w:pPr>
        <w:tabs>
          <w:tab w:val="left" w:pos="525"/>
          <w:tab w:val="left" w:pos="1155"/>
        </w:tabs>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电子邮箱:                                  电子邮箱:</w:t>
      </w:r>
    </w:p>
    <w:p>
      <w:pPr>
        <w:pStyle w:val="3"/>
        <w:spacing w:line="312" w:lineRule="auto"/>
        <w:jc w:val="center"/>
        <w:rPr>
          <w:rFonts w:hint="eastAsia" w:ascii="宋体" w:hAnsi="宋体" w:eastAsia="宋体" w:cs="宋体"/>
          <w:sz w:val="36"/>
          <w:szCs w:val="36"/>
          <w:highlight w:val="none"/>
        </w:rPr>
      </w:pPr>
      <w:r>
        <w:rPr>
          <w:rStyle w:val="43"/>
          <w:rFonts w:hint="eastAsia" w:ascii="宋体" w:hAnsi="宋体" w:eastAsia="宋体" w:cs="宋体"/>
          <w:color w:val="auto"/>
          <w:kern w:val="2"/>
          <w:szCs w:val="22"/>
          <w:highlight w:val="none"/>
          <w:lang w:val="en-US" w:eastAsia="zh-CN" w:bidi="ar-SA"/>
        </w:rPr>
        <w:br w:type="page"/>
      </w:r>
      <w:bookmarkStart w:id="31" w:name="_Toc26720"/>
      <w:bookmarkStart w:id="32" w:name="_Toc22027"/>
      <w:bookmarkStart w:id="33" w:name="_Toc30464"/>
      <w:bookmarkStart w:id="34" w:name="_Toc13381"/>
      <w:bookmarkStart w:id="35" w:name="_Toc4827"/>
      <w:r>
        <w:rPr>
          <w:rFonts w:hint="eastAsia" w:ascii="宋体" w:hAnsi="宋体" w:eastAsia="宋体" w:cs="宋体"/>
          <w:sz w:val="36"/>
          <w:szCs w:val="36"/>
          <w:highlight w:val="none"/>
        </w:rPr>
        <w:t>第二部分通用条款</w:t>
      </w:r>
      <w:bookmarkEnd w:id="31"/>
      <w:bookmarkEnd w:id="32"/>
      <w:bookmarkEnd w:id="33"/>
      <w:bookmarkEnd w:id="34"/>
      <w:bookmarkEnd w:id="35"/>
    </w:p>
    <w:p>
      <w:pPr>
        <w:pStyle w:val="377"/>
        <w:spacing w:line="312" w:lineRule="auto"/>
        <w:ind w:firstLine="392" w:firstLineChars="196"/>
        <w:rPr>
          <w:rFonts w:hint="eastAsia" w:ascii="宋体" w:hAnsi="宋体" w:eastAsia="宋体" w:cs="宋体"/>
          <w:sz w:val="24"/>
          <w:szCs w:val="24"/>
          <w:highlight w:val="none"/>
        </w:rPr>
      </w:pPr>
      <w:r>
        <w:rPr>
          <w:rFonts w:hint="eastAsia" w:ascii="宋体" w:hAnsi="宋体" w:eastAsia="宋体" w:cs="宋体"/>
          <w:highlight w:val="none"/>
        </w:rPr>
        <w:t>按</w:t>
      </w:r>
      <w:r>
        <w:rPr>
          <w:rFonts w:hint="eastAsia" w:ascii="宋体" w:hAnsi="宋体" w:eastAsia="宋体" w:cs="宋体"/>
          <w:sz w:val="24"/>
          <w:szCs w:val="24"/>
          <w:highlight w:val="none"/>
        </w:rPr>
        <w:t>《广州市建设工程施工合同》（SF-2019-0204）</w:t>
      </w:r>
      <w:r>
        <w:rPr>
          <w:rFonts w:hint="eastAsia" w:ascii="宋体" w:hAnsi="宋体" w:eastAsia="宋体" w:cs="宋体"/>
          <w:highlight w:val="none"/>
        </w:rPr>
        <w:t>第二部分通用条款执行</w:t>
      </w:r>
    </w:p>
    <w:p>
      <w:pPr>
        <w:pStyle w:val="11"/>
        <w:adjustRightInd w:val="0"/>
        <w:snapToGrid w:val="0"/>
        <w:spacing w:line="480" w:lineRule="auto"/>
        <w:jc w:val="left"/>
        <w:rPr>
          <w:rFonts w:hint="eastAsia" w:ascii="宋体" w:hAnsi="宋体" w:eastAsia="宋体" w:cs="宋体"/>
          <w:b/>
          <w:bCs/>
          <w:color w:val="000000"/>
          <w:sz w:val="24"/>
          <w:szCs w:val="24"/>
          <w:highlight w:val="none"/>
          <w:u w:val="single"/>
        </w:rPr>
      </w:pPr>
      <w:bookmarkStart w:id="36" w:name="_Toc286348696"/>
      <w:r>
        <w:rPr>
          <w:rFonts w:hint="eastAsia" w:ascii="宋体" w:hAnsi="宋体" w:eastAsia="宋体" w:cs="宋体"/>
          <w:b/>
          <w:bCs/>
          <w:color w:val="000000"/>
          <w:sz w:val="24"/>
          <w:szCs w:val="24"/>
          <w:highlight w:val="none"/>
          <w:u w:val="single"/>
        </w:rPr>
        <w:t xml:space="preserve">                                                                                                                                                              </w:t>
      </w:r>
    </w:p>
    <w:p>
      <w:pPr>
        <w:rPr>
          <w:rFonts w:hint="eastAsia" w:ascii="宋体" w:hAnsi="宋体" w:eastAsia="宋体" w:cs="宋体"/>
          <w:b/>
          <w:bCs/>
          <w:kern w:val="0"/>
          <w:sz w:val="36"/>
          <w:szCs w:val="36"/>
          <w:highlight w:val="none"/>
        </w:rPr>
      </w:pPr>
    </w:p>
    <w:p>
      <w:pPr>
        <w:rPr>
          <w:rFonts w:hint="eastAsia" w:ascii="宋体" w:hAnsi="宋体" w:eastAsia="宋体" w:cs="宋体"/>
          <w:b/>
          <w:bCs/>
          <w:kern w:val="0"/>
          <w:sz w:val="36"/>
          <w:szCs w:val="36"/>
          <w:highlight w:val="none"/>
        </w:rPr>
      </w:pPr>
    </w:p>
    <w:bookmarkEnd w:id="36"/>
    <w:p>
      <w:pPr>
        <w:pStyle w:val="3"/>
        <w:widowControl/>
        <w:spacing w:after="0" w:line="312" w:lineRule="auto"/>
        <w:ind w:firstLine="240"/>
        <w:jc w:val="center"/>
        <w:textAlignment w:val="baseline"/>
        <w:rPr>
          <w:rStyle w:val="25"/>
          <w:rFonts w:hint="eastAsia" w:ascii="宋体" w:hAnsi="宋体" w:eastAsia="宋体" w:cs="宋体"/>
          <w:b w:val="0"/>
          <w:bCs w:val="0"/>
          <w:color w:val="auto"/>
          <w:sz w:val="36"/>
          <w:szCs w:val="20"/>
          <w:highlight w:val="none"/>
        </w:rPr>
      </w:pPr>
      <w:r>
        <w:rPr>
          <w:rStyle w:val="43"/>
          <w:rFonts w:hint="eastAsia" w:ascii="宋体" w:hAnsi="宋体" w:eastAsia="宋体" w:cs="宋体"/>
          <w:color w:val="auto"/>
          <w:szCs w:val="24"/>
          <w:highlight w:val="none"/>
        </w:rPr>
        <w:br w:type="page"/>
      </w:r>
      <w:bookmarkStart w:id="37" w:name="_Toc30867"/>
      <w:bookmarkStart w:id="38" w:name="_Toc12276"/>
      <w:bookmarkStart w:id="39" w:name="_Toc1399"/>
      <w:bookmarkStart w:id="40" w:name="_Toc6872"/>
      <w:bookmarkStart w:id="41" w:name="_Toc12232"/>
      <w:r>
        <w:rPr>
          <w:rStyle w:val="25"/>
          <w:rFonts w:hint="eastAsia" w:ascii="宋体" w:hAnsi="宋体" w:eastAsia="宋体" w:cs="宋体"/>
          <w:color w:val="auto"/>
          <w:sz w:val="36"/>
          <w:szCs w:val="20"/>
          <w:highlight w:val="none"/>
        </w:rPr>
        <w:t>第三部分专用条款</w:t>
      </w:r>
      <w:bookmarkEnd w:id="37"/>
      <w:bookmarkEnd w:id="38"/>
      <w:bookmarkEnd w:id="39"/>
      <w:bookmarkEnd w:id="40"/>
      <w:bookmarkEnd w:id="41"/>
    </w:p>
    <w:p>
      <w:pPr>
        <w:pStyle w:val="11"/>
        <w:tabs>
          <w:tab w:val="left" w:pos="540"/>
        </w:tabs>
        <w:adjustRightInd w:val="0"/>
        <w:snapToGrid w:val="0"/>
        <w:spacing w:before="240" w:beforeLines="100" w:line="360" w:lineRule="auto"/>
        <w:jc w:val="both"/>
        <w:textAlignment w:val="baseline"/>
        <w:outlineLvl w:val="2"/>
        <w:rPr>
          <w:rStyle w:val="25"/>
          <w:rFonts w:hint="eastAsia" w:ascii="宋体" w:hAnsi="宋体" w:eastAsia="宋体" w:cs="宋体"/>
          <w:b/>
          <w:bCs/>
          <w:color w:val="000000"/>
          <w:kern w:val="2"/>
          <w:sz w:val="24"/>
          <w:szCs w:val="24"/>
          <w:highlight w:val="none"/>
          <w:lang w:val="en-US" w:eastAsia="zh-CN" w:bidi="ar-SA"/>
        </w:rPr>
      </w:pPr>
      <w:bookmarkStart w:id="42" w:name="_Toc31352"/>
      <w:bookmarkStart w:id="43" w:name="_Toc9157"/>
      <w:bookmarkStart w:id="44" w:name="_Toc8028"/>
      <w:bookmarkStart w:id="45" w:name="_Toc15013"/>
      <w:r>
        <w:rPr>
          <w:rStyle w:val="25"/>
          <w:rFonts w:hint="eastAsia" w:ascii="宋体" w:hAnsi="宋体" w:eastAsia="宋体" w:cs="宋体"/>
          <w:b/>
          <w:bCs/>
          <w:color w:val="000000"/>
          <w:kern w:val="2"/>
          <w:sz w:val="24"/>
          <w:szCs w:val="24"/>
          <w:highlight w:val="none"/>
          <w:lang w:val="en-US" w:eastAsia="zh-CN" w:bidi="ar-SA"/>
        </w:rPr>
        <w:t>1 定义</w:t>
      </w:r>
      <w:bookmarkEnd w:id="42"/>
      <w:bookmarkEnd w:id="43"/>
      <w:bookmarkEnd w:id="44"/>
      <w:bookmarkEnd w:id="45"/>
    </w:p>
    <w:p>
      <w:pPr>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1.10 发包人</w:t>
      </w:r>
    </w:p>
    <w:p>
      <w:pPr>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（1）发包人：在本合同中指广州市天河区珠村小学。</w:t>
      </w:r>
    </w:p>
    <w:p>
      <w:pPr>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（2）发包人的合法继承人：指工程竣工验收合格后，发包人依据政府部门的规定，将该工程移交给其承接使用的产权管理单位。在继承生效后，合法继承人享有发包人在本合同中的一切权利及承担相应的义务。</w:t>
      </w:r>
    </w:p>
    <w:p>
      <w:pPr>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1.22 合同工期：指合同双方当事人在协议书中约定，按照总日历天数（包括法定节假日）计算的从开始实施到完成合同工程的天数。</w:t>
      </w:r>
    </w:p>
    <w:p>
      <w:pPr>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节点工期：指在经发包人和监理工程师批准的施工组织设计或者工程工期网络计划中载明的承包人按总日历天数（包括法定节假日）计算完成某一阶段或某一工序的天数。按工期网络计划的一般线路和关键线路分为一般节点工期和关键节点工期。</w:t>
      </w:r>
    </w:p>
    <w:p>
      <w:pPr>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1.53  所采用的书面形式包括：</w:t>
      </w:r>
    </w:p>
    <w:p>
      <w:pPr>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√文书；</w:t>
      </w:r>
    </w:p>
    <w:p>
      <w:pPr>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×信件；</w:t>
      </w:r>
    </w:p>
    <w:p>
      <w:pPr>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×电报；</w:t>
      </w:r>
    </w:p>
    <w:p>
      <w:pPr>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×传真；</w:t>
      </w:r>
    </w:p>
    <w:p>
      <w:pPr>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×电子邮件；</w:t>
      </w:r>
    </w:p>
    <w:p>
      <w:pPr>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×其他：</w:t>
      </w:r>
    </w:p>
    <w:p>
      <w:pPr>
        <w:pStyle w:val="11"/>
        <w:tabs>
          <w:tab w:val="left" w:pos="1202"/>
        </w:tabs>
        <w:spacing w:line="360" w:lineRule="auto"/>
        <w:rPr>
          <w:rStyle w:val="25"/>
          <w:rFonts w:hint="eastAsia" w:ascii="宋体" w:hAnsi="宋体" w:eastAsia="宋体" w:cs="宋体"/>
          <w:b w:val="0"/>
          <w:bCs/>
          <w:color w:val="000000"/>
          <w:kern w:val="2"/>
          <w:sz w:val="20"/>
          <w:szCs w:val="24"/>
          <w:highlight w:val="none"/>
          <w:lang w:val="en-US" w:eastAsia="zh-CN" w:bidi="ar-SA"/>
        </w:rPr>
      </w:pPr>
      <w:bookmarkStart w:id="46" w:name="_Toc32305"/>
      <w:bookmarkStart w:id="47" w:name="_Toc31390"/>
      <w:r>
        <w:rPr>
          <w:rStyle w:val="25"/>
          <w:rFonts w:hint="eastAsia" w:ascii="宋体" w:hAnsi="宋体" w:eastAsia="宋体" w:cs="宋体"/>
          <w:b/>
          <w:bCs/>
          <w:color w:val="000000"/>
          <w:kern w:val="2"/>
          <w:sz w:val="24"/>
          <w:szCs w:val="24"/>
          <w:highlight w:val="none"/>
          <w:lang w:val="en-US" w:eastAsia="zh-CN" w:bidi="ar-SA"/>
        </w:rPr>
        <w:t>2 合同文件及解释</w:t>
      </w:r>
      <w:bookmarkEnd w:id="46"/>
      <w:bookmarkEnd w:id="47"/>
    </w:p>
    <w:p>
      <w:pPr>
        <w:pStyle w:val="11"/>
        <w:tabs>
          <w:tab w:val="left" w:pos="1202"/>
        </w:tabs>
        <w:spacing w:line="360" w:lineRule="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 xml:space="preserve">2.1                                                                                 </w:t>
      </w:r>
    </w:p>
    <w:p>
      <w:pPr>
        <w:pStyle w:val="11"/>
        <w:tabs>
          <w:tab w:val="left" w:pos="1202"/>
          <w:tab w:val="left" w:pos="1620"/>
          <w:tab w:val="left" w:pos="1800"/>
          <w:tab w:val="left" w:pos="2160"/>
        </w:tabs>
        <w:spacing w:line="360" w:lineRule="auto"/>
        <w:ind w:firstLine="1459" w:firstLineChars="695"/>
        <w:rPr>
          <w:rFonts w:hint="eastAsia" w:ascii="宋体" w:hAnsi="宋体" w:eastAsia="宋体" w:cs="宋体"/>
          <w:color w:val="000000"/>
          <w:sz w:val="24"/>
          <w:szCs w:val="24"/>
          <w:highlight w:val="none"/>
        </w:rPr>
      </w:pPr>
      <w:r>
        <w:rPr>
          <w:rFonts w:hint="eastAsia" w:ascii="宋体" w:hAnsi="宋体" w:eastAsia="宋体" w:cs="宋体"/>
          <w:highlight w:val="none"/>
        </w:rPr>
        <mc:AlternateContent>
          <mc:Choice Requires="wps">
            <w:drawing>
              <wp:anchor distT="0" distB="0" distL="114300" distR="114300" simplePos="0" relativeHeight="251664384" behindDoc="0" locked="0" layoutInCell="1" allowOverlap="1">
                <wp:simplePos x="0" y="0"/>
                <wp:positionH relativeFrom="column">
                  <wp:posOffset>-114300</wp:posOffset>
                </wp:positionH>
                <wp:positionV relativeFrom="paragraph">
                  <wp:posOffset>20955</wp:posOffset>
                </wp:positionV>
                <wp:extent cx="800100" cy="297180"/>
                <wp:effectExtent l="0" t="0" r="7620" b="7620"/>
                <wp:wrapNone/>
                <wp:docPr id="822" name="文本框 822"/>
                <wp:cNvGraphicFramePr/>
                <a:graphic xmlns:a="http://schemas.openxmlformats.org/drawingml/2006/main">
                  <a:graphicData uri="http://schemas.microsoft.com/office/word/2010/wordprocessingShape">
                    <wps:wsp>
                      <wps:cNvSpPr txBox="1"/>
                      <wps:spPr>
                        <a:xfrm>
                          <a:off x="0" y="0"/>
                          <a:ext cx="800100" cy="297180"/>
                        </a:xfrm>
                        <a:prstGeom prst="rect">
                          <a:avLst/>
                        </a:prstGeom>
                        <a:solidFill>
                          <a:srgbClr val="FFFFFF"/>
                        </a:solidFill>
                        <a:ln>
                          <a:noFill/>
                        </a:ln>
                      </wps:spPr>
                      <wps:txbx>
                        <w:txbxContent>
                          <w:p>
                            <w:pPr>
                              <w:rPr>
                                <w:rFonts w:ascii="楷体_GB2312" w:hAnsi="宋体" w:eastAsia="楷体_GB2312" w:cs="Times New Roman"/>
                              </w:rPr>
                            </w:pPr>
                            <w:r>
                              <w:rPr>
                                <w:rFonts w:hint="eastAsia" w:ascii="楷体_GB2312" w:hAnsi="宋体" w:eastAsia="楷体_GB2312" w:cs="楷体_GB2312"/>
                                <w:b/>
                                <w:bCs/>
                                <w:color w:val="000000"/>
                                <w:sz w:val="18"/>
                                <w:szCs w:val="18"/>
                              </w:rPr>
                              <w:t>标题和旁注</w:t>
                            </w:r>
                          </w:p>
                        </w:txbxContent>
                      </wps:txbx>
                      <wps:bodyPr upright="1"/>
                    </wps:wsp>
                  </a:graphicData>
                </a:graphic>
              </wp:anchor>
            </w:drawing>
          </mc:Choice>
          <mc:Fallback>
            <w:pict>
              <v:shape id="_x0000_s1026" o:spid="_x0000_s1026" o:spt="202" type="#_x0000_t202" style="position:absolute;left:0pt;margin-left:-9pt;margin-top:1.65pt;height:23.4pt;width:63pt;z-index:251664384;mso-width-relative:page;mso-height-relative:page;" fillcolor="#FFFFFF" filled="t" stroked="f" coordsize="21600,21600" o:gfxdata="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mWItr1QAAAAgBAAAPAAAAAAAAAAEAIAAAACIAAABkcnMvZG93bnJldi54bWxQ&#10;SwECFAAUAAAACACHTuJAuE38/cEBAAB6AwAADgAAAAAAAAABACAAAAAkAQAAZHJzL2Uyb0RvYy54&#10;bWxQSwUGAAAAAAYABgBZAQAAVwUAAAAA&#10;">
                <v:fill on="t" focussize="0,0"/>
                <v:stroke on="f"/>
                <v:imagedata o:title=""/>
                <o:lock v:ext="edit" aspectratio="f"/>
                <v:textbox>
                  <w:txbxContent>
                    <w:p>
                      <w:pPr>
                        <w:rPr>
                          <w:rFonts w:ascii="楷体_GB2312" w:hAnsi="宋体" w:eastAsia="楷体_GB2312" w:cs="Times New Roman"/>
                        </w:rPr>
                      </w:pPr>
                      <w:r>
                        <w:rPr>
                          <w:rFonts w:hint="eastAsia" w:ascii="楷体_GB2312" w:hAnsi="宋体" w:eastAsia="楷体_GB2312" w:cs="楷体_GB2312"/>
                          <w:b/>
                          <w:bCs/>
                          <w:color w:val="000000"/>
                          <w:sz w:val="18"/>
                          <w:szCs w:val="18"/>
                        </w:rPr>
                        <w:t>标题和旁注</w:t>
                      </w:r>
                    </w:p>
                  </w:txbxContent>
                </v:textbox>
              </v:shape>
            </w:pict>
          </mc:Fallback>
        </mc:AlternateContent>
      </w:r>
      <w:r>
        <w:rPr>
          <w:rFonts w:hint="eastAsia" w:ascii="宋体" w:hAnsi="宋体" w:eastAsia="宋体" w:cs="宋体"/>
          <w:b/>
          <w:bCs/>
          <w:color w:val="000000"/>
          <w:sz w:val="24"/>
          <w:szCs w:val="24"/>
          <w:highlight w:val="none"/>
        </w:rPr>
        <w:t xml:space="preserve"> </w:t>
      </w:r>
      <w:r>
        <w:rPr>
          <w:rFonts w:hint="eastAsia" w:ascii="宋体" w:hAnsi="宋体" w:eastAsia="宋体" w:cs="宋体"/>
          <w:color w:val="000000"/>
          <w:sz w:val="24"/>
          <w:szCs w:val="24"/>
          <w:highlight w:val="none"/>
        </w:rPr>
        <w:t>本合同条款的标题和旁注不构成合同的组成部分。</w:t>
      </w:r>
    </w:p>
    <w:p>
      <w:pPr>
        <w:rPr>
          <w:rFonts w:hint="eastAsia" w:ascii="宋体" w:hAnsi="宋体" w:eastAsia="宋体" w:cs="宋体"/>
          <w:highlight w:val="none"/>
        </w:rPr>
      </w:pPr>
      <w:r>
        <w:rPr>
          <w:rFonts w:hint="eastAsia" w:ascii="宋体" w:hAnsi="宋体" w:eastAsia="宋体" w:cs="宋体"/>
          <w:sz w:val="24"/>
          <w:szCs w:val="24"/>
          <w:highlight w:val="none"/>
        </w:rPr>
        <w:t>2.2</w:t>
      </w:r>
    </w:p>
    <w:p>
      <w:pPr>
        <w:pStyle w:val="11"/>
        <w:tabs>
          <w:tab w:val="left" w:pos="1320"/>
        </w:tabs>
        <w:spacing w:line="360" w:lineRule="auto"/>
        <w:ind w:left="1619" w:leftChars="771"/>
        <w:rPr>
          <w:rFonts w:hint="eastAsia" w:ascii="宋体" w:hAnsi="宋体" w:eastAsia="宋体" w:cs="宋体"/>
          <w:color w:val="000000"/>
          <w:sz w:val="24"/>
          <w:szCs w:val="24"/>
          <w:highlight w:val="none"/>
        </w:rPr>
      </w:pPr>
      <w:r>
        <w:rPr>
          <w:rFonts w:hint="eastAsia" w:ascii="宋体" w:hAnsi="宋体" w:eastAsia="宋体" w:cs="宋体"/>
          <w:highlight w:val="none"/>
        </w:rPr>
        <mc:AlternateContent>
          <mc:Choice Requires="wps">
            <w:drawing>
              <wp:anchor distT="0" distB="0" distL="114300" distR="114300" simplePos="0" relativeHeight="251665408" behindDoc="0" locked="0" layoutInCell="1" allowOverlap="1">
                <wp:simplePos x="0" y="0"/>
                <wp:positionH relativeFrom="column">
                  <wp:posOffset>-114300</wp:posOffset>
                </wp:positionH>
                <wp:positionV relativeFrom="paragraph">
                  <wp:posOffset>67310</wp:posOffset>
                </wp:positionV>
                <wp:extent cx="914400" cy="527050"/>
                <wp:effectExtent l="0" t="0" r="0" b="0"/>
                <wp:wrapNone/>
                <wp:docPr id="823" name="文本框 823"/>
                <wp:cNvGraphicFramePr/>
                <a:graphic xmlns:a="http://schemas.openxmlformats.org/drawingml/2006/main">
                  <a:graphicData uri="http://schemas.microsoft.com/office/word/2010/wordprocessingShape">
                    <wps:wsp>
                      <wps:cNvSpPr txBox="1"/>
                      <wps:spPr>
                        <a:xfrm>
                          <a:off x="0" y="0"/>
                          <a:ext cx="914400" cy="52705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合同文件组成及优先顺序</w:t>
                            </w:r>
                          </w:p>
                        </w:txbxContent>
                      </wps:txbx>
                      <wps:bodyPr upright="1"/>
                    </wps:wsp>
                  </a:graphicData>
                </a:graphic>
              </wp:anchor>
            </w:drawing>
          </mc:Choice>
          <mc:Fallback>
            <w:pict>
              <v:shape id="_x0000_s1026" o:spid="_x0000_s1026" o:spt="202" type="#_x0000_t202" style="position:absolute;left:0pt;margin-left:-9pt;margin-top:5.3pt;height:41.5pt;width:72pt;z-index:251665408;mso-width-relative:page;mso-height-relative:page;" filled="f" stroked="f" coordsize="21600,21600" o:gfxdata="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GIQFTvW&#10;AAAACQEAAA8AAAAAAAAAAQAgAAAAIgAAAGRycy9kb3ducmV2LnhtbFBLAQIUABQAAAAIAIdO4kCg&#10;oASMsAEAAFEDAAAOAAAAAAAAAAEAIAAAACUBAABkcnMvZTJvRG9jLnhtbFBLBQYAAAAABgAGAFkB&#10;AABHBQ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合同文件组成及优先顺序</w:t>
                      </w:r>
                    </w:p>
                  </w:txbxContent>
                </v:textbox>
              </v:shape>
            </w:pict>
          </mc:Fallback>
        </mc:AlternateContent>
      </w:r>
      <w:r>
        <w:rPr>
          <w:rFonts w:hint="eastAsia" w:ascii="宋体" w:hAnsi="宋体" w:eastAsia="宋体" w:cs="宋体"/>
          <w:color w:val="000000"/>
          <w:sz w:val="24"/>
          <w:szCs w:val="24"/>
          <w:highlight w:val="none"/>
        </w:rPr>
        <w:t>下列组成本合同的文件是一个合同整体，彼此应当能相互解释，互为说明。当出现相互矛盾时，组成本合同文件的优先解释顺序如下：</w:t>
      </w:r>
    </w:p>
    <w:p>
      <w:pPr>
        <w:spacing w:line="312"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（1）本合同履行期间发包人与承包人双方签订的补充合同（协议）或修正文件；</w:t>
      </w:r>
    </w:p>
    <w:p>
      <w:pPr>
        <w:pStyle w:val="11"/>
        <w:numPr>
          <w:ilvl w:val="-1"/>
          <w:numId w:val="0"/>
        </w:numPr>
        <w:tabs>
          <w:tab w:val="left" w:pos="1620"/>
        </w:tabs>
        <w:spacing w:line="360" w:lineRule="auto"/>
        <w:ind w:lef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协议书；</w:t>
      </w:r>
    </w:p>
    <w:p>
      <w:pPr>
        <w:pStyle w:val="11"/>
        <w:numPr>
          <w:ilvl w:val="-1"/>
          <w:numId w:val="0"/>
        </w:numPr>
        <w:spacing w:line="360" w:lineRule="auto"/>
        <w:ind w:lef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中标通知书（适用于招标工程）；</w:t>
      </w:r>
    </w:p>
    <w:p>
      <w:pPr>
        <w:pStyle w:val="11"/>
        <w:numPr>
          <w:ilvl w:val="-1"/>
          <w:numId w:val="0"/>
        </w:numPr>
        <w:tabs>
          <w:tab w:val="left" w:pos="1620"/>
        </w:tabs>
        <w:spacing w:line="360" w:lineRule="auto"/>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承包人投标文件及其附件（含评标期间的澄清文件和补充资料）（适用于招标工程）；确认的工程量清单报价单或施工图预算书（适用于非招标工程）；</w:t>
      </w:r>
    </w:p>
    <w:p>
      <w:pPr>
        <w:pStyle w:val="11"/>
        <w:numPr>
          <w:ilvl w:val="-1"/>
          <w:numId w:val="0"/>
        </w:numPr>
        <w:spacing w:line="360" w:lineRule="auto"/>
        <w:ind w:lef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专用条款；</w:t>
      </w:r>
    </w:p>
    <w:p>
      <w:pPr>
        <w:pStyle w:val="11"/>
        <w:numPr>
          <w:ilvl w:val="-1"/>
          <w:numId w:val="0"/>
        </w:numPr>
        <w:spacing w:line="360" w:lineRule="auto"/>
        <w:ind w:lef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通用条款；</w:t>
      </w:r>
    </w:p>
    <w:p>
      <w:pPr>
        <w:pStyle w:val="11"/>
        <w:numPr>
          <w:ilvl w:val="-1"/>
          <w:numId w:val="0"/>
        </w:numPr>
        <w:spacing w:line="360" w:lineRule="auto"/>
        <w:ind w:lef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标准、规范及有关技术文件；</w:t>
      </w:r>
    </w:p>
    <w:p>
      <w:pPr>
        <w:pStyle w:val="11"/>
        <w:numPr>
          <w:ilvl w:val="-1"/>
          <w:numId w:val="0"/>
        </w:numPr>
        <w:spacing w:line="360" w:lineRule="auto"/>
        <w:ind w:lef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施工设计图纸；</w:t>
      </w:r>
    </w:p>
    <w:p>
      <w:pPr>
        <w:pStyle w:val="11"/>
        <w:numPr>
          <w:ilvl w:val="0"/>
          <w:numId w:val="0"/>
        </w:numPr>
        <w:spacing w:line="360" w:lineRule="auto"/>
        <w:ind w:lef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招标文件（包括补充、修改、澄清的文件、招标图纸、答疑纪要、工程量清单及总说明等）；</w:t>
      </w:r>
    </w:p>
    <w:p>
      <w:pPr>
        <w:pStyle w:val="11"/>
        <w:numPr>
          <w:ilvl w:val="-1"/>
          <w:numId w:val="0"/>
        </w:numPr>
        <w:spacing w:line="360" w:lineRule="auto"/>
        <w:ind w:lef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专用条款约定的其他文件。</w:t>
      </w:r>
    </w:p>
    <w:p>
      <w:pPr>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上述各项合同文件包括合同当事人就该项合同文件所作出的补充和修改，属于同一类内容的文件，应以最新签署的为准。</w:t>
      </w:r>
    </w:p>
    <w:p>
      <w:pPr>
        <w:spacing w:line="312" w:lineRule="auto"/>
        <w:ind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通过上述顺序解释仍无法明确的事项，由发包人与承包人协商解决；如协商不成，由发包人按照公平合理和有利于本工程建设的原则作出决定，如承包人对此决定存在异议的，应在接到发包人决定之日起三日内提出书面异议。如期满不提出书面异议的，视为同意发包人的决定。发包人收到承包人的书面异议后应作出进一步的决定。如承包人仍存在异议的，可按合同专用条款第86条的约定处理，但在有关部门没有作出正式裁决之前，承包人必须无条件先行执行发包人的决定。</w:t>
      </w:r>
    </w:p>
    <w:p>
      <w:pPr>
        <w:pStyle w:val="11"/>
        <w:tabs>
          <w:tab w:val="left" w:pos="540"/>
        </w:tabs>
        <w:adjustRightInd w:val="0"/>
        <w:snapToGrid w:val="0"/>
        <w:spacing w:before="240" w:beforeLines="100" w:line="360" w:lineRule="auto"/>
        <w:jc w:val="both"/>
        <w:textAlignment w:val="baseline"/>
        <w:outlineLvl w:val="2"/>
        <w:rPr>
          <w:rStyle w:val="25"/>
          <w:rFonts w:hint="eastAsia" w:ascii="宋体" w:hAnsi="宋体" w:eastAsia="宋体" w:cs="宋体"/>
          <w:b/>
          <w:bCs/>
          <w:color w:val="000000"/>
          <w:kern w:val="2"/>
          <w:sz w:val="24"/>
          <w:szCs w:val="24"/>
          <w:highlight w:val="none"/>
          <w:lang w:val="en-US" w:eastAsia="zh-CN" w:bidi="ar-SA"/>
        </w:rPr>
      </w:pPr>
      <w:bookmarkStart w:id="48" w:name="_Toc475"/>
      <w:bookmarkStart w:id="49" w:name="_Toc19668"/>
      <w:bookmarkStart w:id="50" w:name="_Toc29819"/>
      <w:bookmarkStart w:id="51" w:name="_Toc8659"/>
      <w:r>
        <w:rPr>
          <w:rStyle w:val="25"/>
          <w:rFonts w:hint="eastAsia" w:ascii="宋体" w:hAnsi="宋体" w:eastAsia="宋体" w:cs="宋体"/>
          <w:b/>
          <w:bCs/>
          <w:color w:val="000000"/>
          <w:kern w:val="2"/>
          <w:sz w:val="24"/>
          <w:szCs w:val="24"/>
          <w:highlight w:val="none"/>
          <w:lang w:val="en-US" w:eastAsia="zh-CN" w:bidi="ar-SA"/>
        </w:rPr>
        <w:t>4 语言及适用的法律、标准与规范</w:t>
      </w:r>
      <w:bookmarkEnd w:id="48"/>
      <w:bookmarkEnd w:id="49"/>
      <w:bookmarkEnd w:id="50"/>
      <w:bookmarkEnd w:id="51"/>
    </w:p>
    <w:p>
      <w:pPr>
        <w:spacing w:line="312" w:lineRule="auto"/>
        <w:ind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4.3 适用标准与规范：国家</w:t>
      </w:r>
      <w:r>
        <w:rPr>
          <w:rFonts w:hint="eastAsia" w:ascii="宋体" w:hAnsi="宋体" w:eastAsia="宋体" w:cs="宋体"/>
          <w:sz w:val="24"/>
          <w:szCs w:val="24"/>
          <w:highlight w:val="none"/>
        </w:rPr>
        <w:t>、行业和广东省</w:t>
      </w:r>
      <w:r>
        <w:rPr>
          <w:rStyle w:val="43"/>
          <w:rFonts w:hint="eastAsia" w:ascii="宋体" w:hAnsi="宋体" w:eastAsia="宋体" w:cs="宋体"/>
          <w:color w:val="auto"/>
          <w:kern w:val="2"/>
          <w:sz w:val="24"/>
          <w:szCs w:val="24"/>
          <w:highlight w:val="none"/>
          <w:lang w:val="en-US" w:eastAsia="zh-CN" w:bidi="ar-SA"/>
        </w:rPr>
        <w:t>现行有效的有关建设项目管理、设计、施工及验收的规范、规程及标准；发包人根据本合同工程具体情况，聘请专家委员会依照国家有关标准制订的施工技术规定及验收办法。</w:t>
      </w:r>
    </w:p>
    <w:p>
      <w:pPr>
        <w:pStyle w:val="11"/>
        <w:tabs>
          <w:tab w:val="left" w:pos="540"/>
        </w:tabs>
        <w:adjustRightInd w:val="0"/>
        <w:snapToGrid w:val="0"/>
        <w:spacing w:before="240" w:beforeLines="100" w:line="360" w:lineRule="auto"/>
        <w:jc w:val="both"/>
        <w:textAlignment w:val="baseline"/>
        <w:outlineLvl w:val="2"/>
        <w:rPr>
          <w:rStyle w:val="25"/>
          <w:rFonts w:hint="eastAsia" w:ascii="宋体" w:hAnsi="宋体" w:eastAsia="宋体" w:cs="宋体"/>
          <w:b/>
          <w:bCs/>
          <w:color w:val="000000"/>
          <w:kern w:val="2"/>
          <w:sz w:val="24"/>
          <w:szCs w:val="24"/>
          <w:highlight w:val="none"/>
          <w:lang w:val="en-US" w:eastAsia="zh-CN" w:bidi="ar-SA"/>
        </w:rPr>
      </w:pPr>
      <w:bookmarkStart w:id="52" w:name="_Toc4264"/>
      <w:bookmarkStart w:id="53" w:name="_Toc12730"/>
      <w:bookmarkStart w:id="54" w:name="_Toc30008"/>
      <w:bookmarkStart w:id="55" w:name="_Toc23500"/>
      <w:r>
        <w:rPr>
          <w:rStyle w:val="25"/>
          <w:rFonts w:hint="eastAsia" w:ascii="宋体" w:hAnsi="宋体" w:eastAsia="宋体" w:cs="宋体"/>
          <w:b/>
          <w:bCs/>
          <w:color w:val="000000"/>
          <w:kern w:val="2"/>
          <w:sz w:val="24"/>
          <w:szCs w:val="24"/>
          <w:highlight w:val="none"/>
          <w:lang w:val="en-US" w:eastAsia="zh-CN" w:bidi="ar-SA"/>
        </w:rPr>
        <w:t>5 施工设计图纸</w:t>
      </w:r>
      <w:bookmarkEnd w:id="52"/>
      <w:bookmarkEnd w:id="53"/>
      <w:bookmarkEnd w:id="54"/>
      <w:bookmarkEnd w:id="55"/>
    </w:p>
    <w:p>
      <w:pPr>
        <w:spacing w:line="312" w:lineRule="auto"/>
        <w:ind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5.1图纸的提供：发包人在开工前向承包人提供</w:t>
      </w:r>
      <w:r>
        <w:rPr>
          <w:rStyle w:val="43"/>
          <w:rFonts w:hint="eastAsia" w:ascii="宋体" w:hAnsi="宋体" w:eastAsia="宋体" w:cs="宋体"/>
          <w:color w:val="auto"/>
          <w:kern w:val="2"/>
          <w:sz w:val="24"/>
          <w:szCs w:val="24"/>
          <w:highlight w:val="none"/>
          <w:u w:val="single"/>
          <w:lang w:val="en-US" w:eastAsia="zh-CN" w:bidi="ar-SA"/>
        </w:rPr>
        <w:t>6</w:t>
      </w:r>
      <w:r>
        <w:rPr>
          <w:rStyle w:val="43"/>
          <w:rFonts w:hint="eastAsia" w:ascii="宋体" w:hAnsi="宋体" w:eastAsia="宋体" w:cs="宋体"/>
          <w:color w:val="auto"/>
          <w:kern w:val="2"/>
          <w:sz w:val="24"/>
          <w:szCs w:val="24"/>
          <w:highlight w:val="none"/>
          <w:lang w:val="en-US" w:eastAsia="zh-CN" w:bidi="ar-SA"/>
        </w:rPr>
        <w:t>套图纸（其中4套为编制竣工图所需），同时提交电子文档。承包人确需增加图纸套数的，应当取得发包人的同意，所需费用由承包人自行承担。承包人不得私自向设计单位购取图纸；承包人在本工程中使用的图纸都必须经过发包人的确认。</w:t>
      </w:r>
    </w:p>
    <w:p>
      <w:pPr>
        <w:spacing w:line="312" w:lineRule="auto"/>
        <w:ind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5.6 承包人对图纸的保密要求：由发包人提供的图纸、文件等，未经发包人许可，承包人不得用于或转借、出让、泄露给第三方。保密措施费由承包人自行承担。</w:t>
      </w:r>
    </w:p>
    <w:p>
      <w:pPr>
        <w:pStyle w:val="11"/>
        <w:tabs>
          <w:tab w:val="left" w:pos="540"/>
        </w:tabs>
        <w:adjustRightInd w:val="0"/>
        <w:snapToGrid w:val="0"/>
        <w:spacing w:before="240" w:beforeLines="100" w:line="360" w:lineRule="auto"/>
        <w:jc w:val="both"/>
        <w:textAlignment w:val="baseline"/>
        <w:outlineLvl w:val="2"/>
        <w:rPr>
          <w:rStyle w:val="25"/>
          <w:rFonts w:hint="eastAsia" w:ascii="宋体" w:hAnsi="宋体" w:eastAsia="宋体" w:cs="宋体"/>
          <w:b/>
          <w:bCs/>
          <w:color w:val="000000"/>
          <w:kern w:val="2"/>
          <w:sz w:val="24"/>
          <w:szCs w:val="24"/>
          <w:highlight w:val="none"/>
          <w:lang w:val="en-US" w:eastAsia="zh-CN" w:bidi="ar-SA"/>
        </w:rPr>
      </w:pPr>
      <w:bookmarkStart w:id="56" w:name="_Toc10973"/>
      <w:bookmarkStart w:id="57" w:name="_Toc14858"/>
      <w:bookmarkStart w:id="58" w:name="_Toc9759"/>
      <w:bookmarkStart w:id="59" w:name="_Toc22722"/>
      <w:r>
        <w:rPr>
          <w:rStyle w:val="25"/>
          <w:rFonts w:hint="eastAsia" w:ascii="宋体" w:hAnsi="宋体" w:eastAsia="宋体" w:cs="宋体"/>
          <w:b/>
          <w:bCs/>
          <w:color w:val="000000"/>
          <w:kern w:val="2"/>
          <w:sz w:val="24"/>
          <w:szCs w:val="24"/>
          <w:highlight w:val="none"/>
          <w:lang w:val="en-US" w:eastAsia="zh-CN" w:bidi="ar-SA"/>
        </w:rPr>
        <w:t>6 通讯联络</w:t>
      </w:r>
      <w:bookmarkEnd w:id="56"/>
      <w:bookmarkEnd w:id="57"/>
      <w:bookmarkEnd w:id="58"/>
      <w:bookmarkEnd w:id="59"/>
    </w:p>
    <w:p>
      <w:pPr>
        <w:spacing w:line="312" w:lineRule="auto"/>
        <w:ind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6.2 各方通讯地址、收件人及其他送达方式</w:t>
      </w:r>
    </w:p>
    <w:p>
      <w:pPr>
        <w:spacing w:line="312" w:lineRule="auto"/>
        <w:ind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(1)  各方通讯地址和收件人：</w:t>
      </w:r>
    </w:p>
    <w:p>
      <w:pPr>
        <w:spacing w:line="312" w:lineRule="auto"/>
        <w:ind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发包人:广州市天河区珠村小学</w:t>
      </w:r>
    </w:p>
    <w:p>
      <w:pPr>
        <w:spacing w:line="312" w:lineRule="auto"/>
        <w:ind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通讯地址：广州市天河区东横一路1号</w:t>
      </w:r>
    </w:p>
    <w:p>
      <w:pPr>
        <w:spacing w:line="312" w:lineRule="auto"/>
        <w:ind w:firstLine="480" w:firstLineChars="200"/>
        <w:jc w:val="both"/>
        <w:textAlignment w:val="baseline"/>
        <w:rPr>
          <w:rStyle w:val="43"/>
          <w:rFonts w:hint="eastAsia" w:ascii="宋体" w:hAnsi="宋体" w:eastAsia="宋体" w:cs="宋体"/>
          <w:color w:val="auto"/>
          <w:kern w:val="2"/>
          <w:sz w:val="24"/>
          <w:szCs w:val="24"/>
          <w:highlight w:val="none"/>
          <w:u w:val="none"/>
          <w:lang w:val="en-US" w:eastAsia="zh-CN" w:bidi="ar-SA"/>
        </w:rPr>
      </w:pPr>
      <w:r>
        <w:rPr>
          <w:rStyle w:val="43"/>
          <w:rFonts w:hint="eastAsia" w:ascii="宋体" w:hAnsi="宋体" w:eastAsia="宋体" w:cs="宋体"/>
          <w:color w:val="auto"/>
          <w:kern w:val="2"/>
          <w:sz w:val="24"/>
          <w:szCs w:val="24"/>
          <w:highlight w:val="none"/>
          <w:lang w:val="en-US" w:eastAsia="zh-CN" w:bidi="ar-SA"/>
        </w:rPr>
        <w:t xml:space="preserve">收件人：          </w:t>
      </w:r>
      <w:r>
        <w:rPr>
          <w:rStyle w:val="43"/>
          <w:rFonts w:hint="eastAsia" w:ascii="宋体" w:hAnsi="宋体" w:eastAsia="宋体" w:cs="宋体"/>
          <w:color w:val="auto"/>
          <w:kern w:val="2"/>
          <w:sz w:val="24"/>
          <w:szCs w:val="24"/>
          <w:highlight w:val="none"/>
          <w:u w:val="none"/>
          <w:lang w:val="en-US" w:eastAsia="zh-CN" w:bidi="ar-SA"/>
        </w:rPr>
        <w:t xml:space="preserve">承包人：           通讯地址：    </w:t>
      </w:r>
    </w:p>
    <w:p>
      <w:pPr>
        <w:spacing w:line="312" w:lineRule="auto"/>
        <w:ind w:firstLine="480" w:firstLineChars="200"/>
        <w:jc w:val="both"/>
        <w:textAlignment w:val="baseline"/>
        <w:rPr>
          <w:rStyle w:val="43"/>
          <w:rFonts w:hint="eastAsia" w:ascii="宋体" w:hAnsi="宋体" w:eastAsia="宋体" w:cs="宋体"/>
          <w:color w:val="auto"/>
          <w:kern w:val="2"/>
          <w:sz w:val="24"/>
          <w:szCs w:val="24"/>
          <w:highlight w:val="none"/>
          <w:u w:val="none"/>
          <w:lang w:val="en-US" w:eastAsia="zh-CN" w:bidi="ar-SA"/>
        </w:rPr>
      </w:pPr>
      <w:r>
        <w:rPr>
          <w:rStyle w:val="43"/>
          <w:rFonts w:hint="eastAsia" w:ascii="宋体" w:hAnsi="宋体" w:eastAsia="宋体" w:cs="宋体"/>
          <w:color w:val="auto"/>
          <w:kern w:val="2"/>
          <w:sz w:val="24"/>
          <w:szCs w:val="24"/>
          <w:highlight w:val="none"/>
          <w:u w:val="none"/>
          <w:lang w:val="en-US" w:eastAsia="zh-CN" w:bidi="ar-SA"/>
        </w:rPr>
        <w:t>收件人：          监理单位：         通讯地址：</w:t>
      </w:r>
    </w:p>
    <w:p>
      <w:pPr>
        <w:spacing w:line="312" w:lineRule="auto"/>
        <w:ind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u w:val="none"/>
          <w:lang w:val="en-US" w:eastAsia="zh-CN" w:bidi="ar-SA"/>
        </w:rPr>
        <w:t xml:space="preserve">收件人：         </w:t>
      </w:r>
      <w:r>
        <w:rPr>
          <w:rStyle w:val="43"/>
          <w:rFonts w:hint="eastAsia" w:ascii="宋体" w:hAnsi="宋体" w:eastAsia="宋体" w:cs="宋体"/>
          <w:color w:val="auto"/>
          <w:kern w:val="2"/>
          <w:sz w:val="24"/>
          <w:szCs w:val="24"/>
          <w:highlight w:val="none"/>
          <w:lang w:val="en-US" w:eastAsia="zh-CN" w:bidi="ar-SA"/>
        </w:rPr>
        <w:t>造价咨询单位：       通讯地址：</w:t>
      </w:r>
    </w:p>
    <w:p>
      <w:pPr>
        <w:spacing w:line="312" w:lineRule="auto"/>
        <w:ind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(2) 视为送达的其他方式：无</w:t>
      </w:r>
    </w:p>
    <w:p>
      <w:pPr>
        <w:pStyle w:val="11"/>
        <w:adjustRightInd w:val="0"/>
        <w:snapToGrid w:val="0"/>
        <w:spacing w:line="360" w:lineRule="auto"/>
        <w:rPr>
          <w:rStyle w:val="25"/>
          <w:rFonts w:hint="eastAsia" w:ascii="宋体" w:hAnsi="宋体" w:eastAsia="宋体" w:cs="宋体"/>
          <w:b/>
          <w:bCs/>
          <w:color w:val="000000"/>
          <w:kern w:val="2"/>
          <w:sz w:val="24"/>
          <w:szCs w:val="24"/>
          <w:highlight w:val="none"/>
          <w:lang w:val="en-US" w:eastAsia="zh-CN" w:bidi="ar-SA"/>
        </w:rPr>
      </w:pPr>
      <w:bookmarkStart w:id="60" w:name="_Toc17394"/>
      <w:bookmarkStart w:id="61" w:name="_Toc15558"/>
      <w:r>
        <w:rPr>
          <w:rStyle w:val="25"/>
          <w:rFonts w:hint="eastAsia" w:ascii="宋体" w:hAnsi="宋体" w:eastAsia="宋体" w:cs="宋体"/>
          <w:b/>
          <w:bCs/>
          <w:color w:val="000000"/>
          <w:kern w:val="2"/>
          <w:sz w:val="24"/>
          <w:szCs w:val="24"/>
          <w:highlight w:val="none"/>
          <w:lang w:val="en-US" w:eastAsia="zh-CN" w:bidi="ar-SA"/>
        </w:rPr>
        <w:t>7 工程分包</w:t>
      </w:r>
      <w:bookmarkEnd w:id="60"/>
      <w:bookmarkEnd w:id="61"/>
    </w:p>
    <w:p>
      <w:pPr>
        <w:pStyle w:val="11"/>
        <w:adjustRightInd w:val="0"/>
        <w:snapToGrid w:val="0"/>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承包人和发包人一致同意不适用合同通用条款第7.2项的约定。代之以：承包人可依法将部分工程分包给具有相应分包资质的分包人，但未经监理单位、发包人书面审批同意，承包人不得将工程的任何部分或任何工作分包给第三方。下列情况则需向发包人书面报备：</w:t>
      </w:r>
    </w:p>
    <w:p>
      <w:pPr>
        <w:pStyle w:val="11"/>
        <w:tabs>
          <w:tab w:val="left" w:pos="540"/>
        </w:tabs>
        <w:adjustRightInd w:val="0"/>
        <w:snapToGrid w:val="0"/>
        <w:spacing w:before="240" w:beforeLines="100" w:line="360" w:lineRule="auto"/>
        <w:jc w:val="both"/>
        <w:textAlignment w:val="baseline"/>
        <w:outlineLvl w:val="2"/>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（1）施工劳务作业分包；</w:t>
      </w:r>
    </w:p>
    <w:p>
      <w:pPr>
        <w:pStyle w:val="11"/>
        <w:tabs>
          <w:tab w:val="left" w:pos="540"/>
        </w:tabs>
        <w:adjustRightInd w:val="0"/>
        <w:snapToGrid w:val="0"/>
        <w:spacing w:before="240" w:beforeLines="100" w:line="360" w:lineRule="auto"/>
        <w:jc w:val="both"/>
        <w:textAlignment w:val="baseline"/>
        <w:outlineLvl w:val="2"/>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（2）按照合同约定的标准购买材料和工程设备；</w:t>
      </w:r>
    </w:p>
    <w:p>
      <w:pPr>
        <w:spacing w:line="312" w:lineRule="auto"/>
        <w:jc w:val="both"/>
        <w:textAlignment w:val="baseline"/>
        <w:rPr>
          <w:rStyle w:val="43"/>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（3）合同中已指定的分包工程。</w:t>
      </w:r>
      <w:r>
        <w:rPr>
          <w:rStyle w:val="43"/>
          <w:rFonts w:hint="eastAsia" w:ascii="宋体" w:hAnsi="宋体" w:eastAsia="宋体" w:cs="宋体"/>
          <w:b/>
          <w:bCs/>
          <w:color w:val="auto"/>
          <w:kern w:val="2"/>
          <w:sz w:val="24"/>
          <w:szCs w:val="24"/>
          <w:highlight w:val="none"/>
          <w:lang w:val="en-US" w:eastAsia="zh-CN" w:bidi="ar-SA"/>
        </w:rPr>
        <w:t>承包人与发包人一致同意增加第7.7至7.16款：</w:t>
      </w:r>
    </w:p>
    <w:p>
      <w:pPr>
        <w:spacing w:line="312" w:lineRule="auto"/>
        <w:ind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7.7分包工程款的支付：若承包人无正当理由截留专业工程、劳务分包单位的工程款，发包人有权扣留承包人最近一期可得的等额工程进度款，在承包人补足分包单位进度款时，发包人将扣留的款项补足给承包人。</w:t>
      </w:r>
    </w:p>
    <w:p>
      <w:pPr>
        <w:spacing w:line="312" w:lineRule="auto"/>
        <w:ind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7.8施工总承包管理和配合服务：承包人按分包人要求和合同约定对分包单位和发包人另行发包的专业承包单位进行施工总承包管理和专业工程配合服务。</w:t>
      </w:r>
    </w:p>
    <w:p>
      <w:pPr>
        <w:spacing w:line="312" w:lineRule="auto"/>
        <w:ind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施工总承包管理包括但不限于：项目总进度计划管理和协调；信息管理；公共临时设施管理；安全文明施工管理；现场综合管理；总体协调配合；提供标高基准点、平面控制轴线、墨线；提供工作面；成品保护；组织项目竣工验收和备案、竣工结算、编制竣工资料以及其他管理工作。</w:t>
      </w:r>
    </w:p>
    <w:p>
      <w:pPr>
        <w:spacing w:line="312" w:lineRule="auto"/>
        <w:ind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专业工程配合服务包括但不限于：为发包人另行发包的专业承包单位提供生产、生活用设施搭建场地；提供现有运输道路和通道；提供施工用水、用电的接驳点；提供现有公共临时设施；提供现有水平、垂直运输设施；提供现有脚手架以及其他配合服务。</w:t>
      </w:r>
    </w:p>
    <w:p>
      <w:pPr>
        <w:spacing w:line="312" w:lineRule="auto"/>
        <w:ind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承包人在本工程投标报价时，应充分考虑上述施工总承包管理和专业工程配合服务所需的费用，不得要求发包人及其另行分包的专业承包单位额外支付。</w:t>
      </w:r>
    </w:p>
    <w:p>
      <w:pPr>
        <w:spacing w:line="312" w:lineRule="auto"/>
        <w:ind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7.9 本合同工程的主体及关键性工作必须由承包人自行完成，不得分包。非主体、非关键性工作的分包应当在投标文件中载明，严格按照投标文件的规定或发包人限定的时间与分包单位签订分包合同。</w:t>
      </w:r>
    </w:p>
    <w:p>
      <w:pPr>
        <w:spacing w:line="312" w:lineRule="auto"/>
        <w:ind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7.10 承包人应严格按照《房屋建筑和市政基础设施工程施工分包管理办法》（建设部令第124号）和本合同的约定做好分包管理工作，禁止将承包的工程进行转包或违法分包，禁止转让、出借企业资质证书或者以其他方式允许他人以本企业名义承揽工程，严禁个人承揽分包工程业务。</w:t>
      </w:r>
    </w:p>
    <w:p>
      <w:pPr>
        <w:spacing w:line="312" w:lineRule="auto"/>
        <w:ind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7.11 承包人不履行合同约定，将其承包的全部工程发包给他人，或者将其承包的全部工程肢解后以分包的名义分别发包给他人的，属于转包行为；将工程分包后，未在施工现场设立项目管理机构和派驻相应人员，并未对该工程的施工活动进行组织管理的，视同转包行为。</w:t>
      </w:r>
    </w:p>
    <w:p>
      <w:pPr>
        <w:spacing w:line="312" w:lineRule="auto"/>
        <w:ind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7.12 下列行为，属于违法分包：</w:t>
      </w:r>
    </w:p>
    <w:p>
      <w:pPr>
        <w:spacing w:line="312" w:lineRule="auto"/>
        <w:ind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（1）承包人将专业工程或者劳务作业分包给不具备相应资质条件的分包人的；</w:t>
      </w:r>
    </w:p>
    <w:p>
      <w:pPr>
        <w:spacing w:line="312" w:lineRule="auto"/>
        <w:ind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（2）本合同中未有约定，又未经发包人认可，承包人将承包工程中的部分专业工程分包给他人的。</w:t>
      </w:r>
    </w:p>
    <w:p>
      <w:pPr>
        <w:spacing w:line="312" w:lineRule="auto"/>
        <w:ind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7.13 承包人虽然没有将其承包的工程进行分包，但在施工现场所设项目管理机构的项目经理、技术管理人员、核算管理人员、质量管理人员、安全管理人员不是承包人本单位人员的，视同允许他人以本企业名义承揽工程。</w:t>
      </w:r>
    </w:p>
    <w:p>
      <w:pPr>
        <w:spacing w:line="312" w:lineRule="auto"/>
        <w:ind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7.14 承包人应参照通、专用条款第20条、第27条的有关约定，在发包人批准分包后5天内将分包单位工程技术管理人员名单及劳动力、施工机械设备投入计划报送发包人且负责落实到位，并接受总监理工程师和发包人代表的查验。</w:t>
      </w:r>
    </w:p>
    <w:p>
      <w:pPr>
        <w:spacing w:line="312" w:lineRule="auto"/>
        <w:ind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7.15 分包工程价款由承包人与发包人结算。承包人应按本合同及分包合同的有关约定及时审核、申请支付各种工程、劳务及材料设备款项，并向发包人提交下列资料：</w:t>
      </w:r>
    </w:p>
    <w:p>
      <w:pPr>
        <w:spacing w:line="312" w:lineRule="auto"/>
        <w:ind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（1）属专业工程分包的，应向发包人提交分包人提交给承包人的履约担保文件复印件（应同时携带原件供发包人复核），具体按招标文件或发包人要求执行。</w:t>
      </w:r>
    </w:p>
    <w:p>
      <w:pPr>
        <w:spacing w:line="312" w:lineRule="auto"/>
        <w:ind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（2）属材料设备供货的，应向发包人提交供货商提交给承包人的履约担保文件复印件（应同时携带原件供发包人复核），具体按招标文件或发包人要求执行。</w:t>
      </w:r>
    </w:p>
    <w:p>
      <w:pPr>
        <w:spacing w:line="312" w:lineRule="auto"/>
        <w:ind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7.16 承包人与发包人一致同意，本合同工程的所有分包单位（含材料设备供货单位）全部纳入发包人统一组织的考评，并按合同约定和发包人的有关管理规定承担相应义务，享有相应权利。考评结果中涉及对本合同价款的转付或扣取的，承包人承诺无条件服从。考评结果不合格的分包单位，纳入发包人黑名单库，2年内不允许在发包人的项目中承揽工程。</w:t>
      </w:r>
    </w:p>
    <w:p>
      <w:pPr>
        <w:pStyle w:val="11"/>
        <w:adjustRightInd w:val="0"/>
        <w:snapToGrid w:val="0"/>
        <w:spacing w:line="360" w:lineRule="auto"/>
        <w:ind w:left="480" w:leftChars="0" w:hanging="480" w:hangingChars="200"/>
        <w:jc w:val="left"/>
        <w:rPr>
          <w:rFonts w:hint="eastAsia" w:ascii="宋体" w:hAnsi="宋体" w:eastAsia="宋体" w:cs="宋体"/>
          <w:color w:val="000000"/>
          <w:sz w:val="24"/>
          <w:szCs w:val="24"/>
          <w:highlight w:val="none"/>
        </w:rPr>
      </w:pPr>
      <w:bookmarkStart w:id="62" w:name="_Toc20232"/>
      <w:bookmarkStart w:id="63" w:name="_Toc25902"/>
      <w:r>
        <w:rPr>
          <w:rStyle w:val="43"/>
          <w:rFonts w:hint="eastAsia" w:ascii="宋体" w:hAnsi="宋体" w:eastAsia="宋体" w:cs="宋体"/>
          <w:color w:val="auto"/>
          <w:kern w:val="2"/>
          <w:sz w:val="24"/>
          <w:szCs w:val="24"/>
          <w:highlight w:val="none"/>
          <w:lang w:val="en-US" w:eastAsia="zh-CN" w:bidi="ar-SA"/>
        </w:rPr>
        <w:t xml:space="preserve">8.2  承包人现场查勘  </w:t>
      </w:r>
      <w:r>
        <w:rPr>
          <w:rFonts w:hint="eastAsia" w:ascii="宋体" w:hAnsi="宋体" w:eastAsia="宋体" w:cs="宋体"/>
          <w:b/>
          <w:bCs/>
          <w:color w:val="000000"/>
          <w:sz w:val="24"/>
          <w:szCs w:val="24"/>
          <w:highlight w:val="none"/>
          <w:u w:val="dotted"/>
        </w:rPr>
        <w:t xml:space="preserve">                                                                                     </w:t>
      </w:r>
      <w:r>
        <w:rPr>
          <w:rFonts w:hint="eastAsia" w:ascii="宋体" w:hAnsi="宋体" w:eastAsia="宋体" w:cs="宋体"/>
          <w:color w:val="000000"/>
          <w:sz w:val="24"/>
          <w:szCs w:val="24"/>
          <w:highlight w:val="none"/>
        </w:rPr>
        <w:t>承包人应依据发包人按照第19.2款第（4）点规定提供的资料和自己对现场</w:t>
      </w:r>
    </w:p>
    <w:p>
      <w:pPr>
        <w:pStyle w:val="11"/>
        <w:adjustRightInd w:val="0"/>
        <w:snapToGrid w:val="0"/>
        <w:spacing w:line="360" w:lineRule="auto"/>
        <w:ind w:left="480" w:leftChars="0" w:hanging="480" w:hanging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查勘来编制投标文件，并对发包人提供上述资料的理解、推断和应用负责。因承</w:t>
      </w:r>
    </w:p>
    <w:p>
      <w:pPr>
        <w:pStyle w:val="11"/>
        <w:adjustRightInd w:val="0"/>
        <w:snapToGrid w:val="0"/>
        <w:spacing w:line="360" w:lineRule="auto"/>
        <w:ind w:left="480" w:leftChars="0" w:hanging="480" w:hanging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包人未能充分查勘、了解以下情况或未能充分估计以下情况所可能产生后果的，</w:t>
      </w:r>
    </w:p>
    <w:p>
      <w:pPr>
        <w:pStyle w:val="11"/>
        <w:adjustRightInd w:val="0"/>
        <w:snapToGrid w:val="0"/>
        <w:spacing w:line="360" w:lineRule="auto"/>
        <w:ind w:left="480" w:leftChars="0" w:hanging="480" w:hanging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承包人承担由此增加的费用和（或）延误的工期。承包人的投标文件应被认为已</w:t>
      </w:r>
    </w:p>
    <w:p>
      <w:pPr>
        <w:pStyle w:val="11"/>
        <w:adjustRightInd w:val="0"/>
        <w:snapToGrid w:val="0"/>
        <w:spacing w:line="360" w:lineRule="auto"/>
        <w:ind w:left="480" w:leftChars="0" w:hanging="480" w:hanging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经考虑了现场及其周围环境的影响，包括但不限于以下内容：</w:t>
      </w:r>
    </w:p>
    <w:p>
      <w:pPr>
        <w:pStyle w:val="11"/>
        <w:adjustRightInd w:val="0"/>
        <w:snapToGrid w:val="0"/>
        <w:spacing w:line="360" w:lineRule="auto"/>
        <w:ind w:left="0"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（1）现场地质情况及地形地貌特征；</w:t>
      </w:r>
    </w:p>
    <w:p>
      <w:pPr>
        <w:pStyle w:val="11"/>
        <w:adjustRightInd w:val="0"/>
        <w:snapToGrid w:val="0"/>
        <w:spacing w:line="360" w:lineRule="auto"/>
        <w:ind w:left="0"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（2）水文和气候条件；</w:t>
      </w:r>
    </w:p>
    <w:p>
      <w:pPr>
        <w:pStyle w:val="11"/>
        <w:adjustRightInd w:val="0"/>
        <w:snapToGrid w:val="0"/>
        <w:spacing w:line="360" w:lineRule="auto"/>
        <w:ind w:left="0"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（3）为实施、完成并保修合同工程所需的临时工程和措施项目；</w:t>
      </w:r>
    </w:p>
    <w:p>
      <w:pPr>
        <w:pStyle w:val="11"/>
        <w:tabs>
          <w:tab w:val="left" w:pos="2580"/>
        </w:tabs>
        <w:adjustRightInd w:val="0"/>
        <w:snapToGrid w:val="0"/>
        <w:spacing w:line="360" w:lineRule="auto"/>
        <w:ind w:left="0"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（4）为实施、完成并保修合同工程所需的材料采购和加工、设备的采购，及所需的施工设备、周转性材料、人员和管理等；</w:t>
      </w:r>
    </w:p>
    <w:p>
      <w:pPr>
        <w:pStyle w:val="11"/>
        <w:adjustRightInd w:val="0"/>
        <w:snapToGrid w:val="0"/>
        <w:spacing w:line="360" w:lineRule="auto"/>
        <w:ind w:left="0"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（5）场地内外的交通情况及水、电、食宿供应条件；</w:t>
      </w:r>
    </w:p>
    <w:p>
      <w:pPr>
        <w:pStyle w:val="11"/>
        <w:adjustRightInd w:val="0"/>
        <w:snapToGrid w:val="0"/>
        <w:spacing w:line="360" w:lineRule="auto"/>
        <w:ind w:left="0"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（6）可能对投标报价有影响或起作用的其他情况。</w:t>
      </w:r>
    </w:p>
    <w:p>
      <w:pPr>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color w:val="000000"/>
          <w:sz w:val="24"/>
          <w:szCs w:val="24"/>
          <w:highlight w:val="none"/>
          <w:lang w:val="en-US" w:eastAsia="zh-CN"/>
        </w:rPr>
        <w:t>（7）由于场地受限等原因，租赁场外用地。</w:t>
      </w:r>
    </w:p>
    <w:p>
      <w:pPr>
        <w:pStyle w:val="11"/>
        <w:widowControl/>
        <w:tabs>
          <w:tab w:val="left" w:pos="540"/>
        </w:tabs>
        <w:adjustRightInd w:val="0"/>
        <w:snapToGrid w:val="0"/>
        <w:spacing w:before="240" w:beforeLines="100" w:after="0" w:line="360" w:lineRule="auto"/>
        <w:ind w:firstLine="241"/>
        <w:textAlignment w:val="baseline"/>
        <w:outlineLvl w:val="2"/>
        <w:rPr>
          <w:rStyle w:val="25"/>
          <w:rFonts w:hint="eastAsia" w:ascii="宋体" w:hAnsi="宋体" w:eastAsia="宋体" w:cs="宋体"/>
          <w:b/>
          <w:bCs/>
          <w:color w:val="000000"/>
          <w:sz w:val="24"/>
          <w:szCs w:val="24"/>
          <w:highlight w:val="none"/>
        </w:rPr>
      </w:pPr>
      <w:bookmarkStart w:id="64" w:name="_Toc16212"/>
      <w:bookmarkStart w:id="65" w:name="_Toc19476"/>
      <w:r>
        <w:rPr>
          <w:rStyle w:val="25"/>
          <w:rFonts w:hint="eastAsia" w:ascii="宋体" w:hAnsi="宋体" w:eastAsia="宋体" w:cs="宋体"/>
          <w:b/>
          <w:bCs/>
          <w:color w:val="000000"/>
          <w:sz w:val="24"/>
          <w:szCs w:val="24"/>
          <w:highlight w:val="none"/>
        </w:rPr>
        <w:t>12 事故处理</w:t>
      </w:r>
      <w:bookmarkEnd w:id="62"/>
      <w:bookmarkEnd w:id="63"/>
      <w:bookmarkEnd w:id="64"/>
      <w:bookmarkEnd w:id="65"/>
    </w:p>
    <w:p>
      <w:pPr>
        <w:pStyle w:val="32"/>
        <w:widowControl/>
        <w:spacing w:after="0" w:line="312" w:lineRule="auto"/>
        <w:ind w:firstLine="472" w:firstLineChars="196"/>
        <w:textAlignment w:val="baseline"/>
        <w:rPr>
          <w:rStyle w:val="43"/>
          <w:rFonts w:hint="eastAsia" w:ascii="宋体" w:hAnsi="宋体" w:eastAsia="宋体" w:cs="宋体"/>
          <w:b/>
          <w:bCs/>
          <w:color w:val="auto"/>
          <w:sz w:val="24"/>
          <w:szCs w:val="24"/>
          <w:highlight w:val="none"/>
        </w:rPr>
      </w:pPr>
      <w:r>
        <w:rPr>
          <w:rStyle w:val="43"/>
          <w:rFonts w:hint="eastAsia" w:ascii="宋体" w:hAnsi="宋体" w:eastAsia="宋体" w:cs="宋体"/>
          <w:b/>
          <w:bCs/>
          <w:color w:val="auto"/>
          <w:sz w:val="24"/>
          <w:szCs w:val="24"/>
          <w:highlight w:val="none"/>
        </w:rPr>
        <w:t>承包人和发包人一致同意增加12.4、12.5：</w:t>
      </w:r>
    </w:p>
    <w:p>
      <w:pPr>
        <w:pStyle w:val="32"/>
        <w:widowControl/>
        <w:spacing w:after="0" w:line="312" w:lineRule="auto"/>
        <w:ind w:firstLine="470" w:firstLineChars="196"/>
        <w:textAlignment w:val="baseline"/>
        <w:rPr>
          <w:rStyle w:val="43"/>
          <w:rFonts w:hint="eastAsia" w:ascii="宋体" w:hAnsi="宋体" w:eastAsia="宋体" w:cs="宋体"/>
          <w:color w:val="auto"/>
          <w:sz w:val="24"/>
          <w:szCs w:val="24"/>
          <w:highlight w:val="none"/>
        </w:rPr>
      </w:pPr>
      <w:r>
        <w:rPr>
          <w:rStyle w:val="43"/>
          <w:rFonts w:hint="eastAsia" w:ascii="宋体" w:hAnsi="宋体" w:eastAsia="宋体" w:cs="宋体"/>
          <w:color w:val="auto"/>
          <w:sz w:val="24"/>
          <w:szCs w:val="24"/>
          <w:highlight w:val="none"/>
        </w:rPr>
        <w:t>12.4因承包人责任过失造成安全事故的，除按照国家规定由行政主管部门给予承包人处罚外，承包人还应负责赔偿发包人的损失，并按照专用条款第96.11（3）款的约定承担违约责任。</w:t>
      </w:r>
    </w:p>
    <w:p>
      <w:pPr>
        <w:pStyle w:val="32"/>
        <w:widowControl/>
        <w:spacing w:after="0" w:line="312" w:lineRule="auto"/>
        <w:ind w:firstLine="470" w:firstLineChars="196"/>
        <w:textAlignment w:val="baseline"/>
        <w:rPr>
          <w:rStyle w:val="43"/>
          <w:rFonts w:hint="eastAsia" w:ascii="宋体" w:hAnsi="宋体" w:eastAsia="宋体" w:cs="宋体"/>
          <w:color w:val="auto"/>
          <w:sz w:val="24"/>
          <w:szCs w:val="24"/>
          <w:highlight w:val="none"/>
        </w:rPr>
      </w:pPr>
      <w:r>
        <w:rPr>
          <w:rStyle w:val="43"/>
          <w:rFonts w:hint="eastAsia" w:ascii="宋体" w:hAnsi="宋体" w:eastAsia="宋体" w:cs="宋体"/>
          <w:color w:val="auto"/>
          <w:sz w:val="24"/>
          <w:szCs w:val="24"/>
          <w:highlight w:val="none"/>
        </w:rPr>
        <w:t>12.5 承包人应保证发包人免于受到或承担应由承包人负责的因承包人现场施工所引起的或与之有关的索赔、诉讼以及其他开支（非承包人原因除外）；若有证据证实发包人因此发生了索赔、诉讼以及其他开支，承包人必须在接到发包人通知后三天内据实补偿发包人因此所受到的损失。</w:t>
      </w:r>
    </w:p>
    <w:p>
      <w:pPr>
        <w:pStyle w:val="11"/>
        <w:tabs>
          <w:tab w:val="left" w:pos="540"/>
        </w:tabs>
        <w:adjustRightInd w:val="0"/>
        <w:snapToGrid w:val="0"/>
        <w:spacing w:before="240" w:beforeLines="100" w:line="360" w:lineRule="auto"/>
        <w:ind w:right="-20"/>
        <w:jc w:val="both"/>
        <w:textAlignment w:val="baseline"/>
        <w:outlineLvl w:val="2"/>
        <w:rPr>
          <w:rStyle w:val="25"/>
          <w:rFonts w:hint="eastAsia" w:ascii="宋体" w:hAnsi="宋体" w:eastAsia="宋体" w:cs="宋体"/>
          <w:b/>
          <w:bCs/>
          <w:color w:val="000000"/>
          <w:kern w:val="2"/>
          <w:sz w:val="24"/>
          <w:szCs w:val="24"/>
          <w:highlight w:val="none"/>
          <w:lang w:val="en-US" w:eastAsia="zh-CN" w:bidi="ar-SA"/>
        </w:rPr>
      </w:pPr>
      <w:bookmarkStart w:id="66" w:name="_Toc12084"/>
      <w:bookmarkStart w:id="67" w:name="_Toc15780"/>
      <w:bookmarkStart w:id="68" w:name="_Toc4679"/>
      <w:bookmarkStart w:id="69" w:name="_Toc10358"/>
      <w:r>
        <w:rPr>
          <w:rStyle w:val="25"/>
          <w:rFonts w:hint="eastAsia" w:ascii="宋体" w:hAnsi="宋体" w:eastAsia="宋体" w:cs="宋体"/>
          <w:b/>
          <w:bCs/>
          <w:color w:val="000000"/>
          <w:kern w:val="2"/>
          <w:sz w:val="24"/>
          <w:szCs w:val="24"/>
          <w:highlight w:val="none"/>
          <w:lang w:val="en-US" w:eastAsia="zh-CN" w:bidi="ar-SA"/>
        </w:rPr>
        <w:t>13 交通运输</w:t>
      </w:r>
      <w:bookmarkEnd w:id="66"/>
      <w:bookmarkEnd w:id="67"/>
      <w:bookmarkEnd w:id="68"/>
      <w:bookmarkEnd w:id="69"/>
    </w:p>
    <w:p>
      <w:pPr>
        <w:spacing w:line="312" w:lineRule="auto"/>
        <w:ind w:right="-20" w:firstLine="480" w:firstLineChars="200"/>
        <w:jc w:val="both"/>
        <w:textAlignment w:val="baseline"/>
        <w:rPr>
          <w:rStyle w:val="43"/>
          <w:rFonts w:hint="eastAsia" w:ascii="宋体" w:hAnsi="宋体" w:eastAsia="宋体" w:cs="宋体"/>
          <w:b/>
          <w:bCs/>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13.1 道路通行权和场外设施的约定：发包人协助承包人办理出入场地的专用和临时道路的通行权，以及取得为实施合同工程所需修建场外设施的权利，设施建设费用由承包人承担。</w:t>
      </w:r>
    </w:p>
    <w:p>
      <w:pPr>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13.2 场外施工道路的约定：无。</w:t>
      </w:r>
    </w:p>
    <w:p>
      <w:pPr>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13.4 超大件和超重件运输的约定：无。</w:t>
      </w:r>
    </w:p>
    <w:p>
      <w:pPr>
        <w:pStyle w:val="11"/>
        <w:tabs>
          <w:tab w:val="left" w:pos="540"/>
        </w:tabs>
        <w:adjustRightInd w:val="0"/>
        <w:snapToGrid w:val="0"/>
        <w:spacing w:before="240" w:beforeLines="100" w:line="360" w:lineRule="auto"/>
        <w:ind w:right="-20"/>
        <w:jc w:val="both"/>
        <w:textAlignment w:val="baseline"/>
        <w:outlineLvl w:val="2"/>
        <w:rPr>
          <w:rStyle w:val="25"/>
          <w:rFonts w:hint="eastAsia" w:ascii="宋体" w:hAnsi="宋体" w:eastAsia="宋体" w:cs="宋体"/>
          <w:b/>
          <w:bCs/>
          <w:color w:val="000000"/>
          <w:kern w:val="2"/>
          <w:sz w:val="24"/>
          <w:szCs w:val="24"/>
          <w:highlight w:val="none"/>
          <w:lang w:val="en-US" w:eastAsia="zh-CN" w:bidi="ar-SA"/>
        </w:rPr>
      </w:pPr>
      <w:bookmarkStart w:id="70" w:name="_Toc15642"/>
      <w:bookmarkStart w:id="71" w:name="_Toc18175"/>
      <w:bookmarkStart w:id="72" w:name="_Toc27900"/>
      <w:bookmarkStart w:id="73" w:name="_Toc22104"/>
      <w:r>
        <w:rPr>
          <w:rStyle w:val="25"/>
          <w:rFonts w:hint="eastAsia" w:ascii="宋体" w:hAnsi="宋体" w:eastAsia="宋体" w:cs="宋体"/>
          <w:b/>
          <w:bCs/>
          <w:color w:val="000000"/>
          <w:kern w:val="2"/>
          <w:sz w:val="24"/>
          <w:szCs w:val="24"/>
          <w:highlight w:val="none"/>
          <w:lang w:val="en-US" w:eastAsia="zh-CN" w:bidi="ar-SA"/>
        </w:rPr>
        <w:t>14 专项批准事件的签认</w:t>
      </w:r>
      <w:bookmarkEnd w:id="70"/>
      <w:bookmarkEnd w:id="71"/>
      <w:bookmarkEnd w:id="72"/>
      <w:bookmarkEnd w:id="73"/>
    </w:p>
    <w:p>
      <w:pPr>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14.2(1)专项批准事件的监理工程师：</w:t>
      </w:r>
    </w:p>
    <w:p>
      <w:pPr>
        <w:tabs>
          <w:tab w:val="left" w:pos="3100"/>
          <w:tab w:val="left" w:pos="5740"/>
          <w:tab w:val="left" w:pos="7545"/>
        </w:tabs>
        <w:spacing w:line="312" w:lineRule="auto"/>
        <w:ind w:right="-2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具体人选：      印章样式：       签字样式：</w:t>
      </w:r>
    </w:p>
    <w:p>
      <w:pPr>
        <w:tabs>
          <w:tab w:val="left" w:pos="3100"/>
          <w:tab w:val="left" w:pos="5740"/>
          <w:tab w:val="left" w:pos="7545"/>
        </w:tabs>
        <w:spacing w:line="312" w:lineRule="auto"/>
        <w:ind w:right="-2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授权范围：</w:t>
      </w:r>
    </w:p>
    <w:p>
      <w:pPr>
        <w:tabs>
          <w:tab w:val="left" w:pos="3100"/>
          <w:tab w:val="left" w:pos="5740"/>
          <w:tab w:val="left" w:pos="7545"/>
        </w:tabs>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(2)专项批准事件的造价工程师</w:t>
      </w:r>
    </w:p>
    <w:p>
      <w:pPr>
        <w:tabs>
          <w:tab w:val="left" w:pos="3100"/>
          <w:tab w:val="left" w:pos="5505"/>
          <w:tab w:val="left" w:pos="7545"/>
        </w:tabs>
        <w:spacing w:line="312" w:lineRule="auto"/>
        <w:ind w:right="-2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具体人选：      印章样式：       签字样式：</w:t>
      </w:r>
    </w:p>
    <w:p>
      <w:pPr>
        <w:tabs>
          <w:tab w:val="left" w:pos="3100"/>
          <w:tab w:val="left" w:pos="5505"/>
          <w:tab w:val="left" w:pos="7545"/>
        </w:tabs>
        <w:spacing w:line="312" w:lineRule="auto"/>
        <w:ind w:right="-2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授权范围：</w:t>
      </w:r>
    </w:p>
    <w:p>
      <w:pPr>
        <w:tabs>
          <w:tab w:val="left" w:pos="3100"/>
          <w:tab w:val="left" w:pos="5505"/>
          <w:tab w:val="left" w:pos="7545"/>
        </w:tabs>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(3)专项批准事件的建造师的：</w:t>
      </w:r>
    </w:p>
    <w:p>
      <w:pPr>
        <w:tabs>
          <w:tab w:val="left" w:pos="3100"/>
          <w:tab w:val="left" w:pos="5265"/>
          <w:tab w:val="left" w:pos="7545"/>
        </w:tabs>
        <w:spacing w:line="312" w:lineRule="auto"/>
        <w:ind w:right="-2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具体人选：      印章样式：       签字样式：</w:t>
      </w:r>
    </w:p>
    <w:p>
      <w:pPr>
        <w:tabs>
          <w:tab w:val="left" w:pos="3100"/>
          <w:tab w:val="left" w:pos="5265"/>
          <w:tab w:val="left" w:pos="7545"/>
        </w:tabs>
        <w:spacing w:line="312" w:lineRule="auto"/>
        <w:ind w:right="-2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授权范围：</w:t>
      </w:r>
    </w:p>
    <w:p>
      <w:pPr>
        <w:pStyle w:val="11"/>
        <w:tabs>
          <w:tab w:val="left" w:pos="540"/>
        </w:tabs>
        <w:adjustRightInd w:val="0"/>
        <w:snapToGrid w:val="0"/>
        <w:spacing w:before="240" w:beforeLines="100" w:line="360" w:lineRule="auto"/>
        <w:ind w:right="-20"/>
        <w:jc w:val="both"/>
        <w:textAlignment w:val="baseline"/>
        <w:outlineLvl w:val="2"/>
        <w:rPr>
          <w:rStyle w:val="25"/>
          <w:rFonts w:hint="eastAsia" w:ascii="宋体" w:hAnsi="宋体" w:eastAsia="宋体" w:cs="宋体"/>
          <w:b/>
          <w:bCs/>
          <w:color w:val="000000"/>
          <w:kern w:val="2"/>
          <w:sz w:val="24"/>
          <w:szCs w:val="24"/>
          <w:highlight w:val="none"/>
          <w:lang w:val="en-US" w:eastAsia="zh-CN" w:bidi="ar-SA"/>
        </w:rPr>
      </w:pPr>
      <w:bookmarkStart w:id="74" w:name="_Toc12316"/>
      <w:bookmarkStart w:id="75" w:name="_Toc22206"/>
      <w:bookmarkStart w:id="76" w:name="_Toc30737"/>
      <w:bookmarkStart w:id="77" w:name="_Toc13575"/>
      <w:r>
        <w:rPr>
          <w:rStyle w:val="25"/>
          <w:rFonts w:hint="eastAsia" w:ascii="宋体" w:hAnsi="宋体" w:eastAsia="宋体" w:cs="宋体"/>
          <w:b/>
          <w:bCs/>
          <w:color w:val="000000"/>
          <w:kern w:val="2"/>
          <w:sz w:val="24"/>
          <w:szCs w:val="24"/>
          <w:highlight w:val="none"/>
          <w:lang w:val="en-US" w:eastAsia="zh-CN" w:bidi="ar-SA"/>
        </w:rPr>
        <w:t>19、发包人</w:t>
      </w:r>
      <w:bookmarkEnd w:id="74"/>
      <w:bookmarkEnd w:id="75"/>
      <w:bookmarkEnd w:id="76"/>
      <w:bookmarkEnd w:id="77"/>
    </w:p>
    <w:p>
      <w:pPr>
        <w:tabs>
          <w:tab w:val="left" w:pos="3100"/>
          <w:tab w:val="left" w:pos="5265"/>
          <w:tab w:val="left" w:pos="7545"/>
        </w:tabs>
        <w:spacing w:line="312" w:lineRule="auto"/>
        <w:ind w:right="-20" w:firstLine="470" w:firstLineChars="196"/>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19.2 发包人完成下列工作的约定：</w:t>
      </w:r>
    </w:p>
    <w:p>
      <w:pPr>
        <w:tabs>
          <w:tab w:val="left" w:pos="3100"/>
          <w:tab w:val="left" w:pos="5265"/>
          <w:tab w:val="left" w:pos="7545"/>
        </w:tabs>
        <w:spacing w:line="312" w:lineRule="auto"/>
        <w:ind w:right="-20" w:firstLine="470" w:firstLineChars="196"/>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(1)施工场地具备施工条件的要求及完成时间：发包人负责在开工前完成施工场地的征地拆迁工作，具备按设计要求进行场地平整施工的条件（合同及招标文件另有约定的除外）。(2)完成施工所需水、电、通讯线路接驳的时间及地点：通讯设施由承包人自行负责，费用已包含在合同价款中，发包人不再另行计量支付。发包人在办理施工临时用水、用电接驳事宜时承包人应尽可能提供必要的协助。</w:t>
      </w:r>
    </w:p>
    <w:p>
      <w:pPr>
        <w:tabs>
          <w:tab w:val="left" w:pos="3100"/>
          <w:tab w:val="left" w:pos="5265"/>
          <w:tab w:val="left" w:pos="7545"/>
        </w:tabs>
        <w:spacing w:line="312" w:lineRule="auto"/>
        <w:ind w:right="-20" w:firstLine="470" w:firstLineChars="196"/>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(3)开工施工现场与城乡公共道路间的通道的约定：由承包人根据现场的需要或发包人的要求结合现场实际情况考虑，设施建设相关费用已包含在合同价款中,发包人不再另行计量支付。</w:t>
      </w:r>
    </w:p>
    <w:p>
      <w:pPr>
        <w:tabs>
          <w:tab w:val="left" w:pos="3100"/>
          <w:tab w:val="left" w:pos="5265"/>
          <w:tab w:val="left" w:pos="7545"/>
        </w:tabs>
        <w:spacing w:line="312" w:lineRule="auto"/>
        <w:ind w:right="-20" w:firstLine="470" w:firstLineChars="196"/>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(4)提供有关资料的时间：工程地质资料与设计文件同时提供；地下管线、构筑物资料由承包人自行调查核实，并承担由于施工过程造成其损伤而引起的责任和损失，费用已包含在合同价款中，发包人不另行计量支付，发包人可提供可能的协助和方便。</w:t>
      </w:r>
    </w:p>
    <w:p>
      <w:pPr>
        <w:tabs>
          <w:tab w:val="left" w:pos="3100"/>
          <w:tab w:val="left" w:pos="5265"/>
          <w:tab w:val="left" w:pos="7545"/>
        </w:tabs>
        <w:spacing w:line="312" w:lineRule="auto"/>
        <w:ind w:right="-20" w:firstLine="470" w:firstLineChars="196"/>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(5)办理有关所需证件的约定：由承包人负责办理、发包人配合（承包人自身施工资质等证件除外），所发生费用按本地行业管理部门的规定各自承担。</w:t>
      </w:r>
    </w:p>
    <w:p>
      <w:pPr>
        <w:tabs>
          <w:tab w:val="left" w:pos="3100"/>
          <w:tab w:val="left" w:pos="5265"/>
          <w:tab w:val="left" w:pos="7545"/>
        </w:tabs>
        <w:spacing w:line="312" w:lineRule="auto"/>
        <w:ind w:right="-20" w:firstLine="470" w:firstLineChars="196"/>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(6)水准点与坐标控制点交验的要求：发包人负责在施工现场将已施测的水准点高程与平面控制点坐标以书面形式提供给承包人，承包人应做好交验记录。</w:t>
      </w:r>
    </w:p>
    <w:p>
      <w:pPr>
        <w:tabs>
          <w:tab w:val="left" w:pos="3100"/>
          <w:tab w:val="left" w:pos="5265"/>
          <w:tab w:val="left" w:pos="7545"/>
        </w:tabs>
        <w:spacing w:line="312" w:lineRule="auto"/>
        <w:ind w:right="-20" w:firstLine="470" w:firstLineChars="196"/>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(7)本合同工程中使用的标准与规范文本由承包人自行购买。</w:t>
      </w:r>
    </w:p>
    <w:p>
      <w:pPr>
        <w:tabs>
          <w:tab w:val="left" w:pos="3100"/>
          <w:tab w:val="left" w:pos="5265"/>
          <w:tab w:val="left" w:pos="7545"/>
        </w:tabs>
        <w:spacing w:line="312" w:lineRule="auto"/>
        <w:ind w:right="-20" w:firstLine="470" w:firstLineChars="196"/>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(8)组织图纸会审和设计交底的约定：承包人接到施工图纸7天内进行。</w:t>
      </w:r>
    </w:p>
    <w:p>
      <w:pPr>
        <w:tabs>
          <w:tab w:val="left" w:pos="3100"/>
          <w:tab w:val="left" w:pos="5265"/>
          <w:tab w:val="left" w:pos="7545"/>
        </w:tabs>
        <w:autoSpaceDE w:val="0"/>
        <w:autoSpaceDN w:val="0"/>
        <w:adjustRightInd w:val="0"/>
        <w:spacing w:line="312" w:lineRule="auto"/>
        <w:ind w:right="-20" w:firstLine="470" w:firstLineChars="196"/>
        <w:jc w:val="left"/>
        <w:textAlignment w:val="auto"/>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(9)接收已完工程并支付工程相关价款的约定：无。</w:t>
      </w:r>
    </w:p>
    <w:p>
      <w:pPr>
        <w:tabs>
          <w:tab w:val="left" w:pos="3100"/>
          <w:tab w:val="left" w:pos="5265"/>
          <w:tab w:val="left" w:pos="7545"/>
        </w:tabs>
        <w:spacing w:line="312" w:lineRule="auto"/>
        <w:ind w:right="-20" w:firstLine="470" w:firstLineChars="196"/>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发包人委托给承包人办理的其他工作：无。</w:t>
      </w:r>
    </w:p>
    <w:p>
      <w:pPr>
        <w:spacing w:line="312" w:lineRule="auto"/>
        <w:ind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19.3 提供施工场地的时间：承包人按照发包人通知的时间进场，并对施工场地履行照管责任。发包人保留其工作人员、雇员、发包人有关合作单位和相关执法人员进入和使用施工场地的权利。</w:t>
      </w:r>
    </w:p>
    <w:p>
      <w:pPr>
        <w:spacing w:line="312" w:lineRule="auto"/>
        <w:ind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19.4支付期及支付方式的约定</w:t>
      </w:r>
    </w:p>
    <w:p>
      <w:pPr>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(1) 工程价款支付期限</w:t>
      </w:r>
    </w:p>
    <w:p>
      <w:pPr>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√按合同通用条款规定期限支付。由于财政资金拨款不到位导致发包人逾期付款的，发包人不承担违约责任，并且此情况不能成为施工方造成违约行为的理由。</w:t>
      </w:r>
    </w:p>
    <w:p>
      <w:pPr>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×其他：</w:t>
      </w:r>
    </w:p>
    <w:p>
      <w:pPr>
        <w:tabs>
          <w:tab w:val="left" w:pos="1100"/>
        </w:tabs>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(2) 工程价款支付方式</w:t>
      </w:r>
    </w:p>
    <w:p>
      <w:pPr>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√按协议书所注明的银行帐号转帐。</w:t>
      </w:r>
    </w:p>
    <w:p>
      <w:pPr>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×支票支付。</w:t>
      </w:r>
    </w:p>
    <w:p>
      <w:pPr>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×其他方式：</w:t>
      </w:r>
    </w:p>
    <w:p>
      <w:pPr>
        <w:pStyle w:val="11"/>
        <w:tabs>
          <w:tab w:val="left" w:pos="540"/>
        </w:tabs>
        <w:adjustRightInd w:val="0"/>
        <w:snapToGrid w:val="0"/>
        <w:spacing w:before="240" w:beforeLines="100" w:line="360" w:lineRule="auto"/>
        <w:ind w:right="-20"/>
        <w:jc w:val="both"/>
        <w:textAlignment w:val="baseline"/>
        <w:outlineLvl w:val="2"/>
        <w:rPr>
          <w:rStyle w:val="25"/>
          <w:rFonts w:hint="eastAsia" w:ascii="宋体" w:hAnsi="宋体" w:eastAsia="宋体" w:cs="宋体"/>
          <w:b/>
          <w:bCs/>
          <w:color w:val="000000"/>
          <w:kern w:val="2"/>
          <w:sz w:val="24"/>
          <w:szCs w:val="24"/>
          <w:highlight w:val="none"/>
          <w:lang w:val="en-US" w:eastAsia="zh-CN" w:bidi="ar-SA"/>
        </w:rPr>
      </w:pPr>
      <w:bookmarkStart w:id="78" w:name="_Toc421"/>
      <w:bookmarkStart w:id="79" w:name="_Toc32249"/>
      <w:bookmarkStart w:id="80" w:name="_Toc18358"/>
      <w:bookmarkStart w:id="81" w:name="_Toc18729"/>
      <w:r>
        <w:rPr>
          <w:rStyle w:val="25"/>
          <w:rFonts w:hint="eastAsia" w:ascii="宋体" w:hAnsi="宋体" w:eastAsia="宋体" w:cs="宋体"/>
          <w:b/>
          <w:bCs/>
          <w:color w:val="000000"/>
          <w:kern w:val="2"/>
          <w:sz w:val="24"/>
          <w:szCs w:val="24"/>
          <w:highlight w:val="none"/>
          <w:lang w:val="en-US" w:eastAsia="zh-CN" w:bidi="ar-SA"/>
        </w:rPr>
        <w:t>20 承包人</w:t>
      </w:r>
      <w:bookmarkEnd w:id="78"/>
      <w:bookmarkEnd w:id="79"/>
      <w:bookmarkEnd w:id="80"/>
      <w:bookmarkEnd w:id="81"/>
    </w:p>
    <w:p>
      <w:pPr>
        <w:spacing w:line="312" w:lineRule="auto"/>
        <w:ind w:left="466" w:leftChars="222" w:right="-2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20.2 承包人应按照合同约定时间和要求完成包括但不限于以下工作：</w:t>
      </w:r>
    </w:p>
    <w:p>
      <w:pPr>
        <w:spacing w:line="312" w:lineRule="auto"/>
        <w:ind w:right="-20" w:firstLine="465" w:firstLineChars="194"/>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（4）根据工程需要，承包人提供和维修白天或夜间施工使用的照明、围栏设施，并负责安全保卫。若承包人未履行上述义务造成工程、财产、人身损害等，由承包人承担责任及因此所发生的一切费用。</w:t>
      </w:r>
    </w:p>
    <w:p>
      <w:pPr>
        <w:spacing w:line="312" w:lineRule="auto"/>
        <w:ind w:right="-20" w:firstLine="465" w:firstLineChars="194"/>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（6）遵守政府部门有关施工场地交通、环境保护、施工噪声、安全文明施工等的管理规定，按工程所在地人民政府的规定办理相关手续并承担由此发生的费用，并以书面形式通知发包人。</w:t>
      </w:r>
    </w:p>
    <w:p>
      <w:pPr>
        <w:spacing w:line="312" w:lineRule="auto"/>
        <w:ind w:right="-20" w:firstLine="465" w:firstLineChars="194"/>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（7）已完工的工程在未移交给后续施工单位或者发包人使用前，由承包人负责照管，照管费用由承包人负责；发生损坏由承包人自费修复。</w:t>
      </w:r>
    </w:p>
    <w:p>
      <w:pPr>
        <w:spacing w:line="312" w:lineRule="auto"/>
        <w:ind w:right="-20" w:firstLine="465" w:firstLineChars="194"/>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8）承包人应对施工场地及周围的地下管线、建筑物、构筑物（含文物保护建筑）、古树名木的状况进行勘察，根据勘察结果确定具体的保护措施并承担有关费用。若发现正常施工措施及现有条件已不能达到保护目的，承包人应及时报告，经监理工程师、发包人批准采取特殊保护处理的，发包人承担不包含在招投标内容中的额外保护费用。</w:t>
      </w:r>
    </w:p>
    <w:p>
      <w:pPr>
        <w:spacing w:line="312" w:lineRule="auto"/>
        <w:ind w:right="-20" w:firstLine="465" w:firstLineChars="194"/>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承包人应对所采取的保护措施进行监测，并应根据监测结果及时反馈信息指导施工，以确保上述受保护物件及作业人员、居民的安全。因承包人原因，受保护物件发生损坏的，由承包人承担责任并负责赔偿。</w:t>
      </w:r>
    </w:p>
    <w:p>
      <w:pPr>
        <w:autoSpaceDE w:val="0"/>
        <w:autoSpaceDN w:val="0"/>
        <w:adjustRightInd w:val="0"/>
        <w:spacing w:line="312" w:lineRule="auto"/>
        <w:ind w:right="-20" w:firstLine="465" w:firstLineChars="194"/>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9）承包人应遵守政府部门有关环境卫生的管理规定，保证施工场地的清洁和做好交工前施工现场的清理工作，及时清运施工垃圾和余泥，达到合同协议书约定的安全生产及文明施工目标，并承担因自身责任造成的损失和罚款。</w:t>
      </w:r>
    </w:p>
    <w:p>
      <w:pPr>
        <w:autoSpaceDE w:val="0"/>
        <w:autoSpaceDN w:val="0"/>
        <w:adjustRightInd w:val="0"/>
        <w:spacing w:line="312" w:lineRule="auto"/>
        <w:ind w:right="-20" w:firstLine="465" w:firstLineChars="194"/>
        <w:rPr>
          <w:rStyle w:val="30"/>
          <w:rFonts w:hint="eastAsia" w:ascii="宋体" w:hAnsi="宋体" w:eastAsia="宋体" w:cs="宋体"/>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）承包人应无条件配合发包人有关创建文明城市的相关工作，并按相关要求做好相应工作，详见《广州市建设工程现场文明施工管理办法》（穗建质[2008]937号）。</w:t>
      </w:r>
    </w:p>
    <w:p>
      <w:pPr>
        <w:pStyle w:val="32"/>
        <w:widowControl/>
        <w:spacing w:after="0" w:line="312" w:lineRule="auto"/>
        <w:ind w:firstLine="470" w:firstLineChars="196"/>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11</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由承包人承担施工场地及周围的地下管线（包括供水、供电、供气、电讯、油管等）、建筑物、构筑物（含文物保护建筑）、名树名木的保护工作并向有关单位报告。并且由承包人承担在施工过程造成其损伤而引起的责任和损失，费用已包含在合同价款中，发包人不另行计量支付。</w:t>
      </w:r>
    </w:p>
    <w:p>
      <w:pPr>
        <w:pStyle w:val="32"/>
        <w:widowControl/>
        <w:spacing w:after="0" w:line="312" w:lineRule="auto"/>
        <w:ind w:firstLine="472" w:firstLineChars="196"/>
        <w:textAlignment w:val="baseline"/>
        <w:rPr>
          <w:rStyle w:val="43"/>
          <w:rFonts w:hint="eastAsia" w:ascii="宋体" w:hAnsi="宋体" w:eastAsia="宋体" w:cs="宋体"/>
          <w:color w:val="auto"/>
          <w:sz w:val="24"/>
          <w:szCs w:val="24"/>
          <w:highlight w:val="none"/>
        </w:rPr>
      </w:pPr>
      <w:r>
        <w:rPr>
          <w:rStyle w:val="43"/>
          <w:rFonts w:hint="eastAsia" w:ascii="宋体" w:hAnsi="宋体" w:eastAsia="宋体" w:cs="宋体"/>
          <w:b/>
          <w:bCs/>
          <w:color w:val="auto"/>
          <w:sz w:val="24"/>
          <w:szCs w:val="24"/>
          <w:highlight w:val="none"/>
        </w:rPr>
        <w:t>承包人和发包人一致同意增加20.8、20.9、20.10、20.11：</w:t>
      </w:r>
    </w:p>
    <w:p>
      <w:pPr>
        <w:tabs>
          <w:tab w:val="left" w:pos="3100"/>
          <w:tab w:val="left" w:pos="5265"/>
          <w:tab w:val="left" w:pos="7545"/>
        </w:tabs>
        <w:autoSpaceDE w:val="0"/>
        <w:autoSpaceDN w:val="0"/>
        <w:adjustRightInd w:val="0"/>
        <w:spacing w:line="312" w:lineRule="auto"/>
        <w:ind w:right="-20" w:firstLine="470" w:firstLineChars="196"/>
        <w:rPr>
          <w:rFonts w:hint="eastAsia" w:ascii="宋体" w:hAnsi="宋体" w:eastAsia="宋体" w:cs="宋体"/>
          <w:sz w:val="24"/>
          <w:szCs w:val="24"/>
          <w:highlight w:val="none"/>
        </w:rPr>
      </w:pPr>
      <w:r>
        <w:rPr>
          <w:rFonts w:hint="eastAsia" w:ascii="宋体" w:hAnsi="宋体" w:eastAsia="宋体" w:cs="宋体"/>
          <w:sz w:val="24"/>
          <w:szCs w:val="24"/>
          <w:highlight w:val="none"/>
        </w:rPr>
        <w:t>20.</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 xml:space="preserve"> 承包人应根据现场实际情况考虑切实可行的施工方案及费用，发包人不对承包人因施工方案改变而引起的任何费用的增加进行补偿。施工过程中由于承包人的施工方案未考虑周全而造成的经济损失（包括调整施工方案所增加的费用）及法律责任均由承包人承担，情况严重时发包人有权终止合同。</w:t>
      </w:r>
    </w:p>
    <w:p>
      <w:pPr>
        <w:autoSpaceDE w:val="0"/>
        <w:autoSpaceDN w:val="0"/>
        <w:adjustRightInd w:val="0"/>
        <w:spacing w:line="312" w:lineRule="auto"/>
        <w:ind w:right="-20" w:firstLine="465" w:firstLineChars="194"/>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按穗建技[2010]1151号文要求，对深度超过5米基坑的支护工程专项施工方案，承包人应依法组织专家论证、审查。该费用已包含在合同价中，发包人不予以另外支付。</w:t>
      </w:r>
    </w:p>
    <w:p>
      <w:pPr>
        <w:autoSpaceDE w:val="0"/>
        <w:autoSpaceDN w:val="0"/>
        <w:adjustRightInd w:val="0"/>
        <w:spacing w:line="312" w:lineRule="auto"/>
        <w:ind w:right="-20" w:firstLine="465" w:firstLineChars="194"/>
        <w:rPr>
          <w:rFonts w:hint="eastAsia" w:ascii="宋体" w:hAnsi="宋体" w:eastAsia="宋体" w:cs="宋体"/>
          <w:sz w:val="24"/>
          <w:szCs w:val="24"/>
          <w:highlight w:val="none"/>
        </w:rPr>
      </w:pPr>
      <w:r>
        <w:rPr>
          <w:rFonts w:hint="eastAsia" w:ascii="宋体" w:hAnsi="宋体" w:eastAsia="宋体" w:cs="宋体"/>
          <w:sz w:val="24"/>
          <w:szCs w:val="24"/>
          <w:highlight w:val="none"/>
        </w:rPr>
        <w:t>根据《住房和城乡建设部关于修改部分部门规章的决定》（2019年3月13日发布；2019年3月13日实施）、《住房城乡建设部办公厅关于实施&lt;危险性较大的分部分项工程安全管理规定&gt;有关问题的通知》建办质〔2018〕31号文、《广东省住房和城乡建设厅关于房屋市政工程危险性较大的分部分项工程安全管理的实施细则》，高大模板、深基坑支护工程等六类危险性较大工程需由施工单位编制（通过其内部审批的）专项施工方案，并由施工单位聘请专家进行论证评审通过后方可实施，该审查费用已包含在合同总价中，发包人不予以另外支付。</w:t>
      </w:r>
    </w:p>
    <w:p>
      <w:pPr>
        <w:spacing w:line="312" w:lineRule="auto"/>
        <w:ind w:left="2" w:firstLine="525" w:firstLineChars="218"/>
        <w:jc w:val="both"/>
        <w:textAlignment w:val="baseline"/>
        <w:rPr>
          <w:rStyle w:val="43"/>
          <w:rFonts w:hint="eastAsia" w:ascii="宋体" w:hAnsi="宋体" w:eastAsia="宋体" w:cs="宋体"/>
          <w:color w:val="auto"/>
          <w:kern w:val="2"/>
          <w:sz w:val="24"/>
          <w:szCs w:val="24"/>
          <w:highlight w:val="none"/>
          <w:lang w:val="en-US" w:eastAsia="zh-CN" w:bidi="ar-SA"/>
        </w:rPr>
      </w:pPr>
      <w:bookmarkStart w:id="82" w:name="_Toc17709"/>
      <w:bookmarkStart w:id="83" w:name="_Toc25061"/>
      <w:r>
        <w:rPr>
          <w:rFonts w:hint="eastAsia" w:ascii="宋体" w:hAnsi="宋体" w:eastAsia="宋体" w:cs="宋体"/>
          <w:b/>
          <w:bCs/>
          <w:color w:val="000000"/>
          <w:kern w:val="2"/>
          <w:sz w:val="24"/>
          <w:szCs w:val="24"/>
          <w:highlight w:val="none"/>
          <w:lang w:val="en-US" w:eastAsia="zh-CN" w:bidi="ar-SA"/>
        </w:rPr>
        <w:t>20.9配合</w:t>
      </w:r>
      <w:r>
        <w:rPr>
          <w:rStyle w:val="25"/>
          <w:rFonts w:hint="eastAsia" w:ascii="宋体" w:hAnsi="宋体" w:eastAsia="宋体" w:cs="宋体"/>
          <w:b/>
          <w:bCs/>
          <w:color w:val="000000"/>
          <w:kern w:val="2"/>
          <w:sz w:val="24"/>
          <w:szCs w:val="24"/>
          <w:highlight w:val="none"/>
          <w:lang w:val="en-US" w:eastAsia="zh-CN" w:bidi="ar-SA"/>
        </w:rPr>
        <w:t>造价管理目标</w:t>
      </w:r>
      <w:bookmarkEnd w:id="82"/>
      <w:bookmarkEnd w:id="83"/>
    </w:p>
    <w:p>
      <w:pPr>
        <w:numPr>
          <w:ilvl w:val="0"/>
          <w:numId w:val="9"/>
        </w:numPr>
        <w:spacing w:line="312" w:lineRule="auto"/>
        <w:ind w:left="2" w:firstLine="523" w:firstLineChars="218"/>
        <w:jc w:val="left"/>
        <w:textAlignment w:val="baseline"/>
        <w:rPr>
          <w:rStyle w:val="25"/>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 xml:space="preserve">承包人有造价控制责任，需复核工程量清单有无工程量偏差、清单项缺漏、投标综合单价高于招标综合单价等，跟实际所需进行对比，并形成报告。按甲方要求的模板一次性提交项目的完整工程造价清标报告，并与造价咨询单位完成对数。A、承包人提交工程造价清标报告时限要求：从签订合同之日起计算 □造价3000万元以下的项目承包人应20个日历天提交工程造价清标报告。□造价3000万元至2亿元的项目承包人应35个日历天提交工程造价清标报告。 □造价2亿元以上的项目承包人应45个日历天提交工程造价清标报告。 </w:t>
      </w:r>
      <w:r>
        <w:rPr>
          <w:rStyle w:val="25"/>
          <w:rFonts w:hint="eastAsia" w:ascii="宋体" w:hAnsi="宋体" w:eastAsia="宋体" w:cs="宋体"/>
          <w:color w:val="auto"/>
          <w:kern w:val="2"/>
          <w:sz w:val="24"/>
          <w:szCs w:val="24"/>
          <w:highlight w:val="none"/>
          <w:lang w:val="en-US" w:eastAsia="zh-CN" w:bidi="ar-SA"/>
        </w:rPr>
        <w:t xml:space="preserve">特大型项目或特殊项目确需延长时限的，需经发包人同意批准，但延长时间原则上不超过30个日历天。B、承包人与造价咨询单位完成对数，确认工程造价清标结果，结果作为建设单位造价控制依据。后续实施过程中承包人提出的施工图纸范围内的工程量偏差、清单项缺漏等引起的费用增加，结算时发包人有权力不予确认。(2)施工过程中，造价有变化（工程量漏项、偏差，措施费增减：如土石方、桩等按实际结算的工程与预算清单有出入；施工方案变更引起的措施费增减）的承包人需及时书面报告，完成该项工作后1个月内需上报监理、发包人审核，否则发包人有权不予确认。（3）每份由签证、变更等引发造价变化的事项，都由承包人有资质的部门、人员按实编制预算，并需确保偏差值（偏差值=（|预算价-审核价|/预算价）*100%）不得偏离监理审核的10%、最终财审的5%，否则发包人有权视偏差情况进行一般违约或严重违约处罚。原则上承包人深化设计不得超出该部分原清单的造价（原清单漏量、缺量等特殊情况除外），且承包方需专题上报发包人审核，并按发包人要求的签证、变更管理办法完善相关手续后实施。(4)承包人有责任在合同总价范围内完成施工任务。当变更、签证等新增的费用超出暂列金50%时，承包人需15天内向发包人报告并采取有效措施控制造价；如变更、签证等新增费用存在超出暂列金的风险时，承包人需向发包人提交正式书面报告，并确保合同结算送审价不超过合同价（如有特殊情况的，另与发包人协商处理）。若承包人未按上述要求上报，发包人有权不予确认相关工程量，并视情况进行处罚。（5）承包人须承担因场地不足引起的工作增加，增加费用不另外计算，包括但不限于：办公用房等临设的租用，工人于工地外的住宿及交通安排措施；（6）承包人应客观真实报送工程结算，若施工过程中出现扣款、罚款情况，承包人上报结算时应如实上报，若承包人在结算中未上报，且结算未能计入的，将在质保金中扣除，并处以5000元/项的罚款。最终结算经天河区财政局审核后，偏差率不应超5%，否则按如下条款执行：  </w:t>
      </w:r>
    </w:p>
    <w:p>
      <w:pPr>
        <w:numPr>
          <w:ilvl w:val="0"/>
          <w:numId w:val="0"/>
        </w:numPr>
        <w:spacing w:line="312" w:lineRule="auto"/>
        <w:ind w:left="0" w:firstLine="480" w:firstLineChars="200"/>
        <w:jc w:val="left"/>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A:5~10%，发包人有权视偏差情况进行严重违约处罚。</w:t>
      </w:r>
    </w:p>
    <w:p>
      <w:pPr>
        <w:spacing w:line="312" w:lineRule="auto"/>
        <w:ind w:left="0" w:firstLine="480" w:firstLineChars="200"/>
        <w:jc w:val="left"/>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B:10%以上，发包人有权视偏差情况按超出审定价10％以外的金额(即送审结算价与审定金额110％的差额)的10％作为违约金，在其工程结算款中扣除。</w:t>
      </w:r>
    </w:p>
    <w:p>
      <w:pPr>
        <w:spacing w:line="312" w:lineRule="auto"/>
        <w:ind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20.10 承包人应于</w:t>
      </w:r>
      <w:r>
        <w:rPr>
          <w:rFonts w:hint="eastAsia" w:ascii="宋体" w:hAnsi="宋体" w:eastAsia="宋体" w:cs="宋体"/>
          <w:highlight w:val="none"/>
          <w:lang w:val="en-US" w:eastAsia="zh-CN"/>
        </w:rPr>
        <w:t>合同签订一月</w:t>
      </w:r>
      <w:r>
        <w:rPr>
          <w:rStyle w:val="43"/>
          <w:rFonts w:hint="eastAsia" w:ascii="宋体" w:hAnsi="宋体" w:eastAsia="宋体" w:cs="宋体"/>
          <w:color w:val="auto"/>
          <w:kern w:val="2"/>
          <w:sz w:val="24"/>
          <w:szCs w:val="24"/>
          <w:highlight w:val="none"/>
          <w:lang w:val="en-US" w:eastAsia="zh-CN" w:bidi="ar-SA"/>
        </w:rPr>
        <w:t>内向发包人提供工程履约保函（履约保函按本合同28.1要求开具）；于签定合同一个月内向发包人提供本项目办理各项建设行政审批手续所需的资料，协助发包人向主管部门申请办理工程质量安全监督手续和施工许可证。</w:t>
      </w:r>
    </w:p>
    <w:p>
      <w:pPr>
        <w:spacing w:line="312" w:lineRule="auto"/>
        <w:ind w:firstLine="48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20.11 承包人应当</w:t>
      </w:r>
      <w:r>
        <w:rPr>
          <w:rFonts w:hint="eastAsia" w:ascii="宋体" w:hAnsi="宋体" w:eastAsia="宋体" w:cs="宋体"/>
          <w:sz w:val="24"/>
          <w:szCs w:val="24"/>
          <w:highlight w:val="none"/>
        </w:rPr>
        <w:t>贯彻落实《保障农民工工资支付条例》（中华人民共和国国务院第724号）、《广州市建设领域施工企业工人工资支付保证金管理办法》</w:t>
      </w:r>
      <w:r>
        <w:rPr>
          <w:rFonts w:hint="eastAsia" w:ascii="宋体" w:hAnsi="宋体" w:eastAsia="宋体" w:cs="宋体"/>
          <w:sz w:val="24"/>
          <w:szCs w:val="24"/>
          <w:highlight w:val="none"/>
          <w:lang w:eastAsia="zh-CN"/>
        </w:rPr>
        <w:t>（根据《广州市人力资源和社会保障局、广州市住房和城乡建设局、广州市交通运输局、广州市水务局、中国人民银行广州分行关于印发&lt;广州市建设领域施工企业工人工资支付保证金管理办法&gt;的通知》(穗人社规字(2019)7号)）</w:t>
      </w:r>
      <w:r>
        <w:rPr>
          <w:rFonts w:hint="eastAsia" w:ascii="宋体" w:hAnsi="宋体" w:eastAsia="宋体" w:cs="宋体"/>
          <w:sz w:val="24"/>
          <w:szCs w:val="24"/>
          <w:highlight w:val="none"/>
        </w:rPr>
        <w:t>等</w:t>
      </w:r>
      <w:r>
        <w:rPr>
          <w:rStyle w:val="43"/>
          <w:rFonts w:hint="eastAsia" w:ascii="宋体" w:hAnsi="宋体" w:eastAsia="宋体" w:cs="宋体"/>
          <w:color w:val="auto"/>
          <w:kern w:val="2"/>
          <w:sz w:val="24"/>
          <w:szCs w:val="24"/>
          <w:highlight w:val="none"/>
          <w:lang w:val="en-US" w:eastAsia="zh-CN" w:bidi="ar-SA"/>
        </w:rPr>
        <w:t>国家及广东省、广州市的有关规定和本合同的有关约定加强其参与本合同工程建设人员（包括农民工）的管理。</w:t>
      </w:r>
    </w:p>
    <w:p>
      <w:pPr>
        <w:spacing w:line="312" w:lineRule="auto"/>
        <w:ind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（1）按时足额支付农民工工资</w:t>
      </w:r>
    </w:p>
    <w:p>
      <w:pPr>
        <w:spacing w:line="312" w:lineRule="auto"/>
        <w:ind w:firstLine="48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1）承包人应当根据劳动合同约定的农民工工资标准等内容，按照依法签订的集体合同或劳动合同约定的日期按月支付工资，并不得低于当地最低工资标准。</w:t>
      </w:r>
    </w:p>
    <w:p>
      <w:pPr>
        <w:spacing w:line="312" w:lineRule="auto"/>
        <w:ind w:firstLine="48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2）承包人应每月编制农民工工资支付表，如实记录支付时间、支付对象、支付金额等工资支付情况，并于每月底在其现场管理机构办公场所显眼位置公示，接受监督。</w:t>
      </w:r>
    </w:p>
    <w:p>
      <w:pPr>
        <w:spacing w:line="312" w:lineRule="auto"/>
        <w:ind w:firstLine="48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3）承包人应对其专业分包或劳务分包单位工资支付进行监督，督促其依法支付农民工工资。</w:t>
      </w:r>
    </w:p>
    <w:p>
      <w:pPr>
        <w:spacing w:line="312" w:lineRule="auto"/>
        <w:ind w:firstLine="48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4）承包人不按合同及有关规定按时、足额支付分包单位合同价款及民工工资而被投诉或上访属实的，发包人将严格按照合同约定追究其违约责任；如因此致使民工集体上访、集聚围阻而造成社会不良影响的，发包人有权终止与承包人的合同，并上报省、市主管部门建议取消其参加广州地区省、市重大项目的投标资格，并由发包人予以公告。如属恶意煽动并造成社会不良影响的，发包人将提请司法部门追究其法律责任。</w:t>
      </w:r>
    </w:p>
    <w:p>
      <w:pPr>
        <w:spacing w:line="312" w:lineRule="auto"/>
        <w:ind w:firstLine="48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5）由于承包人或其管理的分包单位、劳务合作单位拖欠民工工资，致使发包人被投诉或起诉并被判令先行垫付民工工资的，发包人除追究承包人和其它相关责任单位的违约责任外，还将在工程结算时双倍扣回发包人先行垫付的民工工资金额作为补偿。</w:t>
      </w:r>
    </w:p>
    <w:p>
      <w:pPr>
        <w:spacing w:line="312" w:lineRule="auto"/>
        <w:ind w:firstLine="48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6）承包人必须以高度负责的态度，对存在的可能引发劳资纠纷的各种因素进行排查，及时化解、处理可能发生劳资纠纷的不稳定因素；尤其是对恶意煽动民工集体上访、集聚围阻的行为，要善于及时发现并敢于揭露、制止。</w:t>
      </w:r>
    </w:p>
    <w:p>
      <w:pPr>
        <w:spacing w:line="312" w:lineRule="auto"/>
        <w:ind w:firstLine="48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（2）成立处理劳资纠纷的协调机构</w:t>
      </w:r>
    </w:p>
    <w:p>
      <w:pPr>
        <w:spacing w:line="312" w:lineRule="auto"/>
        <w:ind w:firstLine="48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承包人必须成立处理劳资纠纷的协调机构，承包人主管领导和项目经理要亲自负责，配备专职人员，及时化解劳资矛盾及纠纷，并及时揭露、制止恶意煽动民工集体上访、集聚围阻的行为，保证不发生民工集体上访、集聚围阻等事件。</w:t>
      </w:r>
    </w:p>
    <w:p>
      <w:pPr>
        <w:spacing w:line="312" w:lineRule="auto"/>
        <w:ind w:firstLine="48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20.12承包人在投标时已充分考虑了工程的特殊性，针对工期紧、任务重。结合自身条件，为顺利安全完工做了充足预案。在施工期间，承包人不得以赶工为理由增加工程费用及工期，需按照合同约定的工期完成。</w:t>
      </w:r>
    </w:p>
    <w:p>
      <w:pPr>
        <w:spacing w:line="312" w:lineRule="auto"/>
        <w:ind w:firstLine="48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20.13中标候选人在确定身份后，需立即做好施工进场准备。针对工期进行周密部署；安排充足的人工、机械设备、材料，合理的周转资金。充分利用项目场地的空间开展相关工作。在发包人通知开工时，立即进场施工。</w:t>
      </w:r>
    </w:p>
    <w:p>
      <w:pPr>
        <w:pStyle w:val="11"/>
        <w:tabs>
          <w:tab w:val="left" w:pos="540"/>
        </w:tabs>
        <w:adjustRightInd w:val="0"/>
        <w:snapToGrid w:val="0"/>
        <w:spacing w:before="240" w:beforeLines="100" w:line="360" w:lineRule="auto"/>
        <w:jc w:val="both"/>
        <w:textAlignment w:val="baseline"/>
        <w:outlineLvl w:val="2"/>
        <w:rPr>
          <w:rStyle w:val="25"/>
          <w:rFonts w:hint="eastAsia" w:ascii="宋体" w:hAnsi="宋体" w:eastAsia="宋体" w:cs="宋体"/>
          <w:b/>
          <w:bCs/>
          <w:color w:val="000000"/>
          <w:kern w:val="2"/>
          <w:sz w:val="24"/>
          <w:szCs w:val="24"/>
          <w:highlight w:val="none"/>
          <w:lang w:val="en-US" w:eastAsia="zh-CN" w:bidi="ar-SA"/>
        </w:rPr>
      </w:pPr>
      <w:bookmarkStart w:id="84" w:name="_Toc3895"/>
      <w:bookmarkStart w:id="85" w:name="_Toc14131"/>
      <w:bookmarkStart w:id="86" w:name="_Toc3137"/>
      <w:bookmarkStart w:id="87" w:name="_Toc12064"/>
      <w:r>
        <w:rPr>
          <w:rStyle w:val="25"/>
          <w:rFonts w:hint="eastAsia" w:ascii="宋体" w:hAnsi="宋体" w:eastAsia="宋体" w:cs="宋体"/>
          <w:b/>
          <w:bCs/>
          <w:color w:val="000000"/>
          <w:kern w:val="2"/>
          <w:sz w:val="24"/>
          <w:szCs w:val="24"/>
          <w:highlight w:val="none"/>
          <w:lang w:val="en-US" w:eastAsia="zh-CN" w:bidi="ar-SA"/>
        </w:rPr>
        <w:t>22 发包人代表</w:t>
      </w:r>
      <w:bookmarkEnd w:id="84"/>
      <w:bookmarkEnd w:id="85"/>
      <w:bookmarkEnd w:id="86"/>
      <w:bookmarkEnd w:id="87"/>
    </w:p>
    <w:p>
      <w:pPr>
        <w:spacing w:line="312" w:lineRule="auto"/>
        <w:ind w:firstLine="470" w:firstLineChars="196"/>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22.1 发包人代表及其权力的限制</w:t>
      </w:r>
    </w:p>
    <w:p>
      <w:pPr>
        <w:spacing w:line="312" w:lineRule="auto"/>
        <w:ind w:firstLine="470" w:firstLineChars="196"/>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(1)发包人任命（       ）为发包人代表，其联络通讯地址如下：</w:t>
      </w:r>
    </w:p>
    <w:p>
      <w:pPr>
        <w:spacing w:line="312" w:lineRule="auto"/>
        <w:ind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 xml:space="preserve">通讯地址：            邮政编码： </w:t>
      </w:r>
    </w:p>
    <w:p>
      <w:pPr>
        <w:spacing w:line="312" w:lineRule="auto"/>
        <w:ind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联系电话：            传真号码：</w:t>
      </w:r>
    </w:p>
    <w:p>
      <w:pPr>
        <w:spacing w:line="312" w:lineRule="auto"/>
        <w:ind w:firstLine="470" w:firstLineChars="196"/>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(2)发包人对发包人代表权力做如下限制：代表发包人监督检查工程施工进度、质量、安全文明施工，负责现场有关经济和技术方面的签证及与发包人相关的现场协调工作。与本工程相关的文件、资料须由发包人盖章确认后方可生效。发包人调整现场代表职责范围时，提前7天通知承包人。</w:t>
      </w:r>
    </w:p>
    <w:p>
      <w:pPr>
        <w:pStyle w:val="11"/>
        <w:tabs>
          <w:tab w:val="left" w:pos="540"/>
        </w:tabs>
        <w:adjustRightInd w:val="0"/>
        <w:snapToGrid w:val="0"/>
        <w:spacing w:before="240" w:beforeLines="100" w:line="360" w:lineRule="auto"/>
        <w:jc w:val="both"/>
        <w:textAlignment w:val="baseline"/>
        <w:outlineLvl w:val="2"/>
        <w:rPr>
          <w:rStyle w:val="25"/>
          <w:rFonts w:hint="eastAsia" w:ascii="宋体" w:hAnsi="宋体" w:eastAsia="宋体" w:cs="宋体"/>
          <w:b/>
          <w:bCs/>
          <w:color w:val="000000"/>
          <w:kern w:val="2"/>
          <w:sz w:val="24"/>
          <w:szCs w:val="24"/>
          <w:highlight w:val="none"/>
          <w:lang w:val="en-US" w:eastAsia="zh-CN" w:bidi="ar-SA"/>
        </w:rPr>
      </w:pPr>
      <w:bookmarkStart w:id="88" w:name="_Toc17973"/>
      <w:bookmarkStart w:id="89" w:name="_Toc20490"/>
      <w:bookmarkStart w:id="90" w:name="_Toc10235"/>
      <w:bookmarkStart w:id="91" w:name="_Toc4890"/>
      <w:r>
        <w:rPr>
          <w:rStyle w:val="25"/>
          <w:rFonts w:hint="eastAsia" w:ascii="宋体" w:hAnsi="宋体" w:eastAsia="宋体" w:cs="宋体"/>
          <w:b/>
          <w:bCs/>
          <w:color w:val="000000"/>
          <w:kern w:val="2"/>
          <w:sz w:val="24"/>
          <w:szCs w:val="24"/>
          <w:highlight w:val="none"/>
          <w:lang w:val="en-US" w:eastAsia="zh-CN" w:bidi="ar-SA"/>
        </w:rPr>
        <w:t>23 监理工程师</w:t>
      </w:r>
      <w:bookmarkEnd w:id="88"/>
      <w:bookmarkEnd w:id="89"/>
      <w:bookmarkEnd w:id="90"/>
      <w:bookmarkEnd w:id="91"/>
    </w:p>
    <w:p>
      <w:pPr>
        <w:spacing w:line="312" w:lineRule="auto"/>
        <w:ind w:firstLine="470" w:firstLineChars="196"/>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23.1 负责合同工程的监理单位及任命的监理工程师</w:t>
      </w:r>
    </w:p>
    <w:p>
      <w:pPr>
        <w:spacing w:line="312" w:lineRule="auto"/>
        <w:ind w:firstLine="480" w:firstLineChars="200"/>
        <w:jc w:val="both"/>
        <w:textAlignment w:val="baseline"/>
        <w:rPr>
          <w:rStyle w:val="43"/>
          <w:rFonts w:hint="eastAsia" w:ascii="宋体" w:hAnsi="宋体" w:eastAsia="宋体" w:cs="宋体"/>
          <w:color w:val="auto"/>
          <w:kern w:val="2"/>
          <w:sz w:val="24"/>
          <w:szCs w:val="24"/>
          <w:highlight w:val="none"/>
          <w:u w:val="none"/>
          <w:lang w:val="en-US" w:eastAsia="zh-CN" w:bidi="ar-SA"/>
        </w:rPr>
      </w:pPr>
      <w:r>
        <w:rPr>
          <w:rStyle w:val="43"/>
          <w:rFonts w:hint="eastAsia" w:ascii="宋体" w:hAnsi="宋体" w:eastAsia="宋体" w:cs="宋体"/>
          <w:color w:val="auto"/>
          <w:kern w:val="2"/>
          <w:sz w:val="24"/>
          <w:szCs w:val="24"/>
          <w:highlight w:val="none"/>
          <w:lang w:val="en-US" w:eastAsia="zh-CN" w:bidi="ar-SA"/>
        </w:rPr>
        <w:t>(1)监理单位：</w:t>
      </w:r>
      <w:r>
        <w:rPr>
          <w:rStyle w:val="43"/>
          <w:rFonts w:hint="eastAsia" w:ascii="宋体" w:hAnsi="宋体" w:eastAsia="宋体" w:cs="宋体"/>
          <w:color w:val="auto"/>
          <w:kern w:val="2"/>
          <w:sz w:val="24"/>
          <w:szCs w:val="24"/>
          <w:highlight w:val="none"/>
          <w:u w:val="single"/>
          <w:lang w:val="en-US" w:eastAsia="zh-CN" w:bidi="ar-SA"/>
        </w:rPr>
        <w:t xml:space="preserve">          </w:t>
      </w:r>
      <w:r>
        <w:rPr>
          <w:rStyle w:val="43"/>
          <w:rFonts w:hint="eastAsia" w:ascii="宋体" w:hAnsi="宋体" w:eastAsia="宋体" w:cs="宋体"/>
          <w:color w:val="auto"/>
          <w:kern w:val="2"/>
          <w:sz w:val="24"/>
          <w:szCs w:val="24"/>
          <w:highlight w:val="none"/>
          <w:lang w:val="en-US" w:eastAsia="zh-CN" w:bidi="ar-SA"/>
        </w:rPr>
        <w:t>法定代表人：</w:t>
      </w:r>
      <w:r>
        <w:rPr>
          <w:rStyle w:val="43"/>
          <w:rFonts w:hint="eastAsia" w:ascii="宋体" w:hAnsi="宋体" w:eastAsia="宋体" w:cs="宋体"/>
          <w:color w:val="auto"/>
          <w:kern w:val="2"/>
          <w:sz w:val="24"/>
          <w:szCs w:val="24"/>
          <w:highlight w:val="none"/>
          <w:u w:val="single"/>
          <w:lang w:val="en-US" w:eastAsia="zh-CN" w:bidi="ar-SA"/>
        </w:rPr>
        <w:t xml:space="preserve"> </w:t>
      </w:r>
      <w:r>
        <w:rPr>
          <w:rStyle w:val="43"/>
          <w:rFonts w:hint="eastAsia" w:ascii="宋体" w:hAnsi="宋体" w:eastAsia="宋体" w:cs="宋体"/>
          <w:color w:val="auto"/>
          <w:kern w:val="2"/>
          <w:sz w:val="24"/>
          <w:szCs w:val="24"/>
          <w:highlight w:val="none"/>
          <w:u w:val="none"/>
          <w:lang w:val="en-US" w:eastAsia="zh-CN" w:bidi="ar-SA"/>
        </w:rPr>
        <w:t xml:space="preserve">     </w:t>
      </w:r>
    </w:p>
    <w:p>
      <w:pPr>
        <w:spacing w:line="312" w:lineRule="auto"/>
        <w:ind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(2)任命（     ）为总监理工程师，其联络通讯地址如下：</w:t>
      </w:r>
    </w:p>
    <w:p>
      <w:pPr>
        <w:tabs>
          <w:tab w:val="left" w:pos="3260"/>
          <w:tab w:val="left" w:pos="5980"/>
          <w:tab w:val="left" w:pos="8505"/>
        </w:tabs>
        <w:spacing w:line="312" w:lineRule="auto"/>
        <w:ind w:right="-99"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通讯地址：</w:t>
      </w:r>
      <w:r>
        <w:rPr>
          <w:rStyle w:val="43"/>
          <w:rFonts w:hint="eastAsia" w:ascii="宋体" w:hAnsi="宋体" w:eastAsia="宋体" w:cs="宋体"/>
          <w:color w:val="auto"/>
          <w:kern w:val="2"/>
          <w:sz w:val="24"/>
          <w:szCs w:val="24"/>
          <w:highlight w:val="none"/>
          <w:u w:val="single"/>
          <w:lang w:val="en-US" w:eastAsia="zh-CN" w:bidi="ar-SA"/>
        </w:rPr>
        <w:t xml:space="preserve">         </w:t>
      </w:r>
      <w:r>
        <w:rPr>
          <w:rStyle w:val="43"/>
          <w:rFonts w:hint="eastAsia" w:ascii="宋体" w:hAnsi="宋体" w:eastAsia="宋体" w:cs="宋体"/>
          <w:color w:val="auto"/>
          <w:kern w:val="2"/>
          <w:sz w:val="24"/>
          <w:szCs w:val="24"/>
          <w:highlight w:val="none"/>
          <w:u w:val="none"/>
          <w:lang w:val="en-US" w:eastAsia="zh-CN" w:bidi="ar-SA"/>
        </w:rPr>
        <w:t xml:space="preserve">     </w:t>
      </w:r>
      <w:r>
        <w:rPr>
          <w:rStyle w:val="43"/>
          <w:rFonts w:hint="eastAsia" w:ascii="宋体" w:hAnsi="宋体" w:eastAsia="宋体" w:cs="宋体"/>
          <w:color w:val="auto"/>
          <w:kern w:val="2"/>
          <w:sz w:val="24"/>
          <w:szCs w:val="24"/>
          <w:highlight w:val="none"/>
          <w:lang w:val="en-US" w:eastAsia="zh-CN" w:bidi="ar-SA"/>
        </w:rPr>
        <w:t>邮政编码：</w:t>
      </w:r>
      <w:r>
        <w:rPr>
          <w:rStyle w:val="43"/>
          <w:rFonts w:hint="eastAsia" w:ascii="宋体" w:hAnsi="宋体" w:eastAsia="宋体" w:cs="宋体"/>
          <w:color w:val="auto"/>
          <w:kern w:val="2"/>
          <w:sz w:val="24"/>
          <w:szCs w:val="24"/>
          <w:highlight w:val="none"/>
          <w:u w:val="single"/>
          <w:lang w:val="en-US" w:eastAsia="zh-CN" w:bidi="ar-SA"/>
        </w:rPr>
        <w:t xml:space="preserve">         </w:t>
      </w:r>
    </w:p>
    <w:p>
      <w:pPr>
        <w:tabs>
          <w:tab w:val="left" w:pos="3260"/>
          <w:tab w:val="left" w:pos="5980"/>
        </w:tabs>
        <w:spacing w:line="312" w:lineRule="auto"/>
        <w:ind w:right="1442"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联系电话：</w:t>
      </w:r>
      <w:r>
        <w:rPr>
          <w:rStyle w:val="43"/>
          <w:rFonts w:hint="eastAsia" w:ascii="宋体" w:hAnsi="宋体" w:eastAsia="宋体" w:cs="宋体"/>
          <w:color w:val="auto"/>
          <w:kern w:val="2"/>
          <w:sz w:val="24"/>
          <w:szCs w:val="24"/>
          <w:highlight w:val="none"/>
          <w:u w:val="single"/>
          <w:lang w:val="en-US" w:eastAsia="zh-CN" w:bidi="ar-SA"/>
        </w:rPr>
        <w:t xml:space="preserve">           </w:t>
      </w:r>
      <w:r>
        <w:rPr>
          <w:rStyle w:val="43"/>
          <w:rFonts w:hint="eastAsia" w:ascii="宋体" w:hAnsi="宋体" w:eastAsia="宋体" w:cs="宋体"/>
          <w:color w:val="auto"/>
          <w:kern w:val="2"/>
          <w:sz w:val="24"/>
          <w:szCs w:val="24"/>
          <w:highlight w:val="none"/>
          <w:u w:val="none"/>
          <w:lang w:val="en-US" w:eastAsia="zh-CN" w:bidi="ar-SA"/>
        </w:rPr>
        <w:t xml:space="preserve">   </w:t>
      </w:r>
      <w:r>
        <w:rPr>
          <w:rStyle w:val="43"/>
          <w:rFonts w:hint="eastAsia" w:ascii="宋体" w:hAnsi="宋体" w:eastAsia="宋体" w:cs="宋体"/>
          <w:color w:val="auto"/>
          <w:kern w:val="2"/>
          <w:sz w:val="24"/>
          <w:szCs w:val="24"/>
          <w:highlight w:val="none"/>
          <w:lang w:val="en-US" w:eastAsia="zh-CN" w:bidi="ar-SA"/>
        </w:rPr>
        <w:t>传真号码：</w:t>
      </w:r>
    </w:p>
    <w:p>
      <w:pPr>
        <w:tabs>
          <w:tab w:val="left" w:pos="1240"/>
        </w:tabs>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（3）监理单位的职责以发包人与监理单位签订的《委托监理合同》为准。</w:t>
      </w:r>
    </w:p>
    <w:p>
      <w:pPr>
        <w:tabs>
          <w:tab w:val="left" w:pos="1240"/>
        </w:tabs>
        <w:spacing w:line="312" w:lineRule="auto"/>
        <w:ind w:right="-20" w:firstLine="48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23.4 监理工程师指令：监理工程师应按照合同约定时间向承包人提供实施合同工程的进度、质量和安全工作所需的批准、确认和通知等指令。</w:t>
      </w:r>
    </w:p>
    <w:p>
      <w:pPr>
        <w:tabs>
          <w:tab w:val="left" w:pos="1240"/>
        </w:tabs>
        <w:spacing w:line="312" w:lineRule="auto"/>
        <w:ind w:right="-20" w:firstLine="48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监理工程师提供的指令，均应采用书面形式。在紧急情况下，监理工程师可以当场发出口头指令，承包人应遵照执行。承包人在收到上述口头指令后24小时内，应向监理工程师发出书面确认函。若监理工程师在收到书面确认函后24小时内未予答复，该口头指令应被视为监理工程师的正式指令。由于监理工程师指令错误而延误工期的，工程顺延情形只适用于一般节点工期。</w:t>
      </w:r>
    </w:p>
    <w:p>
      <w:pPr>
        <w:tabs>
          <w:tab w:val="left" w:pos="1240"/>
        </w:tabs>
        <w:spacing w:line="312" w:lineRule="auto"/>
        <w:ind w:right="-20" w:firstLine="48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23.7 监理工程师未尽义务或失误的责任：由于监理工程师未能按合同约定履行义务造成工期延误的，工期顺延情形只适用于一般节点工期。</w:t>
      </w:r>
    </w:p>
    <w:p>
      <w:pPr>
        <w:tabs>
          <w:tab w:val="left" w:pos="1240"/>
        </w:tabs>
        <w:spacing w:line="312" w:lineRule="auto"/>
        <w:ind w:right="-20" w:firstLine="480"/>
        <w:jc w:val="both"/>
        <w:textAlignment w:val="baseline"/>
        <w:rPr>
          <w:rStyle w:val="43"/>
          <w:rFonts w:hint="eastAsia" w:ascii="宋体" w:hAnsi="宋体" w:eastAsia="宋体" w:cs="宋体"/>
          <w:b/>
          <w:bCs/>
          <w:color w:val="auto"/>
          <w:kern w:val="2"/>
          <w:sz w:val="24"/>
          <w:szCs w:val="24"/>
          <w:highlight w:val="none"/>
          <w:lang w:val="en-US" w:eastAsia="zh-CN" w:bidi="ar-SA"/>
        </w:rPr>
      </w:pPr>
      <w:r>
        <w:rPr>
          <w:rStyle w:val="43"/>
          <w:rFonts w:hint="eastAsia" w:ascii="宋体" w:hAnsi="宋体" w:eastAsia="宋体" w:cs="宋体"/>
          <w:b/>
          <w:bCs/>
          <w:color w:val="auto"/>
          <w:kern w:val="2"/>
          <w:sz w:val="24"/>
          <w:szCs w:val="24"/>
          <w:highlight w:val="none"/>
          <w:lang w:val="en-US" w:eastAsia="zh-CN" w:bidi="ar-SA"/>
        </w:rPr>
        <w:t>承包人与发包人一致同意增加23.8、23.9款</w:t>
      </w:r>
    </w:p>
    <w:p>
      <w:pPr>
        <w:tabs>
          <w:tab w:val="left" w:pos="1240"/>
        </w:tabs>
        <w:spacing w:line="312" w:lineRule="auto"/>
        <w:ind w:right="-20" w:firstLine="48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23.8 除特别指明外，监理工程师对承包人的任何工作、工程或其采用的材料和设备未提出否定意见的，不应视为已获批准，也不影响监理工程师在以后拒绝该项工作、工程、材料设备的权力。</w:t>
      </w:r>
    </w:p>
    <w:p>
      <w:pPr>
        <w:tabs>
          <w:tab w:val="left" w:pos="1240"/>
        </w:tabs>
        <w:spacing w:line="312" w:lineRule="auto"/>
        <w:ind w:right="-20" w:firstLine="48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23.9 监理工程师的指令应由本工程总监理工程师的签字盖章，并加盖监理机构章。</w:t>
      </w:r>
    </w:p>
    <w:p>
      <w:pPr>
        <w:pStyle w:val="11"/>
        <w:tabs>
          <w:tab w:val="left" w:pos="540"/>
        </w:tabs>
        <w:adjustRightInd w:val="0"/>
        <w:snapToGrid w:val="0"/>
        <w:spacing w:before="240" w:beforeLines="100" w:line="360" w:lineRule="auto"/>
        <w:ind w:right="-20"/>
        <w:jc w:val="both"/>
        <w:textAlignment w:val="baseline"/>
        <w:outlineLvl w:val="2"/>
        <w:rPr>
          <w:rStyle w:val="25"/>
          <w:rFonts w:hint="eastAsia" w:ascii="宋体" w:hAnsi="宋体" w:eastAsia="宋体" w:cs="宋体"/>
          <w:b/>
          <w:bCs/>
          <w:color w:val="000000"/>
          <w:kern w:val="2"/>
          <w:sz w:val="24"/>
          <w:szCs w:val="24"/>
          <w:highlight w:val="none"/>
          <w:lang w:val="en-US" w:eastAsia="zh-CN" w:bidi="ar-SA"/>
        </w:rPr>
      </w:pPr>
      <w:bookmarkStart w:id="92" w:name="_Toc21203"/>
      <w:bookmarkStart w:id="93" w:name="_Toc10301"/>
      <w:bookmarkStart w:id="94" w:name="_Toc31462"/>
      <w:bookmarkStart w:id="95" w:name="_Toc22970"/>
      <w:r>
        <w:rPr>
          <w:rStyle w:val="25"/>
          <w:rFonts w:hint="eastAsia" w:ascii="宋体" w:hAnsi="宋体" w:eastAsia="宋体" w:cs="宋体"/>
          <w:b/>
          <w:bCs/>
          <w:color w:val="000000"/>
          <w:kern w:val="2"/>
          <w:sz w:val="24"/>
          <w:szCs w:val="24"/>
          <w:highlight w:val="none"/>
          <w:lang w:val="en-US" w:eastAsia="zh-CN" w:bidi="ar-SA"/>
        </w:rPr>
        <w:t>24 造价工程师</w:t>
      </w:r>
      <w:bookmarkEnd w:id="92"/>
      <w:bookmarkEnd w:id="93"/>
      <w:bookmarkEnd w:id="94"/>
      <w:bookmarkEnd w:id="95"/>
    </w:p>
    <w:p>
      <w:pPr>
        <w:tabs>
          <w:tab w:val="left" w:pos="1240"/>
        </w:tabs>
        <w:spacing w:line="312" w:lineRule="auto"/>
        <w:ind w:right="-20" w:firstLine="470" w:firstLineChars="196"/>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24.1 负责合同工程的造价咨询单位及任命的造价工程师</w:t>
      </w:r>
    </w:p>
    <w:p>
      <w:pPr>
        <w:tabs>
          <w:tab w:val="left" w:pos="1240"/>
        </w:tabs>
        <w:spacing w:line="312" w:lineRule="auto"/>
        <w:ind w:right="-2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(1)造价咨询单位：      法定代表人：</w:t>
      </w:r>
    </w:p>
    <w:p>
      <w:pPr>
        <w:tabs>
          <w:tab w:val="left" w:pos="1240"/>
        </w:tabs>
        <w:spacing w:line="312" w:lineRule="auto"/>
        <w:ind w:right="-2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(2)任命（     ）为造价工程师，其联络通讯地址如下:</w:t>
      </w:r>
    </w:p>
    <w:p>
      <w:pPr>
        <w:tabs>
          <w:tab w:val="left" w:pos="1240"/>
        </w:tabs>
        <w:spacing w:line="312" w:lineRule="auto"/>
        <w:ind w:right="-2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通讯地址：邮政编码：</w:t>
      </w:r>
    </w:p>
    <w:p>
      <w:pPr>
        <w:tabs>
          <w:tab w:val="left" w:pos="1240"/>
        </w:tabs>
        <w:spacing w:line="312" w:lineRule="auto"/>
        <w:ind w:right="-2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联系电话：传真号码：</w:t>
      </w:r>
    </w:p>
    <w:p>
      <w:pPr>
        <w:tabs>
          <w:tab w:val="left" w:pos="1240"/>
        </w:tabs>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24.3（4）需要发包人批准的其他事项：</w:t>
      </w:r>
    </w:p>
    <w:p>
      <w:pPr>
        <w:pStyle w:val="11"/>
        <w:tabs>
          <w:tab w:val="left" w:pos="540"/>
        </w:tabs>
        <w:adjustRightInd w:val="0"/>
        <w:snapToGrid w:val="0"/>
        <w:spacing w:before="240" w:beforeLines="100" w:line="360" w:lineRule="auto"/>
        <w:ind w:right="-20"/>
        <w:jc w:val="both"/>
        <w:textAlignment w:val="baseline"/>
        <w:outlineLvl w:val="2"/>
        <w:rPr>
          <w:rStyle w:val="25"/>
          <w:rFonts w:hint="eastAsia" w:ascii="宋体" w:hAnsi="宋体" w:eastAsia="宋体" w:cs="宋体"/>
          <w:b/>
          <w:bCs/>
          <w:color w:val="000000"/>
          <w:kern w:val="2"/>
          <w:sz w:val="24"/>
          <w:szCs w:val="24"/>
          <w:highlight w:val="none"/>
          <w:lang w:val="en-US" w:eastAsia="zh-CN" w:bidi="ar-SA"/>
        </w:rPr>
      </w:pPr>
      <w:bookmarkStart w:id="96" w:name="_Toc20217"/>
      <w:bookmarkStart w:id="97" w:name="_Toc23966"/>
      <w:bookmarkStart w:id="98" w:name="_Toc763"/>
      <w:bookmarkStart w:id="99" w:name="_Toc22617"/>
      <w:r>
        <w:rPr>
          <w:rStyle w:val="25"/>
          <w:rFonts w:hint="eastAsia" w:ascii="宋体" w:hAnsi="宋体" w:eastAsia="宋体" w:cs="宋体"/>
          <w:b/>
          <w:bCs/>
          <w:color w:val="000000"/>
          <w:kern w:val="2"/>
          <w:sz w:val="24"/>
          <w:szCs w:val="24"/>
          <w:highlight w:val="none"/>
          <w:lang w:val="en-US" w:eastAsia="zh-CN" w:bidi="ar-SA"/>
        </w:rPr>
        <w:t>25 承包人代表</w:t>
      </w:r>
      <w:bookmarkEnd w:id="96"/>
      <w:bookmarkEnd w:id="97"/>
      <w:bookmarkEnd w:id="98"/>
      <w:bookmarkEnd w:id="99"/>
    </w:p>
    <w:p>
      <w:pPr>
        <w:tabs>
          <w:tab w:val="left" w:pos="1240"/>
        </w:tabs>
        <w:spacing w:line="312" w:lineRule="auto"/>
        <w:ind w:right="-20" w:firstLine="470" w:firstLineChars="196"/>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25.1承包人任命（    ）为承包人代表，其联络通讯地址如下：</w:t>
      </w:r>
    </w:p>
    <w:p>
      <w:pPr>
        <w:tabs>
          <w:tab w:val="left" w:pos="1240"/>
        </w:tabs>
        <w:spacing w:line="312" w:lineRule="auto"/>
        <w:ind w:left="479" w:leftChars="228" w:right="-20" w:firstLine="0" w:firstLineChars="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 xml:space="preserve">通讯地址：                         邮政编码：                 </w:t>
      </w:r>
    </w:p>
    <w:p>
      <w:pPr>
        <w:tabs>
          <w:tab w:val="left" w:pos="1240"/>
        </w:tabs>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联系电话：                         传真号码：</w:t>
      </w:r>
    </w:p>
    <w:p>
      <w:pPr>
        <w:spacing w:line="312" w:lineRule="auto"/>
        <w:ind w:firstLine="480"/>
        <w:jc w:val="both"/>
        <w:textAlignment w:val="baseline"/>
        <w:rPr>
          <w:rStyle w:val="43"/>
          <w:rFonts w:hint="eastAsia" w:ascii="宋体" w:hAnsi="宋体" w:eastAsia="宋体" w:cs="宋体"/>
          <w:b/>
          <w:bCs/>
          <w:color w:val="auto"/>
          <w:kern w:val="2"/>
          <w:sz w:val="24"/>
          <w:szCs w:val="24"/>
          <w:highlight w:val="none"/>
          <w:lang w:val="en-US" w:eastAsia="zh-CN" w:bidi="ar-SA"/>
        </w:rPr>
      </w:pPr>
      <w:r>
        <w:rPr>
          <w:rStyle w:val="43"/>
          <w:rFonts w:hint="eastAsia" w:ascii="宋体" w:hAnsi="宋体" w:eastAsia="宋体" w:cs="宋体"/>
          <w:b/>
          <w:bCs/>
          <w:color w:val="auto"/>
          <w:kern w:val="2"/>
          <w:sz w:val="24"/>
          <w:szCs w:val="24"/>
          <w:highlight w:val="none"/>
          <w:lang w:val="en-US" w:eastAsia="zh-CN" w:bidi="ar-SA"/>
        </w:rPr>
        <w:t>承包人与发包人一致同意增加25.5款</w:t>
      </w:r>
    </w:p>
    <w:p>
      <w:pPr>
        <w:spacing w:line="312" w:lineRule="auto"/>
        <w:ind w:firstLine="48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25.5承包人投标时所报项目经理即为本工程的承包人代表。如需更换承包人代表，应具备下列条件：</w:t>
      </w:r>
    </w:p>
    <w:p>
      <w:pPr>
        <w:spacing w:line="312" w:lineRule="auto"/>
        <w:ind w:firstLine="48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（1）新更换的承包人代表具有的专业（执业）资格等级、资历、业绩、实际工作能力必须高于或相当于投标时所报项目经理的素质；</w:t>
      </w:r>
    </w:p>
    <w:p>
      <w:pPr>
        <w:spacing w:line="312" w:lineRule="auto"/>
        <w:ind w:firstLine="48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（2）不能同时在其他工程项目中服务；</w:t>
      </w:r>
    </w:p>
    <w:p>
      <w:pPr>
        <w:spacing w:line="312" w:lineRule="auto"/>
        <w:ind w:firstLine="48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（3）至少提前7天以书面形式通知发包人，并征得发包人书面同意。</w:t>
      </w:r>
    </w:p>
    <w:p>
      <w:pPr>
        <w:spacing w:line="312" w:lineRule="auto"/>
        <w:ind w:firstLine="48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（4）承包人应保证承包人代表人选的稳定，原则上只允许更换一次，否则按专用条款第96.7（3）款的约定承担违反投标承诺的违约责任（本合同另有约定的除外）。</w:t>
      </w:r>
    </w:p>
    <w:p>
      <w:pPr>
        <w:spacing w:line="312" w:lineRule="auto"/>
        <w:ind w:firstLine="48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（5）更换承包人代表尚应得到有关政府主管部门的批准。</w:t>
      </w:r>
    </w:p>
    <w:p>
      <w:pPr>
        <w:pStyle w:val="11"/>
        <w:tabs>
          <w:tab w:val="left" w:pos="540"/>
        </w:tabs>
        <w:adjustRightInd w:val="0"/>
        <w:snapToGrid w:val="0"/>
        <w:spacing w:before="240" w:beforeLines="100" w:line="360" w:lineRule="auto"/>
        <w:jc w:val="both"/>
        <w:textAlignment w:val="baseline"/>
        <w:outlineLvl w:val="2"/>
        <w:rPr>
          <w:rStyle w:val="25"/>
          <w:rFonts w:hint="eastAsia" w:ascii="宋体" w:hAnsi="宋体" w:eastAsia="宋体" w:cs="宋体"/>
          <w:b/>
          <w:bCs/>
          <w:color w:val="000000"/>
          <w:kern w:val="2"/>
          <w:sz w:val="24"/>
          <w:szCs w:val="24"/>
          <w:highlight w:val="none"/>
          <w:lang w:val="en-US" w:eastAsia="zh-CN" w:bidi="ar-SA"/>
        </w:rPr>
      </w:pPr>
      <w:bookmarkStart w:id="100" w:name="_Toc9180"/>
      <w:bookmarkStart w:id="101" w:name="_Toc29046"/>
      <w:bookmarkStart w:id="102" w:name="_Toc10151"/>
      <w:bookmarkStart w:id="103" w:name="_Toc6536"/>
      <w:r>
        <w:rPr>
          <w:rStyle w:val="25"/>
          <w:rFonts w:hint="eastAsia" w:ascii="宋体" w:hAnsi="宋体" w:eastAsia="宋体" w:cs="宋体"/>
          <w:b/>
          <w:bCs/>
          <w:color w:val="000000"/>
          <w:kern w:val="2"/>
          <w:sz w:val="24"/>
          <w:szCs w:val="24"/>
          <w:highlight w:val="none"/>
          <w:lang w:val="en-US" w:eastAsia="zh-CN" w:bidi="ar-SA"/>
        </w:rPr>
        <w:t>27 承包人劳务</w:t>
      </w:r>
      <w:bookmarkEnd w:id="100"/>
      <w:bookmarkEnd w:id="101"/>
      <w:bookmarkEnd w:id="102"/>
      <w:bookmarkEnd w:id="103"/>
    </w:p>
    <w:p>
      <w:pPr>
        <w:spacing w:line="312" w:lineRule="auto"/>
        <w:ind w:firstLine="480"/>
        <w:jc w:val="both"/>
        <w:textAlignment w:val="baseline"/>
        <w:rPr>
          <w:rStyle w:val="43"/>
          <w:rFonts w:hint="eastAsia" w:ascii="宋体" w:hAnsi="宋体" w:eastAsia="宋体" w:cs="宋体"/>
          <w:b/>
          <w:bCs/>
          <w:color w:val="auto"/>
          <w:kern w:val="2"/>
          <w:sz w:val="24"/>
          <w:szCs w:val="24"/>
          <w:highlight w:val="none"/>
          <w:lang w:val="en-US" w:eastAsia="zh-CN" w:bidi="ar-SA"/>
        </w:rPr>
      </w:pPr>
      <w:r>
        <w:rPr>
          <w:rStyle w:val="43"/>
          <w:rFonts w:hint="eastAsia" w:ascii="宋体" w:hAnsi="宋体" w:eastAsia="宋体" w:cs="宋体"/>
          <w:b/>
          <w:bCs/>
          <w:color w:val="auto"/>
          <w:kern w:val="2"/>
          <w:sz w:val="24"/>
          <w:szCs w:val="24"/>
          <w:highlight w:val="none"/>
          <w:lang w:val="en-US" w:eastAsia="zh-CN" w:bidi="ar-SA"/>
        </w:rPr>
        <w:t>承包人与发包人一致同意增加27.9至27.12款：</w:t>
      </w:r>
    </w:p>
    <w:p>
      <w:pPr>
        <w:spacing w:line="312" w:lineRule="auto"/>
        <w:ind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27.9 现场管理机构</w:t>
      </w:r>
    </w:p>
    <w:p>
      <w:pPr>
        <w:spacing w:line="312" w:lineRule="auto"/>
        <w:ind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（1）承包人必须按照投标文件的承诺建立现场管理机构，严格执行《建设工程项目管理规范》（GB/T50236），并积极主动接受建设行政主管部门的监督和检查。</w:t>
      </w:r>
    </w:p>
    <w:p>
      <w:pPr>
        <w:spacing w:line="312" w:lineRule="auto"/>
        <w:ind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（2）现场管理机构各部主要技术管理人员在开工前必须全部到位，并接受监理工程师和发包人代表的查验。</w:t>
      </w:r>
    </w:p>
    <w:p>
      <w:pPr>
        <w:spacing w:line="312" w:lineRule="auto"/>
        <w:ind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承包人委派的现场管理机构各部主要技术管理人员不得有兼职情况存在，并需接受监理单位的监督。</w:t>
      </w:r>
    </w:p>
    <w:p>
      <w:pPr>
        <w:spacing w:line="312" w:lineRule="auto"/>
        <w:ind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27.10 现场管理机构各部主要技术管理人员应与投标文件保持一致，发包人不要求更换时不得更换。因特殊情况需要更换的，承包人应以书面形式向监理单位提出意向（附前任和后任人员的详细履历资料），经总监理工程师签署意见后向发包人提出申请，征得发包人同意后方可更换。承包人必须保证后任人员的资质、资历、业绩、实际工作能力不低于前任人员的素质。</w:t>
      </w:r>
    </w:p>
    <w:p>
      <w:pPr>
        <w:spacing w:line="312" w:lineRule="auto"/>
        <w:ind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即使征得发包人同意更换的，承包人仍应按专用条款第96.7（3）款的约定承担违反投标承诺的违约责任（本合同另有约定的除外）。</w:t>
      </w:r>
    </w:p>
    <w:p>
      <w:pPr>
        <w:spacing w:line="312" w:lineRule="auto"/>
        <w:ind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更换人员必须履行建设行政主管部门规定的人员变更手续，后任人员继续行使前任的职权，履行前任的义务。</w:t>
      </w:r>
    </w:p>
    <w:p>
      <w:pPr>
        <w:spacing w:line="312" w:lineRule="auto"/>
        <w:ind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27.11现场管理机构各部主要技术管理人员的实际工作能力和工作效果达不到招标文件的明确要求或投标文件的承诺或工作态度存在严重不足，不适应现场工作需要，发包人有权向承包人提出撤换。承包人可以提出整改意见，如发包人不予接受或认为整改效果不明显的，则承包人必须在7天内无条件撤换，并按照专用条款第96.7（3）款的约定承担违约责任。所调换来人员的资质、资历、学历、职称、业绩、实际工作能力不低于原投标文件中所承诺人员的素质，否则，按专用条款第96.7（3）款的约定承担违反投标承诺的违约责任。</w:t>
      </w:r>
    </w:p>
    <w:p>
      <w:pPr>
        <w:spacing w:line="312" w:lineRule="auto"/>
        <w:ind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发包人要求承包人撤换不合格人员，如承包人既不立即撤换，也不及时提出整改意见，则视同拒绝执行发包人的指令，承包人需按专用条款第96.7（1）款的约定承担违约责任。</w:t>
      </w:r>
    </w:p>
    <w:p>
      <w:pPr>
        <w:spacing w:line="312" w:lineRule="auto"/>
        <w:ind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发包人要求承包人以实际工作能力较高的人员调换实际工作能力较低的现场人员，或者承包人主动要求以实际工作能力较高的人员调换实际工作能力较低的现场人员，不免除承包人需承担的违反投标承诺的违约责任。</w:t>
      </w:r>
    </w:p>
    <w:p>
      <w:pPr>
        <w:spacing w:line="312" w:lineRule="auto"/>
        <w:ind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27.12 现场管理机构各部主要技术管理人员必须全职在现场办公，不得兼职或者擅自离岗。因特殊情况需短暂离岗的，应当事先报监理工程师及发包人批准，且须妥善安排工作交接，并按以下约定执行：</w:t>
      </w:r>
    </w:p>
    <w:p>
      <w:pPr>
        <w:spacing w:line="312" w:lineRule="auto"/>
        <w:ind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（1）离场半天内，须经总监理工程师批准同意；</w:t>
      </w:r>
    </w:p>
    <w:p>
      <w:pPr>
        <w:spacing w:line="312" w:lineRule="auto"/>
        <w:ind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（2）离场1天内，须经总监理工程师同意，并经发包人代表批准；</w:t>
      </w:r>
    </w:p>
    <w:p>
      <w:pPr>
        <w:spacing w:line="312" w:lineRule="auto"/>
        <w:ind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（3）离场2天以上（含2天），须经总监理工程师及发包人代表同意，并经发包人代表的主管部门领导批准；</w:t>
      </w:r>
    </w:p>
    <w:p>
      <w:pPr>
        <w:spacing w:line="312" w:lineRule="auto"/>
        <w:ind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（4）一个月内累计离场时间不得超过5天（经发包人代表的主管部门领导批准的除外）；</w:t>
      </w:r>
    </w:p>
    <w:p>
      <w:pPr>
        <w:spacing w:line="312" w:lineRule="auto"/>
        <w:ind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（5）承包人代表不论离场多久，均应经发包人批准。</w:t>
      </w:r>
    </w:p>
    <w:p>
      <w:pPr>
        <w:spacing w:line="312" w:lineRule="auto"/>
        <w:ind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承包人若违反上述约定，应按照专用条款第96.7（3）款的约定承担违约责任。</w:t>
      </w:r>
    </w:p>
    <w:p>
      <w:pPr>
        <w:spacing w:line="312" w:lineRule="auto"/>
        <w:ind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本合同所称现场办公，是指在工程实施过程中，现场管理机构各部主要技术管理人员必须在施工场地全职上班，履行各自的职责。</w:t>
      </w:r>
    </w:p>
    <w:p>
      <w:pPr>
        <w:pStyle w:val="11"/>
        <w:tabs>
          <w:tab w:val="left" w:pos="540"/>
        </w:tabs>
        <w:adjustRightInd w:val="0"/>
        <w:snapToGrid w:val="0"/>
        <w:spacing w:before="240" w:beforeLines="100" w:line="360" w:lineRule="auto"/>
        <w:jc w:val="both"/>
        <w:textAlignment w:val="baseline"/>
        <w:outlineLvl w:val="2"/>
        <w:rPr>
          <w:rStyle w:val="25"/>
          <w:rFonts w:hint="eastAsia" w:ascii="宋体" w:hAnsi="宋体" w:eastAsia="宋体" w:cs="宋体"/>
          <w:b/>
          <w:bCs/>
          <w:color w:val="000000"/>
          <w:kern w:val="2"/>
          <w:sz w:val="24"/>
          <w:szCs w:val="24"/>
          <w:highlight w:val="none"/>
          <w:lang w:val="en-US" w:eastAsia="zh-CN" w:bidi="ar-SA"/>
        </w:rPr>
      </w:pPr>
      <w:bookmarkStart w:id="104" w:name="_Toc23535"/>
      <w:bookmarkStart w:id="105" w:name="_Toc3403"/>
      <w:bookmarkStart w:id="106" w:name="_Toc24129"/>
      <w:bookmarkStart w:id="107" w:name="_Toc25173"/>
      <w:r>
        <w:rPr>
          <w:rStyle w:val="25"/>
          <w:rFonts w:hint="eastAsia" w:ascii="宋体" w:hAnsi="宋体" w:eastAsia="宋体" w:cs="宋体"/>
          <w:b/>
          <w:bCs/>
          <w:color w:val="000000"/>
          <w:kern w:val="2"/>
          <w:sz w:val="24"/>
          <w:szCs w:val="24"/>
          <w:highlight w:val="none"/>
          <w:lang w:val="en-US" w:eastAsia="zh-CN" w:bidi="ar-SA"/>
        </w:rPr>
        <w:t>28 工程担保</w:t>
      </w:r>
      <w:bookmarkEnd w:id="104"/>
      <w:bookmarkEnd w:id="105"/>
      <w:bookmarkEnd w:id="106"/>
      <w:bookmarkEnd w:id="107"/>
    </w:p>
    <w:p>
      <w:pPr>
        <w:spacing w:line="312" w:lineRule="auto"/>
        <w:ind w:firstLine="470" w:firstLineChars="196"/>
        <w:jc w:val="both"/>
        <w:textAlignment w:val="baseline"/>
        <w:rPr>
          <w:rFonts w:hint="eastAsia" w:ascii="宋体" w:hAnsi="宋体" w:eastAsia="宋体" w:cs="宋体"/>
          <w:sz w:val="24"/>
          <w:highlight w:val="none"/>
        </w:rPr>
      </w:pPr>
      <w:r>
        <w:rPr>
          <w:rStyle w:val="43"/>
          <w:rFonts w:hint="eastAsia" w:ascii="宋体" w:hAnsi="宋体" w:eastAsia="宋体" w:cs="宋体"/>
          <w:color w:val="auto"/>
          <w:kern w:val="2"/>
          <w:sz w:val="24"/>
          <w:szCs w:val="24"/>
          <w:highlight w:val="none"/>
          <w:lang w:val="en-US" w:eastAsia="zh-CN" w:bidi="ar-SA"/>
        </w:rPr>
        <w:t>28.1 承包人提供履约担保的约定：</w:t>
      </w:r>
      <w:r>
        <w:rPr>
          <w:rFonts w:hint="eastAsia" w:ascii="宋体" w:hAnsi="宋体" w:eastAsia="宋体" w:cs="宋体"/>
          <w:kern w:val="0"/>
          <w:sz w:val="24"/>
          <w:szCs w:val="20"/>
          <w:highlight w:val="none"/>
        </w:rPr>
        <w:t>承包人在</w:t>
      </w:r>
      <w:r>
        <w:rPr>
          <w:rFonts w:hint="eastAsia" w:ascii="宋体" w:hAnsi="宋体" w:eastAsia="宋体" w:cs="宋体"/>
          <w:kern w:val="0"/>
          <w:sz w:val="24"/>
          <w:szCs w:val="20"/>
          <w:highlight w:val="none"/>
          <w:lang w:eastAsia="zh-CN"/>
        </w:rPr>
        <w:t>接到成交通知书</w:t>
      </w:r>
      <w:r>
        <w:rPr>
          <w:rFonts w:hint="eastAsia" w:ascii="宋体" w:hAnsi="宋体" w:eastAsia="宋体" w:cs="宋体"/>
          <w:kern w:val="0"/>
          <w:sz w:val="24"/>
          <w:szCs w:val="20"/>
          <w:highlight w:val="none"/>
        </w:rPr>
        <w:t>1</w:t>
      </w:r>
      <w:r>
        <w:rPr>
          <w:rFonts w:hint="eastAsia" w:ascii="宋体" w:hAnsi="宋体" w:eastAsia="宋体" w:cs="宋体"/>
          <w:kern w:val="0"/>
          <w:sz w:val="24"/>
          <w:szCs w:val="20"/>
          <w:highlight w:val="none"/>
          <w:lang w:val="en-US" w:eastAsia="zh-CN"/>
        </w:rPr>
        <w:t>4</w:t>
      </w:r>
      <w:r>
        <w:rPr>
          <w:rFonts w:hint="eastAsia" w:ascii="宋体" w:hAnsi="宋体" w:eastAsia="宋体" w:cs="宋体"/>
          <w:kern w:val="0"/>
          <w:sz w:val="24"/>
          <w:szCs w:val="20"/>
          <w:highlight w:val="none"/>
        </w:rPr>
        <w:t>天内提供履约</w:t>
      </w:r>
      <w:r>
        <w:rPr>
          <w:rFonts w:hint="eastAsia" w:ascii="宋体" w:hAnsi="宋体" w:eastAsia="宋体" w:cs="宋体"/>
          <w:kern w:val="0"/>
          <w:sz w:val="24"/>
          <w:szCs w:val="20"/>
          <w:highlight w:val="none"/>
          <w:lang w:eastAsia="zh-CN"/>
        </w:rPr>
        <w:t>保证函</w:t>
      </w:r>
      <w:r>
        <w:rPr>
          <w:rFonts w:hint="eastAsia" w:ascii="宋体" w:hAnsi="宋体" w:eastAsia="宋体" w:cs="宋体"/>
          <w:kern w:val="0"/>
          <w:sz w:val="24"/>
          <w:szCs w:val="20"/>
          <w:highlight w:val="none"/>
        </w:rPr>
        <w:t>，履约</w:t>
      </w:r>
      <w:r>
        <w:rPr>
          <w:rFonts w:hint="eastAsia" w:ascii="宋体" w:hAnsi="宋体" w:eastAsia="宋体" w:cs="宋体"/>
          <w:kern w:val="0"/>
          <w:sz w:val="24"/>
          <w:szCs w:val="20"/>
          <w:highlight w:val="none"/>
          <w:lang w:eastAsia="zh-CN"/>
        </w:rPr>
        <w:t>保证函</w:t>
      </w:r>
      <w:r>
        <w:rPr>
          <w:rFonts w:hint="eastAsia" w:ascii="宋体" w:hAnsi="宋体" w:eastAsia="宋体" w:cs="宋体"/>
          <w:kern w:val="0"/>
          <w:sz w:val="24"/>
          <w:szCs w:val="20"/>
          <w:highlight w:val="none"/>
        </w:rPr>
        <w:t>的额度为合同价的10%，</w:t>
      </w:r>
      <w:r>
        <w:rPr>
          <w:rFonts w:hint="eastAsia" w:ascii="宋体" w:hAnsi="宋体" w:eastAsia="宋体" w:cs="宋体"/>
          <w:kern w:val="0"/>
          <w:sz w:val="24"/>
          <w:highlight w:val="none"/>
        </w:rPr>
        <w:t xml:space="preserve">即（大写） </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u w:val="single"/>
          <w:lang w:val="en-US" w:eastAsia="zh-CN"/>
        </w:rPr>
        <w:t xml:space="preserve">                  </w:t>
      </w:r>
      <w:r>
        <w:rPr>
          <w:rFonts w:hint="eastAsia" w:ascii="宋体" w:hAnsi="宋体" w:eastAsia="宋体" w:cs="宋体"/>
          <w:kern w:val="0"/>
          <w:sz w:val="24"/>
          <w:highlight w:val="none"/>
        </w:rPr>
        <w:t>（小写</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u w:val="single"/>
          <w:lang w:val="en-US" w:eastAsia="zh-CN"/>
        </w:rPr>
        <w:t xml:space="preserve">                </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rPr>
        <w:t>）。</w:t>
      </w:r>
      <w:r>
        <w:rPr>
          <w:rFonts w:hint="eastAsia" w:ascii="宋体" w:hAnsi="宋体" w:eastAsia="宋体" w:cs="宋体"/>
          <w:sz w:val="24"/>
          <w:szCs w:val="20"/>
          <w:highlight w:val="none"/>
          <w:u w:val="single"/>
        </w:rPr>
        <w:t>承包人若未能应发包人的要求在规定时间内与发包人签订施工合同</w:t>
      </w:r>
      <w:r>
        <w:rPr>
          <w:rFonts w:hint="eastAsia" w:ascii="宋体" w:hAnsi="宋体" w:eastAsia="宋体" w:cs="宋体"/>
          <w:sz w:val="24"/>
          <w:szCs w:val="20"/>
          <w:highlight w:val="none"/>
          <w:u w:val="single"/>
          <w:lang w:eastAsia="zh-CN"/>
        </w:rPr>
        <w:t>并提交</w:t>
      </w:r>
      <w:r>
        <w:rPr>
          <w:rFonts w:hint="eastAsia" w:ascii="宋体" w:hAnsi="宋体" w:eastAsia="宋体" w:cs="宋体"/>
          <w:sz w:val="24"/>
          <w:szCs w:val="21"/>
          <w:highlight w:val="none"/>
          <w:u w:val="single"/>
        </w:rPr>
        <w:t>履约保证</w:t>
      </w:r>
      <w:r>
        <w:rPr>
          <w:rFonts w:hint="eastAsia" w:ascii="宋体" w:hAnsi="宋体" w:eastAsia="宋体" w:cs="宋体"/>
          <w:sz w:val="24"/>
          <w:szCs w:val="21"/>
          <w:highlight w:val="none"/>
          <w:u w:val="single"/>
          <w:lang w:eastAsia="zh-CN"/>
        </w:rPr>
        <w:t>函</w:t>
      </w:r>
      <w:r>
        <w:rPr>
          <w:rFonts w:hint="eastAsia" w:ascii="宋体" w:hAnsi="宋体" w:eastAsia="宋体" w:cs="宋体"/>
          <w:sz w:val="24"/>
          <w:szCs w:val="20"/>
          <w:highlight w:val="none"/>
          <w:u w:val="single"/>
        </w:rPr>
        <w:t>，</w:t>
      </w:r>
      <w:r>
        <w:rPr>
          <w:rFonts w:hint="eastAsia" w:ascii="宋体" w:hAnsi="宋体" w:eastAsia="宋体" w:cs="宋体"/>
          <w:sz w:val="24"/>
          <w:highlight w:val="none"/>
        </w:rPr>
        <w:t>发包人有权解除合同并拒绝支付相应工程款项，且</w:t>
      </w:r>
      <w:r>
        <w:rPr>
          <w:rFonts w:hint="eastAsia" w:ascii="宋体" w:hAnsi="宋体" w:eastAsia="宋体" w:cs="宋体"/>
          <w:sz w:val="24"/>
          <w:highlight w:val="none"/>
          <w:lang w:val="en-US" w:eastAsia="zh-CN"/>
        </w:rPr>
        <w:t>要求承包人</w:t>
      </w:r>
      <w:r>
        <w:rPr>
          <w:rFonts w:hint="eastAsia" w:ascii="宋体" w:hAnsi="宋体" w:eastAsia="宋体" w:cs="宋体"/>
          <w:sz w:val="24"/>
          <w:highlight w:val="none"/>
        </w:rPr>
        <w:t>依法承担相应法律责任。承包人给发包人造成损失的，还应当予以赔偿。</w:t>
      </w:r>
      <w:r>
        <w:rPr>
          <w:rFonts w:hint="eastAsia" w:ascii="宋体" w:hAnsi="宋体" w:eastAsia="宋体" w:cs="宋体"/>
          <w:sz w:val="24"/>
        </w:rPr>
        <w:t>发包方有权直接从承包人履约保证金中扣减违约金、赔偿款，不足部分可从应付工程款中抵扣，并要求承包人限期补足履约保证金。</w:t>
      </w:r>
      <w:r>
        <w:rPr>
          <w:rFonts w:hint="eastAsia" w:ascii="宋体" w:hAnsi="宋体" w:eastAsia="宋体" w:cs="宋体"/>
          <w:sz w:val="24"/>
          <w:highlight w:val="none"/>
        </w:rPr>
        <w:t>承包人有异议的，按合同纠纷条款执行。</w:t>
      </w:r>
    </w:p>
    <w:p>
      <w:pPr>
        <w:tabs>
          <w:tab w:val="left" w:pos="1240"/>
        </w:tabs>
        <w:autoSpaceDE w:val="0"/>
        <w:autoSpaceDN w:val="0"/>
        <w:adjustRightInd w:val="0"/>
        <w:spacing w:line="360" w:lineRule="auto"/>
        <w:ind w:firstLine="480" w:firstLineChars="200"/>
        <w:jc w:val="left"/>
        <w:rPr>
          <w:rFonts w:hint="eastAsia" w:ascii="宋体" w:hAnsi="宋体" w:eastAsia="宋体" w:cs="宋体"/>
          <w:kern w:val="0"/>
          <w:sz w:val="24"/>
          <w:highlight w:val="none"/>
          <w:u w:val="single"/>
        </w:rPr>
      </w:pPr>
      <w:r>
        <w:rPr>
          <w:rFonts w:hint="eastAsia" w:ascii="宋体" w:hAnsi="宋体" w:eastAsia="宋体" w:cs="宋体"/>
          <w:kern w:val="0"/>
          <w:sz w:val="24"/>
          <w:highlight w:val="none"/>
          <w:u w:val="single"/>
        </w:rPr>
        <w:t>28.2</w:t>
      </w:r>
      <w:r>
        <w:rPr>
          <w:rFonts w:hint="eastAsia" w:ascii="宋体" w:hAnsi="宋体" w:eastAsia="宋体" w:cs="宋体"/>
          <w:kern w:val="0"/>
          <w:sz w:val="24"/>
          <w:highlight w:val="none"/>
        </w:rPr>
        <w:tab/>
      </w:r>
      <w:r>
        <w:rPr>
          <w:rFonts w:hint="eastAsia" w:ascii="宋体" w:hAnsi="宋体" w:eastAsia="宋体" w:cs="宋体"/>
          <w:kern w:val="0"/>
          <w:sz w:val="24"/>
          <w:highlight w:val="none"/>
          <w:u w:val="single"/>
        </w:rPr>
        <w:t>取得竣工验收报告后10个</w:t>
      </w:r>
      <w:r>
        <w:rPr>
          <w:rFonts w:hint="eastAsia" w:ascii="宋体" w:hAnsi="宋体" w:eastAsia="宋体" w:cs="宋体"/>
          <w:kern w:val="0"/>
          <w:sz w:val="24"/>
          <w:highlight w:val="none"/>
          <w:u w:val="single"/>
          <w:lang w:val="en-US" w:eastAsia="zh-CN"/>
        </w:rPr>
        <w:t>工作日</w:t>
      </w:r>
      <w:r>
        <w:rPr>
          <w:rFonts w:hint="eastAsia" w:ascii="宋体" w:hAnsi="宋体" w:eastAsia="宋体" w:cs="宋体"/>
          <w:kern w:val="0"/>
          <w:sz w:val="24"/>
          <w:highlight w:val="none"/>
          <w:u w:val="single"/>
        </w:rPr>
        <w:t>内无息退还履约保证金</w:t>
      </w:r>
      <w:r>
        <w:rPr>
          <w:rFonts w:hint="eastAsia" w:ascii="宋体" w:hAnsi="宋体" w:eastAsia="宋体" w:cs="宋体"/>
          <w:sz w:val="24"/>
          <w:szCs w:val="21"/>
          <w:highlight w:val="none"/>
          <w:u w:val="single"/>
        </w:rPr>
        <w:t>（或履约保函）</w:t>
      </w:r>
      <w:r>
        <w:rPr>
          <w:rFonts w:hint="eastAsia" w:ascii="宋体" w:hAnsi="宋体" w:eastAsia="宋体" w:cs="宋体"/>
          <w:kern w:val="0"/>
          <w:sz w:val="24"/>
          <w:highlight w:val="none"/>
          <w:u w:val="single"/>
        </w:rPr>
        <w:t>。</w:t>
      </w:r>
    </w:p>
    <w:p>
      <w:pPr>
        <w:tabs>
          <w:tab w:val="left" w:pos="1240"/>
        </w:tabs>
        <w:autoSpaceDE w:val="0"/>
        <w:autoSpaceDN w:val="0"/>
        <w:adjustRightInd w:val="0"/>
        <w:spacing w:line="360" w:lineRule="auto"/>
        <w:ind w:firstLine="480" w:firstLineChars="200"/>
        <w:jc w:val="left"/>
        <w:rPr>
          <w:rFonts w:hint="eastAsia" w:ascii="宋体" w:hAnsi="宋体" w:eastAsia="宋体" w:cs="宋体"/>
          <w:kern w:val="0"/>
          <w:sz w:val="24"/>
          <w:highlight w:val="none"/>
          <w:u w:val="single"/>
        </w:rPr>
      </w:pPr>
      <w:r>
        <w:rPr>
          <w:rFonts w:hint="eastAsia" w:ascii="宋体" w:hAnsi="宋体" w:eastAsia="宋体" w:cs="宋体"/>
          <w:kern w:val="0"/>
          <w:sz w:val="24"/>
          <w:highlight w:val="none"/>
          <w:u w:val="single"/>
        </w:rPr>
        <w:t>28.4</w:t>
      </w:r>
      <w:r>
        <w:rPr>
          <w:rFonts w:hint="eastAsia" w:ascii="宋体" w:hAnsi="宋体" w:eastAsia="宋体" w:cs="宋体"/>
          <w:kern w:val="0"/>
          <w:sz w:val="24"/>
          <w:highlight w:val="none"/>
        </w:rPr>
        <w:tab/>
      </w:r>
      <w:r>
        <w:rPr>
          <w:rFonts w:hint="eastAsia" w:ascii="宋体" w:hAnsi="宋体" w:eastAsia="宋体" w:cs="宋体"/>
          <w:kern w:val="0"/>
          <w:sz w:val="24"/>
          <w:highlight w:val="none"/>
          <w:u w:val="single"/>
        </w:rPr>
        <w:t>发包人不提供支付担保</w:t>
      </w:r>
    </w:p>
    <w:p>
      <w:pPr>
        <w:pStyle w:val="11"/>
        <w:tabs>
          <w:tab w:val="left" w:pos="540"/>
        </w:tabs>
        <w:adjustRightInd w:val="0"/>
        <w:snapToGrid w:val="0"/>
        <w:spacing w:before="240" w:beforeLines="100" w:line="360" w:lineRule="auto"/>
        <w:jc w:val="both"/>
        <w:textAlignment w:val="baseline"/>
        <w:outlineLvl w:val="2"/>
        <w:rPr>
          <w:rStyle w:val="25"/>
          <w:rFonts w:hint="eastAsia" w:ascii="宋体" w:hAnsi="宋体" w:eastAsia="宋体" w:cs="宋体"/>
          <w:b/>
          <w:bCs/>
          <w:color w:val="000000"/>
          <w:kern w:val="2"/>
          <w:sz w:val="24"/>
          <w:szCs w:val="24"/>
          <w:highlight w:val="none"/>
          <w:lang w:val="en-US" w:eastAsia="zh-CN" w:bidi="ar-SA"/>
        </w:rPr>
      </w:pPr>
      <w:bookmarkStart w:id="108" w:name="_Toc20818"/>
      <w:bookmarkStart w:id="109" w:name="_Toc19019"/>
      <w:bookmarkStart w:id="110" w:name="_Toc29288"/>
      <w:bookmarkStart w:id="111" w:name="_Toc8253"/>
      <w:r>
        <w:rPr>
          <w:rStyle w:val="25"/>
          <w:rFonts w:hint="eastAsia" w:ascii="宋体" w:hAnsi="宋体" w:eastAsia="宋体" w:cs="宋体"/>
          <w:b/>
          <w:bCs/>
          <w:color w:val="000000"/>
          <w:kern w:val="2"/>
          <w:sz w:val="24"/>
          <w:szCs w:val="24"/>
          <w:highlight w:val="none"/>
          <w:lang w:val="en-US" w:eastAsia="zh-CN" w:bidi="ar-SA"/>
        </w:rPr>
        <w:t>31 不可抗力</w:t>
      </w:r>
      <w:bookmarkEnd w:id="108"/>
      <w:bookmarkEnd w:id="109"/>
      <w:bookmarkEnd w:id="110"/>
      <w:bookmarkEnd w:id="111"/>
    </w:p>
    <w:p>
      <w:pPr>
        <w:pStyle w:val="11"/>
        <w:adjustRightInd w:val="0"/>
        <w:snapToGrid w:val="0"/>
        <w:spacing w:line="360" w:lineRule="auto"/>
        <w:ind w:firstLine="548" w:firstLineChars="196"/>
        <w:jc w:val="left"/>
        <w:textAlignment w:val="baseline"/>
        <w:rPr>
          <w:rStyle w:val="43"/>
          <w:rFonts w:hint="eastAsia" w:ascii="宋体" w:hAnsi="宋体" w:eastAsia="宋体" w:cs="宋体"/>
          <w:b/>
          <w:bCs/>
          <w:color w:val="auto"/>
          <w:kern w:val="2"/>
          <w:sz w:val="24"/>
          <w:szCs w:val="24"/>
          <w:highlight w:val="none"/>
          <w:lang w:val="en-US" w:eastAsia="zh-CN" w:bidi="ar-SA"/>
        </w:rPr>
      </w:pPr>
      <w:r>
        <w:rPr>
          <w:rStyle w:val="43"/>
          <w:rFonts w:hint="eastAsia" w:ascii="宋体" w:hAnsi="宋体" w:eastAsia="宋体" w:cs="宋体"/>
          <w:color w:val="auto"/>
          <w:kern w:val="2"/>
          <w:sz w:val="28"/>
          <w:szCs w:val="28"/>
          <w:highlight w:val="none"/>
          <w:lang w:val="en-US" w:eastAsia="zh-CN" w:bidi="ar-SA"/>
        </w:rPr>
        <w:t>31.1</w:t>
      </w:r>
      <w:r>
        <w:rPr>
          <w:rStyle w:val="43"/>
          <w:rFonts w:hint="eastAsia" w:ascii="宋体" w:hAnsi="宋体" w:eastAsia="宋体" w:cs="宋体"/>
          <w:color w:val="auto"/>
          <w:kern w:val="2"/>
          <w:sz w:val="22"/>
          <w:szCs w:val="24"/>
          <w:highlight w:val="none"/>
        </w:rPr>
        <w:t>不可抗力是指合同当事人在签订合同时不可预见，在合同履行过程中不可避免且不能克服的自然灾害和社会性突发事件，如地震、海啸、瘟疫、骚乱、戒严、暴动、战争等。</w:t>
      </w:r>
      <w:r>
        <w:rPr>
          <w:rStyle w:val="43"/>
          <w:rFonts w:hint="eastAsia" w:ascii="宋体" w:hAnsi="宋体" w:eastAsia="宋体" w:cs="宋体"/>
          <w:color w:val="auto"/>
          <w:kern w:val="2"/>
          <w:sz w:val="24"/>
          <w:szCs w:val="24"/>
          <w:highlight w:val="none"/>
          <w:lang w:val="en-US" w:eastAsia="zh-CN" w:bidi="ar-SA"/>
        </w:rPr>
        <w:t>不可抗力的其他情形：政府对本合同工程的政策变化、计划的调整，导致本合同工程不能如期推进，属不可抗力的范围。</w:t>
      </w:r>
    </w:p>
    <w:p>
      <w:pPr>
        <w:spacing w:line="312" w:lineRule="auto"/>
        <w:ind w:firstLine="470" w:firstLineChars="196"/>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31.3 因不可抗力事件导致的费用，由合同双方当事人按照下列规定承担：</w:t>
      </w:r>
    </w:p>
    <w:p>
      <w:pPr>
        <w:spacing w:line="312" w:lineRule="auto"/>
        <w:ind w:firstLine="470" w:firstLineChars="196"/>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（1）永久工程本身的损害，由发包人承担。</w:t>
      </w:r>
    </w:p>
    <w:p>
      <w:pPr>
        <w:spacing w:line="312" w:lineRule="auto"/>
        <w:ind w:firstLine="470" w:firstLineChars="196"/>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2）在工程竣工验收合格并移交给发包人使用前发生的因工程损害导致的第三方人员伤亡和财产损失，费用由承包人承担；在工程竣工验收合格并移交给发包人使用后发生的因工程损害导致的第三方人员伤亡和财产损失，费用由发包人承担。</w:t>
      </w:r>
    </w:p>
    <w:p>
      <w:pPr>
        <w:spacing w:line="312" w:lineRule="auto"/>
        <w:ind w:firstLine="470" w:firstLineChars="196"/>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（3）运至施工场地用于施工的材料和待安装的设备的损害，属发包人供应的由发包人承担；属承包人采购的由承包人承担。</w:t>
      </w:r>
    </w:p>
    <w:p>
      <w:pPr>
        <w:spacing w:line="312" w:lineRule="auto"/>
        <w:ind w:firstLine="470" w:firstLineChars="196"/>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（4）施工场地内的人员伤亡其所在单位负责，并承担相应费用。</w:t>
      </w:r>
    </w:p>
    <w:p>
      <w:pPr>
        <w:spacing w:line="312" w:lineRule="auto"/>
        <w:ind w:firstLine="470" w:firstLineChars="196"/>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（5）承包人机械设备损坏及停工损失，由承包人承担。</w:t>
      </w:r>
    </w:p>
    <w:p>
      <w:pPr>
        <w:spacing w:line="312" w:lineRule="auto"/>
        <w:ind w:firstLine="470" w:firstLineChars="196"/>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（6）停工期间，承包人应监理工程师要求留在施工场地的必要的管理人员及保卫人员的费用，由承包人承担。</w:t>
      </w:r>
    </w:p>
    <w:p>
      <w:pPr>
        <w:spacing w:line="312" w:lineRule="auto"/>
        <w:ind w:firstLine="470" w:firstLineChars="196"/>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（7）工程所需清理、修复费用，由承包人承担。</w:t>
      </w:r>
    </w:p>
    <w:p>
      <w:pPr>
        <w:spacing w:line="312" w:lineRule="auto"/>
        <w:ind w:firstLine="470" w:firstLineChars="196"/>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31.4 不可抗力引起工期的处理：按专用条款第36.2款的有关约定执行。</w:t>
      </w:r>
    </w:p>
    <w:p>
      <w:pPr>
        <w:pStyle w:val="11"/>
        <w:tabs>
          <w:tab w:val="left" w:pos="540"/>
        </w:tabs>
        <w:adjustRightInd w:val="0"/>
        <w:snapToGrid w:val="0"/>
        <w:spacing w:before="240" w:beforeLines="100" w:line="360" w:lineRule="auto"/>
        <w:jc w:val="both"/>
        <w:textAlignment w:val="baseline"/>
        <w:outlineLvl w:val="2"/>
        <w:rPr>
          <w:rStyle w:val="25"/>
          <w:rFonts w:hint="eastAsia" w:ascii="宋体" w:hAnsi="宋体" w:eastAsia="宋体" w:cs="宋体"/>
          <w:b/>
          <w:bCs/>
          <w:color w:val="000000"/>
          <w:kern w:val="2"/>
          <w:sz w:val="24"/>
          <w:szCs w:val="24"/>
          <w:highlight w:val="none"/>
          <w:lang w:val="en-US" w:eastAsia="zh-CN" w:bidi="ar-SA"/>
        </w:rPr>
      </w:pPr>
      <w:bookmarkStart w:id="112" w:name="_Toc8542"/>
      <w:bookmarkStart w:id="113" w:name="_Toc27690"/>
      <w:bookmarkStart w:id="114" w:name="_Toc4106"/>
      <w:bookmarkStart w:id="115" w:name="_Toc13255"/>
      <w:r>
        <w:rPr>
          <w:rStyle w:val="25"/>
          <w:rFonts w:hint="eastAsia" w:ascii="宋体" w:hAnsi="宋体" w:eastAsia="宋体" w:cs="宋体"/>
          <w:b/>
          <w:bCs/>
          <w:color w:val="000000"/>
          <w:kern w:val="2"/>
          <w:sz w:val="24"/>
          <w:szCs w:val="24"/>
          <w:highlight w:val="none"/>
          <w:lang w:val="en-US" w:eastAsia="zh-CN" w:bidi="ar-SA"/>
        </w:rPr>
        <w:t>32 保险</w:t>
      </w:r>
      <w:bookmarkEnd w:id="112"/>
      <w:bookmarkEnd w:id="113"/>
      <w:bookmarkEnd w:id="114"/>
      <w:bookmarkEnd w:id="115"/>
    </w:p>
    <w:p>
      <w:pPr>
        <w:spacing w:line="312" w:lineRule="auto"/>
        <w:ind w:firstLine="470" w:firstLineChars="196"/>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32.1 发包人购买的保险：无。</w:t>
      </w:r>
    </w:p>
    <w:p>
      <w:pPr>
        <w:spacing w:line="312" w:lineRule="auto"/>
        <w:ind w:firstLine="470" w:firstLineChars="196"/>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32.2 承包人办理的保险：应遵守政府相关规定。</w:t>
      </w:r>
    </w:p>
    <w:p>
      <w:pPr>
        <w:pStyle w:val="11"/>
        <w:tabs>
          <w:tab w:val="left" w:pos="540"/>
        </w:tabs>
        <w:adjustRightInd w:val="0"/>
        <w:snapToGrid w:val="0"/>
        <w:spacing w:before="240" w:beforeLines="100" w:line="360" w:lineRule="auto"/>
        <w:jc w:val="both"/>
        <w:textAlignment w:val="baseline"/>
        <w:outlineLvl w:val="2"/>
        <w:rPr>
          <w:rStyle w:val="25"/>
          <w:rFonts w:hint="eastAsia" w:ascii="宋体" w:hAnsi="宋体" w:eastAsia="宋体" w:cs="宋体"/>
          <w:b/>
          <w:bCs/>
          <w:color w:val="000000"/>
          <w:kern w:val="2"/>
          <w:sz w:val="24"/>
          <w:szCs w:val="24"/>
          <w:highlight w:val="none"/>
          <w:lang w:val="en-US" w:eastAsia="zh-CN" w:bidi="ar-SA"/>
        </w:rPr>
      </w:pPr>
      <w:bookmarkStart w:id="116" w:name="_Toc24841"/>
      <w:bookmarkStart w:id="117" w:name="_Toc29502"/>
      <w:bookmarkStart w:id="118" w:name="_Toc3801"/>
      <w:bookmarkStart w:id="119" w:name="_Toc20524"/>
      <w:r>
        <w:rPr>
          <w:rStyle w:val="25"/>
          <w:rFonts w:hint="eastAsia" w:ascii="宋体" w:hAnsi="宋体" w:eastAsia="宋体" w:cs="宋体"/>
          <w:b/>
          <w:bCs/>
          <w:color w:val="000000"/>
          <w:kern w:val="2"/>
          <w:sz w:val="24"/>
          <w:szCs w:val="24"/>
          <w:highlight w:val="none"/>
          <w:lang w:val="en-US" w:eastAsia="zh-CN" w:bidi="ar-SA"/>
        </w:rPr>
        <w:t>33 进度计划和报告</w:t>
      </w:r>
      <w:bookmarkEnd w:id="116"/>
      <w:bookmarkEnd w:id="117"/>
      <w:bookmarkEnd w:id="118"/>
      <w:bookmarkEnd w:id="119"/>
    </w:p>
    <w:p>
      <w:pPr>
        <w:spacing w:line="312" w:lineRule="auto"/>
        <w:ind w:firstLine="470" w:firstLineChars="196"/>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33.1 提交进度计划：承包人应于中标通知书发出后15天内向监理工程师提交项目及单位工程的施工组织设计与进度计划。承包人提交的施工组织设计应当包括但不限于以下内容：</w:t>
      </w:r>
    </w:p>
    <w:p>
      <w:pPr>
        <w:spacing w:line="312" w:lineRule="auto"/>
        <w:ind w:firstLine="470" w:firstLineChars="196"/>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（1）各分部分项工程的完整的施工方案；</w:t>
      </w:r>
    </w:p>
    <w:p>
      <w:pPr>
        <w:spacing w:line="312" w:lineRule="auto"/>
        <w:ind w:firstLine="470" w:firstLineChars="196"/>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（2）施工资源投入计划，包括：机械设备进场计划、工程材料和物料进场及仓储计划、施工人员进场计划等；</w:t>
      </w:r>
    </w:p>
    <w:p>
      <w:pPr>
        <w:spacing w:line="312" w:lineRule="auto"/>
        <w:ind w:firstLine="470" w:firstLineChars="196"/>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（3）施工现场平面布置图及施工道路平面图；</w:t>
      </w:r>
    </w:p>
    <w:p>
      <w:pPr>
        <w:spacing w:line="312" w:lineRule="auto"/>
        <w:ind w:firstLine="470" w:firstLineChars="196"/>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（4）季节性施工措施；</w:t>
      </w:r>
    </w:p>
    <w:p>
      <w:pPr>
        <w:spacing w:line="312" w:lineRule="auto"/>
        <w:ind w:firstLine="470" w:firstLineChars="196"/>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（5）地下管线及其他地下设施的加固措施；</w:t>
      </w:r>
    </w:p>
    <w:p>
      <w:pPr>
        <w:spacing w:line="312" w:lineRule="auto"/>
        <w:ind w:firstLine="470" w:firstLineChars="196"/>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（6）保证工期、质量的措施；</w:t>
      </w:r>
    </w:p>
    <w:p>
      <w:pPr>
        <w:spacing w:line="312" w:lineRule="auto"/>
        <w:ind w:firstLine="470" w:firstLineChars="196"/>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（7）保证安全生产、文明施工、减少扰民、降低环境污染和噪音的措施；</w:t>
      </w:r>
    </w:p>
    <w:p>
      <w:pPr>
        <w:spacing w:line="312" w:lineRule="auto"/>
        <w:ind w:firstLine="470" w:firstLineChars="196"/>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（8）妥善处理与相邻施工作业现场关系的措施；</w:t>
      </w:r>
    </w:p>
    <w:p>
      <w:pPr>
        <w:spacing w:line="312" w:lineRule="auto"/>
        <w:ind w:firstLine="470" w:firstLineChars="196"/>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（9）其他与工程施工有关的管理方案、措施。</w:t>
      </w:r>
    </w:p>
    <w:p>
      <w:pPr>
        <w:spacing w:line="312" w:lineRule="auto"/>
        <w:ind w:firstLine="470" w:firstLineChars="196"/>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承包人编制的工程进度计划内容应全面详实，且应针对施工总承包范围内的各专业平行分包工程及建筑工程的全部或分项施工作业和特点提出施工方法、施工穿插顺序及时间安排，并在各节点位置标注相应的工程量、资金使用计划、人力机械组织及材料消耗量。</w:t>
      </w:r>
    </w:p>
    <w:p>
      <w:pPr>
        <w:spacing w:line="312" w:lineRule="auto"/>
        <w:ind w:firstLine="470" w:firstLineChars="196"/>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监理工程师和发包人在接到承包人提交的施工组织设计</w:t>
      </w:r>
      <w:r>
        <w:rPr>
          <w:rFonts w:hint="eastAsia" w:ascii="宋体" w:hAnsi="宋体" w:eastAsia="宋体" w:cs="宋体"/>
          <w:sz w:val="24"/>
          <w:szCs w:val="24"/>
          <w:highlight w:val="none"/>
        </w:rPr>
        <w:t>（施工方案）</w:t>
      </w:r>
      <w:r>
        <w:rPr>
          <w:rStyle w:val="43"/>
          <w:rFonts w:hint="eastAsia" w:ascii="宋体" w:hAnsi="宋体" w:eastAsia="宋体" w:cs="宋体"/>
          <w:color w:val="auto"/>
          <w:kern w:val="2"/>
          <w:sz w:val="24"/>
          <w:szCs w:val="24"/>
          <w:highlight w:val="none"/>
          <w:lang w:val="en-US" w:eastAsia="zh-CN" w:bidi="ar-SA"/>
        </w:rPr>
        <w:t>和工程进度计划后7天内予以确认或提出修改意见（总监理工程师在4天内审核并签署意见，发包人在3天内审核并签署意见）。逾期既不确认，也不提出书面意见的视为同意，</w:t>
      </w:r>
      <w:r>
        <w:rPr>
          <w:rFonts w:hint="eastAsia" w:ascii="宋体" w:hAnsi="宋体" w:eastAsia="宋体" w:cs="宋体"/>
          <w:sz w:val="24"/>
          <w:szCs w:val="24"/>
          <w:highlight w:val="none"/>
        </w:rPr>
        <w:t>如发包人或监理工程师对承包人提供的施工组织设计（施工方案）和工程进度计划提出修改意见，承包人应在收到修改意见后3个工作日内完成修改，发包人或监理工程师收到承包人提供的经修改后的施工方案后3个工作日内确认，如该方案仍未能通过，修改所需时间计算在合同工期内。</w:t>
      </w:r>
      <w:r>
        <w:rPr>
          <w:rStyle w:val="43"/>
          <w:rFonts w:hint="eastAsia" w:ascii="宋体" w:hAnsi="宋体" w:eastAsia="宋体" w:cs="宋体"/>
          <w:color w:val="auto"/>
          <w:kern w:val="2"/>
          <w:sz w:val="24"/>
          <w:szCs w:val="24"/>
          <w:highlight w:val="none"/>
          <w:lang w:val="en-US" w:eastAsia="zh-CN" w:bidi="ar-SA"/>
        </w:rPr>
        <w:t>另如遇到有较大安全风险、技术复杂、难度大的施工方案（如深基坑、高支模等），应按政府有关规定召开专家评审会评审。</w:t>
      </w:r>
    </w:p>
    <w:p>
      <w:pPr>
        <w:spacing w:line="312" w:lineRule="auto"/>
        <w:ind w:firstLine="470" w:firstLineChars="196"/>
        <w:jc w:val="both"/>
        <w:textAlignment w:val="baseline"/>
        <w:rPr>
          <w:rStyle w:val="43"/>
          <w:rFonts w:hint="eastAsia" w:ascii="宋体" w:hAnsi="宋体" w:eastAsia="宋体" w:cs="宋体"/>
          <w:b/>
          <w:bCs/>
          <w:color w:val="auto"/>
          <w:kern w:val="2"/>
          <w:sz w:val="21"/>
          <w:szCs w:val="22"/>
          <w:highlight w:val="none"/>
          <w:u w:val="single"/>
          <w:lang w:val="en-US" w:eastAsia="zh-CN" w:bidi="ar-SA"/>
        </w:rPr>
      </w:pPr>
      <w:r>
        <w:rPr>
          <w:rStyle w:val="43"/>
          <w:rFonts w:hint="eastAsia" w:ascii="宋体" w:hAnsi="宋体" w:eastAsia="宋体" w:cs="宋体"/>
          <w:color w:val="auto"/>
          <w:kern w:val="2"/>
          <w:sz w:val="24"/>
          <w:szCs w:val="24"/>
          <w:highlight w:val="none"/>
          <w:lang w:val="en-US" w:eastAsia="zh-CN" w:bidi="ar-SA"/>
        </w:rPr>
        <w:t>33.4 监理工程师认为本合同工程或其中任何部分工程进度滞后而不能按预定工期完工，应将此情况通知承包人，承包人应据此修改工程进度计划，采取监理工程师同意的必要措施加快工程进度，属承包人原因造成的，则承包人无权要求发包人支付任何附加费用。如承包人未能在监理工程师发布指令后10天内采取有效措施，工程进度仍然无明显改进，发包人有权部分或全部解除合同，将未完工程另行发包给其他有能力的施工单位；承包人必须无条件服从，由此所造成的损失全部由承包人承担。</w:t>
      </w:r>
    </w:p>
    <w:p>
      <w:pPr>
        <w:spacing w:line="312" w:lineRule="auto"/>
        <w:ind w:right="-20"/>
        <w:jc w:val="both"/>
        <w:textAlignment w:val="baseline"/>
        <w:rPr>
          <w:rStyle w:val="43"/>
          <w:rFonts w:hint="eastAsia" w:ascii="宋体" w:hAnsi="宋体" w:eastAsia="宋体" w:cs="宋体"/>
          <w:b/>
          <w:bCs/>
          <w:color w:val="auto"/>
          <w:kern w:val="2"/>
          <w:sz w:val="24"/>
          <w:szCs w:val="24"/>
          <w:highlight w:val="none"/>
          <w:lang w:val="en-US" w:eastAsia="zh-CN" w:bidi="ar-SA"/>
        </w:rPr>
      </w:pPr>
      <w:r>
        <w:rPr>
          <w:rStyle w:val="43"/>
          <w:rFonts w:hint="eastAsia" w:ascii="宋体" w:hAnsi="宋体" w:eastAsia="宋体" w:cs="宋体"/>
          <w:b/>
          <w:bCs/>
          <w:color w:val="auto"/>
          <w:kern w:val="2"/>
          <w:sz w:val="24"/>
          <w:szCs w:val="24"/>
          <w:highlight w:val="none"/>
          <w:lang w:val="en-US" w:eastAsia="zh-CN" w:bidi="ar-SA"/>
        </w:rPr>
        <w:t>承包人和发包人一致同意不适用合同通用条款第34条的约定。代之以：</w:t>
      </w:r>
    </w:p>
    <w:p>
      <w:pPr>
        <w:pStyle w:val="11"/>
        <w:tabs>
          <w:tab w:val="left" w:pos="540"/>
        </w:tabs>
        <w:adjustRightInd w:val="0"/>
        <w:snapToGrid w:val="0"/>
        <w:spacing w:before="240" w:beforeLines="100" w:line="360" w:lineRule="auto"/>
        <w:jc w:val="both"/>
        <w:textAlignment w:val="baseline"/>
        <w:outlineLvl w:val="2"/>
        <w:rPr>
          <w:rStyle w:val="25"/>
          <w:rFonts w:hint="eastAsia" w:ascii="宋体" w:hAnsi="宋体" w:eastAsia="宋体" w:cs="宋体"/>
          <w:b/>
          <w:bCs/>
          <w:color w:val="000000"/>
          <w:kern w:val="2"/>
          <w:sz w:val="24"/>
          <w:szCs w:val="24"/>
          <w:highlight w:val="none"/>
          <w:u w:val="none"/>
          <w:lang w:val="en-US" w:eastAsia="zh-CN" w:bidi="ar-SA"/>
        </w:rPr>
      </w:pPr>
      <w:bookmarkStart w:id="120" w:name="_Toc1096"/>
      <w:bookmarkStart w:id="121" w:name="_Toc15941"/>
      <w:bookmarkStart w:id="122" w:name="_Toc935"/>
      <w:bookmarkStart w:id="123" w:name="_Toc20500"/>
      <w:r>
        <w:rPr>
          <w:rStyle w:val="25"/>
          <w:rFonts w:hint="eastAsia" w:ascii="宋体" w:hAnsi="宋体" w:eastAsia="宋体" w:cs="宋体"/>
          <w:b/>
          <w:bCs/>
          <w:color w:val="000000"/>
          <w:kern w:val="2"/>
          <w:sz w:val="24"/>
          <w:szCs w:val="24"/>
          <w:highlight w:val="none"/>
          <w:lang w:val="en-US" w:eastAsia="zh-CN" w:bidi="ar-SA"/>
        </w:rPr>
        <w:t>34 开工</w:t>
      </w:r>
      <w:bookmarkEnd w:id="120"/>
      <w:bookmarkEnd w:id="121"/>
      <w:bookmarkEnd w:id="122"/>
      <w:bookmarkEnd w:id="123"/>
    </w:p>
    <w:p>
      <w:pPr>
        <w:spacing w:line="312" w:lineRule="auto"/>
        <w:ind w:firstLine="48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承包人必须在收到发包人进场通知的次日进入施工场地，做好施工准备工作，尽快开工。在工程已具备开工条件，但因承包人自身的原因（包括但不限于项目经理及现场管理机构其他人员尚未到位）而无法实际开工的，经发包人书面同意，监理工程师可以签发开工令，工期开始正式计算，但现场不允许开工；再由总监理工程师发出停工令，待承包人准备妥当后才批准复工。由此产生的工期延误等损失由承包人承担，并按照专用条款第96.8款的有关约定处理。</w:t>
      </w:r>
    </w:p>
    <w:p>
      <w:pPr>
        <w:spacing w:line="312" w:lineRule="auto"/>
        <w:ind w:firstLine="48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b/>
          <w:bCs/>
          <w:color w:val="auto"/>
          <w:kern w:val="2"/>
          <w:sz w:val="24"/>
          <w:szCs w:val="24"/>
          <w:highlight w:val="none"/>
          <w:lang w:val="en-US" w:eastAsia="zh-CN" w:bidi="ar-SA"/>
        </w:rPr>
        <w:t>承包人和发包人一致同意不适用合同通用条款第35条的约定。代之以：</w:t>
      </w:r>
    </w:p>
    <w:p>
      <w:pPr>
        <w:pStyle w:val="11"/>
        <w:tabs>
          <w:tab w:val="left" w:pos="540"/>
        </w:tabs>
        <w:adjustRightInd w:val="0"/>
        <w:snapToGrid w:val="0"/>
        <w:spacing w:before="240" w:beforeLines="100" w:line="360" w:lineRule="auto"/>
        <w:jc w:val="both"/>
        <w:textAlignment w:val="baseline"/>
        <w:outlineLvl w:val="2"/>
        <w:rPr>
          <w:rStyle w:val="25"/>
          <w:rFonts w:hint="eastAsia" w:ascii="宋体" w:hAnsi="宋体" w:eastAsia="宋体" w:cs="宋体"/>
          <w:b/>
          <w:bCs/>
          <w:color w:val="000000"/>
          <w:kern w:val="2"/>
          <w:sz w:val="24"/>
          <w:szCs w:val="24"/>
          <w:highlight w:val="none"/>
          <w:lang w:val="en-US" w:eastAsia="zh-CN" w:bidi="ar-SA"/>
        </w:rPr>
      </w:pPr>
      <w:bookmarkStart w:id="124" w:name="_Toc12259"/>
      <w:bookmarkStart w:id="125" w:name="_Toc30970"/>
      <w:bookmarkStart w:id="126" w:name="_Toc2413"/>
      <w:bookmarkStart w:id="127" w:name="_Toc24837"/>
      <w:r>
        <w:rPr>
          <w:rStyle w:val="25"/>
          <w:rFonts w:hint="eastAsia" w:ascii="宋体" w:hAnsi="宋体" w:eastAsia="宋体" w:cs="宋体"/>
          <w:b/>
          <w:bCs/>
          <w:color w:val="000000"/>
          <w:kern w:val="2"/>
          <w:sz w:val="24"/>
          <w:szCs w:val="24"/>
          <w:highlight w:val="none"/>
          <w:lang w:val="en-US" w:eastAsia="zh-CN" w:bidi="ar-SA"/>
        </w:rPr>
        <w:t>35 暂停施工和复工</w:t>
      </w:r>
      <w:bookmarkEnd w:id="124"/>
      <w:bookmarkEnd w:id="125"/>
      <w:bookmarkEnd w:id="126"/>
      <w:bookmarkEnd w:id="127"/>
    </w:p>
    <w:p>
      <w:pPr>
        <w:spacing w:line="312" w:lineRule="auto"/>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35.1 因下列原因，总监理工程师报经发包人同意，可通知承包人暂停施工：</w:t>
      </w:r>
    </w:p>
    <w:p>
      <w:pPr>
        <w:spacing w:line="312" w:lineRule="auto"/>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（1）工程设计发生重大变更；</w:t>
      </w:r>
    </w:p>
    <w:p>
      <w:pPr>
        <w:spacing w:line="312" w:lineRule="auto"/>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（2）不可抗力；</w:t>
      </w:r>
    </w:p>
    <w:p>
      <w:pPr>
        <w:spacing w:line="312" w:lineRule="auto"/>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（3）质量事故；</w:t>
      </w:r>
    </w:p>
    <w:p>
      <w:pPr>
        <w:spacing w:line="312" w:lineRule="auto"/>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（4）安全生产事故。</w:t>
      </w:r>
    </w:p>
    <w:p>
      <w:pPr>
        <w:spacing w:line="312" w:lineRule="auto"/>
        <w:ind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承包人不得以与发包人有争议或争议未解决为由而单方面停工，否则，按照专用条款第96.8（2）款的约定承担违约责任。</w:t>
      </w:r>
    </w:p>
    <w:p>
      <w:pPr>
        <w:spacing w:line="312" w:lineRule="auto"/>
        <w:ind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因发生上述第（1）、（2）项原因而暂停施工，工期调整适用专用条款第36条的有关约定；因发生上述第（3）、（4）项原因而暂停施工，工期不予顺延，承包人必须承担由此发生的费用，并按专用条款第96.10款、第96.11款的约定向发包人承担违约责任。</w:t>
      </w:r>
    </w:p>
    <w:p>
      <w:pPr>
        <w:spacing w:line="312" w:lineRule="auto"/>
        <w:ind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35.2为了保证工程质量安全，凡出现下列情况之一（不限于此）的，总监理工程师有权下达停工令，责令承包人停工整改，由此造成的损失由承包人自行负责，造成工期延误的由承包人按专用条款第96.8款的有关约定承担违约责任：</w:t>
      </w:r>
    </w:p>
    <w:p>
      <w:pPr>
        <w:spacing w:line="312" w:lineRule="auto"/>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（1）拒绝监理单位管理；</w:t>
      </w:r>
    </w:p>
    <w:p>
      <w:pPr>
        <w:spacing w:line="312" w:lineRule="auto"/>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（2）施工组织设计（方案）未获总监理工程师批准而进行施工；</w:t>
      </w:r>
    </w:p>
    <w:p>
      <w:pPr>
        <w:spacing w:line="312" w:lineRule="auto"/>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（3）未经监理单位检验而进行下一道工序作业；</w:t>
      </w:r>
    </w:p>
    <w:p>
      <w:pPr>
        <w:spacing w:line="312" w:lineRule="auto"/>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（4）擅自采用未经监理单位及发包人认可或批准的材料，或者使用的原材料、构配件不合格或未经检查确认，或者擅自采用未经认可的代用材料；</w:t>
      </w:r>
    </w:p>
    <w:p>
      <w:pPr>
        <w:spacing w:line="312" w:lineRule="auto"/>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（5）擅自变更设计图纸的要求；</w:t>
      </w:r>
    </w:p>
    <w:p>
      <w:pPr>
        <w:spacing w:line="312" w:lineRule="auto"/>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（6）转包工程；</w:t>
      </w:r>
    </w:p>
    <w:p>
      <w:pPr>
        <w:spacing w:line="312" w:lineRule="auto"/>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（7）擅自让未经发包人批准的分包单位进场作业；</w:t>
      </w:r>
    </w:p>
    <w:p>
      <w:pPr>
        <w:spacing w:line="312" w:lineRule="auto"/>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（8）存在安全隐患，未按监理单位要求及时进行整改；</w:t>
      </w:r>
    </w:p>
    <w:p>
      <w:pPr>
        <w:spacing w:line="312" w:lineRule="auto"/>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（9）未按双方约定的要求上报所需的资料。</w:t>
      </w:r>
    </w:p>
    <w:p>
      <w:pPr>
        <w:spacing w:line="312" w:lineRule="auto"/>
        <w:ind w:firstLine="482" w:firstLineChars="200"/>
        <w:jc w:val="both"/>
        <w:textAlignment w:val="baseline"/>
        <w:rPr>
          <w:rStyle w:val="43"/>
          <w:rFonts w:hint="eastAsia" w:ascii="宋体" w:hAnsi="宋体" w:eastAsia="宋体" w:cs="宋体"/>
          <w:b/>
          <w:bCs/>
          <w:color w:val="auto"/>
          <w:kern w:val="2"/>
          <w:sz w:val="24"/>
          <w:szCs w:val="24"/>
          <w:highlight w:val="none"/>
          <w:lang w:val="en-US" w:eastAsia="zh-CN" w:bidi="ar-SA"/>
        </w:rPr>
      </w:pPr>
      <w:r>
        <w:rPr>
          <w:rStyle w:val="43"/>
          <w:rFonts w:hint="eastAsia" w:ascii="宋体" w:hAnsi="宋体" w:eastAsia="宋体" w:cs="宋体"/>
          <w:b/>
          <w:bCs/>
          <w:color w:val="auto"/>
          <w:kern w:val="2"/>
          <w:sz w:val="24"/>
          <w:szCs w:val="24"/>
          <w:highlight w:val="none"/>
          <w:lang w:val="en-US" w:eastAsia="zh-CN" w:bidi="ar-SA"/>
        </w:rPr>
        <w:t>承包人和发包人一致同意不适用合同通用条款第36条的约定，代之以：</w:t>
      </w:r>
    </w:p>
    <w:p>
      <w:pPr>
        <w:pStyle w:val="11"/>
        <w:tabs>
          <w:tab w:val="left" w:pos="540"/>
        </w:tabs>
        <w:adjustRightInd w:val="0"/>
        <w:snapToGrid w:val="0"/>
        <w:spacing w:before="240" w:beforeLines="100" w:line="360" w:lineRule="auto"/>
        <w:jc w:val="both"/>
        <w:textAlignment w:val="baseline"/>
        <w:outlineLvl w:val="2"/>
        <w:rPr>
          <w:rStyle w:val="25"/>
          <w:rFonts w:hint="eastAsia" w:ascii="宋体" w:hAnsi="宋体" w:eastAsia="宋体" w:cs="宋体"/>
          <w:b/>
          <w:bCs/>
          <w:color w:val="000000"/>
          <w:kern w:val="2"/>
          <w:sz w:val="24"/>
          <w:szCs w:val="24"/>
          <w:highlight w:val="none"/>
          <w:lang w:val="en-US" w:eastAsia="zh-CN" w:bidi="ar-SA"/>
        </w:rPr>
      </w:pPr>
      <w:bookmarkStart w:id="128" w:name="_Toc8470"/>
      <w:bookmarkStart w:id="129" w:name="_Toc6312"/>
      <w:bookmarkStart w:id="130" w:name="_Toc20624"/>
      <w:bookmarkStart w:id="131" w:name="_Toc24181"/>
      <w:r>
        <w:rPr>
          <w:rStyle w:val="25"/>
          <w:rFonts w:hint="eastAsia" w:ascii="宋体" w:hAnsi="宋体" w:eastAsia="宋体" w:cs="宋体"/>
          <w:b/>
          <w:bCs/>
          <w:color w:val="000000"/>
          <w:kern w:val="2"/>
          <w:sz w:val="24"/>
          <w:szCs w:val="24"/>
          <w:highlight w:val="none"/>
          <w:lang w:val="en-US" w:eastAsia="zh-CN" w:bidi="ar-SA"/>
        </w:rPr>
        <w:t>36 工期及工期延误</w:t>
      </w:r>
      <w:bookmarkEnd w:id="128"/>
      <w:bookmarkEnd w:id="129"/>
      <w:bookmarkEnd w:id="130"/>
      <w:bookmarkEnd w:id="131"/>
    </w:p>
    <w:p>
      <w:pPr>
        <w:spacing w:line="312" w:lineRule="auto"/>
        <w:ind w:firstLine="482" w:firstLineChars="200"/>
        <w:jc w:val="both"/>
        <w:textAlignment w:val="baseline"/>
        <w:rPr>
          <w:rStyle w:val="43"/>
          <w:rFonts w:hint="eastAsia" w:ascii="宋体" w:hAnsi="宋体" w:eastAsia="宋体" w:cs="宋体"/>
          <w:b/>
          <w:bCs/>
          <w:color w:val="auto"/>
          <w:kern w:val="2"/>
          <w:sz w:val="24"/>
          <w:szCs w:val="24"/>
          <w:highlight w:val="none"/>
          <w:lang w:val="en-US" w:eastAsia="zh-CN" w:bidi="ar-SA"/>
        </w:rPr>
      </w:pPr>
      <w:r>
        <w:rPr>
          <w:rStyle w:val="43"/>
          <w:rFonts w:hint="eastAsia" w:ascii="宋体" w:hAnsi="宋体" w:eastAsia="宋体" w:cs="宋体"/>
          <w:b/>
          <w:bCs/>
          <w:color w:val="auto"/>
          <w:kern w:val="2"/>
          <w:sz w:val="24"/>
          <w:szCs w:val="24"/>
          <w:highlight w:val="none"/>
          <w:lang w:val="en-US" w:eastAsia="zh-CN" w:bidi="ar-SA"/>
        </w:rPr>
        <w:t>36.1工期的计算</w:t>
      </w:r>
    </w:p>
    <w:p>
      <w:pPr>
        <w:widowControl/>
        <w:numPr>
          <w:ilvl w:val="-1"/>
          <w:numId w:val="0"/>
        </w:numPr>
        <w:tabs>
          <w:tab w:val="left" w:pos="5080"/>
        </w:tabs>
        <w:spacing w:line="312" w:lineRule="auto"/>
        <w:ind w:right="-20" w:firstLine="480" w:firstLineChars="200"/>
        <w:jc w:val="both"/>
        <w:rPr>
          <w:rStyle w:val="43"/>
          <w:rFonts w:hint="eastAsia" w:ascii="宋体" w:hAnsi="宋体" w:eastAsia="宋体" w:cs="宋体"/>
          <w:b w:val="0"/>
          <w:bCs w:val="0"/>
          <w:color w:val="auto"/>
          <w:sz w:val="24"/>
          <w:szCs w:val="24"/>
          <w:highlight w:val="none"/>
          <w:lang w:val="en-US" w:eastAsia="zh-CN"/>
        </w:rPr>
      </w:pPr>
      <w:r>
        <w:rPr>
          <w:rStyle w:val="43"/>
          <w:rFonts w:hint="eastAsia" w:ascii="宋体" w:hAnsi="宋体" w:eastAsia="宋体" w:cs="宋体"/>
          <w:b w:val="0"/>
          <w:bCs w:val="0"/>
          <w:color w:val="auto"/>
          <w:sz w:val="24"/>
          <w:szCs w:val="24"/>
          <w:highlight w:val="none"/>
          <w:lang w:val="en-US" w:eastAsia="zh-CN"/>
        </w:rPr>
        <w:t>以参建各方完成初步验收的时间，作为工期的截止时间，在初验后，承包单位需在2个月内完成竣工验收（或竣工联合验收备案），否则工期以竣工验收（或竣工联合验收备案）为准，相关单位配合不及时等非承包人原因的特殊情况除外。</w:t>
      </w:r>
    </w:p>
    <w:p>
      <w:pPr>
        <w:tabs>
          <w:tab w:val="left" w:pos="5080"/>
        </w:tabs>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36.2工期控制与调整</w:t>
      </w:r>
    </w:p>
    <w:p>
      <w:pPr>
        <w:tabs>
          <w:tab w:val="left" w:pos="5080"/>
        </w:tabs>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1）本合同节点工期分为关键节点工期和一般节点工期两类，承包人必须在施工组织设计文件中分专业详细区分和列明本合同工程总体及各单体工程的关键节点工期和一般节点工期，并报总监理工程师和发包人批准后实施。</w:t>
      </w:r>
    </w:p>
    <w:p>
      <w:pPr>
        <w:tabs>
          <w:tab w:val="left" w:pos="5080"/>
        </w:tabs>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2）工期调整的原则：对于承包人原因造成的工期延误，工期一概不得顺延；对于非承包人原因造成的工期延误，一般节点工期可以相应顺延，但该顺延以不对关键节点工期和总工期构成不利影响为限。关键节点工期一般不予调整，承包人应当采取合理有效的赶工措施予以消化，而且这些合理有效的赶工措施费已包括在投标总价当中，发包人不予补偿。</w:t>
      </w:r>
    </w:p>
    <w:p>
      <w:pPr>
        <w:tabs>
          <w:tab w:val="left" w:pos="5080"/>
        </w:tabs>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在特殊情况下，关键节点工期确需调整的，承包人必须重新编制总工期控制计划和关键节点工期调整计划并报请总监理工程师和发包人审核。经总监理工程师、发包人审核，确认承包人编制的关键节点工期调整计划已符合要求，且已采取了合理的赶工措施足以确保工程按期竣工的，应当同意工期调整。承包人必须在总监理工程师、发包人批准其调整计划后3天内，将调整后的总工期控制计划和关键节点工期调整计划按合同总份数送发包人作为合同附件存档。</w:t>
      </w:r>
    </w:p>
    <w:p>
      <w:pPr>
        <w:tabs>
          <w:tab w:val="left" w:pos="5080"/>
        </w:tabs>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36.3 工期延误的原因及其处理</w:t>
      </w:r>
    </w:p>
    <w:p>
      <w:pPr>
        <w:tabs>
          <w:tab w:val="left" w:pos="5080"/>
        </w:tabs>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（1）非承包人原因造成的工期延误，是指有确凿证据证实因下列原因而直接造成承包人的原定工期计划延误：</w:t>
      </w:r>
    </w:p>
    <w:p>
      <w:pPr>
        <w:tabs>
          <w:tab w:val="left" w:pos="5080"/>
        </w:tabs>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1）不可抗力；</w:t>
      </w:r>
    </w:p>
    <w:p>
      <w:pPr>
        <w:tabs>
          <w:tab w:val="left" w:pos="5080"/>
        </w:tabs>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2）工程设计有重大变更或重大失误，并经总监理工程师确认会造成工期延误的；</w:t>
      </w:r>
    </w:p>
    <w:p>
      <w:pPr>
        <w:tabs>
          <w:tab w:val="left" w:pos="5080"/>
        </w:tabs>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3）发包人延期交付施工场地；</w:t>
      </w:r>
    </w:p>
    <w:p>
      <w:pPr>
        <w:tabs>
          <w:tab w:val="left" w:pos="5080"/>
        </w:tabs>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4）施工图纸供应时间影响工期进度，并经总监理工程师确认的；</w:t>
      </w:r>
    </w:p>
    <w:p>
      <w:pPr>
        <w:tabs>
          <w:tab w:val="left" w:pos="5080"/>
        </w:tabs>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5）发包人不按合同约定支付工程款而影响工期进度，并经总监理工程师确认的；</w:t>
      </w:r>
    </w:p>
    <w:p>
      <w:pPr>
        <w:tabs>
          <w:tab w:val="left" w:pos="5080"/>
        </w:tabs>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6）发包人其他违约行为造成工期延误并经总监理工程师确认的。</w:t>
      </w:r>
    </w:p>
    <w:p>
      <w:pPr>
        <w:tabs>
          <w:tab w:val="left" w:pos="5080"/>
        </w:tabs>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（2）因承包人原因造成的工期延误，工期一概不得顺延。承包人还应当按照专用条款第96.8款的有关约定承担违约责任。</w:t>
      </w:r>
    </w:p>
    <w:p>
      <w:pPr>
        <w:tabs>
          <w:tab w:val="left" w:pos="5080"/>
        </w:tabs>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（3）因承包人对现场组织管理不力或未能提供协调、配合服务，以致专业工程的进度影响工期，承包人不得以此为由提出延长工期的要求。</w:t>
      </w:r>
    </w:p>
    <w:p>
      <w:pPr>
        <w:tabs>
          <w:tab w:val="left" w:pos="5080"/>
        </w:tabs>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36.4 对于非因承包人原因发生的工期延误，承包人应当在工期延误发生后7天内就延误的内容和因此发生的经济支出向发包人提出书面报告；逾期不报告的，发包人不予确认。发包人代表在收到报告后10天内予以确认、答复，逾期不予答复的，承包人即可视为延期要求已被确认。</w:t>
      </w:r>
    </w:p>
    <w:p>
      <w:pPr>
        <w:tabs>
          <w:tab w:val="left" w:pos="5080"/>
        </w:tabs>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36.5 承包人必须采取一切有效措施保证按照合同协议书约定或者发包人根据工程实施情况调整的竣工日期竣工，不得延误，除非发生了以下情形：</w:t>
      </w:r>
    </w:p>
    <w:p>
      <w:pPr>
        <w:tabs>
          <w:tab w:val="left" w:pos="5080"/>
        </w:tabs>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（1）政府对本合同工程建设项目作出停建、缓建的决定；</w:t>
      </w:r>
    </w:p>
    <w:p>
      <w:pPr>
        <w:tabs>
          <w:tab w:val="left" w:pos="5080"/>
        </w:tabs>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（2）重大设计变更导致本合同工程在规划、使用、功能方面有重大调整；</w:t>
      </w:r>
    </w:p>
    <w:p>
      <w:pPr>
        <w:tabs>
          <w:tab w:val="left" w:pos="5080"/>
        </w:tabs>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（3）非因承包人原因造成关键节点工期延误达到30天以上。</w:t>
      </w:r>
    </w:p>
    <w:p>
      <w:pPr>
        <w:spacing w:line="312" w:lineRule="auto"/>
        <w:ind w:firstLine="480" w:firstLineChars="200"/>
        <w:jc w:val="left"/>
        <w:textAlignment w:val="auto"/>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（4）其他非因承包人原因造成的竣工日期延误。</w:t>
      </w:r>
    </w:p>
    <w:p>
      <w:pPr>
        <w:spacing w:line="312" w:lineRule="auto"/>
        <w:ind w:firstLine="482" w:firstLineChars="200"/>
        <w:jc w:val="left"/>
        <w:textAlignment w:val="auto"/>
        <w:rPr>
          <w:rStyle w:val="43"/>
          <w:rFonts w:hint="eastAsia" w:ascii="宋体" w:hAnsi="宋体" w:eastAsia="宋体" w:cs="宋体"/>
          <w:b/>
          <w:bCs/>
          <w:color w:val="auto"/>
          <w:kern w:val="2"/>
          <w:sz w:val="24"/>
          <w:szCs w:val="24"/>
          <w:highlight w:val="none"/>
          <w:lang w:val="en-US" w:eastAsia="zh-CN" w:bidi="ar-SA"/>
        </w:rPr>
      </w:pPr>
      <w:r>
        <w:rPr>
          <w:rStyle w:val="43"/>
          <w:rFonts w:hint="eastAsia" w:ascii="宋体" w:hAnsi="宋体" w:eastAsia="宋体" w:cs="宋体"/>
          <w:b/>
          <w:bCs/>
          <w:color w:val="auto"/>
          <w:kern w:val="2"/>
          <w:sz w:val="24"/>
          <w:szCs w:val="24"/>
          <w:highlight w:val="none"/>
          <w:lang w:val="en-US" w:eastAsia="zh-CN" w:bidi="ar-SA"/>
        </w:rPr>
        <w:t>承包人与发包人一致同意增加36.10款：</w:t>
      </w:r>
    </w:p>
    <w:p>
      <w:pPr>
        <w:tabs>
          <w:tab w:val="left" w:pos="5080"/>
        </w:tabs>
        <w:autoSpaceDE w:val="0"/>
        <w:autoSpaceDN w:val="0"/>
        <w:adjustRightInd w:val="0"/>
        <w:spacing w:line="312" w:lineRule="auto"/>
        <w:ind w:right="-2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36.</w:t>
      </w: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监理工程师应在收到承包人按照第36.4款和第36.5款（发生时）规定提交（最终）工期顺延报告和详细资料后的28个日历天内予以核实，或要求承包人进一步补充顺延工期的理由，并将核实后结果报发包人批准。合同双方当事人一旦协商确定顺延的工期，将作为调整工期的依据，但费用不作补偿。</w:t>
      </w:r>
    </w:p>
    <w:p>
      <w:pPr>
        <w:tabs>
          <w:tab w:val="left" w:pos="5080"/>
        </w:tabs>
        <w:autoSpaceDE w:val="0"/>
        <w:autoSpaceDN w:val="0"/>
        <w:adjustRightInd w:val="0"/>
        <w:spacing w:line="312" w:lineRule="auto"/>
        <w:ind w:right="-2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如果发包人及监理工程师在收到上述报告和资料后的28天内未予核实也未对承包人作出进一步要求，则视为发包人及监理工程师已认可承包人上述报告中提出的顺延工期天数。如过程中有延期的，承包人需在发生后7日内上报监理、发包人确认，并按照“场平、基坑”、“主体、装饰”、“园建、收尾”三个阶段汇总上报监理、发包人。</w:t>
      </w:r>
    </w:p>
    <w:p>
      <w:pPr>
        <w:pStyle w:val="11"/>
        <w:tabs>
          <w:tab w:val="left" w:pos="540"/>
        </w:tabs>
        <w:adjustRightInd w:val="0"/>
        <w:snapToGrid w:val="0"/>
        <w:spacing w:before="240" w:beforeLines="100" w:line="360" w:lineRule="auto"/>
        <w:ind w:right="-20"/>
        <w:jc w:val="both"/>
        <w:textAlignment w:val="baseline"/>
        <w:outlineLvl w:val="2"/>
        <w:rPr>
          <w:rStyle w:val="25"/>
          <w:rFonts w:hint="eastAsia" w:ascii="宋体" w:hAnsi="宋体" w:eastAsia="宋体" w:cs="宋体"/>
          <w:b/>
          <w:bCs/>
          <w:color w:val="000000"/>
          <w:kern w:val="2"/>
          <w:sz w:val="24"/>
          <w:szCs w:val="24"/>
          <w:highlight w:val="none"/>
          <w:lang w:val="en-US" w:eastAsia="zh-CN" w:bidi="ar-SA"/>
        </w:rPr>
      </w:pPr>
      <w:bookmarkStart w:id="132" w:name="_Toc11042"/>
      <w:bookmarkStart w:id="133" w:name="_Toc30859"/>
      <w:bookmarkStart w:id="134" w:name="_Toc21039"/>
      <w:bookmarkStart w:id="135" w:name="_Toc13817"/>
      <w:r>
        <w:rPr>
          <w:rStyle w:val="25"/>
          <w:rFonts w:hint="eastAsia" w:ascii="宋体" w:hAnsi="宋体" w:eastAsia="宋体" w:cs="宋体"/>
          <w:b/>
          <w:bCs/>
          <w:color w:val="000000"/>
          <w:kern w:val="2"/>
          <w:sz w:val="24"/>
          <w:szCs w:val="24"/>
          <w:highlight w:val="none"/>
          <w:lang w:val="en-US" w:eastAsia="zh-CN" w:bidi="ar-SA"/>
        </w:rPr>
        <w:t>42 质量</w:t>
      </w:r>
      <w:bookmarkEnd w:id="132"/>
      <w:bookmarkEnd w:id="133"/>
      <w:r>
        <w:rPr>
          <w:rStyle w:val="25"/>
          <w:rFonts w:hint="eastAsia" w:ascii="宋体" w:hAnsi="宋体" w:eastAsia="宋体" w:cs="宋体"/>
          <w:b/>
          <w:bCs/>
          <w:color w:val="000000"/>
          <w:kern w:val="2"/>
          <w:sz w:val="24"/>
          <w:szCs w:val="24"/>
          <w:highlight w:val="none"/>
          <w:lang w:val="en-US" w:eastAsia="zh-CN" w:bidi="ar-SA"/>
        </w:rPr>
        <w:t>标准、目标</w:t>
      </w:r>
      <w:bookmarkEnd w:id="134"/>
      <w:bookmarkEnd w:id="135"/>
    </w:p>
    <w:p>
      <w:pPr>
        <w:tabs>
          <w:tab w:val="left" w:pos="1240"/>
        </w:tabs>
        <w:spacing w:line="312" w:lineRule="auto"/>
        <w:ind w:left="581" w:right="-2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42.1</w:t>
      </w:r>
      <w:r>
        <w:rPr>
          <w:rStyle w:val="43"/>
          <w:rFonts w:hint="eastAsia" w:ascii="宋体" w:hAnsi="宋体" w:eastAsia="宋体" w:cs="宋体"/>
          <w:color w:val="auto"/>
          <w:kern w:val="2"/>
          <w:sz w:val="24"/>
          <w:szCs w:val="24"/>
          <w:highlight w:val="none"/>
          <w:lang w:val="en-US" w:eastAsia="zh-CN" w:bidi="ar-SA"/>
        </w:rPr>
        <w:tab/>
      </w:r>
      <w:r>
        <w:rPr>
          <w:rStyle w:val="43"/>
          <w:rFonts w:hint="eastAsia" w:ascii="宋体" w:hAnsi="宋体" w:eastAsia="宋体" w:cs="宋体"/>
          <w:color w:val="auto"/>
          <w:kern w:val="2"/>
          <w:sz w:val="24"/>
          <w:szCs w:val="24"/>
          <w:highlight w:val="none"/>
          <w:lang w:val="en-US" w:eastAsia="zh-CN" w:bidi="ar-SA"/>
        </w:rPr>
        <w:t>工程质量标准</w:t>
      </w:r>
    </w:p>
    <w:p>
      <w:pPr>
        <w:tabs>
          <w:tab w:val="left" w:pos="1240"/>
        </w:tabs>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（1）本合同工程质量标准为：一次验收合格，并达到协议书约定的质量目标。验收标准以现行</w:t>
      </w:r>
      <w:r>
        <w:rPr>
          <w:rFonts w:hint="eastAsia" w:ascii="宋体" w:hAnsi="宋体" w:eastAsia="宋体" w:cs="宋体"/>
          <w:sz w:val="24"/>
          <w:szCs w:val="24"/>
          <w:highlight w:val="none"/>
        </w:rPr>
        <w:t>《建筑工程施工质量验收统一标准》（GB 50300-2013）、建筑结构加固工程施工质量验收规范》（GB 50550-2010）、</w:t>
      </w:r>
      <w:r>
        <w:rPr>
          <w:rStyle w:val="43"/>
          <w:rFonts w:hint="eastAsia" w:ascii="宋体" w:hAnsi="宋体" w:eastAsia="宋体" w:cs="宋体"/>
          <w:color w:val="auto"/>
          <w:kern w:val="2"/>
          <w:sz w:val="24"/>
          <w:szCs w:val="24"/>
          <w:highlight w:val="none"/>
          <w:lang w:val="en-US" w:eastAsia="zh-CN" w:bidi="ar-SA"/>
        </w:rPr>
        <w:t>《城镇道路工程施工与质量验收规范》（CJJ 1-2008）、</w:t>
      </w:r>
      <w:r>
        <w:rPr>
          <w:rFonts w:hint="eastAsia" w:ascii="宋体" w:hAnsi="宋体" w:eastAsia="宋体" w:cs="宋体"/>
          <w:sz w:val="24"/>
          <w:szCs w:val="24"/>
          <w:highlight w:val="none"/>
        </w:rPr>
        <w:t>《城市桥梁工程施工与质量验收规范》（CJJ 2-2008）等</w:t>
      </w:r>
      <w:r>
        <w:rPr>
          <w:rStyle w:val="43"/>
          <w:rFonts w:hint="eastAsia" w:ascii="宋体" w:hAnsi="宋体" w:eastAsia="宋体" w:cs="宋体"/>
          <w:color w:val="auto"/>
          <w:kern w:val="2"/>
          <w:sz w:val="24"/>
          <w:szCs w:val="24"/>
          <w:highlight w:val="none"/>
          <w:lang w:val="en-US" w:eastAsia="zh-CN" w:bidi="ar-SA"/>
        </w:rPr>
        <w:t>系列各专业验收规范为依据。</w:t>
      </w:r>
    </w:p>
    <w:p>
      <w:pPr>
        <w:tabs>
          <w:tab w:val="left" w:pos="1240"/>
        </w:tabs>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（2）承包人必须确保工程一次验收合格。因承包人原因致工程未一次验收合格并导致工程不能按计划工期办理竣工验收的，由承包人按照专用条款第96.8（5）款的约定承担违约责任。</w:t>
      </w:r>
    </w:p>
    <w:p>
      <w:pPr>
        <w:tabs>
          <w:tab w:val="left" w:pos="1240"/>
        </w:tabs>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42.3 质量保证体系</w:t>
      </w:r>
    </w:p>
    <w:p>
      <w:pPr>
        <w:tabs>
          <w:tab w:val="left" w:pos="1240"/>
        </w:tabs>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承包人应当完善质量管理制度，建立质量控制流程，进行全面质量管理（TQC），以《质量管理体系标准》（GB/T19000）为标准，建立并保持一个有效的工程质量管理体系。为此，承包人必须做到但不限于：</w:t>
      </w:r>
    </w:p>
    <w:p>
      <w:pPr>
        <w:tabs>
          <w:tab w:val="left" w:pos="1240"/>
        </w:tabs>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1）建立完整的质量保证体系，委派专人负责工程质量管理，现场管理机构、工区（段）设有专职质检人员，班组设质检员，必须附有项目架构人员名单，各类人员必须持有上岗资格证，于本合同签订后5天内将上述人员报总监理工程师备查。承包人还应建立并完善各项目质量管理检查制度及企业质量管理文件等。</w:t>
      </w:r>
    </w:p>
    <w:p>
      <w:pPr>
        <w:tabs>
          <w:tab w:val="left" w:pos="1240"/>
        </w:tabs>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2）承包人提交总监理工程师批准的施工组织设计或者施工方案必须附有完备的工程质量保证措施，包括：工程质量预控措施，工序质量控制点，工程的标准工艺流程图和技术、组织措施，制造工程各分部、分项的关键工序、特殊工序控制、及样板间制度。重点分部（项）工程的施工方法，材料、制品试件取样及送检试验的方法或检测方案，成品保护的措施和方法，质量报表和质量事故的报告制度等等。</w:t>
      </w:r>
    </w:p>
    <w:p>
      <w:pPr>
        <w:tabs>
          <w:tab w:val="left" w:pos="1240"/>
        </w:tabs>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（3）单项工程开工前，承包人必须按要求对职工分级进行技术交底，组织学习有关规程、标准、规范和工艺要求（规程包括但不限于施工企业标准和作业指导书），在施工中必须按规程及工艺进行操作等。</w:t>
      </w:r>
    </w:p>
    <w:p>
      <w:pPr>
        <w:tabs>
          <w:tab w:val="left" w:pos="1240"/>
        </w:tabs>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4）单项工程和重要部位必须遵循先试验后铺开施工的程序，开工前承包人应熟悉施工图纸会审和设计变更内容并完成施工组织设计和必要的施工准备，送总监理工程师审查批准后方可进行试验性施工，完工后由总监理工程师检验，符合要求后才能铺开施工或者批量生产。</w:t>
      </w:r>
    </w:p>
    <w:p>
      <w:pPr>
        <w:tabs>
          <w:tab w:val="left" w:pos="1240"/>
        </w:tabs>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（5）按现行国家规范和标准有关规定对标准产品进场100%见证检试验，并按主管部门的要求进行监督抽检试验。结构混凝土试件必须按要求落实同条件养护试件送检。</w:t>
      </w:r>
    </w:p>
    <w:p>
      <w:pPr>
        <w:tabs>
          <w:tab w:val="left" w:pos="1240"/>
        </w:tabs>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42.4 工程质量有争议的处理</w:t>
      </w:r>
    </w:p>
    <w:p>
      <w:pPr>
        <w:tabs>
          <w:tab w:val="left" w:pos="1240"/>
        </w:tabs>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双方对工程质量有争议，同意依据《城镇道路工程施工与质量验收规范》（CJJ 1-2008）系列各专业验收规范及设计文件等，由建设工程所在地工程质量监督部门鉴定。</w:t>
      </w:r>
    </w:p>
    <w:p>
      <w:pPr>
        <w:pStyle w:val="11"/>
        <w:tabs>
          <w:tab w:val="left" w:pos="540"/>
        </w:tabs>
        <w:adjustRightInd w:val="0"/>
        <w:snapToGrid w:val="0"/>
        <w:spacing w:before="240" w:beforeLines="100" w:line="360" w:lineRule="auto"/>
        <w:ind w:right="-20"/>
        <w:jc w:val="both"/>
        <w:textAlignment w:val="baseline"/>
        <w:outlineLvl w:val="2"/>
        <w:rPr>
          <w:rFonts w:hint="eastAsia" w:ascii="宋体" w:hAnsi="宋体" w:eastAsia="宋体" w:cs="宋体"/>
          <w:b/>
          <w:bCs/>
          <w:color w:val="000000"/>
          <w:kern w:val="2"/>
          <w:sz w:val="24"/>
          <w:szCs w:val="24"/>
          <w:highlight w:val="none"/>
          <w:lang w:val="en-US" w:eastAsia="zh-CN" w:bidi="ar-SA"/>
        </w:rPr>
      </w:pPr>
      <w:bookmarkStart w:id="136" w:name="_Toc30347"/>
      <w:bookmarkStart w:id="137" w:name="_Toc12847"/>
      <w:bookmarkStart w:id="138" w:name="_Toc20761"/>
      <w:bookmarkStart w:id="139" w:name="_Toc20131"/>
      <w:r>
        <w:rPr>
          <w:rFonts w:hint="eastAsia" w:ascii="宋体" w:hAnsi="宋体" w:eastAsia="宋体" w:cs="宋体"/>
          <w:b/>
          <w:bCs/>
          <w:color w:val="000000"/>
          <w:kern w:val="2"/>
          <w:sz w:val="24"/>
          <w:szCs w:val="24"/>
          <w:highlight w:val="none"/>
          <w:lang w:val="en-US" w:eastAsia="zh-CN" w:bidi="ar-SA"/>
        </w:rPr>
        <w:t xml:space="preserve">45 </w:t>
      </w:r>
      <w:r>
        <w:rPr>
          <w:rFonts w:hint="eastAsia" w:ascii="宋体" w:hAnsi="宋体" w:eastAsia="宋体" w:cs="宋体"/>
          <w:b/>
          <w:bCs/>
          <w:color w:val="000000"/>
          <w:sz w:val="24"/>
          <w:szCs w:val="24"/>
          <w:highlight w:val="none"/>
        </w:rPr>
        <w:t>绿色施工安全防护</w:t>
      </w:r>
      <w:bookmarkEnd w:id="136"/>
      <w:bookmarkEnd w:id="137"/>
      <w:bookmarkEnd w:id="138"/>
      <w:bookmarkEnd w:id="139"/>
    </w:p>
    <w:p>
      <w:pPr>
        <w:tabs>
          <w:tab w:val="left" w:pos="1240"/>
        </w:tabs>
        <w:autoSpaceDE/>
        <w:autoSpaceDN/>
        <w:adjustRightInd/>
        <w:spacing w:line="312" w:lineRule="auto"/>
        <w:ind w:right="-2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45.1 </w:t>
      </w:r>
      <w:r>
        <w:rPr>
          <w:rFonts w:hint="eastAsia" w:ascii="宋体" w:hAnsi="宋体" w:eastAsia="宋体" w:cs="宋体"/>
          <w:b w:val="0"/>
          <w:bCs w:val="0"/>
          <w:sz w:val="24"/>
          <w:szCs w:val="24"/>
          <w:highlight w:val="none"/>
        </w:rPr>
        <w:t>绿色施工安全防护</w:t>
      </w:r>
      <w:r>
        <w:rPr>
          <w:rFonts w:hint="eastAsia" w:ascii="宋体" w:hAnsi="宋体" w:eastAsia="宋体" w:cs="宋体"/>
          <w:sz w:val="24"/>
          <w:szCs w:val="24"/>
          <w:highlight w:val="none"/>
        </w:rPr>
        <w:t>的</w:t>
      </w:r>
      <w:r>
        <w:rPr>
          <w:rFonts w:hint="eastAsia" w:ascii="宋体" w:hAnsi="宋体" w:eastAsia="宋体" w:cs="宋体"/>
          <w:sz w:val="24"/>
          <w:szCs w:val="24"/>
          <w:highlight w:val="none"/>
          <w:lang w:val="en-US" w:eastAsia="zh-CN"/>
        </w:rPr>
        <w:t>要求补充内容</w:t>
      </w:r>
      <w:r>
        <w:rPr>
          <w:rFonts w:hint="eastAsia" w:ascii="宋体" w:hAnsi="宋体" w:eastAsia="宋体" w:cs="宋体"/>
          <w:sz w:val="24"/>
          <w:szCs w:val="24"/>
          <w:highlight w:val="none"/>
        </w:rPr>
        <w:t>：</w:t>
      </w:r>
    </w:p>
    <w:p>
      <w:pPr>
        <w:tabs>
          <w:tab w:val="left" w:pos="1240"/>
        </w:tabs>
        <w:autoSpaceDE w:val="0"/>
        <w:autoSpaceDN w:val="0"/>
        <w:adjustRightInd w:val="0"/>
        <w:spacing w:line="312" w:lineRule="auto"/>
        <w:ind w:right="-20" w:firstLine="470" w:firstLineChars="196"/>
        <w:rPr>
          <w:rFonts w:hint="eastAsia" w:ascii="宋体" w:hAnsi="宋体" w:eastAsia="宋体" w:cs="宋体"/>
          <w:sz w:val="24"/>
          <w:szCs w:val="24"/>
          <w:highlight w:val="none"/>
        </w:rPr>
      </w:pPr>
      <w:r>
        <w:rPr>
          <w:rFonts w:hint="eastAsia" w:ascii="宋体" w:hAnsi="宋体" w:eastAsia="宋体" w:cs="宋体"/>
          <w:sz w:val="24"/>
          <w:szCs w:val="24"/>
          <w:highlight w:val="none"/>
        </w:rPr>
        <w:t>承包人应执行《建筑施工安全检查标准》（JGJ59-2011）、《住房和城乡建设部关于修改部分部门规章的决定》（2019年3月13日发布；2019年3月13日实施）和《广州市人民政府关于修改《广州市城市道路临时占用管理办法》等16件政府规章的决定》（2018年2月13日发布；2018年2月13日实施）、《广州市建设工程现场文明施工管理办法》（穗建质〔2008〕937号）的规定、《关于规范建筑施工安全管理标准的通知》穗建筑〔2005〕652号、《广州市建设工程绿色施工围蔽指导图集（v2.0）》（穗建质〔2020〕1号）及现行的省、市关于安全文明施工的相关规定。</w:t>
      </w:r>
    </w:p>
    <w:p>
      <w:pPr>
        <w:tabs>
          <w:tab w:val="left" w:pos="1240"/>
        </w:tabs>
        <w:autoSpaceDE w:val="0"/>
        <w:autoSpaceDN w:val="0"/>
        <w:adjustRightInd w:val="0"/>
        <w:spacing w:line="312" w:lineRule="auto"/>
        <w:ind w:right="-20" w:firstLine="470" w:firstLineChars="196"/>
        <w:rPr>
          <w:rFonts w:hint="eastAsia" w:ascii="宋体" w:hAnsi="宋体" w:eastAsia="宋体" w:cs="宋体"/>
          <w:sz w:val="24"/>
          <w:szCs w:val="24"/>
          <w:highlight w:val="none"/>
        </w:rPr>
      </w:pPr>
      <w:r>
        <w:rPr>
          <w:rFonts w:hint="eastAsia" w:ascii="宋体" w:hAnsi="宋体" w:eastAsia="宋体" w:cs="宋体"/>
          <w:sz w:val="24"/>
          <w:szCs w:val="24"/>
          <w:highlight w:val="none"/>
        </w:rPr>
        <w:t>承包人须按照文件要求结合工程实际情况分别编制工程安全生产措施和文明施工措施专项方案，明确相关措施的内容和标准，报监理单位审批后再报发包人备查。</w:t>
      </w:r>
    </w:p>
    <w:p>
      <w:pPr>
        <w:tabs>
          <w:tab w:val="left" w:pos="1240"/>
        </w:tabs>
        <w:spacing w:line="312" w:lineRule="auto"/>
        <w:ind w:right="-20" w:firstLine="472" w:firstLineChars="196"/>
        <w:jc w:val="both"/>
        <w:textAlignment w:val="baseline"/>
        <w:rPr>
          <w:rStyle w:val="43"/>
          <w:rFonts w:hint="eastAsia" w:ascii="宋体" w:hAnsi="宋体" w:eastAsia="宋体" w:cs="宋体"/>
          <w:b/>
          <w:bCs/>
          <w:color w:val="auto"/>
          <w:kern w:val="2"/>
          <w:sz w:val="24"/>
          <w:szCs w:val="24"/>
          <w:highlight w:val="none"/>
          <w:lang w:val="en-US" w:eastAsia="zh-CN" w:bidi="ar-SA"/>
        </w:rPr>
      </w:pPr>
      <w:r>
        <w:rPr>
          <w:rStyle w:val="43"/>
          <w:rFonts w:hint="eastAsia" w:ascii="宋体" w:hAnsi="宋体" w:eastAsia="宋体" w:cs="宋体"/>
          <w:b/>
          <w:bCs/>
          <w:color w:val="auto"/>
          <w:kern w:val="2"/>
          <w:sz w:val="24"/>
          <w:szCs w:val="24"/>
          <w:highlight w:val="none"/>
          <w:lang w:val="en-US" w:eastAsia="zh-CN" w:bidi="ar-SA"/>
        </w:rPr>
        <w:t>45.4 承包人责任增加：</w:t>
      </w:r>
    </w:p>
    <w:p>
      <w:pPr>
        <w:tabs>
          <w:tab w:val="left" w:pos="1240"/>
        </w:tabs>
        <w:spacing w:line="312" w:lineRule="auto"/>
        <w:ind w:right="-20" w:firstLine="470" w:firstLineChars="196"/>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（7）承包人应严格遵守国家、省、市有关防火、爆破和</w:t>
      </w:r>
      <w:r>
        <w:rPr>
          <w:rFonts w:hint="eastAsia" w:ascii="宋体" w:hAnsi="宋体" w:eastAsia="宋体" w:cs="宋体"/>
          <w:sz w:val="24"/>
          <w:szCs w:val="24"/>
          <w:highlight w:val="none"/>
        </w:rPr>
        <w:t>绿色安全防护施工</w:t>
      </w:r>
      <w:r>
        <w:rPr>
          <w:rStyle w:val="43"/>
          <w:rFonts w:hint="eastAsia" w:ascii="宋体" w:hAnsi="宋体" w:eastAsia="宋体" w:cs="宋体"/>
          <w:color w:val="auto"/>
          <w:kern w:val="2"/>
          <w:sz w:val="24"/>
          <w:szCs w:val="24"/>
          <w:highlight w:val="none"/>
          <w:lang w:val="en-US" w:eastAsia="zh-CN" w:bidi="ar-SA"/>
        </w:rPr>
        <w:t>、夜间施工、环卫和城管等规定，建立规章制度和防护措施，并承担由于自身措施不力造成事故责任和发生的费用。</w:t>
      </w:r>
    </w:p>
    <w:p>
      <w:pPr>
        <w:tabs>
          <w:tab w:val="left" w:pos="1240"/>
        </w:tabs>
        <w:spacing w:line="312" w:lineRule="auto"/>
        <w:ind w:right="-20" w:firstLine="470" w:firstLineChars="196"/>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8）承包人应当清楚地预计到施工期间对外界可能产生的必然的不可能避免的干扰，并为此保证主动努力减少这些干扰对外界的影响，且应当积极主动与外界进行协调。除必须发包人出面的情况外，承包人应负责协调施工期间外界的各种干扰。发包人将在承包人的配合下，充分运用自己对各方面的影响力，尽可能地将外界对工程的干扰减少到最少程度。这种协调并不解除承包人的各项责任与义务。承包人应做好管理协调工作，由于承包人管理不力或未能预见可能出现的问题，而导致工程未能按合同约定施工的，承包人应承担责任。承包人应负责对施工场地内的地上及地下障碍物进行清理。</w:t>
      </w:r>
    </w:p>
    <w:p>
      <w:pPr>
        <w:tabs>
          <w:tab w:val="left" w:pos="1240"/>
        </w:tabs>
        <w:spacing w:line="312" w:lineRule="auto"/>
        <w:ind w:right="-20" w:firstLine="470" w:firstLineChars="196"/>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9）承包方在符合合同要求所许可的范围内，在进行施工以及修补其任何缺陷所必须的一切操作时不应给下列各方带来不必要和不适当的干扰，否则所造成的后果由承包方自行承担：A、公众的便利；B、公用道路及场所以及属于建设单位或任何单位所属的道路的进出、使用等。</w:t>
      </w:r>
    </w:p>
    <w:p>
      <w:pPr>
        <w:tabs>
          <w:tab w:val="left" w:pos="1240"/>
        </w:tabs>
        <w:spacing w:line="312" w:lineRule="auto"/>
        <w:ind w:right="-20" w:firstLine="470" w:firstLineChars="196"/>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（10）承包人在本合同工程实施期间因公安、交警、城管等执法部门规定白天不准行车或晚上城市主干道不准行车带来的不便由承包方自行协调，承包方不能要求追加任何费用，更不能据此延误工期。</w:t>
      </w:r>
    </w:p>
    <w:p>
      <w:pPr>
        <w:tabs>
          <w:tab w:val="left" w:pos="1240"/>
        </w:tabs>
        <w:spacing w:line="312" w:lineRule="auto"/>
        <w:ind w:right="-20" w:firstLine="470" w:firstLineChars="196"/>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11）承包人应负责现场全部作业的安全，在合同工程施工、完工及修补缺陷的整个工程期限内：全面负责所有留在现场上的人员的安全，保护其管辖范围的现场（包括某些尚未完工的和发包人尚未接管的工程）处于有条不紊和良好的状态。根据工程师或当地政府要求，在需要的时间和地点，提供和维持所有的照明灯光、护板、围墙、栅栏、警告信号标志和值班人员，对工程进行保护和为公众提供安全和方便。遵守和执行防火、安全文明施工和夜间施工规定。承包人应保证施工期间行人、车辆等的通行。施工临时占用人行道、车道等设施，由承包人办理有关手续，发包人协助，所需费用由承包人负责。同时承包人有责任协助公安、交通等部门维护所在现场地段的交通与人流，既保证施工安全，也保护车辆和行人的畅通和安全。承包人应在投标报价中考虑有关费用，并保证发包人免于受到或承担应由承包人负责的上述事项所引起的或与之有关的索赔、诉讼、以及其它开支。</w:t>
      </w:r>
    </w:p>
    <w:p>
      <w:pPr>
        <w:tabs>
          <w:tab w:val="left" w:pos="1240"/>
        </w:tabs>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（13）向发包人提供的办公和生活房屋及设施费用已含在投标报价中。</w:t>
      </w:r>
    </w:p>
    <w:p>
      <w:pPr>
        <w:tabs>
          <w:tab w:val="left" w:pos="1240"/>
        </w:tabs>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14）需承包人办理的有关施工场地交通、环卫和施工噪音管理等手续：承包人应当承担其出入现场所需要的专用或临时道路（含水路）通行权，养路费等一切费用和税费，办理相关手续；修建所有临时道路（含水路）的一切费用已包含在合同价款中，发包人不另行计量支付。承包人还应自费提供其所需要的工地以外的供工程使用的任何附加设施。除合同中另有规定外，根据设备、材料或临时设施运输的需要，承包人应负责并自费加固任何桥梁或重修或改进任何与施工现场连接或通往现场的任何道路（含水路）。退场前，对由于承包人自身原因引起的道路、桥梁、水闸、码头、堤围设施的损坏自费恢复原状。在合同工程施工期间，根据政府有关环境保护的规定，承包人应采取所有合理的措施来保护现场内外的环境。承包人已在合同价款中考虑有关费用，并保证发包人免于受到或承担应由承包人负责的上述事项所引起的或与之有关的索赔、诉讼、以及其它开支。</w:t>
      </w:r>
    </w:p>
    <w:p>
      <w:pPr>
        <w:tabs>
          <w:tab w:val="left" w:pos="1240"/>
        </w:tabs>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（15）承包人应建立健全施工安全生产组织机构和安全保证体系，落实安全生产责任制，按照工程建设安全生产的有关管理规定，采取相应措施，负责现场全部作业的安全，并对此承担全部责任。</w:t>
      </w:r>
    </w:p>
    <w:p>
      <w:pPr>
        <w:tabs>
          <w:tab w:val="left" w:pos="1240"/>
        </w:tabs>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16）承包人在施工中必须制订定期检查制度，加强对自身及其总承包管理范围内各专业单位在安全施工方面的检查、监督管理；若被发现存在严重安全隐患的，应按照专用条款第96.11（1）、（2）款的约定承担违约责任。</w:t>
      </w:r>
    </w:p>
    <w:p>
      <w:pPr>
        <w:tabs>
          <w:tab w:val="left" w:pos="1240"/>
        </w:tabs>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17）承包人应采取适当措施，确保其工作人员和劳务人员的身体健康，遵照当地卫生部门的要求保证在施工的全过程中，在工地、宿舍和工棚，备有医疗人员、急救设施、药品和治疗室等，并为预防传染病和一切必要的福利、卫生要求作出安排，建立“疾病应急小组”，制订应急措施。若出现任何重大或恶性传染性的疾病时，承包人必须遵守并执行省市卫生部门为处理和控制上述传染病而制定的规章、命令和要求，迅速向发包人和工程所在地疾病控制中心报告。</w:t>
      </w:r>
    </w:p>
    <w:p>
      <w:pPr>
        <w:tabs>
          <w:tab w:val="left" w:pos="1240"/>
        </w:tabs>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18）承包人应在进入现场前提交施工期间的环境保护方案一式四份，经总监理工程师批准后实施。环境保护方案必须包括：施工现场所必须的照明灯光、护板、围护、栅栏、警告标志和值班人员名单，以及建筑垃圾、施工和生活污水、噪音、粉尘的处理排放方案。在实施过程中所采用的材料、设备等应使总监理工程师和发包人满意。</w:t>
      </w:r>
    </w:p>
    <w:p>
      <w:pPr>
        <w:tabs>
          <w:tab w:val="left" w:pos="1240"/>
        </w:tabs>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承包人应在现场布置足量洒水车，消除扬尘，并使总监理工程师和发包人满意。</w:t>
      </w:r>
    </w:p>
    <w:p>
      <w:pPr>
        <w:tabs>
          <w:tab w:val="left" w:pos="1240"/>
        </w:tabs>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对于承包人施工过程中造成的环境污染问题，经发包人或者总监理工程师指出后，承包人未能在24小时之内采取整治措施，或者所采取的整治措施未能有效消除污染的，发包人可以自行或者委托他人代为整治，由此所产生的一切损失、费用均由承包人承担。</w:t>
      </w:r>
    </w:p>
    <w:p>
      <w:pPr>
        <w:tabs>
          <w:tab w:val="left" w:pos="1240"/>
        </w:tabs>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对于发包人直接发包的专业承包单位在施工过程中造成的环境污染（包括文明施工混乱），承包人必须配合发包人及监理单位，督促该专业承包单位立即采取整治措施，如果该专业承包单位不服从承包人的整治要求，承包人必须自行组织及时完成环境污染的整治工作并向总监理工程师及发包人书面汇报其过程及效果，由此产生的费用经总监理工程师及发包人审核确认，从该专业承包单位的工程款项中扣除，由发包人将该笔款项直接支付给承包人。由于承包人管理督促不力或漠视不理，以致专业承包单位未能及时整治或不进行整治而造成的一切损失均由承包人承担，同时承包人还必须按专用条款第96.12款和第96.7（6）款的约定承担相应的违约责任。</w:t>
      </w:r>
    </w:p>
    <w:p>
      <w:pPr>
        <w:tabs>
          <w:tab w:val="left" w:pos="1240"/>
        </w:tabs>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19）承包人承诺：所有施工的安全设施、机具以及围网、护栏、临边防护、施工通道等全部按发包人的要求统一标准、统一标识。安全防护、文明施工的内容按中标后承包人向发包人提交且经发包人批准的详细的施工组织设计实施，但安全防护、文明施工的投标总报价不变。</w:t>
      </w:r>
    </w:p>
    <w:p>
      <w:pPr>
        <w:tabs>
          <w:tab w:val="left" w:pos="1240"/>
        </w:tabs>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在合同工期内，发包人、总监理工程师对承包人的安全文明施工及环境保护措施进行定期检查，并按招标文件规定的项目和款项执行奖罚。</w:t>
      </w:r>
    </w:p>
    <w:p>
      <w:pPr>
        <w:tabs>
          <w:tab w:val="left" w:pos="1240"/>
        </w:tabs>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（20）承包人必须在工程竣工初验后30天内或发包人规定的时间内（发包人将提前通知承包人），无条件清退所有施工场地。拒不清退的，发包人除向承包人收取租金（租金为每天人民币1元/m</w:t>
      </w:r>
      <w:r>
        <w:rPr>
          <w:rStyle w:val="43"/>
          <w:rFonts w:hint="eastAsia" w:ascii="宋体" w:hAnsi="宋体" w:eastAsia="宋体" w:cs="宋体"/>
          <w:color w:val="auto"/>
          <w:kern w:val="2"/>
          <w:sz w:val="24"/>
          <w:szCs w:val="24"/>
          <w:highlight w:val="none"/>
          <w:vertAlign w:val="superscript"/>
          <w:lang w:val="en-US" w:eastAsia="zh-CN" w:bidi="ar-SA"/>
        </w:rPr>
        <w:t>2</w:t>
      </w:r>
      <w:r>
        <w:rPr>
          <w:rStyle w:val="43"/>
          <w:rFonts w:hint="eastAsia" w:ascii="宋体" w:hAnsi="宋体" w:eastAsia="宋体" w:cs="宋体"/>
          <w:color w:val="auto"/>
          <w:kern w:val="2"/>
          <w:sz w:val="24"/>
          <w:szCs w:val="24"/>
          <w:highlight w:val="none"/>
          <w:lang w:val="en-US" w:eastAsia="zh-CN" w:bidi="ar-SA"/>
        </w:rPr>
        <w:t>）外，还有权暂停计价支付、工程结算、工程验收等工作，并由承包人承担由此而产生的一切后果（包括发包人因此而被第三方索赔所产生的损失）。</w:t>
      </w:r>
    </w:p>
    <w:p>
      <w:pPr>
        <w:tabs>
          <w:tab w:val="left" w:pos="1240"/>
        </w:tabs>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对于临时房屋及设施，发包人认为有必要保留的，承包人在清退场地时应无条件保持完好并移交给发包人使用，并不得提出任何费用要求及其他要求。</w:t>
      </w:r>
    </w:p>
    <w:p>
      <w:pPr>
        <w:tabs>
          <w:tab w:val="left" w:pos="1240"/>
        </w:tabs>
        <w:autoSpaceDE w:val="0"/>
        <w:autoSpaceDN w:val="0"/>
        <w:adjustRightInd w:val="0"/>
        <w:spacing w:line="312" w:lineRule="auto"/>
        <w:ind w:right="-2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承包人在使用施工起重机械和整体提升脚手架、模板等自升式架设设施前，应当组织有关单位进行验收，也可以委托具有相应资质的检验检测机构进行验收；使用承租的机械设备和施工机具及配件的，由施工总承包单位、分包单位、出租单位和安装单位共同进行验收。验收合格的方可使用。《特种设备安全监察条例》规定的施工起重机械，在验收前应当经有相应资质的检验检测机构监督检验合格。施工单位应当自施工起重机械和整体提升脚手架、模板等自升式架设设施验收合格之日起30日内，向建设行政主管部门或者其他有关部门登记，登记标志应当置于或者附着于该设备的显著位置。</w:t>
      </w:r>
    </w:p>
    <w:p>
      <w:pPr>
        <w:tabs>
          <w:tab w:val="left" w:pos="1240"/>
        </w:tabs>
        <w:autoSpaceDE w:val="0"/>
        <w:autoSpaceDN w:val="0"/>
        <w:adjustRightInd w:val="0"/>
        <w:spacing w:line="312" w:lineRule="auto"/>
        <w:ind w:right="-2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）承包人必须按照国家法律法规〔详见：《电力设施保护条例》（国务院第239号令</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及</w:t>
      </w:r>
      <w:r>
        <w:rPr>
          <w:rFonts w:hint="eastAsia" w:ascii="宋体" w:hAnsi="宋体" w:eastAsia="宋体" w:cs="宋体"/>
          <w:sz w:val="24"/>
          <w:szCs w:val="24"/>
          <w:highlight w:val="none"/>
          <w:lang w:eastAsia="zh-CN"/>
        </w:rPr>
        <w:t>2011年1月8日《国务院关于废止和修改部分行政法规的决定》第二次修订</w:t>
      </w:r>
      <w:r>
        <w:rPr>
          <w:rFonts w:hint="eastAsia" w:ascii="宋体" w:hAnsi="宋体" w:eastAsia="宋体" w:cs="宋体"/>
          <w:sz w:val="24"/>
          <w:szCs w:val="24"/>
          <w:highlight w:val="none"/>
          <w:lang w:val="en-US" w:eastAsia="zh-CN"/>
        </w:rPr>
        <w:t>内容</w:t>
      </w:r>
      <w:r>
        <w:rPr>
          <w:rFonts w:hint="eastAsia" w:ascii="宋体" w:hAnsi="宋体" w:eastAsia="宋体" w:cs="宋体"/>
          <w:sz w:val="24"/>
          <w:szCs w:val="24"/>
          <w:highlight w:val="none"/>
        </w:rPr>
        <w:t>）、《电力设施保护条例实施细则》（由中华人民共和国国家经济贸易委员会、中华人民共和国公安部于1999年3月18日颁布实施，根据2011年6月30日国家发展和改革委员会令第10号修改）、《城镇燃气管理条例》（2010年10月19日国务院令第583号</w:t>
      </w:r>
      <w:r>
        <w:rPr>
          <w:rFonts w:hint="eastAsia" w:ascii="宋体" w:hAnsi="宋体" w:eastAsia="宋体" w:cs="宋体"/>
          <w:sz w:val="24"/>
          <w:szCs w:val="24"/>
          <w:highlight w:val="none"/>
          <w:lang w:val="en-US" w:eastAsia="zh-CN"/>
        </w:rPr>
        <w:t>及</w:t>
      </w:r>
      <w:r>
        <w:rPr>
          <w:rFonts w:hint="eastAsia" w:ascii="宋体" w:hAnsi="宋体" w:eastAsia="宋体" w:cs="宋体"/>
          <w:sz w:val="24"/>
          <w:szCs w:val="24"/>
          <w:highlight w:val="none"/>
          <w:lang w:eastAsia="zh-CN"/>
        </w:rPr>
        <w:t>2016年2月6日《国务院关于修改部分行政法规的决定》修订</w:t>
      </w:r>
      <w:r>
        <w:rPr>
          <w:rFonts w:hint="eastAsia" w:ascii="宋体" w:hAnsi="宋体" w:eastAsia="宋体" w:cs="宋体"/>
          <w:sz w:val="24"/>
          <w:szCs w:val="24"/>
          <w:highlight w:val="none"/>
          <w:lang w:val="en-US" w:eastAsia="zh-CN"/>
        </w:rPr>
        <w:t>内容</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、《广州市燃气管理办法》（2015年10月9日广州市人民政府令第130号</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及</w:t>
      </w:r>
      <w:r>
        <w:rPr>
          <w:rFonts w:hint="eastAsia" w:ascii="宋体" w:hAnsi="宋体" w:eastAsia="宋体" w:cs="宋体"/>
          <w:sz w:val="24"/>
          <w:szCs w:val="24"/>
          <w:highlight w:val="none"/>
          <w:lang w:eastAsia="zh-CN"/>
        </w:rPr>
        <w:t>广州市人民政府令第167号《广州市人民政府关于修改〈广州市房屋建筑和市政基础设施工程质量管理办法〉等5件政府规章的决定》修订</w:t>
      </w:r>
      <w:r>
        <w:rPr>
          <w:rFonts w:hint="eastAsia" w:ascii="宋体" w:hAnsi="宋体" w:eastAsia="宋体" w:cs="宋体"/>
          <w:sz w:val="24"/>
          <w:szCs w:val="24"/>
          <w:highlight w:val="none"/>
          <w:lang w:val="en-US" w:eastAsia="zh-CN"/>
        </w:rPr>
        <w:t>内容</w:t>
      </w:r>
      <w:r>
        <w:rPr>
          <w:rFonts w:hint="eastAsia" w:ascii="宋体" w:hAnsi="宋体" w:eastAsia="宋体" w:cs="宋体"/>
          <w:sz w:val="24"/>
          <w:szCs w:val="24"/>
          <w:highlight w:val="none"/>
        </w:rPr>
        <w:t>）、《广州市石油天然气管道保护规定》（2018年2月7日广州市人民政府令 第159号</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及广州市人民政府令第168号《广州市人民政府关于修改和废止部分政府规章的决定》修订内容</w:t>
      </w:r>
      <w:r>
        <w:rPr>
          <w:rFonts w:hint="eastAsia" w:ascii="宋体" w:hAnsi="宋体" w:eastAsia="宋体" w:cs="宋体"/>
          <w:sz w:val="24"/>
          <w:szCs w:val="24"/>
          <w:highlight w:val="none"/>
        </w:rPr>
        <w:t>）、《中华人民共和国石油天然气管道保护法》（中华人民共和国主席令第30号〕的要求及设计保护方案对建设范围及毗邻区域内的电力设施、燃气管道设施以及石油然天气管道做好安全保护措施。</w:t>
      </w:r>
    </w:p>
    <w:p>
      <w:pPr>
        <w:tabs>
          <w:tab w:val="left" w:pos="1240"/>
        </w:tabs>
        <w:autoSpaceDE w:val="0"/>
        <w:autoSpaceDN w:val="0"/>
        <w:adjustRightInd w:val="0"/>
        <w:spacing w:line="312" w:lineRule="auto"/>
        <w:ind w:right="-2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 承包人必须严格按照《广州市建设工程扬尘防治“6个100％”管理标准细化措施》（穗建质〔2018〕1394号）、《广东省建设工程施工扬尘污染防治管理办法（试行）》（粤办函〔2017〕708号）、《广东省住房和城乡建设厅关于采取切实措施坚决遏制施工扬尘污染的紧急通知》（粤建电发〔2018〕20号）的规定执行，负责建设工程施工扬尘污染防治工作，落实施工现场各项扬尘防治措施，建立扬尘污染防治检查制度。</w:t>
      </w:r>
    </w:p>
    <w:p>
      <w:pPr>
        <w:tabs>
          <w:tab w:val="left" w:pos="1240"/>
        </w:tabs>
        <w:autoSpaceDE w:val="0"/>
        <w:autoSpaceDN w:val="0"/>
        <w:adjustRightInd w:val="0"/>
        <w:spacing w:line="312" w:lineRule="auto"/>
        <w:ind w:right="-2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承包人必须严格按照《广东省住房和城乡建设厅关于建筑工程绿色施工的管理办法（暂行）》粤建质〔2016〕242号的规定执行，负责绿色施工的组织实施，建立绿色施工管理体系和管理制度。</w:t>
      </w:r>
    </w:p>
    <w:p>
      <w:pPr>
        <w:pStyle w:val="11"/>
        <w:tabs>
          <w:tab w:val="left" w:pos="540"/>
        </w:tabs>
        <w:adjustRightInd w:val="0"/>
        <w:snapToGrid w:val="0"/>
        <w:spacing w:before="240" w:beforeLines="100" w:line="360" w:lineRule="auto"/>
        <w:ind w:right="-20"/>
        <w:jc w:val="both"/>
        <w:textAlignment w:val="baseline"/>
        <w:outlineLvl w:val="2"/>
        <w:rPr>
          <w:rStyle w:val="25"/>
          <w:rFonts w:hint="eastAsia" w:ascii="宋体" w:hAnsi="宋体" w:eastAsia="宋体" w:cs="宋体"/>
          <w:b/>
          <w:bCs/>
          <w:color w:val="000000"/>
          <w:kern w:val="2"/>
          <w:sz w:val="24"/>
          <w:szCs w:val="24"/>
          <w:highlight w:val="none"/>
          <w:lang w:val="en-US" w:eastAsia="zh-CN" w:bidi="ar-SA"/>
        </w:rPr>
      </w:pPr>
      <w:bookmarkStart w:id="140" w:name="_Toc9064"/>
      <w:bookmarkStart w:id="141" w:name="_Toc15359"/>
      <w:bookmarkStart w:id="142" w:name="_Toc15096"/>
      <w:bookmarkStart w:id="143" w:name="_Toc20793"/>
      <w:r>
        <w:rPr>
          <w:rStyle w:val="25"/>
          <w:rFonts w:hint="eastAsia" w:ascii="宋体" w:hAnsi="宋体" w:eastAsia="宋体" w:cs="宋体"/>
          <w:b/>
          <w:bCs/>
          <w:color w:val="000000"/>
          <w:kern w:val="2"/>
          <w:sz w:val="24"/>
          <w:szCs w:val="24"/>
          <w:highlight w:val="none"/>
          <w:lang w:val="en-US" w:eastAsia="zh-CN" w:bidi="ar-SA"/>
        </w:rPr>
        <w:t>48 发包人供应材料和工程设备</w:t>
      </w:r>
      <w:bookmarkEnd w:id="140"/>
      <w:bookmarkEnd w:id="141"/>
      <w:bookmarkEnd w:id="142"/>
      <w:bookmarkEnd w:id="143"/>
    </w:p>
    <w:p>
      <w:pPr>
        <w:tabs>
          <w:tab w:val="left" w:pos="1240"/>
        </w:tabs>
        <w:spacing w:line="312" w:lineRule="auto"/>
        <w:ind w:right="-20" w:firstLine="470" w:firstLineChars="196"/>
        <w:jc w:val="both"/>
        <w:textAlignment w:val="baseline"/>
        <w:rPr>
          <w:rStyle w:val="43"/>
          <w:rFonts w:hint="eastAsia" w:ascii="宋体" w:hAnsi="宋体" w:eastAsia="宋体" w:cs="宋体"/>
          <w:b/>
          <w:bCs/>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48.1 发包人是否供应材料设备</w:t>
      </w:r>
    </w:p>
    <w:p>
      <w:pPr>
        <w:tabs>
          <w:tab w:val="left" w:pos="1240"/>
        </w:tabs>
        <w:spacing w:line="312" w:lineRule="auto"/>
        <w:ind w:right="-20" w:firstLine="470" w:firstLineChars="196"/>
        <w:jc w:val="both"/>
        <w:textAlignment w:val="baseline"/>
        <w:rPr>
          <w:rStyle w:val="43"/>
          <w:rFonts w:hint="eastAsia" w:ascii="宋体" w:hAnsi="宋体" w:eastAsia="宋体" w:cs="宋体"/>
          <w:b/>
          <w:bCs/>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√发包人不供应材料和工程设备，本条不适用。</w:t>
      </w:r>
    </w:p>
    <w:p>
      <w:pPr>
        <w:tabs>
          <w:tab w:val="left" w:pos="1240"/>
        </w:tabs>
        <w:spacing w:line="312" w:lineRule="auto"/>
        <w:ind w:right="-20" w:firstLine="470" w:firstLineChars="196"/>
        <w:jc w:val="both"/>
        <w:textAlignment w:val="baseline"/>
        <w:rPr>
          <w:rStyle w:val="43"/>
          <w:rFonts w:hint="eastAsia" w:ascii="宋体" w:hAnsi="宋体" w:eastAsia="宋体" w:cs="宋体"/>
          <w:b/>
          <w:bCs/>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×发包人供应材料和工程设备的，约定“发包人供应材料设备一览表”，作为本合同的附件。</w:t>
      </w:r>
    </w:p>
    <w:p>
      <w:pPr>
        <w:tabs>
          <w:tab w:val="left" w:pos="1240"/>
        </w:tabs>
        <w:spacing w:line="312" w:lineRule="auto"/>
        <w:ind w:right="-20" w:firstLine="470" w:firstLineChars="196"/>
        <w:jc w:val="both"/>
        <w:textAlignment w:val="baseline"/>
        <w:rPr>
          <w:rStyle w:val="43"/>
          <w:rFonts w:hint="eastAsia" w:ascii="宋体" w:hAnsi="宋体" w:eastAsia="宋体" w:cs="宋体"/>
          <w:b/>
          <w:bCs/>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48.8 发包人供应材料和工程设备的合同工程结算方式：</w:t>
      </w:r>
      <w:r>
        <w:rPr>
          <w:rStyle w:val="43"/>
          <w:rFonts w:hint="eastAsia" w:ascii="宋体" w:hAnsi="宋体" w:eastAsia="宋体" w:cs="宋体"/>
          <w:color w:val="auto"/>
          <w:kern w:val="2"/>
          <w:sz w:val="24"/>
          <w:szCs w:val="24"/>
          <w:highlight w:val="none"/>
          <w:u w:val="single"/>
          <w:lang w:val="en-US" w:eastAsia="zh-CN" w:bidi="ar-SA"/>
        </w:rPr>
        <w:t>无。</w:t>
      </w:r>
    </w:p>
    <w:p>
      <w:pPr>
        <w:pStyle w:val="11"/>
        <w:tabs>
          <w:tab w:val="left" w:pos="540"/>
        </w:tabs>
        <w:adjustRightInd w:val="0"/>
        <w:snapToGrid w:val="0"/>
        <w:spacing w:before="240" w:beforeLines="100" w:line="360" w:lineRule="auto"/>
        <w:ind w:right="-20"/>
        <w:jc w:val="both"/>
        <w:textAlignment w:val="baseline"/>
        <w:outlineLvl w:val="2"/>
        <w:rPr>
          <w:rStyle w:val="25"/>
          <w:rFonts w:hint="eastAsia" w:ascii="宋体" w:hAnsi="宋体" w:eastAsia="宋体" w:cs="宋体"/>
          <w:b/>
          <w:bCs/>
          <w:color w:val="000000"/>
          <w:kern w:val="2"/>
          <w:sz w:val="24"/>
          <w:szCs w:val="24"/>
          <w:highlight w:val="none"/>
          <w:lang w:val="en-US" w:eastAsia="zh-CN" w:bidi="ar-SA"/>
        </w:rPr>
      </w:pPr>
      <w:bookmarkStart w:id="144" w:name="_Toc22318"/>
      <w:bookmarkStart w:id="145" w:name="_Toc17935"/>
      <w:bookmarkStart w:id="146" w:name="_Toc24474"/>
      <w:bookmarkStart w:id="147" w:name="_Toc4115"/>
      <w:r>
        <w:rPr>
          <w:rStyle w:val="25"/>
          <w:rFonts w:hint="eastAsia" w:ascii="宋体" w:hAnsi="宋体" w:eastAsia="宋体" w:cs="宋体"/>
          <w:b/>
          <w:bCs/>
          <w:color w:val="000000"/>
          <w:kern w:val="2"/>
          <w:sz w:val="24"/>
          <w:szCs w:val="24"/>
          <w:highlight w:val="none"/>
          <w:lang w:val="en-US" w:eastAsia="zh-CN" w:bidi="ar-SA"/>
        </w:rPr>
        <w:t>49 承包人采购材料和工程设备</w:t>
      </w:r>
      <w:bookmarkEnd w:id="144"/>
      <w:bookmarkEnd w:id="145"/>
      <w:bookmarkEnd w:id="146"/>
      <w:bookmarkEnd w:id="147"/>
    </w:p>
    <w:p>
      <w:pPr>
        <w:tabs>
          <w:tab w:val="left" w:pos="1240"/>
        </w:tabs>
        <w:spacing w:line="312" w:lineRule="auto"/>
        <w:ind w:right="-20" w:firstLine="470" w:firstLineChars="196"/>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49.1 承包人采购的材料和工程设备：承包人负责采购材料和工程设备，需按照标准与规范、设计要求，所用材料必须是广东地区常用产品，在使用前需经发包人和监理单位确认后方可实施，否则发包人有权不认可。所有的材料设备均应严格按照相关技术规范、用户需求书选用，并保证提供设备参数的真实性、有效性，如发生设备货不对板、或以低品质设备冒充高品质设备、或以低技术档次系列的产品冒充高技术档次系列的产品的情况，该设备不得在本工程使用，发包人有权按照对本工程最有利原则要求承包人更换为满足设计要求的高品质设备或高技术档次系列的产品，且价格不调整；同时承包人按专用条款第96条承担违约责任，发包人保留追究承包人法律责任的权利。</w:t>
      </w:r>
    </w:p>
    <w:p>
      <w:pPr>
        <w:tabs>
          <w:tab w:val="left" w:pos="1240"/>
        </w:tabs>
        <w:autoSpaceDE w:val="0"/>
        <w:autoSpaceDN w:val="0"/>
        <w:adjustRightInd w:val="0"/>
        <w:spacing w:line="312" w:lineRule="auto"/>
        <w:ind w:right="-20" w:firstLine="470" w:firstLineChars="196"/>
        <w:rPr>
          <w:rFonts w:hint="eastAsia" w:ascii="宋体" w:hAnsi="宋体" w:eastAsia="宋体" w:cs="宋体"/>
          <w:sz w:val="24"/>
          <w:szCs w:val="24"/>
          <w:highlight w:val="none"/>
        </w:rPr>
      </w:pPr>
      <w:r>
        <w:rPr>
          <w:rFonts w:hint="eastAsia" w:ascii="宋体" w:hAnsi="宋体" w:eastAsia="宋体" w:cs="宋体"/>
          <w:sz w:val="24"/>
          <w:szCs w:val="24"/>
          <w:highlight w:val="none"/>
        </w:rPr>
        <w:t>49.2 承包人供货要求：属于承包人自行采购的主要材料、设备进场以前，承包人必须</w:t>
      </w:r>
      <w:r>
        <w:rPr>
          <w:rFonts w:hint="eastAsia" w:ascii="宋体" w:hAnsi="宋体" w:eastAsia="宋体" w:cs="宋体"/>
          <w:sz w:val="24"/>
          <w:szCs w:val="24"/>
          <w:highlight w:val="none"/>
          <w:lang w:val="en-US" w:eastAsia="zh-CN"/>
        </w:rPr>
        <w:t>上报材料设备的品牌、产地、规格、等级，如未注明，则按发包人的要求采购，且发包人保留调整其材料设备价格的权利。另须</w:t>
      </w:r>
      <w:r>
        <w:rPr>
          <w:rFonts w:hint="eastAsia" w:ascii="宋体" w:hAnsi="宋体" w:eastAsia="宋体" w:cs="宋体"/>
          <w:sz w:val="24"/>
          <w:szCs w:val="24"/>
          <w:highlight w:val="none"/>
        </w:rPr>
        <w:t>向监理工程师提交生产厂商出具的质量合格证书和承包人检验合格证书，证明材料、设备质量符合本合同技术规范的规定，以供监理工程师批准。</w:t>
      </w:r>
    </w:p>
    <w:p>
      <w:pPr>
        <w:pStyle w:val="11"/>
        <w:tabs>
          <w:tab w:val="left" w:pos="540"/>
        </w:tabs>
        <w:adjustRightInd w:val="0"/>
        <w:snapToGrid w:val="0"/>
        <w:spacing w:before="240" w:beforeLines="100" w:line="360" w:lineRule="auto"/>
        <w:ind w:right="-20"/>
        <w:jc w:val="both"/>
        <w:textAlignment w:val="baseline"/>
        <w:outlineLvl w:val="2"/>
        <w:rPr>
          <w:rStyle w:val="25"/>
          <w:rFonts w:hint="eastAsia" w:ascii="宋体" w:hAnsi="宋体" w:eastAsia="宋体" w:cs="宋体"/>
          <w:b/>
          <w:bCs/>
          <w:color w:val="000000"/>
          <w:kern w:val="2"/>
          <w:sz w:val="24"/>
          <w:szCs w:val="24"/>
          <w:highlight w:val="none"/>
          <w:lang w:val="en-US" w:eastAsia="zh-CN" w:bidi="ar-SA"/>
        </w:rPr>
      </w:pPr>
      <w:bookmarkStart w:id="148" w:name="_Toc4697"/>
      <w:bookmarkStart w:id="149" w:name="_Toc20161"/>
      <w:bookmarkStart w:id="150" w:name="_Toc3658"/>
      <w:bookmarkStart w:id="151" w:name="_Toc14376"/>
      <w:r>
        <w:rPr>
          <w:rStyle w:val="25"/>
          <w:rFonts w:hint="eastAsia" w:ascii="宋体" w:hAnsi="宋体" w:eastAsia="宋体" w:cs="宋体"/>
          <w:b/>
          <w:bCs/>
          <w:color w:val="000000"/>
          <w:kern w:val="2"/>
          <w:sz w:val="24"/>
          <w:szCs w:val="24"/>
          <w:highlight w:val="none"/>
          <w:lang w:val="en-US" w:eastAsia="zh-CN" w:bidi="ar-SA"/>
        </w:rPr>
        <w:t>50 材料和工程设备的检验试验</w:t>
      </w:r>
      <w:bookmarkEnd w:id="148"/>
      <w:bookmarkEnd w:id="149"/>
      <w:bookmarkEnd w:id="150"/>
      <w:bookmarkEnd w:id="151"/>
    </w:p>
    <w:p>
      <w:pPr>
        <w:tabs>
          <w:tab w:val="left" w:pos="1240"/>
        </w:tabs>
        <w:spacing w:line="312" w:lineRule="auto"/>
        <w:ind w:right="-2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 xml:space="preserve">    50.3 本合同工程的一切材料、设备及工艺，都必须符合工程设计及技术标准、规范的要求，并应当在用于工程之前经过检验或试验，不合格的不得使用。承包人要建立检验、试验制度，随时按总监理工程师的要求，在材料、设备的制造、加工或制配地点，或施工场地进行检验或试验，并应提供一切正常需要的手段，在材料、设备及工艺用于工程之前提供样品、样件，按照总监理工程师的选择和要求进行检验或试验。</w:t>
      </w:r>
    </w:p>
    <w:p>
      <w:pPr>
        <w:tabs>
          <w:tab w:val="left" w:pos="1240"/>
        </w:tabs>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总监理工程师的检查结果证明该材料、设备不符合合同要求的，必须拒绝这些材料、设备的使用，立即通知承包人并说明拒绝的理由。承包人在接到总监理工程师的通知后必须立即更换被拒绝的材料、设备。承包人拒不执行上述指令，则发包人有权雇佣他人代为实施，由此产生的其他相关费用由承包人承担。</w:t>
      </w:r>
    </w:p>
    <w:p>
      <w:pPr>
        <w:tabs>
          <w:tab w:val="left" w:pos="1240"/>
        </w:tabs>
        <w:spacing w:line="312" w:lineRule="auto"/>
        <w:ind w:right="-2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发包人和总监理工程师认为有必要的，有权对已检查、检验过的材料、设备进行重复检查、检验，承包人应遵照执行。重复检查、检验的程序和内容适用前款约定。</w:t>
      </w:r>
    </w:p>
    <w:p>
      <w:pPr>
        <w:tabs>
          <w:tab w:val="left" w:pos="1240"/>
        </w:tabs>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在施工过程中，总监理工程师有权随时对工程材料、设备的使用进行抽查，包括成品、半成品、器具、设备、附件、小五金等。抽查范围、比例、数量、批次及检查深度可比国家现行施工质量验收规范和相关规定有所提高。</w:t>
      </w:r>
    </w:p>
    <w:p>
      <w:pPr>
        <w:tabs>
          <w:tab w:val="left" w:pos="1240"/>
        </w:tabs>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工程材料、设备的质量依据下列顺序之标准认定（排序在前者优先）：</w:t>
      </w:r>
    </w:p>
    <w:p>
      <w:pPr>
        <w:tabs>
          <w:tab w:val="left" w:pos="1240"/>
        </w:tabs>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（1）本合同工程设计图纸规定的设计标准和发包人制定的材料标准及技术要求；</w:t>
      </w:r>
    </w:p>
    <w:p>
      <w:pPr>
        <w:tabs>
          <w:tab w:val="left" w:pos="1240"/>
        </w:tabs>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（2）招投标时确定的规格、技术指标、质量标准、品牌等；</w:t>
      </w:r>
    </w:p>
    <w:p>
      <w:pPr>
        <w:tabs>
          <w:tab w:val="left" w:pos="1240"/>
        </w:tabs>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（3）经设计单位、监理单位、承包人、发包人共同认定的产品封样、样板（包括样板房等）；</w:t>
      </w:r>
    </w:p>
    <w:p>
      <w:pPr>
        <w:tabs>
          <w:tab w:val="left" w:pos="1240"/>
        </w:tabs>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（4）国家或行业强制执行的技术标准、技术规范。</w:t>
      </w:r>
    </w:p>
    <w:p>
      <w:pPr>
        <w:tabs>
          <w:tab w:val="left" w:pos="1240"/>
        </w:tabs>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工程材料、设备的抽查、检验结果与前款约定不符的，承包人必须在发包人或监理单位书面通知的限期内全部无条件拆除、更换，并运出施工现场；由此所造成的工期延误、费用增加等一切损失均由承包人承担。同时，承包人还应当按照专用条款第96.9（1）款的约定承担违约责任。</w:t>
      </w:r>
    </w:p>
    <w:p>
      <w:pPr>
        <w:spacing w:line="360" w:lineRule="auto"/>
        <w:ind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50.4材料检验试验费不纳入建筑安装工程造价，建设单位为委托工程质量检测的主体；</w:t>
      </w:r>
    </w:p>
    <w:p>
      <w:pPr>
        <w:spacing w:line="360" w:lineRule="auto"/>
        <w:ind w:firstLine="0" w:firstLineChars="0"/>
        <w:rPr>
          <w:rStyle w:val="30"/>
          <w:rFonts w:hint="eastAsia" w:ascii="宋体" w:hAnsi="宋体" w:eastAsia="宋体" w:cs="宋体"/>
          <w:highlight w:val="none"/>
        </w:rPr>
      </w:pPr>
      <w:r>
        <w:rPr>
          <w:rFonts w:hint="eastAsia" w:ascii="宋体" w:hAnsi="宋体" w:eastAsia="宋体" w:cs="宋体"/>
          <w:sz w:val="24"/>
          <w:szCs w:val="24"/>
          <w:highlight w:val="none"/>
        </w:rPr>
        <w:t>承包人须自行对材料进行一般鉴定和检查，确保本合同工程的一切材料符合</w:t>
      </w:r>
      <w:r>
        <w:rPr>
          <w:rFonts w:hint="eastAsia" w:ascii="宋体" w:hAnsi="宋体" w:eastAsia="宋体" w:cs="宋体"/>
          <w:kern w:val="2"/>
          <w:sz w:val="24"/>
          <w:szCs w:val="24"/>
          <w:highlight w:val="none"/>
          <w:u w:val="none"/>
        </w:rPr>
        <w:t>法律、法规和</w:t>
      </w:r>
      <w:r>
        <w:rPr>
          <w:rFonts w:hint="eastAsia" w:ascii="宋体" w:hAnsi="宋体" w:eastAsia="宋体" w:cs="宋体"/>
          <w:sz w:val="24"/>
          <w:szCs w:val="24"/>
          <w:highlight w:val="none"/>
        </w:rPr>
        <w:t>建设强制性标准，对进入施工现场的工程材料由发包人委托具有相应资质的检测机构实施检测，工程质量检测费用由发包人支付，检测不合格时，重新检测的费用由承包人承担。</w:t>
      </w:r>
    </w:p>
    <w:p>
      <w:pPr>
        <w:spacing w:line="312" w:lineRule="auto"/>
        <w:ind w:firstLine="482" w:firstLineChars="200"/>
        <w:jc w:val="left"/>
        <w:textAlignment w:val="auto"/>
        <w:rPr>
          <w:rStyle w:val="43"/>
          <w:rFonts w:hint="eastAsia" w:ascii="宋体" w:hAnsi="宋体" w:eastAsia="宋体" w:cs="宋体"/>
          <w:b/>
          <w:bCs/>
          <w:color w:val="auto"/>
          <w:kern w:val="2"/>
          <w:sz w:val="24"/>
          <w:szCs w:val="24"/>
          <w:highlight w:val="none"/>
          <w:lang w:val="en-US" w:eastAsia="zh-CN" w:bidi="ar-SA"/>
        </w:rPr>
      </w:pPr>
      <w:r>
        <w:rPr>
          <w:rStyle w:val="43"/>
          <w:rFonts w:hint="eastAsia" w:ascii="宋体" w:hAnsi="宋体" w:eastAsia="宋体" w:cs="宋体"/>
          <w:b/>
          <w:bCs/>
          <w:color w:val="auto"/>
          <w:kern w:val="2"/>
          <w:sz w:val="24"/>
          <w:szCs w:val="24"/>
          <w:highlight w:val="none"/>
          <w:lang w:val="en-US" w:eastAsia="zh-CN" w:bidi="ar-SA"/>
        </w:rPr>
        <w:t>承包人与发包人一致同意增加50.7款：</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50.</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凡因承包人使用不合格产品或材料而造成的工程质量事故或人身伤亡事故，一律由承包人承担由此产生的相应经济及法律责任。承包人所采购的材料、设备在保修期内如出现产品质量问题，承包人必须负责更换。承包人必须向发包人提供有关产品资料和技术指导及零配件供应等售后服务。</w:t>
      </w:r>
    </w:p>
    <w:p>
      <w:pPr>
        <w:pStyle w:val="11"/>
        <w:tabs>
          <w:tab w:val="left" w:pos="540"/>
        </w:tabs>
        <w:adjustRightInd w:val="0"/>
        <w:snapToGrid w:val="0"/>
        <w:spacing w:before="240" w:beforeLines="100" w:line="360" w:lineRule="auto"/>
        <w:ind w:right="-20" w:firstLine="482" w:firstLineChars="200"/>
        <w:jc w:val="both"/>
        <w:textAlignment w:val="baseline"/>
        <w:outlineLvl w:val="2"/>
        <w:rPr>
          <w:rStyle w:val="25"/>
          <w:rFonts w:hint="eastAsia" w:ascii="宋体" w:hAnsi="宋体" w:eastAsia="宋体" w:cs="宋体"/>
          <w:b/>
          <w:bCs/>
          <w:color w:val="000000"/>
          <w:kern w:val="2"/>
          <w:sz w:val="24"/>
          <w:szCs w:val="24"/>
          <w:highlight w:val="none"/>
          <w:lang w:val="en-US" w:eastAsia="zh-CN" w:bidi="ar-SA"/>
        </w:rPr>
      </w:pPr>
      <w:bookmarkStart w:id="152" w:name="_Toc22304"/>
      <w:bookmarkStart w:id="153" w:name="_Toc28234"/>
      <w:bookmarkStart w:id="154" w:name="_Toc18079"/>
      <w:bookmarkStart w:id="155" w:name="_Toc21909"/>
      <w:r>
        <w:rPr>
          <w:rStyle w:val="25"/>
          <w:rFonts w:hint="eastAsia" w:ascii="宋体" w:hAnsi="宋体" w:eastAsia="宋体" w:cs="宋体"/>
          <w:b/>
          <w:bCs/>
          <w:color w:val="000000"/>
          <w:kern w:val="2"/>
          <w:sz w:val="24"/>
          <w:szCs w:val="24"/>
          <w:highlight w:val="none"/>
          <w:lang w:val="en-US" w:eastAsia="zh-CN" w:bidi="ar-SA"/>
        </w:rPr>
        <w:t>52 工程质量检查</w:t>
      </w:r>
      <w:bookmarkEnd w:id="152"/>
      <w:bookmarkEnd w:id="153"/>
      <w:bookmarkEnd w:id="154"/>
      <w:bookmarkEnd w:id="155"/>
    </w:p>
    <w:p>
      <w:pPr>
        <w:tabs>
          <w:tab w:val="left" w:pos="1240"/>
        </w:tabs>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52.3 承包人应当按照发包人、总监理工程师及有关规范要求，对施工各工序报验检查的质量控制点，先自检后报请总监理工程师复检。总监理工程师在接到承包人的自检结果后，应当及时复检。经复检发现存在质量问题的，则该工序质量为不合格，承包人必须全部返工，由此所产生的工期延误和费用增加等全部损失由承包人承担，并由承包人按照专用条款第96.10（1）款的约定承担违约责任。</w:t>
      </w:r>
    </w:p>
    <w:p>
      <w:pPr>
        <w:tabs>
          <w:tab w:val="left" w:pos="1240"/>
        </w:tabs>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监理工程师发现工程存在重大质量问题时，必须立即下达停工整改令。承包人必须在5天内提出书面整改措施，经总监理工程师和发包人批准后实施整改，由此所产生的工期延误和费用增加等全部损失，由承包人承担。承包人拒绝整改的，发包人有权暂停拨付工程款，并将未完工程另行发包。</w:t>
      </w:r>
    </w:p>
    <w:p>
      <w:pPr>
        <w:tabs>
          <w:tab w:val="left" w:pos="1240"/>
        </w:tabs>
        <w:spacing w:line="312" w:lineRule="auto"/>
        <w:ind w:right="-20" w:firstLine="482" w:firstLineChars="200"/>
        <w:jc w:val="both"/>
        <w:textAlignment w:val="baseline"/>
        <w:rPr>
          <w:rStyle w:val="43"/>
          <w:rFonts w:hint="eastAsia" w:ascii="宋体" w:hAnsi="宋体" w:eastAsia="宋体" w:cs="宋体"/>
          <w:b/>
          <w:bCs/>
          <w:color w:val="auto"/>
          <w:kern w:val="2"/>
          <w:sz w:val="24"/>
          <w:szCs w:val="24"/>
          <w:highlight w:val="none"/>
          <w:lang w:val="en-US" w:eastAsia="zh-CN" w:bidi="ar-SA"/>
        </w:rPr>
      </w:pPr>
      <w:r>
        <w:rPr>
          <w:rStyle w:val="43"/>
          <w:rFonts w:hint="eastAsia" w:ascii="宋体" w:hAnsi="宋体" w:eastAsia="宋体" w:cs="宋体"/>
          <w:b/>
          <w:bCs/>
          <w:color w:val="auto"/>
          <w:kern w:val="2"/>
          <w:sz w:val="24"/>
          <w:szCs w:val="24"/>
          <w:highlight w:val="none"/>
          <w:lang w:val="en-US" w:eastAsia="zh-CN" w:bidi="ar-SA"/>
        </w:rPr>
        <w:t>承包人和发包人一致同意增加 52.6：</w:t>
      </w:r>
    </w:p>
    <w:p>
      <w:pPr>
        <w:tabs>
          <w:tab w:val="left" w:pos="1240"/>
        </w:tabs>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52.6 工程技术资料的整理归档：承包人应保证按照国家、地方、行业的有关规定，准确、及时做好日常工程技术资料的记录、整理和归档工作，保证记录中原始数据的真实性和及时性，监理单位或发包人有权抽查承包人日常工程技术资料的整理工作，若发现未按照规定及时做好资料整理工作，每发现三次，则按照专用条款第96.15款的约定承担违约责任。若发现原始记录数据不存在、不真实、不完整，经监理单位确认，发包人有权拒绝相应部分工程的工程量计量与支付，并视情节轻重，由承包人按照专用条款第96.15款的约定承担违约责任。</w:t>
      </w:r>
    </w:p>
    <w:p>
      <w:pPr>
        <w:pStyle w:val="11"/>
        <w:tabs>
          <w:tab w:val="left" w:pos="540"/>
        </w:tabs>
        <w:adjustRightInd w:val="0"/>
        <w:snapToGrid w:val="0"/>
        <w:spacing w:before="240" w:beforeLines="100" w:line="360" w:lineRule="auto"/>
        <w:ind w:right="-20"/>
        <w:jc w:val="both"/>
        <w:textAlignment w:val="baseline"/>
        <w:outlineLvl w:val="2"/>
        <w:rPr>
          <w:rStyle w:val="25"/>
          <w:rFonts w:hint="eastAsia" w:ascii="宋体" w:hAnsi="宋体" w:eastAsia="宋体" w:cs="宋体"/>
          <w:b/>
          <w:bCs/>
          <w:color w:val="000000"/>
          <w:kern w:val="2"/>
          <w:sz w:val="24"/>
          <w:szCs w:val="24"/>
          <w:highlight w:val="none"/>
          <w:lang w:val="en-US" w:eastAsia="zh-CN" w:bidi="ar-SA"/>
        </w:rPr>
      </w:pPr>
      <w:bookmarkStart w:id="156" w:name="_Toc9344"/>
      <w:bookmarkStart w:id="157" w:name="_Toc8293"/>
      <w:bookmarkStart w:id="158" w:name="_Toc10561"/>
      <w:bookmarkStart w:id="159" w:name="_Toc29925"/>
      <w:r>
        <w:rPr>
          <w:rStyle w:val="25"/>
          <w:rFonts w:hint="eastAsia" w:ascii="宋体" w:hAnsi="宋体" w:eastAsia="宋体" w:cs="宋体"/>
          <w:b/>
          <w:bCs/>
          <w:color w:val="000000"/>
          <w:kern w:val="2"/>
          <w:sz w:val="24"/>
          <w:szCs w:val="24"/>
          <w:highlight w:val="none"/>
          <w:lang w:val="en-US" w:eastAsia="zh-CN" w:bidi="ar-SA"/>
        </w:rPr>
        <w:t>53 隐蔽工程和中间验收</w:t>
      </w:r>
      <w:bookmarkEnd w:id="156"/>
      <w:bookmarkEnd w:id="157"/>
      <w:bookmarkEnd w:id="158"/>
      <w:bookmarkEnd w:id="159"/>
    </w:p>
    <w:p>
      <w:pPr>
        <w:tabs>
          <w:tab w:val="left" w:pos="1240"/>
        </w:tabs>
        <w:spacing w:line="312" w:lineRule="auto"/>
        <w:ind w:right="-20" w:firstLine="470" w:firstLineChars="196"/>
        <w:jc w:val="both"/>
        <w:textAlignment w:val="baseline"/>
        <w:rPr>
          <w:rStyle w:val="43"/>
          <w:rFonts w:hint="eastAsia" w:ascii="宋体" w:hAnsi="宋体" w:eastAsia="宋体" w:cs="宋体"/>
          <w:b/>
          <w:bCs/>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53.2  隐蔽工程在隐蔽前，必须经承包人质检人员进行三级验收、签字确认，然后提前24小时书面通知监理工程师会同验收，验收合格后签字确认，才能隐蔽和进行下一道工序的作业。凡不按上述程序办理，无承包人质检人员验收签字确认的资料或无书面通知监理工程师会同验收的，监理工程师可拒绝验收签认；凡无通知发包人验收签认的工程，或监理工程师合法拒绝签认的工程，若承包人擅自隐蔽的，工程师将视该部分工程为不合格，并拒绝拨付该部分工程进度款，监理工程师也不得颁发下续工序的施工令，由此发生的一切责任全部由承包人负责。</w:t>
      </w:r>
    </w:p>
    <w:p>
      <w:pPr>
        <w:spacing w:line="312" w:lineRule="auto"/>
        <w:ind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53.4  承包人应对隐蔽工程进行拍摄或照相或留存样本，保证监理工程师、发包人能充分检查和测量覆盖或隐蔽的工程，并将结果保存作为日后检查之用，否则后果由承包人承担。</w:t>
      </w:r>
    </w:p>
    <w:p>
      <w:pPr>
        <w:pStyle w:val="11"/>
        <w:tabs>
          <w:tab w:val="left" w:pos="540"/>
        </w:tabs>
        <w:adjustRightInd w:val="0"/>
        <w:snapToGrid w:val="0"/>
        <w:spacing w:before="240" w:beforeLines="100" w:line="360" w:lineRule="auto"/>
        <w:jc w:val="both"/>
        <w:textAlignment w:val="baseline"/>
        <w:outlineLvl w:val="2"/>
        <w:rPr>
          <w:rStyle w:val="25"/>
          <w:rFonts w:hint="eastAsia" w:ascii="宋体" w:hAnsi="宋体" w:eastAsia="宋体" w:cs="宋体"/>
          <w:b/>
          <w:bCs/>
          <w:color w:val="000000"/>
          <w:kern w:val="2"/>
          <w:sz w:val="24"/>
          <w:szCs w:val="24"/>
          <w:highlight w:val="none"/>
          <w:lang w:val="en-US" w:eastAsia="zh-CN" w:bidi="ar-SA"/>
        </w:rPr>
      </w:pPr>
      <w:bookmarkStart w:id="160" w:name="_Toc5109"/>
      <w:bookmarkStart w:id="161" w:name="_Toc24367"/>
      <w:bookmarkStart w:id="162" w:name="_Toc10869"/>
      <w:bookmarkStart w:id="163" w:name="_Toc26076"/>
      <w:r>
        <w:rPr>
          <w:rStyle w:val="25"/>
          <w:rFonts w:hint="eastAsia" w:ascii="宋体" w:hAnsi="宋体" w:eastAsia="宋体" w:cs="宋体"/>
          <w:b/>
          <w:bCs/>
          <w:color w:val="000000"/>
          <w:kern w:val="2"/>
          <w:sz w:val="24"/>
          <w:szCs w:val="24"/>
          <w:highlight w:val="none"/>
          <w:lang w:val="en-US" w:eastAsia="zh-CN" w:bidi="ar-SA"/>
        </w:rPr>
        <w:t>55 工程试车</w:t>
      </w:r>
      <w:bookmarkEnd w:id="160"/>
      <w:bookmarkEnd w:id="161"/>
      <w:bookmarkEnd w:id="162"/>
      <w:bookmarkEnd w:id="163"/>
    </w:p>
    <w:p>
      <w:pPr>
        <w:spacing w:line="312" w:lineRule="auto"/>
        <w:ind w:firstLine="470" w:firstLineChars="196"/>
        <w:jc w:val="both"/>
        <w:textAlignment w:val="baseline"/>
        <w:rPr>
          <w:rStyle w:val="43"/>
          <w:rFonts w:hint="eastAsia" w:ascii="宋体" w:hAnsi="宋体" w:eastAsia="宋体" w:cs="宋体"/>
          <w:b/>
          <w:bCs/>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55.1 是否需要试车</w:t>
      </w:r>
    </w:p>
    <w:p>
      <w:pPr>
        <w:spacing w:line="312" w:lineRule="auto"/>
        <w:ind w:left="581" w:right="-2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√不需要试车的，本条不适用。</w:t>
      </w:r>
    </w:p>
    <w:p>
      <w:pPr>
        <w:spacing w:line="312" w:lineRule="auto"/>
        <w:ind w:left="581" w:right="-2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×需要试车的，试车的内容和要求：</w:t>
      </w:r>
    </w:p>
    <w:p>
      <w:pPr>
        <w:pStyle w:val="11"/>
        <w:tabs>
          <w:tab w:val="left" w:pos="540"/>
        </w:tabs>
        <w:adjustRightInd w:val="0"/>
        <w:snapToGrid w:val="0"/>
        <w:spacing w:before="240" w:beforeLines="100" w:line="360" w:lineRule="auto"/>
        <w:ind w:right="-20"/>
        <w:jc w:val="both"/>
        <w:textAlignment w:val="baseline"/>
        <w:outlineLvl w:val="2"/>
        <w:rPr>
          <w:rStyle w:val="25"/>
          <w:rFonts w:hint="eastAsia" w:ascii="宋体" w:hAnsi="宋体" w:eastAsia="宋体" w:cs="宋体"/>
          <w:b/>
          <w:bCs/>
          <w:color w:val="000000"/>
          <w:kern w:val="2"/>
          <w:sz w:val="24"/>
          <w:szCs w:val="24"/>
          <w:highlight w:val="none"/>
          <w:lang w:val="en-US" w:eastAsia="zh-CN" w:bidi="ar-SA"/>
        </w:rPr>
      </w:pPr>
      <w:bookmarkStart w:id="164" w:name="_Toc12638"/>
      <w:bookmarkStart w:id="165" w:name="_Toc9725"/>
      <w:bookmarkStart w:id="166" w:name="_Toc303"/>
      <w:bookmarkStart w:id="167" w:name="_Toc9113"/>
      <w:r>
        <w:rPr>
          <w:rStyle w:val="25"/>
          <w:rFonts w:hint="eastAsia" w:ascii="宋体" w:hAnsi="宋体" w:eastAsia="宋体" w:cs="宋体"/>
          <w:b/>
          <w:bCs/>
          <w:color w:val="000000"/>
          <w:kern w:val="2"/>
          <w:sz w:val="24"/>
          <w:szCs w:val="24"/>
          <w:highlight w:val="none"/>
          <w:lang w:val="en-US" w:eastAsia="zh-CN" w:bidi="ar-SA"/>
        </w:rPr>
        <w:t>56 工程变更</w:t>
      </w:r>
      <w:bookmarkEnd w:id="164"/>
      <w:bookmarkEnd w:id="165"/>
      <w:bookmarkEnd w:id="166"/>
      <w:bookmarkEnd w:id="167"/>
    </w:p>
    <w:p>
      <w:pPr>
        <w:spacing w:line="312" w:lineRule="auto"/>
        <w:ind w:right="-20" w:firstLine="470" w:firstLineChars="196"/>
        <w:jc w:val="both"/>
        <w:textAlignment w:val="baseline"/>
        <w:rPr>
          <w:rStyle w:val="43"/>
          <w:rFonts w:hint="eastAsia" w:ascii="宋体" w:hAnsi="宋体" w:eastAsia="宋体" w:cs="宋体"/>
          <w:b/>
          <w:bCs/>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56.1 所有设计变更均应获得发包人正式批准才能生效。</w:t>
      </w:r>
    </w:p>
    <w:p>
      <w:pPr>
        <w:spacing w:line="312" w:lineRule="auto"/>
        <w:ind w:right="-20" w:firstLine="470" w:firstLineChars="196"/>
        <w:jc w:val="both"/>
        <w:textAlignment w:val="baseline"/>
        <w:rPr>
          <w:rStyle w:val="43"/>
          <w:rFonts w:hint="eastAsia" w:ascii="宋体" w:hAnsi="宋体" w:eastAsia="宋体" w:cs="宋体"/>
          <w:b/>
          <w:bCs/>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56.4 承包人提出合理建议应得的奖励：无。</w:t>
      </w:r>
    </w:p>
    <w:p>
      <w:pPr>
        <w:spacing w:line="312" w:lineRule="auto"/>
        <w:ind w:right="-20" w:firstLine="472" w:firstLineChars="196"/>
        <w:jc w:val="both"/>
        <w:textAlignment w:val="baseline"/>
        <w:rPr>
          <w:rStyle w:val="43"/>
          <w:rFonts w:hint="eastAsia" w:ascii="宋体" w:hAnsi="宋体" w:eastAsia="宋体" w:cs="宋体"/>
          <w:b/>
          <w:bCs/>
          <w:color w:val="auto"/>
          <w:kern w:val="2"/>
          <w:sz w:val="24"/>
          <w:szCs w:val="24"/>
          <w:highlight w:val="none"/>
          <w:lang w:val="en-US" w:eastAsia="zh-CN" w:bidi="ar-SA"/>
        </w:rPr>
      </w:pPr>
      <w:r>
        <w:rPr>
          <w:rStyle w:val="43"/>
          <w:rFonts w:hint="eastAsia" w:ascii="宋体" w:hAnsi="宋体" w:eastAsia="宋体" w:cs="宋体"/>
          <w:b/>
          <w:bCs/>
          <w:color w:val="auto"/>
          <w:kern w:val="2"/>
          <w:sz w:val="24"/>
          <w:szCs w:val="24"/>
          <w:highlight w:val="none"/>
          <w:lang w:val="en-US" w:eastAsia="zh-CN" w:bidi="ar-SA"/>
        </w:rPr>
        <w:t>承包人与发包人一致同意增加56.6、56.7：</w:t>
      </w:r>
    </w:p>
    <w:p>
      <w:pPr>
        <w:tabs>
          <w:tab w:val="left" w:pos="1240"/>
        </w:tabs>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56.6 当发包人提出变更通知，承包人认为产生了增加费用，承包人应在发包人提出通知要求（发出指令）后7天内向发包人提交增加费用报告，报告内应说明变更原因、增加费用金额、增加费用计算书（具体要求详见发包人变更编制的《设计变更管理办法》），若承包人不在规定的时间内提供增加费用报告，该类变更所涉及的增加费用视同已包括在合同价款中，不另增加。</w:t>
      </w:r>
    </w:p>
    <w:p>
      <w:pPr>
        <w:tabs>
          <w:tab w:val="left" w:pos="1240"/>
        </w:tabs>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56.7 凡图纸会审记录涉及工程实体内容变化的，均须经发包人同意转变成设计变更后才能作为调整合同价款的依据。</w:t>
      </w:r>
    </w:p>
    <w:p>
      <w:pPr>
        <w:pStyle w:val="11"/>
        <w:tabs>
          <w:tab w:val="left" w:pos="540"/>
        </w:tabs>
        <w:adjustRightInd w:val="0"/>
        <w:snapToGrid w:val="0"/>
        <w:spacing w:before="240" w:beforeLines="100" w:line="360" w:lineRule="auto"/>
        <w:ind w:right="-20"/>
        <w:jc w:val="both"/>
        <w:textAlignment w:val="baseline"/>
        <w:outlineLvl w:val="2"/>
        <w:rPr>
          <w:rStyle w:val="25"/>
          <w:rFonts w:hint="eastAsia" w:ascii="宋体" w:hAnsi="宋体" w:eastAsia="宋体" w:cs="宋体"/>
          <w:b/>
          <w:bCs/>
          <w:color w:val="000000"/>
          <w:kern w:val="2"/>
          <w:sz w:val="24"/>
          <w:szCs w:val="24"/>
          <w:highlight w:val="none"/>
          <w:lang w:val="en-US" w:eastAsia="zh-CN" w:bidi="ar-SA"/>
        </w:rPr>
      </w:pPr>
      <w:bookmarkStart w:id="168" w:name="_Toc4677"/>
      <w:bookmarkStart w:id="169" w:name="_Toc9992"/>
      <w:bookmarkStart w:id="170" w:name="_Toc22370"/>
      <w:bookmarkStart w:id="171" w:name="_Toc7085"/>
      <w:r>
        <w:rPr>
          <w:rStyle w:val="25"/>
          <w:rFonts w:hint="eastAsia" w:ascii="宋体" w:hAnsi="宋体" w:eastAsia="宋体" w:cs="宋体"/>
          <w:b/>
          <w:bCs/>
          <w:color w:val="000000"/>
          <w:kern w:val="2"/>
          <w:sz w:val="24"/>
          <w:szCs w:val="24"/>
          <w:highlight w:val="none"/>
          <w:lang w:val="en-US" w:eastAsia="zh-CN" w:bidi="ar-SA"/>
        </w:rPr>
        <w:t>57 竣工验收条件</w:t>
      </w:r>
      <w:bookmarkEnd w:id="168"/>
      <w:bookmarkEnd w:id="169"/>
      <w:bookmarkEnd w:id="170"/>
      <w:bookmarkEnd w:id="171"/>
    </w:p>
    <w:p>
      <w:pPr>
        <w:tabs>
          <w:tab w:val="left" w:pos="1240"/>
        </w:tabs>
        <w:spacing w:line="312" w:lineRule="auto"/>
        <w:ind w:right="-20" w:firstLine="48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57.2 竣工资料的约定：</w:t>
      </w:r>
    </w:p>
    <w:p>
      <w:pPr>
        <w:tabs>
          <w:tab w:val="left" w:pos="1240"/>
        </w:tabs>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（1）承包人有责任根据竣工图验收要求对分包单位所绘制的竣工图进行符合性审查。</w:t>
      </w:r>
    </w:p>
    <w:p>
      <w:pPr>
        <w:tabs>
          <w:tab w:val="left" w:pos="1240"/>
        </w:tabs>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2）承包人有义务对专业管理、分包单位的工程资料按照国家《住房和城乡建设部关于修改部分部门规章的决定》（2019年3月13日发布；2019年3月13日实施）、《广州市建筑工程档案编制指南（试行）》（广州市城市建设档案馆、广州地区建设工程质量安全监督站二00四年八月发布），以及按照发包人的具体要求进行收集、整理、编制、汇总和管理。</w:t>
      </w:r>
    </w:p>
    <w:p>
      <w:pPr>
        <w:tabs>
          <w:tab w:val="left" w:pos="1240"/>
        </w:tabs>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3）完整竣工资料还应包括盖章齐全的竣工图纸及其电子文件（电子图纸应当为未加密可编辑的DWG格式）。（4）竣工资料必须正确反映现场情况，并按有关规定正确绘制。若发现竣工图失实或弄虚作假，需按实际改正，承包人须重新绘制竣工图。若单次涉及金额超过合同价的0.5%，发包人有权视情形按造假涉及金额的双倍进行处罚;发现10处以上，另记一次严重违约处理.</w:t>
      </w:r>
    </w:p>
    <w:p>
      <w:pPr>
        <w:pStyle w:val="11"/>
        <w:tabs>
          <w:tab w:val="left" w:pos="540"/>
        </w:tabs>
        <w:adjustRightInd w:val="0"/>
        <w:snapToGrid w:val="0"/>
        <w:spacing w:before="240" w:beforeLines="100" w:line="360" w:lineRule="auto"/>
        <w:ind w:right="-20"/>
        <w:jc w:val="both"/>
        <w:textAlignment w:val="baseline"/>
        <w:outlineLvl w:val="2"/>
        <w:rPr>
          <w:rStyle w:val="25"/>
          <w:rFonts w:hint="eastAsia" w:ascii="宋体" w:hAnsi="宋体" w:eastAsia="宋体" w:cs="宋体"/>
          <w:b/>
          <w:bCs/>
          <w:color w:val="000000"/>
          <w:kern w:val="2"/>
          <w:sz w:val="24"/>
          <w:szCs w:val="24"/>
          <w:highlight w:val="none"/>
          <w:lang w:val="en-US" w:eastAsia="zh-CN" w:bidi="ar-SA"/>
        </w:rPr>
      </w:pPr>
      <w:bookmarkStart w:id="172" w:name="_Toc23843"/>
      <w:bookmarkStart w:id="173" w:name="_Toc3771"/>
      <w:bookmarkStart w:id="174" w:name="_Toc22616"/>
      <w:bookmarkStart w:id="175" w:name="_Toc4277"/>
      <w:r>
        <w:rPr>
          <w:rStyle w:val="25"/>
          <w:rFonts w:hint="eastAsia" w:ascii="宋体" w:hAnsi="宋体" w:eastAsia="宋体" w:cs="宋体"/>
          <w:b/>
          <w:bCs/>
          <w:color w:val="000000"/>
          <w:kern w:val="2"/>
          <w:sz w:val="24"/>
          <w:szCs w:val="24"/>
          <w:highlight w:val="none"/>
          <w:lang w:val="en-US" w:eastAsia="zh-CN" w:bidi="ar-SA"/>
        </w:rPr>
        <w:t>58 竣工验收</w:t>
      </w:r>
      <w:bookmarkEnd w:id="172"/>
      <w:bookmarkEnd w:id="173"/>
      <w:bookmarkEnd w:id="174"/>
      <w:bookmarkEnd w:id="175"/>
    </w:p>
    <w:p>
      <w:pPr>
        <w:tabs>
          <w:tab w:val="left" w:pos="1240"/>
        </w:tabs>
        <w:spacing w:line="312" w:lineRule="auto"/>
        <w:ind w:right="-20" w:firstLine="470" w:firstLineChars="196"/>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竣工验收及工程移交</w:t>
      </w:r>
    </w:p>
    <w:p>
      <w:pPr>
        <w:tabs>
          <w:tab w:val="left" w:pos="1240"/>
        </w:tabs>
        <w:spacing w:line="312" w:lineRule="auto"/>
        <w:ind w:right="-20" w:firstLine="470" w:firstLineChars="196"/>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58.3 经验收评定，工程质量及工程内容符合合同要求的，发包人、承包人、监理单位、勘察单位及设计单位均应在工程竣工验收报告上盖章签字；工程质量不合格或工程内容有尚未完成者，由承包人在商定的期限内进行修补后，再进行竣工验收，直至达到完全符合合同要求为止，并按最后验收合格的日期作为竣工日期，由此产生的一切费用均由承包人负责。承包人已经提交竣工验收报告，发包人或职能部门逾期组织验收，但验收结果合格的，以承包人提交验收报告之日为竣工日期。58.6 关于接收工程的补充约定：</w:t>
      </w:r>
    </w:p>
    <w:p>
      <w:pPr>
        <w:tabs>
          <w:tab w:val="left" w:pos="1240"/>
        </w:tabs>
        <w:spacing w:line="312" w:lineRule="auto"/>
        <w:ind w:right="-20" w:firstLine="480" w:firstLineChars="200"/>
        <w:jc w:val="both"/>
        <w:textAlignment w:val="baseline"/>
        <w:rPr>
          <w:rStyle w:val="43"/>
          <w:rFonts w:hint="eastAsia" w:ascii="宋体" w:hAnsi="宋体" w:eastAsia="宋体" w:cs="宋体"/>
          <w:b w:val="0"/>
          <w:bCs w:val="0"/>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（1）</w:t>
      </w:r>
      <w:r>
        <w:rPr>
          <w:rStyle w:val="43"/>
          <w:rFonts w:hint="eastAsia" w:ascii="宋体" w:hAnsi="宋体" w:eastAsia="宋体" w:cs="宋体"/>
          <w:b w:val="0"/>
          <w:bCs w:val="0"/>
          <w:color w:val="auto"/>
          <w:kern w:val="2"/>
          <w:sz w:val="24"/>
          <w:szCs w:val="24"/>
          <w:highlight w:val="none"/>
          <w:lang w:val="en-US" w:eastAsia="zh-CN" w:bidi="ar-SA"/>
        </w:rPr>
        <w:t>承包人应在工程项目移交前将场地清理干净，将无关机械设备及材料撤离现场,保证移交的工程项目环境洁净、安全卫生。</w:t>
      </w:r>
    </w:p>
    <w:p>
      <w:pPr>
        <w:tabs>
          <w:tab w:val="left" w:pos="1240"/>
        </w:tabs>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2）承包人应于工程竣工验收合格后15天内按要求提供相关资料，整理汇编成工程移交手册，协助项目产权管理单位尽快熟悉工程项目各部分（建筑单体、小区市政、周边管线等）、各系统（供水、供电、弱电等）的情况，为项目产权管理单位的接收、使用、维护、管理做准备。移交手册包括但不限于以下内容：</w:t>
      </w:r>
    </w:p>
    <w:p>
      <w:pPr>
        <w:tabs>
          <w:tab w:val="left" w:pos="1240"/>
        </w:tabs>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A、工程项目各部分、各系统的工程概况；</w:t>
      </w:r>
    </w:p>
    <w:p>
      <w:pPr>
        <w:tabs>
          <w:tab w:val="left" w:pos="1240"/>
        </w:tabs>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B、工程项目全部的图纸清单；</w:t>
      </w:r>
    </w:p>
    <w:p>
      <w:pPr>
        <w:tabs>
          <w:tab w:val="left" w:pos="1240"/>
        </w:tabs>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C、工程项目的承包人、主要材料设备供货商清单、联系人及电话；</w:t>
      </w:r>
    </w:p>
    <w:p>
      <w:pPr>
        <w:tabs>
          <w:tab w:val="left" w:pos="1240"/>
        </w:tabs>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D、各系统的设计功能、使用功能或使用说明；</w:t>
      </w:r>
    </w:p>
    <w:p>
      <w:pPr>
        <w:tabs>
          <w:tab w:val="left" w:pos="1240"/>
        </w:tabs>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E、主要设备的运行参数；</w:t>
      </w:r>
    </w:p>
    <w:p>
      <w:pPr>
        <w:tabs>
          <w:tab w:val="left" w:pos="1240"/>
        </w:tabs>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F、主要材料设备的数量；</w:t>
      </w:r>
    </w:p>
    <w:p>
      <w:pPr>
        <w:tabs>
          <w:tab w:val="left" w:pos="1240"/>
        </w:tabs>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G、工程、材料、设备的保修书（包括保修内容、期限、联系人、电话等）。</w:t>
      </w:r>
    </w:p>
    <w:p>
      <w:pPr>
        <w:tabs>
          <w:tab w:val="left" w:pos="1240"/>
        </w:tabs>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（3）承包人应在进行本款第（1）点工作的同时编写工程项目移交计划，并于本项工作完成后3天内组织发包人、承包人、项目产权管理单位按如下程序进行工程项目移交：</w:t>
      </w:r>
    </w:p>
    <w:p>
      <w:pPr>
        <w:tabs>
          <w:tab w:val="left" w:pos="1240"/>
        </w:tabs>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A、按移交手册的资料清单移交图纸、资料；</w:t>
      </w:r>
    </w:p>
    <w:p>
      <w:pPr>
        <w:tabs>
          <w:tab w:val="left" w:pos="1240"/>
        </w:tabs>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B、按移交手册的数量清单清点主要材料设备的数量；</w:t>
      </w:r>
    </w:p>
    <w:p>
      <w:pPr>
        <w:tabs>
          <w:tab w:val="left" w:pos="1240"/>
        </w:tabs>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C、按移交手册的设计、使用功能说明进行必要的功能性试验（或组织各方参加政府指定机构、第三方检测机构进行的功能性试验）；</w:t>
      </w:r>
    </w:p>
    <w:p>
      <w:pPr>
        <w:tabs>
          <w:tab w:val="left" w:pos="1240"/>
        </w:tabs>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D、按移交手册的说明进行系统的试运行（或组织各方参加政府指定机构、第三方检测机构进行的功能性试验），测试主要设备的运行参数；</w:t>
      </w:r>
    </w:p>
    <w:p>
      <w:pPr>
        <w:tabs>
          <w:tab w:val="left" w:pos="1240"/>
        </w:tabs>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E、组织发包人、承包人、项目产权管理单位各方对上述移交过程进行签认；</w:t>
      </w:r>
    </w:p>
    <w:p>
      <w:pPr>
        <w:tabs>
          <w:tab w:val="left" w:pos="1240"/>
        </w:tabs>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F、对移交过程中发现的质量问题进行记录并及时组织责任方进行维修，验收合格后重新组织移交；</w:t>
      </w:r>
    </w:p>
    <w:p>
      <w:pPr>
        <w:tabs>
          <w:tab w:val="left" w:pos="1240"/>
        </w:tabs>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G、对于某些在操作上有专门要求的机电系统督促承包人编制培训计划，并按合同要求对项目产权管理单位人员进行培训。</w:t>
      </w:r>
    </w:p>
    <w:p>
      <w:pPr>
        <w:tabs>
          <w:tab w:val="left" w:pos="1240"/>
        </w:tabs>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（4）承包人应按照国家《城市建设档案管理规定》、《广州市城市建设档案管理办法》和发包人有关整理工程档案的要求，在工程施工期间及时收集、汇总、整理、编制竣工档案，包括：</w:t>
      </w:r>
    </w:p>
    <w:p>
      <w:pPr>
        <w:tabs>
          <w:tab w:val="left" w:pos="1240"/>
        </w:tabs>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z w:val="24"/>
          <w:szCs w:val="24"/>
          <w:highlight w:val="none"/>
        </w:rPr>
        <w:t>1）开工报告、竣工验收报告 各一式四份；</w:t>
      </w:r>
    </w:p>
    <w:p>
      <w:pPr>
        <w:tabs>
          <w:tab w:val="left" w:pos="1240"/>
        </w:tabs>
        <w:spacing w:line="312" w:lineRule="auto"/>
        <w:ind w:right="-20" w:firstLine="470" w:firstLineChars="196"/>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2）竣工文件资料、竣工图档案（原件）各一式四份；</w:t>
      </w:r>
    </w:p>
    <w:p>
      <w:pPr>
        <w:tabs>
          <w:tab w:val="left" w:pos="1240"/>
        </w:tabs>
        <w:spacing w:line="312" w:lineRule="auto"/>
        <w:ind w:right="-20" w:firstLine="470" w:firstLineChars="196"/>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3）与本款（1）项内容相同的电子版档案一式二份；</w:t>
      </w:r>
    </w:p>
    <w:p>
      <w:pPr>
        <w:tabs>
          <w:tab w:val="left" w:pos="1240"/>
        </w:tabs>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4）声像档案一式两份。</w:t>
      </w:r>
    </w:p>
    <w:p>
      <w:pPr>
        <w:tabs>
          <w:tab w:val="left" w:pos="1240"/>
        </w:tabs>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5）承包人移交竣工档案的时限：承包人应于工程竣工验收后15天内将竣工档案提交工程监理单位审查。经工程监理单位审查合格后，承包人应及时将竣工档案移交给发包人归档并同时移交有关归档的证明文件。发包人经审查合格的，应在收到竣工档案后10天内签署档案验收意见；不合格的，要求承包人限期补正，直至合格为止。</w:t>
      </w:r>
    </w:p>
    <w:p>
      <w:pPr>
        <w:tabs>
          <w:tab w:val="left" w:pos="1240"/>
        </w:tabs>
        <w:autoSpaceDE w:val="0"/>
        <w:autoSpaceDN w:val="0"/>
        <w:adjustRightInd w:val="0"/>
        <w:spacing w:line="312" w:lineRule="auto"/>
        <w:ind w:right="-20" w:firstLine="480" w:firstLineChars="200"/>
        <w:rPr>
          <w:rFonts w:hint="eastAsia" w:ascii="宋体" w:hAnsi="宋体" w:eastAsia="宋体" w:cs="宋体"/>
          <w:sz w:val="24"/>
          <w:szCs w:val="24"/>
          <w:highlight w:val="none"/>
        </w:rPr>
      </w:pPr>
      <w:r>
        <w:rPr>
          <w:rStyle w:val="43"/>
          <w:rFonts w:hint="eastAsia" w:ascii="宋体" w:hAnsi="宋体" w:eastAsia="宋体" w:cs="宋体"/>
          <w:color w:val="auto"/>
          <w:kern w:val="2"/>
          <w:sz w:val="24"/>
          <w:szCs w:val="24"/>
          <w:highlight w:val="none"/>
          <w:lang w:val="en-US" w:eastAsia="zh-CN" w:bidi="ar-SA"/>
        </w:rPr>
        <w:t>6）电子版竣工图的编制，以发包人提供的电子版施工图为基础。承包人在移交竣工档案时，应一并移交发包人提供的电子版施工图</w:t>
      </w:r>
      <w:r>
        <w:rPr>
          <w:rFonts w:hint="eastAsia" w:ascii="宋体" w:hAnsi="宋体" w:eastAsia="宋体" w:cs="宋体"/>
          <w:sz w:val="24"/>
          <w:szCs w:val="24"/>
          <w:highlight w:val="none"/>
        </w:rPr>
        <w:t>。</w:t>
      </w:r>
    </w:p>
    <w:p>
      <w:pPr>
        <w:tabs>
          <w:tab w:val="left" w:pos="1240"/>
        </w:tabs>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7）电子版施工图和电子版竣工图的知识产权归属发包人所有，非经发包人许可，承包人不得以任何方式复制、备份、转让和利用。否则，由此引起的任何纠纷和责任由承包人承担。</w:t>
      </w:r>
    </w:p>
    <w:p>
      <w:pPr>
        <w:tabs>
          <w:tab w:val="left" w:pos="1240"/>
        </w:tabs>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8）承包人应督促其工程分包单位及时做好竣工资料整理工作，于分包工程竣工验收后25天内将全部档案资料移交给承包人，由承包人汇总、归档，并在承包人移交竣工档案时一并移交。</w:t>
      </w:r>
    </w:p>
    <w:p>
      <w:pPr>
        <w:tabs>
          <w:tab w:val="left" w:pos="1240"/>
        </w:tabs>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9）发包人留取合同协议书第6条约定的合同价款的2%作为承包人按时、完整移交竣工档案的保证金。承包人按时、完整移交竣工档案的，发包人在向政府有关部门移交档案后15日内给承包人付还该保证金；承包人不按时移交竣工档案，或者移交的竣工档案不完整且在发包人规定的期限内不补充完整的，发包人有权扣取部分或者全部保证金，同时，并不免除承包人完整移交竣工档案的义务。</w:t>
      </w:r>
    </w:p>
    <w:p>
      <w:pPr>
        <w:tabs>
          <w:tab w:val="left" w:pos="1240"/>
        </w:tabs>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10）因承包人的原因致使发包人未能按照国家规定向政府有关部门移交工程竣工档案而受到经济处罚的，由承包人承担全额赔偿责任。</w:t>
      </w:r>
    </w:p>
    <w:p>
      <w:pPr>
        <w:tabs>
          <w:tab w:val="left" w:pos="1240"/>
        </w:tabs>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11）由承包人先移交给发包人、然后再发包人移交给项目产权管理单位的工程项目，承包人仍应按发包人的要求及上述约定予以协助。</w:t>
      </w:r>
    </w:p>
    <w:p>
      <w:pPr>
        <w:tabs>
          <w:tab w:val="left" w:pos="1240"/>
        </w:tabs>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12）工程项目移交给项目产权管理单位后，由项目产权管理单位替代发包人在本合同中的地位，承继发包人的权利义务。</w:t>
      </w:r>
    </w:p>
    <w:p>
      <w:pPr>
        <w:tabs>
          <w:tab w:val="left" w:pos="1240"/>
        </w:tabs>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13）承包人参与移交或协助移交的所有费用均已包含在合同价款之内。</w:t>
      </w:r>
    </w:p>
    <w:p>
      <w:pPr>
        <w:tabs>
          <w:tab w:val="left" w:pos="1240"/>
        </w:tabs>
        <w:spacing w:line="312" w:lineRule="auto"/>
        <w:ind w:right="-20" w:firstLine="470" w:firstLineChars="196"/>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58.8 单位工程和工程部位的验收</w:t>
      </w:r>
    </w:p>
    <w:p>
      <w:pPr>
        <w:tabs>
          <w:tab w:val="left" w:pos="1240"/>
        </w:tabs>
        <w:spacing w:line="312" w:lineRule="auto"/>
        <w:ind w:right="-20" w:firstLine="470" w:firstLineChars="196"/>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√合同工程无单位工程和工程部位的，本款不适用。</w:t>
      </w:r>
    </w:p>
    <w:p>
      <w:pPr>
        <w:tabs>
          <w:tab w:val="left" w:pos="1240"/>
        </w:tabs>
        <w:spacing w:line="312" w:lineRule="auto"/>
        <w:ind w:right="-20" w:firstLine="470" w:firstLineChars="196"/>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×合同工程有单位工程和工程部位的，各单位工程和工程部位的范围、计划竣工时间如下：</w:t>
      </w:r>
    </w:p>
    <w:p>
      <w:pPr>
        <w:tabs>
          <w:tab w:val="left" w:pos="1240"/>
        </w:tabs>
        <w:spacing w:line="312" w:lineRule="auto"/>
        <w:ind w:right="-20" w:firstLine="470" w:firstLineChars="196"/>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(1) （工程名称）工程，计划竣工时间为，</w:t>
      </w:r>
    </w:p>
    <w:p>
      <w:pPr>
        <w:tabs>
          <w:tab w:val="left" w:pos="1240"/>
        </w:tabs>
        <w:spacing w:line="312" w:lineRule="auto"/>
        <w:ind w:right="-20" w:firstLine="470" w:firstLineChars="196"/>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其范围包括：</w:t>
      </w:r>
    </w:p>
    <w:p>
      <w:pPr>
        <w:tabs>
          <w:tab w:val="left" w:pos="1240"/>
        </w:tabs>
        <w:spacing w:line="312" w:lineRule="auto"/>
        <w:ind w:right="-20" w:firstLine="470" w:firstLineChars="196"/>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(2) （工程名称）工程，计划竣工时间为，</w:t>
      </w:r>
    </w:p>
    <w:p>
      <w:pPr>
        <w:tabs>
          <w:tab w:val="left" w:pos="1240"/>
        </w:tabs>
        <w:spacing w:line="312" w:lineRule="auto"/>
        <w:ind w:right="-20" w:firstLine="470" w:firstLineChars="196"/>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其范围包括：</w:t>
      </w:r>
    </w:p>
    <w:p>
      <w:pPr>
        <w:pStyle w:val="11"/>
        <w:tabs>
          <w:tab w:val="left" w:pos="540"/>
        </w:tabs>
        <w:adjustRightInd w:val="0"/>
        <w:snapToGrid w:val="0"/>
        <w:spacing w:before="240" w:beforeLines="100" w:line="360" w:lineRule="auto"/>
        <w:ind w:right="-20"/>
        <w:jc w:val="both"/>
        <w:textAlignment w:val="baseline"/>
        <w:outlineLvl w:val="2"/>
        <w:rPr>
          <w:rStyle w:val="25"/>
          <w:rFonts w:hint="eastAsia" w:ascii="宋体" w:hAnsi="宋体" w:eastAsia="宋体" w:cs="宋体"/>
          <w:b/>
          <w:bCs/>
          <w:color w:val="000000"/>
          <w:kern w:val="2"/>
          <w:sz w:val="24"/>
          <w:szCs w:val="24"/>
          <w:highlight w:val="none"/>
          <w:lang w:val="en-US" w:eastAsia="zh-CN" w:bidi="ar-SA"/>
        </w:rPr>
      </w:pPr>
      <w:bookmarkStart w:id="176" w:name="_Toc21178"/>
      <w:bookmarkStart w:id="177" w:name="_Toc25346"/>
      <w:bookmarkStart w:id="178" w:name="_Toc8787"/>
      <w:bookmarkStart w:id="179" w:name="_Toc16258"/>
      <w:r>
        <w:rPr>
          <w:rStyle w:val="25"/>
          <w:rFonts w:hint="eastAsia" w:ascii="宋体" w:hAnsi="宋体" w:eastAsia="宋体" w:cs="宋体"/>
          <w:b/>
          <w:bCs/>
          <w:color w:val="000000"/>
          <w:kern w:val="2"/>
          <w:sz w:val="24"/>
          <w:szCs w:val="24"/>
          <w:highlight w:val="none"/>
          <w:lang w:val="en-US" w:eastAsia="zh-CN" w:bidi="ar-SA"/>
        </w:rPr>
        <w:t>59 缺陷责任与质量保修</w:t>
      </w:r>
      <w:bookmarkEnd w:id="176"/>
      <w:bookmarkEnd w:id="177"/>
      <w:bookmarkEnd w:id="178"/>
      <w:bookmarkEnd w:id="179"/>
    </w:p>
    <w:p>
      <w:pPr>
        <w:tabs>
          <w:tab w:val="left" w:pos="1240"/>
        </w:tabs>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59.6 缺陷责任期的约定：按通用条款执行。</w:t>
      </w:r>
    </w:p>
    <w:p>
      <w:pPr>
        <w:tabs>
          <w:tab w:val="left" w:pos="1240"/>
        </w:tabs>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59.8 工程质量保修的约定：按通用条款执行。</w:t>
      </w:r>
    </w:p>
    <w:p>
      <w:pPr>
        <w:pStyle w:val="11"/>
        <w:tabs>
          <w:tab w:val="left" w:pos="540"/>
        </w:tabs>
        <w:adjustRightInd w:val="0"/>
        <w:snapToGrid w:val="0"/>
        <w:spacing w:before="240" w:beforeLines="100" w:line="360" w:lineRule="auto"/>
        <w:ind w:right="-20"/>
        <w:jc w:val="both"/>
        <w:textAlignment w:val="baseline"/>
        <w:outlineLvl w:val="2"/>
        <w:rPr>
          <w:rStyle w:val="25"/>
          <w:rFonts w:hint="eastAsia" w:ascii="宋体" w:hAnsi="宋体" w:eastAsia="宋体" w:cs="宋体"/>
          <w:b/>
          <w:bCs/>
          <w:color w:val="000000"/>
          <w:kern w:val="2"/>
          <w:sz w:val="24"/>
          <w:szCs w:val="24"/>
          <w:highlight w:val="none"/>
          <w:lang w:val="en-US" w:eastAsia="zh-CN" w:bidi="ar-SA"/>
        </w:rPr>
      </w:pPr>
      <w:bookmarkStart w:id="180" w:name="_Toc28582"/>
      <w:bookmarkStart w:id="181" w:name="_Toc13625"/>
      <w:bookmarkStart w:id="182" w:name="_Toc31965"/>
      <w:bookmarkStart w:id="183" w:name="_Toc16623"/>
      <w:r>
        <w:rPr>
          <w:rStyle w:val="25"/>
          <w:rFonts w:hint="eastAsia" w:ascii="宋体" w:hAnsi="宋体" w:eastAsia="宋体" w:cs="宋体"/>
          <w:b/>
          <w:bCs/>
          <w:color w:val="000000"/>
          <w:kern w:val="2"/>
          <w:sz w:val="24"/>
          <w:szCs w:val="24"/>
          <w:highlight w:val="none"/>
          <w:lang w:val="en-US" w:eastAsia="zh-CN" w:bidi="ar-SA"/>
        </w:rPr>
        <w:t>60 资金计划和安排</w:t>
      </w:r>
      <w:bookmarkEnd w:id="180"/>
      <w:bookmarkEnd w:id="181"/>
      <w:bookmarkEnd w:id="182"/>
      <w:bookmarkEnd w:id="183"/>
    </w:p>
    <w:p>
      <w:pPr>
        <w:tabs>
          <w:tab w:val="left" w:pos="1240"/>
        </w:tabs>
        <w:spacing w:line="312" w:lineRule="auto"/>
        <w:ind w:right="-2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 xml:space="preserve">    60.2 提供资金安排证据：承包人与发包人一致同意本款不适用。</w:t>
      </w:r>
    </w:p>
    <w:p>
      <w:pPr>
        <w:pStyle w:val="11"/>
        <w:tabs>
          <w:tab w:val="left" w:pos="540"/>
        </w:tabs>
        <w:adjustRightInd w:val="0"/>
        <w:snapToGrid w:val="0"/>
        <w:spacing w:before="240" w:beforeLines="100" w:line="360" w:lineRule="auto"/>
        <w:ind w:right="-20"/>
        <w:jc w:val="both"/>
        <w:textAlignment w:val="baseline"/>
        <w:outlineLvl w:val="2"/>
        <w:rPr>
          <w:rStyle w:val="25"/>
          <w:rFonts w:hint="eastAsia" w:ascii="宋体" w:hAnsi="宋体" w:eastAsia="宋体" w:cs="宋体"/>
          <w:b/>
          <w:bCs/>
          <w:color w:val="000000"/>
          <w:kern w:val="2"/>
          <w:sz w:val="24"/>
          <w:szCs w:val="24"/>
          <w:highlight w:val="none"/>
          <w:lang w:val="en-US" w:eastAsia="zh-CN" w:bidi="ar-SA"/>
        </w:rPr>
      </w:pPr>
      <w:bookmarkStart w:id="184" w:name="_Toc27782"/>
      <w:bookmarkStart w:id="185" w:name="_Toc20022"/>
      <w:bookmarkStart w:id="186" w:name="_Toc14598"/>
      <w:bookmarkStart w:id="187" w:name="_Toc31867"/>
      <w:r>
        <w:rPr>
          <w:rStyle w:val="25"/>
          <w:rFonts w:hint="eastAsia" w:ascii="宋体" w:hAnsi="宋体" w:eastAsia="宋体" w:cs="宋体"/>
          <w:b/>
          <w:bCs/>
          <w:color w:val="000000"/>
          <w:kern w:val="2"/>
          <w:sz w:val="24"/>
          <w:szCs w:val="24"/>
          <w:highlight w:val="none"/>
          <w:lang w:val="en-US" w:eastAsia="zh-CN" w:bidi="ar-SA"/>
        </w:rPr>
        <w:t>63 暂列金额（如有）</w:t>
      </w:r>
      <w:bookmarkEnd w:id="184"/>
      <w:bookmarkEnd w:id="185"/>
      <w:bookmarkEnd w:id="186"/>
      <w:bookmarkEnd w:id="187"/>
    </w:p>
    <w:p>
      <w:pPr>
        <w:ind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63.1 合同工程的暂列金额为</w:t>
      </w:r>
      <w:r>
        <w:rPr>
          <w:rStyle w:val="43"/>
          <w:rFonts w:hint="eastAsia" w:ascii="宋体" w:hAnsi="宋体" w:eastAsia="宋体" w:cs="宋体"/>
          <w:color w:val="auto"/>
          <w:kern w:val="2"/>
          <w:sz w:val="24"/>
          <w:szCs w:val="24"/>
          <w:highlight w:val="none"/>
          <w:u w:val="single"/>
          <w:lang w:val="en-US" w:eastAsia="zh-CN" w:bidi="ar-SA"/>
        </w:rPr>
        <w:t xml:space="preserve">      </w:t>
      </w:r>
      <w:r>
        <w:rPr>
          <w:rStyle w:val="43"/>
          <w:rFonts w:hint="eastAsia" w:ascii="宋体" w:hAnsi="宋体" w:eastAsia="宋体" w:cs="宋体"/>
          <w:color w:val="auto"/>
          <w:kern w:val="2"/>
          <w:sz w:val="24"/>
          <w:szCs w:val="24"/>
          <w:highlight w:val="none"/>
          <w:lang w:val="en-US" w:eastAsia="zh-CN" w:bidi="ar-SA"/>
        </w:rPr>
        <w:t>元。</w:t>
      </w:r>
    </w:p>
    <w:p>
      <w:pPr>
        <w:pStyle w:val="11"/>
        <w:tabs>
          <w:tab w:val="left" w:pos="540"/>
        </w:tabs>
        <w:adjustRightInd w:val="0"/>
        <w:snapToGrid w:val="0"/>
        <w:spacing w:before="240" w:beforeLines="100" w:line="360" w:lineRule="auto"/>
        <w:ind w:right="-20"/>
        <w:jc w:val="both"/>
        <w:textAlignment w:val="baseline"/>
        <w:outlineLvl w:val="2"/>
        <w:rPr>
          <w:rStyle w:val="25"/>
          <w:rFonts w:hint="eastAsia" w:ascii="宋体" w:hAnsi="宋体" w:eastAsia="宋体" w:cs="宋体"/>
          <w:b/>
          <w:bCs/>
          <w:color w:val="000000"/>
          <w:kern w:val="2"/>
          <w:sz w:val="24"/>
          <w:szCs w:val="24"/>
          <w:highlight w:val="none"/>
          <w:lang w:val="en-US" w:eastAsia="zh-CN" w:bidi="ar-SA"/>
        </w:rPr>
      </w:pPr>
      <w:bookmarkStart w:id="188" w:name="_Toc18914"/>
      <w:bookmarkStart w:id="189" w:name="_Toc7594"/>
      <w:bookmarkStart w:id="190" w:name="_Toc11247"/>
      <w:bookmarkStart w:id="191" w:name="_Toc28515"/>
      <w:r>
        <w:rPr>
          <w:rStyle w:val="25"/>
          <w:rFonts w:hint="eastAsia" w:ascii="宋体" w:hAnsi="宋体" w:eastAsia="宋体" w:cs="宋体"/>
          <w:b/>
          <w:bCs/>
          <w:color w:val="000000"/>
          <w:kern w:val="2"/>
          <w:sz w:val="24"/>
          <w:szCs w:val="24"/>
          <w:highlight w:val="none"/>
          <w:lang w:val="en-US" w:eastAsia="zh-CN" w:bidi="ar-SA"/>
        </w:rPr>
        <w:t>65 暂估价</w:t>
      </w:r>
      <w:bookmarkEnd w:id="188"/>
      <w:bookmarkEnd w:id="189"/>
      <w:bookmarkEnd w:id="190"/>
      <w:bookmarkEnd w:id="191"/>
    </w:p>
    <w:p>
      <w:pPr>
        <w:tabs>
          <w:tab w:val="left" w:pos="1240"/>
          <w:tab w:val="left" w:pos="6640"/>
        </w:tabs>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65.3 非招标专业工程的暂估价金额为</w:t>
      </w:r>
      <w:r>
        <w:rPr>
          <w:rStyle w:val="43"/>
          <w:rFonts w:hint="eastAsia" w:ascii="宋体" w:hAnsi="宋体" w:eastAsia="宋体" w:cs="宋体"/>
          <w:color w:val="auto"/>
          <w:kern w:val="2"/>
          <w:sz w:val="24"/>
          <w:szCs w:val="24"/>
          <w:highlight w:val="none"/>
          <w:u w:val="single"/>
          <w:lang w:val="en-US" w:eastAsia="zh-CN" w:bidi="ar-SA"/>
        </w:rPr>
        <w:t xml:space="preserve">       </w:t>
      </w:r>
      <w:r>
        <w:rPr>
          <w:rStyle w:val="43"/>
          <w:rFonts w:hint="eastAsia" w:ascii="宋体" w:hAnsi="宋体" w:eastAsia="宋体" w:cs="宋体"/>
          <w:color w:val="auto"/>
          <w:kern w:val="2"/>
          <w:sz w:val="24"/>
          <w:szCs w:val="24"/>
          <w:highlight w:val="none"/>
          <w:lang w:val="en-US" w:eastAsia="zh-CN" w:bidi="ar-SA"/>
        </w:rPr>
        <w:t>元。</w:t>
      </w:r>
    </w:p>
    <w:p>
      <w:pPr>
        <w:pStyle w:val="11"/>
        <w:tabs>
          <w:tab w:val="left" w:pos="540"/>
        </w:tabs>
        <w:adjustRightInd w:val="0"/>
        <w:snapToGrid w:val="0"/>
        <w:spacing w:before="240" w:beforeLines="100" w:line="360" w:lineRule="auto"/>
        <w:ind w:right="-20"/>
        <w:jc w:val="both"/>
        <w:textAlignment w:val="baseline"/>
        <w:outlineLvl w:val="2"/>
        <w:rPr>
          <w:rStyle w:val="25"/>
          <w:rFonts w:hint="eastAsia" w:ascii="宋体" w:hAnsi="宋体" w:eastAsia="宋体" w:cs="宋体"/>
          <w:b/>
          <w:bCs/>
          <w:color w:val="000000"/>
          <w:kern w:val="2"/>
          <w:sz w:val="24"/>
          <w:szCs w:val="24"/>
          <w:highlight w:val="none"/>
          <w:lang w:val="en-US" w:eastAsia="zh-CN" w:bidi="ar-SA"/>
        </w:rPr>
      </w:pPr>
      <w:bookmarkStart w:id="192" w:name="_Toc4291"/>
      <w:bookmarkStart w:id="193" w:name="_Toc25192"/>
      <w:bookmarkStart w:id="194" w:name="_Toc15825"/>
      <w:bookmarkStart w:id="195" w:name="_Toc20466"/>
      <w:r>
        <w:rPr>
          <w:rStyle w:val="25"/>
          <w:rFonts w:hint="eastAsia" w:ascii="宋体" w:hAnsi="宋体" w:eastAsia="宋体" w:cs="宋体"/>
          <w:b/>
          <w:bCs/>
          <w:color w:val="000000"/>
          <w:kern w:val="2"/>
          <w:sz w:val="24"/>
          <w:szCs w:val="24"/>
          <w:highlight w:val="none"/>
          <w:lang w:val="en-US" w:eastAsia="zh-CN" w:bidi="ar-SA"/>
        </w:rPr>
        <w:t>66 提前竣工奖与误期赔偿费</w:t>
      </w:r>
      <w:bookmarkEnd w:id="192"/>
      <w:bookmarkEnd w:id="193"/>
      <w:bookmarkEnd w:id="194"/>
      <w:bookmarkEnd w:id="195"/>
    </w:p>
    <w:p>
      <w:pPr>
        <w:tabs>
          <w:tab w:val="left" w:pos="1240"/>
        </w:tabs>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66.1 提前竣工奖的约定：</w:t>
      </w:r>
    </w:p>
    <w:p>
      <w:pPr>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√没约定提前竣工奖的，本款不适用。</w:t>
      </w:r>
    </w:p>
    <w:p>
      <w:pPr>
        <w:tabs>
          <w:tab w:val="left" w:pos="6880"/>
        </w:tabs>
        <w:spacing w:line="312" w:lineRule="auto"/>
        <w:ind w:right="-161"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×约定提前竣工奖的，每日历天应奖额度为提前竣工奖的最高限额是</w:t>
      </w:r>
      <w:r>
        <w:rPr>
          <w:rStyle w:val="43"/>
          <w:rFonts w:hint="eastAsia" w:ascii="宋体" w:hAnsi="宋体" w:eastAsia="宋体" w:cs="宋体"/>
          <w:color w:val="auto"/>
          <w:kern w:val="2"/>
          <w:sz w:val="24"/>
          <w:szCs w:val="24"/>
          <w:highlight w:val="none"/>
          <w:u w:val="single"/>
          <w:lang w:val="en-US" w:eastAsia="zh-CN" w:bidi="ar-SA"/>
        </w:rPr>
        <w:t xml:space="preserve">  / </w:t>
      </w:r>
      <w:r>
        <w:rPr>
          <w:rStyle w:val="43"/>
          <w:rFonts w:hint="eastAsia" w:ascii="宋体" w:hAnsi="宋体" w:eastAsia="宋体" w:cs="宋体"/>
          <w:color w:val="auto"/>
          <w:kern w:val="2"/>
          <w:sz w:val="24"/>
          <w:szCs w:val="24"/>
          <w:highlight w:val="none"/>
          <w:lang w:val="en-US" w:eastAsia="zh-CN" w:bidi="ar-SA"/>
        </w:rPr>
        <w:t>。</w:t>
      </w:r>
    </w:p>
    <w:p>
      <w:pPr>
        <w:tabs>
          <w:tab w:val="left" w:pos="6880"/>
        </w:tabs>
        <w:spacing w:line="312" w:lineRule="auto"/>
        <w:ind w:right="-161"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66.2 误期赔偿费的约定：</w:t>
      </w:r>
    </w:p>
    <w:p>
      <w:pPr>
        <w:tabs>
          <w:tab w:val="left" w:pos="6880"/>
        </w:tabs>
        <w:spacing w:line="312" w:lineRule="auto"/>
        <w:ind w:right="-161"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(1) 每日历天应赔付额度为</w:t>
      </w:r>
      <w:r>
        <w:rPr>
          <w:rStyle w:val="43"/>
          <w:rFonts w:hint="eastAsia" w:ascii="宋体" w:hAnsi="宋体" w:eastAsia="宋体" w:cs="宋体"/>
          <w:color w:val="auto"/>
          <w:kern w:val="2"/>
          <w:sz w:val="24"/>
          <w:szCs w:val="24"/>
          <w:highlight w:val="none"/>
          <w:u w:val="single"/>
          <w:lang w:val="en-US" w:eastAsia="zh-CN" w:bidi="ar-SA"/>
        </w:rPr>
        <w:t>按专用条款第96.8（5）款约定处理。</w:t>
      </w:r>
    </w:p>
    <w:p>
      <w:pPr>
        <w:tabs>
          <w:tab w:val="left" w:pos="6880"/>
        </w:tabs>
        <w:spacing w:line="312" w:lineRule="auto"/>
        <w:ind w:right="-161"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(2) 误期赔偿费最高限额是</w:t>
      </w:r>
      <w:r>
        <w:rPr>
          <w:rStyle w:val="43"/>
          <w:rFonts w:hint="eastAsia" w:ascii="宋体" w:hAnsi="宋体" w:eastAsia="宋体" w:cs="宋体"/>
          <w:color w:val="auto"/>
          <w:kern w:val="2"/>
          <w:sz w:val="24"/>
          <w:szCs w:val="24"/>
          <w:highlight w:val="none"/>
          <w:u w:val="single"/>
          <w:lang w:val="en-US" w:eastAsia="zh-CN" w:bidi="ar-SA"/>
        </w:rPr>
        <w:t xml:space="preserve">  /  </w:t>
      </w:r>
      <w:r>
        <w:rPr>
          <w:rStyle w:val="43"/>
          <w:rFonts w:hint="eastAsia" w:ascii="宋体" w:hAnsi="宋体" w:eastAsia="宋体" w:cs="宋体"/>
          <w:color w:val="auto"/>
          <w:kern w:val="2"/>
          <w:sz w:val="24"/>
          <w:szCs w:val="24"/>
          <w:highlight w:val="none"/>
          <w:lang w:val="en-US" w:eastAsia="zh-CN" w:bidi="ar-SA"/>
        </w:rPr>
        <w:t>。</w:t>
      </w:r>
    </w:p>
    <w:p>
      <w:pPr>
        <w:pStyle w:val="11"/>
        <w:tabs>
          <w:tab w:val="left" w:pos="540"/>
        </w:tabs>
        <w:adjustRightInd w:val="0"/>
        <w:snapToGrid w:val="0"/>
        <w:spacing w:before="240" w:beforeLines="100" w:line="360" w:lineRule="auto"/>
        <w:ind w:right="-161"/>
        <w:jc w:val="both"/>
        <w:textAlignment w:val="baseline"/>
        <w:outlineLvl w:val="2"/>
        <w:rPr>
          <w:rStyle w:val="25"/>
          <w:rFonts w:hint="eastAsia" w:ascii="宋体" w:hAnsi="宋体" w:eastAsia="宋体" w:cs="宋体"/>
          <w:b/>
          <w:bCs/>
          <w:color w:val="000000"/>
          <w:kern w:val="2"/>
          <w:sz w:val="24"/>
          <w:szCs w:val="24"/>
          <w:highlight w:val="none"/>
          <w:lang w:val="en-US" w:eastAsia="zh-CN" w:bidi="ar-SA"/>
        </w:rPr>
      </w:pPr>
      <w:bookmarkStart w:id="196" w:name="_Toc944"/>
      <w:bookmarkStart w:id="197" w:name="_Toc9765"/>
      <w:bookmarkStart w:id="198" w:name="_Toc27019"/>
      <w:bookmarkStart w:id="199" w:name="_Toc6537"/>
      <w:r>
        <w:rPr>
          <w:rStyle w:val="25"/>
          <w:rFonts w:hint="eastAsia" w:ascii="宋体" w:hAnsi="宋体" w:eastAsia="宋体" w:cs="宋体"/>
          <w:b/>
          <w:bCs/>
          <w:color w:val="000000"/>
          <w:kern w:val="2"/>
          <w:sz w:val="24"/>
          <w:szCs w:val="24"/>
          <w:highlight w:val="none"/>
          <w:lang w:val="en-US" w:eastAsia="zh-CN" w:bidi="ar-SA"/>
        </w:rPr>
        <w:t>67 优质优价费、工程建设标准费用</w:t>
      </w:r>
      <w:bookmarkEnd w:id="196"/>
      <w:bookmarkEnd w:id="197"/>
      <w:bookmarkEnd w:id="198"/>
      <w:bookmarkEnd w:id="199"/>
    </w:p>
    <w:p>
      <w:pPr>
        <w:tabs>
          <w:tab w:val="left" w:pos="1240"/>
        </w:tabs>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67.1 优质优价奖的约定：</w:t>
      </w:r>
    </w:p>
    <w:p>
      <w:pPr>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√没约定优质优价奖的，本款不适用；</w:t>
      </w:r>
    </w:p>
    <w:p>
      <w:pPr>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×约定优质优价奖的等级：</w:t>
      </w:r>
      <w:r>
        <w:rPr>
          <w:rStyle w:val="43"/>
          <w:rFonts w:hint="eastAsia" w:ascii="宋体" w:hAnsi="宋体" w:eastAsia="宋体" w:cs="宋体"/>
          <w:color w:val="auto"/>
          <w:kern w:val="2"/>
          <w:sz w:val="24"/>
          <w:szCs w:val="24"/>
          <w:highlight w:val="none"/>
          <w:u w:val="single"/>
          <w:lang w:val="en-US" w:eastAsia="zh-CN" w:bidi="ar-SA"/>
        </w:rPr>
        <w:t xml:space="preserve">  /  </w:t>
      </w:r>
    </w:p>
    <w:p>
      <w:pPr>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67.2 优质优价奖的计提与支付：</w:t>
      </w:r>
    </w:p>
    <w:p>
      <w:pPr>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×国家级质量奖，合同价款的 3%，即</w:t>
      </w:r>
      <w:r>
        <w:rPr>
          <w:rStyle w:val="43"/>
          <w:rFonts w:hint="eastAsia" w:ascii="宋体" w:hAnsi="宋体" w:eastAsia="宋体" w:cs="宋体"/>
          <w:color w:val="auto"/>
          <w:kern w:val="2"/>
          <w:sz w:val="24"/>
          <w:szCs w:val="24"/>
          <w:highlight w:val="none"/>
          <w:u w:val="single"/>
          <w:lang w:val="en-US" w:eastAsia="zh-CN" w:bidi="ar-SA"/>
        </w:rPr>
        <w:t xml:space="preserve">   /  </w:t>
      </w:r>
      <w:r>
        <w:rPr>
          <w:rStyle w:val="43"/>
          <w:rFonts w:hint="eastAsia" w:ascii="宋体" w:hAnsi="宋体" w:eastAsia="宋体" w:cs="宋体"/>
          <w:color w:val="auto"/>
          <w:kern w:val="2"/>
          <w:sz w:val="24"/>
          <w:szCs w:val="24"/>
          <w:highlight w:val="none"/>
          <w:lang w:val="en-US" w:eastAsia="zh-CN" w:bidi="ar-SA"/>
        </w:rPr>
        <w:t>元；</w:t>
      </w:r>
    </w:p>
    <w:p>
      <w:pPr>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×省级质量奖，合同价款的 2%；即</w:t>
      </w:r>
      <w:r>
        <w:rPr>
          <w:rStyle w:val="43"/>
          <w:rFonts w:hint="eastAsia" w:ascii="宋体" w:hAnsi="宋体" w:eastAsia="宋体" w:cs="宋体"/>
          <w:color w:val="auto"/>
          <w:kern w:val="2"/>
          <w:sz w:val="24"/>
          <w:szCs w:val="24"/>
          <w:highlight w:val="none"/>
          <w:u w:val="single"/>
          <w:lang w:val="en-US" w:eastAsia="zh-CN" w:bidi="ar-SA"/>
        </w:rPr>
        <w:t xml:space="preserve">   /  </w:t>
      </w:r>
      <w:r>
        <w:rPr>
          <w:rStyle w:val="43"/>
          <w:rFonts w:hint="eastAsia" w:ascii="宋体" w:hAnsi="宋体" w:eastAsia="宋体" w:cs="宋体"/>
          <w:color w:val="auto"/>
          <w:kern w:val="2"/>
          <w:sz w:val="24"/>
          <w:szCs w:val="24"/>
          <w:highlight w:val="none"/>
          <w:lang w:val="en-US" w:eastAsia="zh-CN" w:bidi="ar-SA"/>
        </w:rPr>
        <w:t>元；</w:t>
      </w:r>
    </w:p>
    <w:p>
      <w:pPr>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×市级质量奖，合同价款的 1%；即</w:t>
      </w:r>
      <w:r>
        <w:rPr>
          <w:rStyle w:val="43"/>
          <w:rFonts w:hint="eastAsia" w:ascii="宋体" w:hAnsi="宋体" w:eastAsia="宋体" w:cs="宋体"/>
          <w:color w:val="auto"/>
          <w:kern w:val="2"/>
          <w:sz w:val="24"/>
          <w:szCs w:val="24"/>
          <w:highlight w:val="none"/>
          <w:u w:val="single"/>
          <w:lang w:val="en-US" w:eastAsia="zh-CN" w:bidi="ar-SA"/>
        </w:rPr>
        <w:t xml:space="preserve">   /  </w:t>
      </w:r>
      <w:r>
        <w:rPr>
          <w:rStyle w:val="43"/>
          <w:rFonts w:hint="eastAsia" w:ascii="宋体" w:hAnsi="宋体" w:eastAsia="宋体" w:cs="宋体"/>
          <w:color w:val="auto"/>
          <w:kern w:val="2"/>
          <w:sz w:val="24"/>
          <w:szCs w:val="24"/>
          <w:highlight w:val="none"/>
          <w:lang w:val="en-US" w:eastAsia="zh-CN" w:bidi="ar-SA"/>
        </w:rPr>
        <w:t>元。</w:t>
      </w:r>
    </w:p>
    <w:p>
      <w:pPr>
        <w:pStyle w:val="11"/>
        <w:tabs>
          <w:tab w:val="left" w:pos="540"/>
        </w:tabs>
        <w:adjustRightInd w:val="0"/>
        <w:snapToGrid w:val="0"/>
        <w:spacing w:before="240" w:beforeLines="100" w:line="360" w:lineRule="auto"/>
        <w:ind w:right="-20"/>
        <w:jc w:val="both"/>
        <w:textAlignment w:val="baseline"/>
        <w:outlineLvl w:val="2"/>
        <w:rPr>
          <w:rStyle w:val="25"/>
          <w:rFonts w:hint="eastAsia" w:ascii="宋体" w:hAnsi="宋体" w:eastAsia="宋体" w:cs="宋体"/>
          <w:b/>
          <w:bCs/>
          <w:color w:val="000000"/>
          <w:kern w:val="2"/>
          <w:sz w:val="24"/>
          <w:szCs w:val="24"/>
          <w:highlight w:val="none"/>
          <w:lang w:val="en-US" w:eastAsia="zh-CN" w:bidi="ar-SA"/>
        </w:rPr>
      </w:pPr>
      <w:bookmarkStart w:id="200" w:name="_Toc30116"/>
      <w:bookmarkStart w:id="201" w:name="_Toc15367"/>
      <w:bookmarkStart w:id="202" w:name="_Toc18844"/>
      <w:bookmarkStart w:id="203" w:name="_Toc25393"/>
      <w:r>
        <w:rPr>
          <w:rStyle w:val="25"/>
          <w:rFonts w:hint="eastAsia" w:ascii="宋体" w:hAnsi="宋体" w:eastAsia="宋体" w:cs="宋体"/>
          <w:b/>
          <w:bCs/>
          <w:color w:val="000000"/>
          <w:kern w:val="2"/>
          <w:sz w:val="24"/>
          <w:szCs w:val="24"/>
          <w:highlight w:val="none"/>
          <w:lang w:val="en-US" w:eastAsia="zh-CN" w:bidi="ar-SA"/>
        </w:rPr>
        <w:t>68 合同价款的约定与调整</w:t>
      </w:r>
      <w:bookmarkEnd w:id="200"/>
      <w:bookmarkEnd w:id="201"/>
      <w:bookmarkEnd w:id="202"/>
      <w:bookmarkEnd w:id="203"/>
    </w:p>
    <w:p>
      <w:pPr>
        <w:tabs>
          <w:tab w:val="left" w:pos="1240"/>
        </w:tabs>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68.2 合同价款的调整因素包括：</w:t>
      </w:r>
    </w:p>
    <w:p>
      <w:pPr>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√工程量的偏差；</w:t>
      </w:r>
    </w:p>
    <w:p>
      <w:pPr>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√工程变更；</w:t>
      </w:r>
    </w:p>
    <w:p>
      <w:pPr>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√物价及后继法律法规的变化；</w:t>
      </w:r>
    </w:p>
    <w:p>
      <w:pPr>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√费用索赔事件或发包人负责的其他情况；</w:t>
      </w:r>
    </w:p>
    <w:p>
      <w:pPr>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√工程造价管理机构发布的造价调整；</w:t>
      </w:r>
    </w:p>
    <w:p>
      <w:pPr>
        <w:spacing w:line="312" w:lineRule="auto"/>
        <w:jc w:val="both"/>
        <w:textAlignment w:val="baseline"/>
        <w:rPr>
          <w:rStyle w:val="43"/>
          <w:rFonts w:hint="eastAsia" w:ascii="宋体" w:hAnsi="宋体" w:eastAsia="宋体" w:cs="宋体"/>
          <w:b/>
          <w:bCs/>
          <w:color w:val="auto"/>
          <w:kern w:val="2"/>
          <w:sz w:val="24"/>
          <w:szCs w:val="24"/>
          <w:highlight w:val="none"/>
          <w:lang w:val="en-US" w:eastAsia="zh-CN" w:bidi="ar-SA"/>
        </w:rPr>
      </w:pPr>
      <w:r>
        <w:rPr>
          <w:rStyle w:val="43"/>
          <w:rFonts w:hint="eastAsia" w:ascii="宋体" w:hAnsi="宋体" w:eastAsia="宋体" w:cs="宋体"/>
          <w:b/>
          <w:bCs/>
          <w:color w:val="auto"/>
          <w:kern w:val="2"/>
          <w:sz w:val="24"/>
          <w:szCs w:val="24"/>
          <w:highlight w:val="none"/>
          <w:lang w:val="en-US" w:eastAsia="zh-CN" w:bidi="ar-SA"/>
        </w:rPr>
        <w:t>承包人与发包人一致同意增加68.4：</w:t>
      </w:r>
    </w:p>
    <w:p>
      <w:pPr>
        <w:spacing w:line="312" w:lineRule="auto"/>
        <w:ind w:right="-20" w:firstLine="360" w:firstLineChars="150"/>
        <w:jc w:val="both"/>
        <w:textAlignment w:val="baseline"/>
        <w:rPr>
          <w:rStyle w:val="43"/>
          <w:rFonts w:hint="eastAsia" w:ascii="宋体" w:hAnsi="宋体" w:eastAsia="宋体" w:cs="宋体"/>
          <w:color w:val="auto"/>
          <w:kern w:val="2"/>
          <w:sz w:val="24"/>
          <w:szCs w:val="24"/>
          <w:highlight w:val="none"/>
          <w:u w:val="single"/>
          <w:lang w:val="en-US" w:eastAsia="zh-CN" w:bidi="ar-SA"/>
        </w:rPr>
      </w:pPr>
      <w:r>
        <w:rPr>
          <w:rStyle w:val="43"/>
          <w:rFonts w:hint="eastAsia" w:ascii="宋体" w:hAnsi="宋体" w:eastAsia="宋体" w:cs="宋体"/>
          <w:color w:val="auto"/>
          <w:kern w:val="2"/>
          <w:sz w:val="24"/>
          <w:szCs w:val="24"/>
          <w:highlight w:val="none"/>
          <w:u w:val="single"/>
          <w:lang w:val="en-US" w:eastAsia="zh-CN" w:bidi="ar-SA"/>
        </w:rPr>
        <w:t>68.4 （1）工程竣工结算办法执行招标文件的有关条款及《建设工程工程量清单计价规范》（GB50500-2013），具体明确如下: ①投标人一旦中标，中标总价即为暂定合同总价；当投标单价不超过招标控制价综合单价时，该清单项目的中标单价为该项目的结算单价，在工程结算时将不得变更[注：单价不变是指清单项目中所使用的主要材料的质量及品牌与招标文件中确定的质量及品牌在同一档次（或更高）的情况下，清单项目单价不变。若建设单位指定清单项目的主要材料的质量和品牌档次高于（或承包人进场材料的质量和品牌档次低于）招标文件要求的质量及品牌档次，则仅按实调整该清单项目的主材价格，主材价差的调整基数为该项目招标控制价综合单价中的主材价格，其它不变]；当投标单价超过招标控制价综合单价时，该项目投标综合单价按该清单项目的招标控制价综合单价×（1-投标下浮率）[投标下浮率=（招标控制价总价-投标报价总价）/招标控制价总价×100%]进行修正，修正之后的总价作为中标总价，修正投标报价书作为招标文件及合同的附件，修正之后的投标清单项目综合单价作为该清单项目的结算综合单价。工程量清单数量依据竣工图及竣工资料按实结算，因设计变更或现场签证或招标文件、答疑会议纪要中允许调整造价的工程内容，必须在得到建设单位和现场监理工程师的书面确认后，由施工单位根据设计变更、图纸会审、现场签证绘制工程竣工图（竣工图须由监理单位、施工单位、建设单位现场代表三方签认）作为竣工结算的依据。项目工程量清单实际数量乘以项目结算单价为该项目的结算价。②中标的投标文件工程量清单中已有类似项目，只是项目主要材料发生变化的，则按类似项目的综合单价只对项目的主要材料价格进行调整换算，主材价差的调整基数为该项目招标控制价综合单价中的主材单价，其它费用不变，即调整后的清单单价=投标单价+材料价差*（1-投标下浮率）。如中标的投标文件工程量清单中类似项目的综合单价有两个以上，则由招标人按消耗量最少、管理费和利润取费最低的优先顺序选择类似项目综合单价进行换算。如换算时出现主材表中没有的材料，其单价则按施工期广州地区材料市场该项材料的实际价格予以调整。③中标的投标文件工程量清单中没有相同项目或类似项目的，其新增项目综合单价根据现行定额及其相关计价文件编制再乘以（1-投标下浮率）确定，投标下浮率=（招标控制价总价-投标报价总价）/招标控制价总价*100%，材料价格按广州市造价管理站同期（施工期）《广州地区建设工程常用材料税前综合价格》予以调整，《广州地区建设工程常用材料税前综合价格》没有的材料单价，则参考同期（施工期）该材料的市场价格，最终以天河区财政局核准后确定。</w:t>
      </w:r>
    </w:p>
    <w:p>
      <w:pPr>
        <w:spacing w:line="312" w:lineRule="auto"/>
        <w:ind w:right="-20" w:firstLine="360" w:firstLineChars="150"/>
        <w:jc w:val="both"/>
        <w:textAlignment w:val="baseline"/>
        <w:rPr>
          <w:rStyle w:val="43"/>
          <w:rFonts w:hint="eastAsia" w:ascii="宋体" w:hAnsi="宋体" w:eastAsia="宋体" w:cs="宋体"/>
          <w:color w:val="auto"/>
          <w:kern w:val="2"/>
          <w:sz w:val="24"/>
          <w:szCs w:val="24"/>
          <w:highlight w:val="none"/>
          <w:u w:val="single"/>
          <w:lang w:val="en-US" w:eastAsia="zh-CN" w:bidi="ar-SA"/>
        </w:rPr>
      </w:pPr>
      <w:r>
        <w:rPr>
          <w:rStyle w:val="43"/>
          <w:rFonts w:hint="eastAsia" w:ascii="宋体" w:hAnsi="宋体" w:eastAsia="宋体" w:cs="宋体"/>
          <w:color w:val="auto"/>
          <w:kern w:val="2"/>
          <w:sz w:val="24"/>
          <w:szCs w:val="24"/>
          <w:highlight w:val="none"/>
          <w:u w:val="single"/>
          <w:lang w:val="en-US" w:eastAsia="zh-CN" w:bidi="ar-SA"/>
        </w:rPr>
        <w:t>（2）合同履行期间因市场波动造成主要材料价格涨落幅度不超过5%（含5%），结算时不调整价差。</w:t>
      </w:r>
    </w:p>
    <w:p>
      <w:pPr>
        <w:spacing w:line="312" w:lineRule="auto"/>
        <w:ind w:right="-20" w:firstLine="360" w:firstLineChars="150"/>
        <w:jc w:val="both"/>
        <w:textAlignment w:val="baseline"/>
        <w:rPr>
          <w:rStyle w:val="43"/>
          <w:rFonts w:hint="eastAsia" w:ascii="宋体" w:hAnsi="宋体" w:eastAsia="宋体" w:cs="宋体"/>
          <w:color w:val="auto"/>
          <w:kern w:val="2"/>
          <w:sz w:val="24"/>
          <w:szCs w:val="24"/>
          <w:highlight w:val="none"/>
          <w:u w:val="single"/>
          <w:lang w:val="en-US" w:eastAsia="zh-CN" w:bidi="ar-SA"/>
        </w:rPr>
      </w:pPr>
      <w:r>
        <w:rPr>
          <w:rStyle w:val="43"/>
          <w:rFonts w:hint="eastAsia" w:ascii="宋体" w:hAnsi="宋体" w:eastAsia="宋体" w:cs="宋体"/>
          <w:color w:val="auto"/>
          <w:kern w:val="2"/>
          <w:sz w:val="24"/>
          <w:szCs w:val="24"/>
          <w:highlight w:val="none"/>
          <w:u w:val="single"/>
          <w:lang w:val="en-US" w:eastAsia="zh-CN" w:bidi="ar-SA"/>
        </w:rPr>
        <w:t>（3）合同履行期间因市场波动造成主要材料价格涨落幅度超过5%（不含5%），结算时按合同专用条款76.1执行。</w:t>
      </w:r>
    </w:p>
    <w:p>
      <w:pPr>
        <w:spacing w:line="312" w:lineRule="auto"/>
        <w:ind w:right="-20" w:firstLine="360" w:firstLineChars="150"/>
        <w:jc w:val="both"/>
        <w:textAlignment w:val="baseline"/>
        <w:rPr>
          <w:rStyle w:val="43"/>
          <w:rFonts w:hint="eastAsia" w:ascii="宋体" w:hAnsi="宋体" w:eastAsia="宋体" w:cs="宋体"/>
          <w:color w:val="auto"/>
          <w:kern w:val="2"/>
          <w:sz w:val="24"/>
          <w:szCs w:val="24"/>
          <w:highlight w:val="none"/>
          <w:u w:val="single"/>
          <w:lang w:val="en-US" w:eastAsia="zh-CN" w:bidi="ar-SA"/>
        </w:rPr>
      </w:pPr>
      <w:r>
        <w:rPr>
          <w:rStyle w:val="43"/>
          <w:rFonts w:hint="eastAsia" w:ascii="宋体" w:hAnsi="宋体" w:eastAsia="宋体" w:cs="宋体"/>
          <w:color w:val="auto"/>
          <w:kern w:val="2"/>
          <w:sz w:val="24"/>
          <w:szCs w:val="24"/>
          <w:highlight w:val="none"/>
          <w:u w:val="single"/>
          <w:lang w:val="en-US" w:eastAsia="zh-CN" w:bidi="ar-SA"/>
        </w:rPr>
        <w:t>（4）单价措施项目综合单价包干、总价（按系数计算）措施项目费按实结算。</w:t>
      </w:r>
    </w:p>
    <w:p>
      <w:pPr>
        <w:spacing w:line="312" w:lineRule="auto"/>
        <w:ind w:right="-20" w:firstLine="360" w:firstLineChars="150"/>
        <w:jc w:val="both"/>
        <w:textAlignment w:val="baseline"/>
        <w:rPr>
          <w:rStyle w:val="43"/>
          <w:rFonts w:hint="eastAsia" w:ascii="宋体" w:hAnsi="宋体" w:eastAsia="宋体" w:cs="宋体"/>
          <w:color w:val="auto"/>
          <w:kern w:val="2"/>
          <w:sz w:val="24"/>
          <w:szCs w:val="24"/>
          <w:highlight w:val="none"/>
          <w:u w:val="single"/>
          <w:lang w:val="en-US" w:eastAsia="zh-CN" w:bidi="ar-SA"/>
        </w:rPr>
      </w:pPr>
      <w:r>
        <w:rPr>
          <w:rStyle w:val="43"/>
          <w:rFonts w:hint="eastAsia" w:ascii="宋体" w:hAnsi="宋体" w:eastAsia="宋体" w:cs="宋体"/>
          <w:color w:val="auto"/>
          <w:kern w:val="2"/>
          <w:sz w:val="24"/>
          <w:szCs w:val="24"/>
          <w:highlight w:val="none"/>
          <w:u w:val="single"/>
          <w:lang w:val="en-US" w:eastAsia="zh-CN" w:bidi="ar-SA"/>
        </w:rPr>
        <w:t>（5）暂估价是指招标人在工程量清单中提供的用于支付必然发生但暂时不能确定价格的材料、工程设备的单价以及专业工程的金额；在工程招标阶段已经确认的材料、工程设备或专业工程项目，由于标准不明确，无法在当时确定准确价格，为了不影响招标效率，在招标工程量清单中给定了一个暂估价，建设单位在项目实施过程中应对该材料、工程设备或专业工程项目的标准进行明确或深化设计，编制工程预算并报有权审核单位进行审核（具体审核办法参照合同专用条款68.4条款执行）确定工程价款，以此为依据取代暂估价，调整合同价款；该工程项目具体结算方法参照专用条款68.4条款执行。</w:t>
      </w:r>
    </w:p>
    <w:p>
      <w:pPr>
        <w:spacing w:line="312" w:lineRule="auto"/>
        <w:ind w:right="-20" w:firstLine="360" w:firstLineChars="150"/>
        <w:jc w:val="both"/>
        <w:textAlignment w:val="baseline"/>
        <w:rPr>
          <w:rStyle w:val="43"/>
          <w:rFonts w:hint="eastAsia" w:ascii="宋体" w:hAnsi="宋体" w:eastAsia="宋体" w:cs="宋体"/>
          <w:color w:val="auto"/>
          <w:kern w:val="2"/>
          <w:sz w:val="24"/>
          <w:szCs w:val="24"/>
          <w:highlight w:val="none"/>
          <w:u w:val="single"/>
          <w:lang w:val="en-US" w:eastAsia="zh-CN" w:bidi="ar-SA"/>
        </w:rPr>
      </w:pPr>
      <w:r>
        <w:rPr>
          <w:rStyle w:val="43"/>
          <w:rFonts w:hint="eastAsia" w:ascii="宋体" w:hAnsi="宋体" w:eastAsia="宋体" w:cs="宋体"/>
          <w:color w:val="auto"/>
          <w:kern w:val="2"/>
          <w:sz w:val="24"/>
          <w:szCs w:val="24"/>
          <w:highlight w:val="none"/>
          <w:u w:val="single"/>
          <w:lang w:val="en-US" w:eastAsia="zh-CN" w:bidi="ar-SA"/>
        </w:rPr>
        <w:t>（6）项目实施过程中发包人有权对具体实施项目进行调整,并按照上述办法结算。减少的项目无论有无替代，发包人都不予补偿。</w:t>
      </w:r>
    </w:p>
    <w:p>
      <w:pPr>
        <w:spacing w:line="312" w:lineRule="auto"/>
        <w:ind w:right="-20" w:firstLine="360" w:firstLineChars="150"/>
        <w:jc w:val="both"/>
        <w:textAlignment w:val="baseline"/>
        <w:rPr>
          <w:rStyle w:val="43"/>
          <w:rFonts w:hint="eastAsia" w:ascii="宋体" w:hAnsi="宋体" w:eastAsia="宋体" w:cs="宋体"/>
          <w:color w:val="auto"/>
          <w:kern w:val="2"/>
          <w:sz w:val="24"/>
          <w:szCs w:val="24"/>
          <w:highlight w:val="none"/>
          <w:u w:val="single"/>
          <w:lang w:val="en-US" w:eastAsia="zh-CN" w:bidi="ar-SA"/>
        </w:rPr>
      </w:pPr>
      <w:r>
        <w:rPr>
          <w:rStyle w:val="43"/>
          <w:rFonts w:hint="eastAsia" w:ascii="宋体" w:hAnsi="宋体" w:eastAsia="宋体" w:cs="宋体"/>
          <w:color w:val="auto"/>
          <w:kern w:val="2"/>
          <w:sz w:val="24"/>
          <w:szCs w:val="24"/>
          <w:highlight w:val="none"/>
          <w:u w:val="single"/>
          <w:lang w:val="en-US" w:eastAsia="zh-CN" w:bidi="ar-SA"/>
        </w:rPr>
        <w:t>（7）本工程结算造价最终以天河区财政局的审核结果为准。</w:t>
      </w:r>
    </w:p>
    <w:p>
      <w:pPr>
        <w:spacing w:line="312" w:lineRule="auto"/>
        <w:ind w:right="-20" w:firstLine="360" w:firstLineChars="150"/>
        <w:jc w:val="both"/>
        <w:textAlignment w:val="baseline"/>
        <w:rPr>
          <w:rStyle w:val="43"/>
          <w:rFonts w:hint="eastAsia" w:ascii="宋体" w:hAnsi="宋体" w:eastAsia="宋体" w:cs="宋体"/>
          <w:color w:val="auto"/>
          <w:kern w:val="2"/>
          <w:sz w:val="24"/>
          <w:szCs w:val="24"/>
          <w:highlight w:val="none"/>
          <w:u w:val="single"/>
          <w:lang w:val="en-US" w:eastAsia="zh-CN" w:bidi="ar-SA"/>
        </w:rPr>
      </w:pPr>
      <w:r>
        <w:rPr>
          <w:rStyle w:val="43"/>
          <w:rFonts w:hint="eastAsia" w:ascii="宋体" w:hAnsi="宋体" w:eastAsia="宋体" w:cs="宋体"/>
          <w:color w:val="auto"/>
          <w:kern w:val="2"/>
          <w:sz w:val="24"/>
          <w:szCs w:val="24"/>
          <w:highlight w:val="none"/>
          <w:u w:val="single"/>
          <w:lang w:val="en-US" w:eastAsia="zh-CN" w:bidi="ar-SA"/>
        </w:rPr>
        <w:t>（8）依据穗建造价【2013】29号文，材料检验试验费不纳入建筑安装工程造价，建设单位为委托工程质量检测的主体。</w:t>
      </w:r>
    </w:p>
    <w:p>
      <w:pPr>
        <w:spacing w:line="312" w:lineRule="auto"/>
        <w:ind w:firstLine="354" w:firstLineChars="147"/>
        <w:jc w:val="both"/>
        <w:textAlignment w:val="baseline"/>
        <w:rPr>
          <w:rStyle w:val="43"/>
          <w:rFonts w:hint="eastAsia" w:ascii="宋体" w:hAnsi="宋体" w:eastAsia="宋体" w:cs="宋体"/>
          <w:b/>
          <w:bCs/>
          <w:color w:val="auto"/>
          <w:kern w:val="2"/>
          <w:sz w:val="24"/>
          <w:szCs w:val="24"/>
          <w:highlight w:val="none"/>
          <w:lang w:val="en-US" w:eastAsia="zh-CN" w:bidi="ar-SA"/>
        </w:rPr>
      </w:pPr>
      <w:r>
        <w:rPr>
          <w:rStyle w:val="43"/>
          <w:rFonts w:hint="eastAsia" w:ascii="宋体" w:hAnsi="宋体" w:eastAsia="宋体" w:cs="宋体"/>
          <w:b/>
          <w:bCs/>
          <w:color w:val="auto"/>
          <w:kern w:val="2"/>
          <w:sz w:val="24"/>
          <w:szCs w:val="24"/>
          <w:highlight w:val="none"/>
          <w:lang w:val="en-US" w:eastAsia="zh-CN" w:bidi="ar-SA"/>
        </w:rPr>
        <w:t>承包人和发包人一致同意通用条款第72条、第73条不适用，代之以：</w:t>
      </w:r>
    </w:p>
    <w:p>
      <w:pPr>
        <w:spacing w:line="312" w:lineRule="auto"/>
        <w:ind w:right="-2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72、73 工程设计变更和工程量偏差事件引起的价款调整，按专用条款68.4条执行。</w:t>
      </w:r>
    </w:p>
    <w:p>
      <w:pPr>
        <w:pStyle w:val="11"/>
        <w:tabs>
          <w:tab w:val="left" w:pos="540"/>
        </w:tabs>
        <w:adjustRightInd w:val="0"/>
        <w:snapToGrid w:val="0"/>
        <w:spacing w:before="240" w:beforeLines="100" w:line="360" w:lineRule="auto"/>
        <w:ind w:right="-20"/>
        <w:jc w:val="both"/>
        <w:textAlignment w:val="baseline"/>
        <w:outlineLvl w:val="2"/>
        <w:rPr>
          <w:rStyle w:val="25"/>
          <w:rFonts w:hint="eastAsia" w:ascii="宋体" w:hAnsi="宋体" w:eastAsia="宋体" w:cs="宋体"/>
          <w:b/>
          <w:bCs/>
          <w:color w:val="000000"/>
          <w:kern w:val="2"/>
          <w:sz w:val="24"/>
          <w:szCs w:val="24"/>
          <w:highlight w:val="none"/>
          <w:lang w:val="en-US" w:eastAsia="zh-CN" w:bidi="ar-SA"/>
        </w:rPr>
      </w:pPr>
      <w:bookmarkStart w:id="204" w:name="_Toc17070"/>
      <w:bookmarkStart w:id="205" w:name="_Toc21384"/>
      <w:bookmarkStart w:id="206" w:name="_Toc10653"/>
      <w:bookmarkStart w:id="207" w:name="_Toc29041"/>
      <w:r>
        <w:rPr>
          <w:rStyle w:val="25"/>
          <w:rFonts w:hint="eastAsia" w:ascii="宋体" w:hAnsi="宋体" w:eastAsia="宋体" w:cs="宋体"/>
          <w:b/>
          <w:bCs/>
          <w:color w:val="000000"/>
          <w:kern w:val="2"/>
          <w:sz w:val="24"/>
          <w:szCs w:val="24"/>
          <w:highlight w:val="none"/>
          <w:lang w:val="en-US" w:eastAsia="zh-CN" w:bidi="ar-SA"/>
        </w:rPr>
        <w:t>74 费用索赔事件：</w:t>
      </w:r>
      <w:bookmarkEnd w:id="204"/>
      <w:bookmarkEnd w:id="205"/>
      <w:bookmarkEnd w:id="206"/>
      <w:bookmarkEnd w:id="207"/>
    </w:p>
    <w:p>
      <w:pPr>
        <w:spacing w:line="312" w:lineRule="auto"/>
        <w:ind w:right="-20" w:firstLine="360" w:firstLineChars="15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74.7 承包人未能按合同约定履行自己的各项义务或发生错误，发包人按如下约定向承包人索赔：</w:t>
      </w:r>
    </w:p>
    <w:p>
      <w:pPr>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（1）发包人将自己的索赔意向书面通知承包人，并要求承包人在限期内纠正自己的违约行为，否则，发包人将考虑扣取履约保证金或者启用履约保函。</w:t>
      </w:r>
    </w:p>
    <w:p>
      <w:pPr>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（2）限期届满，承包人没有采取纠正行为或者纠正行为不能使发包人满意的，发包人将索赔意向书面通知专用条款第28.1款约定的保函出函银行。</w:t>
      </w:r>
    </w:p>
    <w:p>
      <w:pPr>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3）发包人向银行发出书面索赔意向七天内，承包人依然没有用实际行动纠正自己的违约行为或者纠正行为不能使发包人满意或者纠正行为无法弥补发包人的损失，则发包人直接扣取履约保证金的一部分或者全部，或者直接向银行发出正式书面索赔通知。</w:t>
      </w:r>
    </w:p>
    <w:p>
      <w:pPr>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4）如果通过扣取履约保证金和向银行索赔的方式依然不能完全弥补发包人的损失，则发包人有权在应支付给承包人的工程款中直接扣取。同时发包人有权要求承包人在规定时间内按专用条款第28.9和28.10款的约定向发包人补充提交履约保函和履约保证金。</w:t>
      </w:r>
    </w:p>
    <w:p>
      <w:pPr>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5）如果通过扣取履约保证金和向银行索赔以及直接扣取工程款等方式依然不能完全弥补发包人损失的，承包人必须在发包人规定的时间内以现金形式支付剩余索赔额。否则，发包人将按专用条款第86条的约定处理。</w:t>
      </w:r>
    </w:p>
    <w:p>
      <w:pPr>
        <w:spacing w:line="312" w:lineRule="auto"/>
        <w:ind w:right="-20" w:firstLine="482" w:firstLineChars="200"/>
        <w:jc w:val="both"/>
        <w:textAlignment w:val="baseline"/>
        <w:rPr>
          <w:rStyle w:val="43"/>
          <w:rFonts w:hint="eastAsia" w:ascii="宋体" w:hAnsi="宋体" w:eastAsia="宋体" w:cs="宋体"/>
          <w:b/>
          <w:bCs/>
          <w:color w:val="auto"/>
          <w:kern w:val="2"/>
          <w:sz w:val="24"/>
          <w:szCs w:val="24"/>
          <w:highlight w:val="none"/>
          <w:lang w:val="en-US" w:eastAsia="zh-CN" w:bidi="ar-SA"/>
        </w:rPr>
      </w:pPr>
      <w:r>
        <w:rPr>
          <w:rStyle w:val="43"/>
          <w:rFonts w:hint="eastAsia" w:ascii="宋体" w:hAnsi="宋体" w:eastAsia="宋体" w:cs="宋体"/>
          <w:b/>
          <w:bCs/>
          <w:color w:val="auto"/>
          <w:kern w:val="2"/>
          <w:sz w:val="24"/>
          <w:szCs w:val="24"/>
          <w:highlight w:val="none"/>
          <w:lang w:val="en-US" w:eastAsia="zh-CN" w:bidi="ar-SA"/>
        </w:rPr>
        <w:t>承包人与发包人一致同意增加74.9：</w:t>
      </w:r>
    </w:p>
    <w:p>
      <w:pPr>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74.9 在任何索赔期间，不论索赔是否有据，均不能免除承包人按合同约定履行合同义务。承包人不得以此为借口，拒不履行或拖延合同的履行；否则发包人有权终止合同，并要求承包人赔偿由此导致的发包人的损失。</w:t>
      </w:r>
    </w:p>
    <w:p>
      <w:pPr>
        <w:pStyle w:val="11"/>
        <w:tabs>
          <w:tab w:val="left" w:pos="540"/>
        </w:tabs>
        <w:adjustRightInd w:val="0"/>
        <w:snapToGrid w:val="0"/>
        <w:spacing w:before="240" w:beforeLines="100" w:line="360" w:lineRule="auto"/>
        <w:ind w:right="-20"/>
        <w:jc w:val="both"/>
        <w:textAlignment w:val="baseline"/>
        <w:outlineLvl w:val="2"/>
        <w:rPr>
          <w:rStyle w:val="25"/>
          <w:rFonts w:hint="eastAsia" w:ascii="宋体" w:hAnsi="宋体" w:eastAsia="宋体" w:cs="宋体"/>
          <w:b/>
          <w:bCs/>
          <w:color w:val="000000"/>
          <w:kern w:val="2"/>
          <w:sz w:val="24"/>
          <w:szCs w:val="24"/>
          <w:highlight w:val="none"/>
          <w:lang w:val="en-US" w:eastAsia="zh-CN" w:bidi="ar-SA"/>
        </w:rPr>
      </w:pPr>
      <w:bookmarkStart w:id="208" w:name="_Toc4614"/>
      <w:bookmarkStart w:id="209" w:name="_Toc28744"/>
      <w:bookmarkStart w:id="210" w:name="_Toc23930"/>
      <w:bookmarkStart w:id="211" w:name="_Toc2733"/>
      <w:r>
        <w:rPr>
          <w:rStyle w:val="25"/>
          <w:rFonts w:hint="eastAsia" w:ascii="宋体" w:hAnsi="宋体" w:eastAsia="宋体" w:cs="宋体"/>
          <w:b/>
          <w:bCs/>
          <w:color w:val="000000"/>
          <w:kern w:val="2"/>
          <w:sz w:val="24"/>
          <w:szCs w:val="24"/>
          <w:highlight w:val="none"/>
          <w:lang w:val="en-US" w:eastAsia="zh-CN" w:bidi="ar-SA"/>
        </w:rPr>
        <w:t>75 现场签证事件</w:t>
      </w:r>
      <w:bookmarkEnd w:id="208"/>
      <w:bookmarkEnd w:id="209"/>
      <w:bookmarkEnd w:id="210"/>
      <w:bookmarkEnd w:id="211"/>
    </w:p>
    <w:p>
      <w:pPr>
        <w:spacing w:line="312" w:lineRule="auto"/>
        <w:ind w:right="-20" w:firstLine="470" w:firstLineChars="196"/>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75.3 现场签证报告确认约定的时间：按通用条款执行。</w:t>
      </w:r>
    </w:p>
    <w:p>
      <w:pPr>
        <w:spacing w:line="312" w:lineRule="auto"/>
        <w:ind w:right="-20" w:firstLine="470" w:firstLineChars="196"/>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75.7 现场签证引起合同价款调整的，按68.4条款执行。</w:t>
      </w:r>
    </w:p>
    <w:p>
      <w:pPr>
        <w:pStyle w:val="11"/>
        <w:tabs>
          <w:tab w:val="left" w:pos="540"/>
        </w:tabs>
        <w:adjustRightInd w:val="0"/>
        <w:snapToGrid w:val="0"/>
        <w:spacing w:before="240" w:beforeLines="100" w:line="360" w:lineRule="auto"/>
        <w:ind w:right="-20"/>
        <w:jc w:val="both"/>
        <w:textAlignment w:val="baseline"/>
        <w:outlineLvl w:val="2"/>
        <w:rPr>
          <w:rStyle w:val="25"/>
          <w:rFonts w:hint="eastAsia" w:ascii="宋体" w:hAnsi="宋体" w:eastAsia="宋体" w:cs="宋体"/>
          <w:b/>
          <w:bCs/>
          <w:color w:val="000000"/>
          <w:kern w:val="2"/>
          <w:sz w:val="24"/>
          <w:szCs w:val="24"/>
          <w:highlight w:val="none"/>
          <w:lang w:val="en-US" w:eastAsia="zh-CN" w:bidi="ar-SA"/>
        </w:rPr>
      </w:pPr>
      <w:bookmarkStart w:id="212" w:name="_Toc15805"/>
      <w:bookmarkStart w:id="213" w:name="_Toc4020"/>
      <w:bookmarkStart w:id="214" w:name="_Toc1413"/>
      <w:bookmarkStart w:id="215" w:name="_Toc7992"/>
      <w:r>
        <w:rPr>
          <w:rStyle w:val="25"/>
          <w:rFonts w:hint="eastAsia" w:ascii="宋体" w:hAnsi="宋体" w:eastAsia="宋体" w:cs="宋体"/>
          <w:b/>
          <w:bCs/>
          <w:color w:val="000000"/>
          <w:kern w:val="2"/>
          <w:sz w:val="24"/>
          <w:szCs w:val="24"/>
          <w:highlight w:val="none"/>
          <w:lang w:val="en-US" w:eastAsia="zh-CN" w:bidi="ar-SA"/>
        </w:rPr>
        <w:t>76 物价涨落事件</w:t>
      </w:r>
      <w:bookmarkEnd w:id="212"/>
      <w:bookmarkEnd w:id="213"/>
      <w:bookmarkEnd w:id="214"/>
      <w:bookmarkEnd w:id="215"/>
    </w:p>
    <w:p>
      <w:pPr>
        <w:tabs>
          <w:tab w:val="left" w:pos="1240"/>
        </w:tabs>
        <w:spacing w:line="312" w:lineRule="auto"/>
        <w:ind w:right="-20"/>
        <w:jc w:val="both"/>
        <w:textAlignment w:val="baseline"/>
        <w:rPr>
          <w:rStyle w:val="43"/>
          <w:rFonts w:hint="eastAsia" w:ascii="宋体" w:hAnsi="宋体" w:eastAsia="宋体" w:cs="宋体"/>
          <w:b/>
          <w:bCs/>
          <w:color w:val="auto"/>
          <w:kern w:val="2"/>
          <w:sz w:val="24"/>
          <w:szCs w:val="24"/>
          <w:highlight w:val="none"/>
          <w:lang w:val="en-US" w:eastAsia="zh-CN" w:bidi="ar-SA"/>
        </w:rPr>
      </w:pPr>
      <w:r>
        <w:rPr>
          <w:rStyle w:val="43"/>
          <w:rFonts w:hint="eastAsia" w:ascii="宋体" w:hAnsi="宋体" w:eastAsia="宋体" w:cs="宋体"/>
          <w:b/>
          <w:bCs/>
          <w:color w:val="auto"/>
          <w:kern w:val="2"/>
          <w:sz w:val="24"/>
          <w:szCs w:val="24"/>
          <w:highlight w:val="none"/>
          <w:lang w:val="en-US" w:eastAsia="zh-CN" w:bidi="ar-SA"/>
        </w:rPr>
        <w:t>承包人和发包人一致同意通用条款第76.1条不适用，代之以：</w:t>
      </w:r>
    </w:p>
    <w:p>
      <w:pPr>
        <w:tabs>
          <w:tab w:val="left" w:pos="1240"/>
        </w:tabs>
        <w:spacing w:line="312" w:lineRule="auto"/>
        <w:ind w:right="-20" w:firstLine="470" w:firstLineChars="196"/>
        <w:jc w:val="both"/>
        <w:textAlignment w:val="baseline"/>
        <w:rPr>
          <w:rStyle w:val="43"/>
          <w:rFonts w:hint="eastAsia" w:ascii="宋体" w:hAnsi="宋体" w:eastAsia="宋体" w:cs="宋体"/>
          <w:color w:val="auto"/>
          <w:kern w:val="2"/>
          <w:sz w:val="24"/>
          <w:szCs w:val="24"/>
          <w:highlight w:val="none"/>
          <w:u w:val="single"/>
          <w:lang w:val="en-US" w:eastAsia="zh-CN" w:bidi="ar-SA"/>
        </w:rPr>
      </w:pPr>
      <w:r>
        <w:rPr>
          <w:rStyle w:val="43"/>
          <w:rFonts w:hint="eastAsia" w:ascii="宋体" w:hAnsi="宋体" w:eastAsia="宋体" w:cs="宋体"/>
          <w:color w:val="auto"/>
          <w:kern w:val="2"/>
          <w:sz w:val="24"/>
          <w:szCs w:val="24"/>
          <w:highlight w:val="none"/>
          <w:u w:val="single"/>
          <w:lang w:val="en-US" w:eastAsia="zh-CN" w:bidi="ar-SA"/>
        </w:rPr>
        <w:t>76.1物价涨落调整办法</w:t>
      </w:r>
    </w:p>
    <w:p>
      <w:pPr>
        <w:tabs>
          <w:tab w:val="left" w:pos="1240"/>
        </w:tabs>
        <w:spacing w:line="312" w:lineRule="auto"/>
        <w:ind w:right="-20" w:firstLine="470" w:firstLineChars="196"/>
        <w:rPr>
          <w:rStyle w:val="43"/>
          <w:rFonts w:hint="eastAsia" w:ascii="宋体" w:hAnsi="宋体" w:eastAsia="宋体" w:cs="宋体"/>
          <w:color w:val="auto"/>
          <w:kern w:val="2"/>
          <w:sz w:val="24"/>
          <w:szCs w:val="24"/>
          <w:highlight w:val="none"/>
          <w:u w:val="single"/>
          <w:lang w:val="en-US" w:eastAsia="zh-CN" w:bidi="ar-SA"/>
        </w:rPr>
      </w:pPr>
      <w:r>
        <w:rPr>
          <w:rStyle w:val="43"/>
          <w:rFonts w:hint="eastAsia" w:ascii="宋体" w:hAnsi="宋体" w:eastAsia="宋体" w:cs="宋体"/>
          <w:color w:val="auto"/>
          <w:kern w:val="2"/>
          <w:sz w:val="24"/>
          <w:szCs w:val="24"/>
          <w:highlight w:val="none"/>
          <w:u w:val="single"/>
          <w:lang w:val="en-US" w:eastAsia="zh-CN" w:bidi="ar-SA"/>
        </w:rPr>
        <w:t>（1）因市场波动造成</w:t>
      </w:r>
      <w:r>
        <w:rPr>
          <w:rStyle w:val="43"/>
          <w:rFonts w:hint="eastAsia" w:ascii="宋体" w:hAnsi="宋体" w:eastAsia="宋体" w:cs="宋体"/>
          <w:color w:val="auto"/>
          <w:sz w:val="24"/>
          <w:szCs w:val="24"/>
          <w:highlight w:val="none"/>
          <w:u w:val="single"/>
        </w:rPr>
        <w:t>主要材料价格涨落</w:t>
      </w:r>
      <w:r>
        <w:rPr>
          <w:rStyle w:val="43"/>
          <w:rFonts w:hint="eastAsia" w:ascii="宋体" w:hAnsi="宋体" w:eastAsia="宋体" w:cs="宋体"/>
          <w:color w:val="auto"/>
          <w:sz w:val="24"/>
          <w:szCs w:val="24"/>
          <w:highlight w:val="none"/>
          <w:u w:val="single"/>
          <w:lang w:eastAsia="zh-CN"/>
        </w:rPr>
        <w:t>，</w:t>
      </w:r>
      <w:r>
        <w:rPr>
          <w:rStyle w:val="43"/>
          <w:rFonts w:hint="eastAsia" w:ascii="宋体" w:hAnsi="宋体" w:eastAsia="宋体" w:cs="宋体"/>
          <w:color w:val="auto"/>
          <w:kern w:val="2"/>
          <w:sz w:val="24"/>
          <w:szCs w:val="24"/>
          <w:highlight w:val="none"/>
          <w:u w:val="single"/>
          <w:lang w:val="en-US" w:eastAsia="zh-CN" w:bidi="ar-SA"/>
        </w:rPr>
        <w:t>依据《广州市建设工程造价管理站关于发布××年××月份广州市建设工程价格信息及有关计价办法的通知》进行价格调整。</w:t>
      </w:r>
      <w:r>
        <w:rPr>
          <w:rStyle w:val="43"/>
          <w:rFonts w:hint="eastAsia" w:ascii="宋体" w:hAnsi="宋体" w:eastAsia="宋体" w:cs="宋体"/>
          <w:color w:val="auto"/>
          <w:sz w:val="24"/>
          <w:szCs w:val="24"/>
          <w:highlight w:val="none"/>
          <w:u w:val="single"/>
        </w:rPr>
        <w:t>主要材料为：</w:t>
      </w:r>
      <w:r>
        <w:rPr>
          <w:rStyle w:val="43"/>
          <w:rFonts w:hint="eastAsia" w:ascii="宋体" w:hAnsi="宋体" w:eastAsia="宋体" w:cs="宋体"/>
          <w:color w:val="auto"/>
          <w:kern w:val="2"/>
          <w:sz w:val="24"/>
          <w:szCs w:val="24"/>
          <w:highlight w:val="none"/>
          <w:u w:val="single"/>
          <w:lang w:val="en-US" w:eastAsia="zh-CN" w:bidi="ar-SA"/>
        </w:rPr>
        <w:t>钢筋、预拌砂浆、水泥、商品砼、电线、电缆、铝型材、钢材、玻璃。</w:t>
      </w:r>
    </w:p>
    <w:p>
      <w:pPr>
        <w:tabs>
          <w:tab w:val="left" w:pos="1240"/>
        </w:tabs>
        <w:spacing w:line="312" w:lineRule="auto"/>
        <w:ind w:right="-20" w:firstLine="470" w:firstLineChars="196"/>
        <w:jc w:val="both"/>
        <w:textAlignment w:val="baseline"/>
        <w:rPr>
          <w:rStyle w:val="43"/>
          <w:rFonts w:hint="eastAsia" w:ascii="宋体" w:hAnsi="宋体" w:eastAsia="宋体" w:cs="宋体"/>
          <w:color w:val="auto"/>
          <w:kern w:val="2"/>
          <w:sz w:val="24"/>
          <w:szCs w:val="24"/>
          <w:highlight w:val="none"/>
          <w:u w:val="single"/>
          <w:lang w:val="en-US" w:eastAsia="zh-CN" w:bidi="ar-SA"/>
        </w:rPr>
      </w:pPr>
      <w:r>
        <w:rPr>
          <w:rStyle w:val="43"/>
          <w:rFonts w:hint="eastAsia" w:ascii="宋体" w:hAnsi="宋体" w:eastAsia="宋体" w:cs="宋体"/>
          <w:color w:val="auto"/>
          <w:kern w:val="2"/>
          <w:sz w:val="24"/>
          <w:szCs w:val="24"/>
          <w:highlight w:val="none"/>
          <w:u w:val="single"/>
          <w:lang w:val="en-US" w:eastAsia="zh-CN" w:bidi="ar-SA"/>
        </w:rPr>
        <w:t>（2）关于基准价格的约定：基准价格为审定概算（或预算）价时执行的《广州市建设工程造价管理站关于发布××年××月广州市建设工程价格信息及有关计价办法的通知》的人工、材料、工程设备和机械台班价格。</w:t>
      </w:r>
    </w:p>
    <w:p>
      <w:pPr>
        <w:tabs>
          <w:tab w:val="left" w:pos="1240"/>
        </w:tabs>
        <w:spacing w:line="312" w:lineRule="auto"/>
        <w:ind w:right="-20" w:firstLine="470" w:firstLineChars="196"/>
        <w:jc w:val="both"/>
        <w:textAlignment w:val="baseline"/>
        <w:rPr>
          <w:rStyle w:val="43"/>
          <w:rFonts w:hint="eastAsia" w:ascii="宋体" w:hAnsi="宋体" w:eastAsia="宋体" w:cs="宋体"/>
          <w:color w:val="auto"/>
          <w:kern w:val="2"/>
          <w:sz w:val="24"/>
          <w:szCs w:val="24"/>
          <w:highlight w:val="none"/>
          <w:u w:val="single"/>
          <w:lang w:val="en-US" w:eastAsia="zh-CN" w:bidi="ar-SA"/>
        </w:rPr>
      </w:pPr>
      <w:r>
        <w:rPr>
          <w:rStyle w:val="43"/>
          <w:rFonts w:hint="eastAsia" w:ascii="宋体" w:hAnsi="宋体" w:eastAsia="宋体" w:cs="宋体"/>
          <w:color w:val="auto"/>
          <w:kern w:val="2"/>
          <w:sz w:val="24"/>
          <w:szCs w:val="24"/>
          <w:highlight w:val="none"/>
          <w:u w:val="single"/>
          <w:lang w:val="en-US" w:eastAsia="zh-CN" w:bidi="ar-SA"/>
        </w:rPr>
        <w:t>（3）调整范围：合同履行期间材料价格涨幅以基准价格为基础超过5%时（不含5%），其超过5%以上部分据实调增；跌幅以基准价格为基础超过5%时（不含5%），其超过5%以上部分据实调减。</w:t>
      </w:r>
    </w:p>
    <w:p>
      <w:pPr>
        <w:tabs>
          <w:tab w:val="left" w:pos="1240"/>
        </w:tabs>
        <w:spacing w:line="312" w:lineRule="auto"/>
        <w:ind w:right="-20" w:firstLine="470" w:firstLineChars="196"/>
        <w:jc w:val="both"/>
        <w:textAlignment w:val="baseline"/>
        <w:rPr>
          <w:rStyle w:val="43"/>
          <w:rFonts w:hint="eastAsia" w:ascii="宋体" w:hAnsi="宋体" w:eastAsia="宋体" w:cs="宋体"/>
          <w:color w:val="auto"/>
          <w:kern w:val="2"/>
          <w:sz w:val="24"/>
          <w:szCs w:val="24"/>
          <w:highlight w:val="none"/>
          <w:u w:val="single"/>
          <w:lang w:val="en-US" w:eastAsia="zh-CN" w:bidi="ar-SA"/>
        </w:rPr>
      </w:pPr>
      <w:r>
        <w:rPr>
          <w:rStyle w:val="43"/>
          <w:rFonts w:hint="eastAsia" w:ascii="宋体" w:hAnsi="宋体" w:eastAsia="宋体" w:cs="宋体"/>
          <w:color w:val="auto"/>
          <w:kern w:val="2"/>
          <w:sz w:val="24"/>
          <w:szCs w:val="24"/>
          <w:highlight w:val="none"/>
          <w:u w:val="single"/>
          <w:lang w:val="en-US" w:eastAsia="zh-CN" w:bidi="ar-SA"/>
        </w:rPr>
        <w:t>（4）调整数量：可调整材料的数量，按施工期当月完成的且经监理单位、建设单位审批确认的形象进度及已完工程量清单中的工程数量对应的材料的消耗量。</w:t>
      </w:r>
    </w:p>
    <w:p>
      <w:pPr>
        <w:tabs>
          <w:tab w:val="left" w:pos="1240"/>
        </w:tabs>
        <w:spacing w:line="312" w:lineRule="auto"/>
        <w:ind w:right="-20" w:firstLine="470" w:firstLineChars="196"/>
        <w:jc w:val="both"/>
        <w:textAlignment w:val="baseline"/>
        <w:rPr>
          <w:rStyle w:val="43"/>
          <w:rFonts w:hint="eastAsia" w:ascii="宋体" w:hAnsi="宋体" w:eastAsia="宋体" w:cs="宋体"/>
          <w:color w:val="auto"/>
          <w:kern w:val="2"/>
          <w:sz w:val="24"/>
          <w:szCs w:val="24"/>
          <w:highlight w:val="none"/>
          <w:u w:val="single"/>
          <w:lang w:val="en-US" w:eastAsia="zh-CN" w:bidi="ar-SA"/>
        </w:rPr>
      </w:pPr>
      <w:r>
        <w:rPr>
          <w:rStyle w:val="43"/>
          <w:rFonts w:hint="eastAsia" w:ascii="宋体" w:hAnsi="宋体" w:eastAsia="宋体" w:cs="宋体"/>
          <w:color w:val="auto"/>
          <w:kern w:val="2"/>
          <w:sz w:val="24"/>
          <w:szCs w:val="24"/>
          <w:highlight w:val="none"/>
          <w:u w:val="single"/>
          <w:lang w:val="en-US" w:eastAsia="zh-CN" w:bidi="ar-SA"/>
        </w:rPr>
        <w:t>（5）调整方法：</w:t>
      </w:r>
    </w:p>
    <w:p>
      <w:pPr>
        <w:tabs>
          <w:tab w:val="left" w:pos="1240"/>
        </w:tabs>
        <w:spacing w:line="312" w:lineRule="auto"/>
        <w:ind w:right="-20" w:firstLine="470" w:firstLineChars="196"/>
        <w:jc w:val="both"/>
        <w:textAlignment w:val="baseline"/>
        <w:rPr>
          <w:rStyle w:val="43"/>
          <w:rFonts w:hint="eastAsia" w:ascii="宋体" w:hAnsi="宋体" w:eastAsia="宋体" w:cs="宋体"/>
          <w:color w:val="auto"/>
          <w:kern w:val="2"/>
          <w:sz w:val="24"/>
          <w:szCs w:val="24"/>
          <w:highlight w:val="none"/>
          <w:u w:val="single"/>
          <w:lang w:val="en-US" w:eastAsia="zh-CN" w:bidi="ar-SA"/>
        </w:rPr>
      </w:pPr>
      <w:r>
        <w:rPr>
          <w:rStyle w:val="43"/>
          <w:rFonts w:hint="eastAsia" w:ascii="宋体" w:hAnsi="宋体" w:eastAsia="宋体" w:cs="宋体"/>
          <w:color w:val="auto"/>
          <w:kern w:val="2"/>
          <w:sz w:val="24"/>
          <w:szCs w:val="24"/>
          <w:highlight w:val="none"/>
          <w:u w:val="single"/>
          <w:lang w:val="en-US" w:eastAsia="zh-CN" w:bidi="ar-SA"/>
        </w:rPr>
        <w:t>1）当价格上涨时，（Mn-Mo）/Mo＞5%</w:t>
      </w:r>
    </w:p>
    <w:p>
      <w:pPr>
        <w:tabs>
          <w:tab w:val="left" w:pos="1240"/>
        </w:tabs>
        <w:spacing w:line="312" w:lineRule="auto"/>
        <w:ind w:right="-20" w:firstLine="470" w:firstLineChars="196"/>
        <w:jc w:val="both"/>
        <w:textAlignment w:val="baseline"/>
        <w:rPr>
          <w:rStyle w:val="43"/>
          <w:rFonts w:hint="eastAsia" w:ascii="宋体" w:hAnsi="宋体" w:eastAsia="宋体" w:cs="宋体"/>
          <w:color w:val="auto"/>
          <w:kern w:val="2"/>
          <w:sz w:val="24"/>
          <w:szCs w:val="24"/>
          <w:highlight w:val="none"/>
          <w:u w:val="single"/>
          <w:lang w:val="en-US" w:eastAsia="zh-CN" w:bidi="ar-SA"/>
        </w:rPr>
      </w:pPr>
      <w:r>
        <w:rPr>
          <w:rStyle w:val="43"/>
          <w:rFonts w:hint="eastAsia" w:ascii="宋体" w:hAnsi="宋体" w:eastAsia="宋体" w:cs="宋体"/>
          <w:color w:val="auto"/>
          <w:kern w:val="2"/>
          <w:sz w:val="24"/>
          <w:szCs w:val="24"/>
          <w:highlight w:val="none"/>
          <w:u w:val="single"/>
          <w:lang w:val="en-US" w:eastAsia="zh-CN" w:bidi="ar-SA"/>
        </w:rPr>
        <w:t>C=Q×（Mn-Mo×1.05）</w:t>
      </w:r>
    </w:p>
    <w:p>
      <w:pPr>
        <w:tabs>
          <w:tab w:val="left" w:pos="1240"/>
        </w:tabs>
        <w:spacing w:line="312" w:lineRule="auto"/>
        <w:ind w:right="-20" w:firstLine="470" w:firstLineChars="196"/>
        <w:jc w:val="both"/>
        <w:textAlignment w:val="baseline"/>
        <w:rPr>
          <w:rStyle w:val="43"/>
          <w:rFonts w:hint="eastAsia" w:ascii="宋体" w:hAnsi="宋体" w:eastAsia="宋体" w:cs="宋体"/>
          <w:color w:val="auto"/>
          <w:kern w:val="2"/>
          <w:sz w:val="24"/>
          <w:szCs w:val="24"/>
          <w:highlight w:val="none"/>
          <w:u w:val="single"/>
          <w:lang w:val="en-US" w:eastAsia="zh-CN" w:bidi="ar-SA"/>
        </w:rPr>
      </w:pPr>
      <w:r>
        <w:rPr>
          <w:rStyle w:val="43"/>
          <w:rFonts w:hint="eastAsia" w:ascii="宋体" w:hAnsi="宋体" w:eastAsia="宋体" w:cs="宋体"/>
          <w:color w:val="auto"/>
          <w:kern w:val="2"/>
          <w:sz w:val="24"/>
          <w:szCs w:val="24"/>
          <w:highlight w:val="none"/>
          <w:u w:val="single"/>
          <w:lang w:val="en-US" w:eastAsia="zh-CN" w:bidi="ar-SA"/>
        </w:rPr>
        <w:t>2）当价格下降时，（Mn-Mo）/Mo＜-5%</w:t>
      </w:r>
    </w:p>
    <w:p>
      <w:pPr>
        <w:tabs>
          <w:tab w:val="left" w:pos="1240"/>
        </w:tabs>
        <w:spacing w:line="312" w:lineRule="auto"/>
        <w:ind w:right="-20" w:firstLine="470" w:firstLineChars="196"/>
        <w:jc w:val="both"/>
        <w:textAlignment w:val="baseline"/>
        <w:rPr>
          <w:rStyle w:val="43"/>
          <w:rFonts w:hint="eastAsia" w:ascii="宋体" w:hAnsi="宋体" w:eastAsia="宋体" w:cs="宋体"/>
          <w:color w:val="auto"/>
          <w:kern w:val="2"/>
          <w:sz w:val="24"/>
          <w:szCs w:val="24"/>
          <w:highlight w:val="none"/>
          <w:u w:val="single"/>
          <w:lang w:val="en-US" w:eastAsia="zh-CN" w:bidi="ar-SA"/>
        </w:rPr>
      </w:pPr>
      <w:r>
        <w:rPr>
          <w:rStyle w:val="43"/>
          <w:rFonts w:hint="eastAsia" w:ascii="宋体" w:hAnsi="宋体" w:eastAsia="宋体" w:cs="宋体"/>
          <w:color w:val="auto"/>
          <w:kern w:val="2"/>
          <w:sz w:val="24"/>
          <w:szCs w:val="24"/>
          <w:highlight w:val="none"/>
          <w:u w:val="single"/>
          <w:lang w:val="en-US" w:eastAsia="zh-CN" w:bidi="ar-SA"/>
        </w:rPr>
        <w:t>C=Q×（Mn-Mo×0.95）</w:t>
      </w:r>
    </w:p>
    <w:p>
      <w:pPr>
        <w:tabs>
          <w:tab w:val="left" w:pos="1240"/>
        </w:tabs>
        <w:spacing w:line="312" w:lineRule="auto"/>
        <w:ind w:right="-20" w:firstLine="470" w:firstLineChars="196"/>
        <w:jc w:val="both"/>
        <w:textAlignment w:val="baseline"/>
        <w:rPr>
          <w:rStyle w:val="43"/>
          <w:rFonts w:hint="eastAsia" w:ascii="宋体" w:hAnsi="宋体" w:eastAsia="宋体" w:cs="宋体"/>
          <w:color w:val="auto"/>
          <w:kern w:val="2"/>
          <w:sz w:val="24"/>
          <w:szCs w:val="24"/>
          <w:highlight w:val="none"/>
          <w:u w:val="single"/>
          <w:lang w:val="en-US" w:eastAsia="zh-CN" w:bidi="ar-SA"/>
        </w:rPr>
      </w:pPr>
      <w:r>
        <w:rPr>
          <w:rStyle w:val="43"/>
          <w:rFonts w:hint="eastAsia" w:ascii="宋体" w:hAnsi="宋体" w:eastAsia="宋体" w:cs="宋体"/>
          <w:color w:val="auto"/>
          <w:kern w:val="2"/>
          <w:sz w:val="24"/>
          <w:szCs w:val="24"/>
          <w:highlight w:val="none"/>
          <w:u w:val="single"/>
          <w:lang w:val="en-US" w:eastAsia="zh-CN" w:bidi="ar-SA"/>
        </w:rPr>
        <w:t>C  表示投标单价中材料需调整金额</w:t>
      </w:r>
    </w:p>
    <w:p>
      <w:pPr>
        <w:tabs>
          <w:tab w:val="left" w:pos="1240"/>
        </w:tabs>
        <w:spacing w:line="312" w:lineRule="auto"/>
        <w:ind w:right="-20" w:firstLine="470" w:firstLineChars="196"/>
        <w:jc w:val="both"/>
        <w:textAlignment w:val="baseline"/>
        <w:rPr>
          <w:rStyle w:val="43"/>
          <w:rFonts w:hint="eastAsia" w:ascii="宋体" w:hAnsi="宋体" w:eastAsia="宋体" w:cs="宋体"/>
          <w:color w:val="auto"/>
          <w:kern w:val="2"/>
          <w:sz w:val="24"/>
          <w:szCs w:val="24"/>
          <w:highlight w:val="none"/>
          <w:u w:val="single"/>
          <w:lang w:val="en-US" w:eastAsia="zh-CN" w:bidi="ar-SA"/>
        </w:rPr>
      </w:pPr>
      <w:r>
        <w:rPr>
          <w:rStyle w:val="43"/>
          <w:rFonts w:hint="eastAsia" w:ascii="宋体" w:hAnsi="宋体" w:eastAsia="宋体" w:cs="宋体"/>
          <w:color w:val="auto"/>
          <w:kern w:val="2"/>
          <w:sz w:val="24"/>
          <w:szCs w:val="24"/>
          <w:highlight w:val="none"/>
          <w:u w:val="single"/>
          <w:lang w:val="en-US" w:eastAsia="zh-CN" w:bidi="ar-SA"/>
        </w:rPr>
        <w:t>Q  表示施工期当月完成的且经监理单位、建设单位审批确认的形象进度及已完工程量清单中的工程数量对应的材料的消耗量</w:t>
      </w:r>
    </w:p>
    <w:p>
      <w:pPr>
        <w:tabs>
          <w:tab w:val="left" w:pos="1240"/>
        </w:tabs>
        <w:spacing w:line="312" w:lineRule="auto"/>
        <w:ind w:right="-20" w:firstLine="470" w:firstLineChars="196"/>
        <w:jc w:val="both"/>
        <w:textAlignment w:val="baseline"/>
        <w:rPr>
          <w:rStyle w:val="43"/>
          <w:rFonts w:hint="eastAsia" w:ascii="宋体" w:hAnsi="宋体" w:eastAsia="宋体" w:cs="宋体"/>
          <w:color w:val="auto"/>
          <w:kern w:val="2"/>
          <w:sz w:val="24"/>
          <w:szCs w:val="24"/>
          <w:highlight w:val="none"/>
          <w:u w:val="single"/>
          <w:lang w:val="en-US" w:eastAsia="zh-CN" w:bidi="ar-SA"/>
        </w:rPr>
      </w:pPr>
      <w:r>
        <w:rPr>
          <w:rStyle w:val="43"/>
          <w:rFonts w:hint="eastAsia" w:ascii="宋体" w:hAnsi="宋体" w:eastAsia="宋体" w:cs="宋体"/>
          <w:color w:val="auto"/>
          <w:kern w:val="2"/>
          <w:sz w:val="24"/>
          <w:szCs w:val="24"/>
          <w:highlight w:val="none"/>
          <w:u w:val="single"/>
          <w:lang w:val="en-US" w:eastAsia="zh-CN" w:bidi="ar-SA"/>
        </w:rPr>
        <w:t>Mn  表示施工期当月《广州市建设工程造价管理站关于发布××年××月份广州市建设工程价格信息及有关计价办法的通知》的材料价格</w:t>
      </w:r>
    </w:p>
    <w:p>
      <w:pPr>
        <w:tabs>
          <w:tab w:val="left" w:pos="1240"/>
        </w:tabs>
        <w:spacing w:line="312" w:lineRule="auto"/>
        <w:ind w:right="-20" w:firstLine="470" w:firstLineChars="196"/>
        <w:jc w:val="both"/>
        <w:textAlignment w:val="baseline"/>
        <w:rPr>
          <w:rStyle w:val="43"/>
          <w:rFonts w:hint="eastAsia" w:ascii="宋体" w:hAnsi="宋体" w:eastAsia="宋体" w:cs="宋体"/>
          <w:color w:val="auto"/>
          <w:kern w:val="2"/>
          <w:sz w:val="24"/>
          <w:szCs w:val="24"/>
          <w:highlight w:val="none"/>
          <w:u w:val="single"/>
          <w:lang w:val="en-US" w:eastAsia="zh-CN" w:bidi="ar-SA"/>
        </w:rPr>
      </w:pPr>
      <w:r>
        <w:rPr>
          <w:rStyle w:val="43"/>
          <w:rFonts w:hint="eastAsia" w:ascii="宋体" w:hAnsi="宋体" w:eastAsia="宋体" w:cs="宋体"/>
          <w:color w:val="auto"/>
          <w:kern w:val="2"/>
          <w:sz w:val="24"/>
          <w:szCs w:val="24"/>
          <w:highlight w:val="none"/>
          <w:u w:val="single"/>
          <w:lang w:val="en-US" w:eastAsia="zh-CN" w:bidi="ar-SA"/>
        </w:rPr>
        <w:t>M0  表示基准价格，即审定概算（或预算）价时执行的《广州市建设工程造价管理站关于发布××年××月广州市建设工程价格信息及有关计价办法的通知》的材料价格</w:t>
      </w:r>
    </w:p>
    <w:p>
      <w:pPr>
        <w:numPr>
          <w:ilvl w:val="0"/>
          <w:numId w:val="10"/>
        </w:numPr>
        <w:tabs>
          <w:tab w:val="left" w:pos="1240"/>
        </w:tabs>
        <w:spacing w:line="312" w:lineRule="auto"/>
        <w:ind w:right="-20" w:firstLine="470" w:firstLineChars="196"/>
        <w:jc w:val="both"/>
        <w:textAlignment w:val="baseline"/>
        <w:rPr>
          <w:rStyle w:val="43"/>
          <w:rFonts w:hint="eastAsia" w:ascii="宋体" w:hAnsi="宋体" w:eastAsia="宋体" w:cs="宋体"/>
          <w:color w:val="auto"/>
          <w:kern w:val="2"/>
          <w:sz w:val="24"/>
          <w:szCs w:val="24"/>
          <w:highlight w:val="none"/>
          <w:u w:val="single"/>
          <w:lang w:val="en-US" w:eastAsia="zh-CN" w:bidi="ar-SA"/>
        </w:rPr>
      </w:pPr>
      <w:r>
        <w:rPr>
          <w:rStyle w:val="43"/>
          <w:rFonts w:hint="eastAsia" w:ascii="宋体" w:hAnsi="宋体" w:eastAsia="宋体" w:cs="宋体"/>
          <w:color w:val="auto"/>
          <w:kern w:val="2"/>
          <w:sz w:val="24"/>
          <w:szCs w:val="24"/>
          <w:highlight w:val="none"/>
          <w:u w:val="single"/>
          <w:lang w:val="en-US" w:eastAsia="zh-CN" w:bidi="ar-SA"/>
        </w:rPr>
        <w:t>材料调整金额为分部分项工程费，措施项目费、其他项目费、规费及税金按相关规定调整。</w:t>
      </w:r>
    </w:p>
    <w:p>
      <w:pPr>
        <w:pStyle w:val="11"/>
        <w:tabs>
          <w:tab w:val="left" w:pos="540"/>
        </w:tabs>
        <w:adjustRightInd w:val="0"/>
        <w:snapToGrid w:val="0"/>
        <w:spacing w:before="240" w:beforeLines="100" w:line="360" w:lineRule="auto"/>
        <w:ind w:right="-20"/>
        <w:jc w:val="both"/>
        <w:textAlignment w:val="baseline"/>
        <w:outlineLvl w:val="2"/>
        <w:rPr>
          <w:rStyle w:val="25"/>
          <w:rFonts w:hint="eastAsia" w:ascii="宋体" w:hAnsi="宋体" w:eastAsia="宋体" w:cs="宋体"/>
          <w:b/>
          <w:bCs/>
          <w:color w:val="000000"/>
          <w:kern w:val="2"/>
          <w:sz w:val="24"/>
          <w:szCs w:val="24"/>
          <w:highlight w:val="none"/>
          <w:lang w:val="en-US" w:eastAsia="zh-CN" w:bidi="ar-SA"/>
        </w:rPr>
      </w:pPr>
      <w:bookmarkStart w:id="216" w:name="_Toc17830"/>
      <w:bookmarkStart w:id="217" w:name="_Toc10188"/>
      <w:bookmarkStart w:id="218" w:name="_Toc18840"/>
      <w:bookmarkStart w:id="219" w:name="_Toc12826"/>
      <w:r>
        <w:rPr>
          <w:rStyle w:val="25"/>
          <w:rFonts w:hint="eastAsia" w:ascii="宋体" w:hAnsi="宋体" w:eastAsia="宋体" w:cs="宋体"/>
          <w:b/>
          <w:bCs/>
          <w:color w:val="000000"/>
          <w:kern w:val="2"/>
          <w:sz w:val="24"/>
          <w:szCs w:val="24"/>
          <w:highlight w:val="none"/>
          <w:lang w:val="en-US" w:eastAsia="zh-CN" w:bidi="ar-SA"/>
        </w:rPr>
        <w:t>78 支付事项</w:t>
      </w:r>
      <w:bookmarkEnd w:id="216"/>
      <w:bookmarkEnd w:id="217"/>
      <w:bookmarkEnd w:id="218"/>
      <w:bookmarkEnd w:id="219"/>
    </w:p>
    <w:p>
      <w:pPr>
        <w:tabs>
          <w:tab w:val="left" w:pos="1240"/>
        </w:tabs>
        <w:spacing w:line="300" w:lineRule="auto"/>
        <w:ind w:right="-20" w:firstLine="470" w:firstLineChars="196"/>
        <w:jc w:val="both"/>
        <w:textAlignment w:val="baseline"/>
        <w:rPr>
          <w:rStyle w:val="43"/>
          <w:rFonts w:hint="eastAsia" w:ascii="宋体" w:hAnsi="宋体" w:eastAsia="宋体" w:cs="宋体"/>
          <w:b/>
          <w:bCs/>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78.2 计算利息的利率</w:t>
      </w:r>
    </w:p>
    <w:p>
      <w:pPr>
        <w:tabs>
          <w:tab w:val="left" w:pos="1240"/>
        </w:tabs>
        <w:spacing w:line="300" w:lineRule="auto"/>
        <w:ind w:right="-20" w:firstLine="470" w:firstLineChars="196"/>
        <w:jc w:val="both"/>
        <w:textAlignment w:val="baseline"/>
        <w:rPr>
          <w:rStyle w:val="43"/>
          <w:rFonts w:hint="eastAsia" w:ascii="宋体" w:hAnsi="宋体" w:eastAsia="宋体" w:cs="宋体"/>
          <w:b/>
          <w:bCs/>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×按照中国人民银行发布的同期同类贷款利率。</w:t>
      </w:r>
    </w:p>
    <w:p>
      <w:pPr>
        <w:tabs>
          <w:tab w:val="left" w:pos="1240"/>
        </w:tabs>
        <w:spacing w:line="300" w:lineRule="auto"/>
        <w:ind w:right="-20" w:firstLine="470" w:firstLineChars="196"/>
        <w:jc w:val="both"/>
        <w:textAlignment w:val="baseline"/>
        <w:rPr>
          <w:rStyle w:val="43"/>
          <w:rFonts w:hint="eastAsia" w:ascii="宋体" w:hAnsi="宋体" w:eastAsia="宋体" w:cs="宋体"/>
          <w:b/>
          <w:bCs/>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√其他为</w:t>
      </w:r>
      <w:r>
        <w:rPr>
          <w:rStyle w:val="43"/>
          <w:rFonts w:hint="eastAsia" w:ascii="宋体" w:hAnsi="宋体" w:eastAsia="宋体" w:cs="宋体"/>
          <w:color w:val="auto"/>
          <w:kern w:val="2"/>
          <w:sz w:val="24"/>
          <w:szCs w:val="24"/>
          <w:highlight w:val="none"/>
          <w:u w:val="single"/>
          <w:lang w:val="en-US" w:eastAsia="zh-CN" w:bidi="ar-SA"/>
        </w:rPr>
        <w:t>无息</w:t>
      </w:r>
      <w:r>
        <w:rPr>
          <w:rStyle w:val="43"/>
          <w:rFonts w:hint="eastAsia" w:ascii="宋体" w:hAnsi="宋体" w:eastAsia="宋体" w:cs="宋体"/>
          <w:color w:val="auto"/>
          <w:kern w:val="2"/>
          <w:sz w:val="24"/>
          <w:szCs w:val="24"/>
          <w:highlight w:val="none"/>
          <w:lang w:val="en-US" w:eastAsia="zh-CN" w:bidi="ar-SA"/>
        </w:rPr>
        <w:t>。</w:t>
      </w:r>
    </w:p>
    <w:p>
      <w:pPr>
        <w:pStyle w:val="11"/>
        <w:tabs>
          <w:tab w:val="left" w:pos="540"/>
        </w:tabs>
        <w:adjustRightInd w:val="0"/>
        <w:snapToGrid w:val="0"/>
        <w:spacing w:before="240" w:beforeLines="100" w:line="360" w:lineRule="auto"/>
        <w:ind w:right="-20"/>
        <w:jc w:val="both"/>
        <w:textAlignment w:val="baseline"/>
        <w:outlineLvl w:val="2"/>
        <w:rPr>
          <w:rStyle w:val="25"/>
          <w:rFonts w:hint="eastAsia" w:ascii="宋体" w:hAnsi="宋体" w:eastAsia="宋体" w:cs="宋体"/>
          <w:b/>
          <w:bCs/>
          <w:color w:val="000000"/>
          <w:kern w:val="2"/>
          <w:sz w:val="24"/>
          <w:szCs w:val="24"/>
          <w:highlight w:val="none"/>
          <w:lang w:val="en-US" w:eastAsia="zh-CN" w:bidi="ar-SA"/>
        </w:rPr>
      </w:pPr>
      <w:bookmarkStart w:id="220" w:name="_Toc8520"/>
      <w:bookmarkStart w:id="221" w:name="_Toc25560"/>
      <w:bookmarkStart w:id="222" w:name="_Toc14297"/>
      <w:bookmarkStart w:id="223" w:name="_Toc9440"/>
      <w:r>
        <w:rPr>
          <w:rStyle w:val="25"/>
          <w:rFonts w:hint="eastAsia" w:ascii="宋体" w:hAnsi="宋体" w:eastAsia="宋体" w:cs="宋体"/>
          <w:b/>
          <w:bCs/>
          <w:color w:val="000000"/>
          <w:kern w:val="2"/>
          <w:sz w:val="24"/>
          <w:szCs w:val="24"/>
          <w:highlight w:val="none"/>
          <w:lang w:val="en-US" w:eastAsia="zh-CN" w:bidi="ar-SA"/>
        </w:rPr>
        <w:t>79 预付款</w:t>
      </w:r>
      <w:bookmarkEnd w:id="220"/>
      <w:bookmarkEnd w:id="221"/>
      <w:bookmarkEnd w:id="222"/>
      <w:bookmarkEnd w:id="223"/>
    </w:p>
    <w:p>
      <w:pPr>
        <w:autoSpaceDE w:val="0"/>
        <w:autoSpaceDN w:val="0"/>
        <w:adjustRightInd w:val="0"/>
        <w:spacing w:line="360" w:lineRule="auto"/>
        <w:ind w:firstLine="480" w:firstLineChars="200"/>
        <w:jc w:val="left"/>
        <w:rPr>
          <w:rFonts w:hint="eastAsia" w:ascii="宋体" w:hAnsi="宋体" w:eastAsia="宋体" w:cs="宋体"/>
          <w:color w:val="auto"/>
          <w:kern w:val="0"/>
          <w:sz w:val="24"/>
          <w:highlight w:val="none"/>
        </w:rPr>
      </w:pPr>
      <w:bookmarkStart w:id="224" w:name="_Toc3194"/>
      <w:bookmarkStart w:id="225" w:name="_Toc29432"/>
      <w:bookmarkStart w:id="226" w:name="_Toc556"/>
      <w:bookmarkStart w:id="227" w:name="_Toc17741"/>
      <w:r>
        <w:rPr>
          <w:rFonts w:hint="eastAsia" w:ascii="宋体" w:hAnsi="宋体" w:eastAsia="宋体" w:cs="宋体"/>
          <w:color w:val="auto"/>
          <w:kern w:val="0"/>
          <w:position w:val="-2"/>
          <w:sz w:val="24"/>
          <w:highlight w:val="none"/>
        </w:rPr>
        <w:t>79.1</w:t>
      </w:r>
      <w:r>
        <w:rPr>
          <w:rFonts w:hint="eastAsia" w:ascii="宋体" w:hAnsi="宋体" w:eastAsia="宋体" w:cs="宋体"/>
          <w:color w:val="auto"/>
          <w:kern w:val="0"/>
          <w:position w:val="-2"/>
          <w:sz w:val="24"/>
          <w:highlight w:val="none"/>
        </w:rPr>
        <w:tab/>
      </w:r>
      <w:r>
        <w:rPr>
          <w:rFonts w:hint="eastAsia" w:ascii="宋体" w:hAnsi="宋体" w:eastAsia="宋体" w:cs="宋体"/>
          <w:color w:val="auto"/>
          <w:kern w:val="0"/>
          <w:position w:val="-2"/>
          <w:sz w:val="24"/>
          <w:highlight w:val="none"/>
        </w:rPr>
        <w:t>预付款的约定：</w:t>
      </w:r>
    </w:p>
    <w:p>
      <w:pPr>
        <w:tabs>
          <w:tab w:val="left" w:pos="6160"/>
        </w:tabs>
        <w:autoSpaceDE w:val="0"/>
        <w:autoSpaceDN w:val="0"/>
        <w:adjustRightIn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预付款的金额为</w:t>
      </w:r>
      <w:r>
        <w:rPr>
          <w:rFonts w:hint="eastAsia" w:ascii="宋体" w:hAnsi="宋体" w:eastAsia="宋体" w:cs="宋体"/>
          <w:color w:val="auto"/>
          <w:kern w:val="0"/>
          <w:sz w:val="24"/>
          <w:highlight w:val="none"/>
          <w:lang w:eastAsia="zh-CN"/>
        </w:rPr>
        <w:t>合同</w:t>
      </w:r>
      <w:r>
        <w:rPr>
          <w:rFonts w:hint="eastAsia" w:ascii="宋体" w:hAnsi="宋体" w:eastAsia="宋体" w:cs="宋体"/>
          <w:color w:val="auto"/>
          <w:sz w:val="24"/>
          <w:highlight w:val="none"/>
          <w:u w:val="none"/>
        </w:rPr>
        <w:t>价款（扣除暂列金额和暂估价）的</w:t>
      </w:r>
      <w:r>
        <w:rPr>
          <w:rFonts w:hint="eastAsia" w:ascii="宋体" w:hAnsi="宋体" w:cs="宋体"/>
          <w:b/>
          <w:bCs/>
          <w:color w:val="auto"/>
          <w:sz w:val="24"/>
          <w:highlight w:val="none"/>
          <w:u w:val="single"/>
          <w:lang w:val="en-US" w:eastAsia="zh-CN"/>
        </w:rPr>
        <w:t>3</w:t>
      </w:r>
      <w:r>
        <w:rPr>
          <w:rFonts w:hint="eastAsia" w:ascii="宋体" w:hAnsi="宋体" w:eastAsia="宋体" w:cs="宋体"/>
          <w:b/>
          <w:bCs/>
          <w:color w:val="auto"/>
          <w:sz w:val="24"/>
          <w:highlight w:val="none"/>
          <w:u w:val="single"/>
        </w:rPr>
        <w:t>0%</w:t>
      </w:r>
      <w:r>
        <w:rPr>
          <w:rFonts w:hint="eastAsia" w:ascii="宋体" w:hAnsi="宋体" w:eastAsia="宋体" w:cs="宋体"/>
          <w:color w:val="auto"/>
          <w:sz w:val="24"/>
          <w:highlight w:val="none"/>
        </w:rPr>
        <w:t>，即为：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kern w:val="0"/>
          <w:sz w:val="24"/>
          <w:highlight w:val="none"/>
        </w:rPr>
        <w:t>元</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大写：</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rPr>
        <w:t>。</w:t>
      </w:r>
    </w:p>
    <w:p>
      <w:pPr>
        <w:pStyle w:val="23"/>
        <w:rPr>
          <w:rFonts w:hint="eastAsia"/>
        </w:rPr>
      </w:pPr>
    </w:p>
    <w:p>
      <w:pPr>
        <w:autoSpaceDE w:val="0"/>
        <w:autoSpaceDN w:val="0"/>
        <w:adjustRightIn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 xml:space="preserve">79.2 </w:t>
      </w:r>
      <w:r>
        <w:rPr>
          <w:rFonts w:hint="eastAsia" w:ascii="宋体" w:hAnsi="宋体" w:eastAsia="宋体" w:cs="宋体"/>
          <w:color w:val="auto"/>
          <w:sz w:val="24"/>
          <w:highlight w:val="none"/>
        </w:rPr>
        <w:t>合同签订并收到承包人提供合法有效的等额发票</w:t>
      </w:r>
      <w:r>
        <w:rPr>
          <w:rFonts w:hint="eastAsia" w:ascii="宋体" w:hAnsi="宋体" w:eastAsia="宋体" w:cs="宋体"/>
          <w:color w:val="auto"/>
          <w:sz w:val="24"/>
        </w:rPr>
        <w:t>且承包人提供履约担保</w:t>
      </w:r>
      <w:r>
        <w:rPr>
          <w:rFonts w:hint="eastAsia" w:ascii="宋体" w:hAnsi="宋体" w:eastAsia="宋体" w:cs="宋体"/>
          <w:color w:val="auto"/>
          <w:sz w:val="24"/>
          <w:highlight w:val="none"/>
        </w:rPr>
        <w:t>后，发包人支付工程预付款。</w:t>
      </w:r>
    </w:p>
    <w:p>
      <w:pPr>
        <w:pStyle w:val="23"/>
        <w:spacing w:line="360" w:lineRule="auto"/>
        <w:ind w:firstLine="480" w:firstLineChars="200"/>
        <w:rPr>
          <w:rFonts w:hint="default" w:ascii="宋体" w:hAnsi="宋体" w:eastAsia="宋体" w:cs="宋体"/>
          <w:color w:val="auto"/>
          <w:kern w:val="2"/>
          <w:sz w:val="24"/>
          <w:szCs w:val="22"/>
          <w:highlight w:val="none"/>
          <w:u w:val="single"/>
          <w:lang w:val="en-US" w:eastAsia="zh-CN" w:bidi="ar-SA"/>
        </w:rPr>
      </w:pPr>
      <w:r>
        <w:rPr>
          <w:rFonts w:hint="eastAsia" w:ascii="宋体" w:hAnsi="宋体" w:eastAsia="宋体" w:cs="宋体"/>
          <w:color w:val="auto"/>
          <w:kern w:val="2"/>
          <w:sz w:val="24"/>
          <w:szCs w:val="22"/>
          <w:highlight w:val="none"/>
          <w:u w:val="single"/>
          <w:lang w:val="en-US" w:eastAsia="zh-CN" w:bidi="ar-SA"/>
        </w:rPr>
        <w:t>79.4从本工程发生的第一次进度款支付起，发包人每次按审定月度完成工程量的85%中之50%扣回预付款，每次按审定月度完成工程量的85%扣除应扣回的预付款后支付承包人当次的工程进度款（含安全文明措施费），直至预付款全部扣回完毕止。预付款扣回完毕后，发包人按审定月度完成工程量的85%（含安全文明措施费）支付工程进度款；工程完工，累计支付工程款（含安全生产措施费）至合同价扣除若有暂定金则扣除未计量部分暂定金后的85%。</w:t>
      </w:r>
    </w:p>
    <w:p>
      <w:pPr>
        <w:pStyle w:val="11"/>
        <w:tabs>
          <w:tab w:val="left" w:pos="540"/>
        </w:tabs>
        <w:adjustRightInd w:val="0"/>
        <w:snapToGrid w:val="0"/>
        <w:spacing w:before="240" w:beforeLines="100" w:line="360" w:lineRule="auto"/>
        <w:ind w:right="-20"/>
        <w:jc w:val="both"/>
        <w:textAlignment w:val="baseline"/>
        <w:outlineLvl w:val="2"/>
        <w:rPr>
          <w:rFonts w:hint="eastAsia" w:ascii="宋体" w:hAnsi="宋体" w:eastAsia="宋体" w:cs="宋体"/>
          <w:b/>
          <w:bCs/>
          <w:color w:val="000000"/>
          <w:kern w:val="2"/>
          <w:sz w:val="24"/>
          <w:szCs w:val="24"/>
          <w:highlight w:val="none"/>
          <w:lang w:val="en-US" w:eastAsia="zh-CN" w:bidi="ar-SA"/>
        </w:rPr>
      </w:pPr>
      <w:r>
        <w:rPr>
          <w:rFonts w:hint="eastAsia" w:ascii="宋体" w:hAnsi="宋体" w:eastAsia="宋体" w:cs="宋体"/>
          <w:b/>
          <w:bCs/>
          <w:color w:val="000000"/>
          <w:kern w:val="2"/>
          <w:sz w:val="24"/>
          <w:szCs w:val="24"/>
          <w:highlight w:val="none"/>
          <w:lang w:val="en-US" w:eastAsia="zh-CN" w:bidi="ar-SA"/>
        </w:rPr>
        <w:t>80</w:t>
      </w:r>
      <w:r>
        <w:rPr>
          <w:rFonts w:hint="eastAsia" w:ascii="宋体" w:hAnsi="宋体" w:eastAsia="宋体" w:cs="宋体"/>
          <w:b/>
          <w:bCs/>
          <w:color w:val="000000"/>
          <w:sz w:val="24"/>
          <w:szCs w:val="24"/>
          <w:highlight w:val="none"/>
        </w:rPr>
        <w:t>绿色施工安全防护费</w:t>
      </w:r>
      <w:bookmarkEnd w:id="224"/>
      <w:bookmarkEnd w:id="225"/>
      <w:bookmarkEnd w:id="226"/>
      <w:bookmarkEnd w:id="227"/>
    </w:p>
    <w:p>
      <w:pPr>
        <w:tabs>
          <w:tab w:val="left" w:pos="5685"/>
        </w:tabs>
        <w:spacing w:line="312" w:lineRule="auto"/>
        <w:ind w:right="-160" w:firstLine="0" w:firstLineChars="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80.1</w:t>
      </w:r>
      <w:r>
        <w:rPr>
          <w:rFonts w:hint="eastAsia" w:ascii="宋体" w:hAnsi="宋体" w:eastAsia="宋体" w:cs="宋体"/>
          <w:b/>
          <w:bCs/>
          <w:sz w:val="24"/>
          <w:szCs w:val="24"/>
          <w:highlight w:val="none"/>
          <w:lang w:val="zh-CN"/>
        </w:rPr>
        <w:t>绿色施工安全防护费</w:t>
      </w:r>
      <w:r>
        <w:rPr>
          <w:rStyle w:val="43"/>
          <w:rFonts w:hint="eastAsia" w:ascii="宋体" w:hAnsi="宋体" w:eastAsia="宋体" w:cs="宋体"/>
          <w:color w:val="auto"/>
          <w:kern w:val="2"/>
          <w:sz w:val="24"/>
          <w:szCs w:val="24"/>
          <w:highlight w:val="none"/>
          <w:lang w:val="en-US" w:eastAsia="zh-CN" w:bidi="ar-SA"/>
        </w:rPr>
        <w:t>的内容、范围和金额的约定</w:t>
      </w:r>
    </w:p>
    <w:p>
      <w:pPr>
        <w:tabs>
          <w:tab w:val="left" w:pos="5685"/>
        </w:tabs>
        <w:spacing w:line="312" w:lineRule="auto"/>
        <w:ind w:right="-16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 xml:space="preserve">(1) </w:t>
      </w:r>
      <w:r>
        <w:rPr>
          <w:rFonts w:hint="eastAsia" w:ascii="宋体" w:hAnsi="宋体" w:eastAsia="宋体" w:cs="宋体"/>
          <w:b/>
          <w:bCs/>
          <w:sz w:val="24"/>
          <w:szCs w:val="24"/>
          <w:highlight w:val="none"/>
          <w:lang w:val="zh-CN"/>
        </w:rPr>
        <w:t>绿色施工安全防护费</w:t>
      </w:r>
      <w:r>
        <w:rPr>
          <w:rStyle w:val="43"/>
          <w:rFonts w:hint="eastAsia" w:ascii="宋体" w:hAnsi="宋体" w:eastAsia="宋体" w:cs="宋体"/>
          <w:color w:val="auto"/>
          <w:kern w:val="2"/>
          <w:sz w:val="24"/>
          <w:szCs w:val="24"/>
          <w:highlight w:val="none"/>
          <w:lang w:val="en-US" w:eastAsia="zh-CN" w:bidi="ar-SA"/>
        </w:rPr>
        <w:t>的内容和范围</w:t>
      </w:r>
    </w:p>
    <w:p>
      <w:pPr>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√按合同通用条款的规定，以现行广东省统一工程计价依据规定为准。</w:t>
      </w:r>
    </w:p>
    <w:p>
      <w:pPr>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√合同双方的其他要求：无。</w:t>
      </w:r>
    </w:p>
    <w:p>
      <w:pPr>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(2)</w:t>
      </w:r>
      <w:r>
        <w:rPr>
          <w:rStyle w:val="43"/>
          <w:rFonts w:hint="eastAsia" w:ascii="宋体" w:hAnsi="宋体" w:eastAsia="宋体" w:cs="宋体"/>
          <w:color w:val="auto"/>
          <w:kern w:val="2"/>
          <w:sz w:val="24"/>
          <w:szCs w:val="24"/>
          <w:highlight w:val="none"/>
          <w:lang w:val="zh-CN" w:eastAsia="zh-CN" w:bidi="ar-SA"/>
        </w:rPr>
        <w:t>安全防护、文明施工措施项目费</w:t>
      </w:r>
      <w:r>
        <w:rPr>
          <w:rStyle w:val="43"/>
          <w:rFonts w:hint="eastAsia" w:ascii="宋体" w:hAnsi="宋体" w:eastAsia="宋体" w:cs="宋体"/>
          <w:color w:val="auto"/>
          <w:kern w:val="2"/>
          <w:sz w:val="24"/>
          <w:szCs w:val="24"/>
          <w:highlight w:val="none"/>
          <w:lang w:val="en-US" w:eastAsia="zh-CN" w:bidi="ar-SA"/>
        </w:rPr>
        <w:t>的总金额为</w:t>
      </w:r>
      <w:r>
        <w:rPr>
          <w:rStyle w:val="43"/>
          <w:rFonts w:hint="eastAsia" w:ascii="宋体" w:hAnsi="宋体" w:eastAsia="宋体" w:cs="宋体"/>
          <w:color w:val="auto"/>
          <w:kern w:val="2"/>
          <w:sz w:val="24"/>
          <w:szCs w:val="24"/>
          <w:highlight w:val="none"/>
          <w:u w:val="single"/>
          <w:lang w:val="en-US" w:eastAsia="zh-CN" w:bidi="ar-SA"/>
        </w:rPr>
        <w:t xml:space="preserve">           </w:t>
      </w:r>
      <w:r>
        <w:rPr>
          <w:rStyle w:val="43"/>
          <w:rFonts w:hint="eastAsia" w:ascii="宋体" w:hAnsi="宋体" w:eastAsia="宋体" w:cs="宋体"/>
          <w:color w:val="auto"/>
          <w:kern w:val="2"/>
          <w:sz w:val="24"/>
          <w:szCs w:val="24"/>
          <w:highlight w:val="none"/>
          <w:lang w:val="en-US" w:eastAsia="zh-CN" w:bidi="ar-SA"/>
        </w:rPr>
        <w:t>元。</w:t>
      </w:r>
    </w:p>
    <w:p>
      <w:pPr>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80.2</w:t>
      </w:r>
      <w:r>
        <w:rPr>
          <w:rFonts w:hint="eastAsia" w:ascii="宋体" w:hAnsi="宋体" w:eastAsia="宋体" w:cs="宋体"/>
          <w:b/>
          <w:bCs/>
          <w:sz w:val="24"/>
          <w:szCs w:val="24"/>
          <w:highlight w:val="none"/>
          <w:lang w:val="zh-CN"/>
        </w:rPr>
        <w:t>绿色施工安全防护费</w:t>
      </w:r>
      <w:r>
        <w:rPr>
          <w:rStyle w:val="43"/>
          <w:rFonts w:hint="eastAsia" w:ascii="宋体" w:hAnsi="宋体" w:eastAsia="宋体" w:cs="宋体"/>
          <w:color w:val="auto"/>
          <w:kern w:val="2"/>
          <w:sz w:val="24"/>
          <w:szCs w:val="24"/>
          <w:highlight w:val="none"/>
          <w:lang w:val="en-US" w:eastAsia="zh-CN" w:bidi="ar-SA"/>
        </w:rPr>
        <w:t>的预付金额、支付办法和抵扣方式</w:t>
      </w:r>
    </w:p>
    <w:p>
      <w:pPr>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√按合同通用条款的规定。若政府主管部门另有规定的，则执行该规定。</w:t>
      </w:r>
    </w:p>
    <w:p>
      <w:pPr>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×其他：</w:t>
      </w:r>
    </w:p>
    <w:p>
      <w:pPr>
        <w:pStyle w:val="11"/>
        <w:tabs>
          <w:tab w:val="left" w:pos="540"/>
        </w:tabs>
        <w:adjustRightInd w:val="0"/>
        <w:snapToGrid w:val="0"/>
        <w:spacing w:before="240" w:beforeLines="100" w:line="360" w:lineRule="auto"/>
        <w:ind w:right="-20"/>
        <w:jc w:val="both"/>
        <w:textAlignment w:val="baseline"/>
        <w:outlineLvl w:val="2"/>
        <w:rPr>
          <w:rStyle w:val="25"/>
          <w:rFonts w:hint="eastAsia" w:ascii="宋体" w:hAnsi="宋体" w:eastAsia="宋体" w:cs="宋体"/>
          <w:b/>
          <w:bCs/>
          <w:color w:val="000000"/>
          <w:kern w:val="2"/>
          <w:sz w:val="24"/>
          <w:szCs w:val="24"/>
          <w:highlight w:val="none"/>
          <w:lang w:val="en-US" w:eastAsia="zh-CN" w:bidi="ar-SA"/>
        </w:rPr>
      </w:pPr>
      <w:bookmarkStart w:id="228" w:name="_Toc16767"/>
      <w:bookmarkStart w:id="229" w:name="_Toc3915"/>
      <w:bookmarkStart w:id="230" w:name="_Toc22111"/>
      <w:bookmarkStart w:id="231" w:name="_Toc19196"/>
      <w:r>
        <w:rPr>
          <w:rStyle w:val="25"/>
          <w:rFonts w:hint="eastAsia" w:ascii="宋体" w:hAnsi="宋体" w:eastAsia="宋体" w:cs="宋体"/>
          <w:b/>
          <w:bCs/>
          <w:color w:val="000000"/>
          <w:kern w:val="2"/>
          <w:sz w:val="24"/>
          <w:szCs w:val="24"/>
          <w:highlight w:val="none"/>
          <w:lang w:val="en-US" w:eastAsia="zh-CN" w:bidi="ar-SA"/>
        </w:rPr>
        <w:t>81进度款</w:t>
      </w:r>
      <w:bookmarkEnd w:id="228"/>
      <w:bookmarkEnd w:id="229"/>
      <w:bookmarkEnd w:id="230"/>
      <w:bookmarkEnd w:id="231"/>
    </w:p>
    <w:p>
      <w:pPr>
        <w:tabs>
          <w:tab w:val="left" w:pos="1240"/>
        </w:tabs>
        <w:autoSpaceDE w:val="0"/>
        <w:autoSpaceDN w:val="0"/>
        <w:adjustRightInd w:val="0"/>
        <w:spacing w:line="540" w:lineRule="exact"/>
        <w:ind w:firstLine="480" w:firstLineChars="200"/>
        <w:jc w:val="left"/>
        <w:rPr>
          <w:rFonts w:hint="eastAsia" w:ascii="宋体" w:hAnsi="宋体" w:eastAsia="宋体" w:cs="宋体"/>
          <w:color w:val="auto"/>
          <w:kern w:val="0"/>
          <w:sz w:val="24"/>
          <w:highlight w:val="none"/>
        </w:rPr>
      </w:pPr>
      <w:bookmarkStart w:id="232" w:name="_Toc15992"/>
      <w:bookmarkStart w:id="233" w:name="_Toc7031"/>
      <w:bookmarkStart w:id="234" w:name="_Toc1817"/>
      <w:bookmarkStart w:id="235" w:name="_Toc10285"/>
      <w:r>
        <w:rPr>
          <w:rFonts w:hint="eastAsia" w:ascii="宋体" w:hAnsi="宋体" w:eastAsia="宋体" w:cs="宋体"/>
          <w:color w:val="auto"/>
          <w:kern w:val="0"/>
          <w:sz w:val="24"/>
          <w:highlight w:val="none"/>
        </w:rPr>
        <w:t>81.1</w:t>
      </w:r>
      <w:r>
        <w:rPr>
          <w:rFonts w:hint="eastAsia" w:ascii="宋体" w:hAnsi="宋体" w:eastAsia="宋体" w:cs="宋体"/>
          <w:color w:val="auto"/>
          <w:kern w:val="0"/>
          <w:sz w:val="24"/>
          <w:highlight w:val="none"/>
        </w:rPr>
        <w:tab/>
      </w:r>
      <w:r>
        <w:rPr>
          <w:rFonts w:hint="eastAsia" w:ascii="宋体" w:hAnsi="宋体" w:eastAsia="宋体" w:cs="宋体"/>
          <w:color w:val="auto"/>
          <w:kern w:val="0"/>
          <w:sz w:val="24"/>
          <w:highlight w:val="none"/>
        </w:rPr>
        <w:t>支付期间：</w:t>
      </w:r>
      <w:r>
        <w:rPr>
          <w:rFonts w:hint="eastAsia" w:ascii="宋体" w:hAnsi="宋体" w:eastAsia="宋体" w:cs="宋体"/>
          <w:color w:val="auto"/>
          <w:sz w:val="24"/>
          <w:highlight w:val="none"/>
          <w:u w:val="single"/>
        </w:rPr>
        <w:t>在承包人无不履行或不适当履行合同义务的情况下进行支付</w:t>
      </w:r>
    </w:p>
    <w:p>
      <w:pPr>
        <w:autoSpaceDE w:val="0"/>
        <w:autoSpaceDN w:val="0"/>
        <w:adjustRightInd w:val="0"/>
        <w:spacing w:line="54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r>
        <w:rPr>
          <w:rFonts w:hint="eastAsia" w:ascii="宋体" w:hAnsi="宋体" w:eastAsia="宋体" w:cs="宋体"/>
          <w:color w:val="auto"/>
          <w:kern w:val="0"/>
          <w:position w:val="-3"/>
          <w:sz w:val="24"/>
          <w:highlight w:val="none"/>
        </w:rPr>
        <w:t xml:space="preserve"> 工程款进度款、结算款、保修金办理与支付：</w:t>
      </w:r>
    </w:p>
    <w:p>
      <w:pPr>
        <w:spacing w:line="54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81.1.1当完成工作量达到60%时，支付工程进度款</w:t>
      </w:r>
      <w:r>
        <w:rPr>
          <w:rFonts w:hint="eastAsia" w:ascii="宋体" w:hAnsi="宋体" w:cs="宋体"/>
          <w:color w:val="auto"/>
          <w:sz w:val="24"/>
          <w:highlight w:val="none"/>
          <w:u w:val="single"/>
          <w:lang w:val="en-US" w:eastAsia="zh-CN"/>
        </w:rPr>
        <w:t>20</w:t>
      </w:r>
      <w:r>
        <w:rPr>
          <w:rFonts w:hint="eastAsia" w:ascii="宋体" w:hAnsi="宋体" w:eastAsia="宋体" w:cs="宋体"/>
          <w:color w:val="auto"/>
          <w:sz w:val="24"/>
          <w:highlight w:val="none"/>
          <w:u w:val="single"/>
        </w:rPr>
        <w:t>%（累计付款至合同价款扣除安全生产措施费、若有暂定金扣除未计量部分暂定金后的55%）；</w:t>
      </w:r>
    </w:p>
    <w:p>
      <w:pPr>
        <w:spacing w:line="54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 xml:space="preserve">81.1.2工程完工，并通过初验后支付合同价款30%（累计付款至合同价款扣除安全生产措施费、若有暂定金扣除未计量部分暂定金后的85%）。 </w:t>
      </w:r>
    </w:p>
    <w:p>
      <w:pPr>
        <w:spacing w:line="540" w:lineRule="exact"/>
        <w:ind w:firstLine="480" w:firstLineChars="200"/>
        <w:rPr>
          <w:rFonts w:hint="eastAsia" w:ascii="宋体" w:hAnsi="宋体" w:eastAsia="宋体" w:cs="宋体"/>
          <w:sz w:val="24"/>
          <w:u w:val="single"/>
        </w:rPr>
      </w:pPr>
      <w:r>
        <w:rPr>
          <w:rFonts w:hint="eastAsia" w:ascii="宋体" w:hAnsi="宋体" w:eastAsia="宋体" w:cs="宋体"/>
          <w:sz w:val="24"/>
          <w:u w:val="single"/>
        </w:rPr>
        <w:t>81.1.</w:t>
      </w:r>
      <w:r>
        <w:rPr>
          <w:rFonts w:hint="eastAsia" w:ascii="宋体" w:hAnsi="宋体" w:eastAsia="宋体" w:cs="宋体"/>
          <w:sz w:val="24"/>
          <w:u w:val="single"/>
          <w:lang w:val="en-US" w:eastAsia="zh-CN"/>
        </w:rPr>
        <w:t>3工程通过验收并经广州市天河区财政局审定施工结算后支付工程款至结算价（扣除安全生产措施费）的97%；工程结算价款额度的3%作为质量保修金，待缺陷责任期结束后结清（不计利息）</w:t>
      </w:r>
      <w:r>
        <w:rPr>
          <w:rFonts w:hint="eastAsia" w:ascii="宋体" w:hAnsi="宋体" w:eastAsia="宋体" w:cs="宋体"/>
          <w:sz w:val="24"/>
          <w:u w:val="single"/>
        </w:rPr>
        <w:t>。</w:t>
      </w:r>
    </w:p>
    <w:p>
      <w:pPr>
        <w:spacing w:line="540" w:lineRule="exact"/>
        <w:ind w:firstLine="480" w:firstLineChars="200"/>
        <w:rPr>
          <w:rFonts w:hint="eastAsia" w:ascii="宋体" w:hAnsi="宋体" w:eastAsia="宋体" w:cs="宋体"/>
          <w:sz w:val="24"/>
          <w:u w:val="single"/>
          <w:lang w:val="en-US" w:eastAsia="zh-CN"/>
        </w:rPr>
      </w:pPr>
      <w:r>
        <w:rPr>
          <w:rFonts w:hint="eastAsia" w:ascii="宋体" w:hAnsi="宋体" w:eastAsia="宋体" w:cs="宋体"/>
          <w:sz w:val="24"/>
          <w:u w:val="single"/>
          <w:lang w:val="en-US" w:eastAsia="zh-CN"/>
        </w:rPr>
        <w:t>81.1.4 承包人应按照合同约定以及办理财政支付所需材料的规定提供完整的支付申请手续，因承包人原因导致的支付迟延，发包人不承担任何责任。</w:t>
      </w:r>
    </w:p>
    <w:p>
      <w:pPr>
        <w:pStyle w:val="11"/>
        <w:tabs>
          <w:tab w:val="left" w:pos="540"/>
        </w:tabs>
        <w:adjustRightInd w:val="0"/>
        <w:snapToGrid w:val="0"/>
        <w:spacing w:before="240" w:beforeLines="100" w:line="360" w:lineRule="auto"/>
        <w:ind w:right="-20"/>
        <w:jc w:val="both"/>
        <w:textAlignment w:val="baseline"/>
        <w:outlineLvl w:val="2"/>
        <w:rPr>
          <w:rStyle w:val="25"/>
          <w:rFonts w:hint="eastAsia" w:ascii="宋体" w:hAnsi="宋体" w:eastAsia="宋体" w:cs="宋体"/>
          <w:b/>
          <w:bCs/>
          <w:color w:val="000000"/>
          <w:kern w:val="2"/>
          <w:sz w:val="24"/>
          <w:szCs w:val="24"/>
          <w:highlight w:val="none"/>
          <w:lang w:val="en-US" w:eastAsia="zh-CN" w:bidi="ar-SA"/>
        </w:rPr>
      </w:pPr>
      <w:r>
        <w:rPr>
          <w:rStyle w:val="25"/>
          <w:rFonts w:hint="eastAsia" w:ascii="宋体" w:hAnsi="宋体" w:eastAsia="宋体" w:cs="宋体"/>
          <w:b/>
          <w:bCs/>
          <w:color w:val="000000"/>
          <w:kern w:val="2"/>
          <w:sz w:val="24"/>
          <w:szCs w:val="24"/>
          <w:highlight w:val="none"/>
          <w:lang w:val="en-US" w:eastAsia="zh-CN" w:bidi="ar-SA"/>
        </w:rPr>
        <w:t>82竣工结算</w:t>
      </w:r>
      <w:bookmarkEnd w:id="232"/>
      <w:bookmarkEnd w:id="233"/>
      <w:bookmarkEnd w:id="234"/>
      <w:bookmarkEnd w:id="235"/>
    </w:p>
    <w:p>
      <w:pPr>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82.1 结算的程序和时限：</w:t>
      </w:r>
    </w:p>
    <w:p>
      <w:pPr>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×按合同通用条款的规定办理。</w:t>
      </w:r>
    </w:p>
    <w:p>
      <w:pPr>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√不按合同通用条款的规定，办理结算程序和时限为：按天河区财政局规定的结算程序和时限办理。</w:t>
      </w:r>
    </w:p>
    <w:p>
      <w:pPr>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承包人与发包人一致同意增加82.6、82.7：</w:t>
      </w:r>
    </w:p>
    <w:p>
      <w:pPr>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82.6 发包人对工程竣工结算的特殊要求：经天河区财政局审核。</w:t>
      </w:r>
    </w:p>
    <w:p>
      <w:pPr>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82.7 若承包人不配合结算审核工作以至工程结算迟迟不能定案或承包人对终审部门的审核结果拒不确认，在规定时间内又提不出正确理由时，则最终的审核结果由发包人与终审部门共同确认。</w:t>
      </w:r>
    </w:p>
    <w:p>
      <w:pPr>
        <w:pStyle w:val="11"/>
        <w:tabs>
          <w:tab w:val="left" w:pos="540"/>
        </w:tabs>
        <w:adjustRightInd w:val="0"/>
        <w:snapToGrid w:val="0"/>
        <w:spacing w:before="240" w:beforeLines="100" w:line="360" w:lineRule="auto"/>
        <w:ind w:right="-20"/>
        <w:jc w:val="both"/>
        <w:textAlignment w:val="baseline"/>
        <w:outlineLvl w:val="2"/>
        <w:rPr>
          <w:rStyle w:val="25"/>
          <w:rFonts w:hint="eastAsia" w:ascii="宋体" w:hAnsi="宋体" w:eastAsia="宋体" w:cs="宋体"/>
          <w:b/>
          <w:bCs/>
          <w:color w:val="000000"/>
          <w:kern w:val="2"/>
          <w:sz w:val="24"/>
          <w:szCs w:val="24"/>
          <w:highlight w:val="none"/>
          <w:lang w:val="en-US" w:eastAsia="zh-CN" w:bidi="ar-SA"/>
        </w:rPr>
      </w:pPr>
      <w:bookmarkStart w:id="236" w:name="_Toc28394"/>
      <w:bookmarkStart w:id="237" w:name="_Toc7555"/>
      <w:bookmarkStart w:id="238" w:name="_Toc20213"/>
      <w:bookmarkStart w:id="239" w:name="_Toc9821"/>
      <w:r>
        <w:rPr>
          <w:rStyle w:val="25"/>
          <w:rFonts w:hint="eastAsia" w:ascii="宋体" w:hAnsi="宋体" w:eastAsia="宋体" w:cs="宋体"/>
          <w:b/>
          <w:bCs/>
          <w:color w:val="000000"/>
          <w:kern w:val="2"/>
          <w:sz w:val="24"/>
          <w:szCs w:val="24"/>
          <w:highlight w:val="none"/>
          <w:lang w:val="en-US" w:eastAsia="zh-CN" w:bidi="ar-SA"/>
        </w:rPr>
        <w:t>84质量保证金</w:t>
      </w:r>
      <w:bookmarkEnd w:id="236"/>
      <w:bookmarkEnd w:id="237"/>
      <w:bookmarkEnd w:id="238"/>
      <w:bookmarkEnd w:id="239"/>
    </w:p>
    <w:p>
      <w:pPr>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84.2 质量保证金的金额及扣留</w:t>
      </w:r>
    </w:p>
    <w:p>
      <w:pPr>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(1) 质量保证金的金额</w:t>
      </w:r>
    </w:p>
    <w:p>
      <w:pPr>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×按合同通用条款的规定，即按合同价款的 3％。</w:t>
      </w:r>
    </w:p>
    <w:p>
      <w:pPr>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√其他为</w:t>
      </w:r>
      <w:r>
        <w:rPr>
          <w:rStyle w:val="43"/>
          <w:rFonts w:hint="eastAsia" w:ascii="宋体" w:hAnsi="宋体" w:eastAsia="宋体" w:cs="宋体"/>
          <w:color w:val="auto"/>
          <w:kern w:val="2"/>
          <w:sz w:val="24"/>
          <w:szCs w:val="24"/>
          <w:highlight w:val="none"/>
          <w:u w:val="single"/>
          <w:lang w:val="en-US" w:eastAsia="zh-CN" w:bidi="ar-SA"/>
        </w:rPr>
        <w:t>经天河区财政局核定的工程结算总价款的3%</w:t>
      </w:r>
      <w:r>
        <w:rPr>
          <w:rStyle w:val="43"/>
          <w:rFonts w:hint="eastAsia" w:ascii="宋体" w:hAnsi="宋体" w:eastAsia="宋体" w:cs="宋体"/>
          <w:color w:val="auto"/>
          <w:kern w:val="2"/>
          <w:sz w:val="24"/>
          <w:szCs w:val="24"/>
          <w:highlight w:val="none"/>
          <w:lang w:val="en-US" w:eastAsia="zh-CN" w:bidi="ar-SA"/>
        </w:rPr>
        <w:t>。</w:t>
      </w:r>
    </w:p>
    <w:p>
      <w:pPr>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(2) 质量保证金的扣留</w:t>
      </w:r>
    </w:p>
    <w:p>
      <w:pPr>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×按合同通用条款的规定，从每次应支付给承包人的工程款（包括进度款和结算款）中扣留，扣留的比例为3%。</w:t>
      </w:r>
    </w:p>
    <w:p>
      <w:pPr>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√其他方式：□从工程结算款中一次性扣留，扣留的比例为3%。□</w:t>
      </w:r>
      <w:r>
        <w:rPr>
          <w:rStyle w:val="53"/>
          <w:rFonts w:hint="eastAsia" w:ascii="宋体" w:hAnsi="宋体" w:eastAsia="宋体" w:cs="宋体"/>
          <w:color w:val="auto"/>
          <w:kern w:val="2"/>
          <w:sz w:val="24"/>
          <w:szCs w:val="24"/>
          <w:highlight w:val="none"/>
          <w:lang w:val="en-US" w:eastAsia="zh-CN" w:bidi="ar-SA"/>
        </w:rPr>
        <w:t>或</w:t>
      </w:r>
      <w:r>
        <w:rPr>
          <w:rStyle w:val="43"/>
          <w:rFonts w:hint="eastAsia" w:ascii="宋体" w:hAnsi="宋体" w:eastAsia="宋体" w:cs="宋体"/>
          <w:color w:val="auto"/>
          <w:kern w:val="2"/>
          <w:sz w:val="24"/>
          <w:szCs w:val="24"/>
          <w:highlight w:val="none"/>
          <w:lang w:val="en-US" w:eastAsia="zh-CN" w:bidi="ar-SA"/>
        </w:rPr>
        <w:t>递交合同承包价3%的质量保函。</w:t>
      </w:r>
    </w:p>
    <w:p>
      <w:pPr>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84.3 质量保证金的返还时间：在工程竣工验收合格后满一年，若承包人未出现违约情形，且未出现漏水问题发包人应在收到承包人的款项申请手续后14天内将质量保证金无息退回给承包人；若存在漏水问题，发包人有权暂扣质保金的10%，直至防水质保期满且未漏水时，方可无息退回。</w:t>
      </w:r>
    </w:p>
    <w:p>
      <w:pPr>
        <w:spacing w:line="312" w:lineRule="auto"/>
        <w:ind w:right="-20"/>
        <w:jc w:val="both"/>
        <w:textAlignment w:val="baseline"/>
        <w:rPr>
          <w:rStyle w:val="43"/>
          <w:rFonts w:hint="eastAsia" w:ascii="宋体" w:hAnsi="宋体" w:eastAsia="宋体" w:cs="宋体"/>
          <w:b/>
          <w:bCs/>
          <w:color w:val="auto"/>
          <w:kern w:val="2"/>
          <w:sz w:val="24"/>
          <w:szCs w:val="24"/>
          <w:highlight w:val="none"/>
          <w:lang w:val="en-US" w:eastAsia="zh-CN" w:bidi="ar-SA"/>
        </w:rPr>
      </w:pPr>
      <w:r>
        <w:rPr>
          <w:rStyle w:val="43"/>
          <w:rFonts w:hint="eastAsia" w:ascii="宋体" w:hAnsi="宋体" w:eastAsia="宋体" w:cs="宋体"/>
          <w:b/>
          <w:bCs/>
          <w:color w:val="auto"/>
          <w:kern w:val="2"/>
          <w:sz w:val="24"/>
          <w:szCs w:val="24"/>
          <w:highlight w:val="none"/>
          <w:lang w:val="en-US" w:eastAsia="zh-CN" w:bidi="ar-SA"/>
        </w:rPr>
        <w:t>85 最终清算付款</w:t>
      </w:r>
    </w:p>
    <w:p>
      <w:pPr>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85.1 最终结清申请报告提交份数：3份</w:t>
      </w:r>
    </w:p>
    <w:p>
      <w:pPr>
        <w:spacing w:line="312" w:lineRule="auto"/>
        <w:ind w:right="-20" w:firstLine="1080" w:firstLineChars="45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提交期限：按通用条款执行。</w:t>
      </w:r>
    </w:p>
    <w:p>
      <w:pPr>
        <w:pStyle w:val="11"/>
        <w:tabs>
          <w:tab w:val="left" w:pos="540"/>
        </w:tabs>
        <w:adjustRightInd w:val="0"/>
        <w:snapToGrid w:val="0"/>
        <w:spacing w:before="240" w:beforeLines="100" w:line="360" w:lineRule="auto"/>
        <w:ind w:right="-20"/>
        <w:jc w:val="both"/>
        <w:textAlignment w:val="baseline"/>
        <w:outlineLvl w:val="2"/>
        <w:rPr>
          <w:rStyle w:val="25"/>
          <w:rFonts w:hint="eastAsia" w:ascii="宋体" w:hAnsi="宋体" w:eastAsia="宋体" w:cs="宋体"/>
          <w:b/>
          <w:bCs/>
          <w:color w:val="000000"/>
          <w:kern w:val="2"/>
          <w:sz w:val="24"/>
          <w:szCs w:val="24"/>
          <w:highlight w:val="none"/>
          <w:lang w:val="en-US" w:eastAsia="zh-CN" w:bidi="ar-SA"/>
        </w:rPr>
      </w:pPr>
      <w:bookmarkStart w:id="240" w:name="_Toc10762"/>
      <w:bookmarkStart w:id="241" w:name="_Toc6153"/>
      <w:bookmarkStart w:id="242" w:name="_Toc16090"/>
      <w:bookmarkStart w:id="243" w:name="_Toc17927"/>
      <w:r>
        <w:rPr>
          <w:rStyle w:val="25"/>
          <w:rFonts w:hint="eastAsia" w:ascii="宋体" w:hAnsi="宋体" w:eastAsia="宋体" w:cs="宋体"/>
          <w:b/>
          <w:bCs/>
          <w:color w:val="000000"/>
          <w:kern w:val="2"/>
          <w:sz w:val="24"/>
          <w:szCs w:val="24"/>
          <w:highlight w:val="none"/>
          <w:lang w:val="en-US" w:eastAsia="zh-CN" w:bidi="ar-SA"/>
        </w:rPr>
        <w:t>86 合同争议</w:t>
      </w:r>
      <w:bookmarkEnd w:id="240"/>
      <w:bookmarkEnd w:id="241"/>
      <w:bookmarkEnd w:id="242"/>
      <w:bookmarkEnd w:id="243"/>
    </w:p>
    <w:p>
      <w:pPr>
        <w:tabs>
          <w:tab w:val="left" w:pos="1240"/>
        </w:tabs>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86.4 争议调解或认定机构</w:t>
      </w:r>
    </w:p>
    <w:p>
      <w:pPr>
        <w:tabs>
          <w:tab w:val="left" w:pos="1240"/>
        </w:tabs>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√按合同通用条款的规定。</w:t>
      </w:r>
    </w:p>
    <w:p>
      <w:pPr>
        <w:tabs>
          <w:tab w:val="left" w:pos="1240"/>
        </w:tabs>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×不按合同通用条款的规定，合同双方认可为：</w:t>
      </w:r>
    </w:p>
    <w:p>
      <w:pPr>
        <w:tabs>
          <w:tab w:val="left" w:pos="1240"/>
        </w:tabs>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（1）</w:t>
      </w:r>
    </w:p>
    <w:p>
      <w:pPr>
        <w:tabs>
          <w:tab w:val="left" w:pos="1240"/>
        </w:tabs>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（2）</w:t>
      </w:r>
    </w:p>
    <w:p>
      <w:pPr>
        <w:tabs>
          <w:tab w:val="left" w:pos="1240"/>
        </w:tabs>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（3）</w:t>
      </w:r>
    </w:p>
    <w:p>
      <w:pPr>
        <w:tabs>
          <w:tab w:val="left" w:pos="1240"/>
        </w:tabs>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86.6 双方同意选择下列一种方式解决争议：</w:t>
      </w:r>
    </w:p>
    <w:p>
      <w:pPr>
        <w:tabs>
          <w:tab w:val="left" w:pos="1240"/>
        </w:tabs>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×向（仲裁机构）申请仲裁。</w:t>
      </w:r>
    </w:p>
    <w:p>
      <w:pPr>
        <w:tabs>
          <w:tab w:val="left" w:pos="1240"/>
        </w:tabs>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√向工程项目所在地人民法院提起诉讼。</w:t>
      </w:r>
    </w:p>
    <w:p>
      <w:pPr>
        <w:pStyle w:val="11"/>
        <w:tabs>
          <w:tab w:val="left" w:pos="540"/>
        </w:tabs>
        <w:adjustRightInd w:val="0"/>
        <w:snapToGrid w:val="0"/>
        <w:spacing w:before="240" w:beforeLines="100" w:line="360" w:lineRule="auto"/>
        <w:ind w:right="-20"/>
        <w:jc w:val="both"/>
        <w:textAlignment w:val="baseline"/>
        <w:outlineLvl w:val="2"/>
        <w:rPr>
          <w:rStyle w:val="25"/>
          <w:rFonts w:hint="eastAsia" w:ascii="宋体" w:hAnsi="宋体" w:eastAsia="宋体" w:cs="宋体"/>
          <w:b/>
          <w:bCs/>
          <w:color w:val="000000"/>
          <w:kern w:val="2"/>
          <w:sz w:val="24"/>
          <w:szCs w:val="24"/>
          <w:highlight w:val="none"/>
          <w:lang w:val="en-US" w:eastAsia="zh-CN" w:bidi="ar-SA"/>
        </w:rPr>
      </w:pPr>
      <w:bookmarkStart w:id="244" w:name="_Toc32583"/>
      <w:bookmarkStart w:id="245" w:name="_Toc8063"/>
      <w:bookmarkStart w:id="246" w:name="_Toc30831"/>
      <w:bookmarkStart w:id="247" w:name="_Toc7081"/>
      <w:r>
        <w:rPr>
          <w:rStyle w:val="25"/>
          <w:rFonts w:hint="eastAsia" w:ascii="宋体" w:hAnsi="宋体" w:eastAsia="宋体" w:cs="宋体"/>
          <w:b/>
          <w:bCs/>
          <w:color w:val="000000"/>
          <w:kern w:val="2"/>
          <w:sz w:val="24"/>
          <w:szCs w:val="24"/>
          <w:highlight w:val="none"/>
          <w:lang w:val="en-US" w:eastAsia="zh-CN" w:bidi="ar-SA"/>
        </w:rPr>
        <w:t>87 合同解除</w:t>
      </w:r>
      <w:bookmarkEnd w:id="244"/>
      <w:bookmarkEnd w:id="245"/>
      <w:bookmarkEnd w:id="246"/>
      <w:bookmarkEnd w:id="247"/>
    </w:p>
    <w:p>
      <w:pPr>
        <w:tabs>
          <w:tab w:val="left" w:pos="1240"/>
        </w:tabs>
        <w:spacing w:line="312" w:lineRule="auto"/>
        <w:ind w:right="-20" w:firstLine="482" w:firstLineChars="200"/>
        <w:jc w:val="both"/>
        <w:textAlignment w:val="baseline"/>
        <w:rPr>
          <w:rStyle w:val="43"/>
          <w:rFonts w:hint="eastAsia" w:ascii="宋体" w:hAnsi="宋体" w:eastAsia="宋体" w:cs="宋体"/>
          <w:b/>
          <w:bCs/>
          <w:color w:val="auto"/>
          <w:kern w:val="2"/>
          <w:sz w:val="24"/>
          <w:szCs w:val="24"/>
          <w:highlight w:val="none"/>
          <w:lang w:val="en-US" w:eastAsia="zh-CN" w:bidi="ar-SA"/>
        </w:rPr>
      </w:pPr>
      <w:r>
        <w:rPr>
          <w:rStyle w:val="43"/>
          <w:rFonts w:hint="eastAsia" w:ascii="宋体" w:hAnsi="宋体" w:eastAsia="宋体" w:cs="宋体"/>
          <w:b/>
          <w:bCs/>
          <w:color w:val="auto"/>
          <w:kern w:val="2"/>
          <w:sz w:val="24"/>
          <w:szCs w:val="24"/>
          <w:highlight w:val="none"/>
          <w:lang w:val="en-US" w:eastAsia="zh-CN" w:bidi="ar-SA"/>
        </w:rPr>
        <w:t>承包人与发包人一致同意增加第87.7至87.11款：</w:t>
      </w:r>
    </w:p>
    <w:p>
      <w:pPr>
        <w:tabs>
          <w:tab w:val="left" w:pos="1240"/>
        </w:tabs>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87.7 合同解除后，不影响双方在合同中约定的结算和清理条款的效力，亦不能免除承包人对已完工项目的保修责任。</w:t>
      </w:r>
    </w:p>
    <w:p>
      <w:pPr>
        <w:tabs>
          <w:tab w:val="left" w:pos="1240"/>
        </w:tabs>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87.8 发包人有权依据本合同有关条款的约定部分解除合同或解除合同。</w:t>
      </w:r>
    </w:p>
    <w:p>
      <w:pPr>
        <w:tabs>
          <w:tab w:val="left" w:pos="1240"/>
        </w:tabs>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87.9 部分解除合同</w:t>
      </w:r>
    </w:p>
    <w:p>
      <w:pPr>
        <w:tabs>
          <w:tab w:val="left" w:pos="1240"/>
        </w:tabs>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承包人违约致部分解除合同的条件成就时，承包人在此承诺：</w:t>
      </w:r>
    </w:p>
    <w:p>
      <w:pPr>
        <w:tabs>
          <w:tab w:val="left" w:pos="1240"/>
        </w:tabs>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（1）因承包人违约致部分解除合同的条件成就时，发包人有权向承包人发出部分解除合同的通知，该通知送达承包人时部分解除合同即生效，并立即按照专用条款第96.4（4）款的约定执行。</w:t>
      </w:r>
    </w:p>
    <w:p>
      <w:pPr>
        <w:tabs>
          <w:tab w:val="left" w:pos="1240"/>
        </w:tabs>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（2）承包人在接到部分解除合同的通知后，在2天内停止该部分工程的施工，并将机械、材料、物件、人员从该部分工程的施工场地撤离。</w:t>
      </w:r>
    </w:p>
    <w:p>
      <w:pPr>
        <w:tabs>
          <w:tab w:val="left" w:pos="1240"/>
        </w:tabs>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3）停工3天内，发包人、监理单位会同承包人对已完成工程量进行清点。发包人只承认已发生且符合质量验收标准的部分工程，对于已订货而未到现场或在现场未使用的材料、设备等均不予承认，由承包人自行处理。对于承包人已开工但经检验不合格的工程，承包人在总监理工程师发出通知的限期内拆除，并清运出工地，由此带来的损失由承包人自行承担。</w:t>
      </w:r>
    </w:p>
    <w:p>
      <w:pPr>
        <w:tabs>
          <w:tab w:val="left" w:pos="1240"/>
        </w:tabs>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（4）承包人在收到部分解除合同的通知后，若不按上述约定执行，发包人有权自行处理承包人滞留在施工现场的物品，处理费用及因此所造成的损失由承包人承担。</w:t>
      </w:r>
    </w:p>
    <w:p>
      <w:pPr>
        <w:tabs>
          <w:tab w:val="left" w:pos="1240"/>
        </w:tabs>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（5）部分解除合同的通知到达承包人后，发包人就该部分解除合同的工程即可另行与其他单位签订施工合同，承包人不得阻碍新的单位进场施工。</w:t>
      </w:r>
    </w:p>
    <w:p>
      <w:pPr>
        <w:tabs>
          <w:tab w:val="left" w:pos="1240"/>
        </w:tabs>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（6）当部分解除合同的工程额达到本合同价款的50%时，发包人有权解除合同。</w:t>
      </w:r>
    </w:p>
    <w:p>
      <w:pPr>
        <w:tabs>
          <w:tab w:val="left" w:pos="1240"/>
        </w:tabs>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87.10 解除合同</w:t>
      </w:r>
    </w:p>
    <w:p>
      <w:pPr>
        <w:tabs>
          <w:tab w:val="left" w:pos="1240"/>
        </w:tabs>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承包人违约致解除合同的条件成就时，承包人在此承诺：</w:t>
      </w:r>
    </w:p>
    <w:p>
      <w:pPr>
        <w:tabs>
          <w:tab w:val="left" w:pos="1240"/>
        </w:tabs>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（1）因承包人违约致解除合同的条件成就时，发包人有权向承包人发出解除合同的通知，该通知送达承包人时解除合同即生效，并立即按照专用条款第96.4（5）款的约定执行。</w:t>
      </w:r>
    </w:p>
    <w:p>
      <w:pPr>
        <w:tabs>
          <w:tab w:val="left" w:pos="1240"/>
        </w:tabs>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2）承包人接到解除合同的通知后，必须在2天内停止工程施工，并在10天内将机械、材料、物件、人员从施工现场撤离。停工3天内，发包人、监理单位将会同承包人对已完成工程量进行清点，清点规则比照部分解除合同的情形处理。</w:t>
      </w:r>
    </w:p>
    <w:p>
      <w:pPr>
        <w:tabs>
          <w:tab w:val="left" w:pos="1240"/>
        </w:tabs>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3）承包人未在规定期限内离场的，发包人有权将其留在现场的材料、设备和其他物件临时转运到其它堆放处，由此产生的搬运、保管费用由承包人负责，在此过程中出现的任何非发包人主观故意引起的损坏、遗失及因此所造成的其他损失全部由承包人自行负责，处理费用由承包人承担。</w:t>
      </w:r>
    </w:p>
    <w:p>
      <w:pPr>
        <w:tabs>
          <w:tab w:val="left" w:pos="1240"/>
        </w:tabs>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（4）解除合同的通知到达承包人后，发包人就该解除合同的工程即可另行与其他单位签订施工合同，承包人不得阻碍新的单位进场施工。</w:t>
      </w:r>
    </w:p>
    <w:p>
      <w:pPr>
        <w:tabs>
          <w:tab w:val="left" w:pos="1240"/>
        </w:tabs>
        <w:spacing w:line="312" w:lineRule="auto"/>
        <w:ind w:right="-20" w:firstLine="480" w:firstLineChars="200"/>
        <w:jc w:val="both"/>
        <w:textAlignment w:val="baseline"/>
        <w:rPr>
          <w:rStyle w:val="43"/>
          <w:rFonts w:hint="eastAsia" w:ascii="宋体" w:hAnsi="宋体" w:eastAsia="宋体" w:cs="宋体"/>
          <w:b/>
          <w:bCs/>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87.11承包人在部分解除合同或解除合同后，还必须在规定期限内作好已施工技术资料和实物的交底、移交工作。承包人因未履行上述义务而给发包人带来工期延误和其他损失的，应赔偿发包人的实际损失。</w:t>
      </w:r>
    </w:p>
    <w:p>
      <w:pPr>
        <w:tabs>
          <w:tab w:val="left" w:pos="1240"/>
          <w:tab w:val="left" w:pos="3640"/>
          <w:tab w:val="left" w:pos="6040"/>
          <w:tab w:val="left" w:pos="7845"/>
        </w:tabs>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90承包人的违约责任。</w:t>
      </w:r>
    </w:p>
    <w:p>
      <w:pPr>
        <w:tabs>
          <w:tab w:val="left" w:pos="1240"/>
          <w:tab w:val="left" w:pos="3640"/>
          <w:tab w:val="left" w:pos="6040"/>
          <w:tab w:val="left" w:pos="7845"/>
        </w:tabs>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90.1当发生下列情况时：</w:t>
      </w:r>
    </w:p>
    <w:p>
      <w:pPr>
        <w:tabs>
          <w:tab w:val="left" w:pos="1240"/>
          <w:tab w:val="left" w:pos="3640"/>
          <w:tab w:val="left" w:pos="6040"/>
          <w:tab w:val="left" w:pos="7845"/>
        </w:tabs>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（1）本合同通用条款第38条提到的因承包人原因不能按照协议书约定的竣工日期或发包人同意顺延的工期竣工；</w:t>
      </w:r>
    </w:p>
    <w:p>
      <w:pPr>
        <w:tabs>
          <w:tab w:val="left" w:pos="1240"/>
          <w:tab w:val="left" w:pos="3640"/>
          <w:tab w:val="left" w:pos="6040"/>
          <w:tab w:val="left" w:pos="7845"/>
        </w:tabs>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（2）本合同通用条款第42条提到的因承包人原因工程质量达不到协议书约定的质量标准；</w:t>
      </w:r>
    </w:p>
    <w:p>
      <w:pPr>
        <w:tabs>
          <w:tab w:val="left" w:pos="1240"/>
          <w:tab w:val="left" w:pos="3640"/>
          <w:tab w:val="left" w:pos="6040"/>
          <w:tab w:val="left" w:pos="7845"/>
        </w:tabs>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（3）承包人不履行合同义务或不按合同约定履行义务的其他情况。</w:t>
      </w:r>
    </w:p>
    <w:p>
      <w:pPr>
        <w:tabs>
          <w:tab w:val="left" w:pos="1240"/>
          <w:tab w:val="left" w:pos="3640"/>
          <w:tab w:val="left" w:pos="6040"/>
          <w:tab w:val="left" w:pos="7845"/>
        </w:tabs>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承包人承担违约，赔偿因其违约给发包人造成的损失。双方在合同专用条款内约定承包人赔偿发包人损失的计算方法或者承包人应当支付违约金的数额或计算方法。</w:t>
      </w:r>
    </w:p>
    <w:p>
      <w:pPr>
        <w:tabs>
          <w:tab w:val="left" w:pos="1240"/>
          <w:tab w:val="left" w:pos="3640"/>
          <w:tab w:val="left" w:pos="6040"/>
          <w:tab w:val="left" w:pos="7845"/>
        </w:tabs>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90.2一方违约后，另一方要求违约方继续履行合同时，违约方承担上述违约责任后仍应继续履行合同。</w:t>
      </w:r>
    </w:p>
    <w:p>
      <w:pPr>
        <w:tabs>
          <w:tab w:val="left" w:pos="1240"/>
          <w:tab w:val="left" w:pos="3640"/>
          <w:tab w:val="left" w:pos="6040"/>
          <w:tab w:val="left" w:pos="7845"/>
        </w:tabs>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90.3 承包人承担违约责任的方式包括但不限于：</w:t>
      </w:r>
    </w:p>
    <w:p>
      <w:pPr>
        <w:tabs>
          <w:tab w:val="left" w:pos="1240"/>
          <w:tab w:val="left" w:pos="3640"/>
          <w:tab w:val="left" w:pos="6040"/>
          <w:tab w:val="left" w:pos="7845"/>
        </w:tabs>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1）书面警告。承包人不履行或不完全履行合同或不执行总监理工程师或发包人（含主管人员）的指令时，发包人有权向承包人发出书面警告。承包人必须在书面警告限定的时间内履行义务或执行指令，否则应承担1次一般违约责任。</w:t>
      </w:r>
    </w:p>
    <w:p>
      <w:pPr>
        <w:tabs>
          <w:tab w:val="left" w:pos="1240"/>
          <w:tab w:val="left" w:pos="3640"/>
          <w:tab w:val="left" w:pos="6040"/>
          <w:tab w:val="left" w:pos="7845"/>
        </w:tabs>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（2）一般违约责任。承包人违反本合同的约定须承担一般违约责任时，必须向发包人交纳违约金（× 5000元、√10000元、×30000/次）。</w:t>
      </w:r>
    </w:p>
    <w:p>
      <w:pPr>
        <w:tabs>
          <w:tab w:val="left" w:pos="1240"/>
          <w:tab w:val="left" w:pos="3640"/>
          <w:tab w:val="left" w:pos="6040"/>
          <w:tab w:val="left" w:pos="7845"/>
        </w:tabs>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（3）严重违约责任。承包人违反本合同的约定须承担严重违约责任时，必须向发包人交纳违约金（× 30000元、√50000元、×80000元/次）。</w:t>
      </w:r>
    </w:p>
    <w:p>
      <w:pPr>
        <w:tabs>
          <w:tab w:val="left" w:pos="1240"/>
          <w:tab w:val="left" w:pos="3640"/>
          <w:tab w:val="left" w:pos="6040"/>
          <w:tab w:val="left" w:pos="7845"/>
        </w:tabs>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4）部分解除合同。当承包人违反本合同的约定符合部分解除合同的条件时，发包人有权向承包人发出书面部分解除合同的通知，该通知在送达承包人时即生效。发包人有权从本合同价款中直接扣除被解除部分工程所需的全部费用，同时，承包人应在部分解除合同之日起七日内向发包人支付被解除部分工程合同价款20%的违约金并赔偿发包人的实际损失。</w:t>
      </w:r>
    </w:p>
    <w:p>
      <w:pPr>
        <w:tabs>
          <w:tab w:val="left" w:pos="1240"/>
          <w:tab w:val="left" w:pos="3640"/>
          <w:tab w:val="left" w:pos="6040"/>
          <w:tab w:val="left" w:pos="7845"/>
        </w:tabs>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5）解除合同。当承包人违反本合同的约定符合解除合同的条件时，发包人有权向承包人发出书面解除合同的通知，该通知在送达承包人时即生效，承包人应在解除合同之日起七日内向发包人支付本合同价款20%的违约金并赔偿发包人的实际损失，违约金与赔偿金之和不高于发包人已支付给承包人的合同价款总额。</w:t>
      </w:r>
    </w:p>
    <w:p>
      <w:pPr>
        <w:tabs>
          <w:tab w:val="left" w:pos="1240"/>
          <w:tab w:val="left" w:pos="3640"/>
          <w:tab w:val="left" w:pos="6040"/>
          <w:tab w:val="left" w:pos="7845"/>
        </w:tabs>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（6）赔偿损失。因承包人原因造成发包人经济损失的，承包人应赔偿发包人的全部直接和间接经济损失。</w:t>
      </w:r>
    </w:p>
    <w:p>
      <w:pPr>
        <w:tabs>
          <w:tab w:val="left" w:pos="1240"/>
          <w:tab w:val="left" w:pos="3640"/>
          <w:tab w:val="left" w:pos="6040"/>
          <w:tab w:val="left" w:pos="7845"/>
        </w:tabs>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承包人按本合同约定应缴纳的违约金和赔偿金应分别计算。</w:t>
      </w:r>
    </w:p>
    <w:p>
      <w:pPr>
        <w:tabs>
          <w:tab w:val="left" w:pos="1240"/>
          <w:tab w:val="left" w:pos="3640"/>
          <w:tab w:val="left" w:pos="6040"/>
          <w:tab w:val="left" w:pos="7845"/>
        </w:tabs>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90.4 在本合同有效期内，累计三次书面警告另追加一次一般违约责任；累计三次一般违约责任另追加一次严重违约责任；累计三次严重违约责任，发包人有权单方面部分或全部解除合同。</w:t>
      </w:r>
    </w:p>
    <w:p>
      <w:pPr>
        <w:tabs>
          <w:tab w:val="left" w:pos="1240"/>
          <w:tab w:val="left" w:pos="3640"/>
          <w:tab w:val="left" w:pos="6040"/>
          <w:tab w:val="left" w:pos="7845"/>
        </w:tabs>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90.5 承包人违约须向发包人支付违约金或赔偿金时，发包人有权从应支付给承包人的工程款中直接抵扣；抵扣款项计入工程累计进度款，结算时不予退还，承包人不得有异议。必要时，发包人有权书面通知承包人交纳，承包人必须在发包人规定的时间内主动交纳，否则，发包人有权按应交纳金额每天加收2‰滞纳金。</w:t>
      </w:r>
    </w:p>
    <w:p>
      <w:pPr>
        <w:tabs>
          <w:tab w:val="left" w:pos="1240"/>
          <w:tab w:val="left" w:pos="3640"/>
          <w:tab w:val="left" w:pos="6040"/>
          <w:tab w:val="left" w:pos="7845"/>
        </w:tabs>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90.6 工程组织管理方面的违约责任</w:t>
      </w:r>
    </w:p>
    <w:p>
      <w:pPr>
        <w:tabs>
          <w:tab w:val="left" w:pos="1240"/>
          <w:tab w:val="left" w:pos="3640"/>
          <w:tab w:val="left" w:pos="6040"/>
          <w:tab w:val="left" w:pos="7845"/>
        </w:tabs>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1）承包人违反专用条款的约定，不服从发包人及监理单位的管理，对发包人、监理单位的指令和书面通知公开或变相拒不执行的，发包人视情节严重程度有权要求其承担1次一般违约责任或者1次严重违约责任，并由承包人承担由此造成的一切经济损失。情节较轻的，可给予书面警告；情节特别严重的，发包人有权单方面部分解除合同或解除合同。</w:t>
      </w:r>
    </w:p>
    <w:p>
      <w:pPr>
        <w:tabs>
          <w:tab w:val="left" w:pos="1240"/>
          <w:tab w:val="left" w:pos="3640"/>
          <w:tab w:val="left" w:pos="6040"/>
          <w:tab w:val="left" w:pos="7845"/>
        </w:tabs>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2）承包人不遵守发包人依据协议书第10条约定所制订的各项制度、规定的，由承包人按所触犯制度、规定的有关规定承担违约责任。所触犯制度、规定没有明确规定的，由发包人参照专用条款第96.7（1）款的约定处理。</w:t>
      </w:r>
    </w:p>
    <w:p>
      <w:pPr>
        <w:tabs>
          <w:tab w:val="left" w:pos="1240"/>
          <w:tab w:val="left" w:pos="3640"/>
          <w:tab w:val="left" w:pos="6040"/>
          <w:tab w:val="left" w:pos="7845"/>
        </w:tabs>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3）承包人不按通、专用条款第20条、第27条的有关约定投入技术管理人员、施工作业人员、施工机械设备，或者擅自变更资源投入计划或者擅自对已投入的资源进行调整的，承包人必须按照总监理工程师或者发包人的指令限期改正；承包人拒不限期改正的，发包人有权要求其承担1次一般违约责任或者1次严重违约责任。情节较轻的，可给予书面警告；情节特别严重的，发包人有权单方面部分解除合同或解除合同。</w:t>
      </w:r>
    </w:p>
    <w:p>
      <w:pPr>
        <w:tabs>
          <w:tab w:val="left" w:pos="1240"/>
          <w:tab w:val="left" w:pos="3640"/>
          <w:tab w:val="left" w:pos="6040"/>
          <w:tab w:val="left" w:pos="7845"/>
        </w:tabs>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如承包人违背投标承诺的，除按上述约定承担责任之外，还应同时无条件按下表约定的金额向发包人支付违约金：</w:t>
      </w:r>
    </w:p>
    <w:tbl>
      <w:tblPr>
        <w:tblStyle w:val="24"/>
        <w:tblW w:w="9315"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8"/>
        <w:gridCol w:w="1637"/>
        <w:gridCol w:w="3600"/>
        <w:gridCol w:w="1260"/>
        <w:gridCol w:w="1260"/>
        <w:gridCol w:w="10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478" w:type="dxa"/>
            <w:tcBorders>
              <w:top w:val="single" w:color="000000" w:sz="4" w:space="0"/>
              <w:left w:val="single" w:color="000000" w:sz="4" w:space="0"/>
              <w:bottom w:val="single" w:color="000000" w:sz="4" w:space="0"/>
              <w:right w:val="single" w:color="000000" w:sz="4" w:space="0"/>
            </w:tcBorders>
            <w:vAlign w:val="center"/>
          </w:tcPr>
          <w:p>
            <w:pPr>
              <w:snapToGrid w:val="0"/>
              <w:spacing w:line="312" w:lineRule="auto"/>
              <w:jc w:val="center"/>
              <w:textAlignment w:val="baseline"/>
              <w:rPr>
                <w:rStyle w:val="43"/>
                <w:rFonts w:hint="eastAsia" w:ascii="宋体" w:hAnsi="宋体" w:eastAsia="宋体" w:cs="宋体"/>
                <w:color w:val="auto"/>
                <w:kern w:val="2"/>
                <w:sz w:val="21"/>
                <w:szCs w:val="22"/>
                <w:highlight w:val="none"/>
                <w:lang w:val="en-US" w:eastAsia="zh-CN" w:bidi="ar-SA"/>
              </w:rPr>
            </w:pPr>
            <w:r>
              <w:rPr>
                <w:rStyle w:val="43"/>
                <w:rFonts w:hint="eastAsia" w:ascii="宋体" w:hAnsi="宋体" w:eastAsia="宋体" w:cs="宋体"/>
                <w:color w:val="auto"/>
                <w:kern w:val="2"/>
                <w:sz w:val="21"/>
                <w:szCs w:val="22"/>
                <w:highlight w:val="none"/>
                <w:lang w:val="en-US" w:eastAsia="zh-CN" w:bidi="ar-SA"/>
              </w:rPr>
              <w:t>序号</w:t>
            </w:r>
          </w:p>
        </w:tc>
        <w:tc>
          <w:tcPr>
            <w:tcW w:w="1637" w:type="dxa"/>
            <w:tcBorders>
              <w:top w:val="single" w:color="000000" w:sz="4" w:space="0"/>
              <w:left w:val="single" w:color="000000" w:sz="4" w:space="0"/>
              <w:bottom w:val="single" w:color="000000" w:sz="4" w:space="0"/>
              <w:right w:val="single" w:color="000000" w:sz="4" w:space="0"/>
            </w:tcBorders>
            <w:vAlign w:val="center"/>
          </w:tcPr>
          <w:p>
            <w:pPr>
              <w:snapToGrid w:val="0"/>
              <w:spacing w:line="312" w:lineRule="auto"/>
              <w:jc w:val="center"/>
              <w:textAlignment w:val="baseline"/>
              <w:rPr>
                <w:rStyle w:val="43"/>
                <w:rFonts w:hint="eastAsia" w:ascii="宋体" w:hAnsi="宋体" w:eastAsia="宋体" w:cs="宋体"/>
                <w:color w:val="auto"/>
                <w:kern w:val="2"/>
                <w:sz w:val="21"/>
                <w:szCs w:val="22"/>
                <w:highlight w:val="none"/>
                <w:lang w:val="en-US" w:eastAsia="zh-CN" w:bidi="ar-SA"/>
              </w:rPr>
            </w:pPr>
            <w:r>
              <w:rPr>
                <w:rStyle w:val="43"/>
                <w:rFonts w:hint="eastAsia" w:ascii="宋体" w:hAnsi="宋体" w:eastAsia="宋体" w:cs="宋体"/>
                <w:color w:val="auto"/>
                <w:kern w:val="2"/>
                <w:sz w:val="21"/>
                <w:szCs w:val="22"/>
                <w:highlight w:val="none"/>
                <w:lang w:val="en-US" w:eastAsia="zh-CN" w:bidi="ar-SA"/>
              </w:rPr>
              <w:t>承诺项目</w:t>
            </w:r>
          </w:p>
        </w:tc>
        <w:tc>
          <w:tcPr>
            <w:tcW w:w="3600" w:type="dxa"/>
            <w:tcBorders>
              <w:top w:val="single" w:color="000000" w:sz="4" w:space="0"/>
              <w:left w:val="single" w:color="000000" w:sz="4" w:space="0"/>
              <w:bottom w:val="single" w:color="000000" w:sz="4" w:space="0"/>
              <w:right w:val="single" w:color="000000" w:sz="4" w:space="0"/>
            </w:tcBorders>
            <w:vAlign w:val="center"/>
          </w:tcPr>
          <w:p>
            <w:pPr>
              <w:snapToGrid w:val="0"/>
              <w:spacing w:line="312" w:lineRule="auto"/>
              <w:jc w:val="center"/>
              <w:textAlignment w:val="baseline"/>
              <w:rPr>
                <w:rStyle w:val="43"/>
                <w:rFonts w:hint="eastAsia" w:ascii="宋体" w:hAnsi="宋体" w:eastAsia="宋体" w:cs="宋体"/>
                <w:color w:val="auto"/>
                <w:kern w:val="2"/>
                <w:sz w:val="21"/>
                <w:szCs w:val="22"/>
                <w:highlight w:val="none"/>
                <w:lang w:val="en-US" w:eastAsia="zh-CN" w:bidi="ar-SA"/>
              </w:rPr>
            </w:pPr>
            <w:r>
              <w:rPr>
                <w:rStyle w:val="43"/>
                <w:rFonts w:hint="eastAsia" w:ascii="宋体" w:hAnsi="宋体" w:eastAsia="宋体" w:cs="宋体"/>
                <w:color w:val="auto"/>
                <w:kern w:val="2"/>
                <w:sz w:val="21"/>
                <w:szCs w:val="22"/>
                <w:highlight w:val="none"/>
                <w:lang w:val="en-US" w:eastAsia="zh-CN" w:bidi="ar-SA"/>
              </w:rPr>
              <w:t>违约说明</w:t>
            </w:r>
          </w:p>
        </w:tc>
        <w:tc>
          <w:tcPr>
            <w:tcW w:w="3600" w:type="dxa"/>
            <w:gridSpan w:val="3"/>
            <w:tcBorders>
              <w:top w:val="single" w:color="000000" w:sz="4" w:space="0"/>
              <w:left w:val="single" w:color="000000" w:sz="4" w:space="0"/>
              <w:bottom w:val="single" w:color="000000" w:sz="4" w:space="0"/>
              <w:right w:val="single" w:color="000000" w:sz="4" w:space="0"/>
            </w:tcBorders>
            <w:vAlign w:val="center"/>
          </w:tcPr>
          <w:p>
            <w:pPr>
              <w:snapToGrid w:val="0"/>
              <w:spacing w:line="312" w:lineRule="auto"/>
              <w:jc w:val="center"/>
              <w:textAlignment w:val="baseline"/>
              <w:rPr>
                <w:rStyle w:val="43"/>
                <w:rFonts w:hint="eastAsia" w:ascii="宋体" w:hAnsi="宋体" w:eastAsia="宋体" w:cs="宋体"/>
                <w:color w:val="auto"/>
                <w:kern w:val="2"/>
                <w:sz w:val="21"/>
                <w:szCs w:val="22"/>
                <w:highlight w:val="none"/>
                <w:lang w:val="en-US" w:eastAsia="zh-CN" w:bidi="ar-SA"/>
              </w:rPr>
            </w:pPr>
            <w:r>
              <w:rPr>
                <w:rStyle w:val="43"/>
                <w:rFonts w:hint="eastAsia" w:ascii="宋体" w:hAnsi="宋体" w:eastAsia="宋体" w:cs="宋体"/>
                <w:color w:val="auto"/>
                <w:kern w:val="2"/>
                <w:sz w:val="21"/>
                <w:szCs w:val="22"/>
                <w:highlight w:val="none"/>
                <w:lang w:val="en-US" w:eastAsia="zh-CN" w:bidi="ar-SA"/>
              </w:rPr>
              <w:t>承包人承诺的违约金额（元）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478" w:type="dxa"/>
            <w:vMerge w:val="restart"/>
            <w:tcBorders>
              <w:top w:val="single" w:color="000000" w:sz="4" w:space="0"/>
              <w:left w:val="single" w:color="000000" w:sz="4" w:space="0"/>
              <w:bottom w:val="single" w:color="000000" w:sz="4" w:space="0"/>
              <w:right w:val="single" w:color="000000" w:sz="4" w:space="0"/>
            </w:tcBorders>
            <w:vAlign w:val="center"/>
          </w:tcPr>
          <w:p>
            <w:pPr>
              <w:snapToGrid w:val="0"/>
              <w:spacing w:line="312" w:lineRule="auto"/>
              <w:jc w:val="center"/>
              <w:textAlignment w:val="baseline"/>
              <w:rPr>
                <w:rStyle w:val="43"/>
                <w:rFonts w:hint="eastAsia" w:ascii="宋体" w:hAnsi="宋体" w:eastAsia="宋体" w:cs="宋体"/>
                <w:color w:val="auto"/>
                <w:kern w:val="2"/>
                <w:sz w:val="21"/>
                <w:szCs w:val="22"/>
                <w:highlight w:val="none"/>
                <w:lang w:val="en-US" w:eastAsia="zh-CN" w:bidi="ar-SA"/>
              </w:rPr>
            </w:pPr>
            <w:r>
              <w:rPr>
                <w:rStyle w:val="43"/>
                <w:rFonts w:hint="eastAsia" w:ascii="宋体" w:hAnsi="宋体" w:eastAsia="宋体" w:cs="宋体"/>
                <w:color w:val="auto"/>
                <w:kern w:val="2"/>
                <w:sz w:val="21"/>
                <w:szCs w:val="22"/>
                <w:highlight w:val="none"/>
                <w:lang w:val="en-US" w:eastAsia="zh-CN" w:bidi="ar-SA"/>
              </w:rPr>
              <w:t>1</w:t>
            </w:r>
          </w:p>
        </w:tc>
        <w:tc>
          <w:tcPr>
            <w:tcW w:w="1637" w:type="dxa"/>
            <w:vMerge w:val="restart"/>
            <w:tcBorders>
              <w:top w:val="single" w:color="000000" w:sz="4" w:space="0"/>
              <w:left w:val="single" w:color="000000" w:sz="4" w:space="0"/>
              <w:bottom w:val="single" w:color="000000" w:sz="4" w:space="0"/>
              <w:right w:val="single" w:color="000000" w:sz="4" w:space="0"/>
            </w:tcBorders>
            <w:vAlign w:val="center"/>
          </w:tcPr>
          <w:p>
            <w:pPr>
              <w:snapToGrid w:val="0"/>
              <w:spacing w:line="312" w:lineRule="auto"/>
              <w:ind w:left="315" w:hanging="315" w:hangingChars="150"/>
              <w:jc w:val="both"/>
              <w:textAlignment w:val="baseline"/>
              <w:rPr>
                <w:rStyle w:val="43"/>
                <w:rFonts w:hint="eastAsia" w:ascii="宋体" w:hAnsi="宋体" w:eastAsia="宋体" w:cs="宋体"/>
                <w:color w:val="auto"/>
                <w:kern w:val="2"/>
                <w:sz w:val="21"/>
                <w:szCs w:val="22"/>
                <w:highlight w:val="none"/>
                <w:lang w:val="en-US" w:eastAsia="zh-CN" w:bidi="ar-SA"/>
              </w:rPr>
            </w:pPr>
            <w:r>
              <w:rPr>
                <w:rStyle w:val="43"/>
                <w:rFonts w:hint="eastAsia" w:ascii="宋体" w:hAnsi="宋体" w:eastAsia="宋体" w:cs="宋体"/>
                <w:color w:val="auto"/>
                <w:kern w:val="2"/>
                <w:sz w:val="21"/>
                <w:szCs w:val="22"/>
                <w:highlight w:val="none"/>
                <w:lang w:val="en-US" w:eastAsia="zh-CN" w:bidi="ar-SA"/>
              </w:rPr>
              <w:t>施工总承包管理部</w:t>
            </w:r>
          </w:p>
        </w:tc>
        <w:tc>
          <w:tcPr>
            <w:tcW w:w="3600" w:type="dxa"/>
            <w:tcBorders>
              <w:top w:val="single" w:color="000000" w:sz="4" w:space="0"/>
              <w:left w:val="single" w:color="000000" w:sz="4" w:space="0"/>
              <w:bottom w:val="single" w:color="000000" w:sz="4" w:space="0"/>
              <w:right w:val="single" w:color="000000" w:sz="4" w:space="0"/>
            </w:tcBorders>
            <w:vAlign w:val="center"/>
          </w:tcPr>
          <w:p>
            <w:pPr>
              <w:snapToGrid w:val="0"/>
              <w:spacing w:line="312" w:lineRule="auto"/>
              <w:jc w:val="both"/>
              <w:textAlignment w:val="baseline"/>
              <w:rPr>
                <w:rStyle w:val="43"/>
                <w:rFonts w:hint="eastAsia" w:ascii="宋体" w:hAnsi="宋体" w:eastAsia="宋体" w:cs="宋体"/>
                <w:color w:val="auto"/>
                <w:kern w:val="2"/>
                <w:sz w:val="21"/>
                <w:szCs w:val="22"/>
                <w:highlight w:val="none"/>
                <w:lang w:val="en-US" w:eastAsia="zh-CN" w:bidi="ar-SA"/>
              </w:rPr>
            </w:pPr>
            <w:r>
              <w:rPr>
                <w:rStyle w:val="43"/>
                <w:rFonts w:hint="eastAsia" w:ascii="宋体" w:hAnsi="宋体" w:eastAsia="宋体" w:cs="宋体"/>
                <w:color w:val="auto"/>
                <w:kern w:val="2"/>
                <w:sz w:val="21"/>
                <w:szCs w:val="22"/>
                <w:highlight w:val="none"/>
                <w:lang w:val="en-US" w:eastAsia="zh-CN" w:bidi="ar-SA"/>
              </w:rPr>
              <w:t>未经批准更换项目经理或空缺</w:t>
            </w:r>
          </w:p>
        </w:tc>
        <w:tc>
          <w:tcPr>
            <w:tcW w:w="1260" w:type="dxa"/>
            <w:tcBorders>
              <w:top w:val="single" w:color="000000" w:sz="4" w:space="0"/>
              <w:left w:val="single" w:color="000000" w:sz="4" w:space="0"/>
              <w:bottom w:val="single" w:color="000000" w:sz="4" w:space="0"/>
              <w:right w:val="single" w:color="000000" w:sz="4" w:space="0"/>
            </w:tcBorders>
            <w:vAlign w:val="center"/>
          </w:tcPr>
          <w:p>
            <w:pPr>
              <w:snapToGrid w:val="0"/>
              <w:spacing w:line="312" w:lineRule="auto"/>
              <w:jc w:val="both"/>
              <w:textAlignment w:val="baseline"/>
              <w:rPr>
                <w:rStyle w:val="43"/>
                <w:rFonts w:hint="eastAsia" w:ascii="宋体" w:hAnsi="宋体" w:eastAsia="宋体" w:cs="宋体"/>
                <w:color w:val="auto"/>
                <w:kern w:val="2"/>
                <w:sz w:val="21"/>
                <w:szCs w:val="22"/>
                <w:highlight w:val="none"/>
                <w:lang w:val="en-US" w:eastAsia="zh-CN" w:bidi="ar-SA"/>
              </w:rPr>
            </w:pPr>
            <w:r>
              <w:rPr>
                <w:rStyle w:val="43"/>
                <w:rFonts w:hint="eastAsia" w:ascii="宋体" w:hAnsi="宋体" w:eastAsia="宋体" w:cs="宋体"/>
                <w:color w:val="auto"/>
                <w:kern w:val="2"/>
                <w:sz w:val="21"/>
                <w:szCs w:val="22"/>
                <w:highlight w:val="none"/>
                <w:lang w:val="en-US" w:eastAsia="zh-CN" w:bidi="ar-SA"/>
              </w:rPr>
              <w:t>□ 150000</w:t>
            </w:r>
          </w:p>
        </w:tc>
        <w:tc>
          <w:tcPr>
            <w:tcW w:w="1260" w:type="dxa"/>
            <w:tcBorders>
              <w:top w:val="single" w:color="000000" w:sz="4" w:space="0"/>
              <w:left w:val="single" w:color="000000" w:sz="4" w:space="0"/>
              <w:bottom w:val="single" w:color="000000" w:sz="4" w:space="0"/>
              <w:right w:val="single" w:color="000000" w:sz="4" w:space="0"/>
            </w:tcBorders>
            <w:vAlign w:val="center"/>
          </w:tcPr>
          <w:p>
            <w:pPr>
              <w:snapToGrid w:val="0"/>
              <w:spacing w:line="312" w:lineRule="auto"/>
              <w:jc w:val="both"/>
              <w:textAlignment w:val="baseline"/>
              <w:rPr>
                <w:rStyle w:val="43"/>
                <w:rFonts w:hint="eastAsia" w:ascii="宋体" w:hAnsi="宋体" w:eastAsia="宋体" w:cs="宋体"/>
                <w:color w:val="auto"/>
                <w:kern w:val="2"/>
                <w:sz w:val="21"/>
                <w:szCs w:val="22"/>
                <w:highlight w:val="none"/>
                <w:lang w:val="en-US" w:eastAsia="zh-CN" w:bidi="ar-SA"/>
              </w:rPr>
            </w:pPr>
            <w:r>
              <w:rPr>
                <w:rStyle w:val="43"/>
                <w:rFonts w:hint="eastAsia" w:ascii="宋体" w:hAnsi="宋体" w:eastAsia="宋体" w:cs="宋体"/>
                <w:color w:val="auto"/>
                <w:kern w:val="2"/>
                <w:sz w:val="21"/>
                <w:szCs w:val="22"/>
                <w:highlight w:val="none"/>
                <w:lang w:val="en-US" w:eastAsia="zh-CN" w:bidi="ar-SA"/>
              </w:rPr>
              <w:t>√ 300000</w:t>
            </w:r>
          </w:p>
        </w:tc>
        <w:tc>
          <w:tcPr>
            <w:tcW w:w="1080" w:type="dxa"/>
            <w:tcBorders>
              <w:top w:val="single" w:color="000000" w:sz="4" w:space="0"/>
              <w:left w:val="single" w:color="000000" w:sz="4" w:space="0"/>
              <w:bottom w:val="single" w:color="000000" w:sz="4" w:space="0"/>
              <w:right w:val="single" w:color="000000" w:sz="4" w:space="0"/>
            </w:tcBorders>
            <w:vAlign w:val="center"/>
          </w:tcPr>
          <w:p>
            <w:pPr>
              <w:snapToGrid w:val="0"/>
              <w:spacing w:line="312" w:lineRule="auto"/>
              <w:jc w:val="both"/>
              <w:textAlignment w:val="baseline"/>
              <w:rPr>
                <w:rStyle w:val="43"/>
                <w:rFonts w:hint="eastAsia" w:ascii="宋体" w:hAnsi="宋体" w:eastAsia="宋体" w:cs="宋体"/>
                <w:color w:val="auto"/>
                <w:kern w:val="2"/>
                <w:sz w:val="21"/>
                <w:szCs w:val="22"/>
                <w:highlight w:val="none"/>
                <w:lang w:val="en-US" w:eastAsia="zh-CN" w:bidi="ar-SA"/>
              </w:rPr>
            </w:pPr>
            <w:r>
              <w:rPr>
                <w:rStyle w:val="43"/>
                <w:rFonts w:hint="eastAsia" w:ascii="宋体" w:hAnsi="宋体" w:eastAsia="宋体" w:cs="宋体"/>
                <w:color w:val="auto"/>
                <w:kern w:val="2"/>
                <w:sz w:val="21"/>
                <w:szCs w:val="22"/>
                <w:highlight w:val="none"/>
                <w:lang w:val="en-US" w:eastAsia="zh-CN"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478"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312" w:lineRule="auto"/>
              <w:jc w:val="center"/>
              <w:textAlignment w:val="baseline"/>
              <w:rPr>
                <w:rStyle w:val="43"/>
                <w:rFonts w:hint="eastAsia" w:ascii="宋体" w:hAnsi="宋体" w:eastAsia="宋体" w:cs="宋体"/>
                <w:color w:val="auto"/>
                <w:kern w:val="2"/>
                <w:sz w:val="21"/>
                <w:szCs w:val="22"/>
                <w:highlight w:val="none"/>
                <w:lang w:val="en-US" w:eastAsia="zh-CN" w:bidi="ar-SA"/>
              </w:rPr>
            </w:pPr>
          </w:p>
        </w:tc>
        <w:tc>
          <w:tcPr>
            <w:tcW w:w="1637"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312" w:lineRule="auto"/>
              <w:jc w:val="both"/>
              <w:textAlignment w:val="baseline"/>
              <w:rPr>
                <w:rStyle w:val="43"/>
                <w:rFonts w:hint="eastAsia" w:ascii="宋体" w:hAnsi="宋体" w:eastAsia="宋体" w:cs="宋体"/>
                <w:color w:val="auto"/>
                <w:kern w:val="2"/>
                <w:sz w:val="21"/>
                <w:szCs w:val="22"/>
                <w:highlight w:val="none"/>
                <w:lang w:val="en-US" w:eastAsia="zh-CN" w:bidi="ar-SA"/>
              </w:rPr>
            </w:pPr>
          </w:p>
        </w:tc>
        <w:tc>
          <w:tcPr>
            <w:tcW w:w="3600" w:type="dxa"/>
            <w:tcBorders>
              <w:top w:val="single" w:color="000000" w:sz="4" w:space="0"/>
              <w:left w:val="single" w:color="000000" w:sz="4" w:space="0"/>
              <w:bottom w:val="single" w:color="000000" w:sz="4" w:space="0"/>
              <w:right w:val="single" w:color="000000" w:sz="4" w:space="0"/>
            </w:tcBorders>
            <w:vAlign w:val="center"/>
          </w:tcPr>
          <w:p>
            <w:pPr>
              <w:snapToGrid w:val="0"/>
              <w:spacing w:line="312" w:lineRule="auto"/>
              <w:jc w:val="both"/>
              <w:textAlignment w:val="baseline"/>
              <w:rPr>
                <w:rStyle w:val="43"/>
                <w:rFonts w:hint="eastAsia" w:ascii="宋体" w:hAnsi="宋体" w:eastAsia="宋体" w:cs="宋体"/>
                <w:color w:val="auto"/>
                <w:kern w:val="2"/>
                <w:sz w:val="21"/>
                <w:szCs w:val="22"/>
                <w:highlight w:val="none"/>
                <w:lang w:val="en-US" w:eastAsia="zh-CN" w:bidi="ar-SA"/>
              </w:rPr>
            </w:pPr>
            <w:r>
              <w:rPr>
                <w:rStyle w:val="43"/>
                <w:rFonts w:hint="eastAsia" w:ascii="宋体" w:hAnsi="宋体" w:eastAsia="宋体" w:cs="宋体"/>
                <w:color w:val="auto"/>
                <w:kern w:val="2"/>
                <w:sz w:val="21"/>
                <w:szCs w:val="22"/>
                <w:highlight w:val="none"/>
                <w:lang w:val="en-US" w:eastAsia="zh-CN" w:bidi="ar-SA"/>
              </w:rPr>
              <w:t>未经批准更换项目技术负责人或空缺</w:t>
            </w:r>
          </w:p>
        </w:tc>
        <w:tc>
          <w:tcPr>
            <w:tcW w:w="1260" w:type="dxa"/>
            <w:tcBorders>
              <w:top w:val="single" w:color="000000" w:sz="4" w:space="0"/>
              <w:left w:val="single" w:color="000000" w:sz="4" w:space="0"/>
              <w:bottom w:val="single" w:color="000000" w:sz="4" w:space="0"/>
              <w:right w:val="single" w:color="000000" w:sz="4" w:space="0"/>
            </w:tcBorders>
            <w:vAlign w:val="center"/>
          </w:tcPr>
          <w:p>
            <w:pPr>
              <w:snapToGrid w:val="0"/>
              <w:spacing w:line="312" w:lineRule="auto"/>
              <w:jc w:val="both"/>
              <w:textAlignment w:val="baseline"/>
              <w:rPr>
                <w:rStyle w:val="43"/>
                <w:rFonts w:hint="eastAsia" w:ascii="宋体" w:hAnsi="宋体" w:eastAsia="宋体" w:cs="宋体"/>
                <w:color w:val="auto"/>
                <w:kern w:val="2"/>
                <w:sz w:val="21"/>
                <w:szCs w:val="22"/>
                <w:highlight w:val="none"/>
                <w:lang w:val="en-US" w:eastAsia="zh-CN" w:bidi="ar-SA"/>
              </w:rPr>
            </w:pPr>
            <w:r>
              <w:rPr>
                <w:rStyle w:val="43"/>
                <w:rFonts w:hint="eastAsia" w:ascii="宋体" w:hAnsi="宋体" w:eastAsia="宋体" w:cs="宋体"/>
                <w:color w:val="auto"/>
                <w:kern w:val="2"/>
                <w:sz w:val="21"/>
                <w:szCs w:val="22"/>
                <w:highlight w:val="none"/>
                <w:lang w:val="en-US" w:eastAsia="zh-CN" w:bidi="ar-SA"/>
              </w:rPr>
              <w:t>□ 80000</w:t>
            </w:r>
          </w:p>
        </w:tc>
        <w:tc>
          <w:tcPr>
            <w:tcW w:w="1260" w:type="dxa"/>
            <w:tcBorders>
              <w:top w:val="single" w:color="000000" w:sz="4" w:space="0"/>
              <w:left w:val="single" w:color="000000" w:sz="4" w:space="0"/>
              <w:bottom w:val="single" w:color="000000" w:sz="4" w:space="0"/>
              <w:right w:val="single" w:color="000000" w:sz="4" w:space="0"/>
            </w:tcBorders>
            <w:vAlign w:val="center"/>
          </w:tcPr>
          <w:p>
            <w:pPr>
              <w:snapToGrid w:val="0"/>
              <w:spacing w:line="312" w:lineRule="auto"/>
              <w:jc w:val="both"/>
              <w:textAlignment w:val="baseline"/>
              <w:rPr>
                <w:rStyle w:val="43"/>
                <w:rFonts w:hint="eastAsia" w:ascii="宋体" w:hAnsi="宋体" w:eastAsia="宋体" w:cs="宋体"/>
                <w:color w:val="auto"/>
                <w:kern w:val="2"/>
                <w:sz w:val="21"/>
                <w:szCs w:val="22"/>
                <w:highlight w:val="none"/>
                <w:lang w:val="en-US" w:eastAsia="zh-CN" w:bidi="ar-SA"/>
              </w:rPr>
            </w:pPr>
            <w:r>
              <w:rPr>
                <w:rStyle w:val="43"/>
                <w:rFonts w:hint="eastAsia" w:ascii="宋体" w:hAnsi="宋体" w:eastAsia="宋体" w:cs="宋体"/>
                <w:color w:val="auto"/>
                <w:kern w:val="2"/>
                <w:sz w:val="21"/>
                <w:szCs w:val="22"/>
                <w:highlight w:val="none"/>
                <w:lang w:val="en-US" w:eastAsia="zh-CN" w:bidi="ar-SA"/>
              </w:rPr>
              <w:t>√ 200000</w:t>
            </w:r>
          </w:p>
        </w:tc>
        <w:tc>
          <w:tcPr>
            <w:tcW w:w="1080" w:type="dxa"/>
            <w:tcBorders>
              <w:top w:val="single" w:color="000000" w:sz="4" w:space="0"/>
              <w:left w:val="single" w:color="000000" w:sz="4" w:space="0"/>
              <w:bottom w:val="single" w:color="000000" w:sz="4" w:space="0"/>
              <w:right w:val="single" w:color="000000" w:sz="4" w:space="0"/>
            </w:tcBorders>
            <w:vAlign w:val="center"/>
          </w:tcPr>
          <w:p>
            <w:pPr>
              <w:snapToGrid w:val="0"/>
              <w:spacing w:line="312" w:lineRule="auto"/>
              <w:jc w:val="both"/>
              <w:textAlignment w:val="baseline"/>
              <w:rPr>
                <w:rStyle w:val="43"/>
                <w:rFonts w:hint="eastAsia" w:ascii="宋体" w:hAnsi="宋体" w:eastAsia="宋体" w:cs="宋体"/>
                <w:color w:val="auto"/>
                <w:kern w:val="2"/>
                <w:sz w:val="21"/>
                <w:szCs w:val="22"/>
                <w:highlight w:val="none"/>
                <w:lang w:val="en-US" w:eastAsia="zh-CN" w:bidi="ar-SA"/>
              </w:rPr>
            </w:pPr>
            <w:r>
              <w:rPr>
                <w:rStyle w:val="43"/>
                <w:rFonts w:hint="eastAsia" w:ascii="宋体" w:hAnsi="宋体" w:eastAsia="宋体" w:cs="宋体"/>
                <w:color w:val="auto"/>
                <w:kern w:val="2"/>
                <w:sz w:val="21"/>
                <w:szCs w:val="22"/>
                <w:highlight w:val="none"/>
                <w:lang w:val="en-US" w:eastAsia="zh-CN"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478"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312" w:lineRule="auto"/>
              <w:jc w:val="center"/>
              <w:textAlignment w:val="baseline"/>
              <w:rPr>
                <w:rStyle w:val="43"/>
                <w:rFonts w:hint="eastAsia" w:ascii="宋体" w:hAnsi="宋体" w:eastAsia="宋体" w:cs="宋体"/>
                <w:color w:val="auto"/>
                <w:kern w:val="2"/>
                <w:sz w:val="21"/>
                <w:szCs w:val="22"/>
                <w:highlight w:val="none"/>
                <w:lang w:val="en-US" w:eastAsia="zh-CN" w:bidi="ar-SA"/>
              </w:rPr>
            </w:pPr>
          </w:p>
        </w:tc>
        <w:tc>
          <w:tcPr>
            <w:tcW w:w="1637"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312" w:lineRule="auto"/>
              <w:jc w:val="both"/>
              <w:textAlignment w:val="baseline"/>
              <w:rPr>
                <w:rStyle w:val="43"/>
                <w:rFonts w:hint="eastAsia" w:ascii="宋体" w:hAnsi="宋体" w:eastAsia="宋体" w:cs="宋体"/>
                <w:color w:val="auto"/>
                <w:kern w:val="2"/>
                <w:sz w:val="21"/>
                <w:szCs w:val="22"/>
                <w:highlight w:val="none"/>
                <w:lang w:val="en-US" w:eastAsia="zh-CN" w:bidi="ar-SA"/>
              </w:rPr>
            </w:pPr>
          </w:p>
        </w:tc>
        <w:tc>
          <w:tcPr>
            <w:tcW w:w="3600" w:type="dxa"/>
            <w:tcBorders>
              <w:top w:val="single" w:color="000000" w:sz="4" w:space="0"/>
              <w:left w:val="single" w:color="000000" w:sz="4" w:space="0"/>
              <w:bottom w:val="single" w:color="000000" w:sz="4" w:space="0"/>
              <w:right w:val="single" w:color="000000" w:sz="4" w:space="0"/>
            </w:tcBorders>
            <w:vAlign w:val="center"/>
          </w:tcPr>
          <w:p>
            <w:pPr>
              <w:snapToGrid w:val="0"/>
              <w:spacing w:line="312" w:lineRule="auto"/>
              <w:jc w:val="both"/>
              <w:textAlignment w:val="baseline"/>
              <w:rPr>
                <w:rStyle w:val="43"/>
                <w:rFonts w:hint="eastAsia" w:ascii="宋体" w:hAnsi="宋体" w:eastAsia="宋体" w:cs="宋体"/>
                <w:color w:val="auto"/>
                <w:kern w:val="2"/>
                <w:sz w:val="21"/>
                <w:szCs w:val="22"/>
                <w:highlight w:val="none"/>
                <w:lang w:val="en-US" w:eastAsia="zh-CN" w:bidi="ar-SA"/>
              </w:rPr>
            </w:pPr>
            <w:r>
              <w:rPr>
                <w:rStyle w:val="43"/>
                <w:rFonts w:hint="eastAsia" w:ascii="宋体" w:hAnsi="宋体" w:eastAsia="宋体" w:cs="宋体"/>
                <w:color w:val="auto"/>
                <w:kern w:val="2"/>
                <w:sz w:val="21"/>
                <w:szCs w:val="22"/>
                <w:highlight w:val="none"/>
                <w:lang w:val="en-US" w:eastAsia="zh-CN" w:bidi="ar-SA"/>
              </w:rPr>
              <w:t>未经批准更换专职安全员或其他人</w:t>
            </w:r>
          </w:p>
        </w:tc>
        <w:tc>
          <w:tcPr>
            <w:tcW w:w="1260" w:type="dxa"/>
            <w:tcBorders>
              <w:top w:val="single" w:color="000000" w:sz="4" w:space="0"/>
              <w:left w:val="single" w:color="000000" w:sz="4" w:space="0"/>
              <w:bottom w:val="single" w:color="000000" w:sz="4" w:space="0"/>
              <w:right w:val="single" w:color="000000" w:sz="4" w:space="0"/>
            </w:tcBorders>
            <w:vAlign w:val="center"/>
          </w:tcPr>
          <w:p>
            <w:pPr>
              <w:snapToGrid w:val="0"/>
              <w:spacing w:line="312" w:lineRule="auto"/>
              <w:jc w:val="both"/>
              <w:textAlignment w:val="baseline"/>
              <w:rPr>
                <w:rStyle w:val="43"/>
                <w:rFonts w:hint="eastAsia" w:ascii="宋体" w:hAnsi="宋体" w:eastAsia="宋体" w:cs="宋体"/>
                <w:color w:val="auto"/>
                <w:kern w:val="2"/>
                <w:sz w:val="21"/>
                <w:szCs w:val="22"/>
                <w:highlight w:val="none"/>
                <w:lang w:val="en-US" w:eastAsia="zh-CN" w:bidi="ar-SA"/>
              </w:rPr>
            </w:pPr>
            <w:r>
              <w:rPr>
                <w:rStyle w:val="43"/>
                <w:rFonts w:hint="eastAsia" w:ascii="宋体" w:hAnsi="宋体" w:eastAsia="宋体" w:cs="宋体"/>
                <w:color w:val="auto"/>
                <w:kern w:val="2"/>
                <w:sz w:val="21"/>
                <w:szCs w:val="22"/>
                <w:highlight w:val="none"/>
                <w:lang w:val="en-US" w:eastAsia="zh-CN" w:bidi="ar-SA"/>
              </w:rPr>
              <w:t>□ 50000</w:t>
            </w:r>
          </w:p>
        </w:tc>
        <w:tc>
          <w:tcPr>
            <w:tcW w:w="1260" w:type="dxa"/>
            <w:tcBorders>
              <w:top w:val="single" w:color="000000" w:sz="4" w:space="0"/>
              <w:left w:val="single" w:color="000000" w:sz="4" w:space="0"/>
              <w:bottom w:val="single" w:color="000000" w:sz="4" w:space="0"/>
              <w:right w:val="single" w:color="000000" w:sz="4" w:space="0"/>
            </w:tcBorders>
            <w:vAlign w:val="center"/>
          </w:tcPr>
          <w:p>
            <w:pPr>
              <w:snapToGrid w:val="0"/>
              <w:spacing w:line="312" w:lineRule="auto"/>
              <w:jc w:val="both"/>
              <w:textAlignment w:val="baseline"/>
              <w:rPr>
                <w:rStyle w:val="43"/>
                <w:rFonts w:hint="eastAsia" w:ascii="宋体" w:hAnsi="宋体" w:eastAsia="宋体" w:cs="宋体"/>
                <w:color w:val="auto"/>
                <w:kern w:val="2"/>
                <w:sz w:val="21"/>
                <w:szCs w:val="22"/>
                <w:highlight w:val="none"/>
                <w:lang w:val="en-US" w:eastAsia="zh-CN" w:bidi="ar-SA"/>
              </w:rPr>
            </w:pPr>
            <w:r>
              <w:rPr>
                <w:rStyle w:val="43"/>
                <w:rFonts w:hint="eastAsia" w:ascii="宋体" w:hAnsi="宋体" w:eastAsia="宋体" w:cs="宋体"/>
                <w:color w:val="auto"/>
                <w:kern w:val="2"/>
                <w:sz w:val="21"/>
                <w:szCs w:val="22"/>
                <w:highlight w:val="none"/>
                <w:lang w:val="en-US" w:eastAsia="zh-CN" w:bidi="ar-SA"/>
              </w:rPr>
              <w:t>√ 100000</w:t>
            </w:r>
          </w:p>
        </w:tc>
        <w:tc>
          <w:tcPr>
            <w:tcW w:w="1080" w:type="dxa"/>
            <w:tcBorders>
              <w:top w:val="single" w:color="000000" w:sz="4" w:space="0"/>
              <w:left w:val="single" w:color="000000" w:sz="4" w:space="0"/>
              <w:bottom w:val="single" w:color="000000" w:sz="4" w:space="0"/>
              <w:right w:val="single" w:color="000000" w:sz="4" w:space="0"/>
            </w:tcBorders>
            <w:vAlign w:val="center"/>
          </w:tcPr>
          <w:p>
            <w:pPr>
              <w:snapToGrid w:val="0"/>
              <w:spacing w:line="312" w:lineRule="auto"/>
              <w:jc w:val="both"/>
              <w:textAlignment w:val="baseline"/>
              <w:rPr>
                <w:rStyle w:val="43"/>
                <w:rFonts w:hint="eastAsia" w:ascii="宋体" w:hAnsi="宋体" w:eastAsia="宋体" w:cs="宋体"/>
                <w:color w:val="auto"/>
                <w:kern w:val="2"/>
                <w:sz w:val="21"/>
                <w:szCs w:val="22"/>
                <w:highlight w:val="none"/>
                <w:lang w:val="en-US" w:eastAsia="zh-CN" w:bidi="ar-SA"/>
              </w:rPr>
            </w:pPr>
            <w:r>
              <w:rPr>
                <w:rStyle w:val="43"/>
                <w:rFonts w:hint="eastAsia" w:ascii="宋体" w:hAnsi="宋体" w:eastAsia="宋体" w:cs="宋体"/>
                <w:color w:val="auto"/>
                <w:kern w:val="2"/>
                <w:sz w:val="21"/>
                <w:szCs w:val="22"/>
                <w:highlight w:val="none"/>
                <w:lang w:val="en-US" w:eastAsia="zh-CN"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478" w:type="dxa"/>
            <w:vMerge w:val="restart"/>
            <w:tcBorders>
              <w:top w:val="single" w:color="000000" w:sz="4" w:space="0"/>
              <w:left w:val="single" w:color="000000" w:sz="4" w:space="0"/>
              <w:bottom w:val="single" w:color="000000" w:sz="4" w:space="0"/>
              <w:right w:val="single" w:color="000000" w:sz="4" w:space="0"/>
            </w:tcBorders>
            <w:vAlign w:val="center"/>
          </w:tcPr>
          <w:p>
            <w:pPr>
              <w:snapToGrid w:val="0"/>
              <w:spacing w:line="312" w:lineRule="auto"/>
              <w:jc w:val="center"/>
              <w:textAlignment w:val="baseline"/>
              <w:rPr>
                <w:rStyle w:val="43"/>
                <w:rFonts w:hint="eastAsia" w:ascii="宋体" w:hAnsi="宋体" w:eastAsia="宋体" w:cs="宋体"/>
                <w:color w:val="auto"/>
                <w:kern w:val="2"/>
                <w:sz w:val="21"/>
                <w:szCs w:val="22"/>
                <w:highlight w:val="none"/>
                <w:lang w:val="en-US" w:eastAsia="zh-CN" w:bidi="ar-SA"/>
              </w:rPr>
            </w:pPr>
            <w:r>
              <w:rPr>
                <w:rStyle w:val="43"/>
                <w:rFonts w:hint="eastAsia" w:ascii="宋体" w:hAnsi="宋体" w:eastAsia="宋体" w:cs="宋体"/>
                <w:color w:val="auto"/>
                <w:kern w:val="2"/>
                <w:sz w:val="21"/>
                <w:szCs w:val="22"/>
                <w:highlight w:val="none"/>
                <w:lang w:val="en-US" w:eastAsia="zh-CN" w:bidi="ar-SA"/>
              </w:rPr>
              <w:t>2</w:t>
            </w:r>
          </w:p>
        </w:tc>
        <w:tc>
          <w:tcPr>
            <w:tcW w:w="1637" w:type="dxa"/>
            <w:vMerge w:val="restart"/>
            <w:tcBorders>
              <w:top w:val="single" w:color="000000" w:sz="4" w:space="0"/>
              <w:left w:val="single" w:color="000000" w:sz="4" w:space="0"/>
              <w:bottom w:val="single" w:color="000000" w:sz="4" w:space="0"/>
              <w:right w:val="single" w:color="000000" w:sz="4" w:space="0"/>
            </w:tcBorders>
            <w:vAlign w:val="center"/>
          </w:tcPr>
          <w:p>
            <w:pPr>
              <w:snapToGrid w:val="0"/>
              <w:spacing w:line="312" w:lineRule="auto"/>
              <w:jc w:val="both"/>
              <w:textAlignment w:val="baseline"/>
              <w:rPr>
                <w:rStyle w:val="43"/>
                <w:rFonts w:hint="eastAsia" w:ascii="宋体" w:hAnsi="宋体" w:eastAsia="宋体" w:cs="宋体"/>
                <w:color w:val="auto"/>
                <w:kern w:val="2"/>
                <w:sz w:val="21"/>
                <w:szCs w:val="22"/>
                <w:highlight w:val="none"/>
                <w:lang w:val="en-US" w:eastAsia="zh-CN" w:bidi="ar-SA"/>
              </w:rPr>
            </w:pPr>
            <w:r>
              <w:rPr>
                <w:rStyle w:val="43"/>
                <w:rFonts w:hint="eastAsia" w:ascii="宋体" w:hAnsi="宋体" w:eastAsia="宋体" w:cs="宋体"/>
                <w:color w:val="auto"/>
                <w:kern w:val="2"/>
                <w:sz w:val="21"/>
                <w:szCs w:val="22"/>
                <w:highlight w:val="none"/>
                <w:lang w:val="en-US" w:eastAsia="zh-CN" w:bidi="ar-SA"/>
              </w:rPr>
              <w:t>施工项目部</w:t>
            </w:r>
          </w:p>
        </w:tc>
        <w:tc>
          <w:tcPr>
            <w:tcW w:w="3600" w:type="dxa"/>
            <w:tcBorders>
              <w:top w:val="single" w:color="000000" w:sz="4" w:space="0"/>
              <w:left w:val="single" w:color="000000" w:sz="4" w:space="0"/>
              <w:bottom w:val="single" w:color="000000" w:sz="4" w:space="0"/>
              <w:right w:val="single" w:color="000000" w:sz="4" w:space="0"/>
            </w:tcBorders>
            <w:vAlign w:val="center"/>
          </w:tcPr>
          <w:p>
            <w:pPr>
              <w:snapToGrid w:val="0"/>
              <w:spacing w:line="312" w:lineRule="auto"/>
              <w:jc w:val="both"/>
              <w:textAlignment w:val="baseline"/>
              <w:rPr>
                <w:rStyle w:val="43"/>
                <w:rFonts w:hint="eastAsia" w:ascii="宋体" w:hAnsi="宋体" w:eastAsia="宋体" w:cs="宋体"/>
                <w:color w:val="auto"/>
                <w:kern w:val="2"/>
                <w:sz w:val="21"/>
                <w:szCs w:val="22"/>
                <w:highlight w:val="none"/>
                <w:lang w:val="en-US" w:eastAsia="zh-CN" w:bidi="ar-SA"/>
              </w:rPr>
            </w:pPr>
            <w:r>
              <w:rPr>
                <w:rStyle w:val="43"/>
                <w:rFonts w:hint="eastAsia" w:ascii="宋体" w:hAnsi="宋体" w:eastAsia="宋体" w:cs="宋体"/>
                <w:color w:val="auto"/>
                <w:kern w:val="2"/>
                <w:sz w:val="21"/>
                <w:szCs w:val="22"/>
                <w:highlight w:val="none"/>
                <w:lang w:val="en-US" w:eastAsia="zh-CN" w:bidi="ar-SA"/>
              </w:rPr>
              <w:t>未经批准更换项目经理或空缺</w:t>
            </w:r>
          </w:p>
        </w:tc>
        <w:tc>
          <w:tcPr>
            <w:tcW w:w="1260" w:type="dxa"/>
            <w:tcBorders>
              <w:top w:val="single" w:color="000000" w:sz="4" w:space="0"/>
              <w:left w:val="single" w:color="000000" w:sz="4" w:space="0"/>
              <w:bottom w:val="single" w:color="000000" w:sz="4" w:space="0"/>
              <w:right w:val="single" w:color="000000" w:sz="4" w:space="0"/>
            </w:tcBorders>
            <w:vAlign w:val="center"/>
          </w:tcPr>
          <w:p>
            <w:pPr>
              <w:snapToGrid w:val="0"/>
              <w:spacing w:line="312" w:lineRule="auto"/>
              <w:jc w:val="both"/>
              <w:textAlignment w:val="baseline"/>
              <w:rPr>
                <w:rStyle w:val="43"/>
                <w:rFonts w:hint="eastAsia" w:ascii="宋体" w:hAnsi="宋体" w:eastAsia="宋体" w:cs="宋体"/>
                <w:color w:val="auto"/>
                <w:kern w:val="2"/>
                <w:sz w:val="21"/>
                <w:szCs w:val="22"/>
                <w:highlight w:val="none"/>
                <w:lang w:val="en-US" w:eastAsia="zh-CN" w:bidi="ar-SA"/>
              </w:rPr>
            </w:pPr>
            <w:r>
              <w:rPr>
                <w:rStyle w:val="43"/>
                <w:rFonts w:hint="eastAsia" w:ascii="宋体" w:hAnsi="宋体" w:eastAsia="宋体" w:cs="宋体"/>
                <w:color w:val="auto"/>
                <w:kern w:val="2"/>
                <w:sz w:val="21"/>
                <w:szCs w:val="22"/>
                <w:highlight w:val="none"/>
                <w:lang w:val="en-US" w:eastAsia="zh-CN" w:bidi="ar-SA"/>
              </w:rPr>
              <w:t>□ 150000</w:t>
            </w:r>
          </w:p>
        </w:tc>
        <w:tc>
          <w:tcPr>
            <w:tcW w:w="1260" w:type="dxa"/>
            <w:tcBorders>
              <w:top w:val="single" w:color="000000" w:sz="4" w:space="0"/>
              <w:left w:val="single" w:color="000000" w:sz="4" w:space="0"/>
              <w:bottom w:val="single" w:color="000000" w:sz="4" w:space="0"/>
              <w:right w:val="single" w:color="000000" w:sz="4" w:space="0"/>
            </w:tcBorders>
            <w:vAlign w:val="center"/>
          </w:tcPr>
          <w:p>
            <w:pPr>
              <w:snapToGrid w:val="0"/>
              <w:spacing w:line="312" w:lineRule="auto"/>
              <w:jc w:val="both"/>
              <w:textAlignment w:val="baseline"/>
              <w:rPr>
                <w:rStyle w:val="43"/>
                <w:rFonts w:hint="eastAsia" w:ascii="宋体" w:hAnsi="宋体" w:eastAsia="宋体" w:cs="宋体"/>
                <w:color w:val="auto"/>
                <w:kern w:val="2"/>
                <w:sz w:val="21"/>
                <w:szCs w:val="22"/>
                <w:highlight w:val="none"/>
                <w:lang w:val="en-US" w:eastAsia="zh-CN" w:bidi="ar-SA"/>
              </w:rPr>
            </w:pPr>
            <w:r>
              <w:rPr>
                <w:rStyle w:val="43"/>
                <w:rFonts w:hint="eastAsia" w:ascii="宋体" w:hAnsi="宋体" w:eastAsia="宋体" w:cs="宋体"/>
                <w:color w:val="auto"/>
                <w:kern w:val="2"/>
                <w:sz w:val="21"/>
                <w:szCs w:val="22"/>
                <w:highlight w:val="none"/>
                <w:lang w:val="en-US" w:eastAsia="zh-CN" w:bidi="ar-SA"/>
              </w:rPr>
              <w:t>√ 300000</w:t>
            </w:r>
          </w:p>
        </w:tc>
        <w:tc>
          <w:tcPr>
            <w:tcW w:w="1080" w:type="dxa"/>
            <w:tcBorders>
              <w:top w:val="single" w:color="000000" w:sz="4" w:space="0"/>
              <w:left w:val="single" w:color="000000" w:sz="4" w:space="0"/>
              <w:bottom w:val="single" w:color="000000" w:sz="4" w:space="0"/>
              <w:right w:val="single" w:color="000000" w:sz="4" w:space="0"/>
            </w:tcBorders>
            <w:vAlign w:val="center"/>
          </w:tcPr>
          <w:p>
            <w:pPr>
              <w:snapToGrid w:val="0"/>
              <w:spacing w:line="312" w:lineRule="auto"/>
              <w:jc w:val="both"/>
              <w:textAlignment w:val="baseline"/>
              <w:rPr>
                <w:rStyle w:val="43"/>
                <w:rFonts w:hint="eastAsia" w:ascii="宋体" w:hAnsi="宋体" w:eastAsia="宋体" w:cs="宋体"/>
                <w:color w:val="auto"/>
                <w:kern w:val="2"/>
                <w:sz w:val="21"/>
                <w:szCs w:val="22"/>
                <w:highlight w:val="none"/>
                <w:lang w:val="en-US" w:eastAsia="zh-CN" w:bidi="ar-SA"/>
              </w:rPr>
            </w:pPr>
            <w:r>
              <w:rPr>
                <w:rStyle w:val="43"/>
                <w:rFonts w:hint="eastAsia" w:ascii="宋体" w:hAnsi="宋体" w:eastAsia="宋体" w:cs="宋体"/>
                <w:color w:val="auto"/>
                <w:kern w:val="2"/>
                <w:sz w:val="21"/>
                <w:szCs w:val="22"/>
                <w:highlight w:val="none"/>
                <w:lang w:val="en-US" w:eastAsia="zh-CN"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478"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312" w:lineRule="auto"/>
              <w:jc w:val="center"/>
              <w:textAlignment w:val="baseline"/>
              <w:rPr>
                <w:rStyle w:val="43"/>
                <w:rFonts w:hint="eastAsia" w:ascii="宋体" w:hAnsi="宋体" w:eastAsia="宋体" w:cs="宋体"/>
                <w:color w:val="auto"/>
                <w:kern w:val="2"/>
                <w:sz w:val="21"/>
                <w:szCs w:val="22"/>
                <w:highlight w:val="none"/>
                <w:lang w:val="en-US" w:eastAsia="zh-CN" w:bidi="ar-SA"/>
              </w:rPr>
            </w:pPr>
          </w:p>
        </w:tc>
        <w:tc>
          <w:tcPr>
            <w:tcW w:w="1637"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312" w:lineRule="auto"/>
              <w:jc w:val="both"/>
              <w:textAlignment w:val="baseline"/>
              <w:rPr>
                <w:rStyle w:val="43"/>
                <w:rFonts w:hint="eastAsia" w:ascii="宋体" w:hAnsi="宋体" w:eastAsia="宋体" w:cs="宋体"/>
                <w:color w:val="auto"/>
                <w:kern w:val="2"/>
                <w:sz w:val="21"/>
                <w:szCs w:val="22"/>
                <w:highlight w:val="none"/>
                <w:lang w:val="en-US" w:eastAsia="zh-CN" w:bidi="ar-SA"/>
              </w:rPr>
            </w:pPr>
          </w:p>
        </w:tc>
        <w:tc>
          <w:tcPr>
            <w:tcW w:w="3600" w:type="dxa"/>
            <w:tcBorders>
              <w:top w:val="single" w:color="000000" w:sz="4" w:space="0"/>
              <w:left w:val="single" w:color="000000" w:sz="4" w:space="0"/>
              <w:bottom w:val="single" w:color="000000" w:sz="4" w:space="0"/>
              <w:right w:val="single" w:color="000000" w:sz="4" w:space="0"/>
            </w:tcBorders>
            <w:vAlign w:val="center"/>
          </w:tcPr>
          <w:p>
            <w:pPr>
              <w:snapToGrid w:val="0"/>
              <w:spacing w:line="312" w:lineRule="auto"/>
              <w:jc w:val="both"/>
              <w:textAlignment w:val="baseline"/>
              <w:rPr>
                <w:rStyle w:val="43"/>
                <w:rFonts w:hint="eastAsia" w:ascii="宋体" w:hAnsi="宋体" w:eastAsia="宋体" w:cs="宋体"/>
                <w:color w:val="auto"/>
                <w:kern w:val="2"/>
                <w:sz w:val="21"/>
                <w:szCs w:val="22"/>
                <w:highlight w:val="none"/>
                <w:lang w:val="en-US" w:eastAsia="zh-CN" w:bidi="ar-SA"/>
              </w:rPr>
            </w:pPr>
            <w:r>
              <w:rPr>
                <w:rStyle w:val="43"/>
                <w:rFonts w:hint="eastAsia" w:ascii="宋体" w:hAnsi="宋体" w:eastAsia="宋体" w:cs="宋体"/>
                <w:color w:val="auto"/>
                <w:kern w:val="2"/>
                <w:sz w:val="21"/>
                <w:szCs w:val="22"/>
                <w:highlight w:val="none"/>
                <w:lang w:val="en-US" w:eastAsia="zh-CN" w:bidi="ar-SA"/>
              </w:rPr>
              <w:t>未经批准更换项目副经理或空缺</w:t>
            </w:r>
          </w:p>
        </w:tc>
        <w:tc>
          <w:tcPr>
            <w:tcW w:w="1260" w:type="dxa"/>
            <w:tcBorders>
              <w:top w:val="single" w:color="000000" w:sz="4" w:space="0"/>
              <w:left w:val="single" w:color="000000" w:sz="4" w:space="0"/>
              <w:bottom w:val="single" w:color="000000" w:sz="4" w:space="0"/>
              <w:right w:val="single" w:color="000000" w:sz="4" w:space="0"/>
            </w:tcBorders>
            <w:vAlign w:val="center"/>
          </w:tcPr>
          <w:p>
            <w:pPr>
              <w:snapToGrid w:val="0"/>
              <w:spacing w:line="312" w:lineRule="auto"/>
              <w:jc w:val="both"/>
              <w:textAlignment w:val="baseline"/>
              <w:rPr>
                <w:rStyle w:val="43"/>
                <w:rFonts w:hint="eastAsia" w:ascii="宋体" w:hAnsi="宋体" w:eastAsia="宋体" w:cs="宋体"/>
                <w:color w:val="auto"/>
                <w:kern w:val="2"/>
                <w:sz w:val="21"/>
                <w:szCs w:val="22"/>
                <w:highlight w:val="none"/>
                <w:lang w:val="en-US" w:eastAsia="zh-CN" w:bidi="ar-SA"/>
              </w:rPr>
            </w:pPr>
            <w:r>
              <w:rPr>
                <w:rStyle w:val="43"/>
                <w:rFonts w:hint="eastAsia" w:ascii="宋体" w:hAnsi="宋体" w:eastAsia="宋体" w:cs="宋体"/>
                <w:color w:val="auto"/>
                <w:kern w:val="2"/>
                <w:sz w:val="21"/>
                <w:szCs w:val="22"/>
                <w:highlight w:val="none"/>
                <w:lang w:val="en-US" w:eastAsia="zh-CN" w:bidi="ar-SA"/>
              </w:rPr>
              <w:t>□ 80000</w:t>
            </w:r>
          </w:p>
        </w:tc>
        <w:tc>
          <w:tcPr>
            <w:tcW w:w="1260" w:type="dxa"/>
            <w:tcBorders>
              <w:top w:val="single" w:color="000000" w:sz="4" w:space="0"/>
              <w:left w:val="single" w:color="000000" w:sz="4" w:space="0"/>
              <w:bottom w:val="single" w:color="000000" w:sz="4" w:space="0"/>
              <w:right w:val="single" w:color="000000" w:sz="4" w:space="0"/>
            </w:tcBorders>
            <w:vAlign w:val="center"/>
          </w:tcPr>
          <w:p>
            <w:pPr>
              <w:snapToGrid w:val="0"/>
              <w:spacing w:line="312" w:lineRule="auto"/>
              <w:jc w:val="both"/>
              <w:textAlignment w:val="baseline"/>
              <w:rPr>
                <w:rStyle w:val="43"/>
                <w:rFonts w:hint="eastAsia" w:ascii="宋体" w:hAnsi="宋体" w:eastAsia="宋体" w:cs="宋体"/>
                <w:color w:val="auto"/>
                <w:kern w:val="2"/>
                <w:sz w:val="21"/>
                <w:szCs w:val="22"/>
                <w:highlight w:val="none"/>
                <w:lang w:val="en-US" w:eastAsia="zh-CN" w:bidi="ar-SA"/>
              </w:rPr>
            </w:pPr>
            <w:r>
              <w:rPr>
                <w:rStyle w:val="43"/>
                <w:rFonts w:hint="eastAsia" w:ascii="宋体" w:hAnsi="宋体" w:eastAsia="宋体" w:cs="宋体"/>
                <w:color w:val="auto"/>
                <w:kern w:val="2"/>
                <w:sz w:val="21"/>
                <w:szCs w:val="22"/>
                <w:highlight w:val="none"/>
                <w:lang w:val="en-US" w:eastAsia="zh-CN" w:bidi="ar-SA"/>
              </w:rPr>
              <w:t>√ 200000</w:t>
            </w:r>
          </w:p>
        </w:tc>
        <w:tc>
          <w:tcPr>
            <w:tcW w:w="1080" w:type="dxa"/>
            <w:tcBorders>
              <w:top w:val="single" w:color="000000" w:sz="4" w:space="0"/>
              <w:left w:val="single" w:color="000000" w:sz="4" w:space="0"/>
              <w:bottom w:val="single" w:color="000000" w:sz="4" w:space="0"/>
              <w:right w:val="single" w:color="000000" w:sz="4" w:space="0"/>
            </w:tcBorders>
            <w:vAlign w:val="center"/>
          </w:tcPr>
          <w:p>
            <w:pPr>
              <w:snapToGrid w:val="0"/>
              <w:spacing w:line="312" w:lineRule="auto"/>
              <w:jc w:val="both"/>
              <w:textAlignment w:val="baseline"/>
              <w:rPr>
                <w:rStyle w:val="43"/>
                <w:rFonts w:hint="eastAsia" w:ascii="宋体" w:hAnsi="宋体" w:eastAsia="宋体" w:cs="宋体"/>
                <w:color w:val="auto"/>
                <w:kern w:val="2"/>
                <w:sz w:val="21"/>
                <w:szCs w:val="22"/>
                <w:highlight w:val="none"/>
                <w:lang w:val="en-US" w:eastAsia="zh-CN" w:bidi="ar-SA"/>
              </w:rPr>
            </w:pPr>
            <w:r>
              <w:rPr>
                <w:rStyle w:val="43"/>
                <w:rFonts w:hint="eastAsia" w:ascii="宋体" w:hAnsi="宋体" w:eastAsia="宋体" w:cs="宋体"/>
                <w:color w:val="auto"/>
                <w:kern w:val="2"/>
                <w:sz w:val="21"/>
                <w:szCs w:val="22"/>
                <w:highlight w:val="none"/>
                <w:lang w:val="en-US" w:eastAsia="zh-CN"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478"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312" w:lineRule="auto"/>
              <w:jc w:val="center"/>
              <w:textAlignment w:val="baseline"/>
              <w:rPr>
                <w:rStyle w:val="43"/>
                <w:rFonts w:hint="eastAsia" w:ascii="宋体" w:hAnsi="宋体" w:eastAsia="宋体" w:cs="宋体"/>
                <w:color w:val="auto"/>
                <w:kern w:val="2"/>
                <w:sz w:val="21"/>
                <w:szCs w:val="22"/>
                <w:highlight w:val="none"/>
                <w:lang w:val="en-US" w:eastAsia="zh-CN" w:bidi="ar-SA"/>
              </w:rPr>
            </w:pPr>
          </w:p>
        </w:tc>
        <w:tc>
          <w:tcPr>
            <w:tcW w:w="1637"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312" w:lineRule="auto"/>
              <w:jc w:val="both"/>
              <w:textAlignment w:val="baseline"/>
              <w:rPr>
                <w:rStyle w:val="43"/>
                <w:rFonts w:hint="eastAsia" w:ascii="宋体" w:hAnsi="宋体" w:eastAsia="宋体" w:cs="宋体"/>
                <w:color w:val="auto"/>
                <w:kern w:val="2"/>
                <w:sz w:val="21"/>
                <w:szCs w:val="22"/>
                <w:highlight w:val="none"/>
                <w:lang w:val="en-US" w:eastAsia="zh-CN" w:bidi="ar-SA"/>
              </w:rPr>
            </w:pPr>
          </w:p>
        </w:tc>
        <w:tc>
          <w:tcPr>
            <w:tcW w:w="3600" w:type="dxa"/>
            <w:tcBorders>
              <w:top w:val="single" w:color="000000" w:sz="4" w:space="0"/>
              <w:left w:val="single" w:color="000000" w:sz="4" w:space="0"/>
              <w:bottom w:val="single" w:color="000000" w:sz="4" w:space="0"/>
              <w:right w:val="single" w:color="000000" w:sz="4" w:space="0"/>
            </w:tcBorders>
            <w:vAlign w:val="center"/>
          </w:tcPr>
          <w:p>
            <w:pPr>
              <w:snapToGrid w:val="0"/>
              <w:spacing w:line="312" w:lineRule="auto"/>
              <w:jc w:val="both"/>
              <w:textAlignment w:val="baseline"/>
              <w:rPr>
                <w:rStyle w:val="43"/>
                <w:rFonts w:hint="eastAsia" w:ascii="宋体" w:hAnsi="宋体" w:eastAsia="宋体" w:cs="宋体"/>
                <w:color w:val="auto"/>
                <w:kern w:val="2"/>
                <w:sz w:val="21"/>
                <w:szCs w:val="22"/>
                <w:highlight w:val="none"/>
                <w:lang w:val="en-US" w:eastAsia="zh-CN" w:bidi="ar-SA"/>
              </w:rPr>
            </w:pPr>
            <w:r>
              <w:rPr>
                <w:rStyle w:val="43"/>
                <w:rFonts w:hint="eastAsia" w:ascii="宋体" w:hAnsi="宋体" w:eastAsia="宋体" w:cs="宋体"/>
                <w:color w:val="auto"/>
                <w:kern w:val="2"/>
                <w:sz w:val="21"/>
                <w:szCs w:val="22"/>
                <w:highlight w:val="none"/>
                <w:lang w:val="en-US" w:eastAsia="zh-CN" w:bidi="ar-SA"/>
              </w:rPr>
              <w:t>未经批准更换专职安全员或其他人</w:t>
            </w:r>
          </w:p>
        </w:tc>
        <w:tc>
          <w:tcPr>
            <w:tcW w:w="1260" w:type="dxa"/>
            <w:tcBorders>
              <w:top w:val="single" w:color="000000" w:sz="4" w:space="0"/>
              <w:left w:val="single" w:color="000000" w:sz="4" w:space="0"/>
              <w:bottom w:val="single" w:color="000000" w:sz="4" w:space="0"/>
              <w:right w:val="single" w:color="000000" w:sz="4" w:space="0"/>
            </w:tcBorders>
            <w:vAlign w:val="center"/>
          </w:tcPr>
          <w:p>
            <w:pPr>
              <w:snapToGrid w:val="0"/>
              <w:spacing w:line="312" w:lineRule="auto"/>
              <w:jc w:val="both"/>
              <w:textAlignment w:val="baseline"/>
              <w:rPr>
                <w:rStyle w:val="43"/>
                <w:rFonts w:hint="eastAsia" w:ascii="宋体" w:hAnsi="宋体" w:eastAsia="宋体" w:cs="宋体"/>
                <w:color w:val="auto"/>
                <w:kern w:val="2"/>
                <w:sz w:val="21"/>
                <w:szCs w:val="22"/>
                <w:highlight w:val="none"/>
                <w:lang w:val="en-US" w:eastAsia="zh-CN" w:bidi="ar-SA"/>
              </w:rPr>
            </w:pPr>
            <w:r>
              <w:rPr>
                <w:rStyle w:val="43"/>
                <w:rFonts w:hint="eastAsia" w:ascii="宋体" w:hAnsi="宋体" w:eastAsia="宋体" w:cs="宋体"/>
                <w:color w:val="auto"/>
                <w:kern w:val="2"/>
                <w:sz w:val="21"/>
                <w:szCs w:val="22"/>
                <w:highlight w:val="none"/>
                <w:lang w:val="en-US" w:eastAsia="zh-CN" w:bidi="ar-SA"/>
              </w:rPr>
              <w:t>□ 50000</w:t>
            </w:r>
          </w:p>
        </w:tc>
        <w:tc>
          <w:tcPr>
            <w:tcW w:w="1260" w:type="dxa"/>
            <w:tcBorders>
              <w:top w:val="single" w:color="000000" w:sz="4" w:space="0"/>
              <w:left w:val="single" w:color="000000" w:sz="4" w:space="0"/>
              <w:bottom w:val="single" w:color="000000" w:sz="4" w:space="0"/>
              <w:right w:val="single" w:color="000000" w:sz="4" w:space="0"/>
            </w:tcBorders>
            <w:vAlign w:val="center"/>
          </w:tcPr>
          <w:p>
            <w:pPr>
              <w:snapToGrid w:val="0"/>
              <w:spacing w:line="312" w:lineRule="auto"/>
              <w:jc w:val="both"/>
              <w:textAlignment w:val="baseline"/>
              <w:rPr>
                <w:rStyle w:val="43"/>
                <w:rFonts w:hint="eastAsia" w:ascii="宋体" w:hAnsi="宋体" w:eastAsia="宋体" w:cs="宋体"/>
                <w:color w:val="auto"/>
                <w:kern w:val="2"/>
                <w:sz w:val="21"/>
                <w:szCs w:val="22"/>
                <w:highlight w:val="none"/>
                <w:lang w:val="en-US" w:eastAsia="zh-CN" w:bidi="ar-SA"/>
              </w:rPr>
            </w:pPr>
            <w:r>
              <w:rPr>
                <w:rStyle w:val="43"/>
                <w:rFonts w:hint="eastAsia" w:ascii="宋体" w:hAnsi="宋体" w:eastAsia="宋体" w:cs="宋体"/>
                <w:color w:val="auto"/>
                <w:kern w:val="2"/>
                <w:sz w:val="21"/>
                <w:szCs w:val="22"/>
                <w:highlight w:val="none"/>
                <w:lang w:val="en-US" w:eastAsia="zh-CN" w:bidi="ar-SA"/>
              </w:rPr>
              <w:t>√ 100000</w:t>
            </w:r>
          </w:p>
        </w:tc>
        <w:tc>
          <w:tcPr>
            <w:tcW w:w="1080" w:type="dxa"/>
            <w:tcBorders>
              <w:top w:val="single" w:color="000000" w:sz="4" w:space="0"/>
              <w:left w:val="single" w:color="000000" w:sz="4" w:space="0"/>
              <w:bottom w:val="single" w:color="000000" w:sz="4" w:space="0"/>
              <w:right w:val="single" w:color="000000" w:sz="4" w:space="0"/>
            </w:tcBorders>
            <w:vAlign w:val="center"/>
          </w:tcPr>
          <w:p>
            <w:pPr>
              <w:snapToGrid w:val="0"/>
              <w:spacing w:line="312" w:lineRule="auto"/>
              <w:jc w:val="both"/>
              <w:textAlignment w:val="baseline"/>
              <w:rPr>
                <w:rStyle w:val="43"/>
                <w:rFonts w:hint="eastAsia" w:ascii="宋体" w:hAnsi="宋体" w:eastAsia="宋体" w:cs="宋体"/>
                <w:color w:val="auto"/>
                <w:kern w:val="2"/>
                <w:sz w:val="21"/>
                <w:szCs w:val="22"/>
                <w:highlight w:val="none"/>
                <w:lang w:val="en-US" w:eastAsia="zh-CN" w:bidi="ar-SA"/>
              </w:rPr>
            </w:pPr>
            <w:r>
              <w:rPr>
                <w:rStyle w:val="43"/>
                <w:rFonts w:hint="eastAsia" w:ascii="宋体" w:hAnsi="宋体" w:eastAsia="宋体" w:cs="宋体"/>
                <w:color w:val="auto"/>
                <w:kern w:val="2"/>
                <w:sz w:val="21"/>
                <w:szCs w:val="22"/>
                <w:highlight w:val="none"/>
                <w:lang w:val="en-US" w:eastAsia="zh-CN"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478" w:type="dxa"/>
            <w:vMerge w:val="restart"/>
            <w:tcBorders>
              <w:top w:val="single" w:color="000000" w:sz="4" w:space="0"/>
              <w:left w:val="single" w:color="000000" w:sz="4" w:space="0"/>
              <w:bottom w:val="single" w:color="000000" w:sz="4" w:space="0"/>
              <w:right w:val="single" w:color="000000" w:sz="4" w:space="0"/>
            </w:tcBorders>
            <w:vAlign w:val="center"/>
          </w:tcPr>
          <w:p>
            <w:pPr>
              <w:snapToGrid w:val="0"/>
              <w:spacing w:line="312" w:lineRule="auto"/>
              <w:jc w:val="center"/>
              <w:textAlignment w:val="baseline"/>
              <w:rPr>
                <w:rStyle w:val="43"/>
                <w:rFonts w:hint="eastAsia" w:ascii="宋体" w:hAnsi="宋体" w:eastAsia="宋体" w:cs="宋体"/>
                <w:color w:val="auto"/>
                <w:kern w:val="2"/>
                <w:sz w:val="21"/>
                <w:szCs w:val="22"/>
                <w:highlight w:val="none"/>
                <w:lang w:val="en-US" w:eastAsia="zh-CN" w:bidi="ar-SA"/>
              </w:rPr>
            </w:pPr>
            <w:r>
              <w:rPr>
                <w:rStyle w:val="43"/>
                <w:rFonts w:hint="eastAsia" w:ascii="宋体" w:hAnsi="宋体" w:eastAsia="宋体" w:cs="宋体"/>
                <w:color w:val="auto"/>
                <w:kern w:val="2"/>
                <w:sz w:val="21"/>
                <w:szCs w:val="22"/>
                <w:highlight w:val="none"/>
                <w:lang w:val="en-US" w:eastAsia="zh-CN" w:bidi="ar-SA"/>
              </w:rPr>
              <w:t>3</w:t>
            </w:r>
          </w:p>
        </w:tc>
        <w:tc>
          <w:tcPr>
            <w:tcW w:w="1637" w:type="dxa"/>
            <w:vMerge w:val="restart"/>
            <w:tcBorders>
              <w:top w:val="single" w:color="000000" w:sz="4" w:space="0"/>
              <w:left w:val="single" w:color="000000" w:sz="4" w:space="0"/>
              <w:bottom w:val="single" w:color="000000" w:sz="4" w:space="0"/>
              <w:right w:val="single" w:color="000000" w:sz="4" w:space="0"/>
            </w:tcBorders>
            <w:vAlign w:val="center"/>
          </w:tcPr>
          <w:p>
            <w:pPr>
              <w:snapToGrid w:val="0"/>
              <w:spacing w:line="312" w:lineRule="auto"/>
              <w:ind w:left="360" w:hanging="360" w:hangingChars="150"/>
              <w:jc w:val="both"/>
              <w:textAlignment w:val="baseline"/>
              <w:rPr>
                <w:rStyle w:val="43"/>
                <w:rFonts w:hint="eastAsia" w:ascii="宋体" w:hAnsi="宋体" w:eastAsia="宋体" w:cs="宋体"/>
                <w:color w:val="auto"/>
                <w:kern w:val="2"/>
                <w:sz w:val="21"/>
                <w:szCs w:val="22"/>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w:t>
            </w:r>
            <w:r>
              <w:rPr>
                <w:rStyle w:val="43"/>
                <w:rFonts w:hint="eastAsia" w:ascii="宋体" w:hAnsi="宋体" w:eastAsia="宋体" w:cs="宋体"/>
                <w:color w:val="auto"/>
                <w:kern w:val="2"/>
                <w:sz w:val="21"/>
                <w:szCs w:val="22"/>
                <w:highlight w:val="none"/>
                <w:lang w:val="en-US" w:eastAsia="zh-CN" w:bidi="ar-SA"/>
              </w:rPr>
              <w:t>驻场深化设计部</w:t>
            </w:r>
          </w:p>
        </w:tc>
        <w:tc>
          <w:tcPr>
            <w:tcW w:w="3600" w:type="dxa"/>
            <w:tcBorders>
              <w:top w:val="single" w:color="000000" w:sz="4" w:space="0"/>
              <w:left w:val="single" w:color="000000" w:sz="4" w:space="0"/>
              <w:bottom w:val="single" w:color="000000" w:sz="4" w:space="0"/>
              <w:right w:val="single" w:color="000000" w:sz="4" w:space="0"/>
            </w:tcBorders>
            <w:vAlign w:val="center"/>
          </w:tcPr>
          <w:p>
            <w:pPr>
              <w:snapToGrid w:val="0"/>
              <w:spacing w:line="312" w:lineRule="auto"/>
              <w:jc w:val="both"/>
              <w:textAlignment w:val="baseline"/>
              <w:rPr>
                <w:rStyle w:val="43"/>
                <w:rFonts w:hint="eastAsia" w:ascii="宋体" w:hAnsi="宋体" w:eastAsia="宋体" w:cs="宋体"/>
                <w:color w:val="auto"/>
                <w:kern w:val="2"/>
                <w:sz w:val="21"/>
                <w:szCs w:val="22"/>
                <w:highlight w:val="none"/>
                <w:lang w:val="en-US" w:eastAsia="zh-CN" w:bidi="ar-SA"/>
              </w:rPr>
            </w:pPr>
            <w:r>
              <w:rPr>
                <w:rStyle w:val="43"/>
                <w:rFonts w:hint="eastAsia" w:ascii="宋体" w:hAnsi="宋体" w:eastAsia="宋体" w:cs="宋体"/>
                <w:color w:val="auto"/>
                <w:kern w:val="2"/>
                <w:sz w:val="21"/>
                <w:szCs w:val="22"/>
                <w:highlight w:val="none"/>
                <w:lang w:val="en-US" w:eastAsia="zh-CN" w:bidi="ar-SA"/>
              </w:rPr>
              <w:t>未经批准更换部门经理或空缺</w:t>
            </w:r>
          </w:p>
        </w:tc>
        <w:tc>
          <w:tcPr>
            <w:tcW w:w="1260" w:type="dxa"/>
            <w:tcBorders>
              <w:top w:val="single" w:color="000000" w:sz="4" w:space="0"/>
              <w:left w:val="single" w:color="000000" w:sz="4" w:space="0"/>
              <w:bottom w:val="single" w:color="000000" w:sz="4" w:space="0"/>
              <w:right w:val="single" w:color="000000" w:sz="4" w:space="0"/>
            </w:tcBorders>
            <w:vAlign w:val="center"/>
          </w:tcPr>
          <w:p>
            <w:pPr>
              <w:snapToGrid w:val="0"/>
              <w:spacing w:line="312" w:lineRule="auto"/>
              <w:jc w:val="both"/>
              <w:textAlignment w:val="baseline"/>
              <w:rPr>
                <w:rStyle w:val="43"/>
                <w:rFonts w:hint="eastAsia" w:ascii="宋体" w:hAnsi="宋体" w:eastAsia="宋体" w:cs="宋体"/>
                <w:color w:val="auto"/>
                <w:kern w:val="2"/>
                <w:sz w:val="21"/>
                <w:szCs w:val="22"/>
                <w:highlight w:val="none"/>
                <w:lang w:val="en-US" w:eastAsia="zh-CN" w:bidi="ar-SA"/>
              </w:rPr>
            </w:pPr>
            <w:r>
              <w:rPr>
                <w:rStyle w:val="43"/>
                <w:rFonts w:hint="eastAsia" w:ascii="宋体" w:hAnsi="宋体" w:eastAsia="宋体" w:cs="宋体"/>
                <w:color w:val="auto"/>
                <w:kern w:val="2"/>
                <w:sz w:val="21"/>
                <w:szCs w:val="22"/>
                <w:highlight w:val="none"/>
                <w:lang w:val="en-US" w:eastAsia="zh-CN" w:bidi="ar-SA"/>
              </w:rPr>
              <w:t>□ 150000</w:t>
            </w:r>
          </w:p>
        </w:tc>
        <w:tc>
          <w:tcPr>
            <w:tcW w:w="1260" w:type="dxa"/>
            <w:tcBorders>
              <w:top w:val="single" w:color="000000" w:sz="4" w:space="0"/>
              <w:left w:val="single" w:color="000000" w:sz="4" w:space="0"/>
              <w:bottom w:val="single" w:color="000000" w:sz="4" w:space="0"/>
              <w:right w:val="single" w:color="000000" w:sz="4" w:space="0"/>
            </w:tcBorders>
            <w:vAlign w:val="center"/>
          </w:tcPr>
          <w:p>
            <w:pPr>
              <w:snapToGrid w:val="0"/>
              <w:spacing w:line="312" w:lineRule="auto"/>
              <w:jc w:val="both"/>
              <w:textAlignment w:val="baseline"/>
              <w:rPr>
                <w:rStyle w:val="43"/>
                <w:rFonts w:hint="eastAsia" w:ascii="宋体" w:hAnsi="宋体" w:eastAsia="宋体" w:cs="宋体"/>
                <w:color w:val="auto"/>
                <w:kern w:val="2"/>
                <w:sz w:val="21"/>
                <w:szCs w:val="22"/>
                <w:highlight w:val="none"/>
                <w:lang w:val="en-US" w:eastAsia="zh-CN" w:bidi="ar-SA"/>
              </w:rPr>
            </w:pPr>
            <w:r>
              <w:rPr>
                <w:rStyle w:val="43"/>
                <w:rFonts w:hint="eastAsia" w:ascii="宋体" w:hAnsi="宋体" w:eastAsia="宋体" w:cs="宋体"/>
                <w:color w:val="auto"/>
                <w:kern w:val="2"/>
                <w:sz w:val="21"/>
                <w:szCs w:val="22"/>
                <w:highlight w:val="none"/>
                <w:lang w:val="en-US" w:eastAsia="zh-CN" w:bidi="ar-SA"/>
              </w:rPr>
              <w:t>□ 300000</w:t>
            </w:r>
          </w:p>
        </w:tc>
        <w:tc>
          <w:tcPr>
            <w:tcW w:w="1080" w:type="dxa"/>
            <w:tcBorders>
              <w:top w:val="single" w:color="000000" w:sz="4" w:space="0"/>
              <w:left w:val="single" w:color="000000" w:sz="4" w:space="0"/>
              <w:bottom w:val="single" w:color="000000" w:sz="4" w:space="0"/>
              <w:right w:val="single" w:color="000000" w:sz="4" w:space="0"/>
            </w:tcBorders>
            <w:vAlign w:val="center"/>
          </w:tcPr>
          <w:p>
            <w:pPr>
              <w:snapToGrid w:val="0"/>
              <w:spacing w:line="312" w:lineRule="auto"/>
              <w:jc w:val="both"/>
              <w:textAlignment w:val="baseline"/>
              <w:rPr>
                <w:rStyle w:val="43"/>
                <w:rFonts w:hint="eastAsia" w:ascii="宋体" w:hAnsi="宋体" w:eastAsia="宋体" w:cs="宋体"/>
                <w:color w:val="auto"/>
                <w:kern w:val="2"/>
                <w:sz w:val="21"/>
                <w:szCs w:val="22"/>
                <w:highlight w:val="none"/>
                <w:lang w:val="en-US" w:eastAsia="zh-CN" w:bidi="ar-SA"/>
              </w:rPr>
            </w:pPr>
            <w:r>
              <w:rPr>
                <w:rStyle w:val="43"/>
                <w:rFonts w:hint="eastAsia" w:ascii="宋体" w:hAnsi="宋体" w:eastAsia="宋体" w:cs="宋体"/>
                <w:color w:val="auto"/>
                <w:kern w:val="2"/>
                <w:sz w:val="21"/>
                <w:szCs w:val="22"/>
                <w:highlight w:val="none"/>
                <w:lang w:val="en-US" w:eastAsia="zh-CN"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478"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312" w:lineRule="auto"/>
              <w:jc w:val="center"/>
              <w:textAlignment w:val="baseline"/>
              <w:rPr>
                <w:rStyle w:val="43"/>
                <w:rFonts w:hint="eastAsia" w:ascii="宋体" w:hAnsi="宋体" w:eastAsia="宋体" w:cs="宋体"/>
                <w:color w:val="auto"/>
                <w:kern w:val="2"/>
                <w:sz w:val="21"/>
                <w:szCs w:val="22"/>
                <w:highlight w:val="none"/>
                <w:lang w:val="en-US" w:eastAsia="zh-CN" w:bidi="ar-SA"/>
              </w:rPr>
            </w:pPr>
          </w:p>
        </w:tc>
        <w:tc>
          <w:tcPr>
            <w:tcW w:w="1637"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312" w:lineRule="auto"/>
              <w:jc w:val="both"/>
              <w:textAlignment w:val="baseline"/>
              <w:rPr>
                <w:rStyle w:val="43"/>
                <w:rFonts w:hint="eastAsia" w:ascii="宋体" w:hAnsi="宋体" w:eastAsia="宋体" w:cs="宋体"/>
                <w:color w:val="auto"/>
                <w:kern w:val="2"/>
                <w:sz w:val="21"/>
                <w:szCs w:val="22"/>
                <w:highlight w:val="none"/>
                <w:lang w:val="en-US" w:eastAsia="zh-CN" w:bidi="ar-SA"/>
              </w:rPr>
            </w:pPr>
          </w:p>
        </w:tc>
        <w:tc>
          <w:tcPr>
            <w:tcW w:w="3600" w:type="dxa"/>
            <w:tcBorders>
              <w:top w:val="single" w:color="000000" w:sz="4" w:space="0"/>
              <w:left w:val="single" w:color="000000" w:sz="4" w:space="0"/>
              <w:bottom w:val="single" w:color="000000" w:sz="4" w:space="0"/>
              <w:right w:val="single" w:color="000000" w:sz="4" w:space="0"/>
            </w:tcBorders>
            <w:vAlign w:val="center"/>
          </w:tcPr>
          <w:p>
            <w:pPr>
              <w:snapToGrid w:val="0"/>
              <w:spacing w:line="312" w:lineRule="auto"/>
              <w:jc w:val="both"/>
              <w:textAlignment w:val="baseline"/>
              <w:rPr>
                <w:rStyle w:val="43"/>
                <w:rFonts w:hint="eastAsia" w:ascii="宋体" w:hAnsi="宋体" w:eastAsia="宋体" w:cs="宋体"/>
                <w:color w:val="auto"/>
                <w:kern w:val="2"/>
                <w:sz w:val="21"/>
                <w:szCs w:val="22"/>
                <w:highlight w:val="none"/>
                <w:lang w:val="en-US" w:eastAsia="zh-CN" w:bidi="ar-SA"/>
              </w:rPr>
            </w:pPr>
            <w:r>
              <w:rPr>
                <w:rStyle w:val="43"/>
                <w:rFonts w:hint="eastAsia" w:ascii="宋体" w:hAnsi="宋体" w:eastAsia="宋体" w:cs="宋体"/>
                <w:color w:val="auto"/>
                <w:kern w:val="2"/>
                <w:sz w:val="21"/>
                <w:szCs w:val="22"/>
                <w:highlight w:val="none"/>
                <w:lang w:val="en-US" w:eastAsia="zh-CN" w:bidi="ar-SA"/>
              </w:rPr>
              <w:t>未经批准更换技术负责人或空缺</w:t>
            </w:r>
          </w:p>
        </w:tc>
        <w:tc>
          <w:tcPr>
            <w:tcW w:w="1260" w:type="dxa"/>
            <w:tcBorders>
              <w:top w:val="single" w:color="000000" w:sz="4" w:space="0"/>
              <w:left w:val="single" w:color="000000" w:sz="4" w:space="0"/>
              <w:bottom w:val="single" w:color="000000" w:sz="4" w:space="0"/>
              <w:right w:val="single" w:color="000000" w:sz="4" w:space="0"/>
            </w:tcBorders>
            <w:vAlign w:val="center"/>
          </w:tcPr>
          <w:p>
            <w:pPr>
              <w:snapToGrid w:val="0"/>
              <w:spacing w:line="312" w:lineRule="auto"/>
              <w:jc w:val="both"/>
              <w:textAlignment w:val="baseline"/>
              <w:rPr>
                <w:rStyle w:val="43"/>
                <w:rFonts w:hint="eastAsia" w:ascii="宋体" w:hAnsi="宋体" w:eastAsia="宋体" w:cs="宋体"/>
                <w:color w:val="auto"/>
                <w:kern w:val="2"/>
                <w:sz w:val="21"/>
                <w:szCs w:val="22"/>
                <w:highlight w:val="none"/>
                <w:lang w:val="en-US" w:eastAsia="zh-CN" w:bidi="ar-SA"/>
              </w:rPr>
            </w:pPr>
            <w:r>
              <w:rPr>
                <w:rStyle w:val="43"/>
                <w:rFonts w:hint="eastAsia" w:ascii="宋体" w:hAnsi="宋体" w:eastAsia="宋体" w:cs="宋体"/>
                <w:color w:val="auto"/>
                <w:kern w:val="2"/>
                <w:sz w:val="21"/>
                <w:szCs w:val="22"/>
                <w:highlight w:val="none"/>
                <w:lang w:val="en-US" w:eastAsia="zh-CN" w:bidi="ar-SA"/>
              </w:rPr>
              <w:t>□ 80000</w:t>
            </w:r>
          </w:p>
        </w:tc>
        <w:tc>
          <w:tcPr>
            <w:tcW w:w="1260" w:type="dxa"/>
            <w:tcBorders>
              <w:top w:val="single" w:color="000000" w:sz="4" w:space="0"/>
              <w:left w:val="single" w:color="000000" w:sz="4" w:space="0"/>
              <w:bottom w:val="single" w:color="000000" w:sz="4" w:space="0"/>
              <w:right w:val="single" w:color="000000" w:sz="4" w:space="0"/>
            </w:tcBorders>
            <w:vAlign w:val="center"/>
          </w:tcPr>
          <w:p>
            <w:pPr>
              <w:snapToGrid w:val="0"/>
              <w:spacing w:line="312" w:lineRule="auto"/>
              <w:jc w:val="both"/>
              <w:textAlignment w:val="baseline"/>
              <w:rPr>
                <w:rStyle w:val="43"/>
                <w:rFonts w:hint="eastAsia" w:ascii="宋体" w:hAnsi="宋体" w:eastAsia="宋体" w:cs="宋体"/>
                <w:color w:val="auto"/>
                <w:kern w:val="2"/>
                <w:sz w:val="21"/>
                <w:szCs w:val="22"/>
                <w:highlight w:val="none"/>
                <w:lang w:val="en-US" w:eastAsia="zh-CN" w:bidi="ar-SA"/>
              </w:rPr>
            </w:pPr>
            <w:r>
              <w:rPr>
                <w:rStyle w:val="43"/>
                <w:rFonts w:hint="eastAsia" w:ascii="宋体" w:hAnsi="宋体" w:eastAsia="宋体" w:cs="宋体"/>
                <w:color w:val="auto"/>
                <w:kern w:val="2"/>
                <w:sz w:val="21"/>
                <w:szCs w:val="22"/>
                <w:highlight w:val="none"/>
                <w:lang w:val="en-US" w:eastAsia="zh-CN" w:bidi="ar-SA"/>
              </w:rPr>
              <w:t>□ 200000</w:t>
            </w:r>
          </w:p>
        </w:tc>
        <w:tc>
          <w:tcPr>
            <w:tcW w:w="1080" w:type="dxa"/>
            <w:tcBorders>
              <w:top w:val="single" w:color="000000" w:sz="4" w:space="0"/>
              <w:left w:val="single" w:color="000000" w:sz="4" w:space="0"/>
              <w:bottom w:val="single" w:color="000000" w:sz="4" w:space="0"/>
              <w:right w:val="single" w:color="000000" w:sz="4" w:space="0"/>
            </w:tcBorders>
            <w:vAlign w:val="center"/>
          </w:tcPr>
          <w:p>
            <w:pPr>
              <w:snapToGrid w:val="0"/>
              <w:spacing w:line="312" w:lineRule="auto"/>
              <w:jc w:val="both"/>
              <w:textAlignment w:val="baseline"/>
              <w:rPr>
                <w:rStyle w:val="43"/>
                <w:rFonts w:hint="eastAsia" w:ascii="宋体" w:hAnsi="宋体" w:eastAsia="宋体" w:cs="宋体"/>
                <w:color w:val="auto"/>
                <w:kern w:val="2"/>
                <w:sz w:val="21"/>
                <w:szCs w:val="22"/>
                <w:highlight w:val="none"/>
                <w:lang w:val="en-US" w:eastAsia="zh-CN" w:bidi="ar-SA"/>
              </w:rPr>
            </w:pPr>
            <w:r>
              <w:rPr>
                <w:rStyle w:val="43"/>
                <w:rFonts w:hint="eastAsia" w:ascii="宋体" w:hAnsi="宋体" w:eastAsia="宋体" w:cs="宋体"/>
                <w:color w:val="auto"/>
                <w:kern w:val="2"/>
                <w:sz w:val="21"/>
                <w:szCs w:val="22"/>
                <w:highlight w:val="none"/>
                <w:lang w:val="en-US" w:eastAsia="zh-CN"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478"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312" w:lineRule="auto"/>
              <w:jc w:val="center"/>
              <w:textAlignment w:val="baseline"/>
              <w:rPr>
                <w:rStyle w:val="43"/>
                <w:rFonts w:hint="eastAsia" w:ascii="宋体" w:hAnsi="宋体" w:eastAsia="宋体" w:cs="宋体"/>
                <w:color w:val="auto"/>
                <w:kern w:val="2"/>
                <w:sz w:val="21"/>
                <w:szCs w:val="22"/>
                <w:highlight w:val="none"/>
                <w:lang w:val="en-US" w:eastAsia="zh-CN" w:bidi="ar-SA"/>
              </w:rPr>
            </w:pPr>
          </w:p>
        </w:tc>
        <w:tc>
          <w:tcPr>
            <w:tcW w:w="1637"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312" w:lineRule="auto"/>
              <w:jc w:val="both"/>
              <w:textAlignment w:val="baseline"/>
              <w:rPr>
                <w:rStyle w:val="43"/>
                <w:rFonts w:hint="eastAsia" w:ascii="宋体" w:hAnsi="宋体" w:eastAsia="宋体" w:cs="宋体"/>
                <w:color w:val="auto"/>
                <w:kern w:val="2"/>
                <w:sz w:val="21"/>
                <w:szCs w:val="22"/>
                <w:highlight w:val="none"/>
                <w:lang w:val="en-US" w:eastAsia="zh-CN" w:bidi="ar-SA"/>
              </w:rPr>
            </w:pPr>
          </w:p>
        </w:tc>
        <w:tc>
          <w:tcPr>
            <w:tcW w:w="3600" w:type="dxa"/>
            <w:tcBorders>
              <w:top w:val="single" w:color="000000" w:sz="4" w:space="0"/>
              <w:left w:val="single" w:color="000000" w:sz="4" w:space="0"/>
              <w:bottom w:val="single" w:color="000000" w:sz="4" w:space="0"/>
              <w:right w:val="single" w:color="000000" w:sz="4" w:space="0"/>
            </w:tcBorders>
            <w:vAlign w:val="center"/>
          </w:tcPr>
          <w:p>
            <w:pPr>
              <w:snapToGrid w:val="0"/>
              <w:spacing w:line="312" w:lineRule="auto"/>
              <w:jc w:val="both"/>
              <w:textAlignment w:val="baseline"/>
              <w:rPr>
                <w:rStyle w:val="43"/>
                <w:rFonts w:hint="eastAsia" w:ascii="宋体" w:hAnsi="宋体" w:eastAsia="宋体" w:cs="宋体"/>
                <w:color w:val="auto"/>
                <w:kern w:val="2"/>
                <w:sz w:val="21"/>
                <w:szCs w:val="22"/>
                <w:highlight w:val="none"/>
                <w:lang w:val="en-US" w:eastAsia="zh-CN" w:bidi="ar-SA"/>
              </w:rPr>
            </w:pPr>
            <w:r>
              <w:rPr>
                <w:rStyle w:val="43"/>
                <w:rFonts w:hint="eastAsia" w:ascii="宋体" w:hAnsi="宋体" w:eastAsia="宋体" w:cs="宋体"/>
                <w:color w:val="auto"/>
                <w:kern w:val="2"/>
                <w:sz w:val="21"/>
                <w:szCs w:val="22"/>
                <w:highlight w:val="none"/>
                <w:lang w:val="en-US" w:eastAsia="zh-CN" w:bidi="ar-SA"/>
              </w:rPr>
              <w:t>未经批准更换其他人</w:t>
            </w:r>
          </w:p>
        </w:tc>
        <w:tc>
          <w:tcPr>
            <w:tcW w:w="1260" w:type="dxa"/>
            <w:tcBorders>
              <w:top w:val="single" w:color="000000" w:sz="4" w:space="0"/>
              <w:left w:val="single" w:color="000000" w:sz="4" w:space="0"/>
              <w:bottom w:val="single" w:color="000000" w:sz="4" w:space="0"/>
              <w:right w:val="single" w:color="000000" w:sz="4" w:space="0"/>
            </w:tcBorders>
            <w:vAlign w:val="center"/>
          </w:tcPr>
          <w:p>
            <w:pPr>
              <w:snapToGrid w:val="0"/>
              <w:spacing w:line="312" w:lineRule="auto"/>
              <w:jc w:val="both"/>
              <w:textAlignment w:val="baseline"/>
              <w:rPr>
                <w:rStyle w:val="43"/>
                <w:rFonts w:hint="eastAsia" w:ascii="宋体" w:hAnsi="宋体" w:eastAsia="宋体" w:cs="宋体"/>
                <w:color w:val="auto"/>
                <w:kern w:val="2"/>
                <w:sz w:val="21"/>
                <w:szCs w:val="22"/>
                <w:highlight w:val="none"/>
                <w:lang w:val="en-US" w:eastAsia="zh-CN" w:bidi="ar-SA"/>
              </w:rPr>
            </w:pPr>
            <w:r>
              <w:rPr>
                <w:rStyle w:val="43"/>
                <w:rFonts w:hint="eastAsia" w:ascii="宋体" w:hAnsi="宋体" w:eastAsia="宋体" w:cs="宋体"/>
                <w:color w:val="auto"/>
                <w:kern w:val="2"/>
                <w:sz w:val="21"/>
                <w:szCs w:val="22"/>
                <w:highlight w:val="none"/>
                <w:lang w:val="en-US" w:eastAsia="zh-CN" w:bidi="ar-SA"/>
              </w:rPr>
              <w:t>□ 50000</w:t>
            </w:r>
          </w:p>
        </w:tc>
        <w:tc>
          <w:tcPr>
            <w:tcW w:w="1260" w:type="dxa"/>
            <w:tcBorders>
              <w:top w:val="single" w:color="000000" w:sz="4" w:space="0"/>
              <w:left w:val="single" w:color="000000" w:sz="4" w:space="0"/>
              <w:bottom w:val="single" w:color="000000" w:sz="4" w:space="0"/>
              <w:right w:val="single" w:color="000000" w:sz="4" w:space="0"/>
            </w:tcBorders>
            <w:vAlign w:val="center"/>
          </w:tcPr>
          <w:p>
            <w:pPr>
              <w:snapToGrid w:val="0"/>
              <w:spacing w:line="312" w:lineRule="auto"/>
              <w:jc w:val="both"/>
              <w:textAlignment w:val="baseline"/>
              <w:rPr>
                <w:rStyle w:val="43"/>
                <w:rFonts w:hint="eastAsia" w:ascii="宋体" w:hAnsi="宋体" w:eastAsia="宋体" w:cs="宋体"/>
                <w:color w:val="auto"/>
                <w:kern w:val="2"/>
                <w:sz w:val="21"/>
                <w:szCs w:val="22"/>
                <w:highlight w:val="none"/>
                <w:lang w:val="en-US" w:eastAsia="zh-CN" w:bidi="ar-SA"/>
              </w:rPr>
            </w:pPr>
            <w:r>
              <w:rPr>
                <w:rStyle w:val="43"/>
                <w:rFonts w:hint="eastAsia" w:ascii="宋体" w:hAnsi="宋体" w:eastAsia="宋体" w:cs="宋体"/>
                <w:color w:val="auto"/>
                <w:kern w:val="2"/>
                <w:sz w:val="21"/>
                <w:szCs w:val="22"/>
                <w:highlight w:val="none"/>
                <w:lang w:val="en-US" w:eastAsia="zh-CN" w:bidi="ar-SA"/>
              </w:rPr>
              <w:t>□ 100000</w:t>
            </w:r>
          </w:p>
        </w:tc>
        <w:tc>
          <w:tcPr>
            <w:tcW w:w="1080" w:type="dxa"/>
            <w:tcBorders>
              <w:top w:val="single" w:color="000000" w:sz="4" w:space="0"/>
              <w:left w:val="single" w:color="000000" w:sz="4" w:space="0"/>
              <w:bottom w:val="single" w:color="000000" w:sz="4" w:space="0"/>
              <w:right w:val="single" w:color="000000" w:sz="4" w:space="0"/>
            </w:tcBorders>
            <w:vAlign w:val="center"/>
          </w:tcPr>
          <w:p>
            <w:pPr>
              <w:snapToGrid w:val="0"/>
              <w:spacing w:line="312" w:lineRule="auto"/>
              <w:jc w:val="both"/>
              <w:textAlignment w:val="baseline"/>
              <w:rPr>
                <w:rStyle w:val="43"/>
                <w:rFonts w:hint="eastAsia" w:ascii="宋体" w:hAnsi="宋体" w:eastAsia="宋体" w:cs="宋体"/>
                <w:color w:val="auto"/>
                <w:kern w:val="2"/>
                <w:sz w:val="21"/>
                <w:szCs w:val="22"/>
                <w:highlight w:val="none"/>
                <w:lang w:val="en-US" w:eastAsia="zh-CN" w:bidi="ar-SA"/>
              </w:rPr>
            </w:pPr>
            <w:r>
              <w:rPr>
                <w:rStyle w:val="43"/>
                <w:rFonts w:hint="eastAsia" w:ascii="宋体" w:hAnsi="宋体" w:eastAsia="宋体" w:cs="宋体"/>
                <w:color w:val="auto"/>
                <w:kern w:val="2"/>
                <w:sz w:val="21"/>
                <w:szCs w:val="22"/>
                <w:highlight w:val="none"/>
                <w:lang w:val="en-US" w:eastAsia="zh-CN"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0" w:hRule="atLeast"/>
        </w:trPr>
        <w:tc>
          <w:tcPr>
            <w:tcW w:w="478" w:type="dxa"/>
            <w:vMerge w:val="restart"/>
            <w:tcBorders>
              <w:top w:val="single" w:color="000000" w:sz="4" w:space="0"/>
              <w:left w:val="single" w:color="000000" w:sz="4" w:space="0"/>
              <w:bottom w:val="single" w:color="000000" w:sz="4" w:space="0"/>
              <w:right w:val="single" w:color="000000" w:sz="4" w:space="0"/>
            </w:tcBorders>
            <w:vAlign w:val="center"/>
          </w:tcPr>
          <w:p>
            <w:pPr>
              <w:snapToGrid w:val="0"/>
              <w:spacing w:line="312" w:lineRule="auto"/>
              <w:jc w:val="center"/>
              <w:textAlignment w:val="baseline"/>
              <w:rPr>
                <w:rStyle w:val="43"/>
                <w:rFonts w:hint="eastAsia" w:ascii="宋体" w:hAnsi="宋体" w:eastAsia="宋体" w:cs="宋体"/>
                <w:color w:val="auto"/>
                <w:kern w:val="2"/>
                <w:sz w:val="21"/>
                <w:szCs w:val="22"/>
                <w:highlight w:val="none"/>
                <w:lang w:val="en-US" w:eastAsia="zh-CN" w:bidi="ar-SA"/>
              </w:rPr>
            </w:pPr>
            <w:r>
              <w:rPr>
                <w:rStyle w:val="43"/>
                <w:rFonts w:hint="eastAsia" w:ascii="宋体" w:hAnsi="宋体" w:eastAsia="宋体" w:cs="宋体"/>
                <w:color w:val="auto"/>
                <w:kern w:val="2"/>
                <w:sz w:val="21"/>
                <w:szCs w:val="22"/>
                <w:highlight w:val="none"/>
                <w:lang w:val="en-US" w:eastAsia="zh-CN" w:bidi="ar-SA"/>
              </w:rPr>
              <w:t>4</w:t>
            </w:r>
          </w:p>
        </w:tc>
        <w:tc>
          <w:tcPr>
            <w:tcW w:w="1637" w:type="dxa"/>
            <w:vMerge w:val="restart"/>
            <w:tcBorders>
              <w:top w:val="single" w:color="000000" w:sz="4" w:space="0"/>
              <w:left w:val="single" w:color="000000" w:sz="4" w:space="0"/>
              <w:bottom w:val="single" w:color="000000" w:sz="4" w:space="0"/>
              <w:right w:val="single" w:color="000000" w:sz="4" w:space="0"/>
            </w:tcBorders>
            <w:vAlign w:val="center"/>
          </w:tcPr>
          <w:p>
            <w:pPr>
              <w:snapToGrid w:val="0"/>
              <w:spacing w:line="312" w:lineRule="auto"/>
              <w:jc w:val="both"/>
              <w:textAlignment w:val="baseline"/>
              <w:rPr>
                <w:rStyle w:val="43"/>
                <w:rFonts w:hint="eastAsia" w:ascii="宋体" w:hAnsi="宋体" w:eastAsia="宋体" w:cs="宋体"/>
                <w:color w:val="auto"/>
                <w:kern w:val="2"/>
                <w:sz w:val="21"/>
                <w:szCs w:val="22"/>
                <w:highlight w:val="none"/>
                <w:lang w:val="en-US" w:eastAsia="zh-CN" w:bidi="ar-SA"/>
              </w:rPr>
            </w:pPr>
            <w:r>
              <w:rPr>
                <w:rStyle w:val="43"/>
                <w:rFonts w:hint="eastAsia" w:ascii="宋体" w:hAnsi="宋体" w:eastAsia="宋体" w:cs="宋体"/>
                <w:color w:val="auto"/>
                <w:kern w:val="2"/>
                <w:sz w:val="21"/>
                <w:szCs w:val="22"/>
                <w:highlight w:val="none"/>
                <w:lang w:val="en-US" w:eastAsia="zh-CN" w:bidi="ar-SA"/>
              </w:rPr>
              <w:t>材料管理部</w:t>
            </w:r>
          </w:p>
        </w:tc>
        <w:tc>
          <w:tcPr>
            <w:tcW w:w="3600" w:type="dxa"/>
            <w:tcBorders>
              <w:top w:val="single" w:color="000000" w:sz="4" w:space="0"/>
              <w:left w:val="single" w:color="000000" w:sz="4" w:space="0"/>
              <w:bottom w:val="single" w:color="000000" w:sz="4" w:space="0"/>
              <w:right w:val="single" w:color="000000" w:sz="4" w:space="0"/>
            </w:tcBorders>
            <w:vAlign w:val="center"/>
          </w:tcPr>
          <w:p>
            <w:pPr>
              <w:snapToGrid w:val="0"/>
              <w:spacing w:line="312" w:lineRule="auto"/>
              <w:jc w:val="both"/>
              <w:textAlignment w:val="baseline"/>
              <w:rPr>
                <w:rStyle w:val="43"/>
                <w:rFonts w:hint="eastAsia" w:ascii="宋体" w:hAnsi="宋体" w:eastAsia="宋体" w:cs="宋体"/>
                <w:color w:val="auto"/>
                <w:kern w:val="2"/>
                <w:sz w:val="21"/>
                <w:szCs w:val="22"/>
                <w:highlight w:val="none"/>
                <w:lang w:val="en-US" w:eastAsia="zh-CN" w:bidi="ar-SA"/>
              </w:rPr>
            </w:pPr>
            <w:r>
              <w:rPr>
                <w:rStyle w:val="43"/>
                <w:rFonts w:hint="eastAsia" w:ascii="宋体" w:hAnsi="宋体" w:eastAsia="宋体" w:cs="宋体"/>
                <w:color w:val="auto"/>
                <w:kern w:val="2"/>
                <w:sz w:val="21"/>
                <w:szCs w:val="22"/>
                <w:highlight w:val="none"/>
                <w:lang w:val="en-US" w:eastAsia="zh-CN" w:bidi="ar-SA"/>
              </w:rPr>
              <w:t>未经批准更换部门经理或空缺</w:t>
            </w:r>
          </w:p>
        </w:tc>
        <w:tc>
          <w:tcPr>
            <w:tcW w:w="1260" w:type="dxa"/>
            <w:tcBorders>
              <w:top w:val="single" w:color="000000" w:sz="4" w:space="0"/>
              <w:left w:val="single" w:color="000000" w:sz="4" w:space="0"/>
              <w:bottom w:val="single" w:color="000000" w:sz="4" w:space="0"/>
              <w:right w:val="single" w:color="000000" w:sz="4" w:space="0"/>
            </w:tcBorders>
            <w:vAlign w:val="center"/>
          </w:tcPr>
          <w:p>
            <w:pPr>
              <w:snapToGrid w:val="0"/>
              <w:spacing w:line="312" w:lineRule="auto"/>
              <w:jc w:val="both"/>
              <w:textAlignment w:val="baseline"/>
              <w:rPr>
                <w:rStyle w:val="43"/>
                <w:rFonts w:hint="eastAsia" w:ascii="宋体" w:hAnsi="宋体" w:eastAsia="宋体" w:cs="宋体"/>
                <w:color w:val="auto"/>
                <w:kern w:val="2"/>
                <w:sz w:val="21"/>
                <w:szCs w:val="22"/>
                <w:highlight w:val="none"/>
                <w:lang w:val="en-US" w:eastAsia="zh-CN" w:bidi="ar-SA"/>
              </w:rPr>
            </w:pPr>
            <w:r>
              <w:rPr>
                <w:rStyle w:val="43"/>
                <w:rFonts w:hint="eastAsia" w:ascii="宋体" w:hAnsi="宋体" w:eastAsia="宋体" w:cs="宋体"/>
                <w:color w:val="auto"/>
                <w:kern w:val="2"/>
                <w:sz w:val="21"/>
                <w:szCs w:val="22"/>
                <w:highlight w:val="none"/>
                <w:lang w:val="en-US" w:eastAsia="zh-CN" w:bidi="ar-SA"/>
              </w:rPr>
              <w:t>□ 150000</w:t>
            </w:r>
          </w:p>
        </w:tc>
        <w:tc>
          <w:tcPr>
            <w:tcW w:w="1260" w:type="dxa"/>
            <w:tcBorders>
              <w:top w:val="single" w:color="000000" w:sz="4" w:space="0"/>
              <w:left w:val="single" w:color="000000" w:sz="4" w:space="0"/>
              <w:bottom w:val="single" w:color="000000" w:sz="4" w:space="0"/>
              <w:right w:val="single" w:color="000000" w:sz="4" w:space="0"/>
            </w:tcBorders>
            <w:vAlign w:val="center"/>
          </w:tcPr>
          <w:p>
            <w:pPr>
              <w:snapToGrid w:val="0"/>
              <w:spacing w:line="312" w:lineRule="auto"/>
              <w:jc w:val="both"/>
              <w:textAlignment w:val="baseline"/>
              <w:rPr>
                <w:rStyle w:val="43"/>
                <w:rFonts w:hint="eastAsia" w:ascii="宋体" w:hAnsi="宋体" w:eastAsia="宋体" w:cs="宋体"/>
                <w:color w:val="auto"/>
                <w:kern w:val="2"/>
                <w:sz w:val="21"/>
                <w:szCs w:val="22"/>
                <w:highlight w:val="none"/>
                <w:lang w:val="en-US" w:eastAsia="zh-CN" w:bidi="ar-SA"/>
              </w:rPr>
            </w:pPr>
            <w:r>
              <w:rPr>
                <w:rStyle w:val="43"/>
                <w:rFonts w:hint="eastAsia" w:ascii="宋体" w:hAnsi="宋体" w:eastAsia="宋体" w:cs="宋体"/>
                <w:color w:val="auto"/>
                <w:kern w:val="2"/>
                <w:sz w:val="21"/>
                <w:szCs w:val="22"/>
                <w:highlight w:val="none"/>
                <w:lang w:val="en-US" w:eastAsia="zh-CN" w:bidi="ar-SA"/>
              </w:rPr>
              <w:t>√ 100000</w:t>
            </w:r>
          </w:p>
        </w:tc>
        <w:tc>
          <w:tcPr>
            <w:tcW w:w="1080" w:type="dxa"/>
            <w:tcBorders>
              <w:top w:val="single" w:color="000000" w:sz="4" w:space="0"/>
              <w:left w:val="single" w:color="000000" w:sz="4" w:space="0"/>
              <w:bottom w:val="single" w:color="000000" w:sz="4" w:space="0"/>
              <w:right w:val="single" w:color="000000" w:sz="4" w:space="0"/>
            </w:tcBorders>
            <w:vAlign w:val="center"/>
          </w:tcPr>
          <w:p>
            <w:pPr>
              <w:snapToGrid w:val="0"/>
              <w:spacing w:line="312" w:lineRule="auto"/>
              <w:jc w:val="both"/>
              <w:textAlignment w:val="baseline"/>
              <w:rPr>
                <w:rStyle w:val="43"/>
                <w:rFonts w:hint="eastAsia" w:ascii="宋体" w:hAnsi="宋体" w:eastAsia="宋体" w:cs="宋体"/>
                <w:color w:val="auto"/>
                <w:kern w:val="2"/>
                <w:sz w:val="21"/>
                <w:szCs w:val="22"/>
                <w:highlight w:val="none"/>
                <w:lang w:val="en-US" w:eastAsia="zh-CN" w:bidi="ar-SA"/>
              </w:rPr>
            </w:pPr>
            <w:r>
              <w:rPr>
                <w:rStyle w:val="43"/>
                <w:rFonts w:hint="eastAsia" w:ascii="宋体" w:hAnsi="宋体" w:eastAsia="宋体" w:cs="宋体"/>
                <w:color w:val="auto"/>
                <w:kern w:val="2"/>
                <w:sz w:val="21"/>
                <w:szCs w:val="22"/>
                <w:highlight w:val="none"/>
                <w:lang w:val="en-US" w:eastAsia="zh-CN"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478"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312" w:lineRule="auto"/>
              <w:jc w:val="center"/>
              <w:textAlignment w:val="baseline"/>
              <w:rPr>
                <w:rStyle w:val="43"/>
                <w:rFonts w:hint="eastAsia" w:ascii="宋体" w:hAnsi="宋体" w:eastAsia="宋体" w:cs="宋体"/>
                <w:color w:val="auto"/>
                <w:kern w:val="2"/>
                <w:sz w:val="21"/>
                <w:szCs w:val="22"/>
                <w:highlight w:val="none"/>
                <w:lang w:val="en-US" w:eastAsia="zh-CN" w:bidi="ar-SA"/>
              </w:rPr>
            </w:pPr>
          </w:p>
        </w:tc>
        <w:tc>
          <w:tcPr>
            <w:tcW w:w="1637"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312" w:lineRule="auto"/>
              <w:jc w:val="both"/>
              <w:textAlignment w:val="baseline"/>
              <w:rPr>
                <w:rStyle w:val="43"/>
                <w:rFonts w:hint="eastAsia" w:ascii="宋体" w:hAnsi="宋体" w:eastAsia="宋体" w:cs="宋体"/>
                <w:color w:val="auto"/>
                <w:kern w:val="2"/>
                <w:sz w:val="21"/>
                <w:szCs w:val="22"/>
                <w:highlight w:val="none"/>
                <w:lang w:val="en-US" w:eastAsia="zh-CN" w:bidi="ar-SA"/>
              </w:rPr>
            </w:pPr>
          </w:p>
        </w:tc>
        <w:tc>
          <w:tcPr>
            <w:tcW w:w="3600" w:type="dxa"/>
            <w:tcBorders>
              <w:top w:val="single" w:color="000000" w:sz="4" w:space="0"/>
              <w:left w:val="single" w:color="000000" w:sz="4" w:space="0"/>
              <w:bottom w:val="single" w:color="000000" w:sz="4" w:space="0"/>
              <w:right w:val="single" w:color="000000" w:sz="4" w:space="0"/>
            </w:tcBorders>
            <w:vAlign w:val="center"/>
          </w:tcPr>
          <w:p>
            <w:pPr>
              <w:snapToGrid w:val="0"/>
              <w:spacing w:line="312" w:lineRule="auto"/>
              <w:jc w:val="both"/>
              <w:textAlignment w:val="baseline"/>
              <w:rPr>
                <w:rStyle w:val="43"/>
                <w:rFonts w:hint="eastAsia" w:ascii="宋体" w:hAnsi="宋体" w:eastAsia="宋体" w:cs="宋体"/>
                <w:color w:val="auto"/>
                <w:kern w:val="2"/>
                <w:sz w:val="21"/>
                <w:szCs w:val="22"/>
                <w:highlight w:val="none"/>
                <w:lang w:val="en-US" w:eastAsia="zh-CN" w:bidi="ar-SA"/>
              </w:rPr>
            </w:pPr>
            <w:r>
              <w:rPr>
                <w:rStyle w:val="43"/>
                <w:rFonts w:hint="eastAsia" w:ascii="宋体" w:hAnsi="宋体" w:eastAsia="宋体" w:cs="宋体"/>
                <w:color w:val="auto"/>
                <w:kern w:val="2"/>
                <w:sz w:val="21"/>
                <w:szCs w:val="22"/>
                <w:highlight w:val="none"/>
                <w:lang w:val="en-US" w:eastAsia="zh-CN" w:bidi="ar-SA"/>
              </w:rPr>
              <w:t>未经批准更换其他人</w:t>
            </w:r>
          </w:p>
        </w:tc>
        <w:tc>
          <w:tcPr>
            <w:tcW w:w="1260" w:type="dxa"/>
            <w:tcBorders>
              <w:top w:val="single" w:color="000000" w:sz="4" w:space="0"/>
              <w:left w:val="single" w:color="000000" w:sz="4" w:space="0"/>
              <w:bottom w:val="single" w:color="000000" w:sz="4" w:space="0"/>
              <w:right w:val="single" w:color="000000" w:sz="4" w:space="0"/>
            </w:tcBorders>
            <w:vAlign w:val="center"/>
          </w:tcPr>
          <w:p>
            <w:pPr>
              <w:snapToGrid w:val="0"/>
              <w:spacing w:line="312" w:lineRule="auto"/>
              <w:jc w:val="both"/>
              <w:textAlignment w:val="baseline"/>
              <w:rPr>
                <w:rStyle w:val="43"/>
                <w:rFonts w:hint="eastAsia" w:ascii="宋体" w:hAnsi="宋体" w:eastAsia="宋体" w:cs="宋体"/>
                <w:color w:val="auto"/>
                <w:kern w:val="2"/>
                <w:sz w:val="21"/>
                <w:szCs w:val="22"/>
                <w:highlight w:val="none"/>
                <w:lang w:val="en-US" w:eastAsia="zh-CN" w:bidi="ar-SA"/>
              </w:rPr>
            </w:pPr>
            <w:r>
              <w:rPr>
                <w:rStyle w:val="43"/>
                <w:rFonts w:hint="eastAsia" w:ascii="宋体" w:hAnsi="宋体" w:eastAsia="宋体" w:cs="宋体"/>
                <w:color w:val="auto"/>
                <w:kern w:val="2"/>
                <w:sz w:val="21"/>
                <w:szCs w:val="22"/>
                <w:highlight w:val="none"/>
                <w:lang w:val="en-US" w:eastAsia="zh-CN" w:bidi="ar-SA"/>
              </w:rPr>
              <w:t>□ 80000</w:t>
            </w:r>
          </w:p>
        </w:tc>
        <w:tc>
          <w:tcPr>
            <w:tcW w:w="1260" w:type="dxa"/>
            <w:tcBorders>
              <w:top w:val="single" w:color="000000" w:sz="4" w:space="0"/>
              <w:left w:val="single" w:color="000000" w:sz="4" w:space="0"/>
              <w:bottom w:val="single" w:color="000000" w:sz="4" w:space="0"/>
              <w:right w:val="single" w:color="000000" w:sz="4" w:space="0"/>
            </w:tcBorders>
            <w:vAlign w:val="center"/>
          </w:tcPr>
          <w:p>
            <w:pPr>
              <w:snapToGrid w:val="0"/>
              <w:spacing w:line="312" w:lineRule="auto"/>
              <w:jc w:val="both"/>
              <w:textAlignment w:val="baseline"/>
              <w:rPr>
                <w:rStyle w:val="43"/>
                <w:rFonts w:hint="eastAsia" w:ascii="宋体" w:hAnsi="宋体" w:eastAsia="宋体" w:cs="宋体"/>
                <w:color w:val="auto"/>
                <w:kern w:val="2"/>
                <w:sz w:val="21"/>
                <w:szCs w:val="22"/>
                <w:highlight w:val="none"/>
                <w:lang w:val="en-US" w:eastAsia="zh-CN" w:bidi="ar-SA"/>
              </w:rPr>
            </w:pPr>
            <w:r>
              <w:rPr>
                <w:rStyle w:val="43"/>
                <w:rFonts w:hint="eastAsia" w:ascii="宋体" w:hAnsi="宋体" w:eastAsia="宋体" w:cs="宋体"/>
                <w:color w:val="auto"/>
                <w:kern w:val="2"/>
                <w:sz w:val="21"/>
                <w:szCs w:val="22"/>
                <w:highlight w:val="none"/>
                <w:lang w:val="en-US" w:eastAsia="zh-CN" w:bidi="ar-SA"/>
              </w:rPr>
              <w:t>√ 100000</w:t>
            </w:r>
          </w:p>
        </w:tc>
        <w:tc>
          <w:tcPr>
            <w:tcW w:w="1080" w:type="dxa"/>
            <w:tcBorders>
              <w:top w:val="single" w:color="000000" w:sz="4" w:space="0"/>
              <w:left w:val="single" w:color="000000" w:sz="4" w:space="0"/>
              <w:bottom w:val="single" w:color="000000" w:sz="4" w:space="0"/>
              <w:right w:val="single" w:color="000000" w:sz="4" w:space="0"/>
            </w:tcBorders>
            <w:vAlign w:val="center"/>
          </w:tcPr>
          <w:p>
            <w:pPr>
              <w:snapToGrid w:val="0"/>
              <w:spacing w:line="312" w:lineRule="auto"/>
              <w:jc w:val="both"/>
              <w:textAlignment w:val="baseline"/>
              <w:rPr>
                <w:rStyle w:val="43"/>
                <w:rFonts w:hint="eastAsia" w:ascii="宋体" w:hAnsi="宋体" w:eastAsia="宋体" w:cs="宋体"/>
                <w:color w:val="auto"/>
                <w:kern w:val="2"/>
                <w:sz w:val="21"/>
                <w:szCs w:val="22"/>
                <w:highlight w:val="none"/>
                <w:lang w:val="en-US" w:eastAsia="zh-CN" w:bidi="ar-SA"/>
              </w:rPr>
            </w:pPr>
            <w:r>
              <w:rPr>
                <w:rStyle w:val="43"/>
                <w:rFonts w:hint="eastAsia" w:ascii="宋体" w:hAnsi="宋体" w:eastAsia="宋体" w:cs="宋体"/>
                <w:color w:val="auto"/>
                <w:kern w:val="2"/>
                <w:sz w:val="21"/>
                <w:szCs w:val="22"/>
                <w:highlight w:val="none"/>
                <w:lang w:val="en-US" w:eastAsia="zh-CN" w:bidi="ar-SA"/>
              </w:rPr>
              <w:t>□</w:t>
            </w:r>
          </w:p>
        </w:tc>
      </w:tr>
    </w:tbl>
    <w:p>
      <w:pPr>
        <w:tabs>
          <w:tab w:val="left" w:pos="1240"/>
          <w:tab w:val="left" w:pos="3640"/>
          <w:tab w:val="left" w:pos="6040"/>
          <w:tab w:val="left" w:pos="7845"/>
        </w:tabs>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经发包人或总监理工程师考核，承包人未按承诺投入技术管理人员或经过更换后的技术管理人员仍不能满足本合同工程建设要求的，承包人应无条件按发包人的要求更换，逾期不整改的，按上表约定的金额向发包人支付违约金。</w:t>
      </w:r>
    </w:p>
    <w:p>
      <w:pPr>
        <w:tabs>
          <w:tab w:val="left" w:pos="1240"/>
          <w:tab w:val="left" w:pos="3640"/>
          <w:tab w:val="left" w:pos="6040"/>
          <w:tab w:val="left" w:pos="7845"/>
        </w:tabs>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4）承包人的项目经理、技术负责人必须参加监理单位或发包人主持的工程例会和其他要求的专题会议，除获得监理单位或发包人批准外，每缺席1人次，承包人须承担1次一般违约责任。情节较轻的，可给予书面警告。</w:t>
      </w:r>
    </w:p>
    <w:p>
      <w:pPr>
        <w:tabs>
          <w:tab w:val="left" w:pos="1240"/>
          <w:tab w:val="left" w:pos="3640"/>
          <w:tab w:val="left" w:pos="6040"/>
          <w:tab w:val="left" w:pos="7845"/>
        </w:tabs>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5）承包人不按本合同规定做好施工总承包管理或配合工作，经总监理工程师或发包人发出限期改正通知后3天内，承包人仍未能整改至令总监理工程师或发包人满意的，由承包人参照专用条款第96.7（1）款的约定向发包人承担违约责任。</w:t>
      </w:r>
    </w:p>
    <w:p>
      <w:pPr>
        <w:tabs>
          <w:tab w:val="left" w:pos="1240"/>
          <w:tab w:val="left" w:pos="3640"/>
          <w:tab w:val="left" w:pos="6040"/>
          <w:tab w:val="left" w:pos="7845"/>
        </w:tabs>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6）承包人在发包人组织的考评中不合格的，必须按照考评通报的要求限期改正，并承担1次一般违约责任；承包人拒不限期改正或整改效果不明显的，承包人必须承担1次严重违约责任。若连续2次或累计3次考评不合格，承包人必须承担1次严重违约责任，并必须按照总监理工程师或者发包人的指令限期改正；承包人拒不限期改正或整改效果不明显的，发包人有权单方面部分解除合同或解除合同。若连续3次或累计4次考评不合格，发包人有权解除合同。</w:t>
      </w:r>
    </w:p>
    <w:p>
      <w:pPr>
        <w:tabs>
          <w:tab w:val="left" w:pos="1240"/>
          <w:tab w:val="left" w:pos="3640"/>
          <w:tab w:val="left" w:pos="6040"/>
          <w:tab w:val="left" w:pos="7845"/>
        </w:tabs>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（7）承包人不按合同约定或发包人要求提交竣工资料（含绿化工程送审资料和质量保修期间的资料）的，每发生一次，承担一次一般违约责任。</w:t>
      </w:r>
    </w:p>
    <w:p>
      <w:pPr>
        <w:tabs>
          <w:tab w:val="left" w:pos="1240"/>
          <w:tab w:val="left" w:pos="3640"/>
          <w:tab w:val="left" w:pos="6040"/>
          <w:tab w:val="left" w:pos="7845"/>
        </w:tabs>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（8）承包人单方面擅自终止或解除本合同的，应按专用条款第96.4（5）款的标准向发包人支付违约金及赔偿损失。</w:t>
      </w:r>
    </w:p>
    <w:p>
      <w:pPr>
        <w:tabs>
          <w:tab w:val="left" w:pos="1240"/>
          <w:tab w:val="left" w:pos="3640"/>
          <w:tab w:val="left" w:pos="6040"/>
          <w:tab w:val="left" w:pos="7845"/>
        </w:tabs>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90.7 工期延误方面的违约责任</w:t>
      </w:r>
    </w:p>
    <w:p>
      <w:pPr>
        <w:tabs>
          <w:tab w:val="left" w:pos="1240"/>
          <w:tab w:val="left" w:pos="3640"/>
          <w:tab w:val="left" w:pos="6040"/>
          <w:tab w:val="left" w:pos="7845"/>
        </w:tabs>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（1）承包人违反合同协议书第3.1款约定延期开工的，每迟延开工1天，应向发包人支付本合同价款1%的违约金；迟延开工超过15天的，发包人有权单方面解除合同。</w:t>
      </w:r>
    </w:p>
    <w:p>
      <w:pPr>
        <w:tabs>
          <w:tab w:val="left" w:pos="1240"/>
          <w:tab w:val="left" w:pos="3640"/>
          <w:tab w:val="left" w:pos="6040"/>
          <w:tab w:val="left" w:pos="7845"/>
        </w:tabs>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（2）承包人违反专用条款第35.1款约定单方面停工的，每停工1天，应向发包人支付本合同价款1%的违约金；连续停工超过5天或累计停工超过10天的，发包人有权单方面解除合同。</w:t>
      </w:r>
    </w:p>
    <w:p>
      <w:pPr>
        <w:tabs>
          <w:tab w:val="left" w:pos="1240"/>
          <w:tab w:val="left" w:pos="3640"/>
          <w:tab w:val="left" w:pos="6040"/>
          <w:tab w:val="left" w:pos="7845"/>
        </w:tabs>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3）承包人违反专用条款第33.1款的约定，延期交付施工组织设计，延期3天以内的（含3天），发包人给予书面警告；延期4～7天的，承包人应承担1次一般违约责任；延期8～10天的，承包人应承担1次严重违约责任；延期11天以上的（含11天），发包人有权单方面解除合同。</w:t>
      </w:r>
    </w:p>
    <w:p>
      <w:pPr>
        <w:tabs>
          <w:tab w:val="left" w:pos="1240"/>
          <w:tab w:val="left" w:pos="3640"/>
          <w:tab w:val="left" w:pos="6040"/>
          <w:tab w:val="left" w:pos="7845"/>
        </w:tabs>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4）承包人违反专用条款第35条约定造成本合同工程关键节点工期延误的，每延误1天，应向发包人支付本合同价款万分之0.5一天的违约金；延误超过5天的，发包人有权停止支付当月的工程进度款；延误10天以上的，承包人应在2天内制定出具体可行的自行赶工措施，报总监理工程师和发包人批准。如发包人认为承包人的赶工计划不可行，则发包人有权解除合同。</w:t>
      </w:r>
    </w:p>
    <w:p>
      <w:pPr>
        <w:widowControl w:val="0"/>
        <w:numPr>
          <w:ilvl w:val="0"/>
          <w:numId w:val="0"/>
        </w:numPr>
        <w:spacing w:line="240" w:lineRule="auto"/>
        <w:ind w:right="0" w:firstLine="240" w:firstLineChars="100"/>
        <w:jc w:val="left"/>
        <w:textAlignment w:val="auto"/>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（5）承包人违反专用条款第36条约定造成本合同工程不能按照合同协议书第3条约定的竣工日期竣工的需向发包人支付违约金，金额计算按如下原则：</w:t>
      </w:r>
      <w:r>
        <w:rPr>
          <w:rStyle w:val="43"/>
          <w:rFonts w:hint="eastAsia" w:ascii="宋体" w:hAnsi="宋体" w:eastAsia="宋体" w:cs="宋体"/>
          <w:b w:val="0"/>
          <w:bCs w:val="0"/>
          <w:color w:val="auto"/>
          <w:sz w:val="24"/>
          <w:szCs w:val="24"/>
          <w:highlight w:val="none"/>
          <w:lang w:val="en-US" w:eastAsia="zh-CN"/>
        </w:rPr>
        <w:t>1、延误3个月以内（含3个月）的，万分之0.5一天（且不少于1000元一天）。2、延误超过3个月的，万分之1一天（且不少于2000元一天）。最高不超合同价5%</w:t>
      </w:r>
      <w:r>
        <w:rPr>
          <w:rStyle w:val="43"/>
          <w:rFonts w:hint="eastAsia" w:ascii="宋体" w:hAnsi="宋体" w:eastAsia="宋体" w:cs="宋体"/>
          <w:color w:val="auto"/>
          <w:kern w:val="2"/>
          <w:sz w:val="24"/>
          <w:szCs w:val="24"/>
          <w:highlight w:val="none"/>
          <w:lang w:val="en-US" w:eastAsia="zh-CN" w:bidi="ar-SA"/>
        </w:rPr>
        <w:t>，同时由发包人按照对本合同工程最有利的原则，按如下约定处理：</w:t>
      </w:r>
    </w:p>
    <w:p>
      <w:pPr>
        <w:tabs>
          <w:tab w:val="left" w:pos="1240"/>
          <w:tab w:val="left" w:pos="3640"/>
          <w:tab w:val="left" w:pos="6040"/>
          <w:tab w:val="left" w:pos="7845"/>
        </w:tabs>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bdr w:val="single" w:color="auto" w:sz="4" w:space="0"/>
        </w:rPr>
        <w:t>×</w:t>
      </w:r>
      <w:r>
        <w:rPr>
          <w:rFonts w:hint="eastAsia" w:ascii="宋体" w:hAnsi="宋体" w:eastAsia="宋体" w:cs="宋体"/>
          <w:color w:val="auto"/>
          <w:sz w:val="24"/>
          <w:szCs w:val="24"/>
          <w:highlight w:val="none"/>
        </w:rPr>
        <w:t xml:space="preserve"> </w:t>
      </w:r>
      <w:r>
        <w:rPr>
          <w:rStyle w:val="43"/>
          <w:rFonts w:hint="eastAsia" w:ascii="宋体" w:hAnsi="宋体" w:eastAsia="宋体" w:cs="宋体"/>
          <w:color w:val="auto"/>
          <w:kern w:val="2"/>
          <w:sz w:val="24"/>
          <w:szCs w:val="24"/>
          <w:highlight w:val="none"/>
          <w:lang w:val="en-US" w:eastAsia="zh-CN" w:bidi="ar-SA"/>
        </w:rPr>
        <w:t>1）承包人按上述约定向发包人支付违约金并在发包人限定的时间内竣工；如承包人仍不能在发包人限定的时间内竣工，承包人除按上述约定支付违约金外（直至本合同工程全部竣工为止），还在工程结算时按本合同工程结算总价款下浮2%作为本合同工程的最终结算价款，同时承包人还应据实赔偿发包人的实际损失。</w:t>
      </w:r>
    </w:p>
    <w:p>
      <w:pPr>
        <w:tabs>
          <w:tab w:val="left" w:pos="1240"/>
          <w:tab w:val="left" w:pos="3640"/>
          <w:tab w:val="left" w:pos="6040"/>
          <w:tab w:val="left" w:pos="7845"/>
        </w:tabs>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napToGrid w:val="0"/>
          <w:color w:val="auto"/>
          <w:sz w:val="24"/>
          <w:szCs w:val="24"/>
          <w:highlight w:val="none"/>
          <w:bdr w:val="single" w:color="auto" w:sz="4" w:space="0"/>
        </w:rPr>
        <w:t>√</w:t>
      </w:r>
      <w:r>
        <w:rPr>
          <w:rFonts w:hint="eastAsia" w:ascii="宋体" w:hAnsi="宋体" w:eastAsia="宋体" w:cs="宋体"/>
          <w:color w:val="auto"/>
          <w:sz w:val="24"/>
          <w:szCs w:val="24"/>
          <w:highlight w:val="none"/>
        </w:rPr>
        <w:t xml:space="preserve"> </w:t>
      </w:r>
      <w:r>
        <w:rPr>
          <w:rStyle w:val="43"/>
          <w:rFonts w:hint="eastAsia" w:ascii="宋体" w:hAnsi="宋体" w:eastAsia="宋体" w:cs="宋体"/>
          <w:color w:val="auto"/>
          <w:kern w:val="2"/>
          <w:sz w:val="24"/>
          <w:szCs w:val="24"/>
          <w:highlight w:val="none"/>
          <w:lang w:val="en-US" w:eastAsia="zh-CN" w:bidi="ar-SA"/>
        </w:rPr>
        <w:t>2）由发包人有权将未完工程量从本合同中分割，交由第三方完成，由此发生的费用全部从本合同价款中支付，同时由承包人向发包人支付未完工程量价款10%的违约金并赔偿发包人的实际损失。</w:t>
      </w:r>
    </w:p>
    <w:p>
      <w:pPr>
        <w:tabs>
          <w:tab w:val="left" w:pos="1240"/>
          <w:tab w:val="left" w:pos="3640"/>
          <w:tab w:val="left" w:pos="6040"/>
          <w:tab w:val="left" w:pos="7845"/>
        </w:tabs>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90.8 材料设备管理方面的违约责任</w:t>
      </w:r>
    </w:p>
    <w:p>
      <w:pPr>
        <w:tabs>
          <w:tab w:val="left" w:pos="1240"/>
          <w:tab w:val="left" w:pos="3640"/>
          <w:tab w:val="left" w:pos="6040"/>
          <w:tab w:val="left" w:pos="7845"/>
        </w:tabs>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1）发包人（包括发包人委托的材料设备检验机构）或总监理工程师抽查承包人的工程材料设备（包括乙供、甲管乙供、甲招乙供材料设备），发现所检查的材料与合同约定标准的任何一项不符合时，承包人除必须全部退货、返工，并赔偿发包人由此遭受的实际损失外，还应当按照该批次材料的价值，按照如下约定承担违约责任：</w:t>
      </w:r>
    </w:p>
    <w:p>
      <w:pPr>
        <w:tabs>
          <w:tab w:val="left" w:pos="1240"/>
          <w:tab w:val="left" w:pos="3640"/>
          <w:tab w:val="left" w:pos="6040"/>
          <w:tab w:val="left" w:pos="7845"/>
        </w:tabs>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A、单宗或批次价值不到5万元的材料设备抽检不合格的，每发生3例，由承包人承担1次一般违约责任。</w:t>
      </w:r>
    </w:p>
    <w:p>
      <w:pPr>
        <w:tabs>
          <w:tab w:val="left" w:pos="1240"/>
          <w:tab w:val="left" w:pos="3640"/>
          <w:tab w:val="left" w:pos="6040"/>
          <w:tab w:val="left" w:pos="7845"/>
        </w:tabs>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B、单宗或批次价值达到5万元不到10万元的材料设备抽检不合格的，每发生1例，由承包人承担1次一般违约责任。</w:t>
      </w:r>
    </w:p>
    <w:p>
      <w:pPr>
        <w:tabs>
          <w:tab w:val="left" w:pos="1240"/>
          <w:tab w:val="left" w:pos="3640"/>
          <w:tab w:val="left" w:pos="6040"/>
          <w:tab w:val="left" w:pos="7845"/>
        </w:tabs>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C、单宗或批次价值达到10万元不到50万元的材料设备抽检不合格的，每发生1例，由承包人承担1次严重违约责任。</w:t>
      </w:r>
    </w:p>
    <w:p>
      <w:pPr>
        <w:tabs>
          <w:tab w:val="left" w:pos="1240"/>
          <w:tab w:val="left" w:pos="3640"/>
          <w:tab w:val="left" w:pos="6040"/>
          <w:tab w:val="left" w:pos="7845"/>
        </w:tabs>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D、单宗或批次价值达到50万元以上的材料设备抽检不合格的，每发生1例，发包人有权单方面部分解除合同或解除合同。</w:t>
      </w:r>
    </w:p>
    <w:p>
      <w:pPr>
        <w:tabs>
          <w:tab w:val="left" w:pos="1240"/>
          <w:tab w:val="left" w:pos="3640"/>
          <w:tab w:val="left" w:pos="6040"/>
          <w:tab w:val="left" w:pos="7845"/>
        </w:tabs>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2）承包人不按通、专用条款第49、50条的约定对用于本合同工程的材料设备进行管理的，视同不服从发包人及监理单位管理，应按专用条款第96.7（1）款的约定承担违约责任；同时发包人有权暂停支付本合同工程进度款，直到承包人完成相关工作为止。</w:t>
      </w:r>
    </w:p>
    <w:p>
      <w:pPr>
        <w:tabs>
          <w:tab w:val="left" w:pos="1240"/>
          <w:tab w:val="left" w:pos="3640"/>
          <w:tab w:val="left" w:pos="6040"/>
          <w:tab w:val="left" w:pos="7845"/>
        </w:tabs>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90.9 工程质量方面的违约责任</w:t>
      </w:r>
    </w:p>
    <w:p>
      <w:pPr>
        <w:tabs>
          <w:tab w:val="left" w:pos="1240"/>
          <w:tab w:val="left" w:pos="3640"/>
          <w:tab w:val="left" w:pos="6040"/>
          <w:tab w:val="left" w:pos="7845"/>
        </w:tabs>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1）承包人必须对各工序报验核查质量控制点。承包人申请报验后，经总监理工程师或发包人检查发现存在较大质量问题（存在质量问题的部分超过检查部分工程的10%），则该工序质量为不合格，承包人必须对不合格部分进行返工，返工后经检查合格才准进入下一工序，工期不予顺延。复检的结果，按每一分项工程计算，总计发现3次或连续发现2次质量控制点不合格的，承包人承担1次一般违约责任；总计发现3次以上（不含本数）或连续发现2次以上（不含本数）质量控制点不合格的，承包人承担1次严重违约责任；承包人采取整改措施后效果仍不明显的，发包人有权部分解除合同，将该分项工程另行发包，且不免除承包人应承担的违约赔偿责任。</w:t>
      </w:r>
    </w:p>
    <w:p>
      <w:pPr>
        <w:tabs>
          <w:tab w:val="left" w:pos="1240"/>
          <w:tab w:val="left" w:pos="3640"/>
          <w:tab w:val="left" w:pos="6040"/>
          <w:tab w:val="left" w:pos="7845"/>
        </w:tabs>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（2）工程竣工验收不符合国家强制性标准及规范要求或者未能实现一次验收合格的，承包人应按发包人要求的期限采取补救措施、赔偿发包人的实际损失，并承担由此引起的一切责任。</w:t>
      </w:r>
    </w:p>
    <w:p>
      <w:pPr>
        <w:tabs>
          <w:tab w:val="left" w:pos="1240"/>
          <w:tab w:val="left" w:pos="3640"/>
          <w:tab w:val="left" w:pos="6040"/>
          <w:tab w:val="left" w:pos="7845"/>
        </w:tabs>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（3）本合同工程未能被评为合同协议书第4条约定的奖项的，承包人承担一次严重违约责任。</w:t>
      </w:r>
    </w:p>
    <w:p>
      <w:pPr>
        <w:tabs>
          <w:tab w:val="left" w:pos="1240"/>
          <w:tab w:val="left" w:pos="3640"/>
          <w:tab w:val="left" w:pos="6040"/>
          <w:tab w:val="left" w:pos="7845"/>
        </w:tabs>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4）在本合同工程质量保修期内发现有重大质量不合格问题的（该重大质量问题应界定为达不到要求的质量标准，属质量保修的问题除外），承包人必须在规定的期限内返工达到合同约定的质量等级并赔偿由此给发包人造成的损失，同时按该不合格项目所处分项工程总造价的5%向发包人支付违约金。工程保修期从所处分项工程返工验收合格之日起重新计算。</w:t>
      </w:r>
    </w:p>
    <w:p>
      <w:pPr>
        <w:tabs>
          <w:tab w:val="left" w:pos="1240"/>
          <w:tab w:val="left" w:pos="3640"/>
          <w:tab w:val="left" w:pos="6040"/>
          <w:tab w:val="left" w:pos="7845"/>
        </w:tabs>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90.10安全生产方面的违约责任</w:t>
      </w:r>
    </w:p>
    <w:p>
      <w:pPr>
        <w:tabs>
          <w:tab w:val="left" w:pos="1240"/>
          <w:tab w:val="left" w:pos="3640"/>
          <w:tab w:val="left" w:pos="6040"/>
          <w:tab w:val="left" w:pos="7845"/>
        </w:tabs>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1）承包人在政府行政主管部门组织的安全生产检查中，被发现存在严重的安全隐患，被通报批评，或被新闻媒体曝光造成不良影响的，被通报或被曝光1次，承包人必须承担1次严重违约责任；造成严重社会影响或累计被通报或被曝光3次以上（含本数）的，发包人有权解除合同。</w:t>
      </w:r>
    </w:p>
    <w:p>
      <w:pPr>
        <w:tabs>
          <w:tab w:val="left" w:pos="1240"/>
          <w:tab w:val="left" w:pos="3640"/>
          <w:tab w:val="left" w:pos="6040"/>
          <w:tab w:val="left" w:pos="7845"/>
        </w:tabs>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2）承包人在发包人、总监理工程师进行的日常安全生产检查中，被发现存在安全隐患的，承包人应限期改正。若同样问题被发现2次或累计类似问题被发现3次的，承包人必须承担1次一般违约责任。此类问题的认定，以发包人、总监理工程师书面通知、指令、通报或会议纪要为准。</w:t>
      </w:r>
    </w:p>
    <w:p>
      <w:pPr>
        <w:tabs>
          <w:tab w:val="left" w:pos="1240"/>
          <w:tab w:val="left" w:pos="3640"/>
          <w:tab w:val="left" w:pos="6040"/>
          <w:tab w:val="left" w:pos="7845"/>
        </w:tabs>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（3）承包人因自身原因造成重大安全事故（含工程质量事故）的，除按国家规定由主管部门处罚外，承包人必须依照下列约定承担违约责任：</w:t>
      </w:r>
    </w:p>
    <w:p>
      <w:pPr>
        <w:tabs>
          <w:tab w:val="left" w:pos="1240"/>
          <w:tab w:val="left" w:pos="3640"/>
          <w:tab w:val="left" w:pos="6040"/>
          <w:tab w:val="left" w:pos="7845"/>
        </w:tabs>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1）发生特别重大事故，承包人按事故所处分项工程总价15%，向发包人支付违约金，违约金的数额不得低于20万元；</w:t>
      </w:r>
    </w:p>
    <w:p>
      <w:pPr>
        <w:tabs>
          <w:tab w:val="left" w:pos="1240"/>
          <w:tab w:val="left" w:pos="3640"/>
          <w:tab w:val="left" w:pos="6040"/>
          <w:tab w:val="left" w:pos="7845"/>
        </w:tabs>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2）发生重大事故，承包人按事故所处分项工程总价12%，向发包人支付违约金，违约金的数额不得低于15万元；</w:t>
      </w:r>
    </w:p>
    <w:p>
      <w:pPr>
        <w:tabs>
          <w:tab w:val="left" w:pos="1240"/>
          <w:tab w:val="left" w:pos="3640"/>
          <w:tab w:val="left" w:pos="6040"/>
          <w:tab w:val="left" w:pos="7845"/>
        </w:tabs>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3）发生较大事故，承包人按事故所处分项工程总价10%，向发包人支付违约金，违约金数额不得低于10万元；</w:t>
      </w:r>
    </w:p>
    <w:p>
      <w:pPr>
        <w:tabs>
          <w:tab w:val="left" w:pos="1240"/>
          <w:tab w:val="left" w:pos="3640"/>
          <w:tab w:val="left" w:pos="6040"/>
          <w:tab w:val="left" w:pos="7845"/>
        </w:tabs>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4）发生一般事故事故，承包人按事故所处分项工程总价8%，向发包人支付违约金，违约金数额不得低于5万元。</w:t>
      </w:r>
    </w:p>
    <w:p>
      <w:pPr>
        <w:tabs>
          <w:tab w:val="left" w:pos="1240"/>
          <w:tab w:val="left" w:pos="3640"/>
          <w:tab w:val="left" w:pos="6040"/>
          <w:tab w:val="left" w:pos="7845"/>
        </w:tabs>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发生上述重大事故，除执行相应违约处罚外，发包人有权解除部分乃至全部合同。</w:t>
      </w:r>
    </w:p>
    <w:p>
      <w:pPr>
        <w:tabs>
          <w:tab w:val="left" w:pos="1240"/>
          <w:tab w:val="left" w:pos="3640"/>
          <w:tab w:val="left" w:pos="6040"/>
          <w:tab w:val="left" w:pos="7845"/>
        </w:tabs>
        <w:spacing w:line="312" w:lineRule="auto"/>
        <w:ind w:right="-20" w:firstLine="480" w:firstLineChars="200"/>
        <w:jc w:val="left"/>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 xml:space="preserve">承包人依照上述约定支付违约金后，所支付的违约金不足以弥补由此给发包人造成的损失的，承包人还须补偿发包人的其他损失。                                             （4）安全事故等级[《生产安全事故报告和调查处理条例》]： </w:t>
      </w:r>
    </w:p>
    <w:p>
      <w:pPr>
        <w:tabs>
          <w:tab w:val="left" w:pos="1240"/>
          <w:tab w:val="left" w:pos="3640"/>
          <w:tab w:val="left" w:pos="6040"/>
          <w:tab w:val="left" w:pos="7845"/>
        </w:tabs>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 xml:space="preserve">（1）特别重大事故，是指造成 30 人以上死亡，或者 100 人以上重伤（包括急性工业中毒，下同），或者 1 亿元以上直接经济损失的事故； </w:t>
      </w:r>
    </w:p>
    <w:p>
      <w:pPr>
        <w:tabs>
          <w:tab w:val="left" w:pos="1240"/>
          <w:tab w:val="left" w:pos="3640"/>
          <w:tab w:val="left" w:pos="6040"/>
          <w:tab w:val="left" w:pos="7845"/>
        </w:tabs>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 xml:space="preserve">（2）重大事故，是指造成 10 人以上 30 人以下死亡，或者 50 人以上 100 人以下重伤，或者 5000 万元以上 1 亿元以下直接经济损失的事故； </w:t>
      </w:r>
    </w:p>
    <w:p>
      <w:pPr>
        <w:tabs>
          <w:tab w:val="left" w:pos="1240"/>
          <w:tab w:val="left" w:pos="3640"/>
          <w:tab w:val="left" w:pos="6040"/>
          <w:tab w:val="left" w:pos="7845"/>
        </w:tabs>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 xml:space="preserve">（3）较大事故，是指造成 3 人以上 10 人以下死亡，或者 10 人以上 50 人以下重伤，或者 1000 万元以上 5000 万元以下直接经济损失的事故； </w:t>
      </w:r>
    </w:p>
    <w:p>
      <w:pPr>
        <w:tabs>
          <w:tab w:val="left" w:pos="1240"/>
          <w:tab w:val="left" w:pos="3640"/>
          <w:tab w:val="left" w:pos="6040"/>
          <w:tab w:val="left" w:pos="7845"/>
        </w:tabs>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（4）一般事故，是指造成 3 人以下死亡，或者 10 人以下重伤，或者 1000</w:t>
      </w:r>
    </w:p>
    <w:p>
      <w:pPr>
        <w:tabs>
          <w:tab w:val="left" w:pos="1240"/>
          <w:tab w:val="left" w:pos="3640"/>
          <w:tab w:val="left" w:pos="6040"/>
          <w:tab w:val="left" w:pos="7845"/>
        </w:tabs>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 xml:space="preserve">万元以下直接经济损失的事故。 </w:t>
      </w:r>
    </w:p>
    <w:p>
      <w:pPr>
        <w:tabs>
          <w:tab w:val="left" w:pos="1240"/>
          <w:tab w:val="left" w:pos="3640"/>
          <w:tab w:val="left" w:pos="6040"/>
          <w:tab w:val="left" w:pos="7845"/>
        </w:tabs>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上述所称的“以上”包括本数，所称的“以下”不包括本数。 90.11文明施工、环境保护方面的违约责任</w:t>
      </w:r>
    </w:p>
    <w:p>
      <w:pPr>
        <w:tabs>
          <w:tab w:val="left" w:pos="1240"/>
          <w:tab w:val="left" w:pos="3640"/>
          <w:tab w:val="left" w:pos="6040"/>
          <w:tab w:val="left" w:pos="7845"/>
        </w:tabs>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1）发包人、总监理工程师按照通、专用条款第45条的约定，对承包人文明施工措施进行对照检查。经检查发现承包人因自身原因未能落实的，承包人应按发包人或监理工程师的要求限期整改；逾期未完成整改的，承包人必须承担1次一般违约责任并再次整改；如限期届满未改正的，承包人须承担1次严重违约责任。</w:t>
      </w:r>
    </w:p>
    <w:p>
      <w:pPr>
        <w:tabs>
          <w:tab w:val="left" w:pos="1240"/>
          <w:tab w:val="left" w:pos="3640"/>
          <w:tab w:val="left" w:pos="6040"/>
          <w:tab w:val="left" w:pos="7845"/>
        </w:tabs>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2）在行业主管部门的检查中，承包人的施工场地被评为不合格工地或者被通报批评或者被新闻媒体曝光的，承包人必须承担1次严重违约责任，并立即采取切实有效措施予以整改；拒不采取切实有效措施整改的，或整改效果不明显的，发包人有权部分或全部解除合同。</w:t>
      </w:r>
    </w:p>
    <w:p>
      <w:pPr>
        <w:tabs>
          <w:tab w:val="left" w:pos="1240"/>
          <w:tab w:val="left" w:pos="3640"/>
          <w:tab w:val="left" w:pos="6040"/>
          <w:tab w:val="left" w:pos="7845"/>
        </w:tabs>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3）承包人在施工过程中因其自身原因造成周围环境卫生状况较差，被其他施工单位或周围居民投诉的，承包人必须在当天内整改。若故意拖延或类似问题累计被投诉2次以上且经查实的，承包人必须承担1次严重违约责任。</w:t>
      </w:r>
    </w:p>
    <w:p>
      <w:pPr>
        <w:tabs>
          <w:tab w:val="left" w:pos="1240"/>
          <w:tab w:val="left" w:pos="3640"/>
          <w:tab w:val="left" w:pos="6040"/>
          <w:tab w:val="left" w:pos="7845"/>
        </w:tabs>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90.12工程转包、分包方面的违约责任</w:t>
      </w:r>
    </w:p>
    <w:p>
      <w:pPr>
        <w:tabs>
          <w:tab w:val="left" w:pos="1240"/>
          <w:tab w:val="left" w:pos="3640"/>
          <w:tab w:val="left" w:pos="6040"/>
          <w:tab w:val="left" w:pos="7845"/>
        </w:tabs>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1）承包人不按通、专用条款第7条的约定进行分包管理的，视同不服从发包人及监理单位管理，应按专用条款第96.7（1）款的约定承担违约责任；同时发包人有权暂停支付本合同工程进度款，直到承包人完成相关工作为止。</w:t>
      </w:r>
    </w:p>
    <w:p>
      <w:pPr>
        <w:tabs>
          <w:tab w:val="left" w:pos="1240"/>
          <w:tab w:val="left" w:pos="3640"/>
          <w:tab w:val="left" w:pos="6040"/>
          <w:tab w:val="left" w:pos="7845"/>
        </w:tabs>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（2）承包人转包工程或者违反法律法规及本合同约定分包工程的，发包人有权单方面部分解除合同或解除合同，并由承包人承担由此产生的一切责任及损失。</w:t>
      </w:r>
    </w:p>
    <w:p>
      <w:pPr>
        <w:tabs>
          <w:tab w:val="left" w:pos="1240"/>
          <w:tab w:val="left" w:pos="3640"/>
          <w:tab w:val="left" w:pos="6040"/>
          <w:tab w:val="left" w:pos="7845"/>
        </w:tabs>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90.13 农民工工资支付方面的违约责任</w:t>
      </w:r>
    </w:p>
    <w:p>
      <w:pPr>
        <w:tabs>
          <w:tab w:val="left" w:pos="1240"/>
          <w:tab w:val="left" w:pos="3640"/>
          <w:tab w:val="left" w:pos="6040"/>
          <w:tab w:val="left" w:pos="7845"/>
        </w:tabs>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1）承包人违反专用条款第20.9款的约定，被农民工投诉或上访属实的，承包人必须在3天内发放拖欠的款项。若继续拖延被投诉2次及以上，经查实，承包人必须承担1次一般违约责任。若仍然不予整改并发放拖欠的款项，使农民工采取停工、集聚围阻发包人办公地点甚至政府办公部门、阻塞交通要道、围堵或破坏、拆除已移交发包人的工程等过激行动的，承包人必须承担1次严重违约责任，并立即采取切实有效措施予以整改；拒不采取切实有效措施整改的，或整改效果不明显的，发包人有权部分或全部解除合同。</w:t>
      </w:r>
    </w:p>
    <w:p>
      <w:pPr>
        <w:tabs>
          <w:tab w:val="left" w:pos="1240"/>
          <w:tab w:val="left" w:pos="3640"/>
          <w:tab w:val="left" w:pos="6040"/>
          <w:tab w:val="left" w:pos="7845"/>
        </w:tabs>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2）由于承包人或其管理的分包单位（包括施工专业分包、供货分包及劳务分包单位等）拖欠农民工工资致使发包人被投诉或起诉并被判令先行垫付农民工工资的，承包人除承担1次严重违约责任外，还应向发包人支付发包人先行垫付的农民工工资金额的两倍作为补偿。</w:t>
      </w:r>
    </w:p>
    <w:p>
      <w:pPr>
        <w:tabs>
          <w:tab w:val="left" w:pos="1240"/>
          <w:tab w:val="left" w:pos="3640"/>
          <w:tab w:val="left" w:pos="6040"/>
          <w:tab w:val="left" w:pos="7845"/>
        </w:tabs>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（3）因承包人违约导致发包人暂停支付工程款时，承包人不得以此为理由拖欠农民工工资，在发包人和承包人就暂停支付工程款问题解决之前，承包人有义务先行支付其所属工人工资。</w:t>
      </w:r>
    </w:p>
    <w:p>
      <w:pPr>
        <w:tabs>
          <w:tab w:val="left" w:pos="1240"/>
          <w:tab w:val="left" w:pos="3640"/>
          <w:tab w:val="left" w:pos="6040"/>
          <w:tab w:val="left" w:pos="7845"/>
        </w:tabs>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4）承包人不按合同及有关规定按时、足额支付分包单位合同价款及民工工资致使民工集体上访、集聚围阻而造成社会不良影响的，发包人将立即终止与承包人的合同，并上报省、市主管部门建议取消其参加广州地区省、市重大项目的投标资格，并由发包人予以公告。如属恶意煽动并造成社会不良影响的，发包人将提请司法部门追究其法律责任。</w:t>
      </w:r>
    </w:p>
    <w:p>
      <w:pPr>
        <w:tabs>
          <w:tab w:val="left" w:pos="1240"/>
          <w:tab w:val="left" w:pos="3640"/>
          <w:tab w:val="left" w:pos="6040"/>
          <w:tab w:val="left" w:pos="7845"/>
        </w:tabs>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90.14除上述约定之外，承包人不履行或不完全履行合同其他义务的，均构成违约，应当承担1次一般违约责任。情节较轻的，可给予书面警告；情节较重的，应当承担1次严重违约责任。</w:t>
      </w:r>
    </w:p>
    <w:p>
      <w:pPr>
        <w:tabs>
          <w:tab w:val="left" w:pos="1240"/>
          <w:tab w:val="left" w:pos="3640"/>
          <w:tab w:val="left" w:pos="6040"/>
          <w:tab w:val="left" w:pos="7845"/>
        </w:tabs>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90.15承包人违约责任的认定方式及送达程序：</w:t>
      </w:r>
    </w:p>
    <w:p>
      <w:pPr>
        <w:tabs>
          <w:tab w:val="left" w:pos="1240"/>
          <w:tab w:val="left" w:pos="3640"/>
          <w:tab w:val="left" w:pos="6040"/>
          <w:tab w:val="left" w:pos="7845"/>
        </w:tabs>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（1）认定方式：以发包人发出的通知、通报、会议纪要等书面文件确定的内容为准。</w:t>
      </w:r>
    </w:p>
    <w:p>
      <w:pPr>
        <w:tabs>
          <w:tab w:val="left" w:pos="1240"/>
          <w:tab w:val="left" w:pos="3640"/>
          <w:tab w:val="left" w:pos="6040"/>
          <w:tab w:val="left" w:pos="7845"/>
        </w:tabs>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（2）送达程序：发包人以下列方式之一将书面违约处理决定送达承包人：</w:t>
      </w:r>
    </w:p>
    <w:p>
      <w:pPr>
        <w:tabs>
          <w:tab w:val="left" w:pos="1240"/>
          <w:tab w:val="left" w:pos="3640"/>
          <w:tab w:val="left" w:pos="6040"/>
          <w:tab w:val="left" w:pos="7845"/>
        </w:tabs>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1）承包人现场管理机构工作人员签收。</w:t>
      </w:r>
    </w:p>
    <w:p>
      <w:pPr>
        <w:tabs>
          <w:tab w:val="left" w:pos="1240"/>
          <w:tab w:val="left" w:pos="3640"/>
          <w:tab w:val="left" w:pos="6040"/>
          <w:tab w:val="left" w:pos="7845"/>
        </w:tabs>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2）承包人其他工作人员签收。</w:t>
      </w:r>
    </w:p>
    <w:p>
      <w:pPr>
        <w:tabs>
          <w:tab w:val="left" w:pos="1240"/>
          <w:tab w:val="left" w:pos="3640"/>
          <w:tab w:val="left" w:pos="6040"/>
          <w:tab w:val="left" w:pos="7845"/>
        </w:tabs>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3）发包人邮寄送达。</w:t>
      </w:r>
    </w:p>
    <w:p>
      <w:pPr>
        <w:tabs>
          <w:tab w:val="left" w:pos="1240"/>
          <w:tab w:val="left" w:pos="3640"/>
          <w:tab w:val="left" w:pos="6040"/>
          <w:tab w:val="left" w:pos="7845"/>
        </w:tabs>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3）发包人以书面形式作出的违约处理决定一经送达承包人立即生效。承包人如有足够证据证明不应由其承担违约责任的，应在收到违约处理决定后3天内以书面形式向发包人提出异议并附上有关证据；发包人在收到承包人的异议后15天内审核完毕且作出书面决定并通知承包人。在异议审核期间，承包人须正常施工，不得以审核未确定为由拖延或者中止工程施工。</w:t>
      </w:r>
    </w:p>
    <w:p>
      <w:pPr>
        <w:tabs>
          <w:tab w:val="left" w:pos="1240"/>
          <w:tab w:val="left" w:pos="3640"/>
          <w:tab w:val="left" w:pos="6040"/>
          <w:tab w:val="left" w:pos="7845"/>
        </w:tabs>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91发包人的违约责任</w:t>
      </w:r>
    </w:p>
    <w:p>
      <w:pPr>
        <w:tabs>
          <w:tab w:val="left" w:pos="1240"/>
          <w:tab w:val="left" w:pos="3640"/>
          <w:tab w:val="left" w:pos="6040"/>
          <w:tab w:val="left" w:pos="7845"/>
        </w:tabs>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（1）本合同通用条款第79条提到的发包人不按时支付工程预付款。</w:t>
      </w:r>
    </w:p>
    <w:p>
      <w:pPr>
        <w:tabs>
          <w:tab w:val="left" w:pos="1240"/>
          <w:tab w:val="left" w:pos="3640"/>
          <w:tab w:val="left" w:pos="6040"/>
          <w:tab w:val="left" w:pos="7845"/>
        </w:tabs>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（2）本合同通用条款第81.3款提到的发包人不按合同约定支付工程款，导致施工无法进行；</w:t>
      </w:r>
    </w:p>
    <w:p>
      <w:pPr>
        <w:tabs>
          <w:tab w:val="left" w:pos="1240"/>
          <w:tab w:val="left" w:pos="3640"/>
          <w:tab w:val="left" w:pos="6040"/>
          <w:tab w:val="left" w:pos="7845"/>
        </w:tabs>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（3）本合同通用条款第83.3款提到的发包人无正当理由不支付工程竣工结算价款；</w:t>
      </w:r>
    </w:p>
    <w:p>
      <w:pPr>
        <w:tabs>
          <w:tab w:val="left" w:pos="1240"/>
          <w:tab w:val="left" w:pos="3640"/>
          <w:tab w:val="left" w:pos="6040"/>
          <w:tab w:val="left" w:pos="7845"/>
        </w:tabs>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但由于财政资金不到位等原因导致发包人无法按时拨付预付款、进度款、结算款等款项，不构成发包人违约。</w:t>
      </w:r>
    </w:p>
    <w:p>
      <w:pPr>
        <w:tabs>
          <w:tab w:val="left" w:pos="1240"/>
          <w:tab w:val="left" w:pos="3640"/>
          <w:tab w:val="left" w:pos="6040"/>
          <w:tab w:val="left" w:pos="7845"/>
        </w:tabs>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（4）发包人不履行合同义务或不按合同约定履行义务的其他情况。</w:t>
      </w:r>
    </w:p>
    <w:p>
      <w:pPr>
        <w:tabs>
          <w:tab w:val="left" w:pos="1240"/>
          <w:tab w:val="left" w:pos="3640"/>
          <w:tab w:val="left" w:pos="6040"/>
          <w:tab w:val="left" w:pos="7845"/>
        </w:tabs>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发包人承担违约责任，赔偿因其违约给承包人造成的经济损失，顺延延误的工期。双方在合同专用条款内约定发包人赔偿承包人损失的计算方法或者发包人应当支付违约金的数额或计算方法。</w:t>
      </w:r>
    </w:p>
    <w:p>
      <w:pPr>
        <w:pStyle w:val="11"/>
        <w:tabs>
          <w:tab w:val="left" w:pos="540"/>
        </w:tabs>
        <w:adjustRightInd w:val="0"/>
        <w:snapToGrid w:val="0"/>
        <w:spacing w:before="240" w:beforeLines="100" w:line="360" w:lineRule="auto"/>
        <w:ind w:right="-20"/>
        <w:jc w:val="both"/>
        <w:textAlignment w:val="baseline"/>
        <w:outlineLvl w:val="2"/>
        <w:rPr>
          <w:rStyle w:val="25"/>
          <w:rFonts w:hint="eastAsia" w:ascii="宋体" w:hAnsi="宋体" w:eastAsia="宋体" w:cs="宋体"/>
          <w:b w:val="0"/>
          <w:bCs w:val="0"/>
          <w:color w:val="000000"/>
          <w:kern w:val="2"/>
          <w:sz w:val="24"/>
          <w:szCs w:val="24"/>
          <w:highlight w:val="none"/>
          <w:lang w:val="en-US" w:eastAsia="zh-CN" w:bidi="ar-SA"/>
        </w:rPr>
      </w:pPr>
      <w:bookmarkStart w:id="248" w:name="_Toc16387"/>
      <w:bookmarkStart w:id="249" w:name="_Toc7811"/>
      <w:r>
        <w:rPr>
          <w:rStyle w:val="25"/>
          <w:rFonts w:hint="eastAsia" w:ascii="宋体" w:hAnsi="宋体" w:eastAsia="宋体" w:cs="宋体"/>
          <w:b w:val="0"/>
          <w:bCs w:val="0"/>
          <w:color w:val="000000"/>
          <w:kern w:val="2"/>
          <w:sz w:val="24"/>
          <w:szCs w:val="24"/>
          <w:highlight w:val="none"/>
          <w:lang w:val="en-US" w:eastAsia="zh-CN" w:bidi="ar-SA"/>
        </w:rPr>
        <w:t>94 保密要求</w:t>
      </w:r>
      <w:bookmarkEnd w:id="248"/>
      <w:bookmarkEnd w:id="249"/>
    </w:p>
    <w:p>
      <w:pPr>
        <w:tabs>
          <w:tab w:val="left" w:pos="1240"/>
        </w:tabs>
        <w:spacing w:line="312" w:lineRule="auto"/>
        <w:ind w:right="-20" w:firstLine="470" w:firstLineChars="196"/>
        <w:jc w:val="both"/>
        <w:textAlignment w:val="baseline"/>
        <w:rPr>
          <w:rStyle w:val="43"/>
          <w:rFonts w:hint="eastAsia" w:ascii="宋体" w:hAnsi="宋体" w:eastAsia="宋体" w:cs="宋体"/>
          <w:b/>
          <w:bCs/>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94.1 提供保密信息的期限：按通用条款执行。</w:t>
      </w:r>
    </w:p>
    <w:p>
      <w:pPr>
        <w:pStyle w:val="11"/>
        <w:tabs>
          <w:tab w:val="left" w:pos="540"/>
        </w:tabs>
        <w:adjustRightInd w:val="0"/>
        <w:snapToGrid w:val="0"/>
        <w:spacing w:before="240" w:beforeLines="100" w:line="360" w:lineRule="auto"/>
        <w:ind w:right="-20"/>
        <w:jc w:val="both"/>
        <w:textAlignment w:val="baseline"/>
        <w:outlineLvl w:val="2"/>
        <w:rPr>
          <w:rStyle w:val="25"/>
          <w:rFonts w:hint="eastAsia" w:ascii="宋体" w:hAnsi="宋体" w:eastAsia="宋体" w:cs="宋体"/>
          <w:b w:val="0"/>
          <w:bCs w:val="0"/>
          <w:color w:val="000000"/>
          <w:kern w:val="2"/>
          <w:sz w:val="24"/>
          <w:szCs w:val="24"/>
          <w:highlight w:val="none"/>
          <w:lang w:val="en-US" w:eastAsia="zh-CN" w:bidi="ar-SA"/>
        </w:rPr>
      </w:pPr>
      <w:bookmarkStart w:id="250" w:name="_Toc22710"/>
      <w:bookmarkStart w:id="251" w:name="_Toc28911"/>
      <w:r>
        <w:rPr>
          <w:rStyle w:val="25"/>
          <w:rFonts w:hint="eastAsia" w:ascii="宋体" w:hAnsi="宋体" w:eastAsia="宋体" w:cs="宋体"/>
          <w:b w:val="0"/>
          <w:bCs w:val="0"/>
          <w:color w:val="000000"/>
          <w:kern w:val="2"/>
          <w:sz w:val="24"/>
          <w:szCs w:val="24"/>
          <w:highlight w:val="none"/>
          <w:lang w:val="en-US" w:eastAsia="zh-CN" w:bidi="ar-SA"/>
        </w:rPr>
        <w:t>9</w:t>
      </w:r>
      <w:r>
        <w:rPr>
          <w:rStyle w:val="25"/>
          <w:rFonts w:hint="eastAsia" w:ascii="宋体" w:hAnsi="宋体" w:eastAsia="宋体" w:cs="宋体"/>
          <w:b w:val="0"/>
          <w:bCs w:val="0"/>
          <w:color w:val="000000"/>
          <w:kern w:val="2"/>
          <w:sz w:val="24"/>
          <w:szCs w:val="36"/>
          <w:highlight w:val="none"/>
          <w:lang w:val="en-US" w:eastAsia="zh-CN" w:bidi="ar-SA"/>
        </w:rPr>
        <w:t>7</w:t>
      </w:r>
      <w:r>
        <w:rPr>
          <w:rStyle w:val="25"/>
          <w:rFonts w:hint="eastAsia" w:ascii="宋体" w:hAnsi="宋体" w:eastAsia="宋体" w:cs="宋体"/>
          <w:b w:val="0"/>
          <w:bCs w:val="0"/>
          <w:color w:val="000000"/>
          <w:kern w:val="2"/>
          <w:sz w:val="24"/>
          <w:szCs w:val="24"/>
          <w:highlight w:val="none"/>
          <w:lang w:val="en-US" w:eastAsia="zh-CN" w:bidi="ar-SA"/>
        </w:rPr>
        <w:t>合同份数</w:t>
      </w:r>
      <w:bookmarkEnd w:id="250"/>
      <w:bookmarkEnd w:id="251"/>
    </w:p>
    <w:p>
      <w:pPr>
        <w:tabs>
          <w:tab w:val="left" w:pos="1240"/>
        </w:tabs>
        <w:spacing w:line="312" w:lineRule="auto"/>
        <w:ind w:right="-20" w:firstLine="470" w:firstLineChars="196"/>
        <w:jc w:val="both"/>
        <w:textAlignment w:val="baseline"/>
        <w:rPr>
          <w:rStyle w:val="43"/>
          <w:rFonts w:hint="eastAsia" w:ascii="宋体" w:hAnsi="宋体" w:eastAsia="宋体" w:cs="宋体"/>
          <w:b/>
          <w:bCs/>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97.1 提供合同文本</w:t>
      </w:r>
    </w:p>
    <w:p>
      <w:pPr>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√按合同通用条款的规定，由发包人提供。</w:t>
      </w:r>
    </w:p>
    <w:p>
      <w:pPr>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×不按合同通用条款的规定，提供方式为：</w:t>
      </w:r>
    </w:p>
    <w:p>
      <w:pPr>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97.2 合同一式</w:t>
      </w:r>
      <w:r>
        <w:rPr>
          <w:rStyle w:val="43"/>
          <w:rFonts w:hint="eastAsia" w:ascii="宋体" w:hAnsi="宋体" w:eastAsia="宋体" w:cs="宋体"/>
          <w:color w:val="auto"/>
          <w:kern w:val="2"/>
          <w:sz w:val="24"/>
          <w:szCs w:val="24"/>
          <w:highlight w:val="none"/>
          <w:u w:val="single"/>
          <w:lang w:val="en-US" w:eastAsia="zh-CN" w:bidi="ar-SA"/>
        </w:rPr>
        <w:t xml:space="preserve">   </w:t>
      </w:r>
      <w:r>
        <w:rPr>
          <w:rStyle w:val="43"/>
          <w:rFonts w:hint="eastAsia" w:ascii="宋体" w:hAnsi="宋体" w:eastAsia="宋体" w:cs="宋体"/>
          <w:color w:val="auto"/>
          <w:kern w:val="2"/>
          <w:sz w:val="24"/>
          <w:szCs w:val="24"/>
          <w:highlight w:val="none"/>
          <w:lang w:val="en-US" w:eastAsia="zh-CN" w:bidi="ar-SA"/>
        </w:rPr>
        <w:t>份，具有同等法律效力，其中甲方执</w:t>
      </w:r>
      <w:r>
        <w:rPr>
          <w:rStyle w:val="43"/>
          <w:rFonts w:hint="eastAsia" w:ascii="宋体" w:hAnsi="宋体" w:eastAsia="宋体" w:cs="宋体"/>
          <w:color w:val="auto"/>
          <w:kern w:val="2"/>
          <w:sz w:val="24"/>
          <w:szCs w:val="24"/>
          <w:highlight w:val="none"/>
          <w:u w:val="single"/>
          <w:lang w:val="en-US" w:eastAsia="zh-CN" w:bidi="ar-SA"/>
        </w:rPr>
        <w:t xml:space="preserve">  </w:t>
      </w:r>
      <w:r>
        <w:rPr>
          <w:rStyle w:val="43"/>
          <w:rFonts w:hint="eastAsia" w:ascii="宋体" w:hAnsi="宋体" w:eastAsia="宋体" w:cs="宋体"/>
          <w:color w:val="auto"/>
          <w:kern w:val="2"/>
          <w:sz w:val="24"/>
          <w:szCs w:val="24"/>
          <w:highlight w:val="none"/>
          <w:lang w:val="en-US" w:eastAsia="zh-CN" w:bidi="ar-SA"/>
        </w:rPr>
        <w:t>份，乙方执</w:t>
      </w:r>
      <w:r>
        <w:rPr>
          <w:rStyle w:val="43"/>
          <w:rFonts w:hint="eastAsia" w:ascii="宋体" w:hAnsi="宋体" w:eastAsia="宋体" w:cs="宋体"/>
          <w:color w:val="auto"/>
          <w:kern w:val="2"/>
          <w:sz w:val="24"/>
          <w:szCs w:val="24"/>
          <w:highlight w:val="none"/>
          <w:u w:val="single"/>
          <w:lang w:val="en-US" w:eastAsia="zh-CN" w:bidi="ar-SA"/>
        </w:rPr>
        <w:t xml:space="preserve">  </w:t>
      </w:r>
      <w:r>
        <w:rPr>
          <w:rStyle w:val="43"/>
          <w:rFonts w:hint="eastAsia" w:ascii="宋体" w:hAnsi="宋体" w:eastAsia="宋体" w:cs="宋体"/>
          <w:color w:val="auto"/>
          <w:kern w:val="2"/>
          <w:sz w:val="24"/>
          <w:szCs w:val="24"/>
          <w:highlight w:val="none"/>
          <w:lang w:val="en-US" w:eastAsia="zh-CN" w:bidi="ar-SA"/>
        </w:rPr>
        <w:t>份。</w:t>
      </w:r>
    </w:p>
    <w:p>
      <w:pPr>
        <w:pStyle w:val="11"/>
        <w:tabs>
          <w:tab w:val="left" w:pos="540"/>
        </w:tabs>
        <w:adjustRightInd w:val="0"/>
        <w:snapToGrid w:val="0"/>
        <w:spacing w:before="240" w:beforeLines="100" w:line="360" w:lineRule="auto"/>
        <w:ind w:right="-20" w:firstLine="480" w:firstLineChars="200"/>
        <w:jc w:val="both"/>
        <w:textAlignment w:val="baseline"/>
        <w:outlineLvl w:val="2"/>
        <w:rPr>
          <w:rStyle w:val="25"/>
          <w:rFonts w:hint="eastAsia" w:ascii="宋体" w:hAnsi="宋体" w:eastAsia="宋体" w:cs="宋体"/>
          <w:b w:val="0"/>
          <w:bCs w:val="0"/>
          <w:color w:val="000000"/>
          <w:kern w:val="2"/>
          <w:sz w:val="24"/>
          <w:szCs w:val="24"/>
          <w:highlight w:val="none"/>
          <w:lang w:val="en-US" w:eastAsia="zh-CN" w:bidi="ar-SA"/>
        </w:rPr>
      </w:pPr>
      <w:bookmarkStart w:id="252" w:name="_Toc616"/>
      <w:bookmarkStart w:id="253" w:name="_Toc6940"/>
      <w:r>
        <w:rPr>
          <w:rStyle w:val="25"/>
          <w:rFonts w:hint="eastAsia" w:ascii="宋体" w:hAnsi="宋体" w:eastAsia="宋体" w:cs="宋体"/>
          <w:b w:val="0"/>
          <w:bCs w:val="0"/>
          <w:color w:val="000000"/>
          <w:kern w:val="2"/>
          <w:sz w:val="24"/>
          <w:szCs w:val="24"/>
          <w:highlight w:val="none"/>
          <w:lang w:val="en-US" w:eastAsia="zh-CN" w:bidi="ar-SA"/>
        </w:rPr>
        <w:t>99 补充条款</w:t>
      </w:r>
      <w:bookmarkEnd w:id="252"/>
      <w:bookmarkEnd w:id="253"/>
    </w:p>
    <w:p>
      <w:pPr>
        <w:tabs>
          <w:tab w:val="left" w:pos="1240"/>
          <w:tab w:val="left" w:pos="3640"/>
          <w:tab w:val="left" w:pos="6040"/>
          <w:tab w:val="left" w:pos="7845"/>
        </w:tabs>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99.1施工场地内水电管线由承包人根据施工需要自行解决。承包人每月按水表、电表实际用量按市自来水公司、市供电局规定的施工用水、用电单价（含税金）自行缴交水电费（包括承包人本身及其总承包管理范围内的专业单位、分包单位的水电费），或经发包人同意，在次月5日前由承包人缴纳给发包人，逾期不缴者，每逾期一日，发包人按未缴纳金额的1‰计收滞纳金。</w:t>
      </w:r>
    </w:p>
    <w:p>
      <w:pPr>
        <w:tabs>
          <w:tab w:val="left" w:pos="1240"/>
          <w:tab w:val="left" w:pos="3640"/>
          <w:tab w:val="left" w:pos="6040"/>
          <w:tab w:val="left" w:pos="7845"/>
        </w:tabs>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99.2 承包人承诺严格按照合同和招投标文件规定履行义务，并同意发包人将其执行国家强制性规范、标准和履行合同、招投标文件义务的情况（包括但不限于由发包人组织的考核、考评通报、违约责任处理决定等）在发包人网站和广州市建设项目发包人网站及其他媒体上公开披露。</w:t>
      </w:r>
    </w:p>
    <w:p>
      <w:pPr>
        <w:tabs>
          <w:tab w:val="left" w:pos="1240"/>
          <w:tab w:val="left" w:pos="3640"/>
          <w:tab w:val="left" w:pos="6040"/>
          <w:tab w:val="left" w:pos="7845"/>
        </w:tabs>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99.3 双方一致同意，在工程未竣工验收移交前所有工程资料仍归发包人所有，并必须在现场存放保管，发包人委托监理单位负责看管，在未得到发包人同意前，上述资料不得移出工地现场。</w:t>
      </w:r>
    </w:p>
    <w:p>
      <w:pPr>
        <w:tabs>
          <w:tab w:val="left" w:pos="1240"/>
          <w:tab w:val="left" w:pos="3640"/>
          <w:tab w:val="left" w:pos="6040"/>
          <w:tab w:val="left" w:pos="7845"/>
        </w:tabs>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99.4 当发生下列情况之一时，双方应签订补充合同（协议），本合同另有约定的除外：</w:t>
      </w:r>
    </w:p>
    <w:p>
      <w:pPr>
        <w:tabs>
          <w:tab w:val="left" w:pos="1240"/>
          <w:tab w:val="left" w:pos="3640"/>
          <w:tab w:val="left" w:pos="6040"/>
          <w:tab w:val="left" w:pos="7845"/>
        </w:tabs>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（1）发包人根据合同协议书的约定调整合同工期；</w:t>
      </w:r>
    </w:p>
    <w:p>
      <w:pPr>
        <w:tabs>
          <w:tab w:val="left" w:pos="1240"/>
          <w:tab w:val="left" w:pos="3640"/>
          <w:tab w:val="left" w:pos="6040"/>
          <w:tab w:val="left" w:pos="7845"/>
        </w:tabs>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（2）发包人根据合同协议书的约定调整承包范围导致合同价款变动超过本合同价款±10%（不含±10%）；</w:t>
      </w:r>
    </w:p>
    <w:p>
      <w:pPr>
        <w:tabs>
          <w:tab w:val="left" w:pos="1240"/>
          <w:tab w:val="left" w:pos="3640"/>
          <w:tab w:val="left" w:pos="6040"/>
          <w:tab w:val="left" w:pos="7845"/>
        </w:tabs>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（3）因设计变更或工程签证致使承包人工程量增减导致合同价款变动超过本合同价款±10%（不含±10%）；</w:t>
      </w:r>
    </w:p>
    <w:p>
      <w:pPr>
        <w:tabs>
          <w:tab w:val="left" w:pos="1240"/>
          <w:tab w:val="left" w:pos="3640"/>
          <w:tab w:val="left" w:pos="6040"/>
          <w:tab w:val="left" w:pos="7845"/>
        </w:tabs>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（4）发包人根据合同条款76.1的约定因市场价格波动引起的调整导致合同价款变动超过本合同价款±10%（不含±10%）；</w:t>
      </w:r>
    </w:p>
    <w:p>
      <w:pPr>
        <w:tabs>
          <w:tab w:val="left" w:pos="1240"/>
          <w:tab w:val="left" w:pos="3640"/>
          <w:tab w:val="left" w:pos="6040"/>
          <w:tab w:val="left" w:pos="7845"/>
        </w:tabs>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（5）发包人根据本合同约定制订的制度、规定涉及双方经济利益变动；</w:t>
      </w:r>
    </w:p>
    <w:p>
      <w:pPr>
        <w:tabs>
          <w:tab w:val="left" w:pos="1240"/>
          <w:tab w:val="left" w:pos="3640"/>
          <w:tab w:val="left" w:pos="6040"/>
          <w:tab w:val="left" w:pos="7845"/>
        </w:tabs>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（6）原合同条款欠完善，或条款存在歧义时；</w:t>
      </w:r>
    </w:p>
    <w:p>
      <w:pPr>
        <w:tabs>
          <w:tab w:val="left" w:pos="1240"/>
          <w:tab w:val="left" w:pos="3640"/>
          <w:tab w:val="left" w:pos="6040"/>
          <w:tab w:val="left" w:pos="7845"/>
        </w:tabs>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（7）发包人、承包人双方认为需要签订补充合同（协议）的其他情形。</w:t>
      </w:r>
    </w:p>
    <w:p>
      <w:pPr>
        <w:tabs>
          <w:tab w:val="left" w:pos="1240"/>
          <w:tab w:val="left" w:pos="3640"/>
          <w:tab w:val="left" w:pos="6040"/>
          <w:tab w:val="left" w:pos="7845"/>
        </w:tabs>
        <w:spacing w:line="312" w:lineRule="auto"/>
        <w:ind w:right="-20"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99.5 承包人必须接受政府有关部门对本合同工程的监督，并无条件配合政府指定的审计机构的审计。</w:t>
      </w:r>
    </w:p>
    <w:p>
      <w:pPr>
        <w:pStyle w:val="11"/>
        <w:tabs>
          <w:tab w:val="left" w:pos="900"/>
          <w:tab w:val="left" w:pos="1080"/>
        </w:tabs>
        <w:spacing w:before="120" w:beforeLines="50" w:after="120" w:afterLines="50" w:line="360" w:lineRule="auto"/>
        <w:ind w:firstLine="480" w:firstLineChars="200"/>
        <w:jc w:val="both"/>
        <w:textAlignment w:val="baseline"/>
        <w:outlineLvl w:val="2"/>
        <w:rPr>
          <w:rStyle w:val="25"/>
          <w:rFonts w:hint="eastAsia" w:ascii="宋体" w:hAnsi="宋体" w:eastAsia="宋体" w:cs="宋体"/>
          <w:b w:val="0"/>
          <w:bCs w:val="0"/>
          <w:color w:val="000000"/>
          <w:kern w:val="2"/>
          <w:sz w:val="24"/>
          <w:szCs w:val="24"/>
          <w:highlight w:val="none"/>
          <w:lang w:val="en-US" w:eastAsia="zh-CN" w:bidi="ar-SA"/>
        </w:rPr>
      </w:pPr>
      <w:bookmarkStart w:id="254" w:name="_Toc28593"/>
      <w:bookmarkStart w:id="255" w:name="_Toc5851"/>
      <w:r>
        <w:rPr>
          <w:rStyle w:val="25"/>
          <w:rFonts w:hint="eastAsia" w:ascii="宋体" w:hAnsi="宋体" w:eastAsia="宋体" w:cs="宋体"/>
          <w:b w:val="0"/>
          <w:bCs w:val="0"/>
          <w:color w:val="000000"/>
          <w:kern w:val="2"/>
          <w:sz w:val="24"/>
          <w:szCs w:val="24"/>
          <w:highlight w:val="none"/>
          <w:lang w:val="en-US" w:eastAsia="zh-CN" w:bidi="ar-SA"/>
        </w:rPr>
        <w:t>99.6、安全生产及文明施工目标</w:t>
      </w:r>
      <w:bookmarkEnd w:id="254"/>
      <w:bookmarkEnd w:id="255"/>
    </w:p>
    <w:p>
      <w:pPr>
        <w:spacing w:line="312" w:lineRule="auto"/>
        <w:ind w:left="2" w:firstLine="523" w:firstLineChars="218"/>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确保责任安全事故为零，不发生重、特大安全事故。</w:t>
      </w:r>
    </w:p>
    <w:p>
      <w:pPr>
        <w:spacing w:line="312" w:lineRule="auto"/>
        <w:ind w:firstLine="480" w:firstLineChars="200"/>
        <w:jc w:val="both"/>
        <w:textAlignment w:val="baseline"/>
        <w:rPr>
          <w:rStyle w:val="25"/>
          <w:rFonts w:hint="eastAsia" w:ascii="宋体" w:hAnsi="宋体" w:eastAsia="宋体" w:cs="宋体"/>
          <w:b w:val="0"/>
          <w:bCs w:val="0"/>
          <w:color w:val="000000"/>
          <w:kern w:val="2"/>
          <w:sz w:val="24"/>
          <w:szCs w:val="24"/>
          <w:highlight w:val="none"/>
          <w:lang w:val="en-US" w:eastAsia="zh-CN" w:bidi="ar-SA"/>
        </w:rPr>
      </w:pPr>
      <w:r>
        <w:rPr>
          <w:rStyle w:val="43"/>
          <w:rFonts w:hint="eastAsia" w:ascii="宋体" w:hAnsi="宋体" w:eastAsia="宋体" w:cs="宋体"/>
          <w:b w:val="0"/>
          <w:bCs w:val="0"/>
          <w:color w:val="auto"/>
          <w:kern w:val="2"/>
          <w:sz w:val="24"/>
          <w:szCs w:val="24"/>
          <w:highlight w:val="none"/>
          <w:lang w:val="en-US" w:eastAsia="zh-CN" w:bidi="ar-SA"/>
        </w:rPr>
        <w:t>99.7、</w:t>
      </w:r>
      <w:r>
        <w:rPr>
          <w:rStyle w:val="25"/>
          <w:rFonts w:hint="eastAsia" w:ascii="宋体" w:hAnsi="宋体" w:eastAsia="宋体" w:cs="宋体"/>
          <w:b w:val="0"/>
          <w:bCs w:val="0"/>
          <w:color w:val="000000"/>
          <w:kern w:val="2"/>
          <w:sz w:val="24"/>
          <w:szCs w:val="24"/>
          <w:highlight w:val="none"/>
          <w:lang w:val="en-US" w:eastAsia="zh-CN" w:bidi="ar-SA"/>
        </w:rPr>
        <w:t>信息报送</w:t>
      </w:r>
    </w:p>
    <w:p>
      <w:pPr>
        <w:spacing w:line="312" w:lineRule="auto"/>
        <w:ind w:left="2" w:firstLine="523" w:firstLineChars="218"/>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承包人应确保及时准确地按发包人要求向发包人报送相关工程信息。</w:t>
      </w:r>
    </w:p>
    <w:p>
      <w:pPr>
        <w:spacing w:line="312" w:lineRule="auto"/>
        <w:ind w:left="2" w:firstLine="523" w:firstLineChars="218"/>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承包人应在收到中标通知书之日起10日内以书面形式向发包人提交其法定代表人、项目经理（项目负责人）的姓名、身份证复印件、职务、职称、联系方式（包括办公电话、手机、传真号码）、通信地址等信息作为合同附件。</w:t>
      </w:r>
    </w:p>
    <w:p>
      <w:pPr>
        <w:spacing w:line="312" w:lineRule="auto"/>
        <w:ind w:left="2" w:firstLine="523" w:firstLineChars="218"/>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在本合同有效期内，承包人的单位名称变更的，应及时以书面形式通知发包人并附上变更登记资料；法定代表人变更的，应在变更后15日内向发包人提交新法定代表人的姓名、身份证复印件、职务、职称、联系电话、通信地址等信息。在本合同有效期内，承包人的收款账户变更的，应及时以书面形式通知发包人（需注明因账户变更产生的法律责任及经济纠纷均由承包人独自承担）；</w:t>
      </w:r>
    </w:p>
    <w:p>
      <w:pPr>
        <w:spacing w:line="312" w:lineRule="auto"/>
        <w:ind w:left="2" w:firstLine="523" w:firstLineChars="218"/>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在本合同有效期内，承包人更换本工程项目经理（项目负责人）的，除按合同专用条款的有关约定承担违约责任外，还应在更换后7日内将新项目经理（项目负责人）的姓名、职务、职称、联系电话、通信地址等信息提交给发包人。</w:t>
      </w:r>
    </w:p>
    <w:p>
      <w:pPr>
        <w:pStyle w:val="11"/>
        <w:widowControl/>
        <w:tabs>
          <w:tab w:val="left" w:pos="540"/>
        </w:tabs>
        <w:adjustRightInd w:val="0"/>
        <w:snapToGrid w:val="0"/>
        <w:spacing w:before="240" w:beforeLines="100" w:line="360" w:lineRule="auto"/>
        <w:ind w:right="-20" w:firstLine="480" w:firstLineChars="200"/>
        <w:jc w:val="both"/>
        <w:textAlignment w:val="baseline"/>
        <w:outlineLvl w:val="2"/>
        <w:rPr>
          <w:rFonts w:hint="eastAsia" w:ascii="宋体" w:hAnsi="宋体" w:eastAsia="宋体" w:cs="宋体"/>
          <w:b w:val="0"/>
          <w:bCs w:val="0"/>
          <w:color w:val="auto"/>
          <w:sz w:val="24"/>
          <w:szCs w:val="24"/>
          <w:highlight w:val="none"/>
          <w:lang w:eastAsia="zh-CN"/>
        </w:rPr>
      </w:pPr>
      <w:bookmarkStart w:id="256" w:name="_Toc20198"/>
      <w:bookmarkStart w:id="257" w:name="_Toc24953"/>
      <w:r>
        <w:rPr>
          <w:rFonts w:hint="eastAsia" w:ascii="宋体" w:hAnsi="宋体" w:eastAsia="宋体" w:cs="宋体"/>
          <w:color w:val="auto"/>
          <w:sz w:val="24"/>
          <w:highlight w:val="none"/>
          <w:lang w:val="en-US" w:eastAsia="zh-CN"/>
        </w:rPr>
        <w:t>□</w:t>
      </w:r>
      <w:r>
        <w:rPr>
          <w:rFonts w:hint="eastAsia" w:ascii="宋体" w:hAnsi="宋体" w:eastAsia="宋体" w:cs="宋体"/>
          <w:b w:val="0"/>
          <w:bCs w:val="0"/>
          <w:color w:val="auto"/>
          <w:sz w:val="24"/>
          <w:szCs w:val="24"/>
          <w:highlight w:val="none"/>
          <w:lang w:val="en-US" w:eastAsia="zh-CN"/>
        </w:rPr>
        <w:t>100</w:t>
      </w:r>
      <w:r>
        <w:rPr>
          <w:rFonts w:hint="eastAsia" w:ascii="宋体" w:hAnsi="宋体" w:eastAsia="宋体" w:cs="宋体"/>
          <w:b w:val="0"/>
          <w:bCs w:val="0"/>
          <w:color w:val="auto"/>
          <w:sz w:val="24"/>
          <w:szCs w:val="24"/>
          <w:highlight w:val="none"/>
          <w:lang w:eastAsia="zh-CN"/>
        </w:rPr>
        <w:t xml:space="preserve"> </w:t>
      </w:r>
      <w:r>
        <w:rPr>
          <w:rFonts w:hint="eastAsia" w:ascii="宋体" w:hAnsi="宋体" w:eastAsia="宋体" w:cs="宋体"/>
          <w:b w:val="0"/>
          <w:bCs w:val="0"/>
          <w:color w:val="auto"/>
          <w:sz w:val="24"/>
          <w:szCs w:val="24"/>
          <w:highlight w:val="none"/>
          <w:lang w:val="en-US" w:eastAsia="zh-CN"/>
        </w:rPr>
        <w:t xml:space="preserve"> 施工</w:t>
      </w:r>
      <w:r>
        <w:rPr>
          <w:rFonts w:hint="eastAsia" w:ascii="宋体" w:hAnsi="宋体" w:eastAsia="宋体" w:cs="宋体"/>
          <w:b w:val="0"/>
          <w:bCs w:val="0"/>
          <w:color w:val="auto"/>
          <w:sz w:val="24"/>
          <w:szCs w:val="24"/>
          <w:highlight w:val="none"/>
          <w:lang w:eastAsia="zh-CN"/>
        </w:rPr>
        <w:t>BIM</w:t>
      </w:r>
      <w:bookmarkEnd w:id="256"/>
      <w:bookmarkEnd w:id="257"/>
    </w:p>
    <w:p>
      <w:pPr>
        <w:pStyle w:val="11"/>
        <w:widowControl/>
        <w:tabs>
          <w:tab w:val="left" w:pos="540"/>
        </w:tabs>
        <w:adjustRightInd w:val="0"/>
        <w:snapToGrid w:val="0"/>
        <w:spacing w:before="240" w:beforeLines="100" w:line="360" w:lineRule="auto"/>
        <w:ind w:right="-20" w:firstLine="480" w:firstLineChars="200"/>
        <w:jc w:val="both"/>
        <w:textAlignment w:val="baseline"/>
        <w:outlineLvl w:val="2"/>
        <w:rPr>
          <w:rFonts w:hint="eastAsia" w:ascii="宋体" w:hAnsi="宋体" w:eastAsia="宋体" w:cs="宋体"/>
          <w:b w:val="0"/>
          <w:bCs w:val="0"/>
          <w:color w:val="auto"/>
          <w:sz w:val="24"/>
          <w:highlight w:val="none"/>
          <w:lang w:val="en-US" w:eastAsia="zh-CN"/>
        </w:rPr>
      </w:pPr>
      <w:bookmarkStart w:id="258" w:name="_Toc22406"/>
      <w:bookmarkStart w:id="259" w:name="_Toc29697"/>
      <w:r>
        <w:rPr>
          <w:rFonts w:hint="eastAsia" w:ascii="宋体" w:hAnsi="宋体" w:eastAsia="宋体" w:cs="宋体"/>
          <w:b w:val="0"/>
          <w:bCs w:val="0"/>
          <w:color w:val="auto"/>
          <w:sz w:val="24"/>
          <w:szCs w:val="24"/>
          <w:highlight w:val="none"/>
          <w:lang w:val="en-US" w:eastAsia="zh-CN"/>
        </w:rPr>
        <w:t>100.1一般要求</w:t>
      </w:r>
      <w:bookmarkEnd w:id="258"/>
      <w:bookmarkEnd w:id="259"/>
    </w:p>
    <w:p>
      <w:pPr>
        <w:tabs>
          <w:tab w:val="left" w:pos="4970"/>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100</w:t>
      </w: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承包人应被视为其已于</w:t>
      </w:r>
      <w:r>
        <w:rPr>
          <w:rFonts w:hint="eastAsia" w:ascii="宋体" w:hAnsi="宋体" w:eastAsia="宋体" w:cs="宋体"/>
          <w:color w:val="auto"/>
          <w:sz w:val="24"/>
          <w:highlight w:val="none"/>
          <w:lang w:eastAsia="zh-CN"/>
        </w:rPr>
        <w:t>投标</w:t>
      </w:r>
      <w:r>
        <w:rPr>
          <w:rFonts w:hint="eastAsia" w:ascii="宋体" w:hAnsi="宋体" w:eastAsia="宋体" w:cs="宋体"/>
          <w:color w:val="auto"/>
          <w:sz w:val="24"/>
          <w:highlight w:val="none"/>
        </w:rPr>
        <w:t>前仔细审</w:t>
      </w:r>
      <w:r>
        <w:rPr>
          <w:rFonts w:hint="eastAsia" w:ascii="宋体" w:hAnsi="宋体" w:eastAsia="宋体" w:cs="宋体"/>
          <w:color w:val="auto"/>
          <w:sz w:val="24"/>
          <w:highlight w:val="none"/>
          <w:lang w:eastAsia="zh-CN"/>
        </w:rPr>
        <w:t>阅</w:t>
      </w:r>
      <w:r>
        <w:rPr>
          <w:rFonts w:hint="eastAsia" w:ascii="宋体" w:hAnsi="宋体" w:eastAsia="宋体" w:cs="宋体"/>
          <w:color w:val="auto"/>
          <w:sz w:val="24"/>
          <w:highlight w:val="none"/>
        </w:rPr>
        <w:t>了发包人的BIM技术应用要求（包括标准、</w:t>
      </w:r>
      <w:r>
        <w:rPr>
          <w:rFonts w:hint="eastAsia" w:ascii="宋体" w:hAnsi="宋体" w:eastAsia="宋体" w:cs="宋体"/>
          <w:color w:val="auto"/>
          <w:sz w:val="24"/>
          <w:highlight w:val="none"/>
          <w:lang w:eastAsia="zh-CN"/>
        </w:rPr>
        <w:t>规范</w:t>
      </w:r>
      <w:r>
        <w:rPr>
          <w:rFonts w:hint="eastAsia" w:ascii="宋体" w:hAnsi="宋体" w:eastAsia="宋体" w:cs="宋体"/>
          <w:color w:val="auto"/>
          <w:sz w:val="24"/>
          <w:highlight w:val="none"/>
        </w:rPr>
        <w:t>和相关数据，如有），承包人应对发包人的要求进行核实，并对发包人BIM技术应用要求的正确性和（或）完整性负责。</w:t>
      </w:r>
    </w:p>
    <w:p>
      <w:pPr>
        <w:widowControl w:val="0"/>
        <w:tabs>
          <w:tab w:val="left" w:pos="4970"/>
        </w:tabs>
        <w:spacing w:line="360" w:lineRule="auto"/>
        <w:ind w:firstLine="480" w:firstLineChars="20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100</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2承包人提供的建筑信息模型（BIM）、协调管理平台及应用点等相关服务存在遗漏、错误、缺陷和不足的，承包人应及时修复、弥补、纠正和完善。</w:t>
      </w:r>
    </w:p>
    <w:p>
      <w:pPr>
        <w:widowControl w:val="0"/>
        <w:tabs>
          <w:tab w:val="left" w:pos="4970"/>
        </w:tabs>
        <w:spacing w:line="360" w:lineRule="auto"/>
        <w:ind w:firstLine="480" w:firstLineChars="200"/>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100</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3 因承包人自身原因造成的施工等阶段工期延误及费用增加，由承包人承担。</w:t>
      </w:r>
    </w:p>
    <w:p>
      <w:pPr>
        <w:widowControl w:val="0"/>
        <w:tabs>
          <w:tab w:val="left" w:pos="4970"/>
        </w:tabs>
        <w:spacing w:line="360" w:lineRule="auto"/>
        <w:ind w:firstLine="480" w:firstLineChars="200"/>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100</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4 承包人应遵守国家法律、强制性标准规范及发包人要求，采用BIM技术进行建模，并协助发包人及相关方等正确使用。</w:t>
      </w:r>
    </w:p>
    <w:p>
      <w:pPr>
        <w:widowControl w:val="0"/>
        <w:tabs>
          <w:tab w:val="left" w:pos="4970"/>
        </w:tabs>
        <w:spacing w:line="360" w:lineRule="auto"/>
        <w:ind w:firstLine="480" w:firstLineChars="200"/>
        <w:jc w:val="both"/>
        <w:rPr>
          <w:rFonts w:hint="eastAsia" w:ascii="宋体" w:hAnsi="宋体" w:eastAsia="宋体" w:cs="宋体"/>
          <w:color w:val="auto"/>
          <w:sz w:val="24"/>
          <w:highlight w:val="none"/>
          <w:u w:val="none"/>
          <w:lang w:eastAsia="zh-CN"/>
        </w:rPr>
      </w:pPr>
      <w:r>
        <w:rPr>
          <w:rFonts w:hint="eastAsia" w:ascii="宋体" w:hAnsi="宋体" w:eastAsia="宋体" w:cs="宋体"/>
          <w:color w:val="auto"/>
          <w:sz w:val="24"/>
          <w:highlight w:val="none"/>
          <w:lang w:val="en-US" w:eastAsia="zh-CN"/>
        </w:rPr>
        <w:t>100.1.5</w:t>
      </w:r>
      <w:r>
        <w:rPr>
          <w:rFonts w:hint="eastAsia" w:ascii="宋体" w:hAnsi="宋体" w:eastAsia="宋体" w:cs="宋体"/>
          <w:color w:val="auto"/>
          <w:sz w:val="24"/>
          <w:highlight w:val="none"/>
          <w:u w:val="none"/>
          <w:lang w:eastAsia="zh-CN"/>
        </w:rPr>
        <w:t xml:space="preserve"> BIM技术应用费：已</w:t>
      </w:r>
      <w:r>
        <w:rPr>
          <w:rFonts w:hint="eastAsia" w:ascii="宋体" w:hAnsi="宋体" w:eastAsia="宋体" w:cs="宋体"/>
          <w:color w:val="auto"/>
          <w:sz w:val="24"/>
          <w:highlight w:val="none"/>
          <w:u w:val="none"/>
          <w:lang w:val="en-US" w:eastAsia="zh-CN"/>
        </w:rPr>
        <w:t>在投标费用中综合考虑</w:t>
      </w:r>
      <w:r>
        <w:rPr>
          <w:rFonts w:hint="eastAsia" w:ascii="宋体" w:hAnsi="宋体" w:eastAsia="宋体" w:cs="宋体"/>
          <w:color w:val="auto"/>
          <w:sz w:val="24"/>
          <w:highlight w:val="none"/>
          <w:u w:val="none"/>
          <w:lang w:eastAsia="zh-CN"/>
        </w:rPr>
        <w:t>。</w:t>
      </w:r>
    </w:p>
    <w:p>
      <w:pPr>
        <w:widowControl w:val="0"/>
        <w:tabs>
          <w:tab w:val="left" w:pos="4970"/>
        </w:tabs>
        <w:spacing w:line="360" w:lineRule="auto"/>
        <w:ind w:firstLine="480" w:firstLineChars="200"/>
        <w:jc w:val="both"/>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 xml:space="preserve">100.1.6 </w:t>
      </w:r>
      <w:r>
        <w:rPr>
          <w:rFonts w:hint="eastAsia" w:ascii="宋体" w:hAnsi="宋体" w:eastAsia="宋体" w:cs="宋体"/>
          <w:color w:val="auto"/>
          <w:sz w:val="24"/>
          <w:highlight w:val="none"/>
          <w:lang w:eastAsia="zh-CN"/>
        </w:rPr>
        <w:t>BIM技术应用工作方案</w:t>
      </w:r>
    </w:p>
    <w:p>
      <w:pPr>
        <w:widowControl w:val="0"/>
        <w:tabs>
          <w:tab w:val="left" w:pos="4970"/>
        </w:tabs>
        <w:spacing w:line="360" w:lineRule="auto"/>
        <w:ind w:firstLine="480" w:firstLineChars="200"/>
        <w:jc w:val="both"/>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lang w:eastAsia="zh-CN"/>
        </w:rPr>
        <w:t>）提供时间：签订本合同后</w:t>
      </w:r>
      <w:r>
        <w:rPr>
          <w:rFonts w:hint="eastAsia" w:ascii="宋体" w:hAnsi="宋体" w:eastAsia="宋体" w:cs="宋体"/>
          <w:color w:val="auto"/>
          <w:sz w:val="24"/>
          <w:highlight w:val="none"/>
          <w:lang w:val="en-US" w:eastAsia="zh-CN"/>
        </w:rPr>
        <w:t>30</w:t>
      </w:r>
      <w:r>
        <w:rPr>
          <w:rFonts w:hint="eastAsia" w:ascii="宋体" w:hAnsi="宋体" w:eastAsia="宋体" w:cs="宋体"/>
          <w:color w:val="auto"/>
          <w:sz w:val="24"/>
          <w:highlight w:val="none"/>
          <w:lang w:eastAsia="zh-CN"/>
        </w:rPr>
        <w:t>天内</w:t>
      </w:r>
    </w:p>
    <w:p>
      <w:pPr>
        <w:widowControl w:val="0"/>
        <w:tabs>
          <w:tab w:val="left" w:pos="4970"/>
        </w:tabs>
        <w:spacing w:line="360" w:lineRule="auto"/>
        <w:ind w:firstLine="480" w:firstLineChars="200"/>
        <w:jc w:val="both"/>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eastAsia="zh-CN"/>
        </w:rPr>
        <w:t xml:space="preserve">）提供方式：纸质和电子文件            </w:t>
      </w:r>
    </w:p>
    <w:p>
      <w:pPr>
        <w:widowControl w:val="0"/>
        <w:tabs>
          <w:tab w:val="left" w:pos="4970"/>
        </w:tabs>
        <w:spacing w:line="360" w:lineRule="auto"/>
        <w:ind w:firstLine="480" w:firstLineChars="200"/>
        <w:jc w:val="both"/>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lang w:eastAsia="zh-CN"/>
        </w:rPr>
        <w:t>）提供数量：纸质</w:t>
      </w:r>
      <w:r>
        <w:rPr>
          <w:rFonts w:hint="eastAsia" w:ascii="宋体" w:hAnsi="宋体" w:eastAsia="宋体" w:cs="宋体"/>
          <w:color w:val="auto"/>
          <w:sz w:val="24"/>
          <w:highlight w:val="none"/>
          <w:lang w:val="en-US" w:eastAsia="zh-CN"/>
        </w:rPr>
        <w:t>2份以上、</w:t>
      </w:r>
      <w:r>
        <w:rPr>
          <w:rFonts w:hint="eastAsia" w:ascii="宋体" w:hAnsi="宋体" w:eastAsia="宋体" w:cs="宋体"/>
          <w:color w:val="auto"/>
          <w:sz w:val="24"/>
          <w:highlight w:val="none"/>
          <w:lang w:eastAsia="zh-CN"/>
        </w:rPr>
        <w:t xml:space="preserve">电子文件1份      </w:t>
      </w:r>
    </w:p>
    <w:p>
      <w:pPr>
        <w:widowControl w:val="0"/>
        <w:tabs>
          <w:tab w:val="left" w:pos="4970"/>
        </w:tabs>
        <w:spacing w:line="360" w:lineRule="auto"/>
        <w:ind w:firstLine="480" w:firstLineChars="200"/>
        <w:jc w:val="both"/>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 xml:space="preserve">100.1.7 </w:t>
      </w:r>
      <w:r>
        <w:rPr>
          <w:rFonts w:hint="eastAsia" w:ascii="宋体" w:hAnsi="宋体" w:eastAsia="宋体" w:cs="宋体"/>
          <w:color w:val="auto"/>
          <w:sz w:val="24"/>
          <w:highlight w:val="none"/>
          <w:lang w:eastAsia="zh-CN"/>
        </w:rPr>
        <w:t>BIM技术应用内容和要求的约定</w:t>
      </w:r>
    </w:p>
    <w:p>
      <w:pPr>
        <w:widowControl w:val="0"/>
        <w:tabs>
          <w:tab w:val="left" w:pos="4970"/>
        </w:tabs>
        <w:spacing w:line="360" w:lineRule="auto"/>
        <w:ind w:firstLine="480" w:firstLineChars="200"/>
        <w:jc w:val="both"/>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lang w:eastAsia="zh-CN"/>
        </w:rPr>
        <w:t>）符合国家、地方及行业现行设计施工规范、规程、质量验收标准及工程建设标准等强制性条文。</w:t>
      </w:r>
    </w:p>
    <w:p>
      <w:pPr>
        <w:widowControl w:val="0"/>
        <w:tabs>
          <w:tab w:val="left" w:pos="4970"/>
        </w:tabs>
        <w:spacing w:line="360" w:lineRule="auto"/>
        <w:ind w:firstLine="480" w:firstLineChars="200"/>
        <w:jc w:val="both"/>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（2）施工阶段的所有BIM模型应满足施工需要的精度要求。      </w:t>
      </w:r>
    </w:p>
    <w:p>
      <w:pPr>
        <w:widowControl w:val="0"/>
        <w:tabs>
          <w:tab w:val="left" w:pos="4970"/>
        </w:tabs>
        <w:spacing w:line="360" w:lineRule="auto"/>
        <w:ind w:firstLine="480" w:firstLineChars="200"/>
        <w:jc w:val="both"/>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100.</w:t>
      </w:r>
      <w:r>
        <w:rPr>
          <w:rFonts w:hint="eastAsia" w:ascii="宋体" w:hAnsi="宋体" w:eastAsia="宋体" w:cs="宋体"/>
          <w:color w:val="auto"/>
          <w:sz w:val="24"/>
          <w:highlight w:val="none"/>
          <w:lang w:eastAsia="zh-CN"/>
        </w:rPr>
        <w:t>1</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lang w:eastAsia="zh-CN"/>
        </w:rPr>
        <w:t xml:space="preserve"> 承包人提供建筑信息模型（BIM）及技术应用成果</w:t>
      </w:r>
    </w:p>
    <w:p>
      <w:pPr>
        <w:widowControl w:val="0"/>
        <w:tabs>
          <w:tab w:val="left" w:pos="4970"/>
        </w:tabs>
        <w:spacing w:line="360" w:lineRule="auto"/>
        <w:ind w:firstLine="480" w:firstLineChars="200"/>
        <w:jc w:val="both"/>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lang w:eastAsia="zh-CN"/>
        </w:rPr>
        <w:t>）提供时间：签订本合同后</w:t>
      </w:r>
      <w:r>
        <w:rPr>
          <w:rFonts w:hint="eastAsia" w:ascii="宋体" w:hAnsi="宋体" w:eastAsia="宋体" w:cs="宋体"/>
          <w:color w:val="auto"/>
          <w:sz w:val="24"/>
          <w:highlight w:val="none"/>
          <w:lang w:val="en-US" w:eastAsia="zh-CN"/>
        </w:rPr>
        <w:t>90</w:t>
      </w:r>
      <w:r>
        <w:rPr>
          <w:rFonts w:hint="eastAsia" w:ascii="宋体" w:hAnsi="宋体" w:eastAsia="宋体" w:cs="宋体"/>
          <w:color w:val="auto"/>
          <w:sz w:val="24"/>
          <w:highlight w:val="none"/>
          <w:lang w:eastAsia="zh-CN"/>
        </w:rPr>
        <w:t xml:space="preserve">天内 </w:t>
      </w:r>
    </w:p>
    <w:p>
      <w:pPr>
        <w:widowControl w:val="0"/>
        <w:tabs>
          <w:tab w:val="left" w:pos="4970"/>
        </w:tabs>
        <w:spacing w:line="360" w:lineRule="auto"/>
        <w:ind w:firstLine="480" w:firstLineChars="200"/>
        <w:jc w:val="both"/>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eastAsia="zh-CN"/>
        </w:rPr>
        <w:t xml:space="preserve">）提供方式：电子文件                   </w:t>
      </w:r>
    </w:p>
    <w:p>
      <w:pPr>
        <w:widowControl w:val="0"/>
        <w:tabs>
          <w:tab w:val="left" w:pos="4970"/>
        </w:tabs>
        <w:spacing w:line="360" w:lineRule="auto"/>
        <w:ind w:firstLine="480" w:firstLineChars="200"/>
        <w:jc w:val="both"/>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100.1.9</w:t>
      </w:r>
      <w:r>
        <w:rPr>
          <w:rFonts w:hint="eastAsia" w:ascii="宋体" w:hAnsi="宋体" w:eastAsia="宋体" w:cs="宋体"/>
          <w:color w:val="auto"/>
          <w:sz w:val="24"/>
          <w:highlight w:val="none"/>
          <w:lang w:eastAsia="zh-CN"/>
        </w:rPr>
        <w:t xml:space="preserve"> BIM技术应用在各阶段应用的建筑信息模（BIM）交付标准的约定</w:t>
      </w:r>
    </w:p>
    <w:p>
      <w:pPr>
        <w:widowControl w:val="0"/>
        <w:tabs>
          <w:tab w:val="left" w:pos="4970"/>
        </w:tabs>
        <w:spacing w:line="360" w:lineRule="auto"/>
        <w:ind w:firstLine="480" w:firstLineChars="200"/>
        <w:jc w:val="both"/>
        <w:rPr>
          <w:rFonts w:hint="eastAsia" w:ascii="宋体" w:hAnsi="宋体" w:eastAsia="宋体" w:cs="宋体"/>
          <w:color w:val="auto"/>
          <w:sz w:val="24"/>
          <w:highlight w:val="none"/>
          <w:u w:val="none"/>
          <w:lang w:val="en-US" w:eastAsia="zh-CN"/>
        </w:rPr>
      </w:pPr>
      <w:r>
        <w:rPr>
          <w:rFonts w:hint="eastAsia" w:ascii="宋体" w:hAnsi="宋体" w:eastAsia="宋体" w:cs="宋体"/>
          <w:color w:val="auto"/>
          <w:sz w:val="24"/>
          <w:highlight w:val="none"/>
          <w:lang w:eastAsia="zh-CN"/>
        </w:rPr>
        <w:t>BIM建模</w:t>
      </w:r>
      <w:r>
        <w:rPr>
          <w:rFonts w:hint="eastAsia" w:ascii="宋体" w:hAnsi="宋体" w:eastAsia="宋体" w:cs="宋体"/>
          <w:color w:val="auto"/>
          <w:sz w:val="24"/>
          <w:szCs w:val="24"/>
          <w:highlight w:val="none"/>
          <w:lang w:eastAsia="zh-CN"/>
        </w:rPr>
        <w:t>成果能反映施工图设计模型</w:t>
      </w:r>
      <w:r>
        <w:rPr>
          <w:rFonts w:hint="eastAsia" w:ascii="宋体" w:hAnsi="宋体" w:eastAsia="宋体" w:cs="宋体"/>
          <w:color w:val="auto"/>
          <w:sz w:val="24"/>
          <w:highlight w:val="none"/>
          <w:lang w:eastAsia="zh-CN"/>
        </w:rPr>
        <w:t>、检验构件、管线冲突碰撞情况，模拟施工过程和优化</w:t>
      </w:r>
      <w:r>
        <w:rPr>
          <w:rFonts w:hint="eastAsia" w:ascii="宋体" w:hAnsi="宋体" w:eastAsia="宋体" w:cs="宋体"/>
          <w:color w:val="auto"/>
          <w:sz w:val="24"/>
          <w:highlight w:val="none"/>
          <w:lang w:val="en-US" w:eastAsia="zh-CN"/>
        </w:rPr>
        <w:t>方</w:t>
      </w:r>
      <w:r>
        <w:rPr>
          <w:rFonts w:hint="eastAsia" w:ascii="宋体" w:hAnsi="宋体" w:eastAsia="宋体" w:cs="宋体"/>
          <w:color w:val="auto"/>
          <w:sz w:val="24"/>
          <w:highlight w:val="none"/>
          <w:lang w:eastAsia="zh-CN"/>
        </w:rPr>
        <w:t>案等。</w:t>
      </w:r>
    </w:p>
    <w:p>
      <w:pPr>
        <w:pStyle w:val="5"/>
        <w:tabs>
          <w:tab w:val="left" w:pos="420"/>
        </w:tabs>
        <w:spacing w:before="120" w:beforeLines="50" w:after="120" w:afterLines="50" w:line="360" w:lineRule="auto"/>
        <w:ind w:firstLine="480" w:firstLineChars="200"/>
        <w:rPr>
          <w:rFonts w:hint="eastAsia" w:ascii="宋体" w:hAnsi="宋体" w:eastAsia="宋体" w:cs="宋体"/>
          <w:b w:val="0"/>
          <w:bCs/>
          <w:color w:val="auto"/>
          <w:sz w:val="24"/>
          <w:szCs w:val="24"/>
          <w:highlight w:val="none"/>
          <w:lang w:val="en-US" w:eastAsia="zh-CN"/>
        </w:rPr>
      </w:pPr>
      <w:bookmarkStart w:id="260" w:name="_Toc14488"/>
      <w:bookmarkStart w:id="261" w:name="_Toc8564"/>
      <w:r>
        <w:rPr>
          <w:rFonts w:hint="eastAsia" w:ascii="宋体" w:hAnsi="宋体" w:eastAsia="宋体" w:cs="宋体"/>
          <w:b w:val="0"/>
          <w:bCs/>
          <w:color w:val="auto"/>
          <w:sz w:val="24"/>
          <w:szCs w:val="24"/>
          <w:highlight w:val="none"/>
          <w:lang w:val="en-US" w:eastAsia="zh-CN"/>
        </w:rPr>
        <w:t>100.2 技术应用</w:t>
      </w:r>
      <w:bookmarkEnd w:id="260"/>
      <w:bookmarkEnd w:id="261"/>
      <w:r>
        <w:rPr>
          <w:rFonts w:hint="eastAsia" w:ascii="宋体" w:hAnsi="宋体" w:eastAsia="宋体" w:cs="宋体"/>
          <w:b w:val="0"/>
          <w:bCs/>
          <w:color w:val="auto"/>
          <w:sz w:val="24"/>
          <w:szCs w:val="24"/>
          <w:highlight w:val="none"/>
          <w:lang w:eastAsia="zh-CN"/>
        </w:rPr>
        <w:t xml:space="preserve"> </w:t>
      </w:r>
    </w:p>
    <w:p>
      <w:pPr>
        <w:widowControl w:val="0"/>
        <w:tabs>
          <w:tab w:val="left" w:pos="1320"/>
        </w:tabs>
        <w:spacing w:line="360" w:lineRule="auto"/>
        <w:ind w:firstLine="480" w:firstLineChars="20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100.2.1资料的核实</w:t>
      </w:r>
    </w:p>
    <w:p>
      <w:pPr>
        <w:widowControl w:val="0"/>
        <w:tabs>
          <w:tab w:val="left" w:pos="1320"/>
        </w:tabs>
        <w:spacing w:line="360" w:lineRule="auto"/>
        <w:ind w:firstLine="480" w:firstLineChars="200"/>
        <w:jc w:val="both"/>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承包人在BIM技术应用工作开始日期前，应对发包人的BIM技术应用要求和所提供的项目基础资料的完备性和正确性进行核实，发现错漏应及时提请发包人补充完善。</w:t>
      </w:r>
    </w:p>
    <w:p>
      <w:pPr>
        <w:widowControl w:val="0"/>
        <w:spacing w:line="360" w:lineRule="auto"/>
        <w:ind w:firstLine="480" w:firstLineChars="200"/>
        <w:jc w:val="both"/>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100</w:t>
      </w:r>
      <w:r>
        <w:rPr>
          <w:rFonts w:hint="eastAsia" w:ascii="宋体" w:hAnsi="宋体" w:eastAsia="宋体" w:cs="宋体"/>
          <w:color w:val="auto"/>
          <w:sz w:val="24"/>
          <w:highlight w:val="none"/>
          <w:lang w:eastAsia="zh-CN"/>
        </w:rPr>
        <w:t>.2.</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eastAsia="zh-CN"/>
        </w:rPr>
        <w:t>技术应用工作方案</w:t>
      </w:r>
    </w:p>
    <w:p>
      <w:pPr>
        <w:widowControl w:val="0"/>
        <w:spacing w:line="360" w:lineRule="auto"/>
        <w:ind w:firstLine="480" w:firstLineChars="200"/>
        <w:jc w:val="both"/>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lang w:eastAsia="zh-CN"/>
        </w:rPr>
        <w:t>）承包人应在BIM技术应用工作开始日期前，编制BIM技术应用工作方案，并报发包人审查或备案。</w:t>
      </w:r>
    </w:p>
    <w:p>
      <w:pPr>
        <w:widowControl w:val="0"/>
        <w:spacing w:line="360" w:lineRule="auto"/>
        <w:ind w:firstLine="480" w:firstLineChars="200"/>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（2） BIM技术应用工作方案应包括项目基本情况、人员安排、工作进度、技术标准、工作量、质量保证体系以及需要发包人配合事项等。</w:t>
      </w:r>
    </w:p>
    <w:p>
      <w:pPr>
        <w:widowControl w:val="0"/>
        <w:spacing w:line="360" w:lineRule="auto"/>
        <w:ind w:firstLine="480" w:firstLineChars="20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100</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3 BIM技术应用</w:t>
      </w:r>
    </w:p>
    <w:p>
      <w:pPr>
        <w:widowControl w:val="0"/>
        <w:spacing w:line="360" w:lineRule="auto"/>
        <w:ind w:firstLine="480" w:firstLineChars="200"/>
        <w:jc w:val="both"/>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lang w:eastAsia="zh-CN"/>
        </w:rPr>
        <w:t>）承包人应根据发包人审查批准或备案的BIM技术应用工作方案、发包人要求并依据有关技术标准开展BIM技术应用。</w:t>
      </w:r>
    </w:p>
    <w:p>
      <w:pPr>
        <w:widowControl w:val="0"/>
        <w:spacing w:line="360" w:lineRule="auto"/>
        <w:ind w:firstLine="480" w:firstLineChars="200"/>
        <w:jc w:val="both"/>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eastAsia="zh-CN"/>
        </w:rPr>
        <w:t>施工阶段，承包人应采用BIM技术编制</w:t>
      </w:r>
      <w:r>
        <w:rPr>
          <w:rFonts w:hint="eastAsia" w:ascii="宋体" w:hAnsi="宋体" w:eastAsia="宋体" w:cs="宋体"/>
          <w:color w:val="auto"/>
          <w:sz w:val="24"/>
          <w:highlight w:val="none"/>
          <w:lang w:val="en-US" w:eastAsia="zh-CN"/>
        </w:rPr>
        <w:t>方</w:t>
      </w:r>
      <w:r>
        <w:rPr>
          <w:rFonts w:hint="eastAsia" w:ascii="宋体" w:hAnsi="宋体" w:eastAsia="宋体" w:cs="宋体"/>
          <w:color w:val="auto"/>
          <w:sz w:val="24"/>
          <w:highlight w:val="none"/>
          <w:lang w:eastAsia="zh-CN"/>
        </w:rPr>
        <w:t>案和绿色安全防护措施，优化施工工艺流程，建立BIM信息管理平台，统筹协调施工进度。</w:t>
      </w:r>
    </w:p>
    <w:p>
      <w:pPr>
        <w:widowControl w:val="0"/>
        <w:spacing w:line="360" w:lineRule="auto"/>
        <w:ind w:firstLine="480" w:firstLineChars="200"/>
        <w:jc w:val="both"/>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lang w:eastAsia="zh-CN"/>
        </w:rPr>
        <w:t>竣工验收阶段，承包人应在施工图与建筑信息模型（BIM）的基础上，结合设计变更、签证、管线碰撞检查等资料，完善建筑信息模型（BIM）、出具竣工图，并配合政府行政主管部门的要求，采用建筑信息模型（BIM）进行竣工验收备案（</w:t>
      </w:r>
      <w:r>
        <w:rPr>
          <w:rFonts w:hint="eastAsia" w:ascii="宋体" w:hAnsi="宋体" w:eastAsia="宋体" w:cs="宋体"/>
          <w:color w:val="auto"/>
          <w:sz w:val="24"/>
          <w:highlight w:val="none"/>
          <w:lang w:val="en-US" w:eastAsia="zh-CN"/>
        </w:rPr>
        <w:t>如有</w:t>
      </w:r>
      <w:r>
        <w:rPr>
          <w:rFonts w:hint="eastAsia" w:ascii="宋体" w:hAnsi="宋体" w:eastAsia="宋体" w:cs="宋体"/>
          <w:color w:val="auto"/>
          <w:sz w:val="24"/>
          <w:highlight w:val="none"/>
          <w:lang w:eastAsia="zh-CN"/>
        </w:rPr>
        <w:t>）。</w:t>
      </w:r>
    </w:p>
    <w:p>
      <w:pPr>
        <w:widowControl w:val="0"/>
        <w:spacing w:line="360" w:lineRule="auto"/>
        <w:ind w:firstLine="480" w:firstLineChars="200"/>
        <w:jc w:val="both"/>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lang w:eastAsia="zh-CN"/>
        </w:rPr>
        <w:t>承包人应协助发包人建立基于BIM技术的项目信息管理平台，为发包人及设计顾问人、监理人、造价咨询人等相关方，正确使用建筑信息模型（BIM）开展相关工程技术、质量、安全、绿色环保、建材集中采购、进度与造价管理工作提供必要的指导和协助。</w:t>
      </w:r>
    </w:p>
    <w:p>
      <w:pPr>
        <w:widowControl w:val="0"/>
        <w:spacing w:line="360" w:lineRule="auto"/>
        <w:ind w:firstLine="480" w:firstLineChars="200"/>
        <w:jc w:val="both"/>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100.2</w:t>
      </w:r>
      <w:r>
        <w:rPr>
          <w:rFonts w:hint="eastAsia" w:ascii="宋体" w:hAnsi="宋体" w:eastAsia="宋体" w:cs="宋体"/>
          <w:color w:val="auto"/>
          <w:sz w:val="24"/>
          <w:highlight w:val="none"/>
          <w:lang w:eastAsia="zh-CN"/>
        </w:rPr>
        <w:t>.4建筑信息模型（</w:t>
      </w:r>
      <w:r>
        <w:rPr>
          <w:rFonts w:hint="eastAsia" w:ascii="宋体" w:hAnsi="宋体" w:eastAsia="宋体" w:cs="宋体"/>
          <w:color w:val="auto"/>
          <w:sz w:val="24"/>
          <w:highlight w:val="none"/>
          <w:lang w:val="en-US" w:eastAsia="zh-CN"/>
        </w:rPr>
        <w:t>BIM</w:t>
      </w:r>
      <w:r>
        <w:rPr>
          <w:rFonts w:hint="eastAsia" w:ascii="宋体" w:hAnsi="宋体" w:eastAsia="宋体" w:cs="宋体"/>
          <w:color w:val="auto"/>
          <w:sz w:val="24"/>
          <w:highlight w:val="none"/>
          <w:lang w:eastAsia="zh-CN"/>
        </w:rPr>
        <w:t>）及应用成果</w:t>
      </w:r>
    </w:p>
    <w:p>
      <w:pPr>
        <w:widowControl w:val="0"/>
        <w:spacing w:line="360" w:lineRule="auto"/>
        <w:ind w:firstLine="480" w:firstLineChars="200"/>
        <w:jc w:val="both"/>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lang w:eastAsia="zh-CN"/>
        </w:rPr>
        <w:t>）承包人向发包人提交建筑信息模型（BIM）及有关应用成果，发包人</w:t>
      </w:r>
      <w:r>
        <w:rPr>
          <w:rFonts w:hint="eastAsia" w:ascii="宋体" w:hAnsi="宋体" w:eastAsia="宋体" w:cs="宋体"/>
          <w:color w:val="auto"/>
          <w:sz w:val="24"/>
          <w:highlight w:val="none"/>
          <w:lang w:val="en-US" w:eastAsia="zh-CN"/>
        </w:rPr>
        <w:t>根据项目实际需要</w:t>
      </w:r>
      <w:r>
        <w:rPr>
          <w:rFonts w:hint="eastAsia" w:ascii="宋体" w:hAnsi="宋体" w:eastAsia="宋体" w:cs="宋体"/>
          <w:color w:val="auto"/>
          <w:sz w:val="24"/>
          <w:highlight w:val="none"/>
          <w:lang w:eastAsia="zh-CN"/>
        </w:rPr>
        <w:t>增加的服务内容和成果，</w:t>
      </w:r>
      <w:r>
        <w:rPr>
          <w:rFonts w:hint="eastAsia" w:ascii="宋体" w:hAnsi="宋体" w:eastAsia="宋体" w:cs="宋体"/>
          <w:color w:val="auto"/>
          <w:sz w:val="24"/>
          <w:highlight w:val="none"/>
          <w:lang w:val="en-US" w:eastAsia="zh-CN"/>
        </w:rPr>
        <w:t>承包人需无条件配合</w:t>
      </w:r>
      <w:r>
        <w:rPr>
          <w:rFonts w:hint="eastAsia" w:ascii="宋体" w:hAnsi="宋体" w:eastAsia="宋体" w:cs="宋体"/>
          <w:color w:val="auto"/>
          <w:sz w:val="24"/>
          <w:highlight w:val="none"/>
          <w:lang w:eastAsia="zh-CN"/>
        </w:rPr>
        <w:t>。</w:t>
      </w:r>
    </w:p>
    <w:p>
      <w:pPr>
        <w:widowControl w:val="0"/>
        <w:spacing w:line="360" w:lineRule="auto"/>
        <w:ind w:firstLine="480" w:firstLineChars="20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eastAsia="zh-CN"/>
        </w:rPr>
        <w:t>） 因承包人原因，造成各阶段BIM模型及有关应用成果存在遗漏、错误的，承包人应补充、修正和完善，由此产生的费用</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lang w:eastAsia="zh-CN"/>
        </w:rPr>
        <w:t>工期延误由承包人承担。</w:t>
      </w:r>
    </w:p>
    <w:p>
      <w:pPr>
        <w:widowControl w:val="0"/>
        <w:spacing w:line="360" w:lineRule="auto"/>
        <w:ind w:firstLine="480" w:firstLineChars="200"/>
        <w:jc w:val="both"/>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100.2</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lang w:eastAsia="zh-CN"/>
        </w:rPr>
        <w:t>建筑信息模型（</w:t>
      </w:r>
      <w:r>
        <w:rPr>
          <w:rFonts w:hint="eastAsia" w:ascii="宋体" w:hAnsi="宋体" w:eastAsia="宋体" w:cs="宋体"/>
          <w:color w:val="auto"/>
          <w:sz w:val="24"/>
          <w:highlight w:val="none"/>
          <w:lang w:val="en-US" w:eastAsia="zh-CN"/>
        </w:rPr>
        <w:t>BIM</w:t>
      </w:r>
      <w:r>
        <w:rPr>
          <w:rFonts w:hint="eastAsia" w:ascii="宋体" w:hAnsi="宋体" w:eastAsia="宋体" w:cs="宋体"/>
          <w:color w:val="auto"/>
          <w:sz w:val="24"/>
          <w:highlight w:val="none"/>
          <w:lang w:eastAsia="zh-CN"/>
        </w:rPr>
        <w:t>）审查</w:t>
      </w:r>
    </w:p>
    <w:p>
      <w:pPr>
        <w:widowControl w:val="0"/>
        <w:spacing w:line="360" w:lineRule="auto"/>
        <w:ind w:firstLine="480" w:firstLineChars="200"/>
        <w:jc w:val="both"/>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发包人及政府有关部门审查需要承包人提供建筑信息模型（BIM）的，</w:t>
      </w:r>
      <w:r>
        <w:rPr>
          <w:rFonts w:hint="eastAsia" w:ascii="宋体" w:hAnsi="宋体" w:eastAsia="宋体" w:cs="宋体"/>
          <w:color w:val="auto"/>
          <w:sz w:val="24"/>
          <w:highlight w:val="none"/>
        </w:rPr>
        <w:t>承包人应予以</w:t>
      </w:r>
      <w:r>
        <w:rPr>
          <w:rFonts w:hint="eastAsia" w:ascii="宋体" w:hAnsi="宋体" w:eastAsia="宋体" w:cs="宋体"/>
          <w:color w:val="auto"/>
          <w:sz w:val="24"/>
          <w:highlight w:val="none"/>
          <w:lang w:eastAsia="zh-CN"/>
        </w:rPr>
        <w:t>配合。</w:t>
      </w:r>
    </w:p>
    <w:p>
      <w:pPr>
        <w:widowControl w:val="0"/>
        <w:spacing w:line="360" w:lineRule="auto"/>
        <w:ind w:firstLine="480" w:firstLineChars="200"/>
        <w:jc w:val="both"/>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100.2</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lang w:eastAsia="zh-CN"/>
        </w:rPr>
        <w:t>建筑信息模型（</w:t>
      </w:r>
      <w:r>
        <w:rPr>
          <w:rFonts w:hint="eastAsia" w:ascii="宋体" w:hAnsi="宋体" w:eastAsia="宋体" w:cs="宋体"/>
          <w:color w:val="auto"/>
          <w:sz w:val="24"/>
          <w:highlight w:val="none"/>
          <w:lang w:val="en-US" w:eastAsia="zh-CN"/>
        </w:rPr>
        <w:t>BIM</w:t>
      </w:r>
      <w:r>
        <w:rPr>
          <w:rFonts w:hint="eastAsia" w:ascii="宋体" w:hAnsi="宋体" w:eastAsia="宋体" w:cs="宋体"/>
          <w:color w:val="auto"/>
          <w:sz w:val="24"/>
          <w:highlight w:val="none"/>
          <w:lang w:eastAsia="zh-CN"/>
        </w:rPr>
        <w:t>）交付标准</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BIM技术应用各阶段的建筑信息模（BIM）交付，应符合国家、行业及省市现行有关标准。</w:t>
      </w:r>
    </w:p>
    <w:p>
      <w:pPr>
        <w:spacing w:line="360" w:lineRule="exact"/>
        <w:ind w:right="-20"/>
        <w:jc w:val="both"/>
        <w:textAlignment w:val="baseline"/>
        <w:rPr>
          <w:rStyle w:val="43"/>
          <w:rFonts w:hint="eastAsia" w:ascii="宋体" w:hAnsi="宋体" w:eastAsia="宋体" w:cs="宋体"/>
          <w:color w:val="auto"/>
          <w:kern w:val="2"/>
          <w:sz w:val="24"/>
          <w:szCs w:val="24"/>
          <w:highlight w:val="none"/>
          <w:lang w:val="en-US" w:eastAsia="zh-CN" w:bidi="ar-SA"/>
        </w:rPr>
      </w:pPr>
    </w:p>
    <w:p>
      <w:pPr>
        <w:spacing w:line="360" w:lineRule="exact"/>
        <w:ind w:right="-20"/>
        <w:jc w:val="both"/>
        <w:textAlignment w:val="baseline"/>
        <w:rPr>
          <w:rStyle w:val="43"/>
          <w:rFonts w:hint="eastAsia" w:ascii="宋体" w:hAnsi="宋体" w:eastAsia="宋体" w:cs="宋体"/>
          <w:color w:val="auto"/>
          <w:kern w:val="2"/>
          <w:sz w:val="24"/>
          <w:szCs w:val="24"/>
          <w:highlight w:val="none"/>
          <w:lang w:val="en-US" w:eastAsia="zh-CN" w:bidi="ar-SA"/>
        </w:rPr>
      </w:pPr>
    </w:p>
    <w:p>
      <w:pPr>
        <w:spacing w:line="360" w:lineRule="exact"/>
        <w:ind w:right="-20"/>
        <w:jc w:val="both"/>
        <w:textAlignment w:val="baseline"/>
        <w:rPr>
          <w:rStyle w:val="43"/>
          <w:rFonts w:hint="eastAsia" w:ascii="宋体" w:hAnsi="宋体" w:eastAsia="宋体" w:cs="宋体"/>
          <w:color w:val="auto"/>
          <w:kern w:val="2"/>
          <w:sz w:val="24"/>
          <w:szCs w:val="24"/>
          <w:highlight w:val="none"/>
          <w:lang w:val="en-US" w:eastAsia="zh-CN" w:bidi="ar-SA"/>
        </w:rPr>
      </w:pPr>
    </w:p>
    <w:p>
      <w:pPr>
        <w:spacing w:line="360" w:lineRule="exact"/>
        <w:ind w:right="-20"/>
        <w:jc w:val="both"/>
        <w:textAlignment w:val="baseline"/>
        <w:rPr>
          <w:rStyle w:val="43"/>
          <w:rFonts w:hint="eastAsia" w:ascii="宋体" w:hAnsi="宋体" w:eastAsia="宋体" w:cs="宋体"/>
          <w:color w:val="auto"/>
          <w:kern w:val="2"/>
          <w:sz w:val="24"/>
          <w:szCs w:val="24"/>
          <w:highlight w:val="none"/>
          <w:lang w:val="en-US" w:eastAsia="zh-CN" w:bidi="ar-SA"/>
        </w:rPr>
      </w:pPr>
    </w:p>
    <w:p>
      <w:pPr>
        <w:spacing w:line="360" w:lineRule="exact"/>
        <w:ind w:right="-20"/>
        <w:jc w:val="both"/>
        <w:textAlignment w:val="baseline"/>
        <w:rPr>
          <w:rStyle w:val="43"/>
          <w:rFonts w:hint="eastAsia" w:ascii="宋体" w:hAnsi="宋体" w:eastAsia="宋体" w:cs="宋体"/>
          <w:color w:val="auto"/>
          <w:kern w:val="2"/>
          <w:sz w:val="24"/>
          <w:szCs w:val="24"/>
          <w:highlight w:val="none"/>
          <w:lang w:val="en-US" w:eastAsia="zh-CN" w:bidi="ar-SA"/>
        </w:rPr>
      </w:pPr>
    </w:p>
    <w:p>
      <w:pPr>
        <w:spacing w:line="360" w:lineRule="exact"/>
        <w:ind w:right="-20"/>
        <w:jc w:val="both"/>
        <w:textAlignment w:val="baseline"/>
        <w:rPr>
          <w:rStyle w:val="43"/>
          <w:rFonts w:hint="eastAsia" w:ascii="宋体" w:hAnsi="宋体" w:eastAsia="宋体" w:cs="宋体"/>
          <w:color w:val="auto"/>
          <w:kern w:val="2"/>
          <w:sz w:val="24"/>
          <w:szCs w:val="24"/>
          <w:highlight w:val="none"/>
          <w:lang w:val="en-US" w:eastAsia="zh-CN" w:bidi="ar-SA"/>
        </w:rPr>
      </w:pPr>
    </w:p>
    <w:p>
      <w:pPr>
        <w:spacing w:line="360" w:lineRule="exact"/>
        <w:ind w:right="-20"/>
        <w:jc w:val="both"/>
        <w:textAlignment w:val="baseline"/>
        <w:rPr>
          <w:rStyle w:val="43"/>
          <w:rFonts w:hint="eastAsia" w:ascii="宋体" w:hAnsi="宋体" w:eastAsia="宋体" w:cs="宋体"/>
          <w:color w:val="auto"/>
          <w:kern w:val="2"/>
          <w:sz w:val="24"/>
          <w:szCs w:val="24"/>
          <w:highlight w:val="none"/>
          <w:lang w:val="en-US" w:eastAsia="zh-CN" w:bidi="ar-SA"/>
        </w:rPr>
      </w:pPr>
    </w:p>
    <w:p>
      <w:pPr>
        <w:spacing w:line="360" w:lineRule="exact"/>
        <w:ind w:right="-20"/>
        <w:jc w:val="both"/>
        <w:textAlignment w:val="baseline"/>
        <w:rPr>
          <w:rStyle w:val="43"/>
          <w:rFonts w:hint="eastAsia" w:ascii="宋体" w:hAnsi="宋体" w:eastAsia="宋体" w:cs="宋体"/>
          <w:color w:val="auto"/>
          <w:kern w:val="2"/>
          <w:sz w:val="24"/>
          <w:szCs w:val="24"/>
          <w:highlight w:val="none"/>
          <w:lang w:val="en-US" w:eastAsia="zh-CN" w:bidi="ar-SA"/>
        </w:rPr>
        <w:sectPr>
          <w:headerReference r:id="rId6" w:type="default"/>
          <w:footerReference r:id="rId7" w:type="default"/>
          <w:pgSz w:w="11906" w:h="16838"/>
          <w:pgMar w:top="1134" w:right="1134" w:bottom="1134" w:left="1134" w:header="851" w:footer="992" w:gutter="0"/>
          <w:pgNumType w:fmt="decimal"/>
          <w:cols w:space="0" w:num="1"/>
          <w:rtlGutter w:val="0"/>
          <w:docGrid w:type="lines" w:linePitch="312" w:charSpace="0"/>
        </w:sectPr>
      </w:pPr>
    </w:p>
    <w:p>
      <w:pPr>
        <w:spacing w:line="360" w:lineRule="auto"/>
        <w:ind w:firstLine="361" w:firstLineChars="150"/>
        <w:outlineLvl w:val="1"/>
        <w:rPr>
          <w:rFonts w:hint="eastAsia" w:ascii="宋体" w:hAnsi="宋体" w:eastAsia="宋体" w:cs="宋体"/>
          <w:b/>
          <w:bCs/>
          <w:sz w:val="30"/>
          <w:szCs w:val="30"/>
          <w:lang w:eastAsia="zh-CN"/>
        </w:rPr>
      </w:pPr>
      <w:bookmarkStart w:id="262" w:name="_Toc10624984"/>
      <w:bookmarkStart w:id="263" w:name="_Toc469384140"/>
      <w:bookmarkStart w:id="264" w:name="_Toc266892924"/>
      <w:r>
        <w:rPr>
          <w:rFonts w:hint="eastAsia" w:ascii="宋体" w:hAnsi="宋体" w:eastAsia="宋体" w:cs="宋体"/>
          <w:b/>
          <w:bCs/>
          <w:sz w:val="24"/>
          <w:szCs w:val="24"/>
        </w:rPr>
        <w:t>附件</w:t>
      </w:r>
      <w:bookmarkEnd w:id="262"/>
      <w:bookmarkEnd w:id="263"/>
      <w:bookmarkEnd w:id="264"/>
      <w:r>
        <w:rPr>
          <w:rFonts w:hint="eastAsia" w:ascii="宋体" w:hAnsi="宋体" w:eastAsia="宋体" w:cs="宋体"/>
          <w:b/>
          <w:bCs/>
          <w:sz w:val="24"/>
          <w:szCs w:val="24"/>
          <w:lang w:val="en-US" w:eastAsia="zh-CN"/>
        </w:rPr>
        <w:t>一</w:t>
      </w:r>
    </w:p>
    <w:p>
      <w:pPr>
        <w:spacing w:line="360" w:lineRule="auto"/>
        <w:jc w:val="center"/>
        <w:rPr>
          <w:rFonts w:hint="eastAsia" w:ascii="宋体" w:hAnsi="宋体" w:eastAsia="宋体" w:cs="宋体"/>
          <w:b/>
          <w:bCs/>
          <w:spacing w:val="32"/>
          <w:kern w:val="36"/>
          <w:sz w:val="36"/>
          <w:szCs w:val="36"/>
        </w:rPr>
      </w:pPr>
      <w:r>
        <w:rPr>
          <w:rFonts w:hint="eastAsia" w:ascii="宋体" w:hAnsi="宋体" w:eastAsia="宋体" w:cs="宋体"/>
          <w:b/>
          <w:bCs/>
          <w:spacing w:val="32"/>
          <w:kern w:val="36"/>
          <w:sz w:val="36"/>
          <w:szCs w:val="36"/>
        </w:rPr>
        <w:t>发包人供应材料设备一览表</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工程名称：                                                                                工程编号：</w:t>
      </w:r>
    </w:p>
    <w:tbl>
      <w:tblPr>
        <w:tblStyle w:val="24"/>
        <w:tblW w:w="1608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6"/>
        <w:gridCol w:w="1440"/>
        <w:gridCol w:w="2708"/>
        <w:gridCol w:w="1432"/>
        <w:gridCol w:w="1800"/>
        <w:gridCol w:w="900"/>
        <w:gridCol w:w="720"/>
        <w:gridCol w:w="1620"/>
        <w:gridCol w:w="1550"/>
        <w:gridCol w:w="1510"/>
        <w:gridCol w:w="1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116"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序号</w:t>
            </w:r>
          </w:p>
        </w:tc>
        <w:tc>
          <w:tcPr>
            <w:tcW w:w="1440" w:type="dxa"/>
            <w:noWrap w:val="0"/>
            <w:vAlign w:val="top"/>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编码</w:t>
            </w:r>
          </w:p>
        </w:tc>
        <w:tc>
          <w:tcPr>
            <w:tcW w:w="2708"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材料设备名称</w:t>
            </w:r>
          </w:p>
        </w:tc>
        <w:tc>
          <w:tcPr>
            <w:tcW w:w="1432"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规格</w:t>
            </w:r>
          </w:p>
        </w:tc>
        <w:tc>
          <w:tcPr>
            <w:tcW w:w="1800"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生产厂家</w:t>
            </w:r>
          </w:p>
        </w:tc>
        <w:tc>
          <w:tcPr>
            <w:tcW w:w="900"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单位</w:t>
            </w:r>
          </w:p>
        </w:tc>
        <w:tc>
          <w:tcPr>
            <w:tcW w:w="720"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数量</w:t>
            </w:r>
          </w:p>
        </w:tc>
        <w:tc>
          <w:tcPr>
            <w:tcW w:w="1620"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单价（元）</w:t>
            </w:r>
          </w:p>
        </w:tc>
        <w:tc>
          <w:tcPr>
            <w:tcW w:w="1550"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总价（元）</w:t>
            </w:r>
          </w:p>
        </w:tc>
        <w:tc>
          <w:tcPr>
            <w:tcW w:w="1510"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投产日期</w:t>
            </w:r>
          </w:p>
        </w:tc>
        <w:tc>
          <w:tcPr>
            <w:tcW w:w="1286"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116" w:type="dxa"/>
            <w:noWrap w:val="0"/>
            <w:vAlign w:val="center"/>
          </w:tcPr>
          <w:p>
            <w:pPr>
              <w:spacing w:line="360" w:lineRule="auto"/>
              <w:jc w:val="center"/>
              <w:rPr>
                <w:rFonts w:hint="eastAsia" w:ascii="宋体" w:hAnsi="宋体" w:eastAsia="宋体" w:cs="宋体"/>
              </w:rPr>
            </w:pPr>
          </w:p>
        </w:tc>
        <w:tc>
          <w:tcPr>
            <w:tcW w:w="1440" w:type="dxa"/>
            <w:noWrap w:val="0"/>
            <w:vAlign w:val="top"/>
          </w:tcPr>
          <w:p>
            <w:pPr>
              <w:spacing w:line="360" w:lineRule="auto"/>
              <w:jc w:val="center"/>
              <w:rPr>
                <w:rFonts w:hint="eastAsia" w:ascii="宋体" w:hAnsi="宋体" w:eastAsia="宋体" w:cs="宋体"/>
              </w:rPr>
            </w:pPr>
          </w:p>
        </w:tc>
        <w:tc>
          <w:tcPr>
            <w:tcW w:w="2708" w:type="dxa"/>
            <w:noWrap w:val="0"/>
            <w:vAlign w:val="center"/>
          </w:tcPr>
          <w:p>
            <w:pPr>
              <w:spacing w:line="360" w:lineRule="auto"/>
              <w:jc w:val="center"/>
              <w:rPr>
                <w:rFonts w:hint="eastAsia" w:ascii="宋体" w:hAnsi="宋体" w:eastAsia="宋体" w:cs="宋体"/>
              </w:rPr>
            </w:pPr>
          </w:p>
        </w:tc>
        <w:tc>
          <w:tcPr>
            <w:tcW w:w="1432" w:type="dxa"/>
            <w:noWrap w:val="0"/>
            <w:vAlign w:val="center"/>
          </w:tcPr>
          <w:p>
            <w:pPr>
              <w:spacing w:line="360" w:lineRule="auto"/>
              <w:jc w:val="center"/>
              <w:rPr>
                <w:rFonts w:hint="eastAsia" w:ascii="宋体" w:hAnsi="宋体" w:eastAsia="宋体" w:cs="宋体"/>
              </w:rPr>
            </w:pPr>
          </w:p>
        </w:tc>
        <w:tc>
          <w:tcPr>
            <w:tcW w:w="1800" w:type="dxa"/>
            <w:noWrap w:val="0"/>
            <w:vAlign w:val="center"/>
          </w:tcPr>
          <w:p>
            <w:pPr>
              <w:spacing w:line="360" w:lineRule="auto"/>
              <w:jc w:val="center"/>
              <w:rPr>
                <w:rFonts w:hint="eastAsia" w:ascii="宋体" w:hAnsi="宋体" w:eastAsia="宋体" w:cs="宋体"/>
              </w:rPr>
            </w:pPr>
          </w:p>
        </w:tc>
        <w:tc>
          <w:tcPr>
            <w:tcW w:w="900" w:type="dxa"/>
            <w:noWrap w:val="0"/>
            <w:vAlign w:val="center"/>
          </w:tcPr>
          <w:p>
            <w:pPr>
              <w:spacing w:line="360" w:lineRule="auto"/>
              <w:jc w:val="center"/>
              <w:rPr>
                <w:rFonts w:hint="eastAsia" w:ascii="宋体" w:hAnsi="宋体" w:eastAsia="宋体" w:cs="宋体"/>
              </w:rPr>
            </w:pPr>
          </w:p>
        </w:tc>
        <w:tc>
          <w:tcPr>
            <w:tcW w:w="720" w:type="dxa"/>
            <w:noWrap w:val="0"/>
            <w:vAlign w:val="center"/>
          </w:tcPr>
          <w:p>
            <w:pPr>
              <w:spacing w:line="360" w:lineRule="auto"/>
              <w:jc w:val="center"/>
              <w:rPr>
                <w:rFonts w:hint="eastAsia" w:ascii="宋体" w:hAnsi="宋体" w:eastAsia="宋体" w:cs="宋体"/>
              </w:rPr>
            </w:pPr>
          </w:p>
        </w:tc>
        <w:tc>
          <w:tcPr>
            <w:tcW w:w="1620" w:type="dxa"/>
            <w:noWrap w:val="0"/>
            <w:vAlign w:val="center"/>
          </w:tcPr>
          <w:p>
            <w:pPr>
              <w:spacing w:line="360" w:lineRule="auto"/>
              <w:jc w:val="center"/>
              <w:rPr>
                <w:rFonts w:hint="eastAsia" w:ascii="宋体" w:hAnsi="宋体" w:eastAsia="宋体" w:cs="宋体"/>
              </w:rPr>
            </w:pPr>
          </w:p>
        </w:tc>
        <w:tc>
          <w:tcPr>
            <w:tcW w:w="1550" w:type="dxa"/>
            <w:noWrap w:val="0"/>
            <w:vAlign w:val="center"/>
          </w:tcPr>
          <w:p>
            <w:pPr>
              <w:spacing w:line="360" w:lineRule="auto"/>
              <w:jc w:val="center"/>
              <w:rPr>
                <w:rFonts w:hint="eastAsia" w:ascii="宋体" w:hAnsi="宋体" w:eastAsia="宋体" w:cs="宋体"/>
              </w:rPr>
            </w:pPr>
          </w:p>
        </w:tc>
        <w:tc>
          <w:tcPr>
            <w:tcW w:w="1510" w:type="dxa"/>
            <w:noWrap w:val="0"/>
            <w:vAlign w:val="center"/>
          </w:tcPr>
          <w:p>
            <w:pPr>
              <w:spacing w:line="360" w:lineRule="auto"/>
              <w:jc w:val="center"/>
              <w:rPr>
                <w:rFonts w:hint="eastAsia" w:ascii="宋体" w:hAnsi="宋体" w:eastAsia="宋体" w:cs="宋体"/>
              </w:rPr>
            </w:pPr>
          </w:p>
        </w:tc>
        <w:tc>
          <w:tcPr>
            <w:tcW w:w="1286" w:type="dxa"/>
            <w:noWrap w:val="0"/>
            <w:vAlign w:val="center"/>
          </w:tcPr>
          <w:p>
            <w:pPr>
              <w:spacing w:line="360" w:lineRule="auto"/>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116" w:type="dxa"/>
            <w:noWrap w:val="0"/>
            <w:vAlign w:val="center"/>
          </w:tcPr>
          <w:p>
            <w:pPr>
              <w:spacing w:line="360" w:lineRule="auto"/>
              <w:jc w:val="center"/>
              <w:rPr>
                <w:rFonts w:hint="eastAsia" w:ascii="宋体" w:hAnsi="宋体" w:eastAsia="宋体" w:cs="宋体"/>
              </w:rPr>
            </w:pPr>
          </w:p>
        </w:tc>
        <w:tc>
          <w:tcPr>
            <w:tcW w:w="1440" w:type="dxa"/>
            <w:noWrap w:val="0"/>
            <w:vAlign w:val="top"/>
          </w:tcPr>
          <w:p>
            <w:pPr>
              <w:spacing w:line="360" w:lineRule="auto"/>
              <w:jc w:val="center"/>
              <w:rPr>
                <w:rFonts w:hint="eastAsia" w:ascii="宋体" w:hAnsi="宋体" w:eastAsia="宋体" w:cs="宋体"/>
              </w:rPr>
            </w:pPr>
          </w:p>
        </w:tc>
        <w:tc>
          <w:tcPr>
            <w:tcW w:w="2708" w:type="dxa"/>
            <w:noWrap w:val="0"/>
            <w:vAlign w:val="center"/>
          </w:tcPr>
          <w:p>
            <w:pPr>
              <w:spacing w:line="360" w:lineRule="auto"/>
              <w:jc w:val="center"/>
              <w:rPr>
                <w:rFonts w:hint="eastAsia" w:ascii="宋体" w:hAnsi="宋体" w:eastAsia="宋体" w:cs="宋体"/>
              </w:rPr>
            </w:pPr>
          </w:p>
        </w:tc>
        <w:tc>
          <w:tcPr>
            <w:tcW w:w="1432" w:type="dxa"/>
            <w:noWrap w:val="0"/>
            <w:vAlign w:val="center"/>
          </w:tcPr>
          <w:p>
            <w:pPr>
              <w:spacing w:line="360" w:lineRule="auto"/>
              <w:jc w:val="center"/>
              <w:rPr>
                <w:rFonts w:hint="eastAsia" w:ascii="宋体" w:hAnsi="宋体" w:eastAsia="宋体" w:cs="宋体"/>
              </w:rPr>
            </w:pPr>
          </w:p>
        </w:tc>
        <w:tc>
          <w:tcPr>
            <w:tcW w:w="1800" w:type="dxa"/>
            <w:noWrap w:val="0"/>
            <w:vAlign w:val="center"/>
          </w:tcPr>
          <w:p>
            <w:pPr>
              <w:spacing w:line="360" w:lineRule="auto"/>
              <w:jc w:val="center"/>
              <w:rPr>
                <w:rFonts w:hint="eastAsia" w:ascii="宋体" w:hAnsi="宋体" w:eastAsia="宋体" w:cs="宋体"/>
              </w:rPr>
            </w:pPr>
          </w:p>
        </w:tc>
        <w:tc>
          <w:tcPr>
            <w:tcW w:w="900" w:type="dxa"/>
            <w:noWrap w:val="0"/>
            <w:vAlign w:val="center"/>
          </w:tcPr>
          <w:p>
            <w:pPr>
              <w:spacing w:line="360" w:lineRule="auto"/>
              <w:jc w:val="center"/>
              <w:rPr>
                <w:rFonts w:hint="eastAsia" w:ascii="宋体" w:hAnsi="宋体" w:eastAsia="宋体" w:cs="宋体"/>
              </w:rPr>
            </w:pPr>
          </w:p>
        </w:tc>
        <w:tc>
          <w:tcPr>
            <w:tcW w:w="720" w:type="dxa"/>
            <w:noWrap w:val="0"/>
            <w:vAlign w:val="center"/>
          </w:tcPr>
          <w:p>
            <w:pPr>
              <w:spacing w:line="360" w:lineRule="auto"/>
              <w:jc w:val="center"/>
              <w:rPr>
                <w:rFonts w:hint="eastAsia" w:ascii="宋体" w:hAnsi="宋体" w:eastAsia="宋体" w:cs="宋体"/>
              </w:rPr>
            </w:pPr>
          </w:p>
        </w:tc>
        <w:tc>
          <w:tcPr>
            <w:tcW w:w="1620" w:type="dxa"/>
            <w:noWrap w:val="0"/>
            <w:vAlign w:val="center"/>
          </w:tcPr>
          <w:p>
            <w:pPr>
              <w:spacing w:line="360" w:lineRule="auto"/>
              <w:jc w:val="center"/>
              <w:rPr>
                <w:rFonts w:hint="eastAsia" w:ascii="宋体" w:hAnsi="宋体" w:eastAsia="宋体" w:cs="宋体"/>
              </w:rPr>
            </w:pPr>
          </w:p>
        </w:tc>
        <w:tc>
          <w:tcPr>
            <w:tcW w:w="1550" w:type="dxa"/>
            <w:noWrap w:val="0"/>
            <w:vAlign w:val="center"/>
          </w:tcPr>
          <w:p>
            <w:pPr>
              <w:spacing w:line="360" w:lineRule="auto"/>
              <w:jc w:val="center"/>
              <w:rPr>
                <w:rFonts w:hint="eastAsia" w:ascii="宋体" w:hAnsi="宋体" w:eastAsia="宋体" w:cs="宋体"/>
              </w:rPr>
            </w:pPr>
          </w:p>
        </w:tc>
        <w:tc>
          <w:tcPr>
            <w:tcW w:w="1510" w:type="dxa"/>
            <w:noWrap w:val="0"/>
            <w:vAlign w:val="center"/>
          </w:tcPr>
          <w:p>
            <w:pPr>
              <w:spacing w:line="360" w:lineRule="auto"/>
              <w:jc w:val="center"/>
              <w:rPr>
                <w:rFonts w:hint="eastAsia" w:ascii="宋体" w:hAnsi="宋体" w:eastAsia="宋体" w:cs="宋体"/>
              </w:rPr>
            </w:pPr>
          </w:p>
        </w:tc>
        <w:tc>
          <w:tcPr>
            <w:tcW w:w="1286" w:type="dxa"/>
            <w:noWrap w:val="0"/>
            <w:vAlign w:val="center"/>
          </w:tcPr>
          <w:p>
            <w:pPr>
              <w:spacing w:line="360" w:lineRule="auto"/>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116" w:type="dxa"/>
            <w:noWrap w:val="0"/>
            <w:vAlign w:val="center"/>
          </w:tcPr>
          <w:p>
            <w:pPr>
              <w:spacing w:line="360" w:lineRule="auto"/>
              <w:jc w:val="center"/>
              <w:rPr>
                <w:rFonts w:hint="eastAsia" w:ascii="宋体" w:hAnsi="宋体" w:eastAsia="宋体" w:cs="宋体"/>
              </w:rPr>
            </w:pPr>
          </w:p>
        </w:tc>
        <w:tc>
          <w:tcPr>
            <w:tcW w:w="1440" w:type="dxa"/>
            <w:noWrap w:val="0"/>
            <w:vAlign w:val="top"/>
          </w:tcPr>
          <w:p>
            <w:pPr>
              <w:spacing w:line="360" w:lineRule="auto"/>
              <w:jc w:val="center"/>
              <w:rPr>
                <w:rFonts w:hint="eastAsia" w:ascii="宋体" w:hAnsi="宋体" w:eastAsia="宋体" w:cs="宋体"/>
              </w:rPr>
            </w:pPr>
          </w:p>
        </w:tc>
        <w:tc>
          <w:tcPr>
            <w:tcW w:w="2708" w:type="dxa"/>
            <w:noWrap w:val="0"/>
            <w:vAlign w:val="center"/>
          </w:tcPr>
          <w:p>
            <w:pPr>
              <w:spacing w:line="360" w:lineRule="auto"/>
              <w:jc w:val="center"/>
              <w:rPr>
                <w:rFonts w:hint="eastAsia" w:ascii="宋体" w:hAnsi="宋体" w:eastAsia="宋体" w:cs="宋体"/>
              </w:rPr>
            </w:pPr>
          </w:p>
        </w:tc>
        <w:tc>
          <w:tcPr>
            <w:tcW w:w="1432" w:type="dxa"/>
            <w:noWrap w:val="0"/>
            <w:vAlign w:val="center"/>
          </w:tcPr>
          <w:p>
            <w:pPr>
              <w:spacing w:line="360" w:lineRule="auto"/>
              <w:jc w:val="center"/>
              <w:rPr>
                <w:rFonts w:hint="eastAsia" w:ascii="宋体" w:hAnsi="宋体" w:eastAsia="宋体" w:cs="宋体"/>
              </w:rPr>
            </w:pPr>
          </w:p>
        </w:tc>
        <w:tc>
          <w:tcPr>
            <w:tcW w:w="1800" w:type="dxa"/>
            <w:noWrap w:val="0"/>
            <w:vAlign w:val="center"/>
          </w:tcPr>
          <w:p>
            <w:pPr>
              <w:spacing w:line="360" w:lineRule="auto"/>
              <w:jc w:val="center"/>
              <w:rPr>
                <w:rFonts w:hint="eastAsia" w:ascii="宋体" w:hAnsi="宋体" w:eastAsia="宋体" w:cs="宋体"/>
              </w:rPr>
            </w:pPr>
          </w:p>
        </w:tc>
        <w:tc>
          <w:tcPr>
            <w:tcW w:w="900" w:type="dxa"/>
            <w:noWrap w:val="0"/>
            <w:vAlign w:val="center"/>
          </w:tcPr>
          <w:p>
            <w:pPr>
              <w:spacing w:line="360" w:lineRule="auto"/>
              <w:jc w:val="center"/>
              <w:rPr>
                <w:rFonts w:hint="eastAsia" w:ascii="宋体" w:hAnsi="宋体" w:eastAsia="宋体" w:cs="宋体"/>
              </w:rPr>
            </w:pPr>
          </w:p>
        </w:tc>
        <w:tc>
          <w:tcPr>
            <w:tcW w:w="720" w:type="dxa"/>
            <w:noWrap w:val="0"/>
            <w:vAlign w:val="center"/>
          </w:tcPr>
          <w:p>
            <w:pPr>
              <w:spacing w:line="360" w:lineRule="auto"/>
              <w:jc w:val="center"/>
              <w:rPr>
                <w:rFonts w:hint="eastAsia" w:ascii="宋体" w:hAnsi="宋体" w:eastAsia="宋体" w:cs="宋体"/>
              </w:rPr>
            </w:pPr>
          </w:p>
        </w:tc>
        <w:tc>
          <w:tcPr>
            <w:tcW w:w="1620" w:type="dxa"/>
            <w:noWrap w:val="0"/>
            <w:vAlign w:val="center"/>
          </w:tcPr>
          <w:p>
            <w:pPr>
              <w:spacing w:line="360" w:lineRule="auto"/>
              <w:jc w:val="center"/>
              <w:rPr>
                <w:rFonts w:hint="eastAsia" w:ascii="宋体" w:hAnsi="宋体" w:eastAsia="宋体" w:cs="宋体"/>
              </w:rPr>
            </w:pPr>
          </w:p>
        </w:tc>
        <w:tc>
          <w:tcPr>
            <w:tcW w:w="1550" w:type="dxa"/>
            <w:noWrap w:val="0"/>
            <w:vAlign w:val="center"/>
          </w:tcPr>
          <w:p>
            <w:pPr>
              <w:spacing w:line="360" w:lineRule="auto"/>
              <w:jc w:val="center"/>
              <w:rPr>
                <w:rFonts w:hint="eastAsia" w:ascii="宋体" w:hAnsi="宋体" w:eastAsia="宋体" w:cs="宋体"/>
              </w:rPr>
            </w:pPr>
          </w:p>
        </w:tc>
        <w:tc>
          <w:tcPr>
            <w:tcW w:w="1510" w:type="dxa"/>
            <w:noWrap w:val="0"/>
            <w:vAlign w:val="center"/>
          </w:tcPr>
          <w:p>
            <w:pPr>
              <w:spacing w:line="360" w:lineRule="auto"/>
              <w:jc w:val="center"/>
              <w:rPr>
                <w:rFonts w:hint="eastAsia" w:ascii="宋体" w:hAnsi="宋体" w:eastAsia="宋体" w:cs="宋体"/>
              </w:rPr>
            </w:pPr>
          </w:p>
        </w:tc>
        <w:tc>
          <w:tcPr>
            <w:tcW w:w="1286" w:type="dxa"/>
            <w:noWrap w:val="0"/>
            <w:vAlign w:val="center"/>
          </w:tcPr>
          <w:p>
            <w:pPr>
              <w:spacing w:line="360" w:lineRule="auto"/>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116" w:type="dxa"/>
            <w:noWrap w:val="0"/>
            <w:vAlign w:val="center"/>
          </w:tcPr>
          <w:p>
            <w:pPr>
              <w:spacing w:line="360" w:lineRule="auto"/>
              <w:jc w:val="center"/>
              <w:rPr>
                <w:rFonts w:hint="eastAsia" w:ascii="宋体" w:hAnsi="宋体" w:eastAsia="宋体" w:cs="宋体"/>
              </w:rPr>
            </w:pPr>
          </w:p>
        </w:tc>
        <w:tc>
          <w:tcPr>
            <w:tcW w:w="1440" w:type="dxa"/>
            <w:noWrap w:val="0"/>
            <w:vAlign w:val="top"/>
          </w:tcPr>
          <w:p>
            <w:pPr>
              <w:spacing w:line="360" w:lineRule="auto"/>
              <w:jc w:val="center"/>
              <w:rPr>
                <w:rFonts w:hint="eastAsia" w:ascii="宋体" w:hAnsi="宋体" w:eastAsia="宋体" w:cs="宋体"/>
              </w:rPr>
            </w:pPr>
          </w:p>
        </w:tc>
        <w:tc>
          <w:tcPr>
            <w:tcW w:w="2708" w:type="dxa"/>
            <w:noWrap w:val="0"/>
            <w:vAlign w:val="center"/>
          </w:tcPr>
          <w:p>
            <w:pPr>
              <w:spacing w:line="360" w:lineRule="auto"/>
              <w:jc w:val="center"/>
              <w:rPr>
                <w:rFonts w:hint="eastAsia" w:ascii="宋体" w:hAnsi="宋体" w:eastAsia="宋体" w:cs="宋体"/>
              </w:rPr>
            </w:pPr>
          </w:p>
        </w:tc>
        <w:tc>
          <w:tcPr>
            <w:tcW w:w="1432" w:type="dxa"/>
            <w:noWrap w:val="0"/>
            <w:vAlign w:val="center"/>
          </w:tcPr>
          <w:p>
            <w:pPr>
              <w:spacing w:line="360" w:lineRule="auto"/>
              <w:jc w:val="center"/>
              <w:rPr>
                <w:rFonts w:hint="eastAsia" w:ascii="宋体" w:hAnsi="宋体" w:eastAsia="宋体" w:cs="宋体"/>
              </w:rPr>
            </w:pPr>
          </w:p>
        </w:tc>
        <w:tc>
          <w:tcPr>
            <w:tcW w:w="1800" w:type="dxa"/>
            <w:noWrap w:val="0"/>
            <w:vAlign w:val="center"/>
          </w:tcPr>
          <w:p>
            <w:pPr>
              <w:spacing w:line="360" w:lineRule="auto"/>
              <w:jc w:val="center"/>
              <w:rPr>
                <w:rFonts w:hint="eastAsia" w:ascii="宋体" w:hAnsi="宋体" w:eastAsia="宋体" w:cs="宋体"/>
              </w:rPr>
            </w:pPr>
          </w:p>
        </w:tc>
        <w:tc>
          <w:tcPr>
            <w:tcW w:w="900" w:type="dxa"/>
            <w:noWrap w:val="0"/>
            <w:vAlign w:val="center"/>
          </w:tcPr>
          <w:p>
            <w:pPr>
              <w:spacing w:line="360" w:lineRule="auto"/>
              <w:jc w:val="center"/>
              <w:rPr>
                <w:rFonts w:hint="eastAsia" w:ascii="宋体" w:hAnsi="宋体" w:eastAsia="宋体" w:cs="宋体"/>
              </w:rPr>
            </w:pPr>
          </w:p>
        </w:tc>
        <w:tc>
          <w:tcPr>
            <w:tcW w:w="720" w:type="dxa"/>
            <w:noWrap w:val="0"/>
            <w:vAlign w:val="center"/>
          </w:tcPr>
          <w:p>
            <w:pPr>
              <w:spacing w:line="360" w:lineRule="auto"/>
              <w:jc w:val="center"/>
              <w:rPr>
                <w:rFonts w:hint="eastAsia" w:ascii="宋体" w:hAnsi="宋体" w:eastAsia="宋体" w:cs="宋体"/>
              </w:rPr>
            </w:pPr>
          </w:p>
        </w:tc>
        <w:tc>
          <w:tcPr>
            <w:tcW w:w="1620" w:type="dxa"/>
            <w:noWrap w:val="0"/>
            <w:vAlign w:val="center"/>
          </w:tcPr>
          <w:p>
            <w:pPr>
              <w:spacing w:line="360" w:lineRule="auto"/>
              <w:jc w:val="center"/>
              <w:rPr>
                <w:rFonts w:hint="eastAsia" w:ascii="宋体" w:hAnsi="宋体" w:eastAsia="宋体" w:cs="宋体"/>
              </w:rPr>
            </w:pPr>
          </w:p>
        </w:tc>
        <w:tc>
          <w:tcPr>
            <w:tcW w:w="1550" w:type="dxa"/>
            <w:noWrap w:val="0"/>
            <w:vAlign w:val="center"/>
          </w:tcPr>
          <w:p>
            <w:pPr>
              <w:spacing w:line="360" w:lineRule="auto"/>
              <w:jc w:val="center"/>
              <w:rPr>
                <w:rFonts w:hint="eastAsia" w:ascii="宋体" w:hAnsi="宋体" w:eastAsia="宋体" w:cs="宋体"/>
              </w:rPr>
            </w:pPr>
          </w:p>
        </w:tc>
        <w:tc>
          <w:tcPr>
            <w:tcW w:w="1510" w:type="dxa"/>
            <w:noWrap w:val="0"/>
            <w:vAlign w:val="center"/>
          </w:tcPr>
          <w:p>
            <w:pPr>
              <w:spacing w:line="360" w:lineRule="auto"/>
              <w:jc w:val="center"/>
              <w:rPr>
                <w:rFonts w:hint="eastAsia" w:ascii="宋体" w:hAnsi="宋体" w:eastAsia="宋体" w:cs="宋体"/>
              </w:rPr>
            </w:pPr>
          </w:p>
        </w:tc>
        <w:tc>
          <w:tcPr>
            <w:tcW w:w="1286" w:type="dxa"/>
            <w:noWrap w:val="0"/>
            <w:vAlign w:val="center"/>
          </w:tcPr>
          <w:p>
            <w:pPr>
              <w:spacing w:line="360" w:lineRule="auto"/>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116" w:type="dxa"/>
            <w:noWrap w:val="0"/>
            <w:vAlign w:val="center"/>
          </w:tcPr>
          <w:p>
            <w:pPr>
              <w:spacing w:line="360" w:lineRule="auto"/>
              <w:jc w:val="center"/>
              <w:rPr>
                <w:rFonts w:hint="eastAsia" w:ascii="宋体" w:hAnsi="宋体" w:eastAsia="宋体" w:cs="宋体"/>
              </w:rPr>
            </w:pPr>
          </w:p>
        </w:tc>
        <w:tc>
          <w:tcPr>
            <w:tcW w:w="1440" w:type="dxa"/>
            <w:noWrap w:val="0"/>
            <w:vAlign w:val="top"/>
          </w:tcPr>
          <w:p>
            <w:pPr>
              <w:spacing w:line="360" w:lineRule="auto"/>
              <w:jc w:val="center"/>
              <w:rPr>
                <w:rFonts w:hint="eastAsia" w:ascii="宋体" w:hAnsi="宋体" w:eastAsia="宋体" w:cs="宋体"/>
              </w:rPr>
            </w:pPr>
          </w:p>
        </w:tc>
        <w:tc>
          <w:tcPr>
            <w:tcW w:w="2708" w:type="dxa"/>
            <w:noWrap w:val="0"/>
            <w:vAlign w:val="center"/>
          </w:tcPr>
          <w:p>
            <w:pPr>
              <w:spacing w:line="360" w:lineRule="auto"/>
              <w:jc w:val="center"/>
              <w:rPr>
                <w:rFonts w:hint="eastAsia" w:ascii="宋体" w:hAnsi="宋体" w:eastAsia="宋体" w:cs="宋体"/>
              </w:rPr>
            </w:pPr>
          </w:p>
        </w:tc>
        <w:tc>
          <w:tcPr>
            <w:tcW w:w="1432" w:type="dxa"/>
            <w:noWrap w:val="0"/>
            <w:vAlign w:val="center"/>
          </w:tcPr>
          <w:p>
            <w:pPr>
              <w:spacing w:line="360" w:lineRule="auto"/>
              <w:jc w:val="center"/>
              <w:rPr>
                <w:rFonts w:hint="eastAsia" w:ascii="宋体" w:hAnsi="宋体" w:eastAsia="宋体" w:cs="宋体"/>
              </w:rPr>
            </w:pPr>
          </w:p>
        </w:tc>
        <w:tc>
          <w:tcPr>
            <w:tcW w:w="1800" w:type="dxa"/>
            <w:noWrap w:val="0"/>
            <w:vAlign w:val="center"/>
          </w:tcPr>
          <w:p>
            <w:pPr>
              <w:spacing w:line="360" w:lineRule="auto"/>
              <w:jc w:val="center"/>
              <w:rPr>
                <w:rFonts w:hint="eastAsia" w:ascii="宋体" w:hAnsi="宋体" w:eastAsia="宋体" w:cs="宋体"/>
              </w:rPr>
            </w:pPr>
          </w:p>
        </w:tc>
        <w:tc>
          <w:tcPr>
            <w:tcW w:w="900" w:type="dxa"/>
            <w:noWrap w:val="0"/>
            <w:vAlign w:val="center"/>
          </w:tcPr>
          <w:p>
            <w:pPr>
              <w:spacing w:line="360" w:lineRule="auto"/>
              <w:jc w:val="center"/>
              <w:rPr>
                <w:rFonts w:hint="eastAsia" w:ascii="宋体" w:hAnsi="宋体" w:eastAsia="宋体" w:cs="宋体"/>
              </w:rPr>
            </w:pPr>
          </w:p>
        </w:tc>
        <w:tc>
          <w:tcPr>
            <w:tcW w:w="720" w:type="dxa"/>
            <w:noWrap w:val="0"/>
            <w:vAlign w:val="center"/>
          </w:tcPr>
          <w:p>
            <w:pPr>
              <w:spacing w:line="360" w:lineRule="auto"/>
              <w:jc w:val="center"/>
              <w:rPr>
                <w:rFonts w:hint="eastAsia" w:ascii="宋体" w:hAnsi="宋体" w:eastAsia="宋体" w:cs="宋体"/>
              </w:rPr>
            </w:pPr>
          </w:p>
        </w:tc>
        <w:tc>
          <w:tcPr>
            <w:tcW w:w="1620" w:type="dxa"/>
            <w:noWrap w:val="0"/>
            <w:vAlign w:val="center"/>
          </w:tcPr>
          <w:p>
            <w:pPr>
              <w:spacing w:line="360" w:lineRule="auto"/>
              <w:jc w:val="center"/>
              <w:rPr>
                <w:rFonts w:hint="eastAsia" w:ascii="宋体" w:hAnsi="宋体" w:eastAsia="宋体" w:cs="宋体"/>
              </w:rPr>
            </w:pPr>
          </w:p>
        </w:tc>
        <w:tc>
          <w:tcPr>
            <w:tcW w:w="1550" w:type="dxa"/>
            <w:noWrap w:val="0"/>
            <w:vAlign w:val="center"/>
          </w:tcPr>
          <w:p>
            <w:pPr>
              <w:spacing w:line="360" w:lineRule="auto"/>
              <w:jc w:val="center"/>
              <w:rPr>
                <w:rFonts w:hint="eastAsia" w:ascii="宋体" w:hAnsi="宋体" w:eastAsia="宋体" w:cs="宋体"/>
              </w:rPr>
            </w:pPr>
          </w:p>
        </w:tc>
        <w:tc>
          <w:tcPr>
            <w:tcW w:w="1510" w:type="dxa"/>
            <w:noWrap w:val="0"/>
            <w:vAlign w:val="center"/>
          </w:tcPr>
          <w:p>
            <w:pPr>
              <w:spacing w:line="360" w:lineRule="auto"/>
              <w:jc w:val="center"/>
              <w:rPr>
                <w:rFonts w:hint="eastAsia" w:ascii="宋体" w:hAnsi="宋体" w:eastAsia="宋体" w:cs="宋体"/>
              </w:rPr>
            </w:pPr>
          </w:p>
        </w:tc>
        <w:tc>
          <w:tcPr>
            <w:tcW w:w="1286" w:type="dxa"/>
            <w:noWrap w:val="0"/>
            <w:vAlign w:val="center"/>
          </w:tcPr>
          <w:p>
            <w:pPr>
              <w:spacing w:line="360" w:lineRule="auto"/>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116" w:type="dxa"/>
            <w:noWrap w:val="0"/>
            <w:vAlign w:val="center"/>
          </w:tcPr>
          <w:p>
            <w:pPr>
              <w:spacing w:line="360" w:lineRule="auto"/>
              <w:jc w:val="center"/>
              <w:rPr>
                <w:rFonts w:hint="eastAsia" w:ascii="宋体" w:hAnsi="宋体" w:eastAsia="宋体" w:cs="宋体"/>
              </w:rPr>
            </w:pPr>
          </w:p>
        </w:tc>
        <w:tc>
          <w:tcPr>
            <w:tcW w:w="1440" w:type="dxa"/>
            <w:noWrap w:val="0"/>
            <w:vAlign w:val="top"/>
          </w:tcPr>
          <w:p>
            <w:pPr>
              <w:spacing w:line="360" w:lineRule="auto"/>
              <w:jc w:val="center"/>
              <w:rPr>
                <w:rFonts w:hint="eastAsia" w:ascii="宋体" w:hAnsi="宋体" w:eastAsia="宋体" w:cs="宋体"/>
              </w:rPr>
            </w:pPr>
          </w:p>
        </w:tc>
        <w:tc>
          <w:tcPr>
            <w:tcW w:w="2708" w:type="dxa"/>
            <w:noWrap w:val="0"/>
            <w:vAlign w:val="center"/>
          </w:tcPr>
          <w:p>
            <w:pPr>
              <w:spacing w:line="360" w:lineRule="auto"/>
              <w:jc w:val="center"/>
              <w:rPr>
                <w:rFonts w:hint="eastAsia" w:ascii="宋体" w:hAnsi="宋体" w:eastAsia="宋体" w:cs="宋体"/>
              </w:rPr>
            </w:pPr>
          </w:p>
        </w:tc>
        <w:tc>
          <w:tcPr>
            <w:tcW w:w="1432" w:type="dxa"/>
            <w:noWrap w:val="0"/>
            <w:vAlign w:val="center"/>
          </w:tcPr>
          <w:p>
            <w:pPr>
              <w:spacing w:line="360" w:lineRule="auto"/>
              <w:jc w:val="center"/>
              <w:rPr>
                <w:rFonts w:hint="eastAsia" w:ascii="宋体" w:hAnsi="宋体" w:eastAsia="宋体" w:cs="宋体"/>
              </w:rPr>
            </w:pPr>
          </w:p>
        </w:tc>
        <w:tc>
          <w:tcPr>
            <w:tcW w:w="1800" w:type="dxa"/>
            <w:noWrap w:val="0"/>
            <w:vAlign w:val="center"/>
          </w:tcPr>
          <w:p>
            <w:pPr>
              <w:spacing w:line="360" w:lineRule="auto"/>
              <w:jc w:val="center"/>
              <w:rPr>
                <w:rFonts w:hint="eastAsia" w:ascii="宋体" w:hAnsi="宋体" w:eastAsia="宋体" w:cs="宋体"/>
              </w:rPr>
            </w:pPr>
          </w:p>
        </w:tc>
        <w:tc>
          <w:tcPr>
            <w:tcW w:w="900" w:type="dxa"/>
            <w:noWrap w:val="0"/>
            <w:vAlign w:val="center"/>
          </w:tcPr>
          <w:p>
            <w:pPr>
              <w:spacing w:line="360" w:lineRule="auto"/>
              <w:jc w:val="center"/>
              <w:rPr>
                <w:rFonts w:hint="eastAsia" w:ascii="宋体" w:hAnsi="宋体" w:eastAsia="宋体" w:cs="宋体"/>
              </w:rPr>
            </w:pPr>
          </w:p>
        </w:tc>
        <w:tc>
          <w:tcPr>
            <w:tcW w:w="720" w:type="dxa"/>
            <w:noWrap w:val="0"/>
            <w:vAlign w:val="center"/>
          </w:tcPr>
          <w:p>
            <w:pPr>
              <w:spacing w:line="360" w:lineRule="auto"/>
              <w:jc w:val="center"/>
              <w:rPr>
                <w:rFonts w:hint="eastAsia" w:ascii="宋体" w:hAnsi="宋体" w:eastAsia="宋体" w:cs="宋体"/>
              </w:rPr>
            </w:pPr>
          </w:p>
        </w:tc>
        <w:tc>
          <w:tcPr>
            <w:tcW w:w="1620" w:type="dxa"/>
            <w:noWrap w:val="0"/>
            <w:vAlign w:val="center"/>
          </w:tcPr>
          <w:p>
            <w:pPr>
              <w:spacing w:line="360" w:lineRule="auto"/>
              <w:jc w:val="center"/>
              <w:rPr>
                <w:rFonts w:hint="eastAsia" w:ascii="宋体" w:hAnsi="宋体" w:eastAsia="宋体" w:cs="宋体"/>
              </w:rPr>
            </w:pPr>
          </w:p>
        </w:tc>
        <w:tc>
          <w:tcPr>
            <w:tcW w:w="1550" w:type="dxa"/>
            <w:noWrap w:val="0"/>
            <w:vAlign w:val="center"/>
          </w:tcPr>
          <w:p>
            <w:pPr>
              <w:spacing w:line="360" w:lineRule="auto"/>
              <w:jc w:val="center"/>
              <w:rPr>
                <w:rFonts w:hint="eastAsia" w:ascii="宋体" w:hAnsi="宋体" w:eastAsia="宋体" w:cs="宋体"/>
              </w:rPr>
            </w:pPr>
          </w:p>
        </w:tc>
        <w:tc>
          <w:tcPr>
            <w:tcW w:w="1510" w:type="dxa"/>
            <w:noWrap w:val="0"/>
            <w:vAlign w:val="center"/>
          </w:tcPr>
          <w:p>
            <w:pPr>
              <w:spacing w:line="360" w:lineRule="auto"/>
              <w:jc w:val="center"/>
              <w:rPr>
                <w:rFonts w:hint="eastAsia" w:ascii="宋体" w:hAnsi="宋体" w:eastAsia="宋体" w:cs="宋体"/>
              </w:rPr>
            </w:pPr>
          </w:p>
        </w:tc>
        <w:tc>
          <w:tcPr>
            <w:tcW w:w="1286" w:type="dxa"/>
            <w:noWrap w:val="0"/>
            <w:vAlign w:val="center"/>
          </w:tcPr>
          <w:p>
            <w:pPr>
              <w:spacing w:line="360" w:lineRule="auto"/>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116" w:type="dxa"/>
            <w:noWrap w:val="0"/>
            <w:vAlign w:val="center"/>
          </w:tcPr>
          <w:p>
            <w:pPr>
              <w:spacing w:line="360" w:lineRule="auto"/>
              <w:jc w:val="center"/>
              <w:rPr>
                <w:rFonts w:hint="eastAsia" w:ascii="宋体" w:hAnsi="宋体" w:eastAsia="宋体" w:cs="宋体"/>
              </w:rPr>
            </w:pPr>
          </w:p>
        </w:tc>
        <w:tc>
          <w:tcPr>
            <w:tcW w:w="1440" w:type="dxa"/>
            <w:noWrap w:val="0"/>
            <w:vAlign w:val="top"/>
          </w:tcPr>
          <w:p>
            <w:pPr>
              <w:spacing w:line="360" w:lineRule="auto"/>
              <w:jc w:val="center"/>
              <w:rPr>
                <w:rFonts w:hint="eastAsia" w:ascii="宋体" w:hAnsi="宋体" w:eastAsia="宋体" w:cs="宋体"/>
              </w:rPr>
            </w:pPr>
          </w:p>
        </w:tc>
        <w:tc>
          <w:tcPr>
            <w:tcW w:w="2708" w:type="dxa"/>
            <w:noWrap w:val="0"/>
            <w:vAlign w:val="center"/>
          </w:tcPr>
          <w:p>
            <w:pPr>
              <w:spacing w:line="360" w:lineRule="auto"/>
              <w:jc w:val="center"/>
              <w:rPr>
                <w:rFonts w:hint="eastAsia" w:ascii="宋体" w:hAnsi="宋体" w:eastAsia="宋体" w:cs="宋体"/>
              </w:rPr>
            </w:pPr>
          </w:p>
        </w:tc>
        <w:tc>
          <w:tcPr>
            <w:tcW w:w="1432" w:type="dxa"/>
            <w:noWrap w:val="0"/>
            <w:vAlign w:val="center"/>
          </w:tcPr>
          <w:p>
            <w:pPr>
              <w:spacing w:line="360" w:lineRule="auto"/>
              <w:jc w:val="center"/>
              <w:rPr>
                <w:rFonts w:hint="eastAsia" w:ascii="宋体" w:hAnsi="宋体" w:eastAsia="宋体" w:cs="宋体"/>
              </w:rPr>
            </w:pPr>
          </w:p>
        </w:tc>
        <w:tc>
          <w:tcPr>
            <w:tcW w:w="1800" w:type="dxa"/>
            <w:noWrap w:val="0"/>
            <w:vAlign w:val="center"/>
          </w:tcPr>
          <w:p>
            <w:pPr>
              <w:spacing w:line="360" w:lineRule="auto"/>
              <w:jc w:val="center"/>
              <w:rPr>
                <w:rFonts w:hint="eastAsia" w:ascii="宋体" w:hAnsi="宋体" w:eastAsia="宋体" w:cs="宋体"/>
              </w:rPr>
            </w:pPr>
          </w:p>
        </w:tc>
        <w:tc>
          <w:tcPr>
            <w:tcW w:w="900" w:type="dxa"/>
            <w:noWrap w:val="0"/>
            <w:vAlign w:val="center"/>
          </w:tcPr>
          <w:p>
            <w:pPr>
              <w:spacing w:line="360" w:lineRule="auto"/>
              <w:jc w:val="center"/>
              <w:rPr>
                <w:rFonts w:hint="eastAsia" w:ascii="宋体" w:hAnsi="宋体" w:eastAsia="宋体" w:cs="宋体"/>
              </w:rPr>
            </w:pPr>
          </w:p>
        </w:tc>
        <w:tc>
          <w:tcPr>
            <w:tcW w:w="720" w:type="dxa"/>
            <w:noWrap w:val="0"/>
            <w:vAlign w:val="center"/>
          </w:tcPr>
          <w:p>
            <w:pPr>
              <w:spacing w:line="360" w:lineRule="auto"/>
              <w:jc w:val="center"/>
              <w:rPr>
                <w:rFonts w:hint="eastAsia" w:ascii="宋体" w:hAnsi="宋体" w:eastAsia="宋体" w:cs="宋体"/>
              </w:rPr>
            </w:pPr>
          </w:p>
        </w:tc>
        <w:tc>
          <w:tcPr>
            <w:tcW w:w="1620" w:type="dxa"/>
            <w:noWrap w:val="0"/>
            <w:vAlign w:val="center"/>
          </w:tcPr>
          <w:p>
            <w:pPr>
              <w:spacing w:line="360" w:lineRule="auto"/>
              <w:jc w:val="center"/>
              <w:rPr>
                <w:rFonts w:hint="eastAsia" w:ascii="宋体" w:hAnsi="宋体" w:eastAsia="宋体" w:cs="宋体"/>
              </w:rPr>
            </w:pPr>
          </w:p>
        </w:tc>
        <w:tc>
          <w:tcPr>
            <w:tcW w:w="1550" w:type="dxa"/>
            <w:noWrap w:val="0"/>
            <w:vAlign w:val="center"/>
          </w:tcPr>
          <w:p>
            <w:pPr>
              <w:spacing w:line="360" w:lineRule="auto"/>
              <w:jc w:val="center"/>
              <w:rPr>
                <w:rFonts w:hint="eastAsia" w:ascii="宋体" w:hAnsi="宋体" w:eastAsia="宋体" w:cs="宋体"/>
              </w:rPr>
            </w:pPr>
          </w:p>
        </w:tc>
        <w:tc>
          <w:tcPr>
            <w:tcW w:w="1510" w:type="dxa"/>
            <w:noWrap w:val="0"/>
            <w:vAlign w:val="center"/>
          </w:tcPr>
          <w:p>
            <w:pPr>
              <w:spacing w:line="360" w:lineRule="auto"/>
              <w:jc w:val="center"/>
              <w:rPr>
                <w:rFonts w:hint="eastAsia" w:ascii="宋体" w:hAnsi="宋体" w:eastAsia="宋体" w:cs="宋体"/>
              </w:rPr>
            </w:pPr>
          </w:p>
        </w:tc>
        <w:tc>
          <w:tcPr>
            <w:tcW w:w="1286" w:type="dxa"/>
            <w:noWrap w:val="0"/>
            <w:vAlign w:val="center"/>
          </w:tcPr>
          <w:p>
            <w:pPr>
              <w:spacing w:line="360" w:lineRule="auto"/>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116" w:type="dxa"/>
            <w:noWrap w:val="0"/>
            <w:vAlign w:val="center"/>
          </w:tcPr>
          <w:p>
            <w:pPr>
              <w:spacing w:line="360" w:lineRule="auto"/>
              <w:jc w:val="center"/>
              <w:rPr>
                <w:rFonts w:hint="eastAsia" w:ascii="宋体" w:hAnsi="宋体" w:eastAsia="宋体" w:cs="宋体"/>
              </w:rPr>
            </w:pPr>
          </w:p>
        </w:tc>
        <w:tc>
          <w:tcPr>
            <w:tcW w:w="1440" w:type="dxa"/>
            <w:noWrap w:val="0"/>
            <w:vAlign w:val="top"/>
          </w:tcPr>
          <w:p>
            <w:pPr>
              <w:spacing w:line="360" w:lineRule="auto"/>
              <w:jc w:val="center"/>
              <w:rPr>
                <w:rFonts w:hint="eastAsia" w:ascii="宋体" w:hAnsi="宋体" w:eastAsia="宋体" w:cs="宋体"/>
              </w:rPr>
            </w:pPr>
          </w:p>
        </w:tc>
        <w:tc>
          <w:tcPr>
            <w:tcW w:w="2708" w:type="dxa"/>
            <w:noWrap w:val="0"/>
            <w:vAlign w:val="center"/>
          </w:tcPr>
          <w:p>
            <w:pPr>
              <w:spacing w:line="360" w:lineRule="auto"/>
              <w:jc w:val="center"/>
              <w:rPr>
                <w:rFonts w:hint="eastAsia" w:ascii="宋体" w:hAnsi="宋体" w:eastAsia="宋体" w:cs="宋体"/>
              </w:rPr>
            </w:pPr>
          </w:p>
        </w:tc>
        <w:tc>
          <w:tcPr>
            <w:tcW w:w="1432" w:type="dxa"/>
            <w:noWrap w:val="0"/>
            <w:vAlign w:val="center"/>
          </w:tcPr>
          <w:p>
            <w:pPr>
              <w:spacing w:line="360" w:lineRule="auto"/>
              <w:jc w:val="center"/>
              <w:rPr>
                <w:rFonts w:hint="eastAsia" w:ascii="宋体" w:hAnsi="宋体" w:eastAsia="宋体" w:cs="宋体"/>
              </w:rPr>
            </w:pPr>
          </w:p>
        </w:tc>
        <w:tc>
          <w:tcPr>
            <w:tcW w:w="1800" w:type="dxa"/>
            <w:noWrap w:val="0"/>
            <w:vAlign w:val="center"/>
          </w:tcPr>
          <w:p>
            <w:pPr>
              <w:spacing w:line="360" w:lineRule="auto"/>
              <w:jc w:val="center"/>
              <w:rPr>
                <w:rFonts w:hint="eastAsia" w:ascii="宋体" w:hAnsi="宋体" w:eastAsia="宋体" w:cs="宋体"/>
              </w:rPr>
            </w:pPr>
          </w:p>
        </w:tc>
        <w:tc>
          <w:tcPr>
            <w:tcW w:w="900" w:type="dxa"/>
            <w:noWrap w:val="0"/>
            <w:vAlign w:val="center"/>
          </w:tcPr>
          <w:p>
            <w:pPr>
              <w:spacing w:line="360" w:lineRule="auto"/>
              <w:jc w:val="center"/>
              <w:rPr>
                <w:rFonts w:hint="eastAsia" w:ascii="宋体" w:hAnsi="宋体" w:eastAsia="宋体" w:cs="宋体"/>
              </w:rPr>
            </w:pPr>
          </w:p>
        </w:tc>
        <w:tc>
          <w:tcPr>
            <w:tcW w:w="720" w:type="dxa"/>
            <w:noWrap w:val="0"/>
            <w:vAlign w:val="center"/>
          </w:tcPr>
          <w:p>
            <w:pPr>
              <w:spacing w:line="360" w:lineRule="auto"/>
              <w:jc w:val="center"/>
              <w:rPr>
                <w:rFonts w:hint="eastAsia" w:ascii="宋体" w:hAnsi="宋体" w:eastAsia="宋体" w:cs="宋体"/>
              </w:rPr>
            </w:pPr>
          </w:p>
        </w:tc>
        <w:tc>
          <w:tcPr>
            <w:tcW w:w="1620" w:type="dxa"/>
            <w:noWrap w:val="0"/>
            <w:vAlign w:val="center"/>
          </w:tcPr>
          <w:p>
            <w:pPr>
              <w:spacing w:line="360" w:lineRule="auto"/>
              <w:jc w:val="center"/>
              <w:rPr>
                <w:rFonts w:hint="eastAsia" w:ascii="宋体" w:hAnsi="宋体" w:eastAsia="宋体" w:cs="宋体"/>
              </w:rPr>
            </w:pPr>
          </w:p>
        </w:tc>
        <w:tc>
          <w:tcPr>
            <w:tcW w:w="1550" w:type="dxa"/>
            <w:noWrap w:val="0"/>
            <w:vAlign w:val="center"/>
          </w:tcPr>
          <w:p>
            <w:pPr>
              <w:spacing w:line="360" w:lineRule="auto"/>
              <w:jc w:val="center"/>
              <w:rPr>
                <w:rFonts w:hint="eastAsia" w:ascii="宋体" w:hAnsi="宋体" w:eastAsia="宋体" w:cs="宋体"/>
              </w:rPr>
            </w:pPr>
          </w:p>
        </w:tc>
        <w:tc>
          <w:tcPr>
            <w:tcW w:w="1510" w:type="dxa"/>
            <w:noWrap w:val="0"/>
            <w:vAlign w:val="center"/>
          </w:tcPr>
          <w:p>
            <w:pPr>
              <w:spacing w:line="360" w:lineRule="auto"/>
              <w:jc w:val="center"/>
              <w:rPr>
                <w:rFonts w:hint="eastAsia" w:ascii="宋体" w:hAnsi="宋体" w:eastAsia="宋体" w:cs="宋体"/>
              </w:rPr>
            </w:pPr>
          </w:p>
        </w:tc>
        <w:tc>
          <w:tcPr>
            <w:tcW w:w="1286" w:type="dxa"/>
            <w:noWrap w:val="0"/>
            <w:vAlign w:val="center"/>
          </w:tcPr>
          <w:p>
            <w:pPr>
              <w:spacing w:line="360" w:lineRule="auto"/>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116" w:type="dxa"/>
            <w:noWrap w:val="0"/>
            <w:vAlign w:val="center"/>
          </w:tcPr>
          <w:p>
            <w:pPr>
              <w:spacing w:line="360" w:lineRule="auto"/>
              <w:jc w:val="center"/>
              <w:rPr>
                <w:rFonts w:hint="eastAsia" w:ascii="宋体" w:hAnsi="宋体" w:eastAsia="宋体" w:cs="宋体"/>
              </w:rPr>
            </w:pPr>
          </w:p>
        </w:tc>
        <w:tc>
          <w:tcPr>
            <w:tcW w:w="1440" w:type="dxa"/>
            <w:noWrap w:val="0"/>
            <w:vAlign w:val="top"/>
          </w:tcPr>
          <w:p>
            <w:pPr>
              <w:spacing w:line="360" w:lineRule="auto"/>
              <w:jc w:val="center"/>
              <w:rPr>
                <w:rFonts w:hint="eastAsia" w:ascii="宋体" w:hAnsi="宋体" w:eastAsia="宋体" w:cs="宋体"/>
              </w:rPr>
            </w:pPr>
          </w:p>
        </w:tc>
        <w:tc>
          <w:tcPr>
            <w:tcW w:w="2708" w:type="dxa"/>
            <w:noWrap w:val="0"/>
            <w:vAlign w:val="center"/>
          </w:tcPr>
          <w:p>
            <w:pPr>
              <w:spacing w:line="360" w:lineRule="auto"/>
              <w:jc w:val="center"/>
              <w:rPr>
                <w:rFonts w:hint="eastAsia" w:ascii="宋体" w:hAnsi="宋体" w:eastAsia="宋体" w:cs="宋体"/>
              </w:rPr>
            </w:pPr>
          </w:p>
        </w:tc>
        <w:tc>
          <w:tcPr>
            <w:tcW w:w="1432" w:type="dxa"/>
            <w:noWrap w:val="0"/>
            <w:vAlign w:val="center"/>
          </w:tcPr>
          <w:p>
            <w:pPr>
              <w:spacing w:line="360" w:lineRule="auto"/>
              <w:jc w:val="center"/>
              <w:rPr>
                <w:rFonts w:hint="eastAsia" w:ascii="宋体" w:hAnsi="宋体" w:eastAsia="宋体" w:cs="宋体"/>
              </w:rPr>
            </w:pPr>
          </w:p>
        </w:tc>
        <w:tc>
          <w:tcPr>
            <w:tcW w:w="1800" w:type="dxa"/>
            <w:noWrap w:val="0"/>
            <w:vAlign w:val="center"/>
          </w:tcPr>
          <w:p>
            <w:pPr>
              <w:spacing w:line="360" w:lineRule="auto"/>
              <w:jc w:val="center"/>
              <w:rPr>
                <w:rFonts w:hint="eastAsia" w:ascii="宋体" w:hAnsi="宋体" w:eastAsia="宋体" w:cs="宋体"/>
              </w:rPr>
            </w:pPr>
          </w:p>
        </w:tc>
        <w:tc>
          <w:tcPr>
            <w:tcW w:w="900" w:type="dxa"/>
            <w:noWrap w:val="0"/>
            <w:vAlign w:val="center"/>
          </w:tcPr>
          <w:p>
            <w:pPr>
              <w:spacing w:line="360" w:lineRule="auto"/>
              <w:jc w:val="center"/>
              <w:rPr>
                <w:rFonts w:hint="eastAsia" w:ascii="宋体" w:hAnsi="宋体" w:eastAsia="宋体" w:cs="宋体"/>
              </w:rPr>
            </w:pPr>
          </w:p>
        </w:tc>
        <w:tc>
          <w:tcPr>
            <w:tcW w:w="720" w:type="dxa"/>
            <w:noWrap w:val="0"/>
            <w:vAlign w:val="center"/>
          </w:tcPr>
          <w:p>
            <w:pPr>
              <w:spacing w:line="360" w:lineRule="auto"/>
              <w:jc w:val="center"/>
              <w:rPr>
                <w:rFonts w:hint="eastAsia" w:ascii="宋体" w:hAnsi="宋体" w:eastAsia="宋体" w:cs="宋体"/>
              </w:rPr>
            </w:pPr>
          </w:p>
        </w:tc>
        <w:tc>
          <w:tcPr>
            <w:tcW w:w="1620" w:type="dxa"/>
            <w:noWrap w:val="0"/>
            <w:vAlign w:val="center"/>
          </w:tcPr>
          <w:p>
            <w:pPr>
              <w:spacing w:line="360" w:lineRule="auto"/>
              <w:jc w:val="center"/>
              <w:rPr>
                <w:rFonts w:hint="eastAsia" w:ascii="宋体" w:hAnsi="宋体" w:eastAsia="宋体" w:cs="宋体"/>
              </w:rPr>
            </w:pPr>
          </w:p>
        </w:tc>
        <w:tc>
          <w:tcPr>
            <w:tcW w:w="1550" w:type="dxa"/>
            <w:noWrap w:val="0"/>
            <w:vAlign w:val="center"/>
          </w:tcPr>
          <w:p>
            <w:pPr>
              <w:spacing w:line="360" w:lineRule="auto"/>
              <w:jc w:val="center"/>
              <w:rPr>
                <w:rFonts w:hint="eastAsia" w:ascii="宋体" w:hAnsi="宋体" w:eastAsia="宋体" w:cs="宋体"/>
              </w:rPr>
            </w:pPr>
          </w:p>
        </w:tc>
        <w:tc>
          <w:tcPr>
            <w:tcW w:w="1510" w:type="dxa"/>
            <w:noWrap w:val="0"/>
            <w:vAlign w:val="center"/>
          </w:tcPr>
          <w:p>
            <w:pPr>
              <w:spacing w:line="360" w:lineRule="auto"/>
              <w:jc w:val="center"/>
              <w:rPr>
                <w:rFonts w:hint="eastAsia" w:ascii="宋体" w:hAnsi="宋体" w:eastAsia="宋体" w:cs="宋体"/>
              </w:rPr>
            </w:pPr>
          </w:p>
        </w:tc>
        <w:tc>
          <w:tcPr>
            <w:tcW w:w="1286" w:type="dxa"/>
            <w:noWrap w:val="0"/>
            <w:vAlign w:val="center"/>
          </w:tcPr>
          <w:p>
            <w:pPr>
              <w:spacing w:line="360" w:lineRule="auto"/>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116" w:type="dxa"/>
            <w:noWrap w:val="0"/>
            <w:vAlign w:val="center"/>
          </w:tcPr>
          <w:p>
            <w:pPr>
              <w:spacing w:line="360" w:lineRule="auto"/>
              <w:jc w:val="center"/>
              <w:rPr>
                <w:rFonts w:hint="eastAsia" w:ascii="宋体" w:hAnsi="宋体" w:eastAsia="宋体" w:cs="宋体"/>
              </w:rPr>
            </w:pPr>
          </w:p>
        </w:tc>
        <w:tc>
          <w:tcPr>
            <w:tcW w:w="1440" w:type="dxa"/>
            <w:noWrap w:val="0"/>
            <w:vAlign w:val="top"/>
          </w:tcPr>
          <w:p>
            <w:pPr>
              <w:spacing w:line="360" w:lineRule="auto"/>
              <w:jc w:val="center"/>
              <w:rPr>
                <w:rFonts w:hint="eastAsia" w:ascii="宋体" w:hAnsi="宋体" w:eastAsia="宋体" w:cs="宋体"/>
              </w:rPr>
            </w:pPr>
          </w:p>
        </w:tc>
        <w:tc>
          <w:tcPr>
            <w:tcW w:w="2708" w:type="dxa"/>
            <w:noWrap w:val="0"/>
            <w:vAlign w:val="center"/>
          </w:tcPr>
          <w:p>
            <w:pPr>
              <w:spacing w:line="360" w:lineRule="auto"/>
              <w:jc w:val="center"/>
              <w:rPr>
                <w:rFonts w:hint="eastAsia" w:ascii="宋体" w:hAnsi="宋体" w:eastAsia="宋体" w:cs="宋体"/>
              </w:rPr>
            </w:pPr>
          </w:p>
        </w:tc>
        <w:tc>
          <w:tcPr>
            <w:tcW w:w="1432" w:type="dxa"/>
            <w:noWrap w:val="0"/>
            <w:vAlign w:val="center"/>
          </w:tcPr>
          <w:p>
            <w:pPr>
              <w:spacing w:line="360" w:lineRule="auto"/>
              <w:jc w:val="center"/>
              <w:rPr>
                <w:rFonts w:hint="eastAsia" w:ascii="宋体" w:hAnsi="宋体" w:eastAsia="宋体" w:cs="宋体"/>
              </w:rPr>
            </w:pPr>
          </w:p>
        </w:tc>
        <w:tc>
          <w:tcPr>
            <w:tcW w:w="1800" w:type="dxa"/>
            <w:noWrap w:val="0"/>
            <w:vAlign w:val="center"/>
          </w:tcPr>
          <w:p>
            <w:pPr>
              <w:spacing w:line="360" w:lineRule="auto"/>
              <w:jc w:val="center"/>
              <w:rPr>
                <w:rFonts w:hint="eastAsia" w:ascii="宋体" w:hAnsi="宋体" w:eastAsia="宋体" w:cs="宋体"/>
              </w:rPr>
            </w:pPr>
          </w:p>
        </w:tc>
        <w:tc>
          <w:tcPr>
            <w:tcW w:w="900" w:type="dxa"/>
            <w:noWrap w:val="0"/>
            <w:vAlign w:val="center"/>
          </w:tcPr>
          <w:p>
            <w:pPr>
              <w:spacing w:line="360" w:lineRule="auto"/>
              <w:jc w:val="center"/>
              <w:rPr>
                <w:rFonts w:hint="eastAsia" w:ascii="宋体" w:hAnsi="宋体" w:eastAsia="宋体" w:cs="宋体"/>
              </w:rPr>
            </w:pPr>
          </w:p>
        </w:tc>
        <w:tc>
          <w:tcPr>
            <w:tcW w:w="720" w:type="dxa"/>
            <w:noWrap w:val="0"/>
            <w:vAlign w:val="center"/>
          </w:tcPr>
          <w:p>
            <w:pPr>
              <w:spacing w:line="360" w:lineRule="auto"/>
              <w:jc w:val="center"/>
              <w:rPr>
                <w:rFonts w:hint="eastAsia" w:ascii="宋体" w:hAnsi="宋体" w:eastAsia="宋体" w:cs="宋体"/>
              </w:rPr>
            </w:pPr>
          </w:p>
        </w:tc>
        <w:tc>
          <w:tcPr>
            <w:tcW w:w="1620" w:type="dxa"/>
            <w:noWrap w:val="0"/>
            <w:vAlign w:val="center"/>
          </w:tcPr>
          <w:p>
            <w:pPr>
              <w:spacing w:line="360" w:lineRule="auto"/>
              <w:jc w:val="center"/>
              <w:rPr>
                <w:rFonts w:hint="eastAsia" w:ascii="宋体" w:hAnsi="宋体" w:eastAsia="宋体" w:cs="宋体"/>
              </w:rPr>
            </w:pPr>
          </w:p>
        </w:tc>
        <w:tc>
          <w:tcPr>
            <w:tcW w:w="1550" w:type="dxa"/>
            <w:noWrap w:val="0"/>
            <w:vAlign w:val="center"/>
          </w:tcPr>
          <w:p>
            <w:pPr>
              <w:spacing w:line="360" w:lineRule="auto"/>
              <w:jc w:val="center"/>
              <w:rPr>
                <w:rFonts w:hint="eastAsia" w:ascii="宋体" w:hAnsi="宋体" w:eastAsia="宋体" w:cs="宋体"/>
              </w:rPr>
            </w:pPr>
          </w:p>
        </w:tc>
        <w:tc>
          <w:tcPr>
            <w:tcW w:w="1510" w:type="dxa"/>
            <w:noWrap w:val="0"/>
            <w:vAlign w:val="center"/>
          </w:tcPr>
          <w:p>
            <w:pPr>
              <w:spacing w:line="360" w:lineRule="auto"/>
              <w:jc w:val="center"/>
              <w:rPr>
                <w:rFonts w:hint="eastAsia" w:ascii="宋体" w:hAnsi="宋体" w:eastAsia="宋体" w:cs="宋体"/>
              </w:rPr>
            </w:pPr>
          </w:p>
        </w:tc>
        <w:tc>
          <w:tcPr>
            <w:tcW w:w="1286" w:type="dxa"/>
            <w:noWrap w:val="0"/>
            <w:vAlign w:val="center"/>
          </w:tcPr>
          <w:p>
            <w:pPr>
              <w:spacing w:line="360" w:lineRule="auto"/>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116" w:type="dxa"/>
            <w:noWrap w:val="0"/>
            <w:vAlign w:val="center"/>
          </w:tcPr>
          <w:p>
            <w:pPr>
              <w:spacing w:line="360" w:lineRule="auto"/>
              <w:jc w:val="center"/>
              <w:rPr>
                <w:rFonts w:hint="eastAsia" w:ascii="宋体" w:hAnsi="宋体" w:eastAsia="宋体" w:cs="宋体"/>
              </w:rPr>
            </w:pPr>
          </w:p>
        </w:tc>
        <w:tc>
          <w:tcPr>
            <w:tcW w:w="1440" w:type="dxa"/>
            <w:noWrap w:val="0"/>
            <w:vAlign w:val="top"/>
          </w:tcPr>
          <w:p>
            <w:pPr>
              <w:spacing w:line="360" w:lineRule="auto"/>
              <w:jc w:val="center"/>
              <w:rPr>
                <w:rFonts w:hint="eastAsia" w:ascii="宋体" w:hAnsi="宋体" w:eastAsia="宋体" w:cs="宋体"/>
              </w:rPr>
            </w:pPr>
          </w:p>
        </w:tc>
        <w:tc>
          <w:tcPr>
            <w:tcW w:w="2708" w:type="dxa"/>
            <w:noWrap w:val="0"/>
            <w:vAlign w:val="center"/>
          </w:tcPr>
          <w:p>
            <w:pPr>
              <w:spacing w:line="360" w:lineRule="auto"/>
              <w:jc w:val="center"/>
              <w:rPr>
                <w:rFonts w:hint="eastAsia" w:ascii="宋体" w:hAnsi="宋体" w:eastAsia="宋体" w:cs="宋体"/>
              </w:rPr>
            </w:pPr>
          </w:p>
        </w:tc>
        <w:tc>
          <w:tcPr>
            <w:tcW w:w="1432" w:type="dxa"/>
            <w:noWrap w:val="0"/>
            <w:vAlign w:val="center"/>
          </w:tcPr>
          <w:p>
            <w:pPr>
              <w:spacing w:line="360" w:lineRule="auto"/>
              <w:jc w:val="center"/>
              <w:rPr>
                <w:rFonts w:hint="eastAsia" w:ascii="宋体" w:hAnsi="宋体" w:eastAsia="宋体" w:cs="宋体"/>
              </w:rPr>
            </w:pPr>
          </w:p>
        </w:tc>
        <w:tc>
          <w:tcPr>
            <w:tcW w:w="1800" w:type="dxa"/>
            <w:noWrap w:val="0"/>
            <w:vAlign w:val="center"/>
          </w:tcPr>
          <w:p>
            <w:pPr>
              <w:spacing w:line="360" w:lineRule="auto"/>
              <w:jc w:val="center"/>
              <w:rPr>
                <w:rFonts w:hint="eastAsia" w:ascii="宋体" w:hAnsi="宋体" w:eastAsia="宋体" w:cs="宋体"/>
              </w:rPr>
            </w:pPr>
          </w:p>
        </w:tc>
        <w:tc>
          <w:tcPr>
            <w:tcW w:w="900" w:type="dxa"/>
            <w:noWrap w:val="0"/>
            <w:vAlign w:val="center"/>
          </w:tcPr>
          <w:p>
            <w:pPr>
              <w:spacing w:line="360" w:lineRule="auto"/>
              <w:jc w:val="center"/>
              <w:rPr>
                <w:rFonts w:hint="eastAsia" w:ascii="宋体" w:hAnsi="宋体" w:eastAsia="宋体" w:cs="宋体"/>
              </w:rPr>
            </w:pPr>
          </w:p>
        </w:tc>
        <w:tc>
          <w:tcPr>
            <w:tcW w:w="720" w:type="dxa"/>
            <w:noWrap w:val="0"/>
            <w:vAlign w:val="center"/>
          </w:tcPr>
          <w:p>
            <w:pPr>
              <w:spacing w:line="360" w:lineRule="auto"/>
              <w:jc w:val="center"/>
              <w:rPr>
                <w:rFonts w:hint="eastAsia" w:ascii="宋体" w:hAnsi="宋体" w:eastAsia="宋体" w:cs="宋体"/>
              </w:rPr>
            </w:pPr>
          </w:p>
        </w:tc>
        <w:tc>
          <w:tcPr>
            <w:tcW w:w="1620" w:type="dxa"/>
            <w:noWrap w:val="0"/>
            <w:vAlign w:val="center"/>
          </w:tcPr>
          <w:p>
            <w:pPr>
              <w:spacing w:line="360" w:lineRule="auto"/>
              <w:jc w:val="center"/>
              <w:rPr>
                <w:rFonts w:hint="eastAsia" w:ascii="宋体" w:hAnsi="宋体" w:eastAsia="宋体" w:cs="宋体"/>
              </w:rPr>
            </w:pPr>
          </w:p>
        </w:tc>
        <w:tc>
          <w:tcPr>
            <w:tcW w:w="1550" w:type="dxa"/>
            <w:noWrap w:val="0"/>
            <w:vAlign w:val="center"/>
          </w:tcPr>
          <w:p>
            <w:pPr>
              <w:spacing w:line="360" w:lineRule="auto"/>
              <w:jc w:val="center"/>
              <w:rPr>
                <w:rFonts w:hint="eastAsia" w:ascii="宋体" w:hAnsi="宋体" w:eastAsia="宋体" w:cs="宋体"/>
              </w:rPr>
            </w:pPr>
          </w:p>
        </w:tc>
        <w:tc>
          <w:tcPr>
            <w:tcW w:w="1510" w:type="dxa"/>
            <w:noWrap w:val="0"/>
            <w:vAlign w:val="center"/>
          </w:tcPr>
          <w:p>
            <w:pPr>
              <w:spacing w:line="360" w:lineRule="auto"/>
              <w:jc w:val="center"/>
              <w:rPr>
                <w:rFonts w:hint="eastAsia" w:ascii="宋体" w:hAnsi="宋体" w:eastAsia="宋体" w:cs="宋体"/>
              </w:rPr>
            </w:pPr>
          </w:p>
        </w:tc>
        <w:tc>
          <w:tcPr>
            <w:tcW w:w="1286" w:type="dxa"/>
            <w:noWrap w:val="0"/>
            <w:vAlign w:val="center"/>
          </w:tcPr>
          <w:p>
            <w:pPr>
              <w:spacing w:line="360" w:lineRule="auto"/>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116" w:type="dxa"/>
            <w:noWrap w:val="0"/>
            <w:vAlign w:val="center"/>
          </w:tcPr>
          <w:p>
            <w:pPr>
              <w:spacing w:line="360" w:lineRule="auto"/>
              <w:jc w:val="center"/>
              <w:rPr>
                <w:rFonts w:hint="eastAsia" w:ascii="宋体" w:hAnsi="宋体" w:eastAsia="宋体" w:cs="宋体"/>
              </w:rPr>
            </w:pPr>
          </w:p>
        </w:tc>
        <w:tc>
          <w:tcPr>
            <w:tcW w:w="1440" w:type="dxa"/>
            <w:noWrap w:val="0"/>
            <w:vAlign w:val="top"/>
          </w:tcPr>
          <w:p>
            <w:pPr>
              <w:spacing w:line="360" w:lineRule="auto"/>
              <w:jc w:val="center"/>
              <w:rPr>
                <w:rFonts w:hint="eastAsia" w:ascii="宋体" w:hAnsi="宋体" w:eastAsia="宋体" w:cs="宋体"/>
              </w:rPr>
            </w:pPr>
          </w:p>
        </w:tc>
        <w:tc>
          <w:tcPr>
            <w:tcW w:w="2708" w:type="dxa"/>
            <w:noWrap w:val="0"/>
            <w:vAlign w:val="center"/>
          </w:tcPr>
          <w:p>
            <w:pPr>
              <w:spacing w:line="360" w:lineRule="auto"/>
              <w:jc w:val="center"/>
              <w:rPr>
                <w:rFonts w:hint="eastAsia" w:ascii="宋体" w:hAnsi="宋体" w:eastAsia="宋体" w:cs="宋体"/>
              </w:rPr>
            </w:pPr>
          </w:p>
        </w:tc>
        <w:tc>
          <w:tcPr>
            <w:tcW w:w="1432" w:type="dxa"/>
            <w:noWrap w:val="0"/>
            <w:vAlign w:val="center"/>
          </w:tcPr>
          <w:p>
            <w:pPr>
              <w:spacing w:line="360" w:lineRule="auto"/>
              <w:jc w:val="center"/>
              <w:rPr>
                <w:rFonts w:hint="eastAsia" w:ascii="宋体" w:hAnsi="宋体" w:eastAsia="宋体" w:cs="宋体"/>
              </w:rPr>
            </w:pPr>
          </w:p>
        </w:tc>
        <w:tc>
          <w:tcPr>
            <w:tcW w:w="1800" w:type="dxa"/>
            <w:noWrap w:val="0"/>
            <w:vAlign w:val="center"/>
          </w:tcPr>
          <w:p>
            <w:pPr>
              <w:spacing w:line="360" w:lineRule="auto"/>
              <w:jc w:val="center"/>
              <w:rPr>
                <w:rFonts w:hint="eastAsia" w:ascii="宋体" w:hAnsi="宋体" w:eastAsia="宋体" w:cs="宋体"/>
              </w:rPr>
            </w:pPr>
          </w:p>
        </w:tc>
        <w:tc>
          <w:tcPr>
            <w:tcW w:w="900" w:type="dxa"/>
            <w:noWrap w:val="0"/>
            <w:vAlign w:val="center"/>
          </w:tcPr>
          <w:p>
            <w:pPr>
              <w:spacing w:line="360" w:lineRule="auto"/>
              <w:jc w:val="center"/>
              <w:rPr>
                <w:rFonts w:hint="eastAsia" w:ascii="宋体" w:hAnsi="宋体" w:eastAsia="宋体" w:cs="宋体"/>
              </w:rPr>
            </w:pPr>
          </w:p>
        </w:tc>
        <w:tc>
          <w:tcPr>
            <w:tcW w:w="720" w:type="dxa"/>
            <w:noWrap w:val="0"/>
            <w:vAlign w:val="center"/>
          </w:tcPr>
          <w:p>
            <w:pPr>
              <w:spacing w:line="360" w:lineRule="auto"/>
              <w:jc w:val="center"/>
              <w:rPr>
                <w:rFonts w:hint="eastAsia" w:ascii="宋体" w:hAnsi="宋体" w:eastAsia="宋体" w:cs="宋体"/>
              </w:rPr>
            </w:pPr>
          </w:p>
        </w:tc>
        <w:tc>
          <w:tcPr>
            <w:tcW w:w="1620" w:type="dxa"/>
            <w:noWrap w:val="0"/>
            <w:vAlign w:val="center"/>
          </w:tcPr>
          <w:p>
            <w:pPr>
              <w:spacing w:line="360" w:lineRule="auto"/>
              <w:jc w:val="center"/>
              <w:rPr>
                <w:rFonts w:hint="eastAsia" w:ascii="宋体" w:hAnsi="宋体" w:eastAsia="宋体" w:cs="宋体"/>
              </w:rPr>
            </w:pPr>
          </w:p>
        </w:tc>
        <w:tc>
          <w:tcPr>
            <w:tcW w:w="1550" w:type="dxa"/>
            <w:noWrap w:val="0"/>
            <w:vAlign w:val="center"/>
          </w:tcPr>
          <w:p>
            <w:pPr>
              <w:spacing w:line="360" w:lineRule="auto"/>
              <w:jc w:val="center"/>
              <w:rPr>
                <w:rFonts w:hint="eastAsia" w:ascii="宋体" w:hAnsi="宋体" w:eastAsia="宋体" w:cs="宋体"/>
              </w:rPr>
            </w:pPr>
          </w:p>
        </w:tc>
        <w:tc>
          <w:tcPr>
            <w:tcW w:w="1510" w:type="dxa"/>
            <w:noWrap w:val="0"/>
            <w:vAlign w:val="center"/>
          </w:tcPr>
          <w:p>
            <w:pPr>
              <w:spacing w:line="360" w:lineRule="auto"/>
              <w:jc w:val="center"/>
              <w:rPr>
                <w:rFonts w:hint="eastAsia" w:ascii="宋体" w:hAnsi="宋体" w:eastAsia="宋体" w:cs="宋体"/>
              </w:rPr>
            </w:pPr>
          </w:p>
        </w:tc>
        <w:tc>
          <w:tcPr>
            <w:tcW w:w="1286" w:type="dxa"/>
            <w:noWrap w:val="0"/>
            <w:vAlign w:val="center"/>
          </w:tcPr>
          <w:p>
            <w:pPr>
              <w:spacing w:line="360" w:lineRule="auto"/>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116" w:type="dxa"/>
            <w:noWrap w:val="0"/>
            <w:vAlign w:val="center"/>
          </w:tcPr>
          <w:p>
            <w:pPr>
              <w:spacing w:line="360" w:lineRule="auto"/>
              <w:jc w:val="center"/>
              <w:rPr>
                <w:rFonts w:hint="eastAsia" w:ascii="宋体" w:hAnsi="宋体" w:eastAsia="宋体" w:cs="宋体"/>
              </w:rPr>
            </w:pPr>
          </w:p>
        </w:tc>
        <w:tc>
          <w:tcPr>
            <w:tcW w:w="1440" w:type="dxa"/>
            <w:noWrap w:val="0"/>
            <w:vAlign w:val="top"/>
          </w:tcPr>
          <w:p>
            <w:pPr>
              <w:spacing w:line="360" w:lineRule="auto"/>
              <w:jc w:val="center"/>
              <w:rPr>
                <w:rFonts w:hint="eastAsia" w:ascii="宋体" w:hAnsi="宋体" w:eastAsia="宋体" w:cs="宋体"/>
              </w:rPr>
            </w:pPr>
          </w:p>
        </w:tc>
        <w:tc>
          <w:tcPr>
            <w:tcW w:w="2708" w:type="dxa"/>
            <w:noWrap w:val="0"/>
            <w:vAlign w:val="center"/>
          </w:tcPr>
          <w:p>
            <w:pPr>
              <w:spacing w:line="360" w:lineRule="auto"/>
              <w:jc w:val="center"/>
              <w:rPr>
                <w:rFonts w:hint="eastAsia" w:ascii="宋体" w:hAnsi="宋体" w:eastAsia="宋体" w:cs="宋体"/>
              </w:rPr>
            </w:pPr>
          </w:p>
        </w:tc>
        <w:tc>
          <w:tcPr>
            <w:tcW w:w="1432" w:type="dxa"/>
            <w:noWrap w:val="0"/>
            <w:vAlign w:val="center"/>
          </w:tcPr>
          <w:p>
            <w:pPr>
              <w:spacing w:line="360" w:lineRule="auto"/>
              <w:jc w:val="center"/>
              <w:rPr>
                <w:rFonts w:hint="eastAsia" w:ascii="宋体" w:hAnsi="宋体" w:eastAsia="宋体" w:cs="宋体"/>
              </w:rPr>
            </w:pPr>
          </w:p>
        </w:tc>
        <w:tc>
          <w:tcPr>
            <w:tcW w:w="1800" w:type="dxa"/>
            <w:noWrap w:val="0"/>
            <w:vAlign w:val="center"/>
          </w:tcPr>
          <w:p>
            <w:pPr>
              <w:spacing w:line="360" w:lineRule="auto"/>
              <w:jc w:val="center"/>
              <w:rPr>
                <w:rFonts w:hint="eastAsia" w:ascii="宋体" w:hAnsi="宋体" w:eastAsia="宋体" w:cs="宋体"/>
              </w:rPr>
            </w:pPr>
          </w:p>
        </w:tc>
        <w:tc>
          <w:tcPr>
            <w:tcW w:w="900" w:type="dxa"/>
            <w:noWrap w:val="0"/>
            <w:vAlign w:val="center"/>
          </w:tcPr>
          <w:p>
            <w:pPr>
              <w:spacing w:line="360" w:lineRule="auto"/>
              <w:jc w:val="center"/>
              <w:rPr>
                <w:rFonts w:hint="eastAsia" w:ascii="宋体" w:hAnsi="宋体" w:eastAsia="宋体" w:cs="宋体"/>
              </w:rPr>
            </w:pPr>
          </w:p>
        </w:tc>
        <w:tc>
          <w:tcPr>
            <w:tcW w:w="720" w:type="dxa"/>
            <w:noWrap w:val="0"/>
            <w:vAlign w:val="center"/>
          </w:tcPr>
          <w:p>
            <w:pPr>
              <w:spacing w:line="360" w:lineRule="auto"/>
              <w:jc w:val="center"/>
              <w:rPr>
                <w:rFonts w:hint="eastAsia" w:ascii="宋体" w:hAnsi="宋体" w:eastAsia="宋体" w:cs="宋体"/>
              </w:rPr>
            </w:pPr>
          </w:p>
        </w:tc>
        <w:tc>
          <w:tcPr>
            <w:tcW w:w="1620" w:type="dxa"/>
            <w:noWrap w:val="0"/>
            <w:vAlign w:val="center"/>
          </w:tcPr>
          <w:p>
            <w:pPr>
              <w:spacing w:line="360" w:lineRule="auto"/>
              <w:jc w:val="center"/>
              <w:rPr>
                <w:rFonts w:hint="eastAsia" w:ascii="宋体" w:hAnsi="宋体" w:eastAsia="宋体" w:cs="宋体"/>
              </w:rPr>
            </w:pPr>
          </w:p>
        </w:tc>
        <w:tc>
          <w:tcPr>
            <w:tcW w:w="1550" w:type="dxa"/>
            <w:noWrap w:val="0"/>
            <w:vAlign w:val="center"/>
          </w:tcPr>
          <w:p>
            <w:pPr>
              <w:spacing w:line="360" w:lineRule="auto"/>
              <w:jc w:val="center"/>
              <w:rPr>
                <w:rFonts w:hint="eastAsia" w:ascii="宋体" w:hAnsi="宋体" w:eastAsia="宋体" w:cs="宋体"/>
              </w:rPr>
            </w:pPr>
          </w:p>
        </w:tc>
        <w:tc>
          <w:tcPr>
            <w:tcW w:w="1510" w:type="dxa"/>
            <w:noWrap w:val="0"/>
            <w:vAlign w:val="center"/>
          </w:tcPr>
          <w:p>
            <w:pPr>
              <w:spacing w:line="360" w:lineRule="auto"/>
              <w:jc w:val="center"/>
              <w:rPr>
                <w:rFonts w:hint="eastAsia" w:ascii="宋体" w:hAnsi="宋体" w:eastAsia="宋体" w:cs="宋体"/>
              </w:rPr>
            </w:pPr>
          </w:p>
        </w:tc>
        <w:tc>
          <w:tcPr>
            <w:tcW w:w="1286" w:type="dxa"/>
            <w:noWrap w:val="0"/>
            <w:vAlign w:val="center"/>
          </w:tcPr>
          <w:p>
            <w:pPr>
              <w:spacing w:line="360" w:lineRule="auto"/>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116" w:type="dxa"/>
            <w:noWrap w:val="0"/>
            <w:vAlign w:val="center"/>
          </w:tcPr>
          <w:p>
            <w:pPr>
              <w:spacing w:line="360" w:lineRule="auto"/>
              <w:jc w:val="center"/>
              <w:rPr>
                <w:rFonts w:hint="eastAsia" w:ascii="宋体" w:hAnsi="宋体" w:eastAsia="宋体" w:cs="宋体"/>
              </w:rPr>
            </w:pPr>
          </w:p>
        </w:tc>
        <w:tc>
          <w:tcPr>
            <w:tcW w:w="1440" w:type="dxa"/>
            <w:noWrap w:val="0"/>
            <w:vAlign w:val="top"/>
          </w:tcPr>
          <w:p>
            <w:pPr>
              <w:spacing w:line="360" w:lineRule="auto"/>
              <w:jc w:val="center"/>
              <w:rPr>
                <w:rFonts w:hint="eastAsia" w:ascii="宋体" w:hAnsi="宋体" w:eastAsia="宋体" w:cs="宋体"/>
              </w:rPr>
            </w:pPr>
          </w:p>
        </w:tc>
        <w:tc>
          <w:tcPr>
            <w:tcW w:w="2708" w:type="dxa"/>
            <w:noWrap w:val="0"/>
            <w:vAlign w:val="center"/>
          </w:tcPr>
          <w:p>
            <w:pPr>
              <w:spacing w:line="360" w:lineRule="auto"/>
              <w:jc w:val="center"/>
              <w:rPr>
                <w:rFonts w:hint="eastAsia" w:ascii="宋体" w:hAnsi="宋体" w:eastAsia="宋体" w:cs="宋体"/>
              </w:rPr>
            </w:pPr>
          </w:p>
        </w:tc>
        <w:tc>
          <w:tcPr>
            <w:tcW w:w="1432" w:type="dxa"/>
            <w:noWrap w:val="0"/>
            <w:vAlign w:val="center"/>
          </w:tcPr>
          <w:p>
            <w:pPr>
              <w:spacing w:line="360" w:lineRule="auto"/>
              <w:jc w:val="center"/>
              <w:rPr>
                <w:rFonts w:hint="eastAsia" w:ascii="宋体" w:hAnsi="宋体" w:eastAsia="宋体" w:cs="宋体"/>
              </w:rPr>
            </w:pPr>
          </w:p>
        </w:tc>
        <w:tc>
          <w:tcPr>
            <w:tcW w:w="1800" w:type="dxa"/>
            <w:noWrap w:val="0"/>
            <w:vAlign w:val="center"/>
          </w:tcPr>
          <w:p>
            <w:pPr>
              <w:spacing w:line="360" w:lineRule="auto"/>
              <w:jc w:val="center"/>
              <w:rPr>
                <w:rFonts w:hint="eastAsia" w:ascii="宋体" w:hAnsi="宋体" w:eastAsia="宋体" w:cs="宋体"/>
              </w:rPr>
            </w:pPr>
          </w:p>
        </w:tc>
        <w:tc>
          <w:tcPr>
            <w:tcW w:w="900" w:type="dxa"/>
            <w:noWrap w:val="0"/>
            <w:vAlign w:val="center"/>
          </w:tcPr>
          <w:p>
            <w:pPr>
              <w:spacing w:line="360" w:lineRule="auto"/>
              <w:jc w:val="center"/>
              <w:rPr>
                <w:rFonts w:hint="eastAsia" w:ascii="宋体" w:hAnsi="宋体" w:eastAsia="宋体" w:cs="宋体"/>
              </w:rPr>
            </w:pPr>
          </w:p>
        </w:tc>
        <w:tc>
          <w:tcPr>
            <w:tcW w:w="720" w:type="dxa"/>
            <w:noWrap w:val="0"/>
            <w:vAlign w:val="center"/>
          </w:tcPr>
          <w:p>
            <w:pPr>
              <w:spacing w:line="360" w:lineRule="auto"/>
              <w:jc w:val="center"/>
              <w:rPr>
                <w:rFonts w:hint="eastAsia" w:ascii="宋体" w:hAnsi="宋体" w:eastAsia="宋体" w:cs="宋体"/>
              </w:rPr>
            </w:pPr>
          </w:p>
        </w:tc>
        <w:tc>
          <w:tcPr>
            <w:tcW w:w="1620" w:type="dxa"/>
            <w:noWrap w:val="0"/>
            <w:vAlign w:val="center"/>
          </w:tcPr>
          <w:p>
            <w:pPr>
              <w:spacing w:line="360" w:lineRule="auto"/>
              <w:jc w:val="center"/>
              <w:rPr>
                <w:rFonts w:hint="eastAsia" w:ascii="宋体" w:hAnsi="宋体" w:eastAsia="宋体" w:cs="宋体"/>
              </w:rPr>
            </w:pPr>
          </w:p>
        </w:tc>
        <w:tc>
          <w:tcPr>
            <w:tcW w:w="1550" w:type="dxa"/>
            <w:noWrap w:val="0"/>
            <w:vAlign w:val="center"/>
          </w:tcPr>
          <w:p>
            <w:pPr>
              <w:spacing w:line="360" w:lineRule="auto"/>
              <w:jc w:val="center"/>
              <w:rPr>
                <w:rFonts w:hint="eastAsia" w:ascii="宋体" w:hAnsi="宋体" w:eastAsia="宋体" w:cs="宋体"/>
              </w:rPr>
            </w:pPr>
          </w:p>
        </w:tc>
        <w:tc>
          <w:tcPr>
            <w:tcW w:w="1510" w:type="dxa"/>
            <w:noWrap w:val="0"/>
            <w:vAlign w:val="center"/>
          </w:tcPr>
          <w:p>
            <w:pPr>
              <w:spacing w:line="360" w:lineRule="auto"/>
              <w:jc w:val="center"/>
              <w:rPr>
                <w:rFonts w:hint="eastAsia" w:ascii="宋体" w:hAnsi="宋体" w:eastAsia="宋体" w:cs="宋体"/>
              </w:rPr>
            </w:pPr>
          </w:p>
        </w:tc>
        <w:tc>
          <w:tcPr>
            <w:tcW w:w="1286" w:type="dxa"/>
            <w:noWrap w:val="0"/>
            <w:vAlign w:val="center"/>
          </w:tcPr>
          <w:p>
            <w:pPr>
              <w:spacing w:line="360" w:lineRule="auto"/>
              <w:jc w:val="center"/>
              <w:rPr>
                <w:rFonts w:hint="eastAsia" w:ascii="宋体" w:hAnsi="宋体" w:eastAsia="宋体" w:cs="宋体"/>
              </w:rPr>
            </w:pPr>
          </w:p>
        </w:tc>
      </w:tr>
    </w:tbl>
    <w:p>
      <w:pPr>
        <w:spacing w:line="360" w:lineRule="auto"/>
        <w:ind w:firstLine="720" w:firstLineChars="300"/>
        <w:rPr>
          <w:rFonts w:hint="eastAsia" w:ascii="宋体" w:hAnsi="宋体" w:eastAsia="宋体" w:cs="宋体"/>
          <w:lang w:val="en-US" w:eastAsia="zh-CN"/>
        </w:rPr>
        <w:sectPr>
          <w:pgSz w:w="16838" w:h="11906" w:orient="landscape"/>
          <w:pgMar w:top="720" w:right="720" w:bottom="720" w:left="720" w:header="851" w:footer="992" w:gutter="0"/>
          <w:pgNumType w:fmt="decimal"/>
          <w:cols w:space="720" w:num="1"/>
          <w:docGrid w:type="lines" w:linePitch="312" w:charSpace="0"/>
        </w:sectPr>
      </w:pPr>
      <w:r>
        <w:rPr>
          <w:rFonts w:hint="eastAsia" w:ascii="宋体" w:hAnsi="宋体" w:eastAsia="宋体" w:cs="宋体"/>
          <w:sz w:val="24"/>
          <w:szCs w:val="24"/>
        </w:rPr>
        <w:t>填表：             复核：             批准：               单位（章）　　　　　　　　日期：  　　年 　　月 　　日</w:t>
      </w:r>
    </w:p>
    <w:p>
      <w:pPr>
        <w:rPr>
          <w:rFonts w:hint="eastAsia" w:ascii="宋体" w:hAnsi="宋体" w:eastAsia="宋体" w:cs="宋体"/>
          <w:lang w:val="en-US" w:eastAsia="zh-CN"/>
        </w:rPr>
      </w:pPr>
    </w:p>
    <w:p>
      <w:pPr>
        <w:spacing w:line="360" w:lineRule="exact"/>
        <w:ind w:right="-2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附件二</w:t>
      </w:r>
    </w:p>
    <w:p>
      <w:pPr>
        <w:pStyle w:val="3"/>
        <w:spacing w:line="500" w:lineRule="exact"/>
        <w:ind w:firstLine="0" w:firstLineChars="0"/>
        <w:jc w:val="center"/>
        <w:textAlignment w:val="baseline"/>
        <w:rPr>
          <w:rStyle w:val="25"/>
          <w:rFonts w:hint="eastAsia" w:ascii="宋体" w:hAnsi="宋体" w:eastAsia="宋体" w:cs="宋体"/>
          <w:b/>
          <w:bCs w:val="0"/>
          <w:color w:val="auto"/>
          <w:kern w:val="44"/>
          <w:sz w:val="36"/>
          <w:szCs w:val="20"/>
          <w:highlight w:val="none"/>
          <w:lang w:val="en-US" w:eastAsia="zh-CN" w:bidi="ar-SA"/>
        </w:rPr>
      </w:pPr>
      <w:bookmarkStart w:id="265" w:name="_Toc30054"/>
      <w:bookmarkStart w:id="266" w:name="_Toc7039"/>
      <w:bookmarkStart w:id="267" w:name="_Toc32097"/>
      <w:bookmarkStart w:id="268" w:name="_Toc30907"/>
      <w:bookmarkStart w:id="269" w:name="_Toc10919"/>
      <w:r>
        <w:rPr>
          <w:rStyle w:val="25"/>
          <w:rFonts w:hint="eastAsia" w:ascii="宋体" w:hAnsi="宋体" w:eastAsia="宋体" w:cs="宋体"/>
          <w:b/>
          <w:bCs w:val="0"/>
          <w:color w:val="auto"/>
          <w:kern w:val="44"/>
          <w:sz w:val="36"/>
          <w:szCs w:val="20"/>
          <w:highlight w:val="none"/>
          <w:lang w:val="en-US" w:eastAsia="zh-CN" w:bidi="ar-SA"/>
        </w:rPr>
        <w:t>工程质量保修书</w:t>
      </w:r>
      <w:bookmarkEnd w:id="265"/>
      <w:bookmarkEnd w:id="266"/>
      <w:bookmarkEnd w:id="267"/>
      <w:bookmarkEnd w:id="268"/>
      <w:bookmarkEnd w:id="269"/>
    </w:p>
    <w:p>
      <w:pPr>
        <w:tabs>
          <w:tab w:val="left" w:pos="9100"/>
        </w:tabs>
        <w:ind w:left="101" w:right="-2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发包人:（全称）</w:t>
      </w:r>
      <w:r>
        <w:rPr>
          <w:rStyle w:val="43"/>
          <w:rFonts w:hint="eastAsia" w:ascii="宋体" w:hAnsi="宋体" w:eastAsia="宋体" w:cs="宋体"/>
          <w:color w:val="auto"/>
          <w:kern w:val="2"/>
          <w:sz w:val="24"/>
          <w:szCs w:val="24"/>
          <w:highlight w:val="none"/>
          <w:u w:val="single"/>
          <w:lang w:val="en-US" w:eastAsia="zh-CN" w:bidi="ar-SA"/>
        </w:rPr>
        <w:t>广州市天河区珠村小学</w:t>
      </w:r>
      <w:r>
        <w:rPr>
          <w:rStyle w:val="43"/>
          <w:rFonts w:hint="eastAsia" w:ascii="宋体" w:hAnsi="宋体" w:eastAsia="宋体" w:cs="宋体"/>
          <w:color w:val="auto"/>
          <w:kern w:val="2"/>
          <w:sz w:val="24"/>
          <w:szCs w:val="24"/>
          <w:highlight w:val="none"/>
          <w:lang w:val="en-US" w:eastAsia="zh-CN" w:bidi="ar-SA"/>
        </w:rPr>
        <w:tab/>
      </w:r>
    </w:p>
    <w:p>
      <w:pPr>
        <w:tabs>
          <w:tab w:val="left" w:pos="9100"/>
        </w:tabs>
        <w:ind w:left="101" w:right="-2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承包人:（全称）</w:t>
      </w:r>
      <w:r>
        <w:rPr>
          <w:rStyle w:val="43"/>
          <w:rFonts w:hint="eastAsia" w:ascii="宋体" w:hAnsi="宋体" w:eastAsia="宋体" w:cs="宋体"/>
          <w:color w:val="auto"/>
          <w:kern w:val="2"/>
          <w:sz w:val="24"/>
          <w:szCs w:val="24"/>
          <w:highlight w:val="none"/>
          <w:lang w:val="en-US" w:eastAsia="zh-CN" w:bidi="ar-SA"/>
        </w:rPr>
        <w:tab/>
      </w:r>
    </w:p>
    <w:p>
      <w:pPr>
        <w:spacing w:line="220" w:lineRule="exact"/>
        <w:jc w:val="both"/>
        <w:textAlignment w:val="baseline"/>
        <w:rPr>
          <w:rStyle w:val="43"/>
          <w:rFonts w:hint="eastAsia" w:ascii="宋体" w:hAnsi="宋体" w:eastAsia="宋体" w:cs="宋体"/>
          <w:color w:val="auto"/>
          <w:kern w:val="2"/>
          <w:sz w:val="24"/>
          <w:szCs w:val="24"/>
          <w:highlight w:val="none"/>
          <w:lang w:val="en-US" w:eastAsia="zh-CN" w:bidi="ar-SA"/>
        </w:rPr>
      </w:pPr>
    </w:p>
    <w:p>
      <w:pPr>
        <w:spacing w:line="360" w:lineRule="auto"/>
        <w:ind w:left="101" w:right="80" w:firstLine="48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为保证（广州市天河区珠村小学改造工程）在合理使用期限内正常使用，合同双方当事人根据《中华人民共和国建筑法》、《建设工程质量管理条例》和《房屋建筑工程质量保修办法》等规定，经协商一致，订立本质量保修书。</w:t>
      </w:r>
    </w:p>
    <w:p>
      <w:pPr>
        <w:spacing w:line="360" w:lineRule="auto"/>
        <w:ind w:left="522"/>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1．质量保修范围</w:t>
      </w:r>
    </w:p>
    <w:p>
      <w:pPr>
        <w:spacing w:line="360" w:lineRule="auto"/>
        <w:ind w:left="101" w:right="80" w:firstLine="48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质量保修范围包括地基基础工程、主体结构工程、屋面防水工程、有防水要求的卫生间、房间、外墙面的防渗漏工程、电气管线工程、给排水管道工程、设备安装工程、供热、供冷系统工程、装饰装修工程以及双方约定其他项目。具体质量保修范围，合同双方当事人约定如下：</w:t>
      </w:r>
    </w:p>
    <w:p>
      <w:pPr>
        <w:spacing w:line="360" w:lineRule="auto"/>
        <w:ind w:left="581" w:right="-2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1.1</w:t>
      </w:r>
    </w:p>
    <w:p>
      <w:pPr>
        <w:spacing w:line="360" w:lineRule="auto"/>
        <w:ind w:left="581" w:right="-2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1.2</w:t>
      </w:r>
    </w:p>
    <w:p>
      <w:pPr>
        <w:spacing w:line="360" w:lineRule="auto"/>
        <w:ind w:left="581" w:right="-2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1.3</w:t>
      </w:r>
    </w:p>
    <w:p>
      <w:pPr>
        <w:spacing w:line="360" w:lineRule="auto"/>
        <w:ind w:left="522"/>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2．质量保修期</w:t>
      </w:r>
    </w:p>
    <w:p>
      <w:pPr>
        <w:spacing w:line="360" w:lineRule="auto"/>
        <w:ind w:right="-85" w:firstLine="581"/>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2.1  质量保修期从合同工程实际竣工之日算起。单项竣工验收的工程，按单项工程分别计算质量保修期。</w:t>
      </w:r>
    </w:p>
    <w:p>
      <w:pPr>
        <w:spacing w:line="360" w:lineRule="auto"/>
        <w:ind w:left="581" w:right="-2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2.2 合同工程质量保修期，合同双方当事人约定如下：</w:t>
      </w:r>
    </w:p>
    <w:p>
      <w:pPr>
        <w:spacing w:line="360" w:lineRule="auto"/>
        <w:ind w:left="581" w:right="-2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2.2.1地基基础工程、主体结构工程为设计文件规定的合理使用年限；</w:t>
      </w:r>
    </w:p>
    <w:p>
      <w:pPr>
        <w:tabs>
          <w:tab w:val="left" w:pos="8860"/>
        </w:tabs>
        <w:spacing w:line="360" w:lineRule="auto"/>
        <w:ind w:right="-20" w:firstLine="580" w:firstLineChars="242"/>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2.2.2屋面防水工程、有防水要求的卫生间、房间和外墙面的防渗漏工程为</w:t>
      </w:r>
      <w:r>
        <w:rPr>
          <w:rStyle w:val="43"/>
          <w:rFonts w:hint="eastAsia" w:ascii="宋体" w:hAnsi="宋体" w:eastAsia="宋体" w:cs="宋体"/>
          <w:color w:val="auto"/>
          <w:kern w:val="2"/>
          <w:sz w:val="24"/>
          <w:szCs w:val="24"/>
          <w:highlight w:val="none"/>
          <w:u w:val="single"/>
          <w:lang w:val="en-US" w:eastAsia="zh-CN" w:bidi="ar-SA"/>
        </w:rPr>
        <w:t>5</w:t>
      </w:r>
      <w:r>
        <w:rPr>
          <w:rStyle w:val="43"/>
          <w:rFonts w:hint="eastAsia" w:ascii="宋体" w:hAnsi="宋体" w:eastAsia="宋体" w:cs="宋体"/>
          <w:color w:val="auto"/>
          <w:kern w:val="2"/>
          <w:sz w:val="24"/>
          <w:szCs w:val="24"/>
          <w:highlight w:val="none"/>
          <w:lang w:val="en-US" w:eastAsia="zh-CN" w:bidi="ar-SA"/>
        </w:rPr>
        <w:t>年；</w:t>
      </w:r>
    </w:p>
    <w:p>
      <w:pPr>
        <w:tabs>
          <w:tab w:val="left" w:pos="7420"/>
        </w:tabs>
        <w:spacing w:line="360" w:lineRule="auto"/>
        <w:ind w:left="581" w:right="-2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2.2.3电气管线工程、给排水管道工程、设备安装工程为</w:t>
      </w:r>
      <w:r>
        <w:rPr>
          <w:rStyle w:val="43"/>
          <w:rFonts w:hint="eastAsia" w:ascii="宋体" w:hAnsi="宋体" w:eastAsia="宋体" w:cs="宋体"/>
          <w:color w:val="auto"/>
          <w:kern w:val="2"/>
          <w:sz w:val="24"/>
          <w:szCs w:val="24"/>
          <w:highlight w:val="none"/>
          <w:u w:val="single"/>
          <w:lang w:val="en-US" w:eastAsia="zh-CN" w:bidi="ar-SA"/>
        </w:rPr>
        <w:t xml:space="preserve"> 2 </w:t>
      </w:r>
      <w:r>
        <w:rPr>
          <w:rStyle w:val="43"/>
          <w:rFonts w:hint="eastAsia" w:ascii="宋体" w:hAnsi="宋体" w:eastAsia="宋体" w:cs="宋体"/>
          <w:color w:val="auto"/>
          <w:kern w:val="2"/>
          <w:sz w:val="24"/>
          <w:szCs w:val="24"/>
          <w:highlight w:val="none"/>
          <w:lang w:val="en-US" w:eastAsia="zh-CN" w:bidi="ar-SA"/>
        </w:rPr>
        <w:t>年；</w:t>
      </w:r>
    </w:p>
    <w:p>
      <w:pPr>
        <w:tabs>
          <w:tab w:val="left" w:pos="4060"/>
        </w:tabs>
        <w:spacing w:line="360" w:lineRule="auto"/>
        <w:ind w:left="581" w:right="-2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2.2.4供热、供冷系统工程为</w:t>
      </w:r>
      <w:r>
        <w:rPr>
          <w:rStyle w:val="43"/>
          <w:rFonts w:hint="eastAsia" w:ascii="宋体" w:hAnsi="宋体" w:eastAsia="宋体" w:cs="宋体"/>
          <w:color w:val="auto"/>
          <w:kern w:val="2"/>
          <w:sz w:val="24"/>
          <w:szCs w:val="24"/>
          <w:highlight w:val="none"/>
          <w:u w:val="single"/>
          <w:lang w:val="en-US" w:eastAsia="zh-CN" w:bidi="ar-SA"/>
        </w:rPr>
        <w:t xml:space="preserve"> 2 </w:t>
      </w:r>
      <w:r>
        <w:rPr>
          <w:rStyle w:val="43"/>
          <w:rFonts w:hint="eastAsia" w:ascii="宋体" w:hAnsi="宋体" w:eastAsia="宋体" w:cs="宋体"/>
          <w:color w:val="auto"/>
          <w:kern w:val="2"/>
          <w:sz w:val="24"/>
          <w:szCs w:val="24"/>
          <w:highlight w:val="none"/>
          <w:lang w:val="en-US" w:eastAsia="zh-CN" w:bidi="ar-SA"/>
        </w:rPr>
        <w:t>个采暖期、供冷期；</w:t>
      </w:r>
    </w:p>
    <w:p>
      <w:pPr>
        <w:tabs>
          <w:tab w:val="left" w:pos="3580"/>
        </w:tabs>
        <w:spacing w:line="360" w:lineRule="auto"/>
        <w:ind w:left="581" w:right="-2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2.2.5装饰装修工程为</w:t>
      </w:r>
      <w:r>
        <w:rPr>
          <w:rStyle w:val="43"/>
          <w:rFonts w:hint="eastAsia" w:ascii="宋体" w:hAnsi="宋体" w:eastAsia="宋体" w:cs="宋体"/>
          <w:color w:val="auto"/>
          <w:kern w:val="2"/>
          <w:sz w:val="24"/>
          <w:szCs w:val="24"/>
          <w:highlight w:val="none"/>
          <w:u w:val="single"/>
          <w:lang w:val="en-US" w:eastAsia="zh-CN" w:bidi="ar-SA"/>
        </w:rPr>
        <w:t xml:space="preserve"> 2 </w:t>
      </w:r>
      <w:r>
        <w:rPr>
          <w:rStyle w:val="43"/>
          <w:rFonts w:hint="eastAsia" w:ascii="宋体" w:hAnsi="宋体" w:eastAsia="宋体" w:cs="宋体"/>
          <w:color w:val="auto"/>
          <w:kern w:val="2"/>
          <w:sz w:val="24"/>
          <w:szCs w:val="24"/>
          <w:highlight w:val="none"/>
          <w:lang w:val="en-US" w:eastAsia="zh-CN" w:bidi="ar-SA"/>
        </w:rPr>
        <w:t>年；</w:t>
      </w:r>
    </w:p>
    <w:p>
      <w:pPr>
        <w:tabs>
          <w:tab w:val="left" w:pos="6100"/>
        </w:tabs>
        <w:spacing w:line="360" w:lineRule="auto"/>
        <w:ind w:left="581" w:right="-2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2.2.6其他项目市政工程为</w:t>
      </w:r>
      <w:r>
        <w:rPr>
          <w:rStyle w:val="43"/>
          <w:rFonts w:hint="eastAsia" w:ascii="宋体" w:hAnsi="宋体" w:eastAsia="宋体" w:cs="宋体"/>
          <w:color w:val="auto"/>
          <w:kern w:val="2"/>
          <w:sz w:val="24"/>
          <w:szCs w:val="24"/>
          <w:highlight w:val="none"/>
          <w:u w:val="single"/>
          <w:lang w:val="en-US" w:eastAsia="zh-CN" w:bidi="ar-SA"/>
        </w:rPr>
        <w:t xml:space="preserve"> 2 </w:t>
      </w:r>
      <w:r>
        <w:rPr>
          <w:rStyle w:val="43"/>
          <w:rFonts w:hint="eastAsia" w:ascii="宋体" w:hAnsi="宋体" w:eastAsia="宋体" w:cs="宋体"/>
          <w:color w:val="auto"/>
          <w:kern w:val="2"/>
          <w:sz w:val="24"/>
          <w:szCs w:val="24"/>
          <w:highlight w:val="none"/>
          <w:lang w:val="en-US" w:eastAsia="zh-CN" w:bidi="ar-SA"/>
        </w:rPr>
        <w:t>年</w:t>
      </w:r>
    </w:p>
    <w:p>
      <w:pPr>
        <w:spacing w:line="360" w:lineRule="auto"/>
        <w:ind w:left="522"/>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3．质量保修责任</w:t>
      </w:r>
    </w:p>
    <w:p>
      <w:pPr>
        <w:tabs>
          <w:tab w:val="left" w:pos="1120"/>
        </w:tabs>
        <w:spacing w:line="360" w:lineRule="auto"/>
        <w:ind w:left="101" w:right="-84" w:firstLine="48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3.1</w:t>
      </w:r>
      <w:r>
        <w:rPr>
          <w:rStyle w:val="43"/>
          <w:rFonts w:hint="eastAsia" w:ascii="宋体" w:hAnsi="宋体" w:eastAsia="宋体" w:cs="宋体"/>
          <w:color w:val="auto"/>
          <w:kern w:val="2"/>
          <w:sz w:val="24"/>
          <w:szCs w:val="24"/>
          <w:highlight w:val="none"/>
          <w:lang w:val="en-US" w:eastAsia="zh-CN" w:bidi="ar-SA"/>
        </w:rPr>
        <w:tab/>
      </w:r>
      <w:r>
        <w:rPr>
          <w:rStyle w:val="43"/>
          <w:rFonts w:hint="eastAsia" w:ascii="宋体" w:hAnsi="宋体" w:eastAsia="宋体" w:cs="宋体"/>
          <w:color w:val="auto"/>
          <w:kern w:val="2"/>
          <w:sz w:val="24"/>
          <w:szCs w:val="24"/>
          <w:highlight w:val="none"/>
          <w:lang w:val="en-US" w:eastAsia="zh-CN" w:bidi="ar-SA"/>
        </w:rPr>
        <w:t>属于保修范围的项目，承包人应在接到发包人通知后的 7 天内派人保修。承包人未能在规定时间内派人保修的，发包人可自行或委托第三方保修。</w:t>
      </w:r>
    </w:p>
    <w:p>
      <w:pPr>
        <w:tabs>
          <w:tab w:val="left" w:pos="1120"/>
        </w:tabs>
        <w:spacing w:line="360" w:lineRule="auto"/>
        <w:ind w:left="581" w:right="-2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3.2</w:t>
      </w:r>
      <w:r>
        <w:rPr>
          <w:rStyle w:val="43"/>
          <w:rFonts w:hint="eastAsia" w:ascii="宋体" w:hAnsi="宋体" w:eastAsia="宋体" w:cs="宋体"/>
          <w:color w:val="auto"/>
          <w:kern w:val="2"/>
          <w:sz w:val="24"/>
          <w:szCs w:val="24"/>
          <w:highlight w:val="none"/>
          <w:lang w:val="en-US" w:eastAsia="zh-CN" w:bidi="ar-SA"/>
        </w:rPr>
        <w:tab/>
      </w:r>
      <w:r>
        <w:rPr>
          <w:rStyle w:val="43"/>
          <w:rFonts w:hint="eastAsia" w:ascii="宋体" w:hAnsi="宋体" w:eastAsia="宋体" w:cs="宋体"/>
          <w:color w:val="auto"/>
          <w:kern w:val="2"/>
          <w:sz w:val="24"/>
          <w:szCs w:val="24"/>
          <w:highlight w:val="none"/>
          <w:lang w:val="en-US" w:eastAsia="zh-CN" w:bidi="ar-SA"/>
        </w:rPr>
        <w:t>发生紧急抢修事故的，承包人在接到通知后，应立即到达事故现场抢修。</w:t>
      </w:r>
    </w:p>
    <w:p>
      <w:pPr>
        <w:spacing w:line="360" w:lineRule="auto"/>
        <w:ind w:left="101" w:right="-85" w:firstLine="48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3.3</w:t>
      </w:r>
      <w:r>
        <w:rPr>
          <w:rStyle w:val="43"/>
          <w:rFonts w:hint="eastAsia" w:ascii="宋体" w:hAnsi="宋体" w:eastAsia="宋体" w:cs="宋体"/>
          <w:color w:val="auto"/>
          <w:kern w:val="2"/>
          <w:sz w:val="24"/>
          <w:szCs w:val="24"/>
          <w:highlight w:val="none"/>
          <w:lang w:val="en-US" w:eastAsia="zh-CN" w:bidi="ar-SA"/>
        </w:rPr>
        <w:tab/>
      </w:r>
      <w:r>
        <w:rPr>
          <w:rStyle w:val="43"/>
          <w:rFonts w:hint="eastAsia" w:ascii="宋体" w:hAnsi="宋体" w:eastAsia="宋体" w:cs="宋体"/>
          <w:color w:val="auto"/>
          <w:kern w:val="2"/>
          <w:sz w:val="24"/>
          <w:szCs w:val="24"/>
          <w:highlight w:val="none"/>
          <w:lang w:val="en-US" w:eastAsia="zh-CN" w:bidi="ar-SA"/>
        </w:rPr>
        <w:t>在国家规定的合理使用期限内，承包人应确保地基基础工程和主体结构的质量和安全。凡出现质量问题，应立即报告当地建设行政主管部门，经设计人提出保修方案后，承包人应立即实施保修。</w:t>
      </w:r>
    </w:p>
    <w:p>
      <w:pPr>
        <w:tabs>
          <w:tab w:val="left" w:pos="1120"/>
        </w:tabs>
        <w:spacing w:line="360" w:lineRule="auto"/>
        <w:ind w:left="581" w:right="-2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3.4</w:t>
      </w:r>
      <w:r>
        <w:rPr>
          <w:rStyle w:val="43"/>
          <w:rFonts w:hint="eastAsia" w:ascii="宋体" w:hAnsi="宋体" w:eastAsia="宋体" w:cs="宋体"/>
          <w:color w:val="auto"/>
          <w:kern w:val="2"/>
          <w:sz w:val="24"/>
          <w:szCs w:val="24"/>
          <w:highlight w:val="none"/>
          <w:lang w:val="en-US" w:eastAsia="zh-CN" w:bidi="ar-SA"/>
        </w:rPr>
        <w:tab/>
      </w:r>
      <w:r>
        <w:rPr>
          <w:rStyle w:val="43"/>
          <w:rFonts w:hint="eastAsia" w:ascii="宋体" w:hAnsi="宋体" w:eastAsia="宋体" w:cs="宋体"/>
          <w:color w:val="auto"/>
          <w:kern w:val="2"/>
          <w:sz w:val="24"/>
          <w:szCs w:val="24"/>
          <w:highlight w:val="none"/>
          <w:lang w:val="en-US" w:eastAsia="zh-CN" w:bidi="ar-SA"/>
        </w:rPr>
        <w:t>质量保修完成后，由发包人组织验收。</w:t>
      </w:r>
    </w:p>
    <w:p>
      <w:pPr>
        <w:spacing w:line="360" w:lineRule="auto"/>
        <w:ind w:left="522"/>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4．质量保修费用</w:t>
      </w:r>
    </w:p>
    <w:p>
      <w:pPr>
        <w:spacing w:line="360" w:lineRule="auto"/>
        <w:ind w:left="581" w:right="-2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质量保修等费用，由责任方承担。</w:t>
      </w:r>
    </w:p>
    <w:p>
      <w:pPr>
        <w:spacing w:line="360" w:lineRule="auto"/>
        <w:ind w:left="522"/>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5．质量保证金</w:t>
      </w:r>
    </w:p>
    <w:p>
      <w:pPr>
        <w:spacing w:line="360" w:lineRule="auto"/>
        <w:ind w:left="581" w:right="-203"/>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质量保证金的约定、支付和使用与本合同第三部分《专用条款》第 84 条赋予的规定一致。</w:t>
      </w:r>
    </w:p>
    <w:p>
      <w:pPr>
        <w:spacing w:line="360" w:lineRule="auto"/>
        <w:ind w:firstLine="520" w:firstLineChars="217"/>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6．其他</w:t>
      </w:r>
    </w:p>
    <w:p>
      <w:pPr>
        <w:spacing w:line="360" w:lineRule="auto"/>
        <w:ind w:right="-20" w:firstLine="520" w:firstLineChars="217"/>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6.1 合同双方当事人约定的其他质量保修事项：</w:t>
      </w:r>
    </w:p>
    <w:p>
      <w:pPr>
        <w:tabs>
          <w:tab w:val="left" w:pos="1005"/>
        </w:tabs>
        <w:spacing w:line="360" w:lineRule="auto"/>
        <w:ind w:right="-141" w:firstLine="520" w:firstLineChars="217"/>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6.2</w:t>
      </w:r>
      <w:r>
        <w:rPr>
          <w:rStyle w:val="43"/>
          <w:rFonts w:hint="eastAsia" w:ascii="宋体" w:hAnsi="宋体" w:eastAsia="宋体" w:cs="宋体"/>
          <w:color w:val="auto"/>
          <w:kern w:val="2"/>
          <w:sz w:val="24"/>
          <w:szCs w:val="24"/>
          <w:highlight w:val="none"/>
          <w:lang w:val="en-US" w:eastAsia="zh-CN" w:bidi="ar-SA"/>
        </w:rPr>
        <w:tab/>
      </w:r>
      <w:r>
        <w:rPr>
          <w:rStyle w:val="43"/>
          <w:rFonts w:hint="eastAsia" w:ascii="宋体" w:hAnsi="宋体" w:eastAsia="宋体" w:cs="宋体"/>
          <w:color w:val="auto"/>
          <w:kern w:val="2"/>
          <w:sz w:val="24"/>
          <w:szCs w:val="24"/>
          <w:highlight w:val="none"/>
          <w:lang w:val="en-US" w:eastAsia="zh-CN" w:bidi="ar-SA"/>
        </w:rPr>
        <w:t>本质量保修书，由合同双方当事人在承包人向发包人提交竣工验收申请报告时签署，作为本合同的附件。</w:t>
      </w:r>
    </w:p>
    <w:p>
      <w:pPr>
        <w:spacing w:line="360" w:lineRule="auto"/>
        <w:ind w:right="-20" w:firstLine="520" w:firstLineChars="217"/>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6.3 本质量保修书，自合同双方当事人签署之日起生效，至质量保修期满后失效。</w:t>
      </w:r>
    </w:p>
    <w:p>
      <w:pPr>
        <w:spacing w:line="200" w:lineRule="exact"/>
        <w:jc w:val="both"/>
        <w:textAlignment w:val="baseline"/>
        <w:rPr>
          <w:rStyle w:val="43"/>
          <w:rFonts w:hint="eastAsia" w:ascii="宋体" w:hAnsi="宋体" w:eastAsia="宋体" w:cs="宋体"/>
          <w:color w:val="auto"/>
          <w:kern w:val="2"/>
          <w:sz w:val="24"/>
          <w:szCs w:val="24"/>
          <w:highlight w:val="none"/>
          <w:lang w:val="en-US" w:eastAsia="zh-CN" w:bidi="ar-SA"/>
        </w:rPr>
      </w:pPr>
    </w:p>
    <w:p>
      <w:pPr>
        <w:spacing w:line="200" w:lineRule="exact"/>
        <w:jc w:val="both"/>
        <w:textAlignment w:val="baseline"/>
        <w:rPr>
          <w:rStyle w:val="43"/>
          <w:rFonts w:hint="eastAsia" w:ascii="宋体" w:hAnsi="宋体" w:eastAsia="宋体" w:cs="宋体"/>
          <w:color w:val="auto"/>
          <w:kern w:val="2"/>
          <w:sz w:val="24"/>
          <w:szCs w:val="24"/>
          <w:highlight w:val="none"/>
          <w:lang w:val="en-US" w:eastAsia="zh-CN" w:bidi="ar-SA"/>
        </w:rPr>
      </w:pPr>
    </w:p>
    <w:p>
      <w:pPr>
        <w:tabs>
          <w:tab w:val="left" w:pos="1120"/>
        </w:tabs>
        <w:spacing w:line="319" w:lineRule="auto"/>
        <w:ind w:right="-141"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发包人：广州市天河区珠村小学           承包人：</w:t>
      </w:r>
    </w:p>
    <w:p>
      <w:pPr>
        <w:tabs>
          <w:tab w:val="left" w:pos="1120"/>
        </w:tabs>
        <w:spacing w:line="319" w:lineRule="auto"/>
        <w:ind w:left="101" w:right="-141" w:firstLine="48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 xml:space="preserve">         （公章）                       （公章）</w:t>
      </w:r>
    </w:p>
    <w:p>
      <w:pPr>
        <w:tabs>
          <w:tab w:val="left" w:pos="1120"/>
        </w:tabs>
        <w:spacing w:line="319" w:lineRule="auto"/>
        <w:ind w:left="101" w:right="-141" w:firstLine="48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法定代表人：（签字）                   法定代表人：（签字）</w:t>
      </w:r>
    </w:p>
    <w:p>
      <w:pPr>
        <w:tabs>
          <w:tab w:val="left" w:pos="1120"/>
        </w:tabs>
        <w:spacing w:line="319" w:lineRule="auto"/>
        <w:ind w:left="101" w:right="-141" w:firstLine="48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联系电话：                             联系电话：</w:t>
      </w:r>
    </w:p>
    <w:p>
      <w:pPr>
        <w:spacing w:line="200" w:lineRule="exact"/>
        <w:jc w:val="both"/>
        <w:textAlignment w:val="baseline"/>
        <w:rPr>
          <w:rStyle w:val="43"/>
          <w:rFonts w:hint="eastAsia" w:ascii="宋体" w:hAnsi="宋体" w:eastAsia="宋体" w:cs="宋体"/>
          <w:color w:val="auto"/>
          <w:kern w:val="2"/>
          <w:sz w:val="24"/>
          <w:szCs w:val="24"/>
          <w:highlight w:val="none"/>
          <w:lang w:val="en-US" w:eastAsia="zh-CN" w:bidi="ar-SA"/>
        </w:rPr>
      </w:pPr>
    </w:p>
    <w:p>
      <w:pPr>
        <w:tabs>
          <w:tab w:val="left" w:pos="2140"/>
          <w:tab w:val="left" w:pos="2860"/>
          <w:tab w:val="left" w:pos="6100"/>
          <w:tab w:val="left" w:pos="6820"/>
          <w:tab w:val="left" w:pos="7540"/>
        </w:tabs>
        <w:spacing w:line="260" w:lineRule="exact"/>
        <w:ind w:right="-20" w:firstLine="1440" w:firstLineChars="6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 xml:space="preserve">年    月   日                         年    月   </w:t>
      </w:r>
      <w:r>
        <w:rPr>
          <w:rStyle w:val="43"/>
          <w:rFonts w:hint="eastAsia" w:ascii="宋体" w:hAnsi="宋体" w:eastAsia="宋体" w:cs="宋体"/>
          <w:color w:val="auto"/>
          <w:kern w:val="2"/>
          <w:sz w:val="24"/>
          <w:szCs w:val="24"/>
          <w:highlight w:val="none"/>
          <w:lang w:val="en-US" w:eastAsia="zh-CN" w:bidi="ar-SA"/>
        </w:rPr>
        <w:tab/>
      </w:r>
      <w:r>
        <w:rPr>
          <w:rStyle w:val="43"/>
          <w:rFonts w:hint="eastAsia" w:ascii="宋体" w:hAnsi="宋体" w:eastAsia="宋体" w:cs="宋体"/>
          <w:color w:val="auto"/>
          <w:kern w:val="2"/>
          <w:sz w:val="24"/>
          <w:szCs w:val="24"/>
          <w:highlight w:val="none"/>
          <w:lang w:val="en-US" w:eastAsia="zh-CN" w:bidi="ar-SA"/>
        </w:rPr>
        <w:t>日</w:t>
      </w:r>
    </w:p>
    <w:p>
      <w:pPr>
        <w:spacing w:line="360" w:lineRule="exact"/>
        <w:ind w:right="-20" w:firstLine="210" w:firstLineChars="1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1"/>
          <w:szCs w:val="22"/>
          <w:highlight w:val="none"/>
          <w:lang w:val="en-US" w:eastAsia="zh-CN" w:bidi="ar-SA"/>
        </w:rPr>
        <w:br w:type="page"/>
      </w:r>
      <w:r>
        <w:rPr>
          <w:rStyle w:val="43"/>
          <w:rFonts w:hint="eastAsia" w:ascii="宋体" w:hAnsi="宋体" w:eastAsia="宋体" w:cs="宋体"/>
          <w:color w:val="auto"/>
          <w:kern w:val="2"/>
          <w:sz w:val="24"/>
          <w:szCs w:val="24"/>
          <w:highlight w:val="none"/>
          <w:lang w:val="en-US" w:eastAsia="zh-CN" w:bidi="ar-SA"/>
        </w:rPr>
        <w:t>附件三</w:t>
      </w:r>
    </w:p>
    <w:p>
      <w:pPr>
        <w:pStyle w:val="3"/>
        <w:spacing w:line="420" w:lineRule="exact"/>
        <w:jc w:val="center"/>
        <w:textAlignment w:val="baseline"/>
        <w:rPr>
          <w:rStyle w:val="25"/>
          <w:rFonts w:hint="eastAsia" w:ascii="宋体" w:hAnsi="宋体" w:eastAsia="宋体" w:cs="宋体"/>
          <w:b/>
          <w:bCs w:val="0"/>
          <w:color w:val="auto"/>
          <w:kern w:val="44"/>
          <w:sz w:val="36"/>
          <w:szCs w:val="20"/>
          <w:highlight w:val="none"/>
          <w:lang w:val="en-US" w:eastAsia="zh-CN" w:bidi="ar-SA"/>
        </w:rPr>
      </w:pPr>
      <w:bookmarkStart w:id="270" w:name="_Toc3150"/>
      <w:bookmarkStart w:id="271" w:name="_Toc606"/>
      <w:bookmarkStart w:id="272" w:name="_Toc14582"/>
      <w:bookmarkStart w:id="273" w:name="_Toc29500"/>
      <w:bookmarkStart w:id="274" w:name="_Toc15266"/>
      <w:r>
        <w:rPr>
          <w:rStyle w:val="25"/>
          <w:rFonts w:hint="eastAsia" w:ascii="宋体" w:hAnsi="宋体" w:eastAsia="宋体" w:cs="宋体"/>
          <w:b/>
          <w:bCs w:val="0"/>
          <w:color w:val="auto"/>
          <w:kern w:val="44"/>
          <w:sz w:val="36"/>
          <w:szCs w:val="20"/>
          <w:highlight w:val="none"/>
          <w:lang w:val="en-US" w:eastAsia="zh-CN" w:bidi="ar-SA"/>
        </w:rPr>
        <w:t>廉政合同</w:t>
      </w:r>
      <w:bookmarkEnd w:id="270"/>
      <w:bookmarkEnd w:id="271"/>
      <w:bookmarkEnd w:id="272"/>
      <w:bookmarkEnd w:id="273"/>
      <w:bookmarkEnd w:id="274"/>
    </w:p>
    <w:p>
      <w:pPr>
        <w:spacing w:line="420" w:lineRule="exact"/>
        <w:jc w:val="both"/>
        <w:textAlignment w:val="baseline"/>
        <w:rPr>
          <w:rStyle w:val="43"/>
          <w:rFonts w:hint="eastAsia" w:ascii="宋体" w:hAnsi="宋体" w:eastAsia="宋体" w:cs="宋体"/>
          <w:color w:val="auto"/>
          <w:kern w:val="2"/>
          <w:sz w:val="24"/>
          <w:szCs w:val="24"/>
          <w:highlight w:val="none"/>
          <w:u w:val="single"/>
          <w:lang w:val="en-US" w:eastAsia="zh-CN" w:bidi="ar-SA"/>
        </w:rPr>
      </w:pPr>
      <w:r>
        <w:rPr>
          <w:rStyle w:val="43"/>
          <w:rFonts w:hint="eastAsia" w:ascii="宋体" w:hAnsi="宋体" w:eastAsia="宋体" w:cs="宋体"/>
          <w:color w:val="auto"/>
          <w:kern w:val="2"/>
          <w:sz w:val="24"/>
          <w:szCs w:val="24"/>
          <w:highlight w:val="none"/>
          <w:lang w:val="en-US" w:eastAsia="zh-CN" w:bidi="ar-SA"/>
        </w:rPr>
        <w:t>发包人：（全称）</w:t>
      </w:r>
      <w:r>
        <w:rPr>
          <w:rStyle w:val="43"/>
          <w:rFonts w:hint="eastAsia" w:ascii="宋体" w:hAnsi="宋体" w:eastAsia="宋体" w:cs="宋体"/>
          <w:color w:val="auto"/>
          <w:kern w:val="2"/>
          <w:sz w:val="24"/>
          <w:szCs w:val="24"/>
          <w:highlight w:val="none"/>
          <w:u w:val="single"/>
          <w:lang w:val="en-US" w:eastAsia="zh-CN" w:bidi="ar-SA"/>
        </w:rPr>
        <w:t>广州市天河区珠村小学</w:t>
      </w:r>
    </w:p>
    <w:p>
      <w:pPr>
        <w:spacing w:line="420" w:lineRule="exact"/>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承包人：（全称）</w:t>
      </w:r>
    </w:p>
    <w:p>
      <w:pPr>
        <w:spacing w:line="420" w:lineRule="exact"/>
        <w:ind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根据国家、省工程建设和廉政建设的有关规定，为做好合同工程的廉政建设，保证工程质量与施工安全，提高建设资金的有效使用和投资效益，发包人承包人就加强合同工程的廉政建设，订立本合同。</w:t>
      </w:r>
    </w:p>
    <w:p>
      <w:pPr>
        <w:spacing w:line="420" w:lineRule="exact"/>
        <w:ind w:firstLine="482" w:firstLineChars="200"/>
        <w:jc w:val="both"/>
        <w:textAlignment w:val="baseline"/>
        <w:rPr>
          <w:rStyle w:val="43"/>
          <w:rFonts w:hint="eastAsia" w:ascii="宋体" w:hAnsi="宋体" w:eastAsia="宋体" w:cs="宋体"/>
          <w:b/>
          <w:bCs/>
          <w:color w:val="auto"/>
          <w:kern w:val="2"/>
          <w:sz w:val="24"/>
          <w:szCs w:val="24"/>
          <w:highlight w:val="none"/>
          <w:lang w:val="en-US" w:eastAsia="zh-CN" w:bidi="ar-SA"/>
        </w:rPr>
      </w:pPr>
      <w:r>
        <w:rPr>
          <w:rStyle w:val="43"/>
          <w:rFonts w:hint="eastAsia" w:ascii="宋体" w:hAnsi="宋体" w:eastAsia="宋体" w:cs="宋体"/>
          <w:b/>
          <w:bCs/>
          <w:color w:val="auto"/>
          <w:kern w:val="2"/>
          <w:sz w:val="24"/>
          <w:szCs w:val="24"/>
          <w:highlight w:val="none"/>
          <w:lang w:val="en-US" w:eastAsia="zh-CN" w:bidi="ar-SA"/>
        </w:rPr>
        <w:t>1  双方权利和义务</w:t>
      </w:r>
    </w:p>
    <w:p>
      <w:pPr>
        <w:spacing w:line="420" w:lineRule="exact"/>
        <w:ind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1.1  严格遵守国家有关法律法规的规定。</w:t>
      </w:r>
    </w:p>
    <w:p>
      <w:pPr>
        <w:spacing w:line="420" w:lineRule="exact"/>
        <w:ind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1.2  严格执行一切合同文件，自觉按合同办事。</w:t>
      </w:r>
    </w:p>
    <w:p>
      <w:pPr>
        <w:spacing w:line="420" w:lineRule="exact"/>
        <w:ind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1.3  双方的业务活动坚持公平、公开、公正和诚信的原则（法律认定的商业秘密和合同文件另有规定除外），不得损害国家和集体利益，不得违反工程建设管理规章制度。</w:t>
      </w:r>
    </w:p>
    <w:p>
      <w:pPr>
        <w:spacing w:line="420" w:lineRule="exact"/>
        <w:ind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1.4  建立健全廉政制度，开展廉政教育，设立廉政告示牌，公布举报电话，监督并认真查处违法违纪行为。</w:t>
      </w:r>
    </w:p>
    <w:p>
      <w:pPr>
        <w:spacing w:line="420" w:lineRule="exact"/>
        <w:ind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1.5  发现对方在业务活动中有违反廉政建设规定的行为，应及时给予提醒和纠正。</w:t>
      </w:r>
    </w:p>
    <w:p>
      <w:pPr>
        <w:spacing w:line="420" w:lineRule="exact"/>
        <w:ind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1.6  发现对方严重违反合同的行为，有向其上级部门举报、建议给予处理并要求告知处理结果的权利。没有上级部门的，可按施工合同通用条款第70条规定处理。</w:t>
      </w:r>
    </w:p>
    <w:p>
      <w:pPr>
        <w:spacing w:line="420" w:lineRule="exact"/>
        <w:ind w:firstLine="482" w:firstLineChars="200"/>
        <w:jc w:val="both"/>
        <w:textAlignment w:val="baseline"/>
        <w:rPr>
          <w:rStyle w:val="43"/>
          <w:rFonts w:hint="eastAsia" w:ascii="宋体" w:hAnsi="宋体" w:eastAsia="宋体" w:cs="宋体"/>
          <w:b/>
          <w:bCs/>
          <w:color w:val="auto"/>
          <w:kern w:val="2"/>
          <w:sz w:val="24"/>
          <w:szCs w:val="24"/>
          <w:highlight w:val="none"/>
          <w:lang w:val="en-US" w:eastAsia="zh-CN" w:bidi="ar-SA"/>
        </w:rPr>
      </w:pPr>
      <w:r>
        <w:rPr>
          <w:rStyle w:val="43"/>
          <w:rFonts w:hint="eastAsia" w:ascii="宋体" w:hAnsi="宋体" w:eastAsia="宋体" w:cs="宋体"/>
          <w:b/>
          <w:bCs/>
          <w:color w:val="auto"/>
          <w:kern w:val="2"/>
          <w:sz w:val="24"/>
          <w:szCs w:val="24"/>
          <w:highlight w:val="none"/>
          <w:lang w:val="en-US" w:eastAsia="zh-CN" w:bidi="ar-SA"/>
        </w:rPr>
        <w:t>2  发包人义务</w:t>
      </w:r>
    </w:p>
    <w:p>
      <w:pPr>
        <w:spacing w:line="420" w:lineRule="exact"/>
        <w:ind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2.1  发包人及其工作人员不得索要或接受承包人的礼金、有价证券和贵重物品，不得在承包人报销任何应由发包人或工作人员个人支付的费用等。</w:t>
      </w:r>
    </w:p>
    <w:p>
      <w:pPr>
        <w:spacing w:line="420" w:lineRule="exact"/>
        <w:ind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2.2  发包人及其工作人员不得参加承包人安排的宴请（工作餐除外）和娱乐活动；不得接受承包人提供的通讯工具、交通工具和高档办公用品等。</w:t>
      </w:r>
    </w:p>
    <w:p>
      <w:pPr>
        <w:spacing w:line="420" w:lineRule="exact"/>
        <w:ind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2.3  发包人及其工作人员不得要求或者接受承包人为其住房装修、婚丧嫁娶活动、配偶子女的工作安排以及出国出境、旅游等提供方便等。</w:t>
      </w:r>
    </w:p>
    <w:p>
      <w:pPr>
        <w:spacing w:line="420" w:lineRule="exact"/>
        <w:ind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2.4  发包人及其工作人员及其配偶、子女不得从事与发包人有关的工程材料设备供应、工程分包、劳务等经济活动。</w:t>
      </w:r>
    </w:p>
    <w:p>
      <w:pPr>
        <w:spacing w:line="420" w:lineRule="exact"/>
        <w:ind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2.5  发包人及其工作人员不得以任何理由向承包人推荐分包单位或推销材料，不得要求承包人购买合同约定外的材料和设备。</w:t>
      </w:r>
    </w:p>
    <w:p>
      <w:pPr>
        <w:spacing w:line="420" w:lineRule="exact"/>
        <w:ind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2.6  发包人及其工作人员要秉公办事，不准营私舞弊，不准利用职权从事各种个人有偿中介活动和安排个人施工队伍。</w:t>
      </w:r>
    </w:p>
    <w:p>
      <w:pPr>
        <w:spacing w:line="420" w:lineRule="exact"/>
        <w:ind w:firstLine="482" w:firstLineChars="200"/>
        <w:jc w:val="both"/>
        <w:textAlignment w:val="baseline"/>
        <w:rPr>
          <w:rStyle w:val="43"/>
          <w:rFonts w:hint="eastAsia" w:ascii="宋体" w:hAnsi="宋体" w:eastAsia="宋体" w:cs="宋体"/>
          <w:b/>
          <w:bCs/>
          <w:color w:val="auto"/>
          <w:kern w:val="2"/>
          <w:sz w:val="24"/>
          <w:szCs w:val="24"/>
          <w:highlight w:val="none"/>
          <w:lang w:val="en-US" w:eastAsia="zh-CN" w:bidi="ar-SA"/>
        </w:rPr>
      </w:pPr>
      <w:r>
        <w:rPr>
          <w:rStyle w:val="43"/>
          <w:rFonts w:hint="eastAsia" w:ascii="宋体" w:hAnsi="宋体" w:eastAsia="宋体" w:cs="宋体"/>
          <w:b/>
          <w:bCs/>
          <w:color w:val="auto"/>
          <w:kern w:val="2"/>
          <w:sz w:val="24"/>
          <w:szCs w:val="24"/>
          <w:highlight w:val="none"/>
          <w:lang w:val="en-US" w:eastAsia="zh-CN" w:bidi="ar-SA"/>
        </w:rPr>
        <w:t>3  承包人义务</w:t>
      </w:r>
    </w:p>
    <w:p>
      <w:pPr>
        <w:spacing w:line="420" w:lineRule="exact"/>
        <w:ind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3.1  承包人不得以任何理由向发包人及其工作人员行贿或馈赠礼金、有价证券、贵重礼品。</w:t>
      </w:r>
    </w:p>
    <w:p>
      <w:pPr>
        <w:snapToGrid w:val="0"/>
        <w:spacing w:line="380" w:lineRule="exact"/>
        <w:ind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3.2  承包人不得以任何名义为发包人及其工作人员报销应由发包人或工作人员个人支付的任何费用。</w:t>
      </w:r>
    </w:p>
    <w:p>
      <w:pPr>
        <w:snapToGrid w:val="0"/>
        <w:spacing w:line="380" w:lineRule="exact"/>
        <w:ind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3.3  承包人不得以任何理由安排发包人及其工作人员参加宴请（工作餐除外）及娱乐活动。</w:t>
      </w:r>
    </w:p>
    <w:p>
      <w:pPr>
        <w:snapToGrid w:val="0"/>
        <w:spacing w:line="380" w:lineRule="exact"/>
        <w:ind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3.4  承包人不得为发包人和个人购置或提供通讯工具、交通工具和高档办公用品等。</w:t>
      </w:r>
    </w:p>
    <w:p>
      <w:pPr>
        <w:tabs>
          <w:tab w:val="left" w:pos="900"/>
        </w:tabs>
        <w:spacing w:line="420" w:lineRule="exact"/>
        <w:ind w:firstLine="482" w:firstLineChars="200"/>
        <w:jc w:val="both"/>
        <w:textAlignment w:val="baseline"/>
        <w:rPr>
          <w:rStyle w:val="43"/>
          <w:rFonts w:hint="eastAsia" w:ascii="宋体" w:hAnsi="宋体" w:eastAsia="宋体" w:cs="宋体"/>
          <w:b/>
          <w:bCs/>
          <w:color w:val="auto"/>
          <w:kern w:val="2"/>
          <w:sz w:val="24"/>
          <w:szCs w:val="24"/>
          <w:highlight w:val="none"/>
          <w:lang w:val="en-US" w:eastAsia="zh-CN" w:bidi="ar-SA"/>
        </w:rPr>
      </w:pPr>
      <w:r>
        <w:rPr>
          <w:rStyle w:val="43"/>
          <w:rFonts w:hint="eastAsia" w:ascii="宋体" w:hAnsi="宋体" w:eastAsia="宋体" w:cs="宋体"/>
          <w:b/>
          <w:bCs/>
          <w:color w:val="auto"/>
          <w:kern w:val="2"/>
          <w:sz w:val="24"/>
          <w:szCs w:val="24"/>
          <w:highlight w:val="none"/>
          <w:lang w:val="en-US" w:eastAsia="zh-CN" w:bidi="ar-SA"/>
        </w:rPr>
        <w:t>4  违约责任</w:t>
      </w:r>
    </w:p>
    <w:p>
      <w:pPr>
        <w:spacing w:line="420" w:lineRule="exact"/>
        <w:ind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4.1  发包人及其工作人员违反本合同第1条和第2条规定，应依据有关规定给予廉政建设规定的处分；涉嫌犯罪的，移交司法机关追究刑事责任；给承包人造成经济损失的，应予赔偿。</w:t>
      </w:r>
    </w:p>
    <w:p>
      <w:pPr>
        <w:spacing w:line="420" w:lineRule="exact"/>
        <w:ind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4.2  承包人及其工作人员违反本合同第1条和第3条规定，应依据有关规定给予廉政建设规定的处分；给发包人造成经济损失的，应予赔偿；情节严重的，给予承包人一至三年内不得进入工程建设市场的处罚。</w:t>
      </w:r>
    </w:p>
    <w:p>
      <w:pPr>
        <w:numPr>
          <w:ilvl w:val="0"/>
          <w:numId w:val="11"/>
        </w:numPr>
        <w:tabs>
          <w:tab w:val="left" w:pos="840"/>
        </w:tabs>
        <w:spacing w:line="420" w:lineRule="exact"/>
        <w:ind w:left="840" w:hanging="360"/>
        <w:jc w:val="both"/>
        <w:textAlignment w:val="baseline"/>
        <w:rPr>
          <w:rStyle w:val="43"/>
          <w:rFonts w:hint="eastAsia" w:ascii="宋体" w:hAnsi="宋体" w:eastAsia="宋体" w:cs="宋体"/>
          <w:b/>
          <w:bCs/>
          <w:color w:val="auto"/>
          <w:kern w:val="2"/>
          <w:sz w:val="24"/>
          <w:szCs w:val="24"/>
          <w:highlight w:val="none"/>
          <w:lang w:val="en-US" w:eastAsia="zh-CN" w:bidi="ar-SA"/>
        </w:rPr>
      </w:pPr>
      <w:r>
        <w:rPr>
          <w:rStyle w:val="43"/>
          <w:rFonts w:hint="eastAsia" w:ascii="宋体" w:hAnsi="宋体" w:eastAsia="宋体" w:cs="宋体"/>
          <w:b/>
          <w:bCs/>
          <w:color w:val="auto"/>
          <w:kern w:val="2"/>
          <w:sz w:val="24"/>
          <w:szCs w:val="24"/>
          <w:highlight w:val="none"/>
          <w:lang w:val="en-US" w:eastAsia="zh-CN" w:bidi="ar-SA"/>
        </w:rPr>
        <w:t>双方约定</w:t>
      </w:r>
    </w:p>
    <w:p>
      <w:pPr>
        <w:spacing w:line="420" w:lineRule="exact"/>
        <w:ind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本合同由双方或其上级部门负责监督执行，并由双方或其上级部门相互约请对本合同执行情况进行检查。</w:t>
      </w:r>
    </w:p>
    <w:p>
      <w:pPr>
        <w:spacing w:line="420" w:lineRule="exact"/>
        <w:ind w:firstLine="482" w:firstLineChars="200"/>
        <w:jc w:val="both"/>
        <w:textAlignment w:val="baseline"/>
        <w:rPr>
          <w:rStyle w:val="43"/>
          <w:rFonts w:hint="eastAsia" w:ascii="宋体" w:hAnsi="宋体" w:eastAsia="宋体" w:cs="宋体"/>
          <w:b/>
          <w:bCs/>
          <w:color w:val="auto"/>
          <w:kern w:val="2"/>
          <w:sz w:val="24"/>
          <w:szCs w:val="24"/>
          <w:highlight w:val="none"/>
          <w:lang w:val="en-US" w:eastAsia="zh-CN" w:bidi="ar-SA"/>
        </w:rPr>
      </w:pPr>
      <w:r>
        <w:rPr>
          <w:rStyle w:val="43"/>
          <w:rFonts w:hint="eastAsia" w:ascii="宋体" w:hAnsi="宋体" w:eastAsia="宋体" w:cs="宋体"/>
          <w:b/>
          <w:bCs/>
          <w:color w:val="auto"/>
          <w:kern w:val="2"/>
          <w:sz w:val="24"/>
          <w:szCs w:val="24"/>
          <w:highlight w:val="none"/>
          <w:lang w:val="en-US" w:eastAsia="zh-CN" w:bidi="ar-SA"/>
        </w:rPr>
        <w:t>6  合同生效</w:t>
      </w:r>
    </w:p>
    <w:p>
      <w:pPr>
        <w:spacing w:line="420" w:lineRule="exact"/>
        <w:ind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本合同的有效期，自双方签署之日起至该工程竣工验收合格之日止。（长期有效）</w:t>
      </w:r>
    </w:p>
    <w:p>
      <w:pPr>
        <w:spacing w:line="420" w:lineRule="exact"/>
        <w:ind w:firstLine="482" w:firstLineChars="200"/>
        <w:jc w:val="both"/>
        <w:textAlignment w:val="baseline"/>
        <w:rPr>
          <w:rStyle w:val="43"/>
          <w:rFonts w:hint="eastAsia" w:ascii="宋体" w:hAnsi="宋体" w:eastAsia="宋体" w:cs="宋体"/>
          <w:b/>
          <w:bCs/>
          <w:color w:val="auto"/>
          <w:kern w:val="2"/>
          <w:sz w:val="24"/>
          <w:szCs w:val="24"/>
          <w:highlight w:val="none"/>
          <w:lang w:val="en-US" w:eastAsia="zh-CN" w:bidi="ar-SA"/>
        </w:rPr>
      </w:pPr>
      <w:r>
        <w:rPr>
          <w:rStyle w:val="43"/>
          <w:rFonts w:hint="eastAsia" w:ascii="宋体" w:hAnsi="宋体" w:eastAsia="宋体" w:cs="宋体"/>
          <w:b/>
          <w:bCs/>
          <w:color w:val="auto"/>
          <w:kern w:val="2"/>
          <w:sz w:val="24"/>
          <w:szCs w:val="24"/>
          <w:highlight w:val="none"/>
          <w:lang w:val="en-US" w:eastAsia="zh-CN" w:bidi="ar-SA"/>
        </w:rPr>
        <w:t>7  合同法律效力</w:t>
      </w:r>
    </w:p>
    <w:p>
      <w:pPr>
        <w:spacing w:line="420" w:lineRule="exact"/>
        <w:ind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本合同作为（广州市天河区珠村小学改造工程）工程施工合同的附件，与施工合同具有同等的法律效力，经双方签署后生效。</w:t>
      </w:r>
    </w:p>
    <w:p>
      <w:pPr>
        <w:spacing w:line="420" w:lineRule="exact"/>
        <w:ind w:firstLine="482" w:firstLineChars="200"/>
        <w:jc w:val="both"/>
        <w:textAlignment w:val="baseline"/>
        <w:rPr>
          <w:rStyle w:val="43"/>
          <w:rFonts w:hint="eastAsia" w:ascii="宋体" w:hAnsi="宋体" w:eastAsia="宋体" w:cs="宋体"/>
          <w:b/>
          <w:bCs/>
          <w:color w:val="auto"/>
          <w:kern w:val="2"/>
          <w:sz w:val="24"/>
          <w:szCs w:val="24"/>
          <w:highlight w:val="none"/>
          <w:lang w:val="en-US" w:eastAsia="zh-CN" w:bidi="ar-SA"/>
        </w:rPr>
      </w:pPr>
      <w:r>
        <w:rPr>
          <w:rStyle w:val="43"/>
          <w:rFonts w:hint="eastAsia" w:ascii="宋体" w:hAnsi="宋体" w:eastAsia="宋体" w:cs="宋体"/>
          <w:b/>
          <w:bCs/>
          <w:color w:val="auto"/>
          <w:kern w:val="2"/>
          <w:sz w:val="24"/>
          <w:szCs w:val="24"/>
          <w:highlight w:val="none"/>
          <w:lang w:val="en-US" w:eastAsia="zh-CN" w:bidi="ar-SA"/>
        </w:rPr>
        <w:t>8  合同份数</w:t>
      </w:r>
    </w:p>
    <w:p>
      <w:pPr>
        <w:spacing w:line="420" w:lineRule="exact"/>
        <w:ind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本合同与主合同份数一致。有上级部门的，双方应送交其上级部门各一份。</w:t>
      </w:r>
    </w:p>
    <w:p>
      <w:pPr>
        <w:tabs>
          <w:tab w:val="left" w:pos="1120"/>
        </w:tabs>
        <w:spacing w:line="319" w:lineRule="auto"/>
        <w:ind w:left="6267" w:leftChars="390" w:right="-141" w:hanging="5448" w:hangingChars="2270"/>
        <w:jc w:val="both"/>
        <w:textAlignment w:val="baseline"/>
        <w:rPr>
          <w:rStyle w:val="43"/>
          <w:rFonts w:hint="eastAsia" w:ascii="宋体" w:hAnsi="宋体" w:eastAsia="宋体" w:cs="宋体"/>
          <w:color w:val="auto"/>
          <w:kern w:val="2"/>
          <w:sz w:val="24"/>
          <w:szCs w:val="24"/>
          <w:highlight w:val="none"/>
          <w:lang w:val="en-US" w:eastAsia="zh-CN" w:bidi="ar-SA"/>
        </w:rPr>
      </w:pPr>
    </w:p>
    <w:p>
      <w:pPr>
        <w:spacing w:line="360" w:lineRule="auto"/>
        <w:ind w:left="6720" w:hanging="6720" w:hangingChars="2800"/>
        <w:jc w:val="both"/>
        <w:textAlignment w:val="baseline"/>
        <w:rPr>
          <w:rStyle w:val="43"/>
          <w:rFonts w:hint="eastAsia" w:ascii="宋体" w:hAnsi="宋体" w:eastAsia="宋体" w:cs="宋体"/>
          <w:color w:val="auto"/>
          <w:kern w:val="2"/>
          <w:sz w:val="21"/>
          <w:szCs w:val="21"/>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发包人（盖章）：广州市天河区珠村小学   承包人（盖章）：</w:t>
      </w:r>
    </w:p>
    <w:p>
      <w:pPr>
        <w:spacing w:line="360" w:lineRule="auto"/>
        <w:ind w:left="6540" w:leftChars="600" w:hanging="5280" w:hangingChars="2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 xml:space="preserve">      </w:t>
      </w:r>
      <w:bookmarkStart w:id="290" w:name="_GoBack"/>
      <w:bookmarkEnd w:id="290"/>
      <w:r>
        <w:rPr>
          <w:rStyle w:val="43"/>
          <w:rFonts w:hint="eastAsia" w:ascii="宋体" w:hAnsi="宋体" w:eastAsia="宋体" w:cs="宋体"/>
          <w:color w:val="auto"/>
          <w:kern w:val="2"/>
          <w:sz w:val="24"/>
          <w:szCs w:val="24"/>
          <w:highlight w:val="none"/>
          <w:lang w:val="en-US" w:eastAsia="zh-CN" w:bidi="ar-SA"/>
        </w:rPr>
        <w:t xml:space="preserve">                                   </w:t>
      </w:r>
    </w:p>
    <w:p>
      <w:pPr>
        <w:spacing w:line="360" w:lineRule="auto"/>
        <w:ind w:left="6120" w:hanging="6120" w:hangingChars="255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地址：                                  地址：</w:t>
      </w:r>
    </w:p>
    <w:p>
      <w:pPr>
        <w:tabs>
          <w:tab w:val="left" w:pos="525"/>
          <w:tab w:val="left" w:pos="1155"/>
        </w:tabs>
        <w:spacing w:line="360" w:lineRule="auto"/>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法定代表人：                             法定代表人：</w:t>
      </w:r>
    </w:p>
    <w:p>
      <w:pPr>
        <w:tabs>
          <w:tab w:val="left" w:pos="525"/>
          <w:tab w:val="left" w:pos="1155"/>
        </w:tabs>
        <w:spacing w:line="360" w:lineRule="auto"/>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委托代理人：                             委托代理人：</w:t>
      </w:r>
    </w:p>
    <w:p>
      <w:pPr>
        <w:tabs>
          <w:tab w:val="left" w:pos="525"/>
          <w:tab w:val="left" w:pos="1155"/>
        </w:tabs>
        <w:spacing w:line="360" w:lineRule="auto"/>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电话：</w:t>
      </w:r>
      <w:r>
        <w:rPr>
          <w:rStyle w:val="43"/>
          <w:rFonts w:hint="eastAsia" w:ascii="宋体" w:hAnsi="宋体" w:eastAsia="宋体" w:cs="宋体"/>
          <w:color w:val="auto"/>
          <w:kern w:val="0"/>
          <w:sz w:val="24"/>
          <w:szCs w:val="24"/>
          <w:highlight w:val="none"/>
          <w:lang w:val="en-US" w:eastAsia="zh-CN" w:bidi="ar-SA"/>
        </w:rPr>
        <w:t xml:space="preserve">020-         </w:t>
      </w:r>
      <w:r>
        <w:rPr>
          <w:rStyle w:val="43"/>
          <w:rFonts w:hint="eastAsia" w:ascii="宋体" w:hAnsi="宋体" w:eastAsia="宋体" w:cs="宋体"/>
          <w:color w:val="auto"/>
          <w:kern w:val="2"/>
          <w:sz w:val="24"/>
          <w:szCs w:val="24"/>
          <w:highlight w:val="none"/>
          <w:lang w:val="en-US" w:eastAsia="zh-CN" w:bidi="ar-SA"/>
        </w:rPr>
        <w:t xml:space="preserve">                      电话</w:t>
      </w:r>
    </w:p>
    <w:p>
      <w:pPr>
        <w:tabs>
          <w:tab w:val="left" w:pos="525"/>
          <w:tab w:val="left" w:pos="1155"/>
        </w:tabs>
        <w:spacing w:line="360" w:lineRule="auto"/>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开户银行：</w:t>
      </w:r>
      <w:r>
        <w:rPr>
          <w:rStyle w:val="43"/>
          <w:rFonts w:hint="eastAsia" w:ascii="宋体" w:hAnsi="宋体" w:eastAsia="宋体" w:cs="宋体"/>
          <w:color w:val="auto"/>
          <w:kern w:val="0"/>
          <w:sz w:val="24"/>
          <w:szCs w:val="24"/>
          <w:highlight w:val="none"/>
          <w:lang w:val="en-US" w:eastAsia="zh-CN" w:bidi="ar-SA"/>
        </w:rPr>
        <w:t xml:space="preserve">                </w:t>
      </w:r>
      <w:r>
        <w:rPr>
          <w:rStyle w:val="43"/>
          <w:rFonts w:hint="eastAsia" w:ascii="宋体" w:hAnsi="宋体" w:eastAsia="宋体" w:cs="宋体"/>
          <w:color w:val="auto"/>
          <w:kern w:val="2"/>
          <w:sz w:val="24"/>
          <w:szCs w:val="24"/>
          <w:highlight w:val="none"/>
          <w:lang w:val="en-US" w:eastAsia="zh-CN" w:bidi="ar-SA"/>
        </w:rPr>
        <w:t xml:space="preserve">               开户银行：</w:t>
      </w:r>
    </w:p>
    <w:p>
      <w:pPr>
        <w:tabs>
          <w:tab w:val="left" w:pos="525"/>
          <w:tab w:val="left" w:pos="1155"/>
          <w:tab w:val="left" w:pos="6090"/>
        </w:tabs>
        <w:spacing w:line="360" w:lineRule="auto"/>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bidi="ar-SA"/>
        </w:rPr>
        <w:t>帐号：</w:t>
      </w:r>
      <w:r>
        <w:rPr>
          <w:rStyle w:val="43"/>
          <w:rFonts w:hint="eastAsia" w:ascii="宋体" w:hAnsi="宋体" w:eastAsia="宋体" w:cs="宋体"/>
          <w:color w:val="auto"/>
          <w:kern w:val="0"/>
          <w:sz w:val="24"/>
          <w:szCs w:val="24"/>
          <w:highlight w:val="none"/>
          <w:lang w:val="en-US" w:eastAsia="zh-CN" w:bidi="ar-SA"/>
        </w:rPr>
        <w:t xml:space="preserve">                     </w:t>
      </w:r>
      <w:r>
        <w:rPr>
          <w:rStyle w:val="43"/>
          <w:rFonts w:hint="eastAsia" w:ascii="宋体" w:hAnsi="宋体" w:eastAsia="宋体" w:cs="宋体"/>
          <w:color w:val="auto"/>
          <w:kern w:val="2"/>
          <w:sz w:val="24"/>
          <w:szCs w:val="24"/>
          <w:highlight w:val="none"/>
          <w:lang w:val="en-US" w:eastAsia="zh-CN" w:bidi="ar-SA"/>
        </w:rPr>
        <w:t xml:space="preserve">              帐号：</w:t>
      </w:r>
    </w:p>
    <w:p>
      <w:pPr>
        <w:pStyle w:val="32"/>
        <w:widowControl/>
        <w:spacing w:after="0" w:line="480" w:lineRule="auto"/>
        <w:ind w:left="0" w:leftChars="0" w:firstLine="0" w:firstLineChars="0"/>
        <w:jc w:val="both"/>
        <w:textAlignment w:val="baseline"/>
        <w:rPr>
          <w:rStyle w:val="43"/>
          <w:rFonts w:hint="eastAsia" w:ascii="宋体" w:hAnsi="宋体" w:eastAsia="宋体" w:cs="宋体"/>
          <w:color w:val="auto"/>
          <w:highlight w:val="none"/>
        </w:rPr>
      </w:pPr>
      <w:r>
        <w:rPr>
          <w:rStyle w:val="43"/>
          <w:rFonts w:hint="eastAsia" w:ascii="宋体" w:hAnsi="宋体" w:eastAsia="宋体" w:cs="宋体"/>
          <w:color w:val="auto"/>
          <w:sz w:val="24"/>
          <w:szCs w:val="24"/>
          <w:highlight w:val="none"/>
        </w:rPr>
        <w:t>上级部门：（公章）                       上级部门：（公章）</w:t>
      </w:r>
    </w:p>
    <w:p>
      <w:pPr>
        <w:spacing w:line="420" w:lineRule="exact"/>
        <w:ind w:right="-512" w:rightChars="-244"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p>
    <w:p>
      <w:pPr>
        <w:spacing w:line="420" w:lineRule="exact"/>
        <w:ind w:right="-512" w:rightChars="-244"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p>
    <w:p>
      <w:pPr>
        <w:spacing w:line="420" w:lineRule="exact"/>
        <w:ind w:right="-512" w:rightChars="-244"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p>
    <w:p>
      <w:pPr>
        <w:spacing w:line="420" w:lineRule="exact"/>
        <w:ind w:right="-512" w:rightChars="-244"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p>
    <w:p>
      <w:pPr>
        <w:spacing w:line="420" w:lineRule="exact"/>
        <w:ind w:right="-512" w:rightChars="-244"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p>
    <w:p>
      <w:pPr>
        <w:spacing w:line="420" w:lineRule="exact"/>
        <w:ind w:right="-512" w:rightChars="-244"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p>
    <w:p>
      <w:pPr>
        <w:spacing w:line="420" w:lineRule="exact"/>
        <w:ind w:right="-512" w:rightChars="-244"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p>
    <w:p>
      <w:pPr>
        <w:spacing w:line="420" w:lineRule="exact"/>
        <w:ind w:right="-512" w:rightChars="-244"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p>
    <w:p>
      <w:pPr>
        <w:spacing w:line="420" w:lineRule="exact"/>
        <w:ind w:right="-512" w:rightChars="-244"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p>
    <w:p>
      <w:pPr>
        <w:spacing w:line="420" w:lineRule="exact"/>
        <w:ind w:right="-512" w:rightChars="-244"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p>
    <w:p>
      <w:pPr>
        <w:spacing w:line="420" w:lineRule="exact"/>
        <w:ind w:right="-512" w:rightChars="-244"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p>
    <w:p>
      <w:pPr>
        <w:spacing w:line="420" w:lineRule="exact"/>
        <w:ind w:right="-512" w:rightChars="-244"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p>
    <w:p>
      <w:pPr>
        <w:spacing w:line="420" w:lineRule="exact"/>
        <w:ind w:right="-512" w:rightChars="-244"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p>
    <w:p>
      <w:pPr>
        <w:spacing w:line="420" w:lineRule="exact"/>
        <w:ind w:right="-512" w:rightChars="-244"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p>
    <w:p>
      <w:pPr>
        <w:spacing w:line="420" w:lineRule="exact"/>
        <w:ind w:right="-512" w:rightChars="-244"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p>
    <w:p>
      <w:pPr>
        <w:spacing w:line="420" w:lineRule="exact"/>
        <w:ind w:right="-512" w:rightChars="-244"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p>
    <w:p>
      <w:pPr>
        <w:spacing w:line="420" w:lineRule="exact"/>
        <w:ind w:right="-512" w:rightChars="-244"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p>
    <w:p>
      <w:pPr>
        <w:spacing w:line="420" w:lineRule="exact"/>
        <w:ind w:right="-512" w:rightChars="-244"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p>
    <w:p>
      <w:pPr>
        <w:spacing w:line="420" w:lineRule="exact"/>
        <w:ind w:right="-512" w:rightChars="-244"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p>
    <w:p>
      <w:pPr>
        <w:spacing w:line="420" w:lineRule="exact"/>
        <w:ind w:right="-512" w:rightChars="-244"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p>
    <w:p>
      <w:pPr>
        <w:spacing w:line="420" w:lineRule="exact"/>
        <w:ind w:right="-512" w:rightChars="-244"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p>
    <w:p>
      <w:pPr>
        <w:spacing w:line="420" w:lineRule="exact"/>
        <w:ind w:right="-512" w:rightChars="-244"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p>
    <w:p>
      <w:pPr>
        <w:spacing w:line="420" w:lineRule="exact"/>
        <w:ind w:right="-512" w:rightChars="-244"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p>
    <w:p>
      <w:pPr>
        <w:spacing w:line="420" w:lineRule="exact"/>
        <w:ind w:right="-512" w:rightChars="-244"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p>
    <w:p>
      <w:pPr>
        <w:spacing w:line="420" w:lineRule="exact"/>
        <w:ind w:right="-512" w:rightChars="-244"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p>
    <w:p>
      <w:pPr>
        <w:spacing w:line="420" w:lineRule="exact"/>
        <w:ind w:right="-512" w:rightChars="-244"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p>
    <w:p>
      <w:pPr>
        <w:spacing w:line="420" w:lineRule="exact"/>
        <w:ind w:right="-512" w:rightChars="-244"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p>
    <w:p>
      <w:pPr>
        <w:spacing w:line="420" w:lineRule="exact"/>
        <w:ind w:right="-512" w:rightChars="-244"/>
        <w:jc w:val="both"/>
        <w:textAlignment w:val="baseline"/>
        <w:rPr>
          <w:rStyle w:val="43"/>
          <w:rFonts w:hint="eastAsia" w:ascii="宋体" w:hAnsi="宋体" w:eastAsia="宋体" w:cs="宋体"/>
          <w:b/>
          <w:color w:val="auto"/>
          <w:kern w:val="2"/>
          <w:sz w:val="24"/>
          <w:szCs w:val="24"/>
          <w:highlight w:val="none"/>
          <w:lang w:val="en-US" w:eastAsia="zh-CN"/>
        </w:rPr>
      </w:pPr>
      <w:r>
        <w:rPr>
          <w:rStyle w:val="43"/>
          <w:rFonts w:hint="eastAsia" w:ascii="宋体" w:hAnsi="宋体" w:eastAsia="宋体" w:cs="宋体"/>
          <w:color w:val="auto"/>
          <w:kern w:val="2"/>
          <w:sz w:val="24"/>
          <w:szCs w:val="24"/>
          <w:highlight w:val="none"/>
          <w:lang w:val="en-US" w:eastAsia="zh-CN" w:bidi="ar-SA"/>
        </w:rPr>
        <w:t>附件四</w:t>
      </w:r>
    </w:p>
    <w:p>
      <w:pPr>
        <w:pStyle w:val="3"/>
        <w:spacing w:line="360" w:lineRule="auto"/>
        <w:jc w:val="center"/>
        <w:textAlignment w:val="baseline"/>
        <w:rPr>
          <w:rStyle w:val="43"/>
          <w:rFonts w:hint="eastAsia" w:ascii="宋体" w:hAnsi="宋体" w:eastAsia="宋体" w:cs="宋体"/>
          <w:b/>
          <w:bCs/>
          <w:color w:val="auto"/>
          <w:spacing w:val="-40"/>
          <w:kern w:val="2"/>
          <w:sz w:val="44"/>
          <w:szCs w:val="44"/>
          <w:highlight w:val="none"/>
          <w:lang w:val="en-US" w:eastAsia="zh-CN" w:bidi="ar-SA"/>
        </w:rPr>
      </w:pPr>
      <w:bookmarkStart w:id="275" w:name="_Toc29563"/>
      <w:bookmarkStart w:id="276" w:name="_Toc12063"/>
      <w:bookmarkStart w:id="277" w:name="_Toc26763"/>
      <w:bookmarkStart w:id="278" w:name="_Toc10238"/>
      <w:r>
        <w:rPr>
          <w:rStyle w:val="43"/>
          <w:rFonts w:hint="eastAsia" w:ascii="宋体" w:hAnsi="宋体" w:eastAsia="宋体" w:cs="宋体"/>
          <w:b/>
          <w:bCs/>
          <w:color w:val="auto"/>
          <w:spacing w:val="-40"/>
          <w:kern w:val="2"/>
          <w:sz w:val="44"/>
          <w:szCs w:val="44"/>
          <w:highlight w:val="none"/>
          <w:lang w:val="en-US" w:eastAsia="zh-CN"/>
        </w:rPr>
        <w:t>广 州 市 建 设 工 程 施 工 合 同</w:t>
      </w:r>
      <w:bookmarkEnd w:id="275"/>
      <w:bookmarkEnd w:id="276"/>
      <w:bookmarkEnd w:id="277"/>
      <w:bookmarkEnd w:id="278"/>
    </w:p>
    <w:p>
      <w:pPr>
        <w:pStyle w:val="3"/>
        <w:spacing w:line="360" w:lineRule="auto"/>
        <w:jc w:val="center"/>
        <w:textAlignment w:val="baseline"/>
        <w:rPr>
          <w:rStyle w:val="43"/>
          <w:rFonts w:hint="eastAsia" w:ascii="宋体" w:hAnsi="宋体" w:eastAsia="宋体" w:cs="宋体"/>
          <w:b/>
          <w:bCs/>
          <w:color w:val="auto"/>
          <w:spacing w:val="-40"/>
          <w:kern w:val="2"/>
          <w:sz w:val="44"/>
          <w:szCs w:val="44"/>
          <w:highlight w:val="none"/>
          <w:lang w:val="en-US" w:eastAsia="zh-CN" w:bidi="ar-SA"/>
        </w:rPr>
      </w:pPr>
      <w:bookmarkStart w:id="279" w:name="_Toc22847"/>
      <w:bookmarkStart w:id="280" w:name="_Toc23733"/>
      <w:bookmarkStart w:id="281" w:name="_Toc3497"/>
      <w:bookmarkStart w:id="282" w:name="_Toc6379"/>
      <w:r>
        <w:rPr>
          <w:rStyle w:val="43"/>
          <w:rFonts w:hint="eastAsia" w:ascii="宋体" w:hAnsi="宋体" w:eastAsia="宋体" w:cs="宋体"/>
          <w:b/>
          <w:bCs/>
          <w:color w:val="auto"/>
          <w:spacing w:val="-40"/>
          <w:kern w:val="2"/>
          <w:sz w:val="44"/>
          <w:szCs w:val="44"/>
          <w:highlight w:val="none"/>
          <w:lang w:val="en-US" w:eastAsia="zh-CN"/>
        </w:rPr>
        <w:t>补充协议</w:t>
      </w:r>
      <w:bookmarkEnd w:id="279"/>
      <w:bookmarkEnd w:id="280"/>
      <w:bookmarkEnd w:id="281"/>
      <w:bookmarkEnd w:id="282"/>
    </w:p>
    <w:p>
      <w:pPr>
        <w:spacing w:after="120" w:line="480" w:lineRule="auto"/>
        <w:ind w:left="2570" w:leftChars="557" w:hanging="1400" w:hangingChars="500"/>
        <w:jc w:val="both"/>
        <w:textAlignment w:val="baseline"/>
        <w:rPr>
          <w:rStyle w:val="43"/>
          <w:rFonts w:hint="eastAsia" w:ascii="宋体" w:hAnsi="宋体" w:eastAsia="宋体" w:cs="宋体"/>
          <w:color w:val="auto"/>
          <w:kern w:val="2"/>
          <w:sz w:val="28"/>
          <w:szCs w:val="28"/>
          <w:highlight w:val="none"/>
          <w:lang w:val="en-US" w:eastAsia="zh-CN"/>
        </w:rPr>
      </w:pPr>
    </w:p>
    <w:p>
      <w:pPr>
        <w:spacing w:after="120" w:line="480" w:lineRule="auto"/>
        <w:ind w:left="2570" w:leftChars="557" w:hanging="1400" w:hangingChars="500"/>
        <w:jc w:val="both"/>
        <w:textAlignment w:val="baseline"/>
        <w:rPr>
          <w:rStyle w:val="43"/>
          <w:rFonts w:hint="eastAsia" w:ascii="宋体" w:hAnsi="宋体" w:eastAsia="宋体" w:cs="宋体"/>
          <w:color w:val="auto"/>
          <w:kern w:val="2"/>
          <w:sz w:val="28"/>
          <w:szCs w:val="28"/>
          <w:highlight w:val="none"/>
          <w:lang w:val="en-US" w:eastAsia="zh-CN"/>
        </w:rPr>
      </w:pPr>
    </w:p>
    <w:p>
      <w:pPr>
        <w:spacing w:after="120" w:line="480" w:lineRule="auto"/>
        <w:ind w:left="2570" w:leftChars="557" w:hanging="1400" w:hangingChars="500"/>
        <w:jc w:val="both"/>
        <w:textAlignment w:val="baseline"/>
        <w:rPr>
          <w:rStyle w:val="43"/>
          <w:rFonts w:hint="eastAsia" w:ascii="宋体" w:hAnsi="宋体" w:eastAsia="宋体" w:cs="宋体"/>
          <w:color w:val="auto"/>
          <w:kern w:val="2"/>
          <w:sz w:val="28"/>
          <w:szCs w:val="28"/>
          <w:highlight w:val="none"/>
          <w:lang w:val="en-US" w:eastAsia="zh-CN" w:bidi="ar-SA"/>
        </w:rPr>
      </w:pPr>
      <w:r>
        <w:rPr>
          <w:rStyle w:val="43"/>
          <w:rFonts w:hint="eastAsia" w:ascii="宋体" w:hAnsi="宋体" w:eastAsia="宋体" w:cs="宋体"/>
          <w:color w:val="auto"/>
          <w:kern w:val="2"/>
          <w:sz w:val="28"/>
          <w:szCs w:val="28"/>
          <w:highlight w:val="none"/>
          <w:lang w:val="en-US" w:eastAsia="zh-CN"/>
        </w:rPr>
        <w:t>工程名称：</w:t>
      </w:r>
      <w:r>
        <w:rPr>
          <w:rStyle w:val="43"/>
          <w:rFonts w:hint="eastAsia" w:ascii="宋体" w:hAnsi="宋体" w:eastAsia="宋体" w:cs="宋体"/>
          <w:color w:val="auto"/>
          <w:kern w:val="2"/>
          <w:sz w:val="24"/>
          <w:szCs w:val="24"/>
          <w:highlight w:val="none"/>
          <w:lang w:val="en-US" w:eastAsia="zh-CN"/>
        </w:rPr>
        <w:t xml:space="preserve">                             </w:t>
      </w:r>
    </w:p>
    <w:p>
      <w:pPr>
        <w:spacing w:after="120" w:line="480" w:lineRule="auto"/>
        <w:ind w:left="2570" w:leftChars="557" w:hanging="1400" w:hangingChars="500"/>
        <w:jc w:val="both"/>
        <w:textAlignment w:val="baseline"/>
        <w:rPr>
          <w:rStyle w:val="43"/>
          <w:rFonts w:hint="eastAsia" w:ascii="宋体" w:hAnsi="宋体" w:eastAsia="宋体" w:cs="宋体"/>
          <w:color w:val="auto"/>
          <w:kern w:val="2"/>
          <w:sz w:val="28"/>
          <w:szCs w:val="28"/>
          <w:highlight w:val="none"/>
          <w:lang w:val="en-US" w:eastAsia="zh-CN" w:bidi="ar-SA"/>
        </w:rPr>
      </w:pPr>
      <w:r>
        <w:rPr>
          <w:rStyle w:val="43"/>
          <w:rFonts w:hint="eastAsia" w:ascii="宋体" w:hAnsi="宋体" w:eastAsia="宋体" w:cs="宋体"/>
          <w:color w:val="auto"/>
          <w:kern w:val="2"/>
          <w:sz w:val="28"/>
          <w:szCs w:val="28"/>
          <w:highlight w:val="none"/>
          <w:lang w:val="en-US" w:eastAsia="zh-CN"/>
        </w:rPr>
        <w:t>工程地点：</w:t>
      </w:r>
      <w:r>
        <w:rPr>
          <w:rStyle w:val="43"/>
          <w:rFonts w:hint="eastAsia" w:ascii="宋体" w:hAnsi="宋体" w:eastAsia="宋体" w:cs="宋体"/>
          <w:color w:val="auto"/>
          <w:kern w:val="2"/>
          <w:sz w:val="24"/>
          <w:szCs w:val="24"/>
          <w:highlight w:val="none"/>
          <w:lang w:val="en-US" w:eastAsia="zh-CN"/>
        </w:rPr>
        <w:t xml:space="preserve">                             </w:t>
      </w:r>
    </w:p>
    <w:p>
      <w:pPr>
        <w:spacing w:after="120" w:line="480" w:lineRule="auto"/>
        <w:ind w:left="2570" w:leftChars="557" w:hanging="1400" w:hangingChars="500"/>
        <w:jc w:val="both"/>
        <w:textAlignment w:val="baseline"/>
        <w:rPr>
          <w:rStyle w:val="43"/>
          <w:rFonts w:hint="eastAsia" w:ascii="宋体" w:hAnsi="宋体" w:eastAsia="宋体" w:cs="宋体"/>
          <w:color w:val="auto"/>
          <w:kern w:val="2"/>
          <w:sz w:val="28"/>
          <w:szCs w:val="28"/>
          <w:highlight w:val="none"/>
          <w:lang w:val="en-US" w:eastAsia="zh-CN" w:bidi="ar-SA"/>
        </w:rPr>
      </w:pPr>
      <w:r>
        <w:rPr>
          <w:rStyle w:val="43"/>
          <w:rFonts w:hint="eastAsia" w:ascii="宋体" w:hAnsi="宋体" w:eastAsia="宋体" w:cs="宋体"/>
          <w:color w:val="auto"/>
          <w:kern w:val="2"/>
          <w:sz w:val="28"/>
          <w:szCs w:val="28"/>
          <w:highlight w:val="none"/>
          <w:lang w:val="en-US" w:eastAsia="zh-CN"/>
        </w:rPr>
        <w:t>发包人：</w:t>
      </w:r>
      <w:r>
        <w:rPr>
          <w:rStyle w:val="43"/>
          <w:rFonts w:hint="eastAsia" w:ascii="宋体" w:hAnsi="宋体" w:eastAsia="宋体" w:cs="宋体"/>
          <w:color w:val="auto"/>
          <w:kern w:val="2"/>
          <w:sz w:val="28"/>
          <w:szCs w:val="28"/>
          <w:highlight w:val="none"/>
          <w:u w:val="single"/>
          <w:lang w:val="en-US" w:eastAsia="zh-CN"/>
        </w:rPr>
        <w:t xml:space="preserve"> 广州市天河区珠村小学</w:t>
      </w:r>
    </w:p>
    <w:p>
      <w:pPr>
        <w:spacing w:after="120" w:line="480" w:lineRule="auto"/>
        <w:ind w:firstLine="1120" w:firstLineChars="400"/>
        <w:jc w:val="left"/>
        <w:textAlignment w:val="baseline"/>
        <w:rPr>
          <w:rStyle w:val="43"/>
          <w:rFonts w:hint="eastAsia" w:ascii="宋体" w:hAnsi="宋体" w:eastAsia="宋体" w:cs="宋体"/>
          <w:color w:val="auto"/>
          <w:kern w:val="2"/>
          <w:sz w:val="28"/>
          <w:szCs w:val="28"/>
          <w:highlight w:val="none"/>
          <w:lang w:val="en-US" w:eastAsia="zh-CN" w:bidi="ar-SA"/>
        </w:rPr>
      </w:pPr>
      <w:r>
        <w:rPr>
          <w:rStyle w:val="43"/>
          <w:rFonts w:hint="eastAsia" w:ascii="宋体" w:hAnsi="宋体" w:eastAsia="宋体" w:cs="宋体"/>
          <w:color w:val="auto"/>
          <w:kern w:val="2"/>
          <w:sz w:val="28"/>
          <w:szCs w:val="28"/>
          <w:highlight w:val="none"/>
          <w:lang w:val="en-US" w:eastAsia="zh-CN"/>
        </w:rPr>
        <w:t>承包人：</w:t>
      </w:r>
      <w:r>
        <w:rPr>
          <w:rStyle w:val="43"/>
          <w:rFonts w:hint="eastAsia" w:ascii="宋体" w:hAnsi="宋体" w:eastAsia="宋体" w:cs="宋体"/>
          <w:color w:val="auto"/>
          <w:kern w:val="2"/>
          <w:sz w:val="28"/>
          <w:szCs w:val="28"/>
          <w:highlight w:val="none"/>
          <w:u w:val="single"/>
          <w:lang w:val="en-US" w:eastAsia="zh-CN"/>
        </w:rPr>
        <w:t xml:space="preserve"> </w:t>
      </w:r>
      <w:r>
        <w:rPr>
          <w:rStyle w:val="43"/>
          <w:rFonts w:hint="eastAsia" w:ascii="宋体" w:hAnsi="宋体" w:eastAsia="宋体" w:cs="宋体"/>
          <w:color w:val="auto"/>
          <w:kern w:val="2"/>
          <w:sz w:val="24"/>
          <w:szCs w:val="24"/>
          <w:highlight w:val="none"/>
          <w:lang w:val="en-US" w:eastAsia="zh-CN"/>
        </w:rPr>
        <w:t xml:space="preserve">                             </w:t>
      </w:r>
      <w:r>
        <w:rPr>
          <w:rStyle w:val="43"/>
          <w:rFonts w:hint="eastAsia" w:ascii="宋体" w:hAnsi="宋体" w:eastAsia="宋体" w:cs="宋体"/>
          <w:color w:val="auto"/>
          <w:kern w:val="2"/>
          <w:sz w:val="28"/>
          <w:szCs w:val="28"/>
          <w:highlight w:val="none"/>
          <w:u w:val="single"/>
          <w:lang w:val="en-US" w:eastAsia="zh-CN"/>
        </w:rPr>
        <w:t xml:space="preserve">                                            </w:t>
      </w:r>
    </w:p>
    <w:p>
      <w:pPr>
        <w:ind w:firstLine="1050"/>
        <w:jc w:val="both"/>
        <w:textAlignment w:val="baseline"/>
        <w:rPr>
          <w:rStyle w:val="43"/>
          <w:rFonts w:hint="eastAsia" w:ascii="宋体" w:hAnsi="宋体" w:eastAsia="宋体" w:cs="宋体"/>
          <w:color w:val="auto"/>
          <w:kern w:val="2"/>
          <w:sz w:val="21"/>
          <w:szCs w:val="21"/>
          <w:highlight w:val="none"/>
          <w:lang w:val="en-US" w:eastAsia="zh-CN" w:bidi="ar-SA"/>
        </w:rPr>
      </w:pPr>
    </w:p>
    <w:p>
      <w:pPr>
        <w:ind w:firstLine="1050"/>
        <w:jc w:val="both"/>
        <w:textAlignment w:val="baseline"/>
        <w:rPr>
          <w:rStyle w:val="43"/>
          <w:rFonts w:hint="eastAsia" w:ascii="宋体" w:hAnsi="宋体" w:eastAsia="宋体" w:cs="宋体"/>
          <w:color w:val="auto"/>
          <w:kern w:val="2"/>
          <w:sz w:val="21"/>
          <w:szCs w:val="21"/>
          <w:highlight w:val="none"/>
          <w:lang w:val="en-US" w:eastAsia="zh-CN" w:bidi="ar-SA"/>
        </w:rPr>
      </w:pPr>
    </w:p>
    <w:p>
      <w:pPr>
        <w:spacing w:line="360" w:lineRule="auto"/>
        <w:jc w:val="center"/>
        <w:textAlignment w:val="baseline"/>
        <w:rPr>
          <w:rStyle w:val="43"/>
          <w:rFonts w:hint="eastAsia" w:ascii="宋体" w:hAnsi="宋体" w:eastAsia="宋体" w:cs="宋体"/>
          <w:b/>
          <w:color w:val="auto"/>
          <w:spacing w:val="20"/>
          <w:kern w:val="2"/>
          <w:sz w:val="32"/>
          <w:szCs w:val="32"/>
          <w:highlight w:val="none"/>
          <w:u w:val="single"/>
          <w:lang w:val="en-US" w:eastAsia="zh-CN"/>
        </w:rPr>
      </w:pPr>
    </w:p>
    <w:p>
      <w:pPr>
        <w:spacing w:line="360" w:lineRule="auto"/>
        <w:jc w:val="center"/>
        <w:textAlignment w:val="baseline"/>
        <w:rPr>
          <w:rStyle w:val="43"/>
          <w:rFonts w:hint="eastAsia" w:ascii="宋体" w:hAnsi="宋体" w:eastAsia="宋体" w:cs="宋体"/>
          <w:b/>
          <w:color w:val="auto"/>
          <w:spacing w:val="20"/>
          <w:kern w:val="2"/>
          <w:sz w:val="32"/>
          <w:szCs w:val="32"/>
          <w:highlight w:val="none"/>
          <w:u w:val="single"/>
          <w:lang w:val="en-US" w:eastAsia="zh-CN"/>
        </w:rPr>
      </w:pPr>
    </w:p>
    <w:p>
      <w:pPr>
        <w:spacing w:line="360" w:lineRule="auto"/>
        <w:jc w:val="center"/>
        <w:textAlignment w:val="baseline"/>
        <w:rPr>
          <w:rStyle w:val="43"/>
          <w:rFonts w:hint="eastAsia" w:ascii="宋体" w:hAnsi="宋体" w:eastAsia="宋体" w:cs="宋体"/>
          <w:b/>
          <w:color w:val="auto"/>
          <w:spacing w:val="20"/>
          <w:kern w:val="2"/>
          <w:sz w:val="32"/>
          <w:szCs w:val="32"/>
          <w:highlight w:val="none"/>
          <w:u w:val="single"/>
          <w:lang w:val="en-US" w:eastAsia="zh-CN"/>
        </w:rPr>
      </w:pPr>
    </w:p>
    <w:p>
      <w:pPr>
        <w:spacing w:line="360" w:lineRule="auto"/>
        <w:jc w:val="center"/>
        <w:textAlignment w:val="baseline"/>
        <w:rPr>
          <w:rStyle w:val="43"/>
          <w:rFonts w:hint="eastAsia" w:ascii="宋体" w:hAnsi="宋体" w:eastAsia="宋体" w:cs="宋体"/>
          <w:b/>
          <w:color w:val="auto"/>
          <w:spacing w:val="20"/>
          <w:kern w:val="2"/>
          <w:sz w:val="32"/>
          <w:szCs w:val="32"/>
          <w:highlight w:val="none"/>
          <w:u w:val="single"/>
          <w:lang w:val="en-US" w:eastAsia="zh-CN"/>
        </w:rPr>
      </w:pPr>
    </w:p>
    <w:p>
      <w:pPr>
        <w:spacing w:line="360" w:lineRule="auto"/>
        <w:jc w:val="center"/>
        <w:textAlignment w:val="baseline"/>
        <w:rPr>
          <w:rStyle w:val="43"/>
          <w:rFonts w:hint="eastAsia" w:ascii="宋体" w:hAnsi="宋体" w:eastAsia="宋体" w:cs="宋体"/>
          <w:b/>
          <w:color w:val="auto"/>
          <w:spacing w:val="20"/>
          <w:kern w:val="2"/>
          <w:sz w:val="32"/>
          <w:szCs w:val="32"/>
          <w:highlight w:val="none"/>
          <w:u w:val="single"/>
          <w:lang w:val="en-US" w:eastAsia="zh-CN"/>
        </w:rPr>
      </w:pPr>
    </w:p>
    <w:p>
      <w:pPr>
        <w:spacing w:line="360" w:lineRule="auto"/>
        <w:jc w:val="center"/>
        <w:textAlignment w:val="baseline"/>
        <w:rPr>
          <w:rStyle w:val="43"/>
          <w:rFonts w:hint="eastAsia" w:ascii="宋体" w:hAnsi="宋体" w:eastAsia="宋体" w:cs="宋体"/>
          <w:b/>
          <w:color w:val="auto"/>
          <w:spacing w:val="20"/>
          <w:kern w:val="2"/>
          <w:sz w:val="32"/>
          <w:szCs w:val="32"/>
          <w:highlight w:val="none"/>
          <w:u w:val="single"/>
          <w:lang w:val="en-US" w:eastAsia="zh-CN"/>
        </w:rPr>
      </w:pPr>
    </w:p>
    <w:p>
      <w:pPr>
        <w:spacing w:line="360" w:lineRule="auto"/>
        <w:jc w:val="center"/>
        <w:textAlignment w:val="baseline"/>
        <w:rPr>
          <w:rStyle w:val="43"/>
          <w:rFonts w:hint="eastAsia" w:ascii="宋体" w:hAnsi="宋体" w:eastAsia="宋体" w:cs="宋体"/>
          <w:b/>
          <w:color w:val="auto"/>
          <w:spacing w:val="20"/>
          <w:kern w:val="2"/>
          <w:sz w:val="32"/>
          <w:szCs w:val="32"/>
          <w:highlight w:val="none"/>
          <w:lang w:val="en-US" w:eastAsia="zh-CN" w:bidi="ar-SA"/>
        </w:rPr>
      </w:pPr>
      <w:r>
        <w:rPr>
          <w:rStyle w:val="43"/>
          <w:rFonts w:hint="eastAsia" w:ascii="宋体" w:hAnsi="宋体" w:eastAsia="宋体" w:cs="宋体"/>
          <w:b/>
          <w:color w:val="auto"/>
          <w:spacing w:val="20"/>
          <w:kern w:val="2"/>
          <w:sz w:val="32"/>
          <w:szCs w:val="32"/>
          <w:highlight w:val="none"/>
          <w:u w:val="single"/>
          <w:lang w:val="en-US" w:eastAsia="zh-CN"/>
        </w:rPr>
        <w:t xml:space="preserve">二〇   </w:t>
      </w:r>
      <w:r>
        <w:rPr>
          <w:rStyle w:val="43"/>
          <w:rFonts w:hint="eastAsia" w:ascii="宋体" w:hAnsi="宋体" w:eastAsia="宋体" w:cs="宋体"/>
          <w:b/>
          <w:color w:val="auto"/>
          <w:spacing w:val="20"/>
          <w:kern w:val="2"/>
          <w:sz w:val="32"/>
          <w:szCs w:val="32"/>
          <w:highlight w:val="none"/>
          <w:lang w:val="en-US" w:eastAsia="zh-CN"/>
        </w:rPr>
        <w:t>年</w:t>
      </w:r>
      <w:r>
        <w:rPr>
          <w:rStyle w:val="43"/>
          <w:rFonts w:hint="eastAsia" w:ascii="宋体" w:hAnsi="宋体" w:eastAsia="宋体" w:cs="宋体"/>
          <w:b/>
          <w:color w:val="auto"/>
          <w:spacing w:val="20"/>
          <w:kern w:val="2"/>
          <w:sz w:val="32"/>
          <w:szCs w:val="32"/>
          <w:highlight w:val="none"/>
          <w:u w:val="single"/>
          <w:lang w:val="en-US" w:eastAsia="zh-CN"/>
        </w:rPr>
        <w:t xml:space="preserve">   </w:t>
      </w:r>
      <w:r>
        <w:rPr>
          <w:rStyle w:val="43"/>
          <w:rFonts w:hint="eastAsia" w:ascii="宋体" w:hAnsi="宋体" w:eastAsia="宋体" w:cs="宋体"/>
          <w:b/>
          <w:color w:val="auto"/>
          <w:spacing w:val="20"/>
          <w:kern w:val="2"/>
          <w:sz w:val="32"/>
          <w:szCs w:val="32"/>
          <w:highlight w:val="none"/>
          <w:lang w:val="en-US" w:eastAsia="zh-CN"/>
        </w:rPr>
        <w:t>月</w:t>
      </w:r>
    </w:p>
    <w:p>
      <w:pPr>
        <w:ind w:right="-512" w:rightChars="-244"/>
        <w:jc w:val="center"/>
        <w:textAlignment w:val="baseline"/>
        <w:rPr>
          <w:rStyle w:val="25"/>
          <w:rFonts w:hint="eastAsia" w:ascii="宋体" w:hAnsi="宋体" w:eastAsia="宋体" w:cs="宋体"/>
          <w:b/>
          <w:color w:val="auto"/>
          <w:kern w:val="44"/>
          <w:sz w:val="36"/>
          <w:szCs w:val="20"/>
          <w:highlight w:val="none"/>
          <w:lang w:val="en-US" w:eastAsia="zh-CN"/>
        </w:rPr>
      </w:pPr>
      <w:bookmarkStart w:id="283" w:name="_Toc16441"/>
      <w:r>
        <w:rPr>
          <w:rStyle w:val="25"/>
          <w:rFonts w:hint="eastAsia" w:ascii="宋体" w:hAnsi="宋体" w:eastAsia="宋体" w:cs="宋体"/>
          <w:b/>
          <w:color w:val="auto"/>
          <w:kern w:val="44"/>
          <w:sz w:val="36"/>
          <w:szCs w:val="20"/>
          <w:highlight w:val="none"/>
          <w:lang w:val="en-US" w:eastAsia="zh-CN"/>
        </w:rPr>
        <w:t xml:space="preserve"> </w:t>
      </w:r>
    </w:p>
    <w:p>
      <w:pPr>
        <w:rPr>
          <w:rFonts w:hint="eastAsia" w:ascii="宋体" w:hAnsi="宋体" w:eastAsia="宋体" w:cs="宋体"/>
          <w:highlight w:val="none"/>
          <w:lang w:val="en-US" w:eastAsia="zh-CN"/>
        </w:rPr>
      </w:pPr>
    </w:p>
    <w:p>
      <w:pPr>
        <w:pStyle w:val="3"/>
        <w:ind w:right="-512" w:rightChars="-244" w:firstLine="1446" w:firstLineChars="400"/>
        <w:jc w:val="left"/>
        <w:textAlignment w:val="baseline"/>
        <w:rPr>
          <w:rStyle w:val="25"/>
          <w:rFonts w:hint="eastAsia" w:ascii="宋体" w:hAnsi="宋体" w:eastAsia="宋体" w:cs="宋体"/>
          <w:b/>
          <w:color w:val="auto"/>
          <w:kern w:val="44"/>
          <w:sz w:val="36"/>
          <w:szCs w:val="20"/>
          <w:highlight w:val="none"/>
          <w:lang w:val="en-US" w:eastAsia="zh-CN"/>
        </w:rPr>
      </w:pPr>
      <w:bookmarkStart w:id="284" w:name="_Toc22545"/>
      <w:bookmarkStart w:id="285" w:name="_Toc27713"/>
      <w:bookmarkStart w:id="286" w:name="_Toc26874"/>
      <w:r>
        <w:rPr>
          <w:rStyle w:val="25"/>
          <w:rFonts w:hint="eastAsia" w:ascii="宋体" w:hAnsi="宋体" w:eastAsia="宋体" w:cs="宋体"/>
          <w:b/>
          <w:color w:val="auto"/>
          <w:kern w:val="44"/>
          <w:sz w:val="36"/>
          <w:szCs w:val="20"/>
          <w:highlight w:val="none"/>
          <w:lang w:val="en-US" w:eastAsia="zh-CN"/>
        </w:rPr>
        <w:t>项目工人工资支付分账管理协议</w:t>
      </w:r>
      <w:bookmarkEnd w:id="283"/>
      <w:bookmarkEnd w:id="284"/>
      <w:bookmarkEnd w:id="285"/>
      <w:bookmarkEnd w:id="286"/>
    </w:p>
    <w:p>
      <w:pPr>
        <w:pStyle w:val="3"/>
        <w:spacing w:line="360" w:lineRule="auto"/>
        <w:ind w:left="964" w:hanging="964" w:hangingChars="400"/>
        <w:jc w:val="both"/>
        <w:textAlignment w:val="baseline"/>
        <w:rPr>
          <w:rStyle w:val="43"/>
          <w:rFonts w:hint="eastAsia" w:ascii="宋体" w:hAnsi="宋体" w:eastAsia="宋体" w:cs="宋体"/>
          <w:color w:val="auto"/>
          <w:kern w:val="2"/>
          <w:sz w:val="24"/>
          <w:szCs w:val="24"/>
          <w:highlight w:val="none"/>
          <w:lang w:val="en-US" w:eastAsia="zh-CN" w:bidi="ar-SA"/>
        </w:rPr>
      </w:pPr>
      <w:bookmarkStart w:id="287" w:name="_Toc19557"/>
      <w:bookmarkStart w:id="288" w:name="_Toc6456"/>
      <w:bookmarkStart w:id="289" w:name="_Toc26176"/>
      <w:r>
        <w:rPr>
          <w:rStyle w:val="43"/>
          <w:rFonts w:hint="eastAsia" w:ascii="宋体" w:hAnsi="宋体" w:eastAsia="宋体" w:cs="宋体"/>
          <w:b/>
          <w:color w:val="auto"/>
          <w:kern w:val="2"/>
          <w:sz w:val="24"/>
          <w:szCs w:val="24"/>
          <w:highlight w:val="none"/>
          <w:lang w:val="en-US" w:eastAsia="zh-CN"/>
        </w:rPr>
        <w:t>发包人：</w:t>
      </w:r>
      <w:r>
        <w:rPr>
          <w:rStyle w:val="43"/>
          <w:rFonts w:hint="eastAsia" w:ascii="宋体" w:hAnsi="宋体" w:eastAsia="宋体" w:cs="宋体"/>
          <w:b/>
          <w:color w:val="auto"/>
          <w:kern w:val="2"/>
          <w:sz w:val="24"/>
          <w:szCs w:val="24"/>
          <w:highlight w:val="none"/>
          <w:u w:val="single"/>
          <w:lang w:val="en-US" w:eastAsia="zh-CN"/>
        </w:rPr>
        <w:t>广州市天河区珠村小学</w:t>
      </w:r>
      <w:r>
        <w:rPr>
          <w:rStyle w:val="43"/>
          <w:rFonts w:hint="eastAsia" w:ascii="宋体" w:hAnsi="宋体" w:eastAsia="宋体" w:cs="宋体"/>
          <w:color w:val="auto"/>
          <w:kern w:val="2"/>
          <w:sz w:val="24"/>
          <w:szCs w:val="24"/>
          <w:highlight w:val="none"/>
          <w:lang w:val="en-US" w:eastAsia="zh-CN"/>
        </w:rPr>
        <w:t>（以下简称“发包人”）</w:t>
      </w:r>
      <w:bookmarkEnd w:id="287"/>
      <w:bookmarkEnd w:id="288"/>
      <w:bookmarkEnd w:id="289"/>
    </w:p>
    <w:p>
      <w:pPr>
        <w:spacing w:line="360" w:lineRule="auto"/>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b/>
          <w:color w:val="auto"/>
          <w:kern w:val="2"/>
          <w:sz w:val="24"/>
          <w:szCs w:val="24"/>
          <w:highlight w:val="none"/>
          <w:lang w:val="en-US" w:eastAsia="zh-CN"/>
        </w:rPr>
        <w:t>承包人：</w:t>
      </w:r>
      <w:r>
        <w:rPr>
          <w:rStyle w:val="43"/>
          <w:rFonts w:hint="eastAsia" w:ascii="宋体" w:hAnsi="宋体" w:eastAsia="宋体" w:cs="宋体"/>
          <w:b/>
          <w:color w:val="auto"/>
          <w:kern w:val="2"/>
          <w:sz w:val="24"/>
          <w:szCs w:val="24"/>
          <w:highlight w:val="none"/>
          <w:u w:val="single"/>
          <w:lang w:val="en-US" w:eastAsia="zh-CN"/>
        </w:rPr>
        <w:t xml:space="preserve">                              </w:t>
      </w:r>
      <w:r>
        <w:rPr>
          <w:rStyle w:val="43"/>
          <w:rFonts w:hint="eastAsia" w:ascii="宋体" w:hAnsi="宋体" w:eastAsia="宋体" w:cs="宋体"/>
          <w:color w:val="auto"/>
          <w:kern w:val="2"/>
          <w:sz w:val="24"/>
          <w:szCs w:val="24"/>
          <w:highlight w:val="none"/>
          <w:lang w:val="en-US" w:eastAsia="zh-CN"/>
        </w:rPr>
        <w:t>（以下简称“承包人”）</w:t>
      </w:r>
    </w:p>
    <w:p>
      <w:pPr>
        <w:spacing w:line="360" w:lineRule="auto"/>
        <w:jc w:val="both"/>
        <w:textAlignment w:val="baseline"/>
        <w:rPr>
          <w:rStyle w:val="43"/>
          <w:rFonts w:hint="eastAsia" w:ascii="宋体" w:hAnsi="宋体" w:eastAsia="宋体" w:cs="宋体"/>
          <w:color w:val="auto"/>
          <w:kern w:val="2"/>
          <w:sz w:val="24"/>
          <w:szCs w:val="24"/>
          <w:highlight w:val="none"/>
          <w:lang w:val="en-US" w:eastAsia="zh-CN" w:bidi="ar-SA"/>
        </w:rPr>
      </w:pPr>
    </w:p>
    <w:p>
      <w:pPr>
        <w:spacing w:line="360" w:lineRule="auto"/>
        <w:ind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rPr>
        <w:t>为保证</w:t>
      </w:r>
      <w:r>
        <w:rPr>
          <w:rStyle w:val="43"/>
          <w:rFonts w:hint="eastAsia" w:ascii="宋体" w:hAnsi="宋体" w:eastAsia="宋体" w:cs="宋体"/>
          <w:color w:val="auto"/>
          <w:kern w:val="2"/>
          <w:sz w:val="24"/>
          <w:szCs w:val="24"/>
          <w:highlight w:val="none"/>
          <w:u w:val="single"/>
          <w:lang w:val="en-US" w:eastAsia="zh-CN"/>
        </w:rPr>
        <w:t xml:space="preserve">                             </w:t>
      </w:r>
      <w:r>
        <w:rPr>
          <w:rStyle w:val="43"/>
          <w:rFonts w:hint="eastAsia" w:ascii="宋体" w:hAnsi="宋体" w:eastAsia="宋体" w:cs="宋体"/>
          <w:color w:val="auto"/>
          <w:kern w:val="2"/>
          <w:sz w:val="24"/>
          <w:szCs w:val="24"/>
          <w:highlight w:val="none"/>
          <w:lang w:val="en-US" w:eastAsia="zh-CN"/>
        </w:rPr>
        <w:t>项目按计划建成，规范工资支付行为，预防和解决拖欠劳动者工资问题，维护劳动者合法权益，根据《中华人民共和国劳动合同法》、《广东省建设领域工人工资支付分账管理暂行办法》、《广州市建设领域工人工资支付分账管理实施细则》等有关法律法规的规定，经发包人、承包人双方友好协商，订立如下协议。</w:t>
      </w:r>
    </w:p>
    <w:p>
      <w:pPr>
        <w:spacing w:line="360" w:lineRule="auto"/>
        <w:ind w:firstLine="482" w:firstLineChars="200"/>
        <w:jc w:val="both"/>
        <w:textAlignment w:val="baseline"/>
        <w:rPr>
          <w:rStyle w:val="43"/>
          <w:rFonts w:hint="eastAsia" w:ascii="宋体" w:hAnsi="宋体" w:eastAsia="宋体" w:cs="宋体"/>
          <w:b/>
          <w:color w:val="auto"/>
          <w:kern w:val="2"/>
          <w:sz w:val="24"/>
          <w:szCs w:val="24"/>
          <w:highlight w:val="none"/>
          <w:lang w:val="en-US" w:eastAsia="zh-CN" w:bidi="ar-SA"/>
        </w:rPr>
      </w:pPr>
      <w:r>
        <w:rPr>
          <w:rStyle w:val="43"/>
          <w:rFonts w:hint="eastAsia" w:ascii="宋体" w:hAnsi="宋体" w:eastAsia="宋体" w:cs="宋体"/>
          <w:b/>
          <w:color w:val="auto"/>
          <w:kern w:val="2"/>
          <w:sz w:val="24"/>
          <w:szCs w:val="24"/>
          <w:highlight w:val="none"/>
          <w:lang w:val="en-US" w:eastAsia="zh-CN"/>
        </w:rPr>
        <w:t>1.发包人义务和权利</w:t>
      </w:r>
    </w:p>
    <w:p>
      <w:pPr>
        <w:spacing w:line="360" w:lineRule="auto"/>
        <w:ind w:firstLine="480" w:firstLineChars="200"/>
        <w:jc w:val="left"/>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rPr>
        <w:t>1.1遵守本协议约定按时足额将工人工资拨付到承包人依法开立并上报的工人工资专用账户。</w:t>
      </w:r>
    </w:p>
    <w:p>
      <w:pPr>
        <w:spacing w:line="360" w:lineRule="auto"/>
        <w:ind w:firstLine="480" w:firstLineChars="200"/>
        <w:jc w:val="left"/>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rPr>
        <w:t>1.2有权对承包人工人工资专户的资金使用情况进行审查，有权监督本工程工人工资的支付情况，并协调工人工资发放中存在的问题。</w:t>
      </w:r>
    </w:p>
    <w:p>
      <w:pPr>
        <w:spacing w:line="360" w:lineRule="auto"/>
        <w:ind w:firstLine="480" w:firstLineChars="200"/>
        <w:jc w:val="left"/>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rPr>
        <w:t>1.3当承包人出现挪用项目工人工资、拖欠工人工资等情况，发包人有权采取暂缓或停止工程进度款拨付，并限期承包人予以妥善解决。</w:t>
      </w:r>
    </w:p>
    <w:p>
      <w:pPr>
        <w:spacing w:line="360" w:lineRule="auto"/>
        <w:ind w:firstLine="480" w:firstLineChars="200"/>
        <w:jc w:val="left"/>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rPr>
        <w:t>1.4在承包人要求发包人出具其履行完合同约定的全部内容并结清应付工人工资且无工人工资拖欠投诉及信访的确认意见后，经审查属实的，发包人有义务为承包人出具上述确认意见。</w:t>
      </w:r>
    </w:p>
    <w:p>
      <w:pPr>
        <w:spacing w:line="360" w:lineRule="auto"/>
        <w:ind w:firstLine="482" w:firstLineChars="200"/>
        <w:jc w:val="both"/>
        <w:textAlignment w:val="baseline"/>
        <w:rPr>
          <w:rStyle w:val="43"/>
          <w:rFonts w:hint="eastAsia" w:ascii="宋体" w:hAnsi="宋体" w:eastAsia="宋体" w:cs="宋体"/>
          <w:b/>
          <w:color w:val="auto"/>
          <w:kern w:val="2"/>
          <w:sz w:val="24"/>
          <w:szCs w:val="24"/>
          <w:highlight w:val="none"/>
          <w:lang w:val="en-US" w:eastAsia="zh-CN" w:bidi="ar-SA"/>
        </w:rPr>
      </w:pPr>
      <w:r>
        <w:rPr>
          <w:rStyle w:val="43"/>
          <w:rFonts w:hint="eastAsia" w:ascii="宋体" w:hAnsi="宋体" w:eastAsia="宋体" w:cs="宋体"/>
          <w:b/>
          <w:color w:val="auto"/>
          <w:kern w:val="2"/>
          <w:sz w:val="24"/>
          <w:szCs w:val="24"/>
          <w:highlight w:val="none"/>
          <w:lang w:val="en-US" w:eastAsia="zh-CN"/>
        </w:rPr>
        <w:t>2．承包人义务和权利</w:t>
      </w:r>
    </w:p>
    <w:p>
      <w:pPr>
        <w:spacing w:line="360" w:lineRule="auto"/>
        <w:ind w:firstLine="480" w:firstLineChars="200"/>
        <w:jc w:val="left"/>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rPr>
        <w:t>2.1承包人在签订本协议后</w:t>
      </w:r>
      <w:r>
        <w:rPr>
          <w:rStyle w:val="43"/>
          <w:rFonts w:hint="eastAsia" w:ascii="宋体" w:hAnsi="宋体" w:eastAsia="宋体" w:cs="宋体"/>
          <w:color w:val="auto"/>
          <w:kern w:val="2"/>
          <w:sz w:val="24"/>
          <w:szCs w:val="24"/>
          <w:highlight w:val="none"/>
          <w:u w:val="single"/>
          <w:lang w:val="en-US" w:eastAsia="zh-CN"/>
        </w:rPr>
        <w:t>7</w:t>
      </w:r>
      <w:r>
        <w:rPr>
          <w:rStyle w:val="43"/>
          <w:rFonts w:hint="eastAsia" w:ascii="宋体" w:hAnsi="宋体" w:eastAsia="宋体" w:cs="宋体"/>
          <w:color w:val="auto"/>
          <w:kern w:val="2"/>
          <w:sz w:val="24"/>
          <w:szCs w:val="24"/>
          <w:highlight w:val="none"/>
          <w:lang w:val="en-US" w:eastAsia="zh-CN"/>
        </w:rPr>
        <w:t>个工作日内在广州市符合规定的商业银行开立工人工资支付专用账户，并须自开立工人工资支付专用账户之日起3日内书面将工人工资支付专用账户信息和相关资料报备给发包人。</w:t>
      </w:r>
    </w:p>
    <w:p>
      <w:pPr>
        <w:spacing w:line="360" w:lineRule="auto"/>
        <w:ind w:firstLine="480" w:firstLineChars="200"/>
        <w:jc w:val="left"/>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rPr>
        <w:t>2.2承包人应当在用工之日起15日内为每个工人办理工人工资个人账户，并在用工之日起1个月内与建筑工人签订书面劳动合同。所签订劳动合同中应当明确约定工资计算方式、支付周期和支付日期，并按约定支付工人工资。约定的工人工资不得低于本市最低工资标准。</w:t>
      </w:r>
    </w:p>
    <w:p>
      <w:pPr>
        <w:spacing w:line="360" w:lineRule="auto"/>
        <w:ind w:firstLine="480" w:firstLineChars="200"/>
        <w:jc w:val="left"/>
        <w:textAlignment w:val="baseline"/>
        <w:rPr>
          <w:rStyle w:val="43"/>
          <w:rFonts w:hint="eastAsia" w:ascii="宋体" w:hAnsi="宋体" w:eastAsia="宋体" w:cs="宋体"/>
          <w:b/>
          <w:color w:val="auto"/>
          <w:kern w:val="2"/>
          <w:sz w:val="24"/>
          <w:szCs w:val="24"/>
          <w:highlight w:val="none"/>
          <w:u w:val="single"/>
          <w:lang w:val="en-US" w:eastAsia="zh-CN" w:bidi="ar-SA"/>
        </w:rPr>
      </w:pPr>
      <w:r>
        <w:rPr>
          <w:rStyle w:val="43"/>
          <w:rFonts w:hint="eastAsia" w:ascii="宋体" w:hAnsi="宋体" w:eastAsia="宋体" w:cs="宋体"/>
          <w:color w:val="auto"/>
          <w:kern w:val="2"/>
          <w:sz w:val="24"/>
          <w:szCs w:val="24"/>
          <w:highlight w:val="none"/>
          <w:lang w:val="en-US" w:eastAsia="zh-CN"/>
        </w:rPr>
        <w:t>2.3承包人依法将部分工程分包的，应当参照本协议第3条内容，与分包单位签订分包合同，合同需明确约定分包单位工人工资支付专用账户、工人工资比例以及付款方式。</w:t>
      </w:r>
      <w:r>
        <w:rPr>
          <w:rStyle w:val="43"/>
          <w:rFonts w:hint="eastAsia" w:ascii="宋体" w:hAnsi="宋体" w:eastAsia="宋体" w:cs="宋体"/>
          <w:color w:val="auto"/>
          <w:kern w:val="0"/>
          <w:sz w:val="24"/>
          <w:szCs w:val="24"/>
          <w:highlight w:val="none"/>
          <w:lang w:val="en-US" w:eastAsia="zh-CN"/>
        </w:rPr>
        <w:t>承包人应按照分包合同的约定,将工人工资通过工人工资专用账户划转至分包单位工人工资专用账户，由分包单位支付给对应的工人。</w:t>
      </w:r>
      <w:r>
        <w:rPr>
          <w:rStyle w:val="43"/>
          <w:rFonts w:hint="eastAsia" w:ascii="宋体" w:hAnsi="宋体" w:eastAsia="宋体" w:cs="宋体"/>
          <w:color w:val="auto"/>
          <w:kern w:val="2"/>
          <w:sz w:val="24"/>
          <w:szCs w:val="24"/>
          <w:highlight w:val="none"/>
          <w:lang w:val="en-US" w:eastAsia="zh-CN"/>
        </w:rPr>
        <w:t xml:space="preserve">承包人对承包的建设项目工人工资支付负总责，并对分包单位支付工人工资情况进行监督，督促其依法支付工人工资。承包人应自与分包单位签订分包合同之日起 </w:t>
      </w:r>
      <w:r>
        <w:rPr>
          <w:rStyle w:val="43"/>
          <w:rFonts w:hint="eastAsia" w:ascii="宋体" w:hAnsi="宋体" w:eastAsia="宋体" w:cs="宋体"/>
          <w:color w:val="auto"/>
          <w:kern w:val="2"/>
          <w:sz w:val="24"/>
          <w:szCs w:val="24"/>
          <w:highlight w:val="none"/>
          <w:u w:val="single"/>
          <w:lang w:val="en-US" w:eastAsia="zh-CN"/>
        </w:rPr>
        <w:t>7</w:t>
      </w:r>
      <w:r>
        <w:rPr>
          <w:rStyle w:val="43"/>
          <w:rFonts w:hint="eastAsia" w:ascii="宋体" w:hAnsi="宋体" w:eastAsia="宋体" w:cs="宋体"/>
          <w:color w:val="auto"/>
          <w:kern w:val="2"/>
          <w:sz w:val="24"/>
          <w:szCs w:val="24"/>
          <w:highlight w:val="none"/>
          <w:lang w:val="en-US" w:eastAsia="zh-CN"/>
        </w:rPr>
        <w:t xml:space="preserve"> 日内将分包合同及相关资料报发包人备案。</w:t>
      </w:r>
    </w:p>
    <w:p>
      <w:pPr>
        <w:spacing w:line="360" w:lineRule="auto"/>
        <w:ind w:firstLine="480" w:firstLineChars="200"/>
        <w:jc w:val="left"/>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rPr>
        <w:t>2.4承包人应当保证工资支付专用账户内资金足以支付工人工资，工资支付专用账户资金少于应支付工人工资的，承包人应当及时补足。</w:t>
      </w:r>
    </w:p>
    <w:p>
      <w:pPr>
        <w:spacing w:line="360" w:lineRule="auto"/>
        <w:ind w:firstLine="480" w:firstLineChars="200"/>
        <w:jc w:val="left"/>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rPr>
        <w:t>2.5承包人应当按照“及时支付、按时结算”的原则，按合同约定的支付日期通过银行工人工资支付专用账户将工人工资直接支付到分包单位工人工资专用帐户或工人个人银行工资账户，并按月将工人工资支付明细表报发包人备案。</w:t>
      </w:r>
    </w:p>
    <w:p>
      <w:pPr>
        <w:spacing w:line="360" w:lineRule="auto"/>
        <w:ind w:firstLine="480" w:firstLineChars="200"/>
        <w:jc w:val="left"/>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rPr>
        <w:t>2.6承包人应当建立工人考勤、工资结算和支付等管理台账，真实、准确记录工人名册、劳动合同、工程进度、工时台账、劳务承包款和工人工资支付时间、支付对象、支付金额等信息，存档备查，并将相关信息按月报送建设行业主管部门。承包人应将工人考勤、工资结算和支付等资料保存至工程竣工且结清全部工资后两年以上备查。</w:t>
      </w:r>
    </w:p>
    <w:p>
      <w:pPr>
        <w:spacing w:line="360" w:lineRule="auto"/>
        <w:ind w:firstLine="480" w:firstLineChars="200"/>
        <w:jc w:val="left"/>
        <w:textAlignment w:val="baseline"/>
        <w:rPr>
          <w:rStyle w:val="43"/>
          <w:rFonts w:hint="eastAsia" w:ascii="宋体" w:hAnsi="宋体" w:eastAsia="宋体" w:cs="宋体"/>
          <w:color w:val="auto"/>
          <w:kern w:val="2"/>
          <w:sz w:val="24"/>
          <w:szCs w:val="24"/>
          <w:highlight w:val="none"/>
          <w:shd w:val="clear" w:color="auto" w:fill="D9D9D9"/>
          <w:lang w:val="en-US" w:eastAsia="zh-CN" w:bidi="ar-SA"/>
        </w:rPr>
      </w:pPr>
      <w:r>
        <w:rPr>
          <w:rStyle w:val="43"/>
          <w:rFonts w:hint="eastAsia" w:ascii="宋体" w:hAnsi="宋体" w:eastAsia="宋体" w:cs="宋体"/>
          <w:color w:val="auto"/>
          <w:kern w:val="2"/>
          <w:sz w:val="24"/>
          <w:szCs w:val="24"/>
          <w:highlight w:val="none"/>
          <w:lang w:val="en-US" w:eastAsia="zh-CN"/>
        </w:rPr>
        <w:t>2.7承包人应当在施工现场公示栏公示工人考勤明细表，公示期不少于5天，工人考勤和工资结算明细表须经工人签名确认。</w:t>
      </w:r>
    </w:p>
    <w:p>
      <w:pPr>
        <w:spacing w:line="360" w:lineRule="auto"/>
        <w:ind w:firstLine="480" w:firstLineChars="200"/>
        <w:jc w:val="left"/>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rPr>
        <w:t>2.8承包人发现发包人未按照约定支付工人工资款项到工人工资支付专用账户的，有权向人力资源社会保障部门和建设项目行政主管审批部门反映。</w:t>
      </w:r>
    </w:p>
    <w:p>
      <w:pPr>
        <w:spacing w:line="360" w:lineRule="auto"/>
        <w:ind w:firstLine="480" w:firstLineChars="200"/>
        <w:jc w:val="left"/>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rPr>
        <w:t>2.9承包人履行完合同约定的全部内容并结清应付工人工资且无工人工资拖欠投诉及信访等异议后，有权向发包人申请出具上述确认意见，办理工人工资支付专用账户撤销手续。</w:t>
      </w:r>
    </w:p>
    <w:p>
      <w:pPr>
        <w:spacing w:line="360" w:lineRule="auto"/>
        <w:ind w:firstLine="482" w:firstLineChars="200"/>
        <w:jc w:val="both"/>
        <w:textAlignment w:val="baseline"/>
        <w:rPr>
          <w:rStyle w:val="43"/>
          <w:rFonts w:hint="eastAsia" w:ascii="宋体" w:hAnsi="宋体" w:eastAsia="宋体" w:cs="宋体"/>
          <w:b/>
          <w:color w:val="auto"/>
          <w:kern w:val="2"/>
          <w:sz w:val="24"/>
          <w:szCs w:val="24"/>
          <w:highlight w:val="none"/>
          <w:lang w:val="en-US" w:eastAsia="zh-CN" w:bidi="ar-SA"/>
        </w:rPr>
      </w:pPr>
      <w:r>
        <w:rPr>
          <w:rStyle w:val="43"/>
          <w:rFonts w:hint="eastAsia" w:ascii="宋体" w:hAnsi="宋体" w:eastAsia="宋体" w:cs="宋体"/>
          <w:b/>
          <w:color w:val="auto"/>
          <w:kern w:val="2"/>
          <w:sz w:val="24"/>
          <w:szCs w:val="24"/>
          <w:highlight w:val="none"/>
          <w:lang w:val="en-US" w:eastAsia="zh-CN"/>
        </w:rPr>
        <w:t>3.工人工资支付比例和方式</w:t>
      </w:r>
    </w:p>
    <w:p>
      <w:pPr>
        <w:spacing w:line="360" w:lineRule="auto"/>
        <w:ind w:firstLine="480" w:firstLineChars="200"/>
        <w:jc w:val="left"/>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rPr>
        <w:t>3.1本工程工人工资比例按如下第 （1） 种方式计算：</w:t>
      </w:r>
    </w:p>
    <w:p>
      <w:pPr>
        <w:spacing w:line="360" w:lineRule="auto"/>
        <w:ind w:firstLine="480" w:firstLineChars="200"/>
        <w:jc w:val="left"/>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rPr>
        <w:t>（1）本工程为依法必须进行招标的工程项目，工人进度款中的工人工资比例以工程施工招标的《中标通知书》中单列的人工费金额除以中标金额计算，计算公式</w:t>
      </w:r>
      <w:r>
        <w:rPr>
          <w:rStyle w:val="25"/>
          <w:rFonts w:hint="eastAsia" w:ascii="宋体" w:hAnsi="宋体" w:eastAsia="宋体" w:cs="宋体"/>
          <w:kern w:val="2"/>
          <w:sz w:val="21"/>
          <w:szCs w:val="22"/>
          <w:highlight w:val="none"/>
          <w:lang w:val="en-US" w:eastAsia="zh-CN"/>
        </w:rPr>
        <w:t>为:</w:t>
      </w:r>
      <w:r>
        <w:rPr>
          <w:rStyle w:val="43"/>
          <w:rFonts w:hint="eastAsia" w:ascii="宋体" w:hAnsi="宋体" w:eastAsia="宋体" w:cs="宋体"/>
          <w:color w:val="auto"/>
          <w:kern w:val="2"/>
          <w:sz w:val="24"/>
          <w:szCs w:val="24"/>
          <w:highlight w:val="none"/>
          <w:u w:val="single"/>
          <w:lang w:val="en-US" w:eastAsia="zh-CN"/>
        </w:rPr>
        <w:t>中标通知书人工费额/中标金额=    %</w:t>
      </w:r>
      <w:r>
        <w:rPr>
          <w:rStyle w:val="43"/>
          <w:rFonts w:hint="eastAsia" w:ascii="宋体" w:hAnsi="宋体" w:eastAsia="宋体" w:cs="宋体"/>
          <w:color w:val="auto"/>
          <w:kern w:val="2"/>
          <w:sz w:val="24"/>
          <w:szCs w:val="24"/>
          <w:highlight w:val="none"/>
          <w:lang w:val="en-US" w:eastAsia="zh-CN"/>
        </w:rPr>
        <w:t>。如为设计施工总承包模式（EPC）招标的工程项目，工人进度款中的工人工资比例以经财政部门审定的施工图预算中的人工费金额除以经财政部门审定的施工图预算金额计算，计算公式为：</w:t>
      </w:r>
      <w:r>
        <w:rPr>
          <w:rStyle w:val="43"/>
          <w:rFonts w:hint="eastAsia" w:ascii="宋体" w:hAnsi="宋体" w:eastAsia="宋体" w:cs="宋体"/>
          <w:color w:val="auto"/>
          <w:kern w:val="2"/>
          <w:sz w:val="24"/>
          <w:szCs w:val="24"/>
          <w:highlight w:val="none"/>
          <w:u w:val="single"/>
          <w:lang w:val="en-US" w:eastAsia="zh-CN"/>
        </w:rPr>
        <w:t>经财政部门审定的施工图预算人工费额/经财政部门的审定施工图预算=**/**=**%</w:t>
      </w:r>
      <w:r>
        <w:rPr>
          <w:rStyle w:val="43"/>
          <w:rFonts w:hint="eastAsia" w:ascii="宋体" w:hAnsi="宋体" w:eastAsia="宋体" w:cs="宋体"/>
          <w:color w:val="auto"/>
          <w:kern w:val="2"/>
          <w:sz w:val="24"/>
          <w:szCs w:val="24"/>
          <w:highlight w:val="none"/>
          <w:lang w:val="en-US" w:eastAsia="zh-CN"/>
        </w:rPr>
        <w:t>。</w:t>
      </w:r>
    </w:p>
    <w:p>
      <w:pPr>
        <w:spacing w:line="360" w:lineRule="auto"/>
        <w:ind w:firstLine="480" w:firstLineChars="200"/>
        <w:jc w:val="left"/>
        <w:textAlignment w:val="baseline"/>
        <w:rPr>
          <w:rStyle w:val="43"/>
          <w:rFonts w:hint="eastAsia" w:ascii="宋体" w:hAnsi="宋体" w:eastAsia="宋体" w:cs="宋体"/>
          <w:color w:val="auto"/>
          <w:kern w:val="2"/>
          <w:sz w:val="24"/>
          <w:szCs w:val="24"/>
          <w:highlight w:val="none"/>
          <w:lang w:val="en-US" w:eastAsia="zh-CN"/>
        </w:rPr>
      </w:pPr>
      <w:r>
        <w:rPr>
          <w:rStyle w:val="43"/>
          <w:rFonts w:hint="eastAsia" w:ascii="宋体" w:hAnsi="宋体" w:eastAsia="宋体" w:cs="宋体"/>
          <w:color w:val="auto"/>
          <w:kern w:val="2"/>
          <w:sz w:val="24"/>
          <w:szCs w:val="24"/>
          <w:highlight w:val="none"/>
          <w:lang w:val="en-US" w:eastAsia="zh-CN"/>
        </w:rPr>
        <w:t xml:space="preserve"> (2)本工程为其他工程项目，依照其他工程项目工程进度款中的工资款参照比例为15%-20%的规定，本工程项目工程进度款中的工资款比例为</w:t>
      </w:r>
      <w:r>
        <w:rPr>
          <w:rStyle w:val="43"/>
          <w:rFonts w:hint="eastAsia" w:ascii="宋体" w:hAnsi="宋体" w:eastAsia="宋体" w:cs="宋体"/>
          <w:color w:val="auto"/>
          <w:kern w:val="2"/>
          <w:sz w:val="24"/>
          <w:szCs w:val="24"/>
          <w:highlight w:val="none"/>
          <w:u w:val="single"/>
          <w:lang w:val="en-US" w:eastAsia="zh-CN"/>
        </w:rPr>
        <w:t>**%</w:t>
      </w:r>
      <w:r>
        <w:rPr>
          <w:rStyle w:val="43"/>
          <w:rFonts w:hint="eastAsia" w:ascii="宋体" w:hAnsi="宋体" w:eastAsia="宋体" w:cs="宋体"/>
          <w:color w:val="auto"/>
          <w:kern w:val="2"/>
          <w:sz w:val="24"/>
          <w:szCs w:val="24"/>
          <w:highlight w:val="none"/>
          <w:lang w:val="en-US" w:eastAsia="zh-CN"/>
        </w:rPr>
        <w:t>。</w:t>
      </w:r>
    </w:p>
    <w:p>
      <w:pPr>
        <w:spacing w:line="360" w:lineRule="auto"/>
        <w:ind w:firstLine="480" w:firstLineChars="200"/>
        <w:jc w:val="left"/>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rPr>
        <w:t>3.2工程预付款足额支付承包人，暂不实行工人工资款项的划扣，但须在第一期工程进度款中补拨入预付款对应的人工工资到工人工资专用账户，补拨款项从</w:t>
      </w:r>
      <w:r>
        <w:rPr>
          <w:rStyle w:val="43"/>
          <w:rFonts w:hint="eastAsia" w:ascii="宋体" w:hAnsi="宋体" w:eastAsia="宋体" w:cs="宋体"/>
          <w:i w:val="0"/>
          <w:color w:val="auto"/>
          <w:kern w:val="2"/>
          <w:sz w:val="24"/>
          <w:szCs w:val="24"/>
          <w:highlight w:val="none"/>
          <w:u w:val="none"/>
          <w:lang w:val="en-US" w:eastAsia="zh-CN"/>
        </w:rPr>
        <w:t>该</w:t>
      </w:r>
      <w:r>
        <w:rPr>
          <w:rStyle w:val="43"/>
          <w:rFonts w:hint="eastAsia" w:ascii="宋体" w:hAnsi="宋体" w:eastAsia="宋体" w:cs="宋体"/>
          <w:color w:val="auto"/>
          <w:kern w:val="2"/>
          <w:sz w:val="24"/>
          <w:szCs w:val="24"/>
          <w:highlight w:val="none"/>
          <w:lang w:val="en-US" w:eastAsia="zh-CN"/>
        </w:rPr>
        <w:t xml:space="preserve">期进度款中直接扣除。从工程开工之日起至工程结算完毕之日止，发包人将每次工程进度款、结算款的    </w:t>
      </w:r>
      <w:r>
        <w:rPr>
          <w:rStyle w:val="43"/>
          <w:rFonts w:hint="eastAsia" w:ascii="宋体" w:hAnsi="宋体" w:eastAsia="宋体" w:cs="宋体"/>
          <w:color w:val="auto"/>
          <w:kern w:val="2"/>
          <w:sz w:val="24"/>
          <w:szCs w:val="24"/>
          <w:highlight w:val="none"/>
          <w:u w:val="single"/>
          <w:lang w:val="en-US" w:eastAsia="zh-CN"/>
        </w:rPr>
        <w:t>%</w:t>
      </w:r>
      <w:r>
        <w:rPr>
          <w:rStyle w:val="43"/>
          <w:rFonts w:hint="eastAsia" w:ascii="宋体" w:hAnsi="宋体" w:eastAsia="宋体" w:cs="宋体"/>
          <w:color w:val="auto"/>
          <w:kern w:val="2"/>
          <w:sz w:val="24"/>
          <w:szCs w:val="24"/>
          <w:highlight w:val="none"/>
          <w:lang w:val="en-US" w:eastAsia="zh-CN"/>
        </w:rPr>
        <w:t>拨入承包人的工人工资支付专用账户。承包人收到工人工资款项后通过开立的工人工资账户同步支付工资给工人，工程进度款中的承包人工人工资的收入和支出均纳入其开立的工人工资账户中核算。</w:t>
      </w:r>
    </w:p>
    <w:p>
      <w:pPr>
        <w:spacing w:line="360" w:lineRule="auto"/>
        <w:ind w:firstLine="480" w:firstLineChars="200"/>
        <w:jc w:val="left"/>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rPr>
        <w:t>3.3 因工程变更引起工程量增加，该部分进度款的计算方法遵循原合同约定，结算款以天河区财政管理部门审核为准。该部分进度款及结算款中工人工资的比例按照原合同比例</w:t>
      </w:r>
      <w:r>
        <w:rPr>
          <w:rStyle w:val="43"/>
          <w:rFonts w:hint="eastAsia" w:ascii="宋体" w:hAnsi="宋体" w:eastAsia="宋体" w:cs="宋体"/>
          <w:color w:val="auto"/>
          <w:kern w:val="2"/>
          <w:sz w:val="24"/>
          <w:szCs w:val="24"/>
          <w:highlight w:val="none"/>
          <w:u w:val="single"/>
          <w:lang w:val="en-US" w:eastAsia="zh-CN"/>
        </w:rPr>
        <w:t xml:space="preserve">    </w:t>
      </w:r>
      <w:r>
        <w:rPr>
          <w:rStyle w:val="43"/>
          <w:rFonts w:hint="eastAsia" w:ascii="宋体" w:hAnsi="宋体" w:eastAsia="宋体" w:cs="宋体"/>
          <w:color w:val="auto"/>
          <w:kern w:val="2"/>
          <w:sz w:val="24"/>
          <w:szCs w:val="24"/>
          <w:highlight w:val="none"/>
          <w:lang w:val="en-US" w:eastAsia="zh-CN"/>
        </w:rPr>
        <w:t>%计取。该部分工程款项中工人工资的拨付方式按照原合同中因工程变更引起工程量增加的工程款项拨付方式同步拨付到工人工资专用账户中。</w:t>
      </w:r>
    </w:p>
    <w:p>
      <w:pPr>
        <w:spacing w:line="360" w:lineRule="auto"/>
        <w:ind w:firstLine="482" w:firstLineChars="200"/>
        <w:jc w:val="both"/>
        <w:textAlignment w:val="baseline"/>
        <w:rPr>
          <w:rStyle w:val="43"/>
          <w:rFonts w:hint="eastAsia" w:ascii="宋体" w:hAnsi="宋体" w:eastAsia="宋体" w:cs="宋体"/>
          <w:b/>
          <w:color w:val="auto"/>
          <w:kern w:val="2"/>
          <w:sz w:val="24"/>
          <w:szCs w:val="24"/>
          <w:highlight w:val="none"/>
          <w:lang w:val="en-US" w:eastAsia="zh-CN" w:bidi="ar-SA"/>
        </w:rPr>
      </w:pPr>
      <w:r>
        <w:rPr>
          <w:rStyle w:val="43"/>
          <w:rFonts w:hint="eastAsia" w:ascii="宋体" w:hAnsi="宋体" w:eastAsia="宋体" w:cs="宋体"/>
          <w:b/>
          <w:color w:val="auto"/>
          <w:kern w:val="2"/>
          <w:sz w:val="24"/>
          <w:szCs w:val="24"/>
          <w:highlight w:val="none"/>
          <w:lang w:val="en-US" w:eastAsia="zh-CN"/>
        </w:rPr>
        <w:t xml:space="preserve">4.工程工人工资的使用 </w:t>
      </w:r>
    </w:p>
    <w:p>
      <w:pPr>
        <w:spacing w:line="360" w:lineRule="auto"/>
        <w:ind w:firstLine="480" w:firstLineChars="200"/>
        <w:jc w:val="left"/>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rPr>
        <w:t>承包人工人工资专用帐户中的资金除发放工人工资外，不得用于其他用途，不得划回承包人总部账户，不得提取现金，不得开通网上银行等电子支付渠道。禁止将工人工资发放给不具备用工主体资格的组织和个人。工人工资支付专用账户的开立、变更、撤销和管理应按照中国人民银行相关规定执行。</w:t>
      </w:r>
    </w:p>
    <w:p>
      <w:pPr>
        <w:spacing w:line="360" w:lineRule="auto"/>
        <w:ind w:firstLine="482" w:firstLineChars="200"/>
        <w:jc w:val="both"/>
        <w:textAlignment w:val="baseline"/>
        <w:rPr>
          <w:rStyle w:val="43"/>
          <w:rFonts w:hint="eastAsia" w:ascii="宋体" w:hAnsi="宋体" w:eastAsia="宋体" w:cs="宋体"/>
          <w:b/>
          <w:color w:val="auto"/>
          <w:kern w:val="2"/>
          <w:sz w:val="24"/>
          <w:szCs w:val="24"/>
          <w:highlight w:val="none"/>
          <w:lang w:val="en-US" w:eastAsia="zh-CN" w:bidi="ar-SA"/>
        </w:rPr>
      </w:pPr>
      <w:r>
        <w:rPr>
          <w:rStyle w:val="43"/>
          <w:rFonts w:hint="eastAsia" w:ascii="宋体" w:hAnsi="宋体" w:eastAsia="宋体" w:cs="宋体"/>
          <w:b/>
          <w:color w:val="auto"/>
          <w:kern w:val="2"/>
          <w:sz w:val="24"/>
          <w:szCs w:val="24"/>
          <w:highlight w:val="none"/>
          <w:lang w:val="en-US" w:eastAsia="zh-CN"/>
        </w:rPr>
        <w:t>5.工程款帐户核对</w:t>
      </w:r>
    </w:p>
    <w:p>
      <w:pPr>
        <w:spacing w:line="360" w:lineRule="auto"/>
        <w:ind w:firstLine="480" w:firstLineChars="200"/>
        <w:jc w:val="left"/>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rPr>
        <w:t>实时对帐：发包人、承包人如需即时了解专用帐户的有关信息，可向工人工资专用账户设立的银行方进行查询。</w:t>
      </w:r>
    </w:p>
    <w:p>
      <w:pPr>
        <w:spacing w:line="360" w:lineRule="auto"/>
        <w:ind w:firstLine="482" w:firstLineChars="200"/>
        <w:jc w:val="both"/>
        <w:textAlignment w:val="baseline"/>
        <w:rPr>
          <w:rStyle w:val="43"/>
          <w:rFonts w:hint="eastAsia" w:ascii="宋体" w:hAnsi="宋体" w:eastAsia="宋体" w:cs="宋体"/>
          <w:b/>
          <w:color w:val="auto"/>
          <w:kern w:val="2"/>
          <w:sz w:val="24"/>
          <w:szCs w:val="24"/>
          <w:highlight w:val="none"/>
          <w:lang w:val="en-US" w:eastAsia="zh-CN" w:bidi="ar-SA"/>
        </w:rPr>
      </w:pPr>
      <w:r>
        <w:rPr>
          <w:rStyle w:val="43"/>
          <w:rFonts w:hint="eastAsia" w:ascii="宋体" w:hAnsi="宋体" w:eastAsia="宋体" w:cs="宋体"/>
          <w:b/>
          <w:color w:val="auto"/>
          <w:kern w:val="2"/>
          <w:sz w:val="24"/>
          <w:szCs w:val="24"/>
          <w:highlight w:val="none"/>
          <w:lang w:val="en-US" w:eastAsia="zh-CN"/>
        </w:rPr>
        <w:t xml:space="preserve">6.违约责任  </w:t>
      </w:r>
    </w:p>
    <w:p>
      <w:pPr>
        <w:spacing w:line="360" w:lineRule="auto"/>
        <w:ind w:firstLine="480" w:firstLineChars="200"/>
        <w:jc w:val="left"/>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rPr>
        <w:t>6.1发包人的违约责任</w:t>
      </w:r>
    </w:p>
    <w:p>
      <w:pPr>
        <w:spacing w:line="360" w:lineRule="auto"/>
        <w:ind w:firstLine="480" w:firstLineChars="200"/>
        <w:jc w:val="left"/>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rPr>
        <w:t>发包人及其工作人员违反本协议第1条和第3条规定，承包人可以向人力资源社会保障部门和建设项目行政主管审批部门反映。</w:t>
      </w:r>
    </w:p>
    <w:p>
      <w:pPr>
        <w:spacing w:line="360" w:lineRule="auto"/>
        <w:ind w:firstLine="480" w:firstLineChars="200"/>
        <w:jc w:val="left"/>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rPr>
        <w:t>6.2承包人的违约责任</w:t>
      </w:r>
    </w:p>
    <w:p>
      <w:pPr>
        <w:spacing w:line="360" w:lineRule="auto"/>
        <w:ind w:firstLine="480" w:firstLineChars="200"/>
        <w:jc w:val="left"/>
        <w:textAlignment w:val="baseline"/>
        <w:rPr>
          <w:rStyle w:val="43"/>
          <w:rFonts w:hint="eastAsia" w:ascii="宋体" w:hAnsi="宋体" w:eastAsia="宋体" w:cs="宋体"/>
          <w:b/>
          <w:color w:val="auto"/>
          <w:kern w:val="2"/>
          <w:sz w:val="24"/>
          <w:szCs w:val="24"/>
          <w:highlight w:val="none"/>
          <w:u w:val="single"/>
          <w:lang w:val="en-US" w:eastAsia="zh-CN" w:bidi="ar-SA"/>
        </w:rPr>
      </w:pPr>
      <w:r>
        <w:rPr>
          <w:rStyle w:val="43"/>
          <w:rFonts w:hint="eastAsia" w:ascii="宋体" w:hAnsi="宋体" w:eastAsia="宋体" w:cs="宋体"/>
          <w:color w:val="auto"/>
          <w:kern w:val="2"/>
          <w:sz w:val="24"/>
          <w:szCs w:val="24"/>
          <w:highlight w:val="none"/>
          <w:lang w:val="en-US" w:eastAsia="zh-CN"/>
        </w:rPr>
        <w:t>6.2.1由于承包人或其管理的分包单位拖欠工人工资，致使发包人被投诉或起诉并被判令先行垫付工人工资的，发包人有权追究承包人和其它相关责任单位的违约责任，并在工程结算时双倍扣回发包人先行垫付的工人工资金额作为违约金。</w:t>
      </w:r>
    </w:p>
    <w:p>
      <w:pPr>
        <w:spacing w:line="360" w:lineRule="auto"/>
        <w:ind w:firstLine="480" w:firstLineChars="200"/>
        <w:jc w:val="left"/>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rPr>
        <w:t>6.2.2承包人不按合同及有关规定按时、足额支付分包单位合同价款及工人工资而被投诉或上访属实的，发包人将严格按照合同约定追究其违约责任；如因此致使工人集体上访、集聚围阻而造成社会不良影响的，发包人有权终止与承包人的合同，并上报省、市主管部门建议取消其参加广州地区省、市重大项目的投标资格，并由发包人予以公告。如属恶意煽动并造成社会不良影响的，发包人将提请司法部门追究其法律责任。</w:t>
      </w:r>
    </w:p>
    <w:p>
      <w:pPr>
        <w:spacing w:line="360" w:lineRule="auto"/>
        <w:ind w:firstLine="480" w:firstLineChars="200"/>
        <w:jc w:val="left"/>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rPr>
        <w:t>6.2.3其余未尽事宜按原合同96.14条“工人工资支付方面的违约责任”对承包人进行约束。</w:t>
      </w:r>
    </w:p>
    <w:p>
      <w:pPr>
        <w:spacing w:line="360" w:lineRule="auto"/>
        <w:ind w:firstLine="482" w:firstLineChars="200"/>
        <w:jc w:val="both"/>
        <w:textAlignment w:val="baseline"/>
        <w:rPr>
          <w:rStyle w:val="43"/>
          <w:rFonts w:hint="eastAsia" w:ascii="宋体" w:hAnsi="宋体" w:eastAsia="宋体" w:cs="宋体"/>
          <w:b/>
          <w:color w:val="auto"/>
          <w:kern w:val="2"/>
          <w:sz w:val="24"/>
          <w:szCs w:val="24"/>
          <w:highlight w:val="none"/>
          <w:lang w:val="en-US" w:eastAsia="zh-CN" w:bidi="ar-SA"/>
        </w:rPr>
      </w:pPr>
      <w:r>
        <w:rPr>
          <w:rStyle w:val="43"/>
          <w:rFonts w:hint="eastAsia" w:ascii="宋体" w:hAnsi="宋体" w:eastAsia="宋体" w:cs="宋体"/>
          <w:b/>
          <w:color w:val="auto"/>
          <w:kern w:val="2"/>
          <w:sz w:val="24"/>
          <w:szCs w:val="24"/>
          <w:highlight w:val="none"/>
          <w:lang w:val="en-US" w:eastAsia="zh-CN"/>
        </w:rPr>
        <w:t>7.双方共同承诺</w:t>
      </w:r>
    </w:p>
    <w:p>
      <w:pPr>
        <w:spacing w:line="360" w:lineRule="auto"/>
        <w:ind w:firstLine="480" w:firstLineChars="200"/>
        <w:jc w:val="left"/>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rPr>
        <w:t>双方必须严格本协议的规定支付、监管和使用工程工人工资，不得挤占、挪用。本协议未尽事宜，由双方友好协商一致，另行签订书面补充协议约定。</w:t>
      </w:r>
    </w:p>
    <w:p>
      <w:pPr>
        <w:spacing w:line="360" w:lineRule="auto"/>
        <w:ind w:firstLine="482" w:firstLineChars="200"/>
        <w:jc w:val="both"/>
        <w:textAlignment w:val="baseline"/>
        <w:rPr>
          <w:rStyle w:val="43"/>
          <w:rFonts w:hint="eastAsia" w:ascii="宋体" w:hAnsi="宋体" w:eastAsia="宋体" w:cs="宋体"/>
          <w:b/>
          <w:color w:val="auto"/>
          <w:kern w:val="2"/>
          <w:sz w:val="24"/>
          <w:szCs w:val="24"/>
          <w:highlight w:val="none"/>
          <w:lang w:val="en-US" w:eastAsia="zh-CN" w:bidi="ar-SA"/>
        </w:rPr>
      </w:pPr>
      <w:r>
        <w:rPr>
          <w:rStyle w:val="43"/>
          <w:rFonts w:hint="eastAsia" w:ascii="宋体" w:hAnsi="宋体" w:eastAsia="宋体" w:cs="宋体"/>
          <w:b/>
          <w:color w:val="auto"/>
          <w:kern w:val="2"/>
          <w:sz w:val="24"/>
          <w:szCs w:val="24"/>
          <w:highlight w:val="none"/>
          <w:lang w:val="en-US" w:eastAsia="zh-CN"/>
        </w:rPr>
        <w:t>8.合同法律效力</w:t>
      </w:r>
    </w:p>
    <w:p>
      <w:pPr>
        <w:ind w:firstLine="480" w:firstLineChars="20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rPr>
        <w:t>本协议作为（</w:t>
      </w:r>
      <w:r>
        <w:rPr>
          <w:rStyle w:val="43"/>
          <w:rFonts w:hint="eastAsia" w:ascii="宋体" w:hAnsi="宋体" w:eastAsia="宋体" w:cs="宋体"/>
          <w:color w:val="auto"/>
          <w:kern w:val="2"/>
          <w:sz w:val="24"/>
          <w:szCs w:val="24"/>
          <w:highlight w:val="none"/>
          <w:lang w:val="zh-CN" w:eastAsia="zh-CN"/>
        </w:rPr>
        <w:t>广州市天河区珠村小学改造工程施工总承包</w:t>
      </w:r>
      <w:r>
        <w:rPr>
          <w:rStyle w:val="43"/>
          <w:rFonts w:hint="eastAsia" w:ascii="宋体" w:hAnsi="宋体" w:eastAsia="宋体" w:cs="宋体"/>
          <w:color w:val="auto"/>
          <w:kern w:val="2"/>
          <w:sz w:val="24"/>
          <w:szCs w:val="24"/>
          <w:highlight w:val="none"/>
          <w:lang w:val="en-US" w:eastAsia="zh-CN"/>
        </w:rPr>
        <w:t>）合同（合同编号：              ）的补充协议，与施工合同具有同等的法律效力，经双方签署后生效，与合同不一致的地方以本协议为准。</w:t>
      </w:r>
    </w:p>
    <w:p>
      <w:pPr>
        <w:spacing w:line="360" w:lineRule="auto"/>
        <w:ind w:firstLine="482" w:firstLineChars="200"/>
        <w:jc w:val="both"/>
        <w:textAlignment w:val="baseline"/>
        <w:rPr>
          <w:rStyle w:val="43"/>
          <w:rFonts w:hint="eastAsia" w:ascii="宋体" w:hAnsi="宋体" w:eastAsia="宋体" w:cs="宋体"/>
          <w:b/>
          <w:color w:val="auto"/>
          <w:kern w:val="2"/>
          <w:sz w:val="24"/>
          <w:szCs w:val="24"/>
          <w:highlight w:val="none"/>
          <w:lang w:val="en-US" w:eastAsia="zh-CN" w:bidi="ar-SA"/>
        </w:rPr>
      </w:pPr>
      <w:r>
        <w:rPr>
          <w:rStyle w:val="43"/>
          <w:rFonts w:hint="eastAsia" w:ascii="宋体" w:hAnsi="宋体" w:eastAsia="宋体" w:cs="宋体"/>
          <w:b/>
          <w:color w:val="auto"/>
          <w:kern w:val="2"/>
          <w:sz w:val="24"/>
          <w:szCs w:val="24"/>
          <w:highlight w:val="none"/>
          <w:lang w:val="en-US" w:eastAsia="zh-CN"/>
        </w:rPr>
        <w:t>9.合同份数</w:t>
      </w:r>
    </w:p>
    <w:p>
      <w:pPr>
        <w:spacing w:line="360" w:lineRule="auto"/>
        <w:ind w:firstLine="480" w:firstLineChars="200"/>
        <w:jc w:val="left"/>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rPr>
        <w:t>本协议自双方法定代表人或委托代理人签订之日起生效，一式</w:t>
      </w:r>
      <w:r>
        <w:rPr>
          <w:rStyle w:val="43"/>
          <w:rFonts w:hint="eastAsia" w:ascii="宋体" w:hAnsi="宋体" w:eastAsia="宋体" w:cs="宋体"/>
          <w:color w:val="auto"/>
          <w:kern w:val="2"/>
          <w:sz w:val="24"/>
          <w:szCs w:val="24"/>
          <w:highlight w:val="none"/>
          <w:u w:val="single"/>
          <w:lang w:val="en-US" w:eastAsia="zh-CN"/>
        </w:rPr>
        <w:t>捌</w:t>
      </w:r>
      <w:r>
        <w:rPr>
          <w:rStyle w:val="43"/>
          <w:rFonts w:hint="eastAsia" w:ascii="宋体" w:hAnsi="宋体" w:eastAsia="宋体" w:cs="宋体"/>
          <w:color w:val="auto"/>
          <w:kern w:val="2"/>
          <w:sz w:val="24"/>
          <w:szCs w:val="24"/>
          <w:highlight w:val="none"/>
          <w:lang w:val="en-US" w:eastAsia="zh-CN"/>
        </w:rPr>
        <w:t>份，发包人执</w:t>
      </w:r>
      <w:r>
        <w:rPr>
          <w:rStyle w:val="43"/>
          <w:rFonts w:hint="eastAsia" w:ascii="宋体" w:hAnsi="宋体" w:eastAsia="宋体" w:cs="宋体"/>
          <w:color w:val="auto"/>
          <w:kern w:val="2"/>
          <w:sz w:val="24"/>
          <w:szCs w:val="24"/>
          <w:highlight w:val="none"/>
          <w:u w:val="single"/>
          <w:lang w:val="en-US" w:eastAsia="zh-CN"/>
        </w:rPr>
        <w:t>陆</w:t>
      </w:r>
      <w:r>
        <w:rPr>
          <w:rStyle w:val="43"/>
          <w:rFonts w:hint="eastAsia" w:ascii="宋体" w:hAnsi="宋体" w:eastAsia="宋体" w:cs="宋体"/>
          <w:color w:val="auto"/>
          <w:kern w:val="2"/>
          <w:sz w:val="24"/>
          <w:szCs w:val="24"/>
          <w:highlight w:val="none"/>
          <w:lang w:val="en-US" w:eastAsia="zh-CN"/>
        </w:rPr>
        <w:t>份，承包人执</w:t>
      </w:r>
      <w:r>
        <w:rPr>
          <w:rStyle w:val="43"/>
          <w:rFonts w:hint="eastAsia" w:ascii="宋体" w:hAnsi="宋体" w:eastAsia="宋体" w:cs="宋体"/>
          <w:color w:val="auto"/>
          <w:kern w:val="2"/>
          <w:sz w:val="24"/>
          <w:szCs w:val="24"/>
          <w:highlight w:val="none"/>
          <w:u w:val="single"/>
          <w:lang w:val="en-US" w:eastAsia="zh-CN"/>
        </w:rPr>
        <w:t>贰</w:t>
      </w:r>
      <w:r>
        <w:rPr>
          <w:rStyle w:val="43"/>
          <w:rFonts w:hint="eastAsia" w:ascii="宋体" w:hAnsi="宋体" w:eastAsia="宋体" w:cs="宋体"/>
          <w:color w:val="auto"/>
          <w:kern w:val="2"/>
          <w:sz w:val="24"/>
          <w:szCs w:val="24"/>
          <w:highlight w:val="none"/>
          <w:lang w:val="en-US" w:eastAsia="zh-CN"/>
        </w:rPr>
        <w:t>份，均具有同等法律效力。</w:t>
      </w:r>
    </w:p>
    <w:p>
      <w:pPr>
        <w:spacing w:line="360" w:lineRule="auto"/>
        <w:ind w:firstLine="360" w:firstLineChars="150"/>
        <w:jc w:val="both"/>
        <w:textAlignment w:val="baseline"/>
        <w:rPr>
          <w:rStyle w:val="43"/>
          <w:rFonts w:hint="eastAsia" w:ascii="宋体" w:hAnsi="宋体" w:eastAsia="宋体" w:cs="宋体"/>
          <w:color w:val="auto"/>
          <w:kern w:val="2"/>
          <w:sz w:val="24"/>
          <w:szCs w:val="24"/>
          <w:highlight w:val="none"/>
          <w:lang w:val="en-US" w:eastAsia="zh-CN"/>
        </w:rPr>
      </w:pPr>
      <w:r>
        <w:rPr>
          <w:rStyle w:val="43"/>
          <w:rFonts w:hint="eastAsia" w:ascii="宋体" w:hAnsi="宋体" w:eastAsia="宋体" w:cs="宋体"/>
          <w:color w:val="auto"/>
          <w:kern w:val="2"/>
          <w:sz w:val="24"/>
          <w:szCs w:val="24"/>
          <w:highlight w:val="none"/>
          <w:lang w:val="en-US" w:eastAsia="zh-CN"/>
        </w:rPr>
        <w:t>（以下为签署页）</w:t>
      </w:r>
    </w:p>
    <w:p>
      <w:pPr>
        <w:spacing w:line="360" w:lineRule="auto"/>
        <w:ind w:left="4680" w:hanging="4095" w:hangingChars="1950"/>
        <w:jc w:val="both"/>
        <w:textAlignment w:val="baseline"/>
        <w:rPr>
          <w:rStyle w:val="43"/>
          <w:rFonts w:hint="eastAsia" w:ascii="宋体" w:hAnsi="宋体" w:eastAsia="宋体" w:cs="宋体"/>
          <w:color w:val="auto"/>
          <w:kern w:val="2"/>
          <w:sz w:val="21"/>
          <w:szCs w:val="21"/>
          <w:highlight w:val="none"/>
          <w:lang w:val="en-US" w:eastAsia="zh-CN"/>
        </w:rPr>
      </w:pPr>
    </w:p>
    <w:p>
      <w:pPr>
        <w:spacing w:line="360" w:lineRule="auto"/>
        <w:ind w:left="4680" w:hanging="4680" w:hangingChars="1950"/>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rPr>
        <w:t xml:space="preserve">发包人：                </w:t>
      </w:r>
      <w:r>
        <w:rPr>
          <w:rStyle w:val="43"/>
          <w:rFonts w:hint="eastAsia" w:ascii="宋体" w:hAnsi="宋体" w:eastAsia="宋体" w:cs="宋体"/>
          <w:color w:val="auto"/>
          <w:spacing w:val="-20"/>
          <w:kern w:val="2"/>
          <w:sz w:val="24"/>
          <w:szCs w:val="24"/>
          <w:highlight w:val="none"/>
          <w:lang w:val="en-US" w:eastAsia="zh-CN"/>
        </w:rPr>
        <w:t xml:space="preserve">                       </w:t>
      </w:r>
      <w:r>
        <w:rPr>
          <w:rStyle w:val="43"/>
          <w:rFonts w:hint="eastAsia" w:ascii="宋体" w:hAnsi="宋体" w:eastAsia="宋体" w:cs="宋体"/>
          <w:color w:val="auto"/>
          <w:kern w:val="2"/>
          <w:sz w:val="24"/>
          <w:szCs w:val="24"/>
          <w:highlight w:val="none"/>
          <w:lang w:val="en-US" w:eastAsia="zh-CN"/>
        </w:rPr>
        <w:t>承包人：</w:t>
      </w:r>
      <w:r>
        <w:rPr>
          <w:rStyle w:val="43"/>
          <w:rFonts w:hint="eastAsia" w:ascii="宋体" w:hAnsi="宋体" w:eastAsia="宋体" w:cs="宋体"/>
          <w:color w:val="auto"/>
          <w:spacing w:val="-20"/>
          <w:kern w:val="2"/>
          <w:sz w:val="24"/>
          <w:szCs w:val="24"/>
          <w:highlight w:val="none"/>
          <w:lang w:val="en-US" w:eastAsia="zh-CN"/>
        </w:rPr>
        <w:t xml:space="preserve">                             </w:t>
      </w:r>
    </w:p>
    <w:p>
      <w:pPr>
        <w:spacing w:line="360" w:lineRule="auto"/>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rPr>
        <w:t>法定代表人：                           法定代表人：</w:t>
      </w:r>
    </w:p>
    <w:p>
      <w:pPr>
        <w:spacing w:line="360" w:lineRule="auto"/>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rPr>
        <w:t>（签字或盖章）                        （签字或盖章）</w:t>
      </w:r>
    </w:p>
    <w:p>
      <w:pPr>
        <w:spacing w:line="360" w:lineRule="auto"/>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rPr>
        <w:t>或委托代理人：                         或委托代理人：</w:t>
      </w:r>
    </w:p>
    <w:p>
      <w:pPr>
        <w:spacing w:line="360" w:lineRule="auto"/>
        <w:jc w:val="both"/>
        <w:textAlignment w:val="baseline"/>
        <w:rPr>
          <w:rStyle w:val="43"/>
          <w:rFonts w:hint="eastAsia" w:ascii="宋体" w:hAnsi="宋体" w:eastAsia="宋体" w:cs="宋体"/>
          <w:color w:val="auto"/>
          <w:kern w:val="2"/>
          <w:sz w:val="24"/>
          <w:szCs w:val="24"/>
          <w:highlight w:val="none"/>
          <w:lang w:val="en-US" w:eastAsia="zh-CN" w:bidi="ar-SA"/>
        </w:rPr>
      </w:pPr>
      <w:r>
        <w:rPr>
          <w:rStyle w:val="43"/>
          <w:rFonts w:hint="eastAsia" w:ascii="宋体" w:hAnsi="宋体" w:eastAsia="宋体" w:cs="宋体"/>
          <w:color w:val="auto"/>
          <w:kern w:val="2"/>
          <w:sz w:val="24"/>
          <w:szCs w:val="24"/>
          <w:highlight w:val="none"/>
          <w:lang w:val="en-US" w:eastAsia="zh-CN"/>
        </w:rPr>
        <w:t>（签字或盖章）                        （签字或盖章）</w:t>
      </w:r>
    </w:p>
    <w:p>
      <w:pPr>
        <w:spacing w:line="360" w:lineRule="auto"/>
        <w:jc w:val="both"/>
        <w:textAlignment w:val="baseline"/>
        <w:rPr>
          <w:rStyle w:val="43"/>
          <w:rFonts w:hint="eastAsia" w:ascii="宋体" w:hAnsi="宋体" w:eastAsia="宋体" w:cs="宋体"/>
          <w:b/>
          <w:bCs/>
          <w:color w:val="auto"/>
          <w:kern w:val="2"/>
          <w:sz w:val="44"/>
          <w:szCs w:val="44"/>
          <w:highlight w:val="none"/>
          <w:lang w:val="en-US" w:eastAsia="zh-CN" w:bidi="ar-SA"/>
        </w:rPr>
      </w:pPr>
      <w:r>
        <w:rPr>
          <w:rStyle w:val="43"/>
          <w:rFonts w:hint="eastAsia" w:ascii="宋体" w:hAnsi="宋体" w:eastAsia="宋体" w:cs="宋体"/>
          <w:color w:val="auto"/>
          <w:kern w:val="2"/>
          <w:sz w:val="24"/>
          <w:szCs w:val="24"/>
          <w:highlight w:val="none"/>
          <w:lang w:val="en-US" w:eastAsia="zh-CN"/>
        </w:rPr>
        <w:t>日 期：    年   月    日                日 期：   年   月   日</w:t>
      </w:r>
    </w:p>
    <w:sectPr>
      <w:footerReference r:id="rId8" w:type="default"/>
      <w:footerReference r:id="rId9" w:type="even"/>
      <w:pgSz w:w="11906" w:h="16838"/>
      <w:pgMar w:top="1440" w:right="1588" w:bottom="1440" w:left="1588" w:header="851" w:footer="992" w:gutter="0"/>
      <w:lnNumType w:countBy="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entury Gothic">
    <w:altName w:val="Yu Gothic UI"/>
    <w:panose1 w:val="020B0502020202020204"/>
    <w:charset w:val="00"/>
    <w:family w:val="swiss"/>
    <w:pitch w:val="default"/>
    <w:sig w:usb0="00000000" w:usb1="00000000" w:usb2="00000000" w:usb3="00000000" w:csb0="2000009F" w:csb1="DFD70000"/>
  </w:font>
  <w:font w:name="楷体_GB2312">
    <w:altName w:val="楷体"/>
    <w:panose1 w:val="02010609030101010101"/>
    <w:charset w:val="86"/>
    <w:family w:val="modern"/>
    <w:pitch w:val="default"/>
    <w:sig w:usb0="00000000" w:usb1="00000000" w:usb2="00000000" w:usb3="00000000" w:csb0="00040000" w:csb1="00000000"/>
  </w:font>
  <w:font w:name="Bookman Old Style">
    <w:altName w:val="Segoe Print"/>
    <w:panose1 w:val="02050604050505020204"/>
    <w:charset w:val="00"/>
    <w:family w:val="roman"/>
    <w:pitch w:val="default"/>
    <w:sig w:usb0="00000000" w:usb1="00000000" w:usb2="00000000" w:usb3="00000000" w:csb0="2000009F" w:csb1="DFD70000"/>
  </w:font>
  <w:font w:name="Arial Unicode MS">
    <w:altName w:val="宋体"/>
    <w:panose1 w:val="020B0604020202020204"/>
    <w:charset w:val="86"/>
    <w:family w:val="swiss"/>
    <w:pitch w:val="default"/>
    <w:sig w:usb0="00000000" w:usb1="00000000" w:usb2="0000003F" w:usb3="00000000" w:csb0="603F01FF" w:csb1="FFFF0000"/>
  </w:font>
  <w:font w:name="等线">
    <w:panose1 w:val="02010600030101010101"/>
    <w:charset w:val="86"/>
    <w:family w:val="auto"/>
    <w:pitch w:val="default"/>
    <w:sig w:usb0="A00002BF" w:usb1="38CF7CFA" w:usb2="00000016" w:usb3="00000000" w:csb0="0004000F" w:csb1="00000000"/>
  </w:font>
  <w:font w:name="MingLiU">
    <w:altName w:val="PMingLiU-ExtB"/>
    <w:panose1 w:val="02020509000000000000"/>
    <w:charset w:val="88"/>
    <w:family w:val="modern"/>
    <w:pitch w:val="default"/>
    <w:sig w:usb0="00000000" w:usb1="00000000" w:usb2="00000016" w:usb3="00000000" w:csb0="00100001" w:csb1="00000000"/>
  </w:font>
  <w:font w:name="仿宋_GB2312">
    <w:altName w:val="仿宋"/>
    <w:panose1 w:val="02010609030101010101"/>
    <w:charset w:val="86"/>
    <w:family w:val="modern"/>
    <w:pitch w:val="default"/>
    <w:sig w:usb0="00000000" w:usb1="0000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rial Black">
    <w:panose1 w:val="020B0A04020102020204"/>
    <w:charset w:val="00"/>
    <w:family w:val="swiss"/>
    <w:pitch w:val="default"/>
    <w:sig w:usb0="A00002AF" w:usb1="400078FB" w:usb2="00000000" w:usb3="00000000" w:csb0="6000009F" w:csb1="DFD70000"/>
  </w:font>
  <w:font w:name="PMingLiU">
    <w:altName w:val="PMingLiU-ExtB"/>
    <w:panose1 w:val="02020500000000000000"/>
    <w:charset w:val="88"/>
    <w:family w:val="auto"/>
    <w:pitch w:val="default"/>
    <w:sig w:usb0="00000000" w:usb1="00000000" w:usb2="00000016" w:usb3="00000000" w:csb0="00100001" w:csb1="00000000"/>
  </w:font>
  <w:font w:name="Calisto MT">
    <w:altName w:val="Segoe Print"/>
    <w:panose1 w:val="02040603050505030304"/>
    <w:charset w:val="00"/>
    <w:family w:val="roman"/>
    <w:pitch w:val="default"/>
    <w:sig w:usb0="00000000" w:usb1="00000000" w:usb2="00000000" w:usb3="00000000" w:csb0="20000001" w:csb1="00000000"/>
  </w:font>
  <w:font w:name="Palatino">
    <w:altName w:val="Palatino Linotype"/>
    <w:panose1 w:val="02040602050305020304"/>
    <w:charset w:val="00"/>
    <w:family w:val="roman"/>
    <w:pitch w:val="default"/>
    <w:sig w:usb0="00000000" w:usb1="00000000" w:usb2="00000000" w:usb3="00000000" w:csb0="00000000" w:csb1="00000000"/>
  </w:font>
  <w:font w:name="全真中明體">
    <w:altName w:val="MingLiU-ExtB"/>
    <w:panose1 w:val="00000000000000000000"/>
    <w:charset w:val="88"/>
    <w:family w:val="modern"/>
    <w:pitch w:val="default"/>
    <w:sig w:usb0="00000000" w:usb1="00000000" w:usb2="00000010" w:usb3="00000000" w:csb0="00100000" w:csb1="00000000"/>
  </w:font>
  <w:font w:name="LCJFL P+ Frutiger">
    <w:altName w:val="宋体"/>
    <w:panose1 w:val="00000000000000000000"/>
    <w:charset w:val="86"/>
    <w:family w:val="swiss"/>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PMingLiU-ExtB">
    <w:panose1 w:val="02020500000000000000"/>
    <w:charset w:val="88"/>
    <w:family w:val="auto"/>
    <w:pitch w:val="default"/>
    <w:sig w:usb0="8000002F" w:usb1="02000008" w:usb2="00000000" w:usb3="00000000" w:csb0="00100001" w:csb1="00000000"/>
  </w:font>
  <w:font w:name="仿宋">
    <w:panose1 w:val="02010609060101010101"/>
    <w:charset w:val="86"/>
    <w:family w:val="auto"/>
    <w:pitch w:val="default"/>
    <w:sig w:usb0="800002BF" w:usb1="38CF7CFA" w:usb2="00000016" w:usb3="00000000" w:csb0="00040001" w:csb1="00000000"/>
  </w:font>
  <w:font w:name="Palatino Linotype">
    <w:panose1 w:val="02040502050505030304"/>
    <w:charset w:val="00"/>
    <w:family w:val="auto"/>
    <w:pitch w:val="default"/>
    <w:sig w:usb0="E0000287" w:usb1="40000013" w:usb2="00000000" w:usb3="00000000" w:csb0="2000019F" w:csb1="00000000"/>
  </w:font>
  <w:font w:name="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qSjhE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3qbphGxU8/vp9+&#10;Ppx+fSM4g0CNCzPE3TtExvadbdE2w3nAYeLdVl6nLxgR+CHv8SKvaCPh6dJ0Mp3mcHH4hg3ws8fr&#10;zof4XlhNklFQj/p1srLDJsQ+dAhJ2YxdS6W6GipDmoJevX6b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qSjhEzAgAAYwQAAA4AAAAAAAAAAQAgAAAAHwEAAGRycy9lMm9Eb2MueG1sUEsF&#10;BgAAAAAGAAYAWQEAAMQFA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mc:Fallback>
      </mc:AlternateContent>
    </w: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Fonts w:cs="Times New Roma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g6Gf4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g6Gf4zAgAAYwQAAA4AAAAAAAAAAQAgAAAAHwEAAGRycy9lMm9Eb2MueG1sUEsF&#10;BgAAAAAGAAYAWQEAAMQFA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2</w:t>
                    </w:r>
                    <w:r>
                      <w:fldChar w:fldCharType="end"/>
                    </w:r>
                  </w:p>
                </w:txbxContent>
              </v:textbox>
            </v:shape>
          </w:pict>
        </mc:Fallback>
      </mc:AlternateContent>
    </w:r>
  </w:p>
  <w:p>
    <w:pPr>
      <w:pStyle w:val="14"/>
      <w:rPr>
        <w:rFonts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ypgwAgAAYw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Dp+ypgwAgAAYwQAAA4AAAAAAAAAAQAgAAAAHwEAAGRycy9lMm9Eb2MueG1sUEsFBgAA&#10;AAAGAAYAWQEAAMEFA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firstLine="36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jWXXczAgAAYw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xo5Iomu2GiFdtf2zHam&#10;OIGYM91seMs3NZJvmQ/3zGEYUDCeS7jDUkqDJKa3KKmM+/qv8xiPHsFLSYPhyqnGW6JEftDoHQDD&#10;YLjB2A2GPqhbg2lFO1BLMnHBBTmYpTPqC97QKuaAi2mOTDkNg3kbugHHG+RitUpBB+vqfdVdwORZ&#10;Frb6wfKYJgrp7eoQIGbSOArUqdLrhtlLXerfSRzuP/cp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jWXXczAgAAYwQAAA4AAAAAAAAAAQAgAAAAHwEAAGRycy9lMm9Eb2MueG1sUEsF&#10;BgAAAAAGAAYAWQEAAMQFA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widowControl/>
      <w:snapToGrid w:val="0"/>
      <w:jc w:val="left"/>
      <w:textAlignment w:val="baseline"/>
      <w:rPr>
        <w:rStyle w:val="43"/>
        <w:kern w:val="0"/>
        <w:sz w:val="18"/>
        <w:szCs w:val="18"/>
        <w:lang w:val="en-US" w:eastAsia="zh-CN" w:bidi="ar-SA"/>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142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olJw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8olJwzAgAAYwQAAA4AAAAAAAAAAQAgAAAAHwEAAGRycy9lMm9Eb2MueG1sUEsF&#10;BgAAAAAGAAYAWQEAAMQFA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142</w:t>
                    </w:r>
                    <w:r>
                      <w:fldChar w:fldCharType="end"/>
                    </w:r>
                  </w:p>
                </w:txbxContent>
              </v:textbox>
            </v:shape>
          </w:pict>
        </mc:Fallback>
      </mc:AlternateContent>
    </w:r>
  </w:p>
  <w:p>
    <w:pPr>
      <w:pStyle w:val="14"/>
      <w:widowControl/>
      <w:tabs>
        <w:tab w:val="center" w:pos="0"/>
      </w:tabs>
      <w:snapToGrid w:val="0"/>
      <w:ind w:right="360" w:firstLine="3420" w:firstLineChars="1900"/>
      <w:jc w:val="left"/>
      <w:textAlignment w:val="baseline"/>
      <w:rPr>
        <w:rStyle w:val="43"/>
        <w:kern w:val="0"/>
        <w:sz w:val="18"/>
        <w:szCs w:val="18"/>
        <w:lang w:val="en-US" w:eastAsia="zh-CN" w:bidi="ar-S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margin" w:hAnchor="text" w:xAlign="right" w:y="1"/>
      <w:widowControl/>
      <w:snapToGrid w:val="0"/>
      <w:jc w:val="left"/>
      <w:textAlignment w:val="baseline"/>
      <w:rPr>
        <w:rStyle w:val="47"/>
        <w:kern w:val="0"/>
        <w:sz w:val="18"/>
        <w:szCs w:val="18"/>
        <w:lang w:val="en-US" w:eastAsia="zh-CN" w:bidi="ar-SA"/>
      </w:rPr>
    </w:pPr>
  </w:p>
  <w:p>
    <w:pPr>
      <w:pStyle w:val="14"/>
      <w:widowControl/>
      <w:snapToGrid w:val="0"/>
      <w:ind w:right="360"/>
      <w:jc w:val="left"/>
      <w:textAlignment w:val="baseline"/>
      <w:rPr>
        <w:rStyle w:val="43"/>
        <w:kern w:val="0"/>
        <w:sz w:val="18"/>
        <w:szCs w:val="18"/>
        <w:lang w:val="en-US" w:eastAsia="zh-CN" w:bidi="ar-S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jc w:val="both"/>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0A603A"/>
    <w:multiLevelType w:val="singleLevel"/>
    <w:tmpl w:val="BA0A603A"/>
    <w:lvl w:ilvl="0" w:tentative="0">
      <w:start w:val="1"/>
      <w:numFmt w:val="decimal"/>
      <w:suff w:val="nothing"/>
      <w:lvlText w:val="（%1）"/>
      <w:lvlJc w:val="left"/>
    </w:lvl>
  </w:abstractNum>
  <w:abstractNum w:abstractNumId="1">
    <w:nsid w:val="07C0A55D"/>
    <w:multiLevelType w:val="singleLevel"/>
    <w:tmpl w:val="07C0A55D"/>
    <w:lvl w:ilvl="0" w:tentative="0">
      <w:start w:val="6"/>
      <w:numFmt w:val="decimal"/>
      <w:suff w:val="nothing"/>
      <w:lvlText w:val="（%1）"/>
      <w:lvlJc w:val="left"/>
    </w:lvl>
  </w:abstractNum>
  <w:abstractNum w:abstractNumId="2">
    <w:nsid w:val="0A8412F3"/>
    <w:multiLevelType w:val="multilevel"/>
    <w:tmpl w:val="0A8412F3"/>
    <w:lvl w:ilvl="0" w:tentative="0">
      <w:start w:val="1"/>
      <w:numFmt w:val="decimal"/>
      <w:pStyle w:val="246"/>
      <w:lvlText w:val="%1."/>
      <w:lvlJc w:val="left"/>
      <w:pPr>
        <w:widowControl/>
        <w:ind w:left="420" w:hanging="420"/>
        <w:textAlignment w:val="baseline"/>
      </w:pPr>
    </w:lvl>
    <w:lvl w:ilvl="1" w:tentative="0">
      <w:start w:val="1"/>
      <w:numFmt w:val="decimal"/>
      <w:pStyle w:val="196"/>
      <w:lvlText w:val="%1.%2."/>
      <w:lvlJc w:val="left"/>
      <w:pPr>
        <w:widowControl/>
        <w:ind w:left="1680" w:hanging="420"/>
        <w:textAlignment w:val="baseline"/>
      </w:pPr>
      <w:rPr>
        <w:b/>
      </w:rPr>
    </w:lvl>
    <w:lvl w:ilvl="2" w:tentative="0">
      <w:start w:val="1"/>
      <w:numFmt w:val="decimal"/>
      <w:pStyle w:val="230"/>
      <w:lvlText w:val="%1.%2.%3"/>
      <w:lvlJc w:val="left"/>
      <w:pPr>
        <w:widowControl/>
        <w:ind w:left="720" w:hanging="720"/>
        <w:textAlignment w:val="baseline"/>
      </w:pPr>
      <w:rPr>
        <w:b w:val="0"/>
      </w:rPr>
    </w:lvl>
    <w:lvl w:ilvl="3" w:tentative="0">
      <w:start w:val="1"/>
      <w:numFmt w:val="decimal"/>
      <w:lvlText w:val="%1.%2.%3.%4"/>
      <w:lvlJc w:val="left"/>
      <w:pPr>
        <w:widowControl/>
        <w:ind w:left="720" w:hanging="720"/>
        <w:textAlignment w:val="baseline"/>
      </w:pPr>
      <w:rPr>
        <w:b w:val="0"/>
      </w:rPr>
    </w:lvl>
    <w:lvl w:ilvl="4" w:tentative="0">
      <w:start w:val="1"/>
      <w:numFmt w:val="decimal"/>
      <w:lvlText w:val="%1.%2.%3.%4.%5"/>
      <w:lvlJc w:val="left"/>
      <w:pPr>
        <w:widowControl/>
        <w:ind w:left="1080" w:hanging="1080"/>
        <w:textAlignment w:val="baseline"/>
      </w:pPr>
      <w:rPr>
        <w:b/>
      </w:rPr>
    </w:lvl>
    <w:lvl w:ilvl="5" w:tentative="0">
      <w:start w:val="1"/>
      <w:numFmt w:val="decimal"/>
      <w:lvlText w:val="%1.%2.%3.%4.%5.%6"/>
      <w:lvlJc w:val="left"/>
      <w:pPr>
        <w:widowControl/>
        <w:ind w:left="1080" w:hanging="1080"/>
        <w:textAlignment w:val="baseline"/>
      </w:pPr>
    </w:lvl>
    <w:lvl w:ilvl="6" w:tentative="0">
      <w:start w:val="1"/>
      <w:numFmt w:val="decimal"/>
      <w:lvlText w:val="%1.%2.%3.%4.%5.%6.%7"/>
      <w:lvlJc w:val="left"/>
      <w:pPr>
        <w:widowControl/>
        <w:ind w:left="1440" w:hanging="1440"/>
        <w:textAlignment w:val="baseline"/>
      </w:pPr>
    </w:lvl>
    <w:lvl w:ilvl="7" w:tentative="0">
      <w:start w:val="1"/>
      <w:numFmt w:val="decimal"/>
      <w:lvlText w:val="%1.%2.%3.%4.%5.%6.%7.%8"/>
      <w:lvlJc w:val="left"/>
      <w:pPr>
        <w:widowControl/>
        <w:ind w:left="1440" w:hanging="1440"/>
        <w:textAlignment w:val="baseline"/>
      </w:pPr>
    </w:lvl>
    <w:lvl w:ilvl="8" w:tentative="0">
      <w:start w:val="1"/>
      <w:numFmt w:val="decimal"/>
      <w:lvlText w:val="%1.%2.%3.%4.%5.%6.%7.%8.%9"/>
      <w:lvlJc w:val="left"/>
      <w:pPr>
        <w:widowControl/>
        <w:ind w:left="1800" w:hanging="1800"/>
        <w:textAlignment w:val="baseline"/>
      </w:pPr>
    </w:lvl>
  </w:abstractNum>
  <w:abstractNum w:abstractNumId="3">
    <w:nsid w:val="259905B5"/>
    <w:multiLevelType w:val="multilevel"/>
    <w:tmpl w:val="259905B5"/>
    <w:lvl w:ilvl="0" w:tentative="0">
      <w:start w:val="1"/>
      <w:numFmt w:val="chineseCountingThousand"/>
      <w:pStyle w:val="216"/>
      <w:suff w:val="space"/>
      <w:lvlText w:val="第%1章"/>
      <w:lvlJc w:val="left"/>
      <w:pPr>
        <w:widowControl/>
        <w:ind w:left="567" w:hanging="279"/>
        <w:textAlignment w:val="baseline"/>
      </w:pPr>
      <w:rPr>
        <w:rFonts w:ascii="宋体" w:eastAsia="宋体"/>
        <w:b/>
        <w:i w:val="0"/>
        <w:position w:val="0"/>
        <w:sz w:val="44"/>
      </w:rPr>
    </w:lvl>
    <w:lvl w:ilvl="1" w:tentative="0">
      <w:start w:val="1"/>
      <w:numFmt w:val="decimal"/>
      <w:pStyle w:val="353"/>
      <w:suff w:val="space"/>
      <w:lvlText w:val="%1."/>
      <w:lvlJc w:val="left"/>
      <w:pPr>
        <w:widowControl/>
        <w:ind w:left="454" w:hanging="454"/>
        <w:textAlignment w:val="baseline"/>
      </w:pPr>
      <w:rPr>
        <w:rFonts w:ascii="宋体" w:eastAsia="宋体"/>
        <w:b/>
        <w:i w:val="0"/>
        <w:sz w:val="32"/>
      </w:rPr>
    </w:lvl>
    <w:lvl w:ilvl="2" w:tentative="0">
      <w:start w:val="1"/>
      <w:numFmt w:val="decimal"/>
      <w:pStyle w:val="228"/>
      <w:suff w:val="space"/>
      <w:lvlText w:val="%1.%2"/>
      <w:lvlJc w:val="left"/>
      <w:pPr>
        <w:widowControl/>
        <w:ind w:left="454" w:hanging="454"/>
        <w:textAlignment w:val="baseline"/>
      </w:pPr>
      <w:rPr>
        <w:rFonts w:ascii="宋体" w:eastAsia="宋体"/>
        <w:b/>
        <w:i w:val="0"/>
        <w:sz w:val="28"/>
      </w:rPr>
    </w:lvl>
    <w:lvl w:ilvl="3" w:tentative="0">
      <w:start w:val="1"/>
      <w:numFmt w:val="decimal"/>
      <w:pStyle w:val="37"/>
      <w:suff w:val="space"/>
      <w:lvlText w:val="%1.%2.%3"/>
      <w:lvlJc w:val="left"/>
      <w:pPr>
        <w:widowControl/>
        <w:ind w:left="284" w:hanging="284"/>
        <w:textAlignment w:val="baseline"/>
      </w:pPr>
      <w:rPr>
        <w:rFonts w:ascii="宋体" w:eastAsia="宋体"/>
        <w:b/>
        <w:i w:val="0"/>
        <w:sz w:val="28"/>
      </w:rPr>
    </w:lvl>
    <w:lvl w:ilvl="4" w:tentative="0">
      <w:start w:val="1"/>
      <w:numFmt w:val="decimal"/>
      <w:pStyle w:val="38"/>
      <w:suff w:val="space"/>
      <w:lvlText w:val="%1.%2.%3.%4"/>
      <w:lvlJc w:val="left"/>
      <w:pPr>
        <w:widowControl/>
        <w:ind w:left="284" w:hanging="284"/>
        <w:textAlignment w:val="baseline"/>
      </w:pPr>
      <w:rPr>
        <w:rFonts w:ascii="宋体" w:eastAsia="宋体"/>
        <w:b/>
        <w:i w:val="0"/>
        <w:strike w:val="0"/>
        <w:dstrike w:val="0"/>
        <w:sz w:val="28"/>
      </w:rPr>
    </w:lvl>
    <w:lvl w:ilvl="5" w:tentative="0">
      <w:start w:val="1"/>
      <w:numFmt w:val="decimal"/>
      <w:suff w:val="space"/>
      <w:lvlText w:val="1.1.1.1.1.%1%2"/>
      <w:lvlJc w:val="left"/>
      <w:pPr>
        <w:widowControl/>
        <w:textAlignment w:val="baseline"/>
      </w:pPr>
      <w:rPr>
        <w:rFonts w:ascii="宋体" w:eastAsia="宋体"/>
        <w:b/>
        <w:i w:val="0"/>
        <w:sz w:val="28"/>
      </w:rPr>
    </w:lvl>
    <w:lvl w:ilvl="6" w:tentative="0">
      <w:start w:val="1"/>
      <w:numFmt w:val="decimal"/>
      <w:pStyle w:val="40"/>
      <w:suff w:val="nothing"/>
      <w:lvlText w:val=""/>
      <w:lvlJc w:val="left"/>
      <w:pPr>
        <w:widowControl/>
        <w:textAlignment w:val="baseline"/>
      </w:pPr>
    </w:lvl>
    <w:lvl w:ilvl="7" w:tentative="0">
      <w:start w:val="1"/>
      <w:numFmt w:val="decimal"/>
      <w:pStyle w:val="41"/>
      <w:suff w:val="nothing"/>
      <w:lvlText w:val=""/>
      <w:lvlJc w:val="left"/>
      <w:pPr>
        <w:widowControl/>
        <w:textAlignment w:val="baseline"/>
      </w:pPr>
    </w:lvl>
    <w:lvl w:ilvl="8" w:tentative="0">
      <w:start w:val="1"/>
      <w:numFmt w:val="decimal"/>
      <w:pStyle w:val="42"/>
      <w:suff w:val="nothing"/>
      <w:lvlText w:val=""/>
      <w:lvlJc w:val="left"/>
      <w:pPr>
        <w:widowControl/>
        <w:textAlignment w:val="baseline"/>
      </w:pPr>
    </w:lvl>
  </w:abstractNum>
  <w:abstractNum w:abstractNumId="4">
    <w:nsid w:val="2F323F1F"/>
    <w:multiLevelType w:val="multilevel"/>
    <w:tmpl w:val="2F323F1F"/>
    <w:lvl w:ilvl="0" w:tentative="0">
      <w:start w:val="1"/>
      <w:numFmt w:val="decimal"/>
      <w:lvlText w:val="%1"/>
      <w:lvlJc w:val="left"/>
      <w:pPr>
        <w:widowControl/>
        <w:ind w:left="985" w:hanging="425"/>
        <w:textAlignment w:val="baseline"/>
      </w:pPr>
    </w:lvl>
    <w:lvl w:ilvl="1" w:tentative="0">
      <w:start w:val="1"/>
      <w:numFmt w:val="decimal"/>
      <w:pStyle w:val="337"/>
      <w:lvlText w:val="%1.%2"/>
      <w:lvlJc w:val="left"/>
      <w:pPr>
        <w:widowControl/>
        <w:ind w:left="591" w:hanging="567"/>
        <w:textAlignment w:val="baseline"/>
      </w:pPr>
    </w:lvl>
    <w:lvl w:ilvl="2" w:tentative="0">
      <w:start w:val="1"/>
      <w:numFmt w:val="decimal"/>
      <w:lvlText w:val="%1.%2.%3"/>
      <w:lvlJc w:val="left"/>
      <w:pPr>
        <w:widowControl/>
        <w:ind w:left="1978" w:hanging="567"/>
        <w:textAlignment w:val="baseline"/>
      </w:pPr>
    </w:lvl>
    <w:lvl w:ilvl="3" w:tentative="0">
      <w:start w:val="1"/>
      <w:numFmt w:val="decimal"/>
      <w:lvlText w:val="%1.%2.%3.%4"/>
      <w:lvlJc w:val="left"/>
      <w:pPr>
        <w:widowControl/>
        <w:ind w:left="2544" w:hanging="708"/>
        <w:textAlignment w:val="baseline"/>
      </w:pPr>
    </w:lvl>
    <w:lvl w:ilvl="4" w:tentative="0">
      <w:start w:val="1"/>
      <w:numFmt w:val="decimal"/>
      <w:lvlText w:val="%1.%2.%3.%4.%5"/>
      <w:lvlJc w:val="left"/>
      <w:pPr>
        <w:widowControl/>
        <w:ind w:left="3111" w:hanging="850"/>
        <w:textAlignment w:val="baseline"/>
      </w:pPr>
    </w:lvl>
    <w:lvl w:ilvl="5" w:tentative="0">
      <w:start w:val="1"/>
      <w:numFmt w:val="decimal"/>
      <w:lvlText w:val="%1.%2.%3.%4.%5.%6"/>
      <w:lvlJc w:val="left"/>
      <w:pPr>
        <w:widowControl/>
        <w:ind w:left="3820" w:hanging="1134"/>
        <w:textAlignment w:val="baseline"/>
      </w:pPr>
    </w:lvl>
    <w:lvl w:ilvl="6" w:tentative="0">
      <w:start w:val="1"/>
      <w:numFmt w:val="decimal"/>
      <w:lvlText w:val="%1.%2.%3.%4.%5.%6.%7"/>
      <w:lvlJc w:val="left"/>
      <w:pPr>
        <w:widowControl/>
        <w:ind w:left="4387" w:hanging="1276"/>
        <w:textAlignment w:val="baseline"/>
      </w:pPr>
    </w:lvl>
    <w:lvl w:ilvl="7" w:tentative="0">
      <w:start w:val="1"/>
      <w:numFmt w:val="decimal"/>
      <w:lvlText w:val="%1.%2.%3.%4.%5.%6.%7.%8"/>
      <w:lvlJc w:val="left"/>
      <w:pPr>
        <w:widowControl/>
        <w:ind w:left="4954" w:hanging="1418"/>
        <w:textAlignment w:val="baseline"/>
      </w:pPr>
    </w:lvl>
    <w:lvl w:ilvl="8" w:tentative="0">
      <w:start w:val="1"/>
      <w:numFmt w:val="decimal"/>
      <w:lvlText w:val="%1.%2.%3.%4.%5.%6.%7.%8.%9"/>
      <w:lvlJc w:val="left"/>
      <w:pPr>
        <w:widowControl/>
        <w:ind w:left="5662" w:hanging="1700"/>
        <w:textAlignment w:val="baseline"/>
      </w:pPr>
    </w:lvl>
  </w:abstractNum>
  <w:abstractNum w:abstractNumId="5">
    <w:nsid w:val="2F8123ED"/>
    <w:multiLevelType w:val="multilevel"/>
    <w:tmpl w:val="2F8123ED"/>
    <w:lvl w:ilvl="0" w:tentative="0">
      <w:start w:val="1"/>
      <w:numFmt w:val="decimal"/>
      <w:pStyle w:val="237"/>
      <w:lvlText w:val="（%1）"/>
      <w:lvlJc w:val="left"/>
      <w:pPr>
        <w:widowControl/>
        <w:ind w:left="1751" w:hanging="851"/>
        <w:textAlignment w:val="baseline"/>
      </w:pPr>
    </w:lvl>
    <w:lvl w:ilvl="1" w:tentative="0">
      <w:start w:val="1"/>
      <w:numFmt w:val="bullet"/>
      <w:lvlText w:val=""/>
      <w:lvlJc w:val="left"/>
      <w:pPr>
        <w:widowControl/>
        <w:ind w:left="2235" w:hanging="420"/>
        <w:textAlignment w:val="baseline"/>
      </w:pPr>
      <w:rPr>
        <w:rFonts w:ascii="Wingdings" w:hAnsi="Wingdings"/>
        <w:sz w:val="21"/>
        <w:szCs w:val="21"/>
      </w:rPr>
    </w:lvl>
    <w:lvl w:ilvl="2" w:tentative="0">
      <w:start w:val="1"/>
      <w:numFmt w:val="lowerRoman"/>
      <w:lvlText w:val="%1."/>
      <w:lvlJc w:val="right"/>
      <w:pPr>
        <w:widowControl/>
        <w:ind w:left="2655" w:hanging="420"/>
        <w:textAlignment w:val="baseline"/>
      </w:pPr>
    </w:lvl>
    <w:lvl w:ilvl="3" w:tentative="0">
      <w:start w:val="1"/>
      <w:numFmt w:val="decimal"/>
      <w:lvlText w:val="%1."/>
      <w:lvlJc w:val="left"/>
      <w:pPr>
        <w:widowControl/>
        <w:ind w:left="3075" w:hanging="420"/>
        <w:textAlignment w:val="baseline"/>
      </w:pPr>
    </w:lvl>
    <w:lvl w:ilvl="4" w:tentative="0">
      <w:start w:val="1"/>
      <w:numFmt w:val="lowerLetter"/>
      <w:lvlText w:val="%1)"/>
      <w:lvlJc w:val="left"/>
      <w:pPr>
        <w:widowControl/>
        <w:ind w:left="3495" w:hanging="420"/>
        <w:textAlignment w:val="baseline"/>
      </w:pPr>
    </w:lvl>
    <w:lvl w:ilvl="5" w:tentative="0">
      <w:start w:val="1"/>
      <w:numFmt w:val="lowerRoman"/>
      <w:lvlText w:val="%1."/>
      <w:lvlJc w:val="right"/>
      <w:pPr>
        <w:widowControl/>
        <w:ind w:left="3915" w:hanging="420"/>
        <w:textAlignment w:val="baseline"/>
      </w:pPr>
    </w:lvl>
    <w:lvl w:ilvl="6" w:tentative="0">
      <w:start w:val="1"/>
      <w:numFmt w:val="decimal"/>
      <w:lvlText w:val="%1."/>
      <w:lvlJc w:val="left"/>
      <w:pPr>
        <w:widowControl/>
        <w:ind w:left="4335" w:hanging="420"/>
        <w:textAlignment w:val="baseline"/>
      </w:pPr>
    </w:lvl>
    <w:lvl w:ilvl="7" w:tentative="0">
      <w:start w:val="1"/>
      <w:numFmt w:val="lowerLetter"/>
      <w:lvlText w:val="%1)"/>
      <w:lvlJc w:val="left"/>
      <w:pPr>
        <w:widowControl/>
        <w:ind w:left="4755" w:hanging="420"/>
        <w:textAlignment w:val="baseline"/>
      </w:pPr>
    </w:lvl>
    <w:lvl w:ilvl="8" w:tentative="0">
      <w:start w:val="1"/>
      <w:numFmt w:val="lowerRoman"/>
      <w:lvlText w:val="%1."/>
      <w:lvlJc w:val="right"/>
      <w:pPr>
        <w:widowControl/>
        <w:ind w:left="5175" w:hanging="420"/>
        <w:textAlignment w:val="baseline"/>
      </w:pPr>
    </w:lvl>
  </w:abstractNum>
  <w:abstractNum w:abstractNumId="6">
    <w:nsid w:val="45383389"/>
    <w:multiLevelType w:val="singleLevel"/>
    <w:tmpl w:val="45383389"/>
    <w:lvl w:ilvl="0" w:tentative="0">
      <w:start w:val="1"/>
      <w:numFmt w:val="decimal"/>
      <w:lvlText w:val="%1．"/>
      <w:lvlJc w:val="left"/>
      <w:pPr>
        <w:widowControl/>
        <w:ind w:left="750" w:hanging="330"/>
        <w:textAlignment w:val="baseline"/>
      </w:pPr>
    </w:lvl>
  </w:abstractNum>
  <w:abstractNum w:abstractNumId="7">
    <w:nsid w:val="48151F4D"/>
    <w:multiLevelType w:val="singleLevel"/>
    <w:tmpl w:val="48151F4D"/>
    <w:lvl w:ilvl="0" w:tentative="0">
      <w:start w:val="1"/>
      <w:numFmt w:val="decimal"/>
      <w:pStyle w:val="261"/>
      <w:lvlText w:val="（%1）"/>
      <w:lvlJc w:val="left"/>
      <w:pPr>
        <w:widowControl/>
        <w:ind w:left="1053" w:hanging="528"/>
        <w:textAlignment w:val="baseline"/>
      </w:pPr>
    </w:lvl>
  </w:abstractNum>
  <w:abstractNum w:abstractNumId="8">
    <w:nsid w:val="5A0A9B0E"/>
    <w:multiLevelType w:val="multilevel"/>
    <w:tmpl w:val="5A0A9B0E"/>
    <w:lvl w:ilvl="0" w:tentative="0">
      <w:start w:val="5"/>
      <w:numFmt w:val="decimal"/>
      <w:lvlText w:val="%1"/>
      <w:lvlJc w:val="left"/>
      <w:pPr>
        <w:widowControl/>
        <w:ind w:left="840" w:hanging="360"/>
        <w:textAlignment w:val="baseline"/>
      </w:pPr>
      <w:rPr>
        <w:rStyle w:val="43"/>
      </w:rPr>
    </w:lvl>
    <w:lvl w:ilvl="1" w:tentative="0">
      <w:start w:val="1"/>
      <w:numFmt w:val="lowerLetter"/>
      <w:lvlText w:val="%1)"/>
      <w:lvlJc w:val="left"/>
      <w:pPr>
        <w:widowControl/>
        <w:ind w:left="1320" w:hanging="420"/>
        <w:textAlignment w:val="baseline"/>
      </w:pPr>
      <w:rPr>
        <w:rStyle w:val="43"/>
      </w:rPr>
    </w:lvl>
    <w:lvl w:ilvl="2" w:tentative="0">
      <w:start w:val="1"/>
      <w:numFmt w:val="lowerRoman"/>
      <w:lvlText w:val="%1."/>
      <w:lvlJc w:val="right"/>
      <w:pPr>
        <w:widowControl/>
        <w:ind w:left="1740" w:hanging="420"/>
        <w:textAlignment w:val="baseline"/>
      </w:pPr>
      <w:rPr>
        <w:rStyle w:val="43"/>
      </w:rPr>
    </w:lvl>
    <w:lvl w:ilvl="3" w:tentative="0">
      <w:start w:val="1"/>
      <w:numFmt w:val="decimal"/>
      <w:lvlText w:val="%1."/>
      <w:lvlJc w:val="left"/>
      <w:pPr>
        <w:widowControl/>
        <w:ind w:left="2160" w:hanging="420"/>
        <w:textAlignment w:val="baseline"/>
      </w:pPr>
      <w:rPr>
        <w:rStyle w:val="43"/>
      </w:rPr>
    </w:lvl>
    <w:lvl w:ilvl="4" w:tentative="0">
      <w:start w:val="1"/>
      <w:numFmt w:val="lowerLetter"/>
      <w:lvlText w:val="%1)"/>
      <w:lvlJc w:val="left"/>
      <w:pPr>
        <w:widowControl/>
        <w:ind w:left="2580" w:hanging="420"/>
        <w:textAlignment w:val="baseline"/>
      </w:pPr>
      <w:rPr>
        <w:rStyle w:val="43"/>
      </w:rPr>
    </w:lvl>
    <w:lvl w:ilvl="5" w:tentative="0">
      <w:start w:val="1"/>
      <w:numFmt w:val="lowerRoman"/>
      <w:lvlText w:val="%1."/>
      <w:lvlJc w:val="right"/>
      <w:pPr>
        <w:widowControl/>
        <w:ind w:left="3000" w:hanging="420"/>
        <w:textAlignment w:val="baseline"/>
      </w:pPr>
      <w:rPr>
        <w:rStyle w:val="43"/>
      </w:rPr>
    </w:lvl>
    <w:lvl w:ilvl="6" w:tentative="0">
      <w:start w:val="1"/>
      <w:numFmt w:val="decimal"/>
      <w:lvlText w:val="%1."/>
      <w:lvlJc w:val="left"/>
      <w:pPr>
        <w:widowControl/>
        <w:ind w:left="3420" w:hanging="420"/>
        <w:textAlignment w:val="baseline"/>
      </w:pPr>
      <w:rPr>
        <w:rStyle w:val="43"/>
      </w:rPr>
    </w:lvl>
    <w:lvl w:ilvl="7" w:tentative="0">
      <w:start w:val="1"/>
      <w:numFmt w:val="lowerLetter"/>
      <w:lvlText w:val="%1)"/>
      <w:lvlJc w:val="left"/>
      <w:pPr>
        <w:widowControl/>
        <w:ind w:left="3840" w:hanging="420"/>
        <w:textAlignment w:val="baseline"/>
      </w:pPr>
      <w:rPr>
        <w:rStyle w:val="43"/>
      </w:rPr>
    </w:lvl>
    <w:lvl w:ilvl="8" w:tentative="0">
      <w:start w:val="1"/>
      <w:numFmt w:val="lowerRoman"/>
      <w:lvlText w:val="%1."/>
      <w:lvlJc w:val="right"/>
      <w:pPr>
        <w:widowControl/>
        <w:ind w:left="4260" w:hanging="420"/>
        <w:textAlignment w:val="baseline"/>
      </w:pPr>
      <w:rPr>
        <w:rStyle w:val="43"/>
      </w:rPr>
    </w:lvl>
  </w:abstractNum>
  <w:abstractNum w:abstractNumId="9">
    <w:nsid w:val="74FB0463"/>
    <w:multiLevelType w:val="multilevel"/>
    <w:tmpl w:val="74FB0463"/>
    <w:lvl w:ilvl="0" w:tentative="0">
      <w:start w:val="1"/>
      <w:numFmt w:val="decimal"/>
      <w:suff w:val="nothing"/>
      <w:lvlText w:val="第%1篇"/>
      <w:lvlJc w:val="left"/>
      <w:pPr>
        <w:widowControl/>
        <w:textAlignment w:val="baseline"/>
      </w:pPr>
      <w:rPr>
        <w:spacing w:val="60"/>
      </w:rPr>
    </w:lvl>
    <w:lvl w:ilvl="1" w:tentative="0">
      <w:start w:val="1"/>
      <w:numFmt w:val="decimal"/>
      <w:suff w:val="nothing"/>
      <w:lvlText w:val=""/>
      <w:lvlJc w:val="left"/>
      <w:pPr>
        <w:widowControl/>
        <w:textAlignment w:val="baseline"/>
      </w:pPr>
    </w:lvl>
    <w:lvl w:ilvl="2" w:tentative="0">
      <w:start w:val="1"/>
      <w:numFmt w:val="decimal"/>
      <w:suff w:val="nothing"/>
      <w:lvlText w:val=""/>
      <w:lvlJc w:val="left"/>
      <w:pPr>
        <w:widowControl/>
        <w:textAlignment w:val="baseline"/>
      </w:pPr>
    </w:lvl>
    <w:lvl w:ilvl="3" w:tentative="0">
      <w:start w:val="1"/>
      <w:numFmt w:val="decimal"/>
      <w:suff w:val="nothing"/>
      <w:lvlText w:val=""/>
      <w:lvlJc w:val="left"/>
      <w:pPr>
        <w:widowControl/>
        <w:textAlignment w:val="baseline"/>
      </w:pPr>
    </w:lvl>
    <w:lvl w:ilvl="4" w:tentative="0">
      <w:start w:val="1"/>
      <w:numFmt w:val="decimal"/>
      <w:suff w:val="nothing"/>
      <w:lvlText w:val=""/>
      <w:lvlJc w:val="center"/>
      <w:pPr>
        <w:widowControl/>
        <w:ind w:firstLine="288"/>
        <w:textAlignment w:val="baseline"/>
      </w:pPr>
    </w:lvl>
    <w:lvl w:ilvl="5" w:tentative="0">
      <w:start w:val="1"/>
      <w:numFmt w:val="decimal"/>
      <w:pStyle w:val="39"/>
      <w:suff w:val="nothing"/>
      <w:lvlText w:val=""/>
      <w:lvlJc w:val="left"/>
      <w:pPr>
        <w:widowControl/>
        <w:textAlignment w:val="baseline"/>
      </w:pPr>
    </w:lvl>
    <w:lvl w:ilvl="6" w:tentative="0">
      <w:start w:val="1"/>
      <w:numFmt w:val="decimal"/>
      <w:suff w:val="nothing"/>
      <w:lvlText w:val=""/>
      <w:lvlJc w:val="left"/>
      <w:pPr>
        <w:widowControl/>
        <w:textAlignment w:val="baseline"/>
      </w:pPr>
    </w:lvl>
    <w:lvl w:ilvl="7" w:tentative="0">
      <w:start w:val="1"/>
      <w:numFmt w:val="decimal"/>
      <w:suff w:val="nothing"/>
      <w:lvlText w:val=""/>
      <w:lvlJc w:val="left"/>
      <w:pPr>
        <w:widowControl/>
        <w:textAlignment w:val="baseline"/>
      </w:pPr>
    </w:lvl>
    <w:lvl w:ilvl="8" w:tentative="0">
      <w:start w:val="1"/>
      <w:numFmt w:val="decimal"/>
      <w:suff w:val="nothing"/>
      <w:lvlText w:val=""/>
      <w:lvlJc w:val="left"/>
      <w:pPr>
        <w:widowControl/>
        <w:textAlignment w:val="baseline"/>
      </w:pPr>
    </w:lvl>
  </w:abstractNum>
  <w:abstractNum w:abstractNumId="10">
    <w:nsid w:val="7E0B3878"/>
    <w:multiLevelType w:val="multilevel"/>
    <w:tmpl w:val="7E0B3878"/>
    <w:lvl w:ilvl="0" w:tentative="0">
      <w:start w:val="1"/>
      <w:numFmt w:val="bullet"/>
      <w:pStyle w:val="202"/>
      <w:lvlText w:val=""/>
      <w:lvlJc w:val="left"/>
      <w:pPr>
        <w:widowControl/>
        <w:ind w:left="1644" w:hanging="226"/>
        <w:textAlignment w:val="baseline"/>
      </w:pPr>
      <w:rPr>
        <w:rFonts w:ascii="Wingdings" w:hAnsi="Wingdings"/>
      </w:rPr>
    </w:lvl>
    <w:lvl w:ilvl="1" w:tentative="0">
      <w:start w:val="1"/>
      <w:numFmt w:val="decimal"/>
      <w:lvlText w:val="%1)"/>
      <w:lvlJc w:val="left"/>
      <w:pPr>
        <w:widowControl/>
        <w:ind w:left="747" w:hanging="327"/>
        <w:textAlignment w:val="baseline"/>
      </w:pPr>
    </w:lvl>
    <w:lvl w:ilvl="2" w:tentative="0">
      <w:start w:val="1"/>
      <w:numFmt w:val="decimal"/>
      <w:lvlText w:val="（%1）"/>
      <w:lvlJc w:val="left"/>
      <w:pPr>
        <w:widowControl/>
        <w:ind w:left="1560" w:hanging="720"/>
        <w:textAlignment w:val="baseline"/>
      </w:pPr>
    </w:lvl>
    <w:lvl w:ilvl="3" w:tentative="0">
      <w:start w:val="1"/>
      <w:numFmt w:val="bullet"/>
      <w:lvlText w:val=""/>
      <w:lvlJc w:val="left"/>
      <w:pPr>
        <w:widowControl/>
        <w:ind w:left="1680" w:hanging="420"/>
        <w:textAlignment w:val="baseline"/>
      </w:pPr>
      <w:rPr>
        <w:rFonts w:ascii="Wingdings" w:hAnsi="Wingdings"/>
      </w:rPr>
    </w:lvl>
    <w:lvl w:ilvl="4" w:tentative="0">
      <w:start w:val="1"/>
      <w:numFmt w:val="bullet"/>
      <w:lvlText w:val=""/>
      <w:lvlJc w:val="left"/>
      <w:pPr>
        <w:widowControl/>
        <w:ind w:left="2100" w:hanging="420"/>
        <w:textAlignment w:val="baseline"/>
      </w:pPr>
      <w:rPr>
        <w:rFonts w:ascii="Wingdings" w:hAnsi="Wingdings"/>
      </w:rPr>
    </w:lvl>
    <w:lvl w:ilvl="5" w:tentative="0">
      <w:start w:val="1"/>
      <w:numFmt w:val="bullet"/>
      <w:lvlText w:val=""/>
      <w:lvlJc w:val="left"/>
      <w:pPr>
        <w:widowControl/>
        <w:ind w:left="2520" w:hanging="420"/>
        <w:textAlignment w:val="baseline"/>
      </w:pPr>
      <w:rPr>
        <w:rFonts w:ascii="Wingdings" w:hAnsi="Wingdings"/>
      </w:rPr>
    </w:lvl>
    <w:lvl w:ilvl="6" w:tentative="0">
      <w:start w:val="1"/>
      <w:numFmt w:val="bullet"/>
      <w:lvlText w:val=""/>
      <w:lvlJc w:val="left"/>
      <w:pPr>
        <w:widowControl/>
        <w:ind w:left="2940" w:hanging="420"/>
        <w:textAlignment w:val="baseline"/>
      </w:pPr>
      <w:rPr>
        <w:rFonts w:ascii="Wingdings" w:hAnsi="Wingdings"/>
      </w:rPr>
    </w:lvl>
    <w:lvl w:ilvl="7" w:tentative="0">
      <w:start w:val="1"/>
      <w:numFmt w:val="bullet"/>
      <w:lvlText w:val=""/>
      <w:lvlJc w:val="left"/>
      <w:pPr>
        <w:widowControl/>
        <w:ind w:left="3360" w:hanging="420"/>
        <w:textAlignment w:val="baseline"/>
      </w:pPr>
      <w:rPr>
        <w:rFonts w:ascii="Wingdings" w:hAnsi="Wingdings"/>
      </w:rPr>
    </w:lvl>
    <w:lvl w:ilvl="8" w:tentative="0">
      <w:start w:val="1"/>
      <w:numFmt w:val="bullet"/>
      <w:lvlText w:val=""/>
      <w:lvlJc w:val="left"/>
      <w:pPr>
        <w:widowControl/>
        <w:ind w:left="3780" w:hanging="420"/>
        <w:textAlignment w:val="baseline"/>
      </w:pPr>
      <w:rPr>
        <w:rFonts w:ascii="Wingdings" w:hAnsi="Wingdings"/>
      </w:rPr>
    </w:lvl>
  </w:abstractNum>
  <w:num w:numId="1">
    <w:abstractNumId w:val="3"/>
  </w:num>
  <w:num w:numId="2">
    <w:abstractNumId w:val="9"/>
  </w:num>
  <w:num w:numId="3">
    <w:abstractNumId w:val="2"/>
  </w:num>
  <w:num w:numId="4">
    <w:abstractNumId w:val="10"/>
  </w:num>
  <w:num w:numId="5">
    <w:abstractNumId w:val="5"/>
  </w:num>
  <w:num w:numId="6">
    <w:abstractNumId w:val="6"/>
  </w:num>
  <w:num w:numId="7">
    <w:abstractNumId w:val="7"/>
  </w:num>
  <w:num w:numId="8">
    <w:abstractNumId w:val="4"/>
  </w:num>
  <w:num w:numId="9">
    <w:abstractNumId w:val="0"/>
  </w:num>
  <w:num w:numId="10">
    <w:abstractNumId w:val="1"/>
  </w:num>
  <w:num w:numId="11">
    <w:abstractNumId w:val="8"/>
    <w:lvlOverride w:ilvl="0">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isplayHorizontalDrawingGridEvery w:val="1"/>
  <w:displayVerticalDrawingGridEvery w:val="1"/>
  <w:doNotUseMarginsForDrawingGridOrigin w:val="1"/>
  <w:drawingGridHorizontalOrigin w:val="1800"/>
  <w:drawingGridVerticalOrigin w:val="1440"/>
  <w:noPunctuationKerning w:val="1"/>
  <w:hdrShapeDefaults>
    <o:shapelayout v:ext="edit">
      <o:idmap v:ext="edit" data="3,4"/>
    </o:shapelayout>
  </w:hdrShapeDefaults>
  <w:endnotePr>
    <w:numFmt w:val="decimal"/>
  </w:endnotePr>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2ODc4NjVkZDhmY2I0YWU1ZTdhZThiOTgxMDE4NTIifQ=="/>
  </w:docVars>
  <w:rsids>
    <w:rsidRoot w:val="00000000"/>
    <w:rsid w:val="000D01B5"/>
    <w:rsid w:val="00447BF3"/>
    <w:rsid w:val="005C088A"/>
    <w:rsid w:val="008A7323"/>
    <w:rsid w:val="00B159D1"/>
    <w:rsid w:val="01066A48"/>
    <w:rsid w:val="014E3E20"/>
    <w:rsid w:val="016E473E"/>
    <w:rsid w:val="01972CAD"/>
    <w:rsid w:val="020E2058"/>
    <w:rsid w:val="04B226B1"/>
    <w:rsid w:val="04B8088B"/>
    <w:rsid w:val="04FB11F4"/>
    <w:rsid w:val="053F665C"/>
    <w:rsid w:val="059743F4"/>
    <w:rsid w:val="05A87003"/>
    <w:rsid w:val="060F1192"/>
    <w:rsid w:val="063B53E6"/>
    <w:rsid w:val="067C7BE6"/>
    <w:rsid w:val="06D8062E"/>
    <w:rsid w:val="07A2232D"/>
    <w:rsid w:val="080A3BD2"/>
    <w:rsid w:val="081A2E9A"/>
    <w:rsid w:val="08664B4D"/>
    <w:rsid w:val="090221EB"/>
    <w:rsid w:val="09167A44"/>
    <w:rsid w:val="09D678FF"/>
    <w:rsid w:val="0A1F1EFA"/>
    <w:rsid w:val="0A653397"/>
    <w:rsid w:val="0AA9615A"/>
    <w:rsid w:val="0B1B5957"/>
    <w:rsid w:val="0B784178"/>
    <w:rsid w:val="0BB70868"/>
    <w:rsid w:val="0CC71781"/>
    <w:rsid w:val="0CCB1F37"/>
    <w:rsid w:val="0D437627"/>
    <w:rsid w:val="0D483099"/>
    <w:rsid w:val="0D531267"/>
    <w:rsid w:val="0DCF1345"/>
    <w:rsid w:val="0DF01E7E"/>
    <w:rsid w:val="0DFC6E16"/>
    <w:rsid w:val="0E334D09"/>
    <w:rsid w:val="0E796C59"/>
    <w:rsid w:val="0EB506FE"/>
    <w:rsid w:val="0ED463D8"/>
    <w:rsid w:val="0F494595"/>
    <w:rsid w:val="0F576F8F"/>
    <w:rsid w:val="0F693E70"/>
    <w:rsid w:val="0F711E78"/>
    <w:rsid w:val="0FDF585E"/>
    <w:rsid w:val="0FE266E6"/>
    <w:rsid w:val="10E00418"/>
    <w:rsid w:val="11CB770C"/>
    <w:rsid w:val="12614974"/>
    <w:rsid w:val="126F0117"/>
    <w:rsid w:val="12A87FD6"/>
    <w:rsid w:val="130761CF"/>
    <w:rsid w:val="14822B21"/>
    <w:rsid w:val="14F4704F"/>
    <w:rsid w:val="15D54F0F"/>
    <w:rsid w:val="1769235B"/>
    <w:rsid w:val="176D4E33"/>
    <w:rsid w:val="177644D0"/>
    <w:rsid w:val="177B2398"/>
    <w:rsid w:val="18862009"/>
    <w:rsid w:val="18962EAC"/>
    <w:rsid w:val="195C14A4"/>
    <w:rsid w:val="199B1FCC"/>
    <w:rsid w:val="19BB216C"/>
    <w:rsid w:val="1A15724A"/>
    <w:rsid w:val="1A6A6EF5"/>
    <w:rsid w:val="1A952EBF"/>
    <w:rsid w:val="1AA10224"/>
    <w:rsid w:val="1AD50D06"/>
    <w:rsid w:val="1B711637"/>
    <w:rsid w:val="1BB05DAD"/>
    <w:rsid w:val="1CC86402"/>
    <w:rsid w:val="1D2247B2"/>
    <w:rsid w:val="1D6B1ED3"/>
    <w:rsid w:val="1DDE692B"/>
    <w:rsid w:val="1DFC70DC"/>
    <w:rsid w:val="1E25205F"/>
    <w:rsid w:val="1E662A20"/>
    <w:rsid w:val="1EC207CF"/>
    <w:rsid w:val="1F301373"/>
    <w:rsid w:val="1F7767E9"/>
    <w:rsid w:val="1F923E71"/>
    <w:rsid w:val="21013682"/>
    <w:rsid w:val="21A92B2A"/>
    <w:rsid w:val="21BF7E4B"/>
    <w:rsid w:val="21C31418"/>
    <w:rsid w:val="22CA7187"/>
    <w:rsid w:val="23052BAC"/>
    <w:rsid w:val="23E65FA8"/>
    <w:rsid w:val="23F65AA3"/>
    <w:rsid w:val="24426C1A"/>
    <w:rsid w:val="246A1D14"/>
    <w:rsid w:val="254B032A"/>
    <w:rsid w:val="257E20EC"/>
    <w:rsid w:val="25B04809"/>
    <w:rsid w:val="265F1BF4"/>
    <w:rsid w:val="26853A8E"/>
    <w:rsid w:val="26C8461C"/>
    <w:rsid w:val="273A72C8"/>
    <w:rsid w:val="276974FC"/>
    <w:rsid w:val="286D2DB0"/>
    <w:rsid w:val="288032EE"/>
    <w:rsid w:val="292E0F11"/>
    <w:rsid w:val="29471828"/>
    <w:rsid w:val="29A06D8A"/>
    <w:rsid w:val="29F574D6"/>
    <w:rsid w:val="2AEF4E4D"/>
    <w:rsid w:val="2B4B1954"/>
    <w:rsid w:val="2B520958"/>
    <w:rsid w:val="2B8054C5"/>
    <w:rsid w:val="2B87344C"/>
    <w:rsid w:val="2BDF4BE0"/>
    <w:rsid w:val="2BF3338C"/>
    <w:rsid w:val="2C7518EE"/>
    <w:rsid w:val="2C8F11BE"/>
    <w:rsid w:val="2CD05E81"/>
    <w:rsid w:val="2D3365D1"/>
    <w:rsid w:val="2D601EDF"/>
    <w:rsid w:val="2D6E0768"/>
    <w:rsid w:val="2D6E4774"/>
    <w:rsid w:val="2E397497"/>
    <w:rsid w:val="2E620EB2"/>
    <w:rsid w:val="2EE1627B"/>
    <w:rsid w:val="2F22535A"/>
    <w:rsid w:val="2F3311C5"/>
    <w:rsid w:val="30017709"/>
    <w:rsid w:val="300C114D"/>
    <w:rsid w:val="314161C3"/>
    <w:rsid w:val="314764E7"/>
    <w:rsid w:val="315A2315"/>
    <w:rsid w:val="316634C4"/>
    <w:rsid w:val="318F1FBE"/>
    <w:rsid w:val="31B2296F"/>
    <w:rsid w:val="31C35F7E"/>
    <w:rsid w:val="321134D7"/>
    <w:rsid w:val="323808A8"/>
    <w:rsid w:val="32527B80"/>
    <w:rsid w:val="32EE17F6"/>
    <w:rsid w:val="33704071"/>
    <w:rsid w:val="348A1F6E"/>
    <w:rsid w:val="348C6C89"/>
    <w:rsid w:val="357E03AD"/>
    <w:rsid w:val="3634272C"/>
    <w:rsid w:val="363B6FEB"/>
    <w:rsid w:val="364946A6"/>
    <w:rsid w:val="36C914E6"/>
    <w:rsid w:val="36D45B2D"/>
    <w:rsid w:val="36D779F1"/>
    <w:rsid w:val="37121D9C"/>
    <w:rsid w:val="37791CC6"/>
    <w:rsid w:val="37936580"/>
    <w:rsid w:val="38851AAF"/>
    <w:rsid w:val="39030A33"/>
    <w:rsid w:val="39194863"/>
    <w:rsid w:val="39287A6E"/>
    <w:rsid w:val="39304B90"/>
    <w:rsid w:val="396E39D4"/>
    <w:rsid w:val="3A170DF9"/>
    <w:rsid w:val="3AD44EE6"/>
    <w:rsid w:val="3BDE0AC6"/>
    <w:rsid w:val="3BF615BB"/>
    <w:rsid w:val="3C465BDD"/>
    <w:rsid w:val="3CA71A0E"/>
    <w:rsid w:val="3CD72A6B"/>
    <w:rsid w:val="3CF20773"/>
    <w:rsid w:val="3D1A46DC"/>
    <w:rsid w:val="3D4D2D2E"/>
    <w:rsid w:val="3DF27501"/>
    <w:rsid w:val="3F103AF3"/>
    <w:rsid w:val="3FAA26B9"/>
    <w:rsid w:val="40381A73"/>
    <w:rsid w:val="41765884"/>
    <w:rsid w:val="41D34ED1"/>
    <w:rsid w:val="420A0B80"/>
    <w:rsid w:val="422B3DFC"/>
    <w:rsid w:val="42562684"/>
    <w:rsid w:val="4293705E"/>
    <w:rsid w:val="42C73CED"/>
    <w:rsid w:val="436B5457"/>
    <w:rsid w:val="43917640"/>
    <w:rsid w:val="44146563"/>
    <w:rsid w:val="448F2445"/>
    <w:rsid w:val="44DA134B"/>
    <w:rsid w:val="44F54A28"/>
    <w:rsid w:val="45F60406"/>
    <w:rsid w:val="460742E5"/>
    <w:rsid w:val="46902609"/>
    <w:rsid w:val="471D1033"/>
    <w:rsid w:val="47446E70"/>
    <w:rsid w:val="47855EE6"/>
    <w:rsid w:val="47CD762F"/>
    <w:rsid w:val="488C6E00"/>
    <w:rsid w:val="48AB7E2D"/>
    <w:rsid w:val="48DD1505"/>
    <w:rsid w:val="49795033"/>
    <w:rsid w:val="49DC6792"/>
    <w:rsid w:val="4A674196"/>
    <w:rsid w:val="4AAE7FE0"/>
    <w:rsid w:val="4B0D735D"/>
    <w:rsid w:val="4B242052"/>
    <w:rsid w:val="4B9D0E87"/>
    <w:rsid w:val="4BCB0D0E"/>
    <w:rsid w:val="4C235EE5"/>
    <w:rsid w:val="4C7249F8"/>
    <w:rsid w:val="4C896D2E"/>
    <w:rsid w:val="4DD74D6A"/>
    <w:rsid w:val="4E347D1E"/>
    <w:rsid w:val="4E9E788D"/>
    <w:rsid w:val="4EFF1496"/>
    <w:rsid w:val="4F58617C"/>
    <w:rsid w:val="4FC820B8"/>
    <w:rsid w:val="4FD2786A"/>
    <w:rsid w:val="4FFB32BA"/>
    <w:rsid w:val="500F180C"/>
    <w:rsid w:val="504B22A2"/>
    <w:rsid w:val="50CA6717"/>
    <w:rsid w:val="5179783E"/>
    <w:rsid w:val="51B573C7"/>
    <w:rsid w:val="51BF3DA2"/>
    <w:rsid w:val="51FA127E"/>
    <w:rsid w:val="5216310F"/>
    <w:rsid w:val="5256365E"/>
    <w:rsid w:val="52602B75"/>
    <w:rsid w:val="52690DB4"/>
    <w:rsid w:val="52820C29"/>
    <w:rsid w:val="52AE5E40"/>
    <w:rsid w:val="52D2766E"/>
    <w:rsid w:val="538D1186"/>
    <w:rsid w:val="55BF3314"/>
    <w:rsid w:val="56127208"/>
    <w:rsid w:val="562C283E"/>
    <w:rsid w:val="57037D01"/>
    <w:rsid w:val="571A5042"/>
    <w:rsid w:val="573C40E7"/>
    <w:rsid w:val="57EE3410"/>
    <w:rsid w:val="58AB5080"/>
    <w:rsid w:val="58CF5D6A"/>
    <w:rsid w:val="5943175D"/>
    <w:rsid w:val="59A627AC"/>
    <w:rsid w:val="59C97D45"/>
    <w:rsid w:val="5A727B7B"/>
    <w:rsid w:val="5AA224B3"/>
    <w:rsid w:val="5AEE120A"/>
    <w:rsid w:val="5B053D6B"/>
    <w:rsid w:val="5B5B0BB9"/>
    <w:rsid w:val="5B6D72AF"/>
    <w:rsid w:val="5B6F4A8B"/>
    <w:rsid w:val="5B8F69BB"/>
    <w:rsid w:val="5CB0535B"/>
    <w:rsid w:val="5CF5490C"/>
    <w:rsid w:val="5D24078C"/>
    <w:rsid w:val="5DDB3AD3"/>
    <w:rsid w:val="5E0354FD"/>
    <w:rsid w:val="5EAB2C56"/>
    <w:rsid w:val="5ECA3D86"/>
    <w:rsid w:val="5EEE3ED0"/>
    <w:rsid w:val="5F795ED8"/>
    <w:rsid w:val="5FA27608"/>
    <w:rsid w:val="5FE87F30"/>
    <w:rsid w:val="603718EF"/>
    <w:rsid w:val="60562B73"/>
    <w:rsid w:val="609A0482"/>
    <w:rsid w:val="61427B93"/>
    <w:rsid w:val="61742072"/>
    <w:rsid w:val="61AB7166"/>
    <w:rsid w:val="622A5268"/>
    <w:rsid w:val="62483088"/>
    <w:rsid w:val="625D2F75"/>
    <w:rsid w:val="62CD54BE"/>
    <w:rsid w:val="6310403D"/>
    <w:rsid w:val="63725ABE"/>
    <w:rsid w:val="63A92582"/>
    <w:rsid w:val="64015FF7"/>
    <w:rsid w:val="645760BC"/>
    <w:rsid w:val="64A312D0"/>
    <w:rsid w:val="658A1F9B"/>
    <w:rsid w:val="658E4798"/>
    <w:rsid w:val="65EA28BE"/>
    <w:rsid w:val="66FD73EF"/>
    <w:rsid w:val="6730058E"/>
    <w:rsid w:val="6731781D"/>
    <w:rsid w:val="67FA1B80"/>
    <w:rsid w:val="684D1CB0"/>
    <w:rsid w:val="68872AB9"/>
    <w:rsid w:val="68AC3374"/>
    <w:rsid w:val="68D44191"/>
    <w:rsid w:val="6905258B"/>
    <w:rsid w:val="690B22F4"/>
    <w:rsid w:val="69825989"/>
    <w:rsid w:val="69D45678"/>
    <w:rsid w:val="69E068D5"/>
    <w:rsid w:val="6A244C92"/>
    <w:rsid w:val="6A4252BB"/>
    <w:rsid w:val="6AC05D3A"/>
    <w:rsid w:val="6AE15224"/>
    <w:rsid w:val="6B5A71A0"/>
    <w:rsid w:val="6B643DEE"/>
    <w:rsid w:val="6B777044"/>
    <w:rsid w:val="6B834054"/>
    <w:rsid w:val="6B851761"/>
    <w:rsid w:val="6B985938"/>
    <w:rsid w:val="6BCD772A"/>
    <w:rsid w:val="6C101972"/>
    <w:rsid w:val="6C40039D"/>
    <w:rsid w:val="6C8919F1"/>
    <w:rsid w:val="6CEA6538"/>
    <w:rsid w:val="6DB732D4"/>
    <w:rsid w:val="6DE45ECC"/>
    <w:rsid w:val="6DEA440E"/>
    <w:rsid w:val="6DEC4AAC"/>
    <w:rsid w:val="6E4C571D"/>
    <w:rsid w:val="6F593630"/>
    <w:rsid w:val="6F7F4719"/>
    <w:rsid w:val="6F8E7A85"/>
    <w:rsid w:val="6F962901"/>
    <w:rsid w:val="6FD7616A"/>
    <w:rsid w:val="6FE253D4"/>
    <w:rsid w:val="706F6734"/>
    <w:rsid w:val="70AC59E2"/>
    <w:rsid w:val="71063344"/>
    <w:rsid w:val="71071F7E"/>
    <w:rsid w:val="717A5704"/>
    <w:rsid w:val="72E0062B"/>
    <w:rsid w:val="73202786"/>
    <w:rsid w:val="73E1653B"/>
    <w:rsid w:val="74090A11"/>
    <w:rsid w:val="74281823"/>
    <w:rsid w:val="742D6596"/>
    <w:rsid w:val="742E382D"/>
    <w:rsid w:val="74AF5AA0"/>
    <w:rsid w:val="74D31306"/>
    <w:rsid w:val="75313739"/>
    <w:rsid w:val="75530DA1"/>
    <w:rsid w:val="75616B43"/>
    <w:rsid w:val="75BC0475"/>
    <w:rsid w:val="75C335B1"/>
    <w:rsid w:val="76027301"/>
    <w:rsid w:val="765C4674"/>
    <w:rsid w:val="769F6816"/>
    <w:rsid w:val="76F31C74"/>
    <w:rsid w:val="7718792D"/>
    <w:rsid w:val="77FA3143"/>
    <w:rsid w:val="780C5638"/>
    <w:rsid w:val="78300CA6"/>
    <w:rsid w:val="78AB1E20"/>
    <w:rsid w:val="78B8046B"/>
    <w:rsid w:val="790553C1"/>
    <w:rsid w:val="7A6162D1"/>
    <w:rsid w:val="7B0D4527"/>
    <w:rsid w:val="7B2948BD"/>
    <w:rsid w:val="7BDA7A59"/>
    <w:rsid w:val="7C0B7A60"/>
    <w:rsid w:val="7C1A7CA3"/>
    <w:rsid w:val="7C2D093F"/>
    <w:rsid w:val="7CE43A4E"/>
    <w:rsid w:val="7D77796B"/>
    <w:rsid w:val="7E143CB0"/>
    <w:rsid w:val="7E663674"/>
    <w:rsid w:val="7F835DD6"/>
    <w:rsid w:val="7FCC575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name="Body Text 2"/>
    <w:lsdException w:qFormat="1" w:unhideWhenUsed="0" w:uiPriority="99" w:semiHidden="0" w:name="Body Text 3"/>
    <w:lsdException w:qFormat="1" w:unhideWhenUsed="0" w:uiPriority="99" w:name="Body Text Indent 2"/>
    <w:lsdException w:qFormat="1" w:unhideWhenUsed="0" w:uiPriority="99"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75"/>
    <w:qFormat/>
    <w:uiPriority w:val="0"/>
    <w:pPr>
      <w:jc w:val="both"/>
      <w:textAlignment w:val="baseline"/>
    </w:pPr>
    <w:rPr>
      <w:rFonts w:ascii="Times New Roman" w:hAnsi="Times New Roman" w:eastAsia="宋体" w:cstheme="minorBidi"/>
      <w:kern w:val="2"/>
      <w:sz w:val="21"/>
      <w:szCs w:val="22"/>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unhideWhenUsed/>
    <w:qFormat/>
    <w:uiPriority w:val="0"/>
    <w:pPr>
      <w:keepNext/>
      <w:keepLines/>
      <w:spacing w:before="200" w:after="0"/>
      <w:outlineLvl w:val="1"/>
    </w:pPr>
    <w:rPr>
      <w:rFonts w:ascii="Cambria" w:hAnsi="Cambria"/>
      <w:b/>
      <w:bCs/>
      <w:color w:val="4F81BD"/>
      <w:sz w:val="26"/>
      <w:szCs w:val="26"/>
    </w:rPr>
  </w:style>
  <w:style w:type="paragraph" w:styleId="5">
    <w:name w:val="heading 3"/>
    <w:basedOn w:val="1"/>
    <w:next w:val="1"/>
    <w:unhideWhenUsed/>
    <w:qFormat/>
    <w:uiPriority w:val="0"/>
    <w:pPr>
      <w:keepNext/>
      <w:keepLines/>
      <w:spacing w:before="200" w:after="0"/>
      <w:outlineLvl w:val="2"/>
    </w:pPr>
    <w:rPr>
      <w:rFonts w:ascii="Cambria" w:hAnsi="Cambria"/>
      <w:b/>
      <w:bCs/>
      <w:color w:val="4F81BD"/>
      <w:szCs w:val="20"/>
    </w:rPr>
  </w:style>
  <w:style w:type="character" w:default="1" w:styleId="25">
    <w:name w:val="Default Paragraph Font"/>
    <w:semiHidden/>
    <w:qFormat/>
    <w:uiPriority w:val="0"/>
  </w:style>
  <w:style w:type="table" w:default="1" w:styleId="24">
    <w:name w:val="Normal Table"/>
    <w:semiHidden/>
    <w:qFormat/>
    <w:uiPriority w:val="0"/>
    <w:tblPr>
      <w:tblCellMar>
        <w:top w:w="0" w:type="dxa"/>
        <w:left w:w="108" w:type="dxa"/>
        <w:bottom w:w="0" w:type="dxa"/>
        <w:right w:w="108" w:type="dxa"/>
      </w:tblCellMar>
    </w:tblPr>
  </w:style>
  <w:style w:type="paragraph" w:styleId="2">
    <w:name w:val="annotation text"/>
    <w:basedOn w:val="1"/>
    <w:next w:val="1"/>
    <w:autoRedefine/>
    <w:qFormat/>
    <w:uiPriority w:val="0"/>
    <w:pPr>
      <w:jc w:val="left"/>
    </w:pPr>
  </w:style>
  <w:style w:type="paragraph" w:styleId="6">
    <w:name w:val="Normal Indent"/>
    <w:basedOn w:val="1"/>
    <w:next w:val="1"/>
    <w:semiHidden/>
    <w:qFormat/>
    <w:uiPriority w:val="99"/>
    <w:pPr>
      <w:ind w:firstLine="420"/>
    </w:pPr>
    <w:rPr>
      <w:rFonts w:ascii="Times New Roman" w:hAnsi="Times New Roman" w:cs="Times New Roman"/>
    </w:rPr>
  </w:style>
  <w:style w:type="paragraph" w:styleId="7">
    <w:name w:val="caption"/>
    <w:basedOn w:val="1"/>
    <w:next w:val="1"/>
    <w:qFormat/>
    <w:uiPriority w:val="0"/>
    <w:pPr>
      <w:spacing w:before="152" w:after="160"/>
      <w:jc w:val="both"/>
      <w:textAlignment w:val="baseline"/>
    </w:pPr>
    <w:rPr>
      <w:rFonts w:ascii="Century Gothic" w:hAnsi="Century Gothic" w:eastAsia="黑体"/>
      <w:kern w:val="2"/>
      <w:sz w:val="20"/>
      <w:szCs w:val="20"/>
      <w:lang w:val="en-US" w:eastAsia="zh-CN" w:bidi="ar-SA"/>
    </w:rPr>
  </w:style>
  <w:style w:type="paragraph" w:styleId="8">
    <w:name w:val="Body Text 3"/>
    <w:basedOn w:val="1"/>
    <w:next w:val="1"/>
    <w:qFormat/>
    <w:uiPriority w:val="99"/>
    <w:pPr>
      <w:spacing w:after="120"/>
    </w:pPr>
    <w:rPr>
      <w:rFonts w:ascii="Times New Roman" w:hAnsi="Times New Roman" w:cs="Times New Roman"/>
      <w:sz w:val="16"/>
      <w:szCs w:val="16"/>
    </w:rPr>
  </w:style>
  <w:style w:type="paragraph" w:styleId="9">
    <w:name w:val="Body Text"/>
    <w:basedOn w:val="1"/>
    <w:next w:val="1"/>
    <w:qFormat/>
    <w:uiPriority w:val="0"/>
    <w:pPr>
      <w:spacing w:after="120"/>
    </w:pPr>
    <w:rPr>
      <w:szCs w:val="20"/>
    </w:rPr>
  </w:style>
  <w:style w:type="paragraph" w:styleId="10">
    <w:name w:val="toc 3"/>
    <w:basedOn w:val="1"/>
    <w:next w:val="1"/>
    <w:qFormat/>
    <w:uiPriority w:val="0"/>
    <w:pPr>
      <w:ind w:left="840" w:leftChars="400"/>
    </w:pPr>
  </w:style>
  <w:style w:type="paragraph" w:styleId="11">
    <w:name w:val="Plain Text"/>
    <w:basedOn w:val="1"/>
    <w:next w:val="1"/>
    <w:qFormat/>
    <w:uiPriority w:val="99"/>
    <w:rPr>
      <w:rFonts w:ascii="宋体" w:hAnsi="Courier New" w:cs="宋体"/>
    </w:rPr>
  </w:style>
  <w:style w:type="paragraph" w:styleId="12">
    <w:name w:val="Date"/>
    <w:basedOn w:val="1"/>
    <w:next w:val="1"/>
    <w:link w:val="171"/>
    <w:qFormat/>
    <w:uiPriority w:val="0"/>
    <w:pPr>
      <w:jc w:val="both"/>
      <w:textAlignment w:val="baseline"/>
    </w:pPr>
    <w:rPr>
      <w:rFonts w:ascii="Times New Roman" w:hAnsi="Times New Roman"/>
      <w:kern w:val="0"/>
      <w:sz w:val="20"/>
      <w:szCs w:val="20"/>
      <w:lang w:val="en-US" w:eastAsia="zh-CN" w:bidi="ar-SA"/>
    </w:rPr>
  </w:style>
  <w:style w:type="paragraph" w:styleId="13">
    <w:name w:val="Body Text Indent 2"/>
    <w:basedOn w:val="1"/>
    <w:next w:val="1"/>
    <w:autoRedefine/>
    <w:semiHidden/>
    <w:qFormat/>
    <w:uiPriority w:val="99"/>
    <w:pPr>
      <w:tabs>
        <w:tab w:val="left" w:pos="4970"/>
      </w:tabs>
      <w:spacing w:line="360" w:lineRule="auto"/>
      <w:ind w:firstLine="480" w:firstLineChars="200"/>
    </w:pPr>
    <w:rPr>
      <w:rFonts w:ascii="Times New Roman" w:hAnsi="Times New Roman" w:cs="Times New Roman"/>
      <w:sz w:val="24"/>
      <w:szCs w:val="24"/>
    </w:rPr>
  </w:style>
  <w:style w:type="paragraph" w:styleId="14">
    <w:name w:val="footer"/>
    <w:basedOn w:val="1"/>
    <w:link w:val="148"/>
    <w:qFormat/>
    <w:uiPriority w:val="0"/>
    <w:pPr>
      <w:tabs>
        <w:tab w:val="center" w:pos="4153"/>
        <w:tab w:val="right" w:pos="8306"/>
      </w:tabs>
      <w:snapToGrid w:val="0"/>
      <w:jc w:val="left"/>
      <w:textAlignment w:val="baseline"/>
    </w:pPr>
    <w:rPr>
      <w:kern w:val="0"/>
      <w:sz w:val="18"/>
      <w:szCs w:val="18"/>
      <w:lang w:val="en-US" w:eastAsia="zh-CN" w:bidi="ar-SA"/>
    </w:rPr>
  </w:style>
  <w:style w:type="paragraph" w:styleId="15">
    <w:name w:val="header"/>
    <w:basedOn w:val="1"/>
    <w:link w:val="59"/>
    <w:autoRedefine/>
    <w:qFormat/>
    <w:uiPriority w:val="0"/>
    <w:pPr>
      <w:pBdr>
        <w:bottom w:val="single" w:color="000000" w:sz="6" w:space="1"/>
      </w:pBdr>
      <w:tabs>
        <w:tab w:val="center" w:pos="4153"/>
        <w:tab w:val="right" w:pos="8306"/>
      </w:tabs>
      <w:snapToGrid w:val="0"/>
      <w:jc w:val="center"/>
      <w:textAlignment w:val="baseline"/>
    </w:pPr>
    <w:rPr>
      <w:kern w:val="0"/>
      <w:sz w:val="18"/>
      <w:szCs w:val="18"/>
      <w:lang w:val="en-US" w:eastAsia="zh-CN" w:bidi="ar-SA"/>
    </w:rPr>
  </w:style>
  <w:style w:type="paragraph" w:styleId="16">
    <w:name w:val="toc 1"/>
    <w:basedOn w:val="1"/>
    <w:next w:val="1"/>
    <w:qFormat/>
    <w:uiPriority w:val="39"/>
    <w:pPr>
      <w:tabs>
        <w:tab w:val="right" w:leader="dot" w:pos="8493"/>
      </w:tabs>
      <w:adjustRightInd w:val="0"/>
      <w:spacing w:line="360" w:lineRule="auto"/>
      <w:jc w:val="left"/>
    </w:pPr>
    <w:rPr>
      <w:rFonts w:ascii="宋体" w:hAnsi="宋体"/>
      <w:b/>
      <w:caps/>
      <w:kern w:val="0"/>
      <w:sz w:val="24"/>
      <w:szCs w:val="32"/>
    </w:rPr>
  </w:style>
  <w:style w:type="paragraph" w:styleId="17">
    <w:name w:val="Subtitle"/>
    <w:basedOn w:val="1"/>
    <w:link w:val="79"/>
    <w:qFormat/>
    <w:uiPriority w:val="0"/>
    <w:pPr>
      <w:spacing w:before="240" w:after="60" w:line="312" w:lineRule="auto"/>
      <w:jc w:val="center"/>
      <w:textAlignment w:val="baseline"/>
    </w:pPr>
    <w:rPr>
      <w:rFonts w:ascii="Arial" w:hAnsi="Arial" w:cs="Times New Roman"/>
      <w:b/>
      <w:bCs/>
      <w:kern w:val="28"/>
      <w:sz w:val="32"/>
      <w:szCs w:val="32"/>
      <w:lang w:val="en-US" w:eastAsia="zh-CN" w:bidi="ar-SA"/>
    </w:rPr>
  </w:style>
  <w:style w:type="paragraph" w:styleId="18">
    <w:name w:val="List"/>
    <w:basedOn w:val="1"/>
    <w:qFormat/>
    <w:uiPriority w:val="0"/>
    <w:pPr>
      <w:widowControl/>
      <w:jc w:val="left"/>
      <w:textAlignment w:val="baseline"/>
    </w:pPr>
    <w:rPr>
      <w:rFonts w:ascii="宋体" w:hAnsi="宋体"/>
      <w:kern w:val="0"/>
      <w:sz w:val="24"/>
      <w:szCs w:val="24"/>
      <w:lang w:val="en-US" w:eastAsia="zh-CN" w:bidi="ar-SA"/>
    </w:rPr>
  </w:style>
  <w:style w:type="paragraph" w:styleId="19">
    <w:name w:val="Body Text Indent 3"/>
    <w:basedOn w:val="1"/>
    <w:next w:val="1"/>
    <w:semiHidden/>
    <w:qFormat/>
    <w:uiPriority w:val="99"/>
    <w:pPr>
      <w:spacing w:line="360" w:lineRule="auto"/>
      <w:ind w:left="1978" w:leftChars="942"/>
    </w:pPr>
    <w:rPr>
      <w:rFonts w:ascii="Times New Roman" w:hAnsi="宋体" w:cs="Times New Roman"/>
      <w:sz w:val="24"/>
      <w:szCs w:val="24"/>
    </w:rPr>
  </w:style>
  <w:style w:type="paragraph" w:styleId="20">
    <w:name w:val="toc 2"/>
    <w:basedOn w:val="1"/>
    <w:next w:val="1"/>
    <w:qFormat/>
    <w:uiPriority w:val="39"/>
    <w:pPr>
      <w:tabs>
        <w:tab w:val="right" w:leader="dot" w:pos="9060"/>
      </w:tabs>
      <w:snapToGrid w:val="0"/>
      <w:spacing w:line="360" w:lineRule="auto"/>
      <w:jc w:val="left"/>
    </w:pPr>
    <w:rPr>
      <w:sz w:val="24"/>
      <w:szCs w:val="24"/>
    </w:rPr>
  </w:style>
  <w:style w:type="paragraph" w:styleId="21">
    <w:name w:val="Body Text 2"/>
    <w:basedOn w:val="1"/>
    <w:next w:val="1"/>
    <w:semiHidden/>
    <w:qFormat/>
    <w:uiPriority w:val="99"/>
    <w:rPr>
      <w:rFonts w:ascii="Times New Roman" w:hAnsi="Times New Roman" w:eastAsia="楷体_GB2312" w:cs="Times New Roman"/>
      <w:b/>
      <w:bCs/>
    </w:rPr>
  </w:style>
  <w:style w:type="paragraph" w:styleId="22">
    <w:name w:val="Title"/>
    <w:basedOn w:val="1"/>
    <w:link w:val="69"/>
    <w:autoRedefine/>
    <w:qFormat/>
    <w:uiPriority w:val="0"/>
    <w:pPr>
      <w:spacing w:before="120" w:after="60"/>
      <w:jc w:val="center"/>
      <w:textAlignment w:val="baseline"/>
    </w:pPr>
    <w:rPr>
      <w:rFonts w:ascii="Arial" w:hAnsi="Arial"/>
      <w:b/>
      <w:kern w:val="0"/>
      <w:sz w:val="44"/>
      <w:szCs w:val="20"/>
      <w:lang w:val="en-US" w:eastAsia="zh-CN" w:bidi="ar-SA"/>
    </w:rPr>
  </w:style>
  <w:style w:type="paragraph" w:styleId="23">
    <w:name w:val="Body Text First Indent"/>
    <w:basedOn w:val="9"/>
    <w:qFormat/>
    <w:uiPriority w:val="0"/>
    <w:pPr>
      <w:ind w:firstLine="420" w:firstLineChars="100"/>
    </w:pPr>
  </w:style>
  <w:style w:type="character" w:styleId="26">
    <w:name w:val="Strong"/>
    <w:link w:val="1"/>
    <w:qFormat/>
    <w:uiPriority w:val="0"/>
    <w:rPr>
      <w:b/>
    </w:rPr>
  </w:style>
  <w:style w:type="character" w:styleId="27">
    <w:name w:val="page number"/>
    <w:basedOn w:val="25"/>
    <w:autoRedefine/>
    <w:qFormat/>
    <w:uiPriority w:val="0"/>
  </w:style>
  <w:style w:type="character" w:styleId="28">
    <w:name w:val="FollowedHyperlink"/>
    <w:link w:val="1"/>
    <w:qFormat/>
    <w:uiPriority w:val="0"/>
    <w:rPr>
      <w:color w:val="954F72"/>
      <w:u w:val="single"/>
    </w:rPr>
  </w:style>
  <w:style w:type="character" w:styleId="29">
    <w:name w:val="Hyperlink"/>
    <w:link w:val="1"/>
    <w:qFormat/>
    <w:uiPriority w:val="0"/>
    <w:rPr>
      <w:color w:val="0000FF"/>
      <w:u w:val="single"/>
    </w:rPr>
  </w:style>
  <w:style w:type="character" w:styleId="30">
    <w:name w:val="annotation reference"/>
    <w:autoRedefine/>
    <w:qFormat/>
    <w:uiPriority w:val="0"/>
    <w:rPr>
      <w:sz w:val="21"/>
      <w:szCs w:val="21"/>
    </w:rPr>
  </w:style>
  <w:style w:type="paragraph" w:customStyle="1" w:styleId="31">
    <w:name w:val="Heading1"/>
    <w:basedOn w:val="22"/>
    <w:next w:val="32"/>
    <w:link w:val="160"/>
    <w:autoRedefine/>
    <w:qFormat/>
    <w:uiPriority w:val="0"/>
    <w:pPr>
      <w:keepNext/>
      <w:keepLines/>
      <w:spacing w:before="120" w:after="120" w:line="360" w:lineRule="auto"/>
      <w:jc w:val="center"/>
      <w:textAlignment w:val="baseline"/>
    </w:pPr>
    <w:rPr>
      <w:rFonts w:ascii="Arial" w:hAnsi="Arial"/>
      <w:kern w:val="44"/>
      <w:sz w:val="28"/>
      <w:szCs w:val="28"/>
      <w:lang w:val="en-US" w:eastAsia="zh-CN" w:bidi="ar-SA"/>
    </w:rPr>
  </w:style>
  <w:style w:type="paragraph" w:customStyle="1" w:styleId="32">
    <w:name w:val="BodyText1I"/>
    <w:basedOn w:val="33"/>
    <w:link w:val="174"/>
    <w:autoRedefine/>
    <w:qFormat/>
    <w:uiPriority w:val="0"/>
    <w:pPr>
      <w:spacing w:after="120"/>
      <w:ind w:firstLine="420"/>
      <w:jc w:val="both"/>
      <w:textAlignment w:val="baseline"/>
    </w:pPr>
  </w:style>
  <w:style w:type="paragraph" w:customStyle="1" w:styleId="33">
    <w:name w:val="BodyText"/>
    <w:basedOn w:val="1"/>
    <w:link w:val="168"/>
    <w:autoRedefine/>
    <w:qFormat/>
    <w:uiPriority w:val="0"/>
    <w:pPr>
      <w:spacing w:after="120"/>
      <w:jc w:val="both"/>
      <w:textAlignment w:val="baseline"/>
    </w:pPr>
    <w:rPr>
      <w:rFonts w:ascii="Times New Roman" w:hAnsi="Times New Roman"/>
      <w:kern w:val="0"/>
      <w:sz w:val="20"/>
      <w:szCs w:val="20"/>
      <w:lang w:val="en-US" w:eastAsia="zh-CN" w:bidi="ar-SA"/>
    </w:rPr>
  </w:style>
  <w:style w:type="paragraph" w:customStyle="1" w:styleId="34">
    <w:name w:val="Heading2"/>
    <w:basedOn w:val="1"/>
    <w:next w:val="35"/>
    <w:link w:val="119"/>
    <w:autoRedefine/>
    <w:qFormat/>
    <w:uiPriority w:val="0"/>
    <w:pPr>
      <w:keepNext/>
      <w:keepLines/>
      <w:numPr>
        <w:ilvl w:val="1"/>
        <w:numId w:val="0"/>
      </w:numPr>
      <w:spacing w:before="120" w:after="120" w:line="415" w:lineRule="auto"/>
      <w:ind w:left="454"/>
      <w:jc w:val="center"/>
      <w:textAlignment w:val="baseline"/>
    </w:pPr>
    <w:rPr>
      <w:rFonts w:ascii="Arial" w:hAnsi="Arial"/>
      <w:b/>
      <w:color w:val="000000"/>
      <w:kern w:val="0"/>
      <w:sz w:val="24"/>
      <w:szCs w:val="24"/>
      <w:lang w:val="en-US" w:eastAsia="zh-CN" w:bidi="ar-SA"/>
    </w:rPr>
  </w:style>
  <w:style w:type="paragraph" w:customStyle="1" w:styleId="35">
    <w:name w:val="NormalIndent"/>
    <w:basedOn w:val="1"/>
    <w:link w:val="137"/>
    <w:qFormat/>
    <w:uiPriority w:val="0"/>
    <w:pPr>
      <w:ind w:firstLine="420"/>
      <w:jc w:val="both"/>
      <w:textAlignment w:val="baseline"/>
    </w:pPr>
    <w:rPr>
      <w:rFonts w:ascii="Times New Roman" w:hAnsi="Times New Roman"/>
      <w:kern w:val="2"/>
      <w:sz w:val="21"/>
      <w:szCs w:val="20"/>
      <w:lang w:val="en-US" w:eastAsia="zh-CN" w:bidi="ar-SA"/>
    </w:rPr>
  </w:style>
  <w:style w:type="paragraph" w:customStyle="1" w:styleId="36">
    <w:name w:val="Heading3"/>
    <w:basedOn w:val="1"/>
    <w:link w:val="128"/>
    <w:autoRedefine/>
    <w:qFormat/>
    <w:uiPriority w:val="0"/>
    <w:pPr>
      <w:widowControl/>
      <w:spacing w:before="100" w:beforeAutospacing="1" w:after="100" w:afterAutospacing="1"/>
      <w:jc w:val="left"/>
      <w:textAlignment w:val="baseline"/>
    </w:pPr>
    <w:rPr>
      <w:rFonts w:ascii="宋体" w:hAnsi="宋体"/>
      <w:kern w:val="0"/>
      <w:sz w:val="27"/>
      <w:szCs w:val="27"/>
      <w:lang w:val="en-US" w:eastAsia="zh-CN" w:bidi="ar-SA"/>
    </w:rPr>
  </w:style>
  <w:style w:type="paragraph" w:customStyle="1" w:styleId="37">
    <w:name w:val="Heading4"/>
    <w:basedOn w:val="36"/>
    <w:next w:val="35"/>
    <w:link w:val="165"/>
    <w:autoRedefine/>
    <w:qFormat/>
    <w:uiPriority w:val="0"/>
    <w:pPr>
      <w:keepNext/>
      <w:keepLines/>
      <w:numPr>
        <w:ilvl w:val="3"/>
        <w:numId w:val="1"/>
      </w:numPr>
      <w:spacing w:before="0" w:after="0" w:line="360" w:lineRule="auto"/>
      <w:jc w:val="left"/>
      <w:textAlignment w:val="baseline"/>
    </w:pPr>
    <w:rPr>
      <w:rFonts w:ascii="Arial" w:hAnsi="Arial"/>
      <w:color w:val="000000"/>
      <w:kern w:val="0"/>
      <w:sz w:val="20"/>
      <w:szCs w:val="21"/>
      <w:lang w:val="en-US" w:eastAsia="zh-CN" w:bidi="ar-SA"/>
    </w:rPr>
  </w:style>
  <w:style w:type="paragraph" w:customStyle="1" w:styleId="38">
    <w:name w:val="Heading5"/>
    <w:basedOn w:val="37"/>
    <w:next w:val="35"/>
    <w:link w:val="75"/>
    <w:autoRedefine/>
    <w:qFormat/>
    <w:uiPriority w:val="0"/>
    <w:pPr>
      <w:keepNext/>
      <w:keepLines/>
      <w:numPr>
        <w:ilvl w:val="4"/>
        <w:numId w:val="1"/>
      </w:numPr>
      <w:spacing w:before="0" w:after="0" w:line="240" w:lineRule="exact"/>
      <w:jc w:val="left"/>
      <w:textAlignment w:val="baseline"/>
    </w:pPr>
  </w:style>
  <w:style w:type="paragraph" w:customStyle="1" w:styleId="39">
    <w:name w:val="Heading6"/>
    <w:basedOn w:val="1"/>
    <w:next w:val="1"/>
    <w:link w:val="74"/>
    <w:autoRedefine/>
    <w:qFormat/>
    <w:uiPriority w:val="0"/>
    <w:pPr>
      <w:keepNext/>
      <w:keepLines/>
      <w:numPr>
        <w:ilvl w:val="5"/>
        <w:numId w:val="2"/>
      </w:numPr>
      <w:spacing w:before="240" w:after="64" w:line="320" w:lineRule="auto"/>
      <w:jc w:val="both"/>
      <w:textAlignment w:val="baseline"/>
    </w:pPr>
    <w:rPr>
      <w:rFonts w:ascii="Arial" w:hAnsi="Arial" w:eastAsia="黑体" w:cs="Times New Roman"/>
      <w:b/>
      <w:bCs/>
      <w:kern w:val="0"/>
      <w:sz w:val="24"/>
      <w:szCs w:val="24"/>
      <w:lang w:val="en-US" w:eastAsia="zh-CN" w:bidi="ar-SA"/>
    </w:rPr>
  </w:style>
  <w:style w:type="paragraph" w:customStyle="1" w:styleId="40">
    <w:name w:val="Heading7"/>
    <w:basedOn w:val="1"/>
    <w:next w:val="35"/>
    <w:link w:val="117"/>
    <w:autoRedefine/>
    <w:qFormat/>
    <w:uiPriority w:val="0"/>
    <w:pPr>
      <w:keepNext/>
      <w:keepLines/>
      <w:numPr>
        <w:ilvl w:val="6"/>
        <w:numId w:val="1"/>
      </w:numPr>
      <w:spacing w:before="240" w:after="64" w:line="320" w:lineRule="auto"/>
      <w:jc w:val="both"/>
      <w:textAlignment w:val="baseline"/>
    </w:pPr>
    <w:rPr>
      <w:rFonts w:ascii="Times New Roman" w:hAnsi="Times New Roman"/>
      <w:b/>
      <w:kern w:val="0"/>
      <w:sz w:val="24"/>
      <w:szCs w:val="20"/>
      <w:lang w:val="en-US" w:eastAsia="zh-CN" w:bidi="ar-SA"/>
    </w:rPr>
  </w:style>
  <w:style w:type="paragraph" w:customStyle="1" w:styleId="41">
    <w:name w:val="Heading8"/>
    <w:basedOn w:val="1"/>
    <w:next w:val="35"/>
    <w:link w:val="90"/>
    <w:autoRedefine/>
    <w:qFormat/>
    <w:uiPriority w:val="0"/>
    <w:pPr>
      <w:keepNext/>
      <w:keepLines/>
      <w:numPr>
        <w:ilvl w:val="7"/>
        <w:numId w:val="1"/>
      </w:numPr>
      <w:spacing w:before="240" w:after="64" w:line="320" w:lineRule="auto"/>
      <w:jc w:val="both"/>
      <w:textAlignment w:val="baseline"/>
    </w:pPr>
    <w:rPr>
      <w:rFonts w:ascii="Arial" w:hAnsi="Arial" w:eastAsia="黑体"/>
      <w:kern w:val="0"/>
      <w:sz w:val="24"/>
      <w:szCs w:val="20"/>
      <w:lang w:val="en-US" w:eastAsia="zh-CN" w:bidi="ar-SA"/>
    </w:rPr>
  </w:style>
  <w:style w:type="paragraph" w:customStyle="1" w:styleId="42">
    <w:name w:val="Heading9"/>
    <w:basedOn w:val="1"/>
    <w:next w:val="35"/>
    <w:link w:val="141"/>
    <w:autoRedefine/>
    <w:qFormat/>
    <w:uiPriority w:val="0"/>
    <w:pPr>
      <w:keepNext/>
      <w:keepLines/>
      <w:numPr>
        <w:ilvl w:val="8"/>
        <w:numId w:val="1"/>
      </w:numPr>
      <w:spacing w:before="240" w:after="64" w:line="320" w:lineRule="auto"/>
      <w:jc w:val="both"/>
      <w:textAlignment w:val="baseline"/>
    </w:pPr>
    <w:rPr>
      <w:rFonts w:ascii="Arial" w:hAnsi="Arial" w:eastAsia="黑体"/>
      <w:kern w:val="0"/>
      <w:sz w:val="20"/>
      <w:szCs w:val="20"/>
      <w:lang w:val="en-US" w:eastAsia="zh-CN" w:bidi="ar-SA"/>
    </w:rPr>
  </w:style>
  <w:style w:type="character" w:customStyle="1" w:styleId="43">
    <w:name w:val="NormalCharacter"/>
    <w:link w:val="1"/>
    <w:autoRedefine/>
    <w:qFormat/>
    <w:uiPriority w:val="0"/>
  </w:style>
  <w:style w:type="table" w:customStyle="1" w:styleId="44">
    <w:name w:val="TableNormal"/>
    <w:autoRedefine/>
    <w:qFormat/>
    <w:uiPriority w:val="0"/>
  </w:style>
  <w:style w:type="character" w:customStyle="1" w:styleId="45">
    <w:name w:val="UserStyle_0"/>
    <w:link w:val="1"/>
    <w:autoRedefine/>
    <w:qFormat/>
    <w:uiPriority w:val="0"/>
    <w:rPr>
      <w:rFonts w:ascii="黑体" w:eastAsia="黑体"/>
      <w:b/>
    </w:rPr>
  </w:style>
  <w:style w:type="character" w:customStyle="1" w:styleId="46">
    <w:name w:val="UserStyle_1"/>
    <w:link w:val="1"/>
    <w:autoRedefine/>
    <w:qFormat/>
    <w:uiPriority w:val="0"/>
    <w:rPr>
      <w:rFonts w:ascii="Calibri" w:hAnsi="Calibri" w:eastAsia="宋体" w:cs="Times New Roman"/>
      <w:b/>
      <w:bCs/>
      <w:kern w:val="44"/>
      <w:sz w:val="44"/>
      <w:szCs w:val="44"/>
    </w:rPr>
  </w:style>
  <w:style w:type="character" w:customStyle="1" w:styleId="47">
    <w:name w:val="PageNumber"/>
    <w:link w:val="1"/>
    <w:autoRedefine/>
    <w:qFormat/>
    <w:uiPriority w:val="0"/>
  </w:style>
  <w:style w:type="character" w:customStyle="1" w:styleId="48">
    <w:name w:val="UserStyle_2"/>
    <w:link w:val="1"/>
    <w:qFormat/>
    <w:uiPriority w:val="0"/>
    <w:rPr>
      <w:rFonts w:ascii="Bookman Old Style" w:hAnsi="Bookman Old Style" w:eastAsia="Bookman Old Style"/>
      <w:color w:val="000000"/>
      <w:position w:val="0"/>
      <w:sz w:val="21"/>
      <w:szCs w:val="21"/>
      <w:lang w:val="en-US"/>
    </w:rPr>
  </w:style>
  <w:style w:type="character" w:customStyle="1" w:styleId="49">
    <w:name w:val="EndnoteReference"/>
    <w:link w:val="1"/>
    <w:autoRedefine/>
    <w:qFormat/>
    <w:uiPriority w:val="0"/>
    <w:rPr>
      <w:vertAlign w:val="superscript"/>
    </w:rPr>
  </w:style>
  <w:style w:type="character" w:customStyle="1" w:styleId="50">
    <w:name w:val="UserStyle_3"/>
    <w:link w:val="1"/>
    <w:qFormat/>
    <w:uiPriority w:val="0"/>
    <w:rPr>
      <w:rFonts w:ascii="Arial Unicode MS" w:hAnsi="Arial Unicode MS" w:eastAsia="Arial Unicode MS"/>
      <w:color w:val="000000"/>
      <w:spacing w:val="10"/>
      <w:position w:val="0"/>
      <w:sz w:val="16"/>
      <w:szCs w:val="16"/>
      <w:lang w:val="en-US"/>
    </w:rPr>
  </w:style>
  <w:style w:type="character" w:customStyle="1" w:styleId="51">
    <w:name w:val="UserStyle_4"/>
    <w:link w:val="1"/>
    <w:semiHidden/>
    <w:qFormat/>
    <w:uiPriority w:val="0"/>
    <w:rPr>
      <w:rFonts w:ascii="Calibri" w:hAnsi="Calibri" w:eastAsia="宋体"/>
    </w:rPr>
  </w:style>
  <w:style w:type="character" w:customStyle="1" w:styleId="52">
    <w:name w:val="UserStyle_5"/>
    <w:link w:val="1"/>
    <w:autoRedefine/>
    <w:qFormat/>
    <w:uiPriority w:val="0"/>
    <w:rPr>
      <w:rFonts w:ascii="黑体" w:eastAsia="黑体"/>
    </w:rPr>
  </w:style>
  <w:style w:type="character" w:customStyle="1" w:styleId="53">
    <w:name w:val="AnnotationReference"/>
    <w:link w:val="1"/>
    <w:autoRedefine/>
    <w:qFormat/>
    <w:uiPriority w:val="0"/>
    <w:rPr>
      <w:sz w:val="21"/>
      <w:szCs w:val="21"/>
    </w:rPr>
  </w:style>
  <w:style w:type="character" w:customStyle="1" w:styleId="54">
    <w:name w:val="UserStyle_6"/>
    <w:link w:val="1"/>
    <w:autoRedefine/>
    <w:qFormat/>
    <w:uiPriority w:val="0"/>
    <w:rPr>
      <w:spacing w:val="4"/>
      <w:kern w:val="2"/>
      <w:sz w:val="24"/>
      <w:szCs w:val="24"/>
    </w:rPr>
  </w:style>
  <w:style w:type="character" w:customStyle="1" w:styleId="55">
    <w:name w:val="UserStyle_7"/>
    <w:link w:val="56"/>
    <w:autoRedefine/>
    <w:qFormat/>
    <w:uiPriority w:val="0"/>
    <w:rPr>
      <w:rFonts w:ascii="宋体" w:hAnsi="宋体" w:eastAsia="宋体"/>
      <w:szCs w:val="24"/>
      <w:u w:val="single"/>
    </w:rPr>
  </w:style>
  <w:style w:type="paragraph" w:customStyle="1" w:styleId="56">
    <w:name w:val="BodyText2"/>
    <w:basedOn w:val="1"/>
    <w:link w:val="55"/>
    <w:autoRedefine/>
    <w:qFormat/>
    <w:uiPriority w:val="0"/>
    <w:pPr>
      <w:jc w:val="both"/>
      <w:textAlignment w:val="baseline"/>
    </w:pPr>
    <w:rPr>
      <w:rFonts w:ascii="宋体" w:hAnsi="宋体"/>
      <w:kern w:val="0"/>
      <w:sz w:val="20"/>
      <w:szCs w:val="24"/>
      <w:u w:val="single"/>
      <w:lang w:val="en-US" w:eastAsia="zh-CN" w:bidi="ar-SA"/>
    </w:rPr>
  </w:style>
  <w:style w:type="character" w:customStyle="1" w:styleId="57">
    <w:name w:val="UserStyle_8"/>
    <w:link w:val="58"/>
    <w:autoRedefine/>
    <w:qFormat/>
    <w:uiPriority w:val="0"/>
    <w:rPr>
      <w:rFonts w:ascii="Times New Roman" w:hAnsi="Times New Roman" w:eastAsia="宋体"/>
      <w:color w:val="000000"/>
      <w:sz w:val="24"/>
      <w:szCs w:val="20"/>
    </w:rPr>
  </w:style>
  <w:style w:type="paragraph" w:customStyle="1" w:styleId="58">
    <w:name w:val="BodyTextIndent2"/>
    <w:basedOn w:val="1"/>
    <w:link w:val="57"/>
    <w:autoRedefine/>
    <w:qFormat/>
    <w:uiPriority w:val="0"/>
    <w:pPr>
      <w:spacing w:line="400" w:lineRule="exact"/>
      <w:ind w:left="425"/>
      <w:jc w:val="both"/>
      <w:textAlignment w:val="baseline"/>
    </w:pPr>
    <w:rPr>
      <w:rFonts w:ascii="Times New Roman" w:hAnsi="Times New Roman"/>
      <w:color w:val="000000"/>
      <w:kern w:val="0"/>
      <w:sz w:val="24"/>
      <w:szCs w:val="20"/>
      <w:lang w:val="en-US" w:eastAsia="zh-CN" w:bidi="ar-SA"/>
    </w:rPr>
  </w:style>
  <w:style w:type="character" w:customStyle="1" w:styleId="59">
    <w:name w:val="UserStyle_9"/>
    <w:link w:val="15"/>
    <w:autoRedefine/>
    <w:qFormat/>
    <w:uiPriority w:val="0"/>
    <w:rPr>
      <w:rFonts w:ascii="Calibri" w:hAnsi="Calibri" w:eastAsia="宋体"/>
      <w:sz w:val="18"/>
      <w:szCs w:val="18"/>
    </w:rPr>
  </w:style>
  <w:style w:type="character" w:customStyle="1" w:styleId="60">
    <w:name w:val="FootnoteReference"/>
    <w:link w:val="1"/>
    <w:qFormat/>
    <w:uiPriority w:val="0"/>
    <w:rPr>
      <w:vertAlign w:val="superscript"/>
    </w:rPr>
  </w:style>
  <w:style w:type="character" w:customStyle="1" w:styleId="61">
    <w:name w:val="UserStyle_10"/>
    <w:link w:val="62"/>
    <w:autoRedefine/>
    <w:qFormat/>
    <w:uiPriority w:val="0"/>
    <w:rPr>
      <w:rFonts w:ascii="Times New Roman" w:hAnsi="Times New Roman" w:eastAsia="宋体"/>
      <w:sz w:val="18"/>
      <w:szCs w:val="18"/>
    </w:rPr>
  </w:style>
  <w:style w:type="paragraph" w:customStyle="1" w:styleId="62">
    <w:name w:val="Acetate"/>
    <w:basedOn w:val="1"/>
    <w:link w:val="61"/>
    <w:autoRedefine/>
    <w:qFormat/>
    <w:uiPriority w:val="0"/>
    <w:pPr>
      <w:jc w:val="both"/>
      <w:textAlignment w:val="baseline"/>
    </w:pPr>
    <w:rPr>
      <w:rFonts w:ascii="Times New Roman" w:hAnsi="Times New Roman"/>
      <w:kern w:val="0"/>
      <w:sz w:val="18"/>
      <w:szCs w:val="18"/>
      <w:lang w:val="en-US" w:eastAsia="zh-CN" w:bidi="ar-SA"/>
    </w:rPr>
  </w:style>
  <w:style w:type="character" w:customStyle="1" w:styleId="63">
    <w:name w:val="UserStyle_11"/>
    <w:link w:val="1"/>
    <w:autoRedefine/>
    <w:qFormat/>
    <w:uiPriority w:val="0"/>
    <w:rPr>
      <w:color w:val="000000"/>
      <w:sz w:val="36"/>
      <w:szCs w:val="36"/>
    </w:rPr>
  </w:style>
  <w:style w:type="character" w:customStyle="1" w:styleId="64">
    <w:name w:val="UserStyle_12"/>
    <w:link w:val="65"/>
    <w:autoRedefine/>
    <w:qFormat/>
    <w:uiPriority w:val="0"/>
    <w:rPr>
      <w:rFonts w:ascii="Calibri" w:hAnsi="Calibri" w:eastAsia="宋体"/>
      <w:kern w:val="2"/>
      <w:sz w:val="21"/>
      <w:szCs w:val="22"/>
    </w:rPr>
  </w:style>
  <w:style w:type="paragraph" w:customStyle="1" w:styleId="65">
    <w:name w:val="BodyText1I2"/>
    <w:basedOn w:val="66"/>
    <w:link w:val="64"/>
    <w:qFormat/>
    <w:uiPriority w:val="0"/>
    <w:pPr>
      <w:spacing w:after="120"/>
      <w:ind w:left="420" w:leftChars="200" w:firstLine="420" w:firstLineChars="200"/>
      <w:jc w:val="both"/>
      <w:textAlignment w:val="baseline"/>
    </w:pPr>
    <w:rPr>
      <w:rFonts w:ascii="Calibri" w:hAnsi="Calibri"/>
      <w:kern w:val="2"/>
      <w:sz w:val="21"/>
      <w:szCs w:val="22"/>
      <w:lang w:val="en-US" w:eastAsia="zh-CN" w:bidi="ar-SA"/>
    </w:rPr>
  </w:style>
  <w:style w:type="paragraph" w:customStyle="1" w:styleId="66">
    <w:name w:val="BodyTextIndent"/>
    <w:basedOn w:val="1"/>
    <w:link w:val="91"/>
    <w:autoRedefine/>
    <w:qFormat/>
    <w:uiPriority w:val="0"/>
    <w:pPr>
      <w:ind w:firstLine="570"/>
      <w:jc w:val="both"/>
      <w:textAlignment w:val="baseline"/>
    </w:pPr>
    <w:rPr>
      <w:rFonts w:ascii="Times New Roman" w:hAnsi="Times New Roman"/>
      <w:kern w:val="0"/>
      <w:sz w:val="28"/>
      <w:szCs w:val="20"/>
      <w:lang w:val="en-US" w:eastAsia="zh-CN" w:bidi="ar-SA"/>
    </w:rPr>
  </w:style>
  <w:style w:type="character" w:customStyle="1" w:styleId="67">
    <w:name w:val="UserStyle_13"/>
    <w:link w:val="68"/>
    <w:autoRedefine/>
    <w:qFormat/>
    <w:uiPriority w:val="0"/>
    <w:rPr>
      <w:rFonts w:ascii="Times New Roman" w:hAnsi="Times New Roman" w:eastAsia="宋体"/>
      <w:szCs w:val="20"/>
      <w:shd w:val="clear" w:color="auto" w:fill="000080"/>
    </w:rPr>
  </w:style>
  <w:style w:type="paragraph" w:customStyle="1" w:styleId="68">
    <w:name w:val="NavPane"/>
    <w:basedOn w:val="1"/>
    <w:link w:val="67"/>
    <w:autoRedefine/>
    <w:qFormat/>
    <w:uiPriority w:val="0"/>
    <w:pPr>
      <w:shd w:val="clear" w:color="auto" w:fill="000080"/>
      <w:jc w:val="both"/>
      <w:textAlignment w:val="baseline"/>
    </w:pPr>
    <w:rPr>
      <w:rFonts w:ascii="Times New Roman" w:hAnsi="Times New Roman"/>
      <w:kern w:val="0"/>
      <w:sz w:val="20"/>
      <w:szCs w:val="20"/>
      <w:lang w:val="en-US" w:eastAsia="zh-CN" w:bidi="ar-SA"/>
    </w:rPr>
  </w:style>
  <w:style w:type="character" w:customStyle="1" w:styleId="69">
    <w:name w:val="UserStyle_14"/>
    <w:link w:val="22"/>
    <w:autoRedefine/>
    <w:qFormat/>
    <w:uiPriority w:val="0"/>
    <w:rPr>
      <w:rFonts w:ascii="Arial" w:hAnsi="Arial" w:eastAsia="宋体"/>
      <w:b/>
      <w:sz w:val="44"/>
      <w:szCs w:val="20"/>
    </w:rPr>
  </w:style>
  <w:style w:type="character" w:customStyle="1" w:styleId="70">
    <w:name w:val="UserStyle_15"/>
    <w:link w:val="1"/>
    <w:autoRedefine/>
    <w:qFormat/>
    <w:uiPriority w:val="0"/>
    <w:rPr>
      <w:rFonts w:ascii="宋体" w:hAnsi="Courier New" w:eastAsia="宋体"/>
      <w:sz w:val="21"/>
      <w:lang w:bidi="ar-SA"/>
    </w:rPr>
  </w:style>
  <w:style w:type="character" w:customStyle="1" w:styleId="71">
    <w:name w:val="UserStyle_16"/>
    <w:link w:val="1"/>
    <w:semiHidden/>
    <w:qFormat/>
    <w:uiPriority w:val="0"/>
    <w:rPr>
      <w:rFonts w:ascii="等线" w:hAnsi="Courier New"/>
    </w:rPr>
  </w:style>
  <w:style w:type="character" w:customStyle="1" w:styleId="72">
    <w:name w:val="UserStyle_17"/>
    <w:link w:val="73"/>
    <w:autoRedefine/>
    <w:qFormat/>
    <w:uiPriority w:val="0"/>
    <w:rPr>
      <w:rFonts w:ascii="MingLiU" w:hAnsi="MingLiU" w:eastAsia="MingLiU"/>
      <w:spacing w:val="20"/>
    </w:rPr>
  </w:style>
  <w:style w:type="paragraph" w:customStyle="1" w:styleId="73">
    <w:name w:val="UserStyle_18"/>
    <w:basedOn w:val="1"/>
    <w:link w:val="72"/>
    <w:autoRedefine/>
    <w:qFormat/>
    <w:uiPriority w:val="0"/>
    <w:pPr>
      <w:shd w:val="clear" w:color="auto" w:fill="FFFFFF"/>
      <w:spacing w:before="300" w:line="240" w:lineRule="atLeast"/>
      <w:ind w:hanging="580"/>
      <w:jc w:val="left"/>
      <w:textAlignment w:val="baseline"/>
    </w:pPr>
    <w:rPr>
      <w:rFonts w:ascii="MingLiU" w:hAnsi="MingLiU" w:eastAsia="MingLiU"/>
      <w:spacing w:val="20"/>
      <w:kern w:val="0"/>
      <w:sz w:val="20"/>
      <w:szCs w:val="20"/>
      <w:lang w:val="en-US" w:eastAsia="zh-CN" w:bidi="ar-SA"/>
    </w:rPr>
  </w:style>
  <w:style w:type="character" w:customStyle="1" w:styleId="74">
    <w:name w:val="UserStyle_19"/>
    <w:link w:val="39"/>
    <w:autoRedefine/>
    <w:qFormat/>
    <w:uiPriority w:val="0"/>
    <w:rPr>
      <w:rFonts w:ascii="Arial" w:hAnsi="Arial" w:eastAsia="黑体" w:cs="Times New Roman"/>
      <w:b/>
      <w:bCs/>
      <w:sz w:val="24"/>
      <w:szCs w:val="24"/>
    </w:rPr>
  </w:style>
  <w:style w:type="character" w:customStyle="1" w:styleId="75">
    <w:name w:val="UserStyle_20"/>
    <w:link w:val="38"/>
    <w:autoRedefine/>
    <w:qFormat/>
    <w:uiPriority w:val="0"/>
    <w:rPr>
      <w:rFonts w:ascii="Arial" w:hAnsi="Arial" w:eastAsia="宋体"/>
      <w:color w:val="000000"/>
      <w:szCs w:val="21"/>
    </w:rPr>
  </w:style>
  <w:style w:type="character" w:customStyle="1" w:styleId="76">
    <w:name w:val="UserStyle_21"/>
    <w:link w:val="77"/>
    <w:autoRedefine/>
    <w:qFormat/>
    <w:locked/>
    <w:uiPriority w:val="0"/>
    <w:rPr>
      <w:rFonts w:ascii="仿宋_GB2312" w:hAnsi="宋体" w:eastAsia="仿宋_GB2312"/>
      <w:sz w:val="31"/>
      <w:szCs w:val="31"/>
    </w:rPr>
  </w:style>
  <w:style w:type="paragraph" w:customStyle="1" w:styleId="77">
    <w:name w:val="UserStyle_22"/>
    <w:basedOn w:val="1"/>
    <w:link w:val="76"/>
    <w:autoRedefine/>
    <w:qFormat/>
    <w:uiPriority w:val="0"/>
    <w:pPr>
      <w:widowControl/>
      <w:spacing w:line="600" w:lineRule="exact"/>
      <w:ind w:firstLine="639" w:firstLineChars="206"/>
      <w:jc w:val="left"/>
      <w:textAlignment w:val="baseline"/>
    </w:pPr>
    <w:rPr>
      <w:rFonts w:ascii="仿宋_GB2312" w:hAnsi="宋体" w:eastAsia="仿宋_GB2312"/>
      <w:kern w:val="0"/>
      <w:sz w:val="31"/>
      <w:szCs w:val="31"/>
      <w:lang w:val="en-US" w:eastAsia="zh-CN" w:bidi="ar-SA"/>
    </w:rPr>
  </w:style>
  <w:style w:type="character" w:customStyle="1" w:styleId="78">
    <w:name w:val="UserStyle_23"/>
    <w:link w:val="1"/>
    <w:autoRedefine/>
    <w:semiHidden/>
    <w:qFormat/>
    <w:uiPriority w:val="0"/>
    <w:rPr>
      <w:rFonts w:ascii="Calibri" w:hAnsi="Calibri" w:eastAsia="宋体" w:cs="Times New Roman"/>
      <w:b/>
      <w:bCs/>
      <w:sz w:val="24"/>
      <w:szCs w:val="24"/>
    </w:rPr>
  </w:style>
  <w:style w:type="character" w:customStyle="1" w:styleId="79">
    <w:name w:val="UserStyle_24"/>
    <w:link w:val="17"/>
    <w:autoRedefine/>
    <w:qFormat/>
    <w:uiPriority w:val="0"/>
    <w:rPr>
      <w:rFonts w:ascii="Arial" w:hAnsi="Arial" w:eastAsia="宋体" w:cs="Times New Roman"/>
      <w:b/>
      <w:bCs/>
      <w:kern w:val="28"/>
      <w:sz w:val="32"/>
      <w:szCs w:val="32"/>
    </w:rPr>
  </w:style>
  <w:style w:type="character" w:customStyle="1" w:styleId="80">
    <w:name w:val="UserStyle_25"/>
    <w:link w:val="1"/>
    <w:autoRedefine/>
    <w:qFormat/>
    <w:uiPriority w:val="0"/>
    <w:rPr>
      <w:rFonts w:eastAsia="宋体"/>
      <w:kern w:val="2"/>
      <w:sz w:val="18"/>
      <w:szCs w:val="18"/>
      <w:lang w:val="en-US" w:eastAsia="zh-CN" w:bidi="ar-SA"/>
    </w:rPr>
  </w:style>
  <w:style w:type="character" w:customStyle="1" w:styleId="81">
    <w:name w:val="UserStyle_26"/>
    <w:link w:val="82"/>
    <w:autoRedefine/>
    <w:qFormat/>
    <w:locked/>
    <w:uiPriority w:val="0"/>
    <w:rPr>
      <w:rFonts w:ascii="黑体" w:eastAsia="黑体"/>
      <w:sz w:val="21"/>
    </w:rPr>
  </w:style>
  <w:style w:type="paragraph" w:customStyle="1" w:styleId="82">
    <w:name w:val="UserStyle_27"/>
    <w:next w:val="83"/>
    <w:link w:val="81"/>
    <w:autoRedefine/>
    <w:qFormat/>
    <w:uiPriority w:val="0"/>
    <w:pPr>
      <w:widowControl/>
      <w:tabs>
        <w:tab w:val="left" w:pos="360"/>
        <w:tab w:val="left" w:pos="678"/>
      </w:tabs>
      <w:ind w:left="678" w:hanging="468"/>
      <w:jc w:val="center"/>
      <w:textAlignment w:val="baseline"/>
    </w:pPr>
    <w:rPr>
      <w:rFonts w:ascii="黑体" w:hAnsi="Times New Roman" w:eastAsia="黑体" w:cstheme="minorBidi"/>
      <w:sz w:val="21"/>
      <w:lang w:val="en-US" w:eastAsia="zh-CN" w:bidi="ar-SA"/>
    </w:rPr>
  </w:style>
  <w:style w:type="paragraph" w:customStyle="1" w:styleId="83">
    <w:name w:val="UserStyle_140"/>
    <w:autoRedefine/>
    <w:qFormat/>
    <w:uiPriority w:val="0"/>
    <w:pPr>
      <w:widowControl/>
      <w:ind w:firstLine="200" w:firstLineChars="200"/>
      <w:jc w:val="both"/>
      <w:textAlignment w:val="baseline"/>
    </w:pPr>
    <w:rPr>
      <w:rFonts w:ascii="宋体" w:hAnsi="Times New Roman" w:eastAsia="宋体" w:cstheme="minorBidi"/>
      <w:sz w:val="21"/>
      <w:szCs w:val="21"/>
      <w:lang w:val="en-US" w:eastAsia="zh-CN" w:bidi="ar-SA"/>
    </w:rPr>
  </w:style>
  <w:style w:type="character" w:customStyle="1" w:styleId="84">
    <w:name w:val="UserStyle_28"/>
    <w:link w:val="1"/>
    <w:autoRedefine/>
    <w:semiHidden/>
    <w:qFormat/>
    <w:uiPriority w:val="0"/>
    <w:rPr>
      <w:rFonts w:ascii="Calibri" w:hAnsi="Calibri" w:eastAsia="宋体"/>
    </w:rPr>
  </w:style>
  <w:style w:type="character" w:customStyle="1" w:styleId="85">
    <w:name w:val="UserStyle_29"/>
    <w:link w:val="1"/>
    <w:autoRedefine/>
    <w:semiHidden/>
    <w:qFormat/>
    <w:uiPriority w:val="0"/>
    <w:rPr>
      <w:rFonts w:ascii="Calibri" w:hAnsi="Calibri" w:eastAsia="宋体"/>
    </w:rPr>
  </w:style>
  <w:style w:type="character" w:customStyle="1" w:styleId="86">
    <w:name w:val="UserStyle_30"/>
    <w:link w:val="87"/>
    <w:autoRedefine/>
    <w:qFormat/>
    <w:uiPriority w:val="0"/>
    <w:rPr>
      <w:rFonts w:ascii="Times New Roman" w:hAnsi="Times New Roman" w:eastAsia="宋体"/>
      <w:kern w:val="2"/>
      <w:sz w:val="21"/>
    </w:rPr>
  </w:style>
  <w:style w:type="paragraph" w:customStyle="1" w:styleId="87">
    <w:name w:val="179"/>
    <w:basedOn w:val="1"/>
    <w:link w:val="86"/>
    <w:autoRedefine/>
    <w:qFormat/>
    <w:uiPriority w:val="0"/>
    <w:pPr>
      <w:ind w:firstLine="420" w:firstLineChars="200"/>
      <w:jc w:val="both"/>
      <w:textAlignment w:val="baseline"/>
    </w:pPr>
    <w:rPr>
      <w:rFonts w:ascii="Times New Roman" w:hAnsi="Times New Roman"/>
      <w:kern w:val="2"/>
      <w:sz w:val="21"/>
      <w:szCs w:val="20"/>
      <w:lang w:val="en-US" w:eastAsia="zh-CN" w:bidi="ar-SA"/>
    </w:rPr>
  </w:style>
  <w:style w:type="character" w:customStyle="1" w:styleId="88">
    <w:name w:val="UserStyle_31"/>
    <w:link w:val="89"/>
    <w:autoRedefine/>
    <w:qFormat/>
    <w:uiPriority w:val="0"/>
    <w:rPr>
      <w:rFonts w:ascii="Times New Roman" w:hAnsi="Times New Roman" w:eastAsia="宋体"/>
      <w:kern w:val="2"/>
      <w:sz w:val="24"/>
      <w:szCs w:val="24"/>
    </w:rPr>
  </w:style>
  <w:style w:type="paragraph" w:customStyle="1" w:styleId="89">
    <w:name w:val="UserStyle_32"/>
    <w:link w:val="88"/>
    <w:autoRedefine/>
    <w:qFormat/>
    <w:uiPriority w:val="0"/>
    <w:pPr>
      <w:spacing w:line="360" w:lineRule="auto"/>
      <w:ind w:firstLine="482"/>
      <w:textAlignment w:val="baseline"/>
    </w:pPr>
    <w:rPr>
      <w:rFonts w:ascii="Times New Roman" w:hAnsi="Times New Roman" w:eastAsia="宋体" w:cstheme="minorBidi"/>
      <w:kern w:val="2"/>
      <w:sz w:val="24"/>
      <w:szCs w:val="24"/>
      <w:lang w:val="en-US" w:eastAsia="zh-CN" w:bidi="ar-SA"/>
    </w:rPr>
  </w:style>
  <w:style w:type="character" w:customStyle="1" w:styleId="90">
    <w:name w:val="UserStyle_33"/>
    <w:link w:val="41"/>
    <w:autoRedefine/>
    <w:qFormat/>
    <w:uiPriority w:val="0"/>
    <w:rPr>
      <w:rFonts w:ascii="Arial" w:hAnsi="Arial" w:eastAsia="黑体"/>
      <w:sz w:val="24"/>
    </w:rPr>
  </w:style>
  <w:style w:type="character" w:customStyle="1" w:styleId="91">
    <w:name w:val="UserStyle_34"/>
    <w:link w:val="66"/>
    <w:qFormat/>
    <w:uiPriority w:val="0"/>
    <w:rPr>
      <w:rFonts w:ascii="Times New Roman" w:hAnsi="Times New Roman" w:eastAsia="宋体"/>
      <w:sz w:val="28"/>
      <w:szCs w:val="20"/>
    </w:rPr>
  </w:style>
  <w:style w:type="character" w:customStyle="1" w:styleId="92">
    <w:name w:val="UserStyle_35"/>
    <w:link w:val="1"/>
    <w:autoRedefine/>
    <w:qFormat/>
    <w:uiPriority w:val="0"/>
    <w:rPr>
      <w:rFonts w:ascii="Arial Unicode MS" w:hAnsi="Arial Unicode MS" w:eastAsia="Arial Unicode MS"/>
      <w:color w:val="000000"/>
      <w:spacing w:val="10"/>
      <w:position w:val="0"/>
      <w:sz w:val="16"/>
      <w:szCs w:val="16"/>
      <w:lang w:val="en-US"/>
    </w:rPr>
  </w:style>
  <w:style w:type="character" w:customStyle="1" w:styleId="93">
    <w:name w:val="UserStyle_36"/>
    <w:link w:val="94"/>
    <w:autoRedefine/>
    <w:qFormat/>
    <w:locked/>
    <w:uiPriority w:val="0"/>
  </w:style>
  <w:style w:type="paragraph" w:customStyle="1" w:styleId="94">
    <w:name w:val="UserStyle_37"/>
    <w:basedOn w:val="1"/>
    <w:link w:val="93"/>
    <w:qFormat/>
    <w:uiPriority w:val="0"/>
    <w:pPr>
      <w:spacing w:line="360" w:lineRule="auto"/>
      <w:ind w:firstLine="424" w:firstLineChars="202"/>
      <w:jc w:val="left"/>
      <w:textAlignment w:val="baseline"/>
    </w:pPr>
    <w:rPr>
      <w:rFonts w:ascii="等线" w:hAnsi="等线" w:eastAsia="等线"/>
      <w:kern w:val="0"/>
      <w:sz w:val="20"/>
      <w:szCs w:val="20"/>
      <w:lang w:val="en-US" w:eastAsia="zh-CN" w:bidi="ar-SA"/>
    </w:rPr>
  </w:style>
  <w:style w:type="character" w:customStyle="1" w:styleId="95">
    <w:name w:val="UserStyle_38"/>
    <w:link w:val="96"/>
    <w:autoRedefine/>
    <w:qFormat/>
    <w:uiPriority w:val="0"/>
    <w:rPr>
      <w:rFonts w:ascii="宋体" w:hAnsi="宋体" w:eastAsia="宋体" w:cs="Times New Roman"/>
      <w:b/>
      <w:bCs/>
      <w:sz w:val="24"/>
      <w:szCs w:val="24"/>
    </w:rPr>
  </w:style>
  <w:style w:type="paragraph" w:customStyle="1" w:styleId="96">
    <w:name w:val="AnnotationSubject"/>
    <w:basedOn w:val="97"/>
    <w:next w:val="97"/>
    <w:link w:val="95"/>
    <w:autoRedefine/>
    <w:qFormat/>
    <w:uiPriority w:val="0"/>
    <w:pPr>
      <w:spacing w:line="360" w:lineRule="auto"/>
      <w:ind w:firstLine="523" w:firstLineChars="218"/>
      <w:jc w:val="left"/>
      <w:textAlignment w:val="baseline"/>
    </w:pPr>
    <w:rPr>
      <w:rFonts w:ascii="宋体" w:hAnsi="宋体" w:cs="Times New Roman"/>
      <w:b/>
      <w:bCs/>
      <w:kern w:val="0"/>
      <w:sz w:val="24"/>
      <w:szCs w:val="24"/>
      <w:lang w:val="en-US" w:eastAsia="zh-CN" w:bidi="ar-SA"/>
    </w:rPr>
  </w:style>
  <w:style w:type="paragraph" w:customStyle="1" w:styleId="97">
    <w:name w:val="AnnotationText"/>
    <w:basedOn w:val="1"/>
    <w:link w:val="169"/>
    <w:qFormat/>
    <w:uiPriority w:val="0"/>
    <w:pPr>
      <w:spacing w:line="360" w:lineRule="auto"/>
      <w:ind w:firstLine="523" w:firstLineChars="218"/>
      <w:jc w:val="left"/>
      <w:textAlignment w:val="baseline"/>
    </w:pPr>
    <w:rPr>
      <w:rFonts w:ascii="宋体" w:hAnsi="宋体"/>
      <w:kern w:val="0"/>
      <w:sz w:val="24"/>
      <w:szCs w:val="24"/>
      <w:lang w:val="en-US" w:eastAsia="zh-CN" w:bidi="ar-SA"/>
    </w:rPr>
  </w:style>
  <w:style w:type="character" w:customStyle="1" w:styleId="98">
    <w:name w:val="UserStyle_39"/>
    <w:link w:val="1"/>
    <w:autoRedefine/>
    <w:semiHidden/>
    <w:qFormat/>
    <w:uiPriority w:val="0"/>
    <w:rPr>
      <w:rFonts w:ascii="Calibri" w:hAnsi="Calibri" w:eastAsia="宋体"/>
      <w:sz w:val="18"/>
      <w:szCs w:val="18"/>
    </w:rPr>
  </w:style>
  <w:style w:type="character" w:customStyle="1" w:styleId="99">
    <w:name w:val="UserStyle_40"/>
    <w:link w:val="100"/>
    <w:qFormat/>
    <w:uiPriority w:val="0"/>
    <w:rPr>
      <w:rFonts w:ascii="黑体" w:eastAsia="黑体"/>
      <w:b/>
    </w:rPr>
  </w:style>
  <w:style w:type="paragraph" w:customStyle="1" w:styleId="100">
    <w:name w:val="UserStyle_41"/>
    <w:basedOn w:val="101"/>
    <w:next w:val="83"/>
    <w:link w:val="99"/>
    <w:autoRedefine/>
    <w:qFormat/>
    <w:uiPriority w:val="0"/>
    <w:pPr>
      <w:widowControl/>
      <w:tabs>
        <w:tab w:val="left" w:pos="945"/>
        <w:tab w:val="left" w:pos="1080"/>
      </w:tabs>
      <w:jc w:val="both"/>
      <w:textAlignment w:val="baseline"/>
    </w:pPr>
    <w:rPr>
      <w:rFonts w:ascii="黑体" w:hAnsi="等线" w:eastAsia="黑体"/>
      <w:b/>
      <w:kern w:val="0"/>
      <w:sz w:val="20"/>
      <w:szCs w:val="20"/>
      <w:lang w:val="en-US" w:eastAsia="zh-CN" w:bidi="ar-SA"/>
    </w:rPr>
  </w:style>
  <w:style w:type="paragraph" w:customStyle="1" w:styleId="101">
    <w:name w:val="UserStyle_53"/>
    <w:basedOn w:val="1"/>
    <w:next w:val="83"/>
    <w:link w:val="112"/>
    <w:autoRedefine/>
    <w:qFormat/>
    <w:uiPriority w:val="0"/>
    <w:pPr>
      <w:widowControl/>
      <w:jc w:val="both"/>
      <w:textAlignment w:val="baseline"/>
    </w:pPr>
    <w:rPr>
      <w:rFonts w:ascii="黑体" w:hAnsi="等线" w:eastAsia="黑体"/>
      <w:kern w:val="0"/>
      <w:sz w:val="21"/>
      <w:szCs w:val="20"/>
      <w:lang w:val="en-US" w:eastAsia="zh-CN" w:bidi="ar-SA"/>
    </w:rPr>
  </w:style>
  <w:style w:type="character" w:customStyle="1" w:styleId="102">
    <w:name w:val="UserStyle_42"/>
    <w:link w:val="103"/>
    <w:qFormat/>
    <w:uiPriority w:val="0"/>
    <w:rPr>
      <w:rFonts w:ascii="Calibri" w:hAnsi="Calibri" w:eastAsia="宋体"/>
      <w:sz w:val="28"/>
    </w:rPr>
  </w:style>
  <w:style w:type="paragraph" w:customStyle="1" w:styleId="103">
    <w:name w:val="UserStyle_43"/>
    <w:basedOn w:val="1"/>
    <w:link w:val="102"/>
    <w:qFormat/>
    <w:uiPriority w:val="0"/>
    <w:pPr>
      <w:spacing w:line="520" w:lineRule="exact"/>
      <w:ind w:firstLine="567"/>
      <w:jc w:val="both"/>
      <w:textAlignment w:val="baseline"/>
    </w:pPr>
    <w:rPr>
      <w:kern w:val="0"/>
      <w:sz w:val="28"/>
      <w:szCs w:val="20"/>
      <w:lang w:val="en-US" w:eastAsia="zh-CN" w:bidi="ar-SA"/>
    </w:rPr>
  </w:style>
  <w:style w:type="character" w:customStyle="1" w:styleId="104">
    <w:name w:val="UserStyle_44"/>
    <w:link w:val="105"/>
    <w:autoRedefine/>
    <w:qFormat/>
    <w:uiPriority w:val="0"/>
    <w:rPr>
      <w:rFonts w:ascii="Arial" w:hAnsi="Arial" w:eastAsia="宋体"/>
      <w:kern w:val="2"/>
      <w:sz w:val="24"/>
      <w:szCs w:val="21"/>
    </w:rPr>
  </w:style>
  <w:style w:type="paragraph" w:customStyle="1" w:styleId="105">
    <w:name w:val="UserStyle_45"/>
    <w:basedOn w:val="1"/>
    <w:link w:val="104"/>
    <w:autoRedefine/>
    <w:qFormat/>
    <w:uiPriority w:val="0"/>
    <w:pPr>
      <w:snapToGrid w:val="0"/>
      <w:spacing w:line="360" w:lineRule="auto"/>
      <w:ind w:firstLine="480" w:firstLineChars="200"/>
      <w:jc w:val="both"/>
      <w:textAlignment w:val="baseline"/>
    </w:pPr>
    <w:rPr>
      <w:rFonts w:ascii="Arial" w:hAnsi="Arial"/>
      <w:kern w:val="2"/>
      <w:sz w:val="24"/>
      <w:szCs w:val="21"/>
      <w:lang w:val="en-US" w:eastAsia="zh-CN" w:bidi="ar-SA"/>
    </w:rPr>
  </w:style>
  <w:style w:type="character" w:customStyle="1" w:styleId="106">
    <w:name w:val="UserStyle_46"/>
    <w:basedOn w:val="107"/>
    <w:link w:val="1"/>
    <w:autoRedefine/>
    <w:semiHidden/>
    <w:qFormat/>
    <w:uiPriority w:val="0"/>
  </w:style>
  <w:style w:type="character" w:customStyle="1" w:styleId="107">
    <w:name w:val="UserStyle_47"/>
    <w:link w:val="1"/>
    <w:semiHidden/>
    <w:qFormat/>
    <w:uiPriority w:val="0"/>
    <w:rPr>
      <w:rFonts w:ascii="Calibri" w:hAnsi="Calibri" w:eastAsia="宋体"/>
    </w:rPr>
  </w:style>
  <w:style w:type="character" w:customStyle="1" w:styleId="108">
    <w:name w:val="UserStyle_48"/>
    <w:link w:val="1"/>
    <w:autoRedefine/>
    <w:qFormat/>
    <w:uiPriority w:val="0"/>
    <w:rPr>
      <w:rFonts w:ascii="宋体" w:hAnsi="宋体"/>
      <w:kern w:val="2"/>
      <w:sz w:val="21"/>
      <w:szCs w:val="24"/>
      <w:lang w:eastAsia="en-US"/>
    </w:rPr>
  </w:style>
  <w:style w:type="character" w:customStyle="1" w:styleId="109">
    <w:name w:val="UserStyle_49"/>
    <w:link w:val="1"/>
    <w:autoRedefine/>
    <w:semiHidden/>
    <w:qFormat/>
    <w:uiPriority w:val="0"/>
    <w:rPr>
      <w:rFonts w:ascii="Calibri" w:hAnsi="Calibri" w:eastAsia="宋体" w:cs="Times New Roman"/>
      <w:b/>
      <w:bCs/>
      <w:sz w:val="32"/>
      <w:szCs w:val="32"/>
    </w:rPr>
  </w:style>
  <w:style w:type="character" w:customStyle="1" w:styleId="110">
    <w:name w:val="UserStyle_50"/>
    <w:link w:val="111"/>
    <w:autoRedefine/>
    <w:qFormat/>
    <w:uiPriority w:val="0"/>
    <w:rPr>
      <w:rFonts w:ascii="Times New Roman" w:hAnsi="Times New Roman" w:eastAsia="宋体"/>
      <w:sz w:val="24"/>
    </w:rPr>
  </w:style>
  <w:style w:type="paragraph" w:customStyle="1" w:styleId="111">
    <w:name w:val="UserStyle_51"/>
    <w:basedOn w:val="1"/>
    <w:link w:val="110"/>
    <w:autoRedefine/>
    <w:qFormat/>
    <w:uiPriority w:val="0"/>
    <w:pPr>
      <w:spacing w:before="120" w:after="120" w:line="312" w:lineRule="atLeast"/>
      <w:jc w:val="center"/>
      <w:textAlignment w:val="baseline"/>
    </w:pPr>
    <w:rPr>
      <w:rFonts w:ascii="Times New Roman" w:hAnsi="Times New Roman"/>
      <w:kern w:val="0"/>
      <w:sz w:val="24"/>
      <w:szCs w:val="20"/>
      <w:lang w:val="en-US" w:eastAsia="zh-CN" w:bidi="ar-SA"/>
    </w:rPr>
  </w:style>
  <w:style w:type="character" w:customStyle="1" w:styleId="112">
    <w:name w:val="UserStyle_52"/>
    <w:link w:val="101"/>
    <w:autoRedefine/>
    <w:qFormat/>
    <w:locked/>
    <w:uiPriority w:val="0"/>
    <w:rPr>
      <w:rFonts w:ascii="黑体" w:eastAsia="黑体"/>
      <w:sz w:val="21"/>
    </w:rPr>
  </w:style>
  <w:style w:type="character" w:customStyle="1" w:styleId="113">
    <w:name w:val="UserStyle_54"/>
    <w:link w:val="1"/>
    <w:semiHidden/>
    <w:qFormat/>
    <w:uiPriority w:val="0"/>
    <w:rPr>
      <w:rFonts w:ascii="Calibri" w:hAnsi="Calibri" w:eastAsia="宋体"/>
    </w:rPr>
  </w:style>
  <w:style w:type="character" w:customStyle="1" w:styleId="114">
    <w:name w:val="UserStyle_55"/>
    <w:link w:val="1"/>
    <w:autoRedefine/>
    <w:qFormat/>
    <w:uiPriority w:val="0"/>
  </w:style>
  <w:style w:type="character" w:customStyle="1" w:styleId="115">
    <w:name w:val="UserStyle_56"/>
    <w:link w:val="1"/>
    <w:autoRedefine/>
    <w:semiHidden/>
    <w:qFormat/>
    <w:uiPriority w:val="0"/>
    <w:rPr>
      <w:rFonts w:ascii="Calibri" w:hAnsi="Calibri" w:eastAsia="宋体"/>
      <w:sz w:val="16"/>
      <w:szCs w:val="16"/>
    </w:rPr>
  </w:style>
  <w:style w:type="character" w:customStyle="1" w:styleId="116">
    <w:name w:val="UserStyle_57"/>
    <w:link w:val="1"/>
    <w:autoRedefine/>
    <w:semiHidden/>
    <w:qFormat/>
    <w:uiPriority w:val="0"/>
    <w:rPr>
      <w:rFonts w:ascii="Calibri" w:hAnsi="Calibri" w:eastAsia="宋体"/>
      <w:sz w:val="18"/>
      <w:szCs w:val="18"/>
    </w:rPr>
  </w:style>
  <w:style w:type="character" w:customStyle="1" w:styleId="117">
    <w:name w:val="UserStyle_58"/>
    <w:link w:val="40"/>
    <w:qFormat/>
    <w:uiPriority w:val="0"/>
    <w:rPr>
      <w:rFonts w:ascii="Times New Roman" w:hAnsi="Times New Roman" w:eastAsia="宋体"/>
      <w:b/>
      <w:sz w:val="24"/>
    </w:rPr>
  </w:style>
  <w:style w:type="character" w:customStyle="1" w:styleId="118">
    <w:name w:val="UserStyle_59"/>
    <w:link w:val="1"/>
    <w:autoRedefine/>
    <w:qFormat/>
    <w:uiPriority w:val="0"/>
    <w:rPr>
      <w:rFonts w:ascii="Arial" w:hAnsi="Arial" w:eastAsia="黑体" w:cs="Times New Roman"/>
      <w:b/>
      <w:bCs/>
      <w:kern w:val="2"/>
      <w:sz w:val="32"/>
      <w:szCs w:val="32"/>
      <w:lang w:val="en-US" w:eastAsia="zh-CN" w:bidi="ar-SA"/>
    </w:rPr>
  </w:style>
  <w:style w:type="character" w:customStyle="1" w:styleId="119">
    <w:name w:val="UserStyle_60"/>
    <w:link w:val="34"/>
    <w:autoRedefine/>
    <w:qFormat/>
    <w:uiPriority w:val="0"/>
    <w:rPr>
      <w:rFonts w:ascii="Arial" w:hAnsi="Arial" w:eastAsia="宋体"/>
      <w:b/>
      <w:color w:val="000000"/>
      <w:sz w:val="24"/>
      <w:szCs w:val="24"/>
    </w:rPr>
  </w:style>
  <w:style w:type="character" w:customStyle="1" w:styleId="120">
    <w:name w:val="UserStyle_61"/>
    <w:link w:val="1"/>
    <w:autoRedefine/>
    <w:semiHidden/>
    <w:qFormat/>
    <w:uiPriority w:val="0"/>
    <w:rPr>
      <w:rFonts w:ascii="Microsoft YaHei UI" w:hAnsi="Calibri" w:eastAsia="Microsoft YaHei UI"/>
      <w:sz w:val="18"/>
      <w:szCs w:val="18"/>
    </w:rPr>
  </w:style>
  <w:style w:type="character" w:customStyle="1" w:styleId="121">
    <w:name w:val="UserStyle_62"/>
    <w:link w:val="1"/>
    <w:autoRedefine/>
    <w:qFormat/>
    <w:uiPriority w:val="0"/>
    <w:rPr>
      <w:rFonts w:ascii="等线 Light" w:hAnsi="等线 Light" w:eastAsia="等线 Light" w:cs="Times New Roman"/>
      <w:b/>
      <w:bCs/>
      <w:sz w:val="32"/>
      <w:szCs w:val="32"/>
    </w:rPr>
  </w:style>
  <w:style w:type="character" w:customStyle="1" w:styleId="122">
    <w:name w:val="UserStyle_63"/>
    <w:link w:val="1"/>
    <w:autoRedefine/>
    <w:qFormat/>
    <w:uiPriority w:val="0"/>
    <w:rPr>
      <w:rFonts w:ascii="Tahoma" w:hAnsi="Tahoma" w:eastAsia="宋体"/>
      <w:b/>
      <w:color w:val="000000"/>
      <w:kern w:val="2"/>
      <w:sz w:val="24"/>
      <w:szCs w:val="24"/>
      <w:lang w:val="en-US" w:eastAsia="zh-CN" w:bidi="ar-SA"/>
    </w:rPr>
  </w:style>
  <w:style w:type="character" w:customStyle="1" w:styleId="123">
    <w:name w:val="UserStyle_64"/>
    <w:link w:val="1"/>
    <w:autoRedefine/>
    <w:semiHidden/>
    <w:qFormat/>
    <w:uiPriority w:val="0"/>
    <w:rPr>
      <w:rFonts w:ascii="Calibri" w:hAnsi="Calibri" w:eastAsia="宋体"/>
      <w:sz w:val="18"/>
      <w:szCs w:val="18"/>
    </w:rPr>
  </w:style>
  <w:style w:type="character" w:customStyle="1" w:styleId="124">
    <w:name w:val="UserStyle_65"/>
    <w:link w:val="125"/>
    <w:qFormat/>
    <w:uiPriority w:val="0"/>
    <w:rPr>
      <w:rFonts w:ascii="宋体" w:hAnsi="Courier New" w:eastAsia="宋体"/>
      <w:szCs w:val="20"/>
    </w:rPr>
  </w:style>
  <w:style w:type="paragraph" w:customStyle="1" w:styleId="125">
    <w:name w:val="PlainText"/>
    <w:basedOn w:val="1"/>
    <w:link w:val="124"/>
    <w:autoRedefine/>
    <w:qFormat/>
    <w:uiPriority w:val="0"/>
    <w:pPr>
      <w:jc w:val="both"/>
      <w:textAlignment w:val="baseline"/>
    </w:pPr>
    <w:rPr>
      <w:rFonts w:ascii="宋体" w:hAnsi="Courier New"/>
      <w:kern w:val="0"/>
      <w:sz w:val="20"/>
      <w:szCs w:val="20"/>
      <w:lang w:val="en-US" w:eastAsia="zh-CN" w:bidi="ar-SA"/>
    </w:rPr>
  </w:style>
  <w:style w:type="character" w:customStyle="1" w:styleId="126">
    <w:name w:val="UserStyle_66"/>
    <w:link w:val="1"/>
    <w:autoRedefine/>
    <w:semiHidden/>
    <w:qFormat/>
    <w:uiPriority w:val="0"/>
    <w:rPr>
      <w:rFonts w:ascii="Calibri" w:hAnsi="Calibri" w:eastAsia="宋体"/>
      <w:sz w:val="18"/>
      <w:szCs w:val="18"/>
    </w:rPr>
  </w:style>
  <w:style w:type="character" w:customStyle="1" w:styleId="127">
    <w:name w:val="UserStyle_67"/>
    <w:link w:val="1"/>
    <w:qFormat/>
    <w:uiPriority w:val="0"/>
    <w:rPr>
      <w:rFonts w:ascii="Verdana" w:hAnsi="Verdana" w:eastAsia="宋体" w:cs="Times New Roman"/>
      <w:b/>
      <w:bCs/>
      <w:kern w:val="2"/>
      <w:sz w:val="21"/>
      <w:szCs w:val="24"/>
      <w:lang w:eastAsia="en-US"/>
    </w:rPr>
  </w:style>
  <w:style w:type="character" w:customStyle="1" w:styleId="128">
    <w:name w:val="UserStyle_68"/>
    <w:link w:val="36"/>
    <w:autoRedefine/>
    <w:qFormat/>
    <w:uiPriority w:val="0"/>
    <w:rPr>
      <w:rFonts w:ascii="宋体" w:hAnsi="宋体" w:eastAsia="宋体"/>
      <w:kern w:val="0"/>
      <w:sz w:val="27"/>
      <w:szCs w:val="27"/>
    </w:rPr>
  </w:style>
  <w:style w:type="character" w:customStyle="1" w:styleId="129">
    <w:name w:val="UserStyle_69"/>
    <w:link w:val="130"/>
    <w:autoRedefine/>
    <w:qFormat/>
    <w:locked/>
    <w:uiPriority w:val="0"/>
    <w:rPr>
      <w:rFonts w:ascii="黑体" w:hAnsi="Calibri" w:eastAsia="黑体"/>
      <w:sz w:val="21"/>
    </w:rPr>
  </w:style>
  <w:style w:type="paragraph" w:customStyle="1" w:styleId="130">
    <w:name w:val="UserStyle_70"/>
    <w:basedOn w:val="1"/>
    <w:next w:val="83"/>
    <w:link w:val="129"/>
    <w:autoRedefine/>
    <w:qFormat/>
    <w:uiPriority w:val="0"/>
    <w:pPr>
      <w:widowControl/>
      <w:jc w:val="both"/>
      <w:textAlignment w:val="baseline"/>
    </w:pPr>
    <w:rPr>
      <w:rFonts w:ascii="黑体" w:eastAsia="黑体"/>
      <w:kern w:val="0"/>
      <w:sz w:val="21"/>
      <w:szCs w:val="20"/>
      <w:lang w:val="en-US" w:eastAsia="zh-CN" w:bidi="ar-SA"/>
    </w:rPr>
  </w:style>
  <w:style w:type="character" w:customStyle="1" w:styleId="131">
    <w:name w:val="UserStyle_71"/>
    <w:link w:val="132"/>
    <w:autoRedefine/>
    <w:qFormat/>
    <w:uiPriority w:val="0"/>
    <w:rPr>
      <w:rFonts w:ascii="宋体" w:hAnsi="宋体" w:eastAsia="宋体"/>
      <w:color w:val="000000"/>
      <w:kern w:val="2"/>
      <w:sz w:val="24"/>
      <w:szCs w:val="24"/>
    </w:rPr>
  </w:style>
  <w:style w:type="paragraph" w:customStyle="1" w:styleId="132">
    <w:name w:val="UserStyle_72"/>
    <w:basedOn w:val="1"/>
    <w:link w:val="131"/>
    <w:autoRedefine/>
    <w:qFormat/>
    <w:uiPriority w:val="0"/>
    <w:pPr>
      <w:ind w:firstLine="200" w:firstLineChars="200"/>
      <w:jc w:val="both"/>
      <w:textAlignment w:val="baseline"/>
    </w:pPr>
    <w:rPr>
      <w:rFonts w:ascii="宋体" w:hAnsi="宋体"/>
      <w:color w:val="000000"/>
      <w:kern w:val="2"/>
      <w:sz w:val="24"/>
      <w:szCs w:val="24"/>
      <w:lang w:val="en-US" w:eastAsia="zh-CN" w:bidi="ar-SA"/>
    </w:rPr>
  </w:style>
  <w:style w:type="character" w:customStyle="1" w:styleId="133">
    <w:name w:val="UserStyle_73"/>
    <w:link w:val="134"/>
    <w:autoRedefine/>
    <w:qFormat/>
    <w:uiPriority w:val="0"/>
    <w:rPr>
      <w:rFonts w:ascii="Arial Unicode MS" w:hAnsi="Arial Unicode MS" w:eastAsia="Arial Unicode MS"/>
      <w:spacing w:val="10"/>
      <w:sz w:val="17"/>
      <w:szCs w:val="17"/>
    </w:rPr>
  </w:style>
  <w:style w:type="paragraph" w:customStyle="1" w:styleId="134">
    <w:name w:val="UserStyle_74"/>
    <w:basedOn w:val="1"/>
    <w:link w:val="133"/>
    <w:autoRedefine/>
    <w:qFormat/>
    <w:uiPriority w:val="0"/>
    <w:pPr>
      <w:shd w:val="clear" w:color="auto" w:fill="FFFFFF"/>
      <w:spacing w:after="60" w:line="240" w:lineRule="atLeast"/>
      <w:ind w:hanging="940"/>
      <w:jc w:val="left"/>
      <w:textAlignment w:val="baseline"/>
    </w:pPr>
    <w:rPr>
      <w:rFonts w:ascii="Arial Unicode MS" w:hAnsi="Arial Unicode MS" w:eastAsia="Arial Unicode MS"/>
      <w:spacing w:val="10"/>
      <w:kern w:val="0"/>
      <w:sz w:val="17"/>
      <w:szCs w:val="17"/>
      <w:lang w:val="en-US" w:eastAsia="zh-CN" w:bidi="ar-SA"/>
    </w:rPr>
  </w:style>
  <w:style w:type="character" w:customStyle="1" w:styleId="135">
    <w:name w:val="UserStyle_75"/>
    <w:link w:val="1"/>
    <w:autoRedefine/>
    <w:semiHidden/>
    <w:qFormat/>
    <w:locked/>
    <w:uiPriority w:val="0"/>
    <w:rPr>
      <w:rFonts w:ascii="宋体" w:hAnsi="宋体" w:eastAsia="宋体"/>
      <w:sz w:val="24"/>
    </w:rPr>
  </w:style>
  <w:style w:type="character" w:customStyle="1" w:styleId="136">
    <w:name w:val="UserStyle_76"/>
    <w:link w:val="1"/>
    <w:autoRedefine/>
    <w:semiHidden/>
    <w:qFormat/>
    <w:uiPriority w:val="0"/>
    <w:rPr>
      <w:rFonts w:ascii="Calibri" w:hAnsi="Calibri" w:eastAsia="宋体" w:cs="Times New Roman"/>
      <w:b/>
      <w:bCs/>
      <w:sz w:val="28"/>
      <w:szCs w:val="28"/>
    </w:rPr>
  </w:style>
  <w:style w:type="character" w:customStyle="1" w:styleId="137">
    <w:name w:val="UserStyle_77"/>
    <w:link w:val="35"/>
    <w:autoRedefine/>
    <w:qFormat/>
    <w:uiPriority w:val="0"/>
    <w:rPr>
      <w:rFonts w:ascii="Times New Roman" w:hAnsi="Times New Roman" w:eastAsia="宋体"/>
      <w:kern w:val="2"/>
      <w:sz w:val="21"/>
    </w:rPr>
  </w:style>
  <w:style w:type="character" w:customStyle="1" w:styleId="138">
    <w:name w:val="UserStyle_78"/>
    <w:link w:val="139"/>
    <w:autoRedefine/>
    <w:qFormat/>
    <w:uiPriority w:val="0"/>
    <w:rPr>
      <w:rFonts w:ascii="Calibri" w:hAnsi="Calibri" w:eastAsia="宋体"/>
      <w:spacing w:val="4"/>
      <w:sz w:val="24"/>
      <w:szCs w:val="24"/>
    </w:rPr>
  </w:style>
  <w:style w:type="paragraph" w:customStyle="1" w:styleId="139">
    <w:name w:val="UserStyle_79"/>
    <w:basedOn w:val="1"/>
    <w:link w:val="138"/>
    <w:autoRedefine/>
    <w:qFormat/>
    <w:uiPriority w:val="0"/>
    <w:pPr>
      <w:widowControl/>
      <w:topLinePunct/>
      <w:snapToGrid w:val="0"/>
      <w:spacing w:after="200" w:line="360" w:lineRule="auto"/>
      <w:ind w:firstLine="200" w:firstLineChars="200"/>
      <w:jc w:val="left"/>
      <w:textAlignment w:val="baseline"/>
    </w:pPr>
    <w:rPr>
      <w:spacing w:val="4"/>
      <w:kern w:val="0"/>
      <w:sz w:val="24"/>
      <w:szCs w:val="24"/>
      <w:lang w:val="en-US" w:eastAsia="zh-CN" w:bidi="ar-SA"/>
    </w:rPr>
  </w:style>
  <w:style w:type="character" w:customStyle="1" w:styleId="140">
    <w:name w:val="UserStyle_80"/>
    <w:link w:val="1"/>
    <w:autoRedefine/>
    <w:semiHidden/>
    <w:qFormat/>
    <w:uiPriority w:val="0"/>
    <w:rPr>
      <w:rFonts w:ascii="等线 Light" w:hAnsi="等线 Light" w:eastAsia="等线 Light" w:cs="Times New Roman"/>
      <w:b/>
      <w:bCs/>
      <w:sz w:val="28"/>
      <w:szCs w:val="28"/>
    </w:rPr>
  </w:style>
  <w:style w:type="character" w:customStyle="1" w:styleId="141">
    <w:name w:val="UserStyle_81"/>
    <w:link w:val="42"/>
    <w:autoRedefine/>
    <w:qFormat/>
    <w:uiPriority w:val="0"/>
    <w:rPr>
      <w:rFonts w:ascii="Arial" w:hAnsi="Arial" w:eastAsia="黑体"/>
    </w:rPr>
  </w:style>
  <w:style w:type="character" w:customStyle="1" w:styleId="142">
    <w:name w:val="UserStyle_82"/>
    <w:link w:val="1"/>
    <w:autoRedefine/>
    <w:qFormat/>
    <w:uiPriority w:val="0"/>
    <w:rPr>
      <w:kern w:val="2"/>
      <w:sz w:val="21"/>
      <w:szCs w:val="21"/>
    </w:rPr>
  </w:style>
  <w:style w:type="character" w:customStyle="1" w:styleId="143">
    <w:name w:val="UserStyle_83"/>
    <w:link w:val="144"/>
    <w:autoRedefine/>
    <w:qFormat/>
    <w:uiPriority w:val="0"/>
    <w:rPr>
      <w:rFonts w:ascii="Times New Roman" w:hAnsi="Times New Roman" w:eastAsia="宋体"/>
      <w:color w:val="000000"/>
      <w:sz w:val="24"/>
      <w:szCs w:val="20"/>
    </w:rPr>
  </w:style>
  <w:style w:type="paragraph" w:customStyle="1" w:styleId="144">
    <w:name w:val="BodyTextIndent3"/>
    <w:basedOn w:val="1"/>
    <w:link w:val="143"/>
    <w:autoRedefine/>
    <w:qFormat/>
    <w:uiPriority w:val="0"/>
    <w:pPr>
      <w:numPr>
        <w:ilvl w:val="1"/>
        <w:numId w:val="0"/>
      </w:numPr>
      <w:tabs>
        <w:tab w:val="left" w:pos="0"/>
      </w:tabs>
      <w:spacing w:line="400" w:lineRule="exact"/>
      <w:ind w:left="563" w:leftChars="228" w:hanging="84" w:hangingChars="35"/>
      <w:jc w:val="both"/>
      <w:textAlignment w:val="baseline"/>
    </w:pPr>
    <w:rPr>
      <w:rFonts w:ascii="Times New Roman" w:hAnsi="Times New Roman"/>
      <w:color w:val="000000"/>
      <w:kern w:val="0"/>
      <w:sz w:val="24"/>
      <w:szCs w:val="20"/>
      <w:lang w:val="en-US" w:eastAsia="zh-CN" w:bidi="ar-SA"/>
    </w:rPr>
  </w:style>
  <w:style w:type="character" w:customStyle="1" w:styleId="145">
    <w:name w:val="UserStyle_84"/>
    <w:link w:val="1"/>
    <w:autoRedefine/>
    <w:semiHidden/>
    <w:qFormat/>
    <w:uiPriority w:val="0"/>
    <w:rPr>
      <w:rFonts w:ascii="等线 Light" w:hAnsi="等线 Light" w:eastAsia="等线 Light"/>
      <w:sz w:val="24"/>
      <w:szCs w:val="24"/>
    </w:rPr>
  </w:style>
  <w:style w:type="character" w:customStyle="1" w:styleId="146">
    <w:name w:val="UserStyle_85"/>
    <w:link w:val="147"/>
    <w:qFormat/>
    <w:uiPriority w:val="0"/>
    <w:rPr>
      <w:rFonts w:ascii="Calibri" w:hAnsi="Calibri" w:eastAsia="宋体"/>
      <w:kern w:val="2"/>
      <w:sz w:val="21"/>
      <w:szCs w:val="21"/>
    </w:rPr>
  </w:style>
  <w:style w:type="paragraph" w:customStyle="1" w:styleId="147">
    <w:name w:val="UserStyle_86"/>
    <w:next w:val="89"/>
    <w:link w:val="146"/>
    <w:autoRedefine/>
    <w:qFormat/>
    <w:uiPriority w:val="0"/>
    <w:pPr>
      <w:widowControl/>
      <w:jc w:val="center"/>
      <w:textAlignment w:val="baseline"/>
    </w:pPr>
    <w:rPr>
      <w:rFonts w:ascii="Times New Roman" w:hAnsi="Times New Roman" w:eastAsia="宋体" w:cstheme="minorBidi"/>
      <w:kern w:val="2"/>
      <w:sz w:val="21"/>
      <w:szCs w:val="21"/>
      <w:lang w:val="en-US" w:eastAsia="zh-CN" w:bidi="ar-SA"/>
    </w:rPr>
  </w:style>
  <w:style w:type="character" w:customStyle="1" w:styleId="148">
    <w:name w:val="UserStyle_87"/>
    <w:link w:val="14"/>
    <w:autoRedefine/>
    <w:qFormat/>
    <w:uiPriority w:val="0"/>
    <w:rPr>
      <w:rFonts w:ascii="Calibri" w:hAnsi="Calibri" w:eastAsia="宋体"/>
      <w:sz w:val="18"/>
      <w:szCs w:val="18"/>
    </w:rPr>
  </w:style>
  <w:style w:type="character" w:customStyle="1" w:styleId="149">
    <w:name w:val="UserStyle_88"/>
    <w:link w:val="1"/>
    <w:autoRedefine/>
    <w:qFormat/>
    <w:uiPriority w:val="0"/>
    <w:rPr>
      <w:rFonts w:ascii="Verdana" w:hAnsi="Verdana"/>
      <w:kern w:val="0"/>
      <w:sz w:val="20"/>
      <w:szCs w:val="20"/>
      <w:lang w:eastAsia="en-US"/>
    </w:rPr>
  </w:style>
  <w:style w:type="character" w:customStyle="1" w:styleId="150">
    <w:name w:val="UserStyle_89"/>
    <w:link w:val="1"/>
    <w:autoRedefine/>
    <w:qFormat/>
    <w:locked/>
    <w:uiPriority w:val="0"/>
    <w:rPr>
      <w:kern w:val="2"/>
      <w:sz w:val="21"/>
    </w:rPr>
  </w:style>
  <w:style w:type="character" w:customStyle="1" w:styleId="151">
    <w:name w:val="UserStyle_90"/>
    <w:link w:val="152"/>
    <w:autoRedefine/>
    <w:qFormat/>
    <w:uiPriority w:val="0"/>
    <w:rPr>
      <w:rFonts w:ascii="Times New Roman" w:hAnsi="Times New Roman" w:eastAsia="宋体"/>
      <w:szCs w:val="20"/>
    </w:rPr>
  </w:style>
  <w:style w:type="paragraph" w:customStyle="1" w:styleId="152">
    <w:name w:val="EndnoteText"/>
    <w:basedOn w:val="1"/>
    <w:link w:val="151"/>
    <w:autoRedefine/>
    <w:qFormat/>
    <w:uiPriority w:val="0"/>
    <w:pPr>
      <w:snapToGrid w:val="0"/>
      <w:jc w:val="left"/>
      <w:textAlignment w:val="baseline"/>
    </w:pPr>
    <w:rPr>
      <w:rFonts w:ascii="Times New Roman" w:hAnsi="Times New Roman"/>
      <w:kern w:val="0"/>
      <w:sz w:val="20"/>
      <w:szCs w:val="20"/>
      <w:lang w:val="en-US" w:eastAsia="zh-CN" w:bidi="ar-SA"/>
    </w:rPr>
  </w:style>
  <w:style w:type="character" w:customStyle="1" w:styleId="153">
    <w:name w:val="UserStyle_91"/>
    <w:link w:val="1"/>
    <w:qFormat/>
    <w:uiPriority w:val="0"/>
    <w:rPr>
      <w:rFonts w:ascii="Calibri" w:hAnsi="Calibri" w:eastAsia="宋体"/>
      <w:kern w:val="2"/>
      <w:sz w:val="21"/>
      <w:szCs w:val="22"/>
      <w:lang w:val="en-US" w:eastAsia="zh-CN" w:bidi="ar-SA"/>
    </w:rPr>
  </w:style>
  <w:style w:type="character" w:customStyle="1" w:styleId="154">
    <w:name w:val="UserStyle_92"/>
    <w:link w:val="1"/>
    <w:autoRedefine/>
    <w:qFormat/>
    <w:uiPriority w:val="0"/>
    <w:rPr>
      <w:rFonts w:ascii="MingLiU" w:hAnsi="MingLiU" w:eastAsia="MingLiU"/>
      <w:color w:val="000000"/>
      <w:spacing w:val="12"/>
      <w:position w:val="0"/>
      <w:sz w:val="21"/>
      <w:szCs w:val="21"/>
      <w:lang w:val="zh-TW"/>
    </w:rPr>
  </w:style>
  <w:style w:type="character" w:customStyle="1" w:styleId="155">
    <w:name w:val="UserStyle_93"/>
    <w:link w:val="1"/>
    <w:qFormat/>
    <w:uiPriority w:val="0"/>
    <w:rPr>
      <w:rFonts w:cs="Times New Roman"/>
      <w:b/>
      <w:bCs/>
      <w:kern w:val="2"/>
      <w:sz w:val="32"/>
      <w:szCs w:val="32"/>
    </w:rPr>
  </w:style>
  <w:style w:type="character" w:customStyle="1" w:styleId="156">
    <w:name w:val="UserStyle_94"/>
    <w:link w:val="1"/>
    <w:semiHidden/>
    <w:qFormat/>
    <w:uiPriority w:val="0"/>
    <w:rPr>
      <w:rFonts w:ascii="等线 Light" w:hAnsi="等线 Light" w:eastAsia="等线 Light"/>
      <w:szCs w:val="21"/>
    </w:rPr>
  </w:style>
  <w:style w:type="character" w:customStyle="1" w:styleId="157">
    <w:name w:val="UserStyle_95"/>
    <w:link w:val="1"/>
    <w:semiHidden/>
    <w:qFormat/>
    <w:uiPriority w:val="0"/>
    <w:rPr>
      <w:rFonts w:ascii="Calibri" w:hAnsi="Calibri" w:eastAsia="宋体"/>
    </w:rPr>
  </w:style>
  <w:style w:type="character" w:customStyle="1" w:styleId="158">
    <w:name w:val="UserStyle_96"/>
    <w:link w:val="1"/>
    <w:semiHidden/>
    <w:qFormat/>
    <w:uiPriority w:val="0"/>
    <w:rPr>
      <w:rFonts w:ascii="等线 Light" w:hAnsi="等线 Light" w:eastAsia="等线 Light" w:cs="Times New Roman"/>
      <w:b/>
      <w:bCs/>
      <w:sz w:val="24"/>
      <w:szCs w:val="24"/>
    </w:rPr>
  </w:style>
  <w:style w:type="character" w:customStyle="1" w:styleId="159">
    <w:name w:val="UserStyle_97"/>
    <w:link w:val="1"/>
    <w:qFormat/>
    <w:uiPriority w:val="0"/>
    <w:rPr>
      <w:rFonts w:ascii="Tahoma" w:hAnsi="Tahoma" w:eastAsia="宋体" w:cs="Times New Roman"/>
      <w:b/>
      <w:bCs/>
      <w:kern w:val="2"/>
      <w:sz w:val="28"/>
      <w:szCs w:val="24"/>
      <w:lang w:val="en-US" w:eastAsia="zh-CN" w:bidi="ar-SA"/>
    </w:rPr>
  </w:style>
  <w:style w:type="character" w:customStyle="1" w:styleId="160">
    <w:name w:val="UserStyle_98"/>
    <w:link w:val="31"/>
    <w:autoRedefine/>
    <w:qFormat/>
    <w:uiPriority w:val="0"/>
    <w:rPr>
      <w:rFonts w:ascii="Arial" w:hAnsi="Arial" w:eastAsia="宋体"/>
      <w:b/>
      <w:kern w:val="44"/>
      <w:sz w:val="28"/>
      <w:szCs w:val="28"/>
    </w:rPr>
  </w:style>
  <w:style w:type="character" w:customStyle="1" w:styleId="161">
    <w:name w:val="UserStyle_99"/>
    <w:link w:val="1"/>
    <w:semiHidden/>
    <w:qFormat/>
    <w:uiPriority w:val="0"/>
    <w:rPr>
      <w:rFonts w:ascii="Calibri" w:hAnsi="Calibri" w:eastAsia="宋体"/>
    </w:rPr>
  </w:style>
  <w:style w:type="character" w:customStyle="1" w:styleId="162">
    <w:name w:val="UserStyle_100"/>
    <w:link w:val="1"/>
    <w:autoRedefine/>
    <w:qFormat/>
    <w:uiPriority w:val="0"/>
    <w:rPr>
      <w:rFonts w:ascii="楷体_GB2312" w:eastAsia="楷体_GB2312"/>
      <w:kern w:val="2"/>
      <w:sz w:val="21"/>
    </w:rPr>
  </w:style>
  <w:style w:type="character" w:customStyle="1" w:styleId="163">
    <w:name w:val="UserStyle_101"/>
    <w:link w:val="164"/>
    <w:autoRedefine/>
    <w:qFormat/>
    <w:uiPriority w:val="0"/>
    <w:rPr>
      <w:rFonts w:ascii="宋体" w:hAnsi="宋体" w:eastAsia="宋体"/>
      <w:sz w:val="18"/>
      <w:szCs w:val="18"/>
    </w:rPr>
  </w:style>
  <w:style w:type="paragraph" w:customStyle="1" w:styleId="164">
    <w:name w:val="FootnoteText"/>
    <w:basedOn w:val="1"/>
    <w:link w:val="163"/>
    <w:qFormat/>
    <w:uiPriority w:val="0"/>
    <w:pPr>
      <w:snapToGrid w:val="0"/>
      <w:spacing w:line="360" w:lineRule="auto"/>
      <w:ind w:firstLine="523" w:firstLineChars="218"/>
      <w:jc w:val="left"/>
      <w:textAlignment w:val="baseline"/>
    </w:pPr>
    <w:rPr>
      <w:rFonts w:ascii="宋体" w:hAnsi="宋体"/>
      <w:kern w:val="0"/>
      <w:sz w:val="18"/>
      <w:szCs w:val="18"/>
      <w:lang w:val="en-US" w:eastAsia="zh-CN" w:bidi="ar-SA"/>
    </w:rPr>
  </w:style>
  <w:style w:type="character" w:customStyle="1" w:styleId="165">
    <w:name w:val="UserStyle_102"/>
    <w:link w:val="37"/>
    <w:autoRedefine/>
    <w:qFormat/>
    <w:uiPriority w:val="0"/>
    <w:rPr>
      <w:rFonts w:ascii="Arial" w:hAnsi="Arial" w:eastAsia="宋体"/>
      <w:color w:val="000000"/>
      <w:szCs w:val="21"/>
    </w:rPr>
  </w:style>
  <w:style w:type="character" w:customStyle="1" w:styleId="166">
    <w:name w:val="UserStyle_103"/>
    <w:link w:val="167"/>
    <w:autoRedefine/>
    <w:qFormat/>
    <w:locked/>
    <w:uiPriority w:val="0"/>
    <w:rPr>
      <w:rFonts w:ascii="宋体" w:hAnsi="宋体" w:eastAsia="宋体" w:cs="宋体"/>
      <w:b/>
      <w:bCs/>
      <w:sz w:val="32"/>
      <w:szCs w:val="32"/>
    </w:rPr>
  </w:style>
  <w:style w:type="paragraph" w:customStyle="1" w:styleId="167">
    <w:name w:val="UserStyle_104"/>
    <w:basedOn w:val="36"/>
    <w:link w:val="166"/>
    <w:qFormat/>
    <w:uiPriority w:val="0"/>
    <w:pPr>
      <w:keepNext/>
      <w:keepLines/>
      <w:spacing w:before="0" w:after="0" w:line="360" w:lineRule="auto"/>
      <w:jc w:val="both"/>
      <w:textAlignment w:val="baseline"/>
    </w:pPr>
    <w:rPr>
      <w:rFonts w:ascii="宋体" w:hAnsi="宋体" w:cs="宋体"/>
      <w:b/>
      <w:bCs/>
      <w:kern w:val="0"/>
      <w:sz w:val="32"/>
      <w:szCs w:val="32"/>
      <w:lang w:bidi="ar-SA"/>
    </w:rPr>
  </w:style>
  <w:style w:type="character" w:customStyle="1" w:styleId="168">
    <w:name w:val="UserStyle_105"/>
    <w:link w:val="33"/>
    <w:autoRedefine/>
    <w:qFormat/>
    <w:uiPriority w:val="0"/>
    <w:rPr>
      <w:rFonts w:ascii="Times New Roman" w:hAnsi="Times New Roman" w:eastAsia="宋体"/>
      <w:szCs w:val="20"/>
    </w:rPr>
  </w:style>
  <w:style w:type="character" w:customStyle="1" w:styleId="169">
    <w:name w:val="UserStyle_106"/>
    <w:link w:val="97"/>
    <w:qFormat/>
    <w:uiPriority w:val="0"/>
    <w:rPr>
      <w:rFonts w:ascii="宋体" w:hAnsi="宋体" w:eastAsia="宋体"/>
      <w:sz w:val="24"/>
      <w:szCs w:val="24"/>
    </w:rPr>
  </w:style>
  <w:style w:type="character" w:customStyle="1" w:styleId="170">
    <w:name w:val="UserStyle_107"/>
    <w:link w:val="1"/>
    <w:autoRedefine/>
    <w:semiHidden/>
    <w:qFormat/>
    <w:uiPriority w:val="0"/>
    <w:rPr>
      <w:rFonts w:ascii="Calibri" w:hAnsi="Calibri" w:eastAsia="宋体" w:cs="Times New Roman"/>
      <w:b/>
      <w:bCs/>
    </w:rPr>
  </w:style>
  <w:style w:type="character" w:customStyle="1" w:styleId="171">
    <w:name w:val="UserStyle_108"/>
    <w:link w:val="12"/>
    <w:qFormat/>
    <w:uiPriority w:val="0"/>
    <w:rPr>
      <w:rFonts w:ascii="Times New Roman" w:hAnsi="Times New Roman" w:eastAsia="宋体"/>
      <w:szCs w:val="20"/>
    </w:rPr>
  </w:style>
  <w:style w:type="character" w:customStyle="1" w:styleId="172">
    <w:name w:val="UserStyle_109"/>
    <w:link w:val="173"/>
    <w:autoRedefine/>
    <w:qFormat/>
    <w:uiPriority w:val="0"/>
    <w:rPr>
      <w:rFonts w:ascii="Arial" w:hAnsi="Arial" w:eastAsia="宋体" w:cs="Times New Roman"/>
      <w:b/>
      <w:bCs/>
      <w:kern w:val="2"/>
      <w:sz w:val="32"/>
      <w:szCs w:val="30"/>
    </w:rPr>
  </w:style>
  <w:style w:type="paragraph" w:customStyle="1" w:styleId="173">
    <w:name w:val="UserStyle_110"/>
    <w:next w:val="1"/>
    <w:link w:val="172"/>
    <w:qFormat/>
    <w:uiPriority w:val="0"/>
    <w:pPr>
      <w:keepNext/>
      <w:widowControl/>
      <w:spacing w:before="160" w:after="60"/>
      <w:textAlignment w:val="baseline"/>
    </w:pPr>
    <w:rPr>
      <w:rFonts w:ascii="Arial" w:hAnsi="Arial" w:eastAsia="宋体" w:cs="Times New Roman"/>
      <w:b/>
      <w:bCs/>
      <w:kern w:val="2"/>
      <w:sz w:val="32"/>
      <w:szCs w:val="30"/>
      <w:lang w:val="en-US" w:eastAsia="zh-CN" w:bidi="ar-SA"/>
    </w:rPr>
  </w:style>
  <w:style w:type="character" w:customStyle="1" w:styleId="174">
    <w:name w:val="UserStyle_111"/>
    <w:link w:val="32"/>
    <w:qFormat/>
    <w:uiPriority w:val="0"/>
  </w:style>
  <w:style w:type="character" w:customStyle="1" w:styleId="175">
    <w:name w:val="UserStyle_112"/>
    <w:link w:val="1"/>
    <w:semiHidden/>
    <w:qFormat/>
    <w:uiPriority w:val="0"/>
    <w:rPr>
      <w:rFonts w:ascii="等线 Light" w:hAnsi="等线 Light" w:eastAsia="等线 Light" w:cs="Times New Roman"/>
      <w:b/>
      <w:bCs/>
      <w:sz w:val="32"/>
      <w:szCs w:val="32"/>
    </w:rPr>
  </w:style>
  <w:style w:type="paragraph" w:customStyle="1" w:styleId="176">
    <w:name w:val="ListContinue2"/>
    <w:basedOn w:val="1"/>
    <w:qFormat/>
    <w:uiPriority w:val="0"/>
    <w:pPr>
      <w:spacing w:after="120"/>
      <w:ind w:left="840" w:leftChars="400"/>
      <w:contextualSpacing/>
      <w:jc w:val="both"/>
      <w:textAlignment w:val="baseline"/>
    </w:pPr>
    <w:rPr>
      <w:rFonts w:ascii="Times New Roman" w:hAnsi="Times New Roman"/>
      <w:kern w:val="2"/>
      <w:sz w:val="21"/>
      <w:szCs w:val="21"/>
      <w:lang w:val="en-US" w:eastAsia="zh-CN" w:bidi="ar-SA"/>
    </w:rPr>
  </w:style>
  <w:style w:type="paragraph" w:customStyle="1" w:styleId="177">
    <w:name w:val="TOC7"/>
    <w:basedOn w:val="1"/>
    <w:next w:val="1"/>
    <w:autoRedefine/>
    <w:qFormat/>
    <w:uiPriority w:val="0"/>
    <w:pPr>
      <w:ind w:left="2520" w:leftChars="1200"/>
      <w:jc w:val="both"/>
      <w:textAlignment w:val="baseline"/>
    </w:pPr>
    <w:rPr>
      <w:kern w:val="2"/>
      <w:sz w:val="21"/>
      <w:szCs w:val="21"/>
      <w:lang w:val="en-US" w:eastAsia="zh-CN" w:bidi="ar-SA"/>
    </w:rPr>
  </w:style>
  <w:style w:type="paragraph" w:customStyle="1" w:styleId="178">
    <w:name w:val="List3"/>
    <w:basedOn w:val="1"/>
    <w:qFormat/>
    <w:uiPriority w:val="0"/>
    <w:pPr>
      <w:ind w:left="100" w:leftChars="400" w:hanging="200" w:hangingChars="200"/>
      <w:jc w:val="both"/>
      <w:textAlignment w:val="baseline"/>
    </w:pPr>
    <w:rPr>
      <w:rFonts w:ascii="Times New Roman" w:hAnsi="Times New Roman"/>
      <w:kern w:val="2"/>
      <w:sz w:val="21"/>
      <w:szCs w:val="24"/>
      <w:lang w:val="en-US" w:eastAsia="zh-CN" w:bidi="ar-SA"/>
    </w:rPr>
  </w:style>
  <w:style w:type="paragraph" w:customStyle="1" w:styleId="179">
    <w:name w:val="TOC1"/>
    <w:basedOn w:val="1"/>
    <w:next w:val="1"/>
    <w:qFormat/>
    <w:uiPriority w:val="0"/>
    <w:pPr>
      <w:tabs>
        <w:tab w:val="right" w:leader="dot" w:pos="9060"/>
      </w:tabs>
      <w:snapToGrid w:val="0"/>
      <w:spacing w:line="360" w:lineRule="auto"/>
      <w:jc w:val="left"/>
      <w:textAlignment w:val="baseline"/>
    </w:pPr>
    <w:rPr>
      <w:rFonts w:ascii="宋体" w:hAnsi="宋体"/>
      <w:caps/>
      <w:kern w:val="0"/>
      <w:sz w:val="24"/>
      <w:szCs w:val="32"/>
      <w:lang w:val="en-US" w:eastAsia="zh-CN" w:bidi="ar-SA"/>
    </w:rPr>
  </w:style>
  <w:style w:type="paragraph" w:customStyle="1" w:styleId="180">
    <w:name w:val="HtmlNormal"/>
    <w:basedOn w:val="1"/>
    <w:qFormat/>
    <w:uiPriority w:val="0"/>
    <w:pPr>
      <w:jc w:val="both"/>
      <w:textAlignment w:val="baseline"/>
    </w:pPr>
    <w:rPr>
      <w:rFonts w:ascii="Times New Roman" w:hAnsi="Times New Roman"/>
      <w:kern w:val="2"/>
      <w:sz w:val="24"/>
      <w:szCs w:val="24"/>
      <w:lang w:val="en-US" w:eastAsia="zh-CN" w:bidi="ar-SA"/>
    </w:rPr>
  </w:style>
  <w:style w:type="paragraph" w:customStyle="1" w:styleId="181">
    <w:name w:val="TOC2"/>
    <w:basedOn w:val="1"/>
    <w:next w:val="1"/>
    <w:qFormat/>
    <w:uiPriority w:val="0"/>
    <w:pPr>
      <w:tabs>
        <w:tab w:val="right" w:leader="dot" w:pos="9060"/>
      </w:tabs>
      <w:snapToGrid w:val="0"/>
      <w:spacing w:line="360" w:lineRule="auto"/>
      <w:ind w:left="420" w:leftChars="200"/>
      <w:jc w:val="left"/>
      <w:textAlignment w:val="baseline"/>
    </w:pPr>
    <w:rPr>
      <w:rFonts w:ascii="Times New Roman" w:hAnsi="Times New Roman"/>
      <w:kern w:val="2"/>
      <w:sz w:val="24"/>
      <w:szCs w:val="24"/>
      <w:lang w:bidi="ar-SA"/>
    </w:rPr>
  </w:style>
  <w:style w:type="paragraph" w:customStyle="1" w:styleId="182">
    <w:name w:val="TOC4"/>
    <w:basedOn w:val="1"/>
    <w:next w:val="1"/>
    <w:qFormat/>
    <w:uiPriority w:val="0"/>
    <w:pPr>
      <w:ind w:left="1260" w:leftChars="600"/>
      <w:jc w:val="both"/>
      <w:textAlignment w:val="baseline"/>
    </w:pPr>
    <w:rPr>
      <w:kern w:val="2"/>
      <w:sz w:val="21"/>
      <w:szCs w:val="21"/>
      <w:lang w:val="en-US" w:eastAsia="zh-CN" w:bidi="ar-SA"/>
    </w:rPr>
  </w:style>
  <w:style w:type="paragraph" w:customStyle="1" w:styleId="183">
    <w:name w:val="TOC8"/>
    <w:basedOn w:val="1"/>
    <w:next w:val="1"/>
    <w:autoRedefine/>
    <w:qFormat/>
    <w:uiPriority w:val="0"/>
    <w:pPr>
      <w:ind w:left="2940" w:leftChars="1400"/>
      <w:jc w:val="both"/>
      <w:textAlignment w:val="baseline"/>
    </w:pPr>
    <w:rPr>
      <w:kern w:val="2"/>
      <w:sz w:val="21"/>
      <w:szCs w:val="21"/>
      <w:lang w:val="en-US" w:eastAsia="zh-CN" w:bidi="ar-SA"/>
    </w:rPr>
  </w:style>
  <w:style w:type="paragraph" w:customStyle="1" w:styleId="184">
    <w:name w:val="List2"/>
    <w:basedOn w:val="1"/>
    <w:qFormat/>
    <w:uiPriority w:val="0"/>
    <w:pPr>
      <w:ind w:left="100" w:leftChars="200" w:hanging="200" w:hangingChars="200"/>
      <w:contextualSpacing/>
      <w:jc w:val="both"/>
      <w:textAlignment w:val="baseline"/>
    </w:pPr>
    <w:rPr>
      <w:rFonts w:ascii="Times New Roman" w:hAnsi="Times New Roman"/>
      <w:kern w:val="2"/>
      <w:sz w:val="21"/>
      <w:szCs w:val="21"/>
      <w:lang w:val="en-US" w:eastAsia="zh-CN" w:bidi="ar-SA"/>
    </w:rPr>
  </w:style>
  <w:style w:type="paragraph" w:customStyle="1" w:styleId="185">
    <w:name w:val="ListBullet3"/>
    <w:basedOn w:val="1"/>
    <w:qFormat/>
    <w:uiPriority w:val="0"/>
    <w:pPr>
      <w:tabs>
        <w:tab w:val="left" w:pos="425"/>
      </w:tabs>
      <w:ind w:left="425" w:hanging="425"/>
      <w:jc w:val="both"/>
      <w:textAlignment w:val="baseline"/>
    </w:pPr>
    <w:rPr>
      <w:rFonts w:ascii="Times New Roman" w:hAnsi="Times New Roman"/>
      <w:kern w:val="2"/>
      <w:sz w:val="21"/>
      <w:szCs w:val="24"/>
      <w:lang w:val="en-US" w:eastAsia="zh-CN" w:bidi="ar-SA"/>
    </w:rPr>
  </w:style>
  <w:style w:type="paragraph" w:customStyle="1" w:styleId="186">
    <w:name w:val="TOC9"/>
    <w:basedOn w:val="1"/>
    <w:next w:val="1"/>
    <w:autoRedefine/>
    <w:qFormat/>
    <w:uiPriority w:val="0"/>
    <w:pPr>
      <w:ind w:left="3360" w:leftChars="1600"/>
      <w:jc w:val="both"/>
      <w:textAlignment w:val="baseline"/>
    </w:pPr>
    <w:rPr>
      <w:kern w:val="2"/>
      <w:sz w:val="21"/>
      <w:szCs w:val="21"/>
      <w:lang w:val="en-US" w:eastAsia="zh-CN" w:bidi="ar-SA"/>
    </w:rPr>
  </w:style>
  <w:style w:type="paragraph" w:customStyle="1" w:styleId="187">
    <w:name w:val="BlockQuote"/>
    <w:basedOn w:val="1"/>
    <w:autoRedefine/>
    <w:qFormat/>
    <w:uiPriority w:val="0"/>
    <w:pPr>
      <w:spacing w:line="360" w:lineRule="auto"/>
      <w:ind w:left="1560" w:right="1466" w:hanging="240"/>
      <w:jc w:val="both"/>
      <w:textAlignment w:val="baseline"/>
    </w:pPr>
    <w:rPr>
      <w:rFonts w:ascii="Times New Roman" w:hAnsi="Times New Roman"/>
      <w:color w:val="000000"/>
      <w:kern w:val="0"/>
      <w:sz w:val="24"/>
      <w:szCs w:val="20"/>
      <w:lang w:val="en-US" w:eastAsia="zh-CN" w:bidi="ar-SA"/>
    </w:rPr>
  </w:style>
  <w:style w:type="paragraph" w:customStyle="1" w:styleId="188">
    <w:name w:val="Index1"/>
    <w:basedOn w:val="1"/>
    <w:next w:val="1"/>
    <w:autoRedefine/>
    <w:qFormat/>
    <w:uiPriority w:val="0"/>
    <w:pPr>
      <w:jc w:val="both"/>
      <w:textAlignment w:val="baseline"/>
    </w:pPr>
    <w:rPr>
      <w:rFonts w:ascii="Times New Roman" w:hAnsi="Times New Roman" w:eastAsia="仿宋_GB2312"/>
      <w:kern w:val="2"/>
      <w:sz w:val="28"/>
      <w:szCs w:val="20"/>
      <w:lang w:val="en-US" w:eastAsia="zh-CN" w:bidi="ar-SA"/>
    </w:rPr>
  </w:style>
  <w:style w:type="paragraph" w:customStyle="1" w:styleId="189">
    <w:name w:val="TOC5"/>
    <w:basedOn w:val="1"/>
    <w:next w:val="1"/>
    <w:autoRedefine/>
    <w:qFormat/>
    <w:uiPriority w:val="0"/>
    <w:pPr>
      <w:ind w:left="1680" w:leftChars="800"/>
      <w:jc w:val="both"/>
      <w:textAlignment w:val="baseline"/>
    </w:pPr>
    <w:rPr>
      <w:kern w:val="2"/>
      <w:sz w:val="21"/>
      <w:szCs w:val="21"/>
      <w:lang w:val="en-US" w:eastAsia="zh-CN" w:bidi="ar-SA"/>
    </w:rPr>
  </w:style>
  <w:style w:type="paragraph" w:customStyle="1" w:styleId="190">
    <w:name w:val="TOC6"/>
    <w:basedOn w:val="1"/>
    <w:next w:val="1"/>
    <w:autoRedefine/>
    <w:qFormat/>
    <w:uiPriority w:val="0"/>
    <w:pPr>
      <w:ind w:left="2100" w:leftChars="1000"/>
      <w:jc w:val="both"/>
      <w:textAlignment w:val="baseline"/>
    </w:pPr>
    <w:rPr>
      <w:kern w:val="2"/>
      <w:sz w:val="21"/>
      <w:szCs w:val="21"/>
      <w:lang w:val="en-US" w:eastAsia="zh-CN" w:bidi="ar-SA"/>
    </w:rPr>
  </w:style>
  <w:style w:type="paragraph" w:customStyle="1" w:styleId="191">
    <w:name w:val="TOC3"/>
    <w:basedOn w:val="1"/>
    <w:next w:val="1"/>
    <w:autoRedefine/>
    <w:qFormat/>
    <w:uiPriority w:val="0"/>
    <w:pPr>
      <w:snapToGrid w:val="0"/>
      <w:spacing w:line="360" w:lineRule="auto"/>
      <w:ind w:left="400" w:leftChars="400"/>
      <w:jc w:val="left"/>
      <w:textAlignment w:val="baseline"/>
    </w:pPr>
    <w:rPr>
      <w:rFonts w:ascii="Times New Roman" w:hAnsi="Times New Roman"/>
      <w:kern w:val="2"/>
      <w:sz w:val="24"/>
      <w:szCs w:val="20"/>
      <w:lang w:val="en-US" w:eastAsia="zh-CN" w:bidi="ar-SA"/>
    </w:rPr>
  </w:style>
  <w:style w:type="paragraph" w:customStyle="1" w:styleId="192">
    <w:name w:val="UserStyle_113"/>
    <w:qFormat/>
    <w:uiPriority w:val="0"/>
    <w:pPr>
      <w:widowControl/>
      <w:tabs>
        <w:tab w:val="left" w:pos="630"/>
      </w:tabs>
      <w:spacing w:before="120" w:after="120" w:line="480" w:lineRule="exact"/>
      <w:textAlignment w:val="baseline"/>
    </w:pPr>
    <w:rPr>
      <w:rFonts w:ascii="宋体" w:hAnsi="Times New Roman" w:eastAsia="宋体" w:cstheme="minorBidi"/>
      <w:b/>
      <w:spacing w:val="10"/>
      <w:w w:val="95"/>
      <w:sz w:val="24"/>
      <w:lang w:val="en-US" w:eastAsia="zh-CN" w:bidi="ar-SA"/>
    </w:rPr>
  </w:style>
  <w:style w:type="paragraph" w:customStyle="1" w:styleId="193">
    <w:name w:val="UserStyle_114"/>
    <w:next w:val="89"/>
    <w:qFormat/>
    <w:uiPriority w:val="0"/>
    <w:pPr>
      <w:keepNext/>
      <w:widowControl/>
      <w:spacing w:before="160" w:after="60"/>
      <w:textAlignment w:val="baseline"/>
    </w:pPr>
    <w:rPr>
      <w:rFonts w:ascii="Arial Black" w:hAnsi="Arial Black" w:eastAsia="黑体" w:cstheme="minorBidi"/>
      <w:kern w:val="2"/>
      <w:sz w:val="32"/>
      <w:szCs w:val="24"/>
      <w:lang w:val="en-US" w:eastAsia="zh-CN" w:bidi="ar-SA"/>
    </w:rPr>
  </w:style>
  <w:style w:type="paragraph" w:customStyle="1" w:styleId="194">
    <w:name w:val="UserStyle_115"/>
    <w:basedOn w:val="139"/>
    <w:next w:val="139"/>
    <w:qFormat/>
    <w:uiPriority w:val="0"/>
    <w:pPr>
      <w:widowControl/>
      <w:topLinePunct/>
      <w:snapToGrid w:val="0"/>
      <w:spacing w:after="200" w:line="360" w:lineRule="auto"/>
      <w:ind w:firstLine="200" w:firstLineChars="200"/>
      <w:jc w:val="left"/>
      <w:textAlignment w:val="baseline"/>
    </w:pPr>
    <w:rPr>
      <w:rFonts w:ascii="Calibri" w:hAnsi="Calibri"/>
      <w:spacing w:val="4"/>
      <w:kern w:val="0"/>
      <w:sz w:val="30"/>
      <w:szCs w:val="30"/>
      <w:lang w:val="en-US" w:eastAsia="zh-CN" w:bidi="ar-SA"/>
    </w:rPr>
  </w:style>
  <w:style w:type="paragraph" w:customStyle="1" w:styleId="195">
    <w:name w:val="UserStyle_116"/>
    <w:basedOn w:val="1"/>
    <w:autoRedefine/>
    <w:qFormat/>
    <w:uiPriority w:val="0"/>
    <w:pPr>
      <w:widowControl/>
      <w:spacing w:before="100" w:beforeAutospacing="1" w:after="100" w:afterAutospacing="1"/>
      <w:jc w:val="both"/>
      <w:textAlignment w:val="baseline"/>
    </w:pPr>
    <w:rPr>
      <w:rFonts w:ascii="黑体" w:hAnsi="Arial Unicode MS" w:eastAsia="黑体"/>
      <w:kern w:val="0"/>
      <w:sz w:val="21"/>
      <w:szCs w:val="21"/>
      <w:lang w:val="en-US" w:eastAsia="zh-CN" w:bidi="ar-SA"/>
    </w:rPr>
  </w:style>
  <w:style w:type="paragraph" w:customStyle="1" w:styleId="196">
    <w:name w:val="UserStyle_117"/>
    <w:basedOn w:val="33"/>
    <w:autoRedefine/>
    <w:qFormat/>
    <w:uiPriority w:val="0"/>
    <w:pPr>
      <w:numPr>
        <w:ilvl w:val="1"/>
        <w:numId w:val="3"/>
      </w:numPr>
      <w:tabs>
        <w:tab w:val="left" w:pos="840"/>
      </w:tabs>
      <w:spacing w:after="120" w:line="300" w:lineRule="auto"/>
      <w:ind w:left="840"/>
      <w:jc w:val="both"/>
      <w:textAlignment w:val="baseline"/>
    </w:pPr>
    <w:rPr>
      <w:rFonts w:ascii="宋体" w:hAnsi="宋体"/>
      <w:b/>
      <w:spacing w:val="2"/>
      <w:kern w:val="2"/>
      <w:sz w:val="28"/>
      <w:szCs w:val="28"/>
      <w:lang w:val="en-US" w:eastAsia="zh-CN" w:bidi="ar-SA"/>
    </w:rPr>
  </w:style>
  <w:style w:type="paragraph" w:customStyle="1" w:styleId="197">
    <w:name w:val="UserStyle_118"/>
    <w:basedOn w:val="1"/>
    <w:qFormat/>
    <w:uiPriority w:val="0"/>
    <w:pPr>
      <w:spacing w:before="120" w:after="120" w:line="480" w:lineRule="exact"/>
      <w:jc w:val="left"/>
      <w:textAlignment w:val="baseline"/>
    </w:pPr>
    <w:rPr>
      <w:rFonts w:ascii="宋体" w:hAnsi="Times New Roman"/>
      <w:b/>
      <w:spacing w:val="10"/>
      <w:w w:val="95"/>
      <w:kern w:val="2"/>
      <w:sz w:val="21"/>
      <w:szCs w:val="24"/>
      <w:lang w:val="en-US" w:eastAsia="zh-CN" w:bidi="ar-SA"/>
    </w:rPr>
  </w:style>
  <w:style w:type="paragraph" w:customStyle="1" w:styleId="198">
    <w:name w:val="UserStyle_119"/>
    <w:basedOn w:val="1"/>
    <w:autoRedefine/>
    <w:qFormat/>
    <w:uiPriority w:val="0"/>
    <w:pPr>
      <w:widowControl/>
      <w:pBdr>
        <w:top w:val="single" w:color="000000" w:sz="4" w:space="0"/>
        <w:left w:val="single" w:color="000000" w:sz="4" w:space="0"/>
        <w:bottom w:val="single" w:color="000000" w:sz="4" w:space="0"/>
      </w:pBdr>
      <w:shd w:val="clear" w:color="auto" w:fill="FFFFFF"/>
      <w:spacing w:before="100" w:beforeAutospacing="1" w:after="100" w:afterAutospacing="1"/>
      <w:jc w:val="center"/>
      <w:textAlignment w:val="center"/>
    </w:pPr>
    <w:rPr>
      <w:rFonts w:ascii="宋体" w:hAnsi="宋体"/>
      <w:kern w:val="0"/>
      <w:sz w:val="24"/>
      <w:szCs w:val="24"/>
      <w:lang w:val="en-US" w:eastAsia="zh-CN" w:bidi="ar-SA"/>
    </w:rPr>
  </w:style>
  <w:style w:type="paragraph" w:customStyle="1" w:styleId="199">
    <w:name w:val="UserStyle_120"/>
    <w:basedOn w:val="125"/>
    <w:autoRedefine/>
    <w:qFormat/>
    <w:uiPriority w:val="0"/>
    <w:pPr>
      <w:spacing w:line="480" w:lineRule="atLeast"/>
      <w:ind w:firstLine="480" w:firstLineChars="200"/>
      <w:jc w:val="both"/>
      <w:textAlignment w:val="baseline"/>
    </w:pPr>
    <w:rPr>
      <w:rFonts w:ascii="宋体" w:hAnsi="宋体"/>
      <w:kern w:val="2"/>
      <w:sz w:val="24"/>
      <w:szCs w:val="24"/>
      <w:lang w:val="en-US" w:eastAsia="zh-CN" w:bidi="ar-SA"/>
    </w:rPr>
  </w:style>
  <w:style w:type="paragraph" w:customStyle="1" w:styleId="200">
    <w:name w:val="UserStyle_121"/>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textAlignment w:val="center"/>
    </w:pPr>
    <w:rPr>
      <w:rFonts w:ascii="宋体" w:hAnsi="宋体"/>
      <w:kern w:val="0"/>
      <w:sz w:val="18"/>
      <w:szCs w:val="18"/>
      <w:lang w:val="en-US" w:eastAsia="zh-CN" w:bidi="ar-SA"/>
    </w:rPr>
  </w:style>
  <w:style w:type="paragraph" w:customStyle="1" w:styleId="201">
    <w:name w:val="UserStyle_122"/>
    <w:qFormat/>
    <w:uiPriority w:val="0"/>
    <w:pPr>
      <w:spacing w:line="360" w:lineRule="atLeast"/>
      <w:textAlignment w:val="baseline"/>
    </w:pPr>
    <w:rPr>
      <w:rFonts w:ascii="Arial" w:hAnsi="Times New Roman" w:eastAsia="宋体" w:cstheme="minorBidi"/>
      <w:sz w:val="34"/>
      <w:lang w:val="en-US" w:eastAsia="zh-CN" w:bidi="ar-SA"/>
    </w:rPr>
  </w:style>
  <w:style w:type="paragraph" w:customStyle="1" w:styleId="202">
    <w:name w:val="UserStyle_123"/>
    <w:basedOn w:val="89"/>
    <w:qFormat/>
    <w:uiPriority w:val="0"/>
    <w:pPr>
      <w:widowControl/>
      <w:numPr>
        <w:ilvl w:val="0"/>
        <w:numId w:val="4"/>
      </w:numPr>
      <w:tabs>
        <w:tab w:val="left" w:pos="360"/>
        <w:tab w:val="left" w:pos="425"/>
        <w:tab w:val="left" w:pos="900"/>
        <w:tab w:val="left" w:pos="1060"/>
      </w:tabs>
      <w:spacing w:line="360" w:lineRule="auto"/>
      <w:ind w:left="900" w:hanging="420"/>
      <w:textAlignment w:val="baseline"/>
    </w:pPr>
  </w:style>
  <w:style w:type="paragraph" w:customStyle="1" w:styleId="203">
    <w:name w:val="UserStyle_124"/>
    <w:basedOn w:val="1"/>
    <w:autoRedefine/>
    <w:qFormat/>
    <w:uiPriority w:val="0"/>
    <w:pPr>
      <w:tabs>
        <w:tab w:val="left" w:pos="240"/>
        <w:tab w:val="left" w:pos="1080"/>
        <w:tab w:val="left" w:pos="1140"/>
      </w:tabs>
      <w:jc w:val="both"/>
      <w:textAlignment w:val="baseline"/>
    </w:pPr>
    <w:rPr>
      <w:rFonts w:ascii="Times New Roman" w:hAnsi="Times New Roman" w:eastAsia="PMingLiU"/>
      <w:kern w:val="0"/>
      <w:sz w:val="24"/>
      <w:szCs w:val="24"/>
      <w:lang w:val="en-US" w:eastAsia="zh-TW" w:bidi="ar-SA"/>
    </w:rPr>
  </w:style>
  <w:style w:type="paragraph" w:customStyle="1" w:styleId="204">
    <w:name w:val="UserStyle_125"/>
    <w:basedOn w:val="1"/>
    <w:qFormat/>
    <w:uiPriority w:val="0"/>
    <w:pPr>
      <w:widowControl/>
      <w:pBdr>
        <w:bottom w:val="single" w:color="000000" w:sz="4" w:space="0"/>
        <w:right w:val="single" w:color="000000" w:sz="4" w:space="0"/>
      </w:pBdr>
      <w:spacing w:before="100" w:beforeAutospacing="1" w:after="100" w:afterAutospacing="1"/>
      <w:jc w:val="center"/>
      <w:textAlignment w:val="center"/>
    </w:pPr>
    <w:rPr>
      <w:rFonts w:ascii="宋体" w:hAnsi="宋体"/>
      <w:kern w:val="0"/>
      <w:sz w:val="24"/>
      <w:szCs w:val="24"/>
      <w:lang w:val="en-US" w:eastAsia="zh-CN" w:bidi="ar-SA"/>
    </w:rPr>
  </w:style>
  <w:style w:type="paragraph" w:customStyle="1" w:styleId="205">
    <w:name w:val="UserStyle_126"/>
    <w:basedOn w:val="1"/>
    <w:qFormat/>
    <w:uiPriority w:val="0"/>
    <w:pPr>
      <w:widowControl/>
      <w:pBdr>
        <w:top w:val="single" w:color="000000" w:sz="4" w:space="0"/>
        <w:left w:val="single" w:color="000000" w:sz="4" w:space="0"/>
        <w:bottom w:val="single" w:color="000000" w:sz="4" w:space="0"/>
        <w:right w:val="single" w:color="000000" w:sz="4" w:space="0"/>
      </w:pBdr>
      <w:shd w:val="clear" w:color="auto" w:fill="A6A6A6"/>
      <w:spacing w:before="100" w:beforeAutospacing="1" w:after="100" w:afterAutospacing="1"/>
      <w:jc w:val="left"/>
      <w:textAlignment w:val="center"/>
    </w:pPr>
    <w:rPr>
      <w:rFonts w:ascii="宋体" w:hAnsi="宋体" w:cs="宋体"/>
      <w:b/>
      <w:bCs/>
      <w:kern w:val="0"/>
      <w:sz w:val="24"/>
      <w:szCs w:val="24"/>
      <w:lang w:val="en-US" w:eastAsia="zh-CN" w:bidi="ar-SA"/>
    </w:rPr>
  </w:style>
  <w:style w:type="paragraph" w:customStyle="1" w:styleId="206">
    <w:name w:val="UserStyle_127"/>
    <w:basedOn w:val="139"/>
    <w:next w:val="139"/>
    <w:qFormat/>
    <w:uiPriority w:val="0"/>
    <w:pPr>
      <w:widowControl/>
      <w:topLinePunct/>
      <w:snapToGrid w:val="0"/>
      <w:spacing w:after="200" w:line="240" w:lineRule="auto"/>
      <w:ind w:firstLineChars="0"/>
      <w:jc w:val="left"/>
      <w:textAlignment w:val="baseline"/>
    </w:pPr>
    <w:rPr>
      <w:rFonts w:ascii="黑体" w:hAnsi="宋体" w:eastAsia="黑体"/>
      <w:b/>
      <w:spacing w:val="4"/>
      <w:kern w:val="0"/>
      <w:sz w:val="24"/>
      <w:szCs w:val="24"/>
      <w:lang w:val="en-US" w:eastAsia="zh-CN" w:bidi="ar-SA"/>
    </w:rPr>
  </w:style>
  <w:style w:type="paragraph" w:customStyle="1" w:styleId="207">
    <w:name w:val="UserStyle_128"/>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textAlignment w:val="center"/>
    </w:pPr>
    <w:rPr>
      <w:rFonts w:ascii="宋体" w:hAnsi="宋体"/>
      <w:kern w:val="0"/>
      <w:sz w:val="24"/>
      <w:szCs w:val="24"/>
      <w:lang w:val="en-US" w:eastAsia="zh-CN" w:bidi="ar-SA"/>
    </w:rPr>
  </w:style>
  <w:style w:type="paragraph" w:customStyle="1" w:styleId="208">
    <w:name w:val="UserStyle_129"/>
    <w:basedOn w:val="1"/>
    <w:qFormat/>
    <w:uiPriority w:val="0"/>
    <w:pPr>
      <w:widowControl/>
      <w:shd w:val="clear" w:color="auto" w:fill="FFFFFF"/>
      <w:spacing w:before="100" w:beforeAutospacing="1" w:after="100" w:afterAutospacing="1"/>
      <w:jc w:val="center"/>
      <w:textAlignment w:val="center"/>
    </w:pPr>
    <w:rPr>
      <w:rFonts w:ascii="宋体" w:hAnsi="宋体"/>
      <w:kern w:val="0"/>
      <w:sz w:val="24"/>
      <w:szCs w:val="24"/>
      <w:lang w:val="en-US" w:eastAsia="zh-CN" w:bidi="ar-SA"/>
    </w:rPr>
  </w:style>
  <w:style w:type="paragraph" w:customStyle="1" w:styleId="209">
    <w:name w:val="UserStyle_130"/>
    <w:basedOn w:val="139"/>
    <w:next w:val="139"/>
    <w:autoRedefine/>
    <w:qFormat/>
    <w:uiPriority w:val="0"/>
    <w:pPr>
      <w:widowControl/>
      <w:topLinePunct/>
      <w:snapToGrid w:val="0"/>
      <w:spacing w:after="200" w:line="360" w:lineRule="auto"/>
      <w:ind w:firstLineChars="0"/>
      <w:jc w:val="center"/>
      <w:textAlignment w:val="baseline"/>
    </w:pPr>
    <w:rPr>
      <w:rFonts w:ascii="Calibri" w:hAnsi="Calibri" w:eastAsia="黑体"/>
      <w:b/>
      <w:spacing w:val="4"/>
      <w:kern w:val="0"/>
      <w:sz w:val="36"/>
      <w:szCs w:val="36"/>
      <w:lang w:val="en-US" w:eastAsia="zh-CN" w:bidi="ar-SA"/>
    </w:rPr>
  </w:style>
  <w:style w:type="paragraph" w:customStyle="1" w:styleId="210">
    <w:name w:val="UserStyle_131"/>
    <w:basedOn w:val="1"/>
    <w:autoRedefine/>
    <w:qFormat/>
    <w:uiPriority w:val="0"/>
    <w:pPr>
      <w:tabs>
        <w:tab w:val="left" w:pos="360"/>
        <w:tab w:val="left" w:pos="420"/>
      </w:tabs>
      <w:snapToGrid w:val="0"/>
      <w:spacing w:line="360" w:lineRule="auto"/>
      <w:ind w:left="360" w:hanging="360"/>
      <w:jc w:val="left"/>
      <w:textAlignment w:val="baseline"/>
    </w:pPr>
    <w:rPr>
      <w:rFonts w:ascii="宋体" w:hAnsi="宋体"/>
      <w:kern w:val="2"/>
      <w:sz w:val="24"/>
      <w:szCs w:val="20"/>
      <w:lang w:val="en-US" w:eastAsia="zh-CN" w:bidi="ar-SA"/>
    </w:rPr>
  </w:style>
  <w:style w:type="paragraph" w:customStyle="1" w:styleId="211">
    <w:name w:val="UserStyle_132"/>
    <w:basedOn w:val="212"/>
    <w:qFormat/>
    <w:uiPriority w:val="0"/>
    <w:pPr>
      <w:spacing w:line="360" w:lineRule="auto"/>
      <w:ind w:left="4094" w:right="607" w:firstLine="0"/>
      <w:jc w:val="center"/>
      <w:textAlignment w:val="baseline"/>
    </w:pPr>
  </w:style>
  <w:style w:type="paragraph" w:customStyle="1" w:styleId="212">
    <w:name w:val="UserStyle_133"/>
    <w:autoRedefine/>
    <w:qFormat/>
    <w:uiPriority w:val="0"/>
    <w:pPr>
      <w:spacing w:line="360" w:lineRule="auto"/>
      <w:ind w:firstLine="629"/>
      <w:jc w:val="both"/>
      <w:textAlignment w:val="baseline"/>
    </w:pPr>
    <w:rPr>
      <w:rFonts w:ascii="仿宋_GB2312" w:hAnsi="Calisto MT" w:eastAsia="仿宋_GB2312" w:cstheme="minorBidi"/>
      <w:color w:val="000000"/>
      <w:sz w:val="32"/>
      <w:lang w:val="en-US" w:eastAsia="zh-CN" w:bidi="ar-SA"/>
    </w:rPr>
  </w:style>
  <w:style w:type="paragraph" w:customStyle="1" w:styleId="213">
    <w:name w:val="UserStyle_134"/>
    <w:basedOn w:val="210"/>
    <w:qFormat/>
    <w:uiPriority w:val="0"/>
    <w:pPr>
      <w:tabs>
        <w:tab w:val="left" w:pos="425"/>
      </w:tabs>
      <w:snapToGrid w:val="0"/>
      <w:spacing w:after="156" w:line="360" w:lineRule="auto"/>
      <w:ind w:left="425" w:hanging="425"/>
      <w:jc w:val="left"/>
      <w:textAlignment w:val="baseline"/>
    </w:pPr>
  </w:style>
  <w:style w:type="paragraph" w:customStyle="1" w:styleId="214">
    <w:name w:val="UserStyle_135"/>
    <w:basedOn w:val="89"/>
    <w:qFormat/>
    <w:uiPriority w:val="0"/>
    <w:pPr>
      <w:spacing w:line="240" w:lineRule="auto"/>
      <w:ind w:firstLine="0"/>
      <w:jc w:val="center"/>
      <w:textAlignment w:val="baseline"/>
    </w:pPr>
    <w:rPr>
      <w:b/>
      <w:kern w:val="2"/>
      <w:sz w:val="21"/>
      <w:szCs w:val="24"/>
      <w:lang w:val="en-US" w:eastAsia="zh-CN" w:bidi="ar-SA"/>
    </w:rPr>
  </w:style>
  <w:style w:type="paragraph" w:customStyle="1" w:styleId="215">
    <w:name w:val="UserStyle_136"/>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textAlignment w:val="center"/>
    </w:pPr>
    <w:rPr>
      <w:rFonts w:ascii="宋体" w:hAnsi="宋体" w:cs="宋体"/>
      <w:b/>
      <w:bCs/>
      <w:kern w:val="0"/>
      <w:sz w:val="24"/>
      <w:szCs w:val="24"/>
      <w:lang w:val="en-US" w:eastAsia="zh-CN" w:bidi="ar-SA"/>
    </w:rPr>
  </w:style>
  <w:style w:type="paragraph" w:customStyle="1" w:styleId="216">
    <w:name w:val="UserStyle_137"/>
    <w:basedOn w:val="1"/>
    <w:next w:val="1"/>
    <w:autoRedefine/>
    <w:qFormat/>
    <w:uiPriority w:val="0"/>
    <w:pPr>
      <w:keepNext/>
      <w:widowControl/>
      <w:numPr>
        <w:ilvl w:val="0"/>
        <w:numId w:val="1"/>
      </w:numPr>
      <w:tabs>
        <w:tab w:val="left" w:pos="567"/>
        <w:tab w:val="left" w:pos="851"/>
      </w:tabs>
      <w:jc w:val="left"/>
      <w:textAlignment w:val="baseline"/>
    </w:pPr>
    <w:rPr>
      <w:rFonts w:ascii="Times New Roman" w:hAnsi="Times New Roman"/>
      <w:b/>
      <w:caps/>
      <w:kern w:val="0"/>
      <w:sz w:val="24"/>
      <w:szCs w:val="20"/>
      <w:lang w:val="en-GB" w:eastAsia="en-US" w:bidi="ar-SA"/>
    </w:rPr>
  </w:style>
  <w:style w:type="paragraph" w:customStyle="1" w:styleId="217">
    <w:name w:val="UserStyle_138"/>
    <w:basedOn w:val="1"/>
    <w:qFormat/>
    <w:uiPriority w:val="0"/>
    <w:pPr>
      <w:widowControl/>
      <w:shd w:val="clear" w:color="auto" w:fill="FFFFFF"/>
      <w:spacing w:before="100" w:beforeAutospacing="1" w:after="100" w:afterAutospacing="1"/>
      <w:jc w:val="center"/>
      <w:textAlignment w:val="baseline"/>
    </w:pPr>
    <w:rPr>
      <w:rFonts w:ascii="宋体" w:hAnsi="宋体"/>
      <w:kern w:val="0"/>
      <w:sz w:val="24"/>
      <w:szCs w:val="24"/>
      <w:lang w:val="en-US" w:eastAsia="zh-CN" w:bidi="ar-SA"/>
    </w:rPr>
  </w:style>
  <w:style w:type="paragraph" w:customStyle="1" w:styleId="218">
    <w:name w:val="UserStyle_139"/>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auto" w:fill="A6A6A6"/>
      <w:spacing w:before="100" w:beforeAutospacing="1" w:after="100" w:afterAutospacing="1"/>
      <w:jc w:val="center"/>
      <w:textAlignment w:val="center"/>
    </w:pPr>
    <w:rPr>
      <w:rFonts w:ascii="宋体" w:hAnsi="宋体" w:cs="宋体"/>
      <w:b/>
      <w:bCs/>
      <w:kern w:val="0"/>
      <w:sz w:val="24"/>
      <w:szCs w:val="24"/>
      <w:lang w:val="en-US" w:eastAsia="zh-CN" w:bidi="ar-SA"/>
    </w:rPr>
  </w:style>
  <w:style w:type="paragraph" w:customStyle="1" w:styleId="219">
    <w:name w:val="Null"/>
    <w:autoRedefine/>
    <w:qFormat/>
    <w:uiPriority w:val="0"/>
    <w:pPr>
      <w:jc w:val="both"/>
      <w:textAlignment w:val="baseline"/>
    </w:pPr>
    <w:rPr>
      <w:rFonts w:ascii="Times New Roman" w:hAnsi="Times New Roman" w:eastAsia="宋体" w:cstheme="minorBidi"/>
      <w:kern w:val="2"/>
      <w:sz w:val="21"/>
      <w:szCs w:val="21"/>
      <w:lang w:val="en-US" w:eastAsia="zh-CN" w:bidi="ar-SA"/>
    </w:rPr>
  </w:style>
  <w:style w:type="paragraph" w:customStyle="1" w:styleId="220">
    <w:name w:val="UserStyle_141"/>
    <w:basedOn w:val="1"/>
    <w:autoRedefine/>
    <w:qFormat/>
    <w:uiPriority w:val="0"/>
    <w:pPr>
      <w:widowControl/>
      <w:pBdr>
        <w:top w:val="single" w:color="000000" w:sz="4" w:space="0"/>
        <w:left w:val="single" w:color="000000" w:sz="4" w:space="0"/>
        <w:bottom w:val="single" w:color="000000" w:sz="4" w:space="0"/>
      </w:pBdr>
      <w:spacing w:before="100" w:beforeAutospacing="1" w:after="100" w:afterAutospacing="1"/>
      <w:jc w:val="center"/>
      <w:textAlignment w:val="center"/>
    </w:pPr>
    <w:rPr>
      <w:rFonts w:ascii="宋体" w:hAnsi="宋体"/>
      <w:kern w:val="0"/>
      <w:sz w:val="24"/>
      <w:szCs w:val="24"/>
      <w:lang w:val="en-US" w:eastAsia="zh-CN" w:bidi="ar-SA"/>
    </w:rPr>
  </w:style>
  <w:style w:type="paragraph" w:customStyle="1" w:styleId="221">
    <w:name w:val="UserStyle_142"/>
    <w:basedOn w:val="1"/>
    <w:qFormat/>
    <w:uiPriority w:val="0"/>
    <w:pPr>
      <w:ind w:firstLine="420" w:firstLineChars="200"/>
      <w:jc w:val="both"/>
      <w:textAlignment w:val="baseline"/>
    </w:pPr>
    <w:rPr>
      <w:rFonts w:ascii="Times New Roman" w:hAnsi="Times New Roman"/>
      <w:kern w:val="2"/>
      <w:sz w:val="21"/>
      <w:szCs w:val="24"/>
      <w:lang w:val="en-US" w:eastAsia="zh-CN" w:bidi="ar-SA"/>
    </w:rPr>
  </w:style>
  <w:style w:type="paragraph" w:customStyle="1" w:styleId="222">
    <w:name w:val="UserStyle_143"/>
    <w:basedOn w:val="139"/>
    <w:qFormat/>
    <w:uiPriority w:val="0"/>
    <w:pPr>
      <w:topLinePunct/>
      <w:snapToGrid w:val="0"/>
      <w:spacing w:after="0" w:line="360" w:lineRule="auto"/>
      <w:ind w:firstLineChars="0"/>
      <w:jc w:val="both"/>
      <w:textAlignment w:val="baseline"/>
    </w:pPr>
    <w:rPr>
      <w:rFonts w:eastAsia="黑体"/>
      <w:b/>
      <w:spacing w:val="4"/>
      <w:kern w:val="0"/>
      <w:sz w:val="24"/>
      <w:szCs w:val="24"/>
      <w:lang w:val="en-US" w:eastAsia="zh-CN" w:bidi="ar-SA"/>
    </w:rPr>
  </w:style>
  <w:style w:type="paragraph" w:customStyle="1" w:styleId="223">
    <w:name w:val="UserStyle_144"/>
    <w:basedOn w:val="1"/>
    <w:qFormat/>
    <w:uiPriority w:val="0"/>
    <w:pPr>
      <w:shd w:val="clear" w:color="auto" w:fill="FFFFFF"/>
      <w:spacing w:line="312" w:lineRule="exact"/>
      <w:ind w:hanging="1520"/>
      <w:jc w:val="left"/>
      <w:textAlignment w:val="baseline"/>
    </w:pPr>
    <w:rPr>
      <w:rFonts w:ascii="MingLiU" w:hAnsi="MingLiU" w:eastAsia="MingLiU"/>
      <w:color w:val="000000"/>
      <w:spacing w:val="10"/>
      <w:kern w:val="0"/>
      <w:sz w:val="21"/>
      <w:szCs w:val="21"/>
      <w:lang w:val="zh-TW" w:eastAsia="zh-CN" w:bidi="ar-SA"/>
    </w:rPr>
  </w:style>
  <w:style w:type="paragraph" w:customStyle="1" w:styleId="224">
    <w:name w:val="UserStyle_145"/>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kern w:val="0"/>
      <w:sz w:val="24"/>
      <w:szCs w:val="24"/>
      <w:lang w:val="en-US" w:eastAsia="zh-CN" w:bidi="ar-SA"/>
    </w:rPr>
  </w:style>
  <w:style w:type="paragraph" w:customStyle="1" w:styleId="225">
    <w:name w:val="UserStyle_146"/>
    <w:basedOn w:val="1"/>
    <w:autoRedefine/>
    <w:qFormat/>
    <w:uiPriority w:val="0"/>
    <w:pPr>
      <w:widowControl/>
      <w:pBdr>
        <w:top w:val="single" w:color="000000" w:sz="4" w:space="0"/>
        <w:left w:val="single" w:color="000000" w:sz="4" w:space="0"/>
      </w:pBdr>
      <w:shd w:val="clear" w:color="auto" w:fill="FFFFFF"/>
      <w:spacing w:before="100" w:beforeAutospacing="1" w:after="100" w:afterAutospacing="1"/>
      <w:jc w:val="center"/>
      <w:textAlignment w:val="center"/>
    </w:pPr>
    <w:rPr>
      <w:rFonts w:ascii="宋体" w:hAnsi="宋体"/>
      <w:kern w:val="0"/>
      <w:sz w:val="24"/>
      <w:szCs w:val="24"/>
      <w:lang w:val="en-US" w:eastAsia="zh-CN" w:bidi="ar-SA"/>
    </w:rPr>
  </w:style>
  <w:style w:type="paragraph" w:customStyle="1" w:styleId="226">
    <w:name w:val="UserStyle_147"/>
    <w:qFormat/>
    <w:uiPriority w:val="0"/>
    <w:pPr>
      <w:keepNext/>
      <w:snapToGrid w:val="0"/>
      <w:jc w:val="distribute"/>
      <w:textAlignment w:val="baseline"/>
    </w:pPr>
    <w:rPr>
      <w:rFonts w:ascii="Times New Roman" w:hAnsi="Times New Roman" w:eastAsia="宋体" w:cstheme="minorBidi"/>
      <w:sz w:val="36"/>
      <w:lang w:val="en-US" w:eastAsia="zh-CN" w:bidi="ar-SA"/>
    </w:rPr>
  </w:style>
  <w:style w:type="paragraph" w:customStyle="1" w:styleId="227">
    <w:name w:val="UserStyle_148"/>
    <w:basedOn w:val="1"/>
    <w:qFormat/>
    <w:uiPriority w:val="0"/>
    <w:pPr>
      <w:widowControl/>
      <w:spacing w:before="100" w:beforeAutospacing="1" w:after="100" w:afterAutospacing="1"/>
      <w:jc w:val="left"/>
      <w:textAlignment w:val="center"/>
    </w:pPr>
    <w:rPr>
      <w:rFonts w:ascii="宋体" w:hAnsi="宋体"/>
      <w:kern w:val="0"/>
      <w:sz w:val="24"/>
      <w:szCs w:val="24"/>
      <w:lang w:val="en-US" w:eastAsia="zh-CN" w:bidi="ar-SA"/>
    </w:rPr>
  </w:style>
  <w:style w:type="paragraph" w:customStyle="1" w:styleId="228">
    <w:name w:val="UserStyle_149"/>
    <w:basedOn w:val="216"/>
    <w:next w:val="1"/>
    <w:autoRedefine/>
    <w:qFormat/>
    <w:uiPriority w:val="0"/>
    <w:pPr>
      <w:keepNext/>
      <w:widowControl/>
      <w:numPr>
        <w:ilvl w:val="2"/>
        <w:numId w:val="1"/>
      </w:numPr>
      <w:jc w:val="both"/>
      <w:textAlignment w:val="baseline"/>
    </w:pPr>
    <w:rPr>
      <w:rFonts w:ascii="Times New Roman" w:hAnsi="Times New Roman"/>
      <w:b w:val="0"/>
      <w:caps w:val="0"/>
      <w:kern w:val="0"/>
      <w:sz w:val="24"/>
      <w:szCs w:val="20"/>
      <w:lang w:val="en-GB" w:eastAsia="zh-CN" w:bidi="ar-SA"/>
    </w:rPr>
  </w:style>
  <w:style w:type="paragraph" w:customStyle="1" w:styleId="229">
    <w:name w:val="UserStyle_150"/>
    <w:basedOn w:val="230"/>
    <w:next w:val="33"/>
    <w:autoRedefine/>
    <w:qFormat/>
    <w:uiPriority w:val="0"/>
    <w:pPr>
      <w:numPr>
        <w:ilvl w:val="0"/>
        <w:numId w:val="0"/>
      </w:numPr>
      <w:tabs>
        <w:tab w:val="left" w:pos="709"/>
        <w:tab w:val="left" w:pos="720"/>
      </w:tabs>
      <w:spacing w:before="156" w:after="156" w:line="300" w:lineRule="auto"/>
      <w:ind w:left="709" w:hanging="709"/>
      <w:jc w:val="both"/>
      <w:textAlignment w:val="baseline"/>
    </w:pPr>
    <w:rPr>
      <w:rFonts w:ascii="Times New Roman" w:hAnsi="Times New Roman" w:cs="宋体"/>
      <w:b/>
      <w:bCs/>
      <w:spacing w:val="2"/>
      <w:kern w:val="2"/>
      <w:sz w:val="24"/>
      <w:szCs w:val="20"/>
      <w:lang w:val="en-US" w:eastAsia="zh-CN" w:bidi="ar-SA"/>
    </w:rPr>
  </w:style>
  <w:style w:type="paragraph" w:customStyle="1" w:styleId="230">
    <w:name w:val="UserStyle_151"/>
    <w:basedOn w:val="1"/>
    <w:autoRedefine/>
    <w:qFormat/>
    <w:uiPriority w:val="0"/>
    <w:pPr>
      <w:numPr>
        <w:ilvl w:val="2"/>
        <w:numId w:val="3"/>
      </w:numPr>
      <w:tabs>
        <w:tab w:val="left" w:pos="720"/>
      </w:tabs>
      <w:spacing w:before="156" w:after="156" w:line="300" w:lineRule="auto"/>
      <w:jc w:val="both"/>
      <w:textAlignment w:val="baseline"/>
    </w:pPr>
    <w:rPr>
      <w:rFonts w:ascii="Times New Roman" w:hAnsi="Times New Roman"/>
      <w:spacing w:val="2"/>
      <w:kern w:val="2"/>
      <w:sz w:val="24"/>
      <w:szCs w:val="20"/>
      <w:lang w:val="en-US" w:eastAsia="zh-CN" w:bidi="ar-SA"/>
    </w:rPr>
  </w:style>
  <w:style w:type="paragraph" w:customStyle="1" w:styleId="231">
    <w:name w:val="UserStyle_152"/>
    <w:basedOn w:val="1"/>
    <w:autoRedefine/>
    <w:qFormat/>
    <w:uiPriority w:val="0"/>
    <w:pPr>
      <w:widowControl/>
      <w:pBdr>
        <w:left w:val="single" w:color="000000" w:sz="4" w:space="0"/>
      </w:pBdr>
      <w:spacing w:before="100" w:beforeAutospacing="1" w:after="100" w:afterAutospacing="1"/>
      <w:jc w:val="center"/>
      <w:textAlignment w:val="center"/>
    </w:pPr>
    <w:rPr>
      <w:rFonts w:ascii="宋体" w:hAnsi="宋体"/>
      <w:kern w:val="0"/>
      <w:sz w:val="24"/>
      <w:szCs w:val="24"/>
      <w:lang w:val="en-US" w:eastAsia="zh-CN" w:bidi="ar-SA"/>
    </w:rPr>
  </w:style>
  <w:style w:type="paragraph" w:customStyle="1" w:styleId="232">
    <w:name w:val="UserStyle_153"/>
    <w:basedOn w:val="1"/>
    <w:autoRedefine/>
    <w:qFormat/>
    <w:uiPriority w:val="0"/>
    <w:pPr>
      <w:jc w:val="both"/>
      <w:textAlignment w:val="baseline"/>
    </w:pPr>
    <w:rPr>
      <w:rFonts w:ascii="Times New Roman" w:hAnsi="Times New Roman"/>
      <w:kern w:val="2"/>
      <w:sz w:val="30"/>
      <w:szCs w:val="24"/>
      <w:lang w:val="en-US" w:eastAsia="zh-CN" w:bidi="ar-SA"/>
    </w:rPr>
  </w:style>
  <w:style w:type="paragraph" w:customStyle="1" w:styleId="233">
    <w:name w:val="UserStyle_154"/>
    <w:basedOn w:val="1"/>
    <w:qFormat/>
    <w:uiPriority w:val="0"/>
    <w:pPr>
      <w:widowControl/>
      <w:pBdr>
        <w:left w:val="single" w:color="000000" w:sz="4" w:space="0"/>
      </w:pBdr>
      <w:shd w:val="clear" w:color="auto" w:fill="FFFFFF"/>
      <w:spacing w:before="100" w:beforeAutospacing="1" w:after="100" w:afterAutospacing="1"/>
      <w:jc w:val="center"/>
      <w:textAlignment w:val="center"/>
    </w:pPr>
    <w:rPr>
      <w:rFonts w:ascii="宋体" w:hAnsi="宋体"/>
      <w:kern w:val="0"/>
      <w:sz w:val="24"/>
      <w:szCs w:val="24"/>
      <w:lang w:val="en-US" w:eastAsia="zh-CN" w:bidi="ar-SA"/>
    </w:rPr>
  </w:style>
  <w:style w:type="paragraph" w:customStyle="1" w:styleId="234">
    <w:name w:val="UserStyle_155"/>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textAlignment w:val="center"/>
    </w:pPr>
    <w:rPr>
      <w:rFonts w:ascii="宋体" w:hAnsi="宋体" w:cs="宋体"/>
      <w:b/>
      <w:bCs/>
      <w:kern w:val="0"/>
      <w:sz w:val="24"/>
      <w:szCs w:val="24"/>
      <w:lang w:val="en-US" w:eastAsia="zh-CN" w:bidi="ar-SA"/>
    </w:rPr>
  </w:style>
  <w:style w:type="paragraph" w:customStyle="1" w:styleId="235">
    <w:name w:val="UserStyle_156"/>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textAlignment w:val="center"/>
    </w:pPr>
    <w:rPr>
      <w:rFonts w:ascii="宋体" w:hAnsi="宋体"/>
      <w:kern w:val="0"/>
      <w:sz w:val="24"/>
      <w:szCs w:val="24"/>
      <w:u w:val="single"/>
      <w:lang w:val="en-US" w:eastAsia="zh-CN" w:bidi="ar-SA"/>
    </w:rPr>
  </w:style>
  <w:style w:type="paragraph" w:customStyle="1" w:styleId="236">
    <w:name w:val="UserStyle_157"/>
    <w:basedOn w:val="1"/>
    <w:autoRedefine/>
    <w:qFormat/>
    <w:uiPriority w:val="0"/>
    <w:pPr>
      <w:spacing w:line="410" w:lineRule="atLeast"/>
      <w:jc w:val="left"/>
      <w:textAlignment w:val="baseline"/>
    </w:pPr>
    <w:rPr>
      <w:rFonts w:ascii="宋体" w:hAnsi="Times New Roman"/>
      <w:kern w:val="0"/>
      <w:sz w:val="24"/>
      <w:szCs w:val="20"/>
      <w:lang w:val="en-US" w:eastAsia="zh-CN" w:bidi="ar-SA"/>
    </w:rPr>
  </w:style>
  <w:style w:type="paragraph" w:customStyle="1" w:styleId="237">
    <w:name w:val="UserStyle_158"/>
    <w:basedOn w:val="33"/>
    <w:autoRedefine/>
    <w:qFormat/>
    <w:uiPriority w:val="0"/>
    <w:pPr>
      <w:numPr>
        <w:ilvl w:val="0"/>
        <w:numId w:val="5"/>
      </w:numPr>
      <w:tabs>
        <w:tab w:val="left" w:pos="360"/>
        <w:tab w:val="left" w:pos="851"/>
      </w:tabs>
      <w:spacing w:after="120" w:line="300" w:lineRule="auto"/>
      <w:ind w:left="360" w:hanging="360"/>
      <w:jc w:val="both"/>
      <w:textAlignment w:val="baseline"/>
    </w:pPr>
    <w:rPr>
      <w:rFonts w:ascii="Calibri" w:hAnsi="Calibri"/>
      <w:spacing w:val="2"/>
      <w:kern w:val="2"/>
      <w:sz w:val="24"/>
      <w:szCs w:val="24"/>
      <w:lang w:val="en-US" w:eastAsia="zh-CN" w:bidi="ar-SA"/>
    </w:rPr>
  </w:style>
  <w:style w:type="paragraph" w:customStyle="1" w:styleId="238">
    <w:name w:val="UserStyle_159"/>
    <w:basedOn w:val="1"/>
    <w:qFormat/>
    <w:uiPriority w:val="0"/>
    <w:pPr>
      <w:widowControl/>
      <w:pBdr>
        <w:top w:val="single" w:color="000000" w:sz="4" w:space="0"/>
        <w:left w:val="single" w:color="000000" w:sz="4" w:space="0"/>
      </w:pBdr>
      <w:spacing w:before="100" w:beforeAutospacing="1" w:after="100" w:afterAutospacing="1"/>
      <w:jc w:val="center"/>
      <w:textAlignment w:val="center"/>
    </w:pPr>
    <w:rPr>
      <w:rFonts w:ascii="宋体" w:hAnsi="宋体"/>
      <w:kern w:val="0"/>
      <w:sz w:val="24"/>
      <w:szCs w:val="24"/>
      <w:lang w:val="en-US" w:eastAsia="zh-CN" w:bidi="ar-SA"/>
    </w:rPr>
  </w:style>
  <w:style w:type="paragraph" w:customStyle="1" w:styleId="239">
    <w:name w:val="UserStyle_160"/>
    <w:basedOn w:val="1"/>
    <w:next w:val="1"/>
    <w:autoRedefine/>
    <w:qFormat/>
    <w:uiPriority w:val="0"/>
    <w:pPr>
      <w:jc w:val="both"/>
      <w:textAlignment w:val="baseline"/>
    </w:pPr>
    <w:rPr>
      <w:rFonts w:ascii="Times New Roman" w:hAnsi="Times New Roman"/>
      <w:kern w:val="2"/>
      <w:sz w:val="21"/>
      <w:szCs w:val="24"/>
      <w:lang w:val="en-US" w:eastAsia="zh-CN" w:bidi="ar-SA"/>
    </w:rPr>
  </w:style>
  <w:style w:type="paragraph" w:customStyle="1" w:styleId="240">
    <w:name w:val="UserStyle_161"/>
    <w:basedOn w:val="1"/>
    <w:qFormat/>
    <w:uiPriority w:val="0"/>
    <w:pPr>
      <w:widowControl/>
      <w:spacing w:after="160" w:line="240" w:lineRule="exact"/>
      <w:jc w:val="left"/>
      <w:textAlignment w:val="baseline"/>
    </w:pPr>
    <w:rPr>
      <w:rFonts w:ascii="Verdana" w:hAnsi="Verdana" w:eastAsia="仿宋_GB2312"/>
      <w:kern w:val="0"/>
      <w:sz w:val="30"/>
      <w:szCs w:val="30"/>
      <w:lang w:val="en-US" w:eastAsia="en-US" w:bidi="ar-SA"/>
    </w:rPr>
  </w:style>
  <w:style w:type="paragraph" w:customStyle="1" w:styleId="241">
    <w:name w:val="UserStyle_162"/>
    <w:qFormat/>
    <w:uiPriority w:val="0"/>
    <w:pPr>
      <w:textAlignment w:val="baseline"/>
    </w:pPr>
    <w:rPr>
      <w:rFonts w:ascii="黑体" w:hAnsi="Times New Roman" w:eastAsia="黑体" w:cstheme="minorBidi"/>
      <w:color w:val="000000"/>
      <w:sz w:val="24"/>
      <w:lang w:val="en-US" w:eastAsia="zh-CN" w:bidi="ar-SA"/>
    </w:rPr>
  </w:style>
  <w:style w:type="paragraph" w:customStyle="1" w:styleId="242">
    <w:name w:val="UserStyle_163"/>
    <w:basedOn w:val="68"/>
    <w:qFormat/>
    <w:uiPriority w:val="0"/>
    <w:pPr>
      <w:shd w:val="clear" w:color="auto" w:fill="000080"/>
      <w:spacing w:line="436" w:lineRule="exact"/>
      <w:ind w:left="357"/>
      <w:jc w:val="left"/>
      <w:textAlignment w:val="baseline"/>
    </w:pPr>
    <w:rPr>
      <w:rFonts w:ascii="Tahoma" w:hAnsi="Tahoma"/>
      <w:b/>
      <w:kern w:val="0"/>
      <w:sz w:val="24"/>
      <w:szCs w:val="24"/>
      <w:lang w:val="en-US" w:eastAsia="zh-CN" w:bidi="ar-SA"/>
    </w:rPr>
  </w:style>
  <w:style w:type="paragraph" w:customStyle="1" w:styleId="243">
    <w:name w:val="UserStyle_164"/>
    <w:basedOn w:val="1"/>
    <w:qFormat/>
    <w:uiPriority w:val="0"/>
    <w:pPr>
      <w:widowControl/>
      <w:pBdr>
        <w:top w:val="single" w:color="000000" w:sz="4" w:space="0"/>
        <w:left w:val="single" w:color="000000" w:sz="4" w:space="0"/>
        <w:bottom w:val="single" w:color="000000" w:sz="4" w:space="0"/>
        <w:right w:val="single" w:color="000000" w:sz="4" w:space="0"/>
      </w:pBdr>
      <w:shd w:val="clear" w:color="auto" w:fill="A6A6A6"/>
      <w:spacing w:before="100" w:beforeAutospacing="1" w:after="100" w:afterAutospacing="1"/>
      <w:jc w:val="left"/>
      <w:textAlignment w:val="center"/>
    </w:pPr>
    <w:rPr>
      <w:rFonts w:ascii="宋体" w:hAnsi="宋体"/>
      <w:kern w:val="0"/>
      <w:sz w:val="18"/>
      <w:szCs w:val="18"/>
      <w:lang w:val="en-US" w:eastAsia="zh-CN" w:bidi="ar-SA"/>
    </w:rPr>
  </w:style>
  <w:style w:type="paragraph" w:customStyle="1" w:styleId="244">
    <w:name w:val="UserStyle_165"/>
    <w:qFormat/>
    <w:uiPriority w:val="0"/>
    <w:pPr>
      <w:spacing w:line="360" w:lineRule="auto"/>
      <w:ind w:firstLine="482"/>
      <w:textAlignment w:val="baseline"/>
    </w:pPr>
    <w:rPr>
      <w:rFonts w:ascii="Times New Roman" w:hAnsi="Times New Roman" w:eastAsia="宋体" w:cstheme="minorBidi"/>
      <w:kern w:val="2"/>
      <w:sz w:val="24"/>
      <w:szCs w:val="24"/>
      <w:lang w:val="en-US" w:eastAsia="zh-CN" w:bidi="ar-SA"/>
    </w:rPr>
  </w:style>
  <w:style w:type="paragraph" w:customStyle="1" w:styleId="245">
    <w:name w:val="UserStyle_166"/>
    <w:qFormat/>
    <w:uiPriority w:val="0"/>
    <w:pPr>
      <w:widowControl/>
      <w:spacing w:line="288" w:lineRule="auto"/>
      <w:ind w:firstLine="600"/>
      <w:textAlignment w:val="baseline"/>
    </w:pPr>
    <w:rPr>
      <w:rFonts w:ascii="Arial Unicode MS" w:hAnsi="Arial Unicode MS" w:eastAsia="Palatino" w:cstheme="minorBidi"/>
      <w:color w:val="000000"/>
      <w:sz w:val="24"/>
      <w:szCs w:val="24"/>
      <w:lang w:val="zh-CN" w:eastAsia="zh-CN" w:bidi="ar-SA"/>
    </w:rPr>
  </w:style>
  <w:style w:type="paragraph" w:customStyle="1" w:styleId="246">
    <w:name w:val="UserStyle_167"/>
    <w:basedOn w:val="33"/>
    <w:autoRedefine/>
    <w:qFormat/>
    <w:uiPriority w:val="0"/>
    <w:pPr>
      <w:numPr>
        <w:ilvl w:val="0"/>
        <w:numId w:val="3"/>
      </w:numPr>
      <w:tabs>
        <w:tab w:val="left" w:pos="360"/>
      </w:tabs>
      <w:spacing w:after="120" w:line="300" w:lineRule="auto"/>
      <w:ind w:left="360" w:hanging="360"/>
      <w:jc w:val="both"/>
      <w:textAlignment w:val="baseline"/>
    </w:pPr>
    <w:rPr>
      <w:rFonts w:ascii="Calibri" w:hAnsi="Calibri" w:cs="Times New Roman"/>
      <w:b/>
      <w:bCs/>
      <w:spacing w:val="2"/>
      <w:kern w:val="2"/>
      <w:sz w:val="28"/>
      <w:szCs w:val="24"/>
      <w:lang w:val="en-US" w:eastAsia="zh-CN" w:bidi="ar-SA"/>
    </w:rPr>
  </w:style>
  <w:style w:type="paragraph" w:customStyle="1" w:styleId="247">
    <w:name w:val="UserStyle_168"/>
    <w:basedOn w:val="1"/>
    <w:qFormat/>
    <w:uiPriority w:val="0"/>
    <w:pPr>
      <w:widowControl/>
      <w:pBdr>
        <w:top w:val="single" w:color="000000" w:sz="4" w:space="0"/>
        <w:left w:val="single" w:color="000000" w:sz="4" w:space="0"/>
      </w:pBdr>
      <w:shd w:val="clear" w:color="auto" w:fill="FFFFFF"/>
      <w:spacing w:before="100" w:beforeAutospacing="1" w:after="100" w:afterAutospacing="1"/>
      <w:jc w:val="center"/>
      <w:textAlignment w:val="center"/>
    </w:pPr>
    <w:rPr>
      <w:rFonts w:ascii="宋体" w:hAnsi="宋体"/>
      <w:kern w:val="0"/>
      <w:sz w:val="24"/>
      <w:szCs w:val="24"/>
      <w:lang w:val="en-US" w:eastAsia="zh-CN" w:bidi="ar-SA"/>
    </w:rPr>
  </w:style>
  <w:style w:type="paragraph" w:customStyle="1" w:styleId="248">
    <w:name w:val="UserStyle_169"/>
    <w:basedOn w:val="36"/>
    <w:qFormat/>
    <w:uiPriority w:val="0"/>
    <w:pPr>
      <w:keepNext/>
      <w:keepLines/>
      <w:spacing w:before="0" w:after="0"/>
      <w:ind w:left="1469" w:right="1542"/>
      <w:jc w:val="left"/>
      <w:textAlignment w:val="baseline"/>
    </w:pPr>
    <w:rPr>
      <w:rFonts w:ascii="宋体" w:hAnsi="Times New Roman"/>
      <w:b/>
      <w:kern w:val="2"/>
      <w:sz w:val="44"/>
      <w:szCs w:val="21"/>
      <w:lang w:val="en-US" w:eastAsia="zh-CN" w:bidi="ar-SA"/>
    </w:rPr>
  </w:style>
  <w:style w:type="paragraph" w:customStyle="1" w:styleId="249">
    <w:name w:val="UserStyle_170"/>
    <w:basedOn w:val="1"/>
    <w:qFormat/>
    <w:uiPriority w:val="0"/>
    <w:pPr>
      <w:widowControl/>
      <w:pBdr>
        <w:top w:val="single" w:color="000000" w:sz="4" w:space="0"/>
        <w:right w:val="single" w:color="000000" w:sz="4" w:space="0"/>
      </w:pBdr>
      <w:shd w:val="clear" w:color="auto" w:fill="FFFFFF"/>
      <w:spacing w:before="100" w:beforeAutospacing="1" w:after="100" w:afterAutospacing="1"/>
      <w:jc w:val="center"/>
      <w:textAlignment w:val="center"/>
    </w:pPr>
    <w:rPr>
      <w:rFonts w:ascii="宋体" w:hAnsi="宋体"/>
      <w:kern w:val="0"/>
      <w:sz w:val="24"/>
      <w:szCs w:val="24"/>
      <w:lang w:val="en-US" w:eastAsia="zh-CN" w:bidi="ar-SA"/>
    </w:rPr>
  </w:style>
  <w:style w:type="paragraph" w:customStyle="1" w:styleId="250">
    <w:name w:val="UserStyle_171"/>
    <w:basedOn w:val="1"/>
    <w:autoRedefine/>
    <w:qFormat/>
    <w:uiPriority w:val="0"/>
    <w:pPr>
      <w:widowControl/>
      <w:pBdr>
        <w:bottom w:val="single" w:color="000000" w:sz="4" w:space="0"/>
        <w:right w:val="single" w:color="000000" w:sz="4" w:space="0"/>
      </w:pBdr>
      <w:shd w:val="clear" w:color="auto" w:fill="FFFFFF"/>
      <w:spacing w:before="100" w:beforeAutospacing="1" w:after="100" w:afterAutospacing="1"/>
      <w:jc w:val="center"/>
      <w:textAlignment w:val="center"/>
    </w:pPr>
    <w:rPr>
      <w:rFonts w:ascii="宋体" w:hAnsi="宋体"/>
      <w:kern w:val="0"/>
      <w:sz w:val="24"/>
      <w:szCs w:val="24"/>
      <w:lang w:val="en-US" w:eastAsia="zh-CN" w:bidi="ar-SA"/>
    </w:rPr>
  </w:style>
  <w:style w:type="paragraph" w:customStyle="1" w:styleId="251">
    <w:name w:val="UserStyle_172"/>
    <w:basedOn w:val="1"/>
    <w:qFormat/>
    <w:uiPriority w:val="0"/>
    <w:pPr>
      <w:widowControl/>
      <w:pBdr>
        <w:left w:val="single" w:color="000000" w:sz="4" w:space="0"/>
        <w:bottom w:val="single" w:color="000000" w:sz="4" w:space="0"/>
      </w:pBdr>
      <w:shd w:val="clear" w:color="auto" w:fill="FFFFFF"/>
      <w:spacing w:before="100" w:beforeAutospacing="1" w:after="100" w:afterAutospacing="1"/>
      <w:jc w:val="center"/>
      <w:textAlignment w:val="center"/>
    </w:pPr>
    <w:rPr>
      <w:rFonts w:ascii="宋体" w:hAnsi="宋体"/>
      <w:kern w:val="0"/>
      <w:sz w:val="24"/>
      <w:szCs w:val="24"/>
      <w:lang w:val="en-US" w:eastAsia="zh-CN" w:bidi="ar-SA"/>
    </w:rPr>
  </w:style>
  <w:style w:type="paragraph" w:customStyle="1" w:styleId="252">
    <w:name w:val="UserStyle_173"/>
    <w:basedOn w:val="1"/>
    <w:autoRedefine/>
    <w:qFormat/>
    <w:uiPriority w:val="0"/>
    <w:pPr>
      <w:keepNext/>
      <w:keepLines/>
      <w:tabs>
        <w:tab w:val="left" w:pos="840"/>
      </w:tabs>
      <w:spacing w:before="260" w:after="156" w:line="413" w:lineRule="auto"/>
      <w:ind w:left="840" w:hanging="420"/>
      <w:jc w:val="both"/>
      <w:textAlignment w:val="baseline"/>
    </w:pPr>
    <w:rPr>
      <w:rFonts w:ascii="Arial" w:hAnsi="Arial" w:eastAsia="黑体"/>
      <w:kern w:val="2"/>
      <w:sz w:val="21"/>
      <w:szCs w:val="20"/>
      <w:lang w:val="en-US" w:eastAsia="zh-CN" w:bidi="ar-SA"/>
    </w:rPr>
  </w:style>
  <w:style w:type="paragraph" w:customStyle="1" w:styleId="253">
    <w:name w:val="UserStyle_174"/>
    <w:autoRedefine/>
    <w:qFormat/>
    <w:uiPriority w:val="0"/>
    <w:pPr>
      <w:jc w:val="both"/>
      <w:textAlignment w:val="baseline"/>
    </w:pPr>
    <w:rPr>
      <w:rFonts w:ascii="Times New Roman" w:hAnsi="Times New Roman" w:eastAsia="宋体" w:cstheme="minorBidi"/>
      <w:kern w:val="2"/>
      <w:sz w:val="21"/>
      <w:lang w:val="en-US" w:eastAsia="zh-CN" w:bidi="ar-SA"/>
    </w:rPr>
  </w:style>
  <w:style w:type="paragraph" w:customStyle="1" w:styleId="254">
    <w:name w:val="UserStyle_175"/>
    <w:basedOn w:val="1"/>
    <w:next w:val="1"/>
    <w:autoRedefine/>
    <w:qFormat/>
    <w:uiPriority w:val="0"/>
    <w:pPr>
      <w:topLinePunct/>
      <w:snapToGrid w:val="0"/>
      <w:jc w:val="center"/>
      <w:textAlignment w:val="baseline"/>
    </w:pPr>
    <w:rPr>
      <w:rFonts w:ascii="Times New Roman" w:hAnsi="Times New Roman" w:eastAsia="黑体"/>
      <w:b/>
      <w:spacing w:val="4"/>
      <w:kern w:val="0"/>
      <w:sz w:val="30"/>
      <w:szCs w:val="30"/>
      <w:lang w:val="en-US" w:eastAsia="zh-CN" w:bidi="ar-SA"/>
    </w:rPr>
  </w:style>
  <w:style w:type="paragraph" w:customStyle="1" w:styleId="255">
    <w:name w:val="UserStyle_176"/>
    <w:basedOn w:val="1"/>
    <w:autoRedefine/>
    <w:qFormat/>
    <w:uiPriority w:val="0"/>
    <w:pPr>
      <w:ind w:firstLine="420" w:firstLineChars="200"/>
      <w:jc w:val="both"/>
      <w:textAlignment w:val="baseline"/>
    </w:pPr>
    <w:rPr>
      <w:rFonts w:ascii="仿宋_GB2312" w:hAnsi="仿宋_GB2312"/>
      <w:kern w:val="2"/>
      <w:sz w:val="24"/>
      <w:szCs w:val="22"/>
      <w:lang w:val="en-US" w:eastAsia="zh-CN" w:bidi="ar-SA"/>
    </w:rPr>
  </w:style>
  <w:style w:type="paragraph" w:customStyle="1" w:styleId="256">
    <w:name w:val="UserStyle_177"/>
    <w:basedOn w:val="1"/>
    <w:qFormat/>
    <w:uiPriority w:val="0"/>
    <w:pPr>
      <w:snapToGrid w:val="0"/>
      <w:ind w:left="200" w:leftChars="200"/>
      <w:jc w:val="both"/>
      <w:textAlignment w:val="baseline"/>
    </w:pPr>
    <w:rPr>
      <w:rFonts w:ascii="宋体" w:hAnsi="Times New Roman"/>
      <w:kern w:val="2"/>
      <w:sz w:val="24"/>
      <w:szCs w:val="20"/>
      <w:lang w:val="en-US" w:eastAsia="zh-CN" w:bidi="ar-SA"/>
    </w:rPr>
  </w:style>
  <w:style w:type="paragraph" w:customStyle="1" w:styleId="257">
    <w:name w:val="UserStyle_178"/>
    <w:basedOn w:val="1"/>
    <w:autoRedefine/>
    <w:qFormat/>
    <w:uiPriority w:val="0"/>
    <w:pPr>
      <w:widowControl/>
      <w:spacing w:after="200" w:line="276" w:lineRule="auto"/>
      <w:jc w:val="left"/>
      <w:textAlignment w:val="baseline"/>
    </w:pPr>
    <w:rPr>
      <w:rFonts w:ascii="宋体" w:hAnsi="宋体"/>
      <w:kern w:val="0"/>
      <w:sz w:val="22"/>
      <w:szCs w:val="21"/>
      <w:lang w:val="en-US" w:eastAsia="en-US" w:bidi="en-US"/>
    </w:rPr>
  </w:style>
  <w:style w:type="paragraph" w:customStyle="1" w:styleId="258">
    <w:name w:val="UserStyle_179"/>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kern w:val="0"/>
      <w:sz w:val="24"/>
      <w:szCs w:val="24"/>
      <w:lang w:val="en-US" w:eastAsia="zh-CN" w:bidi="ar-SA"/>
    </w:rPr>
  </w:style>
  <w:style w:type="paragraph" w:customStyle="1" w:styleId="259">
    <w:name w:val="UserStyle_180"/>
    <w:basedOn w:val="1"/>
    <w:autoRedefine/>
    <w:qFormat/>
    <w:uiPriority w:val="0"/>
    <w:pPr>
      <w:snapToGrid w:val="0"/>
      <w:spacing w:line="300" w:lineRule="auto"/>
      <w:ind w:firstLine="480" w:firstLineChars="200"/>
      <w:jc w:val="both"/>
      <w:textAlignment w:val="baseline"/>
    </w:pPr>
    <w:rPr>
      <w:rFonts w:ascii="Times New Roman" w:hAnsi="Times New Roman"/>
      <w:kern w:val="2"/>
      <w:sz w:val="21"/>
      <w:szCs w:val="20"/>
      <w:lang w:val="en-US" w:eastAsia="zh-CN" w:bidi="ar-SA"/>
    </w:rPr>
  </w:style>
  <w:style w:type="paragraph" w:customStyle="1" w:styleId="260">
    <w:name w:val="UserStyle_181"/>
    <w:basedOn w:val="34"/>
    <w:qFormat/>
    <w:uiPriority w:val="0"/>
    <w:pPr>
      <w:keepNext/>
      <w:numPr>
        <w:ilvl w:val="1"/>
        <w:numId w:val="6"/>
      </w:numPr>
      <w:tabs>
        <w:tab w:val="left" w:pos="0"/>
        <w:tab w:val="left" w:pos="1320"/>
        <w:tab w:val="left" w:pos="1440"/>
        <w:tab w:val="left" w:pos="1620"/>
      </w:tabs>
      <w:spacing w:before="100" w:after="0" w:line="240" w:lineRule="auto"/>
      <w:ind w:left="1320" w:hanging="420"/>
      <w:jc w:val="left"/>
      <w:textAlignment w:val="baseline"/>
    </w:pPr>
    <w:rPr>
      <w:rFonts w:ascii="宋体" w:hAnsi="宋体" w:cs="宋体"/>
      <w:b w:val="0"/>
      <w:bCs/>
      <w:color w:val="000000"/>
      <w:kern w:val="2"/>
      <w:sz w:val="28"/>
      <w:szCs w:val="20"/>
      <w:lang w:val="en-US" w:eastAsia="zh-CN" w:bidi="ar-SA"/>
    </w:rPr>
  </w:style>
  <w:style w:type="paragraph" w:customStyle="1" w:styleId="261">
    <w:name w:val="UserStyle_182"/>
    <w:basedOn w:val="1"/>
    <w:qFormat/>
    <w:uiPriority w:val="0"/>
    <w:pPr>
      <w:numPr>
        <w:ilvl w:val="0"/>
        <w:numId w:val="7"/>
      </w:numPr>
      <w:tabs>
        <w:tab w:val="left" w:pos="720"/>
        <w:tab w:val="left" w:pos="840"/>
        <w:tab w:val="left" w:pos="1053"/>
      </w:tabs>
      <w:spacing w:line="336" w:lineRule="auto"/>
      <w:jc w:val="both"/>
      <w:textAlignment w:val="baseline"/>
    </w:pPr>
    <w:rPr>
      <w:rFonts w:ascii="宋体" w:hAnsi="Times New Roman"/>
      <w:kern w:val="2"/>
      <w:sz w:val="24"/>
      <w:szCs w:val="24"/>
      <w:lang w:val="en-US" w:eastAsia="zh-CN" w:bidi="ar-SA"/>
    </w:rPr>
  </w:style>
  <w:style w:type="paragraph" w:customStyle="1" w:styleId="262">
    <w:name w:val="178"/>
    <w:semiHidden/>
    <w:qFormat/>
    <w:uiPriority w:val="0"/>
    <w:pPr>
      <w:widowControl/>
      <w:textAlignment w:val="baseline"/>
    </w:pPr>
    <w:rPr>
      <w:rFonts w:ascii="Times New Roman" w:hAnsi="Times New Roman" w:eastAsia="宋体" w:cstheme="minorBidi"/>
      <w:kern w:val="2"/>
      <w:sz w:val="21"/>
      <w:lang w:val="en-US" w:eastAsia="zh-CN" w:bidi="ar-SA"/>
    </w:rPr>
  </w:style>
  <w:style w:type="paragraph" w:customStyle="1" w:styleId="263">
    <w:name w:val="UserStyle_183"/>
    <w:basedOn w:val="1"/>
    <w:qFormat/>
    <w:uiPriority w:val="0"/>
    <w:pPr>
      <w:widowControl/>
      <w:shd w:val="clear" w:color="auto" w:fill="FFFFFF"/>
      <w:spacing w:before="100" w:beforeAutospacing="1" w:after="100" w:afterAutospacing="1"/>
      <w:jc w:val="left"/>
      <w:textAlignment w:val="baseline"/>
    </w:pPr>
    <w:rPr>
      <w:rFonts w:ascii="宋体" w:hAnsi="宋体"/>
      <w:kern w:val="0"/>
      <w:sz w:val="24"/>
      <w:szCs w:val="24"/>
      <w:lang w:val="en-US" w:eastAsia="zh-CN" w:bidi="ar-SA"/>
    </w:rPr>
  </w:style>
  <w:style w:type="paragraph" w:customStyle="1" w:styleId="264">
    <w:name w:val="UserStyle_184"/>
    <w:basedOn w:val="1"/>
    <w:autoRedefine/>
    <w:qFormat/>
    <w:uiPriority w:val="0"/>
    <w:pPr>
      <w:keepNext/>
      <w:keepLines/>
      <w:tabs>
        <w:tab w:val="left" w:pos="576"/>
      </w:tabs>
      <w:spacing w:before="100" w:after="100"/>
      <w:ind w:left="576" w:hanging="576"/>
      <w:jc w:val="both"/>
      <w:textAlignment w:val="baseline"/>
    </w:pPr>
    <w:rPr>
      <w:rFonts w:ascii="Arial" w:hAnsi="Arial"/>
      <w:b/>
      <w:kern w:val="2"/>
      <w:sz w:val="28"/>
      <w:szCs w:val="20"/>
      <w:lang w:val="en-US" w:eastAsia="zh-CN" w:bidi="ar-SA"/>
    </w:rPr>
  </w:style>
  <w:style w:type="paragraph" w:customStyle="1" w:styleId="265">
    <w:name w:val="UserStyle_185"/>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E699"/>
      <w:spacing w:before="100" w:beforeAutospacing="1" w:after="100" w:afterAutospacing="1"/>
      <w:jc w:val="center"/>
      <w:textAlignment w:val="center"/>
    </w:pPr>
    <w:rPr>
      <w:rFonts w:ascii="宋体" w:hAnsi="宋体"/>
      <w:kern w:val="0"/>
      <w:sz w:val="24"/>
      <w:szCs w:val="24"/>
      <w:lang w:val="en-US" w:eastAsia="zh-CN" w:bidi="ar-SA"/>
    </w:rPr>
  </w:style>
  <w:style w:type="paragraph" w:customStyle="1" w:styleId="266">
    <w:name w:val="UserStyle_186"/>
    <w:basedOn w:val="89"/>
    <w:next w:val="89"/>
    <w:autoRedefine/>
    <w:qFormat/>
    <w:uiPriority w:val="0"/>
    <w:pPr>
      <w:spacing w:before="120" w:after="120" w:line="240" w:lineRule="auto"/>
      <w:ind w:firstLine="0"/>
      <w:jc w:val="center"/>
      <w:textAlignment w:val="baseline"/>
    </w:pPr>
    <w:rPr>
      <w:kern w:val="2"/>
      <w:sz w:val="21"/>
      <w:szCs w:val="24"/>
      <w:lang w:val="en-US" w:eastAsia="zh-CN" w:bidi="ar-SA"/>
    </w:rPr>
  </w:style>
  <w:style w:type="paragraph" w:customStyle="1" w:styleId="267">
    <w:name w:val="UserStyle_187"/>
    <w:basedOn w:val="1"/>
    <w:autoRedefine/>
    <w:qFormat/>
    <w:uiPriority w:val="0"/>
    <w:pPr>
      <w:widowControl/>
      <w:pBdr>
        <w:top w:val="single" w:color="000000" w:sz="4" w:space="0"/>
        <w:bottom w:val="single" w:color="000000" w:sz="4" w:space="0"/>
      </w:pBdr>
      <w:spacing w:before="100" w:beforeAutospacing="1" w:after="100" w:afterAutospacing="1"/>
      <w:jc w:val="center"/>
      <w:textAlignment w:val="center"/>
    </w:pPr>
    <w:rPr>
      <w:rFonts w:ascii="宋体" w:hAnsi="宋体"/>
      <w:kern w:val="0"/>
      <w:sz w:val="24"/>
      <w:szCs w:val="24"/>
      <w:lang w:val="en-US" w:eastAsia="zh-CN" w:bidi="ar-SA"/>
    </w:rPr>
  </w:style>
  <w:style w:type="paragraph" w:customStyle="1" w:styleId="268">
    <w:name w:val="UserStyle_18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kern w:val="0"/>
      <w:sz w:val="24"/>
      <w:szCs w:val="24"/>
      <w:lang w:val="en-US" w:eastAsia="zh-CN" w:bidi="ar-SA"/>
    </w:rPr>
  </w:style>
  <w:style w:type="paragraph" w:customStyle="1" w:styleId="269">
    <w:name w:val="UserStyle_189"/>
    <w:basedOn w:val="1"/>
    <w:qFormat/>
    <w:uiPriority w:val="0"/>
    <w:pPr>
      <w:widowControl/>
      <w:pBdr>
        <w:left w:val="single" w:color="000000" w:sz="4" w:space="0"/>
        <w:bottom w:val="single" w:color="000000" w:sz="4" w:space="0"/>
        <w:right w:val="single" w:color="000000" w:sz="4" w:space="0"/>
      </w:pBdr>
      <w:shd w:val="clear" w:color="auto" w:fill="FFFFFF"/>
      <w:spacing w:before="100" w:beforeAutospacing="1" w:after="100" w:afterAutospacing="1"/>
      <w:jc w:val="center"/>
      <w:textAlignment w:val="center"/>
    </w:pPr>
    <w:rPr>
      <w:rFonts w:ascii="宋体" w:hAnsi="宋体"/>
      <w:kern w:val="0"/>
      <w:sz w:val="24"/>
      <w:szCs w:val="24"/>
      <w:lang w:val="en-US" w:eastAsia="zh-CN" w:bidi="ar-SA"/>
    </w:rPr>
  </w:style>
  <w:style w:type="paragraph" w:customStyle="1" w:styleId="270">
    <w:name w:val="UserStyle_190"/>
    <w:basedOn w:val="1"/>
    <w:autoRedefine/>
    <w:qFormat/>
    <w:uiPriority w:val="0"/>
    <w:pPr>
      <w:widowControl/>
      <w:pBdr>
        <w:left w:val="single" w:color="000000" w:sz="4" w:space="0"/>
      </w:pBdr>
      <w:shd w:val="clear" w:color="auto" w:fill="FFFFFF"/>
      <w:spacing w:before="100" w:beforeAutospacing="1" w:after="100" w:afterAutospacing="1"/>
      <w:jc w:val="center"/>
      <w:textAlignment w:val="center"/>
    </w:pPr>
    <w:rPr>
      <w:rFonts w:ascii="宋体" w:hAnsi="宋体"/>
      <w:kern w:val="0"/>
      <w:sz w:val="24"/>
      <w:szCs w:val="24"/>
      <w:lang w:val="en-US" w:eastAsia="zh-CN" w:bidi="ar-SA"/>
    </w:rPr>
  </w:style>
  <w:style w:type="paragraph" w:customStyle="1" w:styleId="271">
    <w:name w:val="UserStyle_191"/>
    <w:basedOn w:val="36"/>
    <w:autoRedefine/>
    <w:qFormat/>
    <w:uiPriority w:val="0"/>
    <w:pPr>
      <w:keepNext/>
      <w:keepLines/>
      <w:numPr>
        <w:ilvl w:val="2"/>
        <w:numId w:val="0"/>
      </w:numPr>
      <w:tabs>
        <w:tab w:val="left" w:pos="1260"/>
      </w:tabs>
      <w:spacing w:before="120" w:after="156" w:line="413" w:lineRule="auto"/>
      <w:ind w:left="1260" w:hanging="420"/>
      <w:jc w:val="both"/>
      <w:textAlignment w:val="baseline"/>
    </w:pPr>
    <w:rPr>
      <w:rFonts w:ascii="黑体" w:hAnsi="Calibri" w:eastAsia="黑体"/>
      <w:kern w:val="0"/>
      <w:sz w:val="21"/>
      <w:szCs w:val="20"/>
      <w:lang w:val="en-US" w:eastAsia="zh-CN" w:bidi="ar-SA"/>
    </w:rPr>
  </w:style>
  <w:style w:type="paragraph" w:customStyle="1" w:styleId="272">
    <w:name w:val="UserStyle_192"/>
    <w:basedOn w:val="1"/>
    <w:autoRedefine/>
    <w:qFormat/>
    <w:uiPriority w:val="0"/>
    <w:pPr>
      <w:keepNext/>
      <w:keepLines/>
      <w:tabs>
        <w:tab w:val="left" w:pos="945"/>
      </w:tabs>
      <w:spacing w:before="240" w:after="50"/>
      <w:ind w:left="945" w:hanging="420"/>
      <w:jc w:val="both"/>
      <w:textAlignment w:val="baseline"/>
    </w:pPr>
    <w:rPr>
      <w:rFonts w:ascii="Times New Roman" w:hAnsi="Times New Roman"/>
      <w:b/>
      <w:kern w:val="2"/>
      <w:sz w:val="28"/>
      <w:szCs w:val="20"/>
      <w:lang w:val="en-US" w:eastAsia="zh-CN" w:bidi="ar-SA"/>
    </w:rPr>
  </w:style>
  <w:style w:type="paragraph" w:customStyle="1" w:styleId="273">
    <w:name w:val="UserStyle_193"/>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auto" w:fill="A6A6A6"/>
      <w:spacing w:before="100" w:beforeAutospacing="1" w:after="100" w:afterAutospacing="1"/>
      <w:jc w:val="center"/>
      <w:textAlignment w:val="center"/>
    </w:pPr>
    <w:rPr>
      <w:rFonts w:ascii="宋体" w:hAnsi="宋体" w:cs="宋体"/>
      <w:b/>
      <w:bCs/>
      <w:kern w:val="0"/>
      <w:sz w:val="24"/>
      <w:szCs w:val="24"/>
      <w:lang w:val="en-US" w:eastAsia="zh-CN" w:bidi="ar-SA"/>
    </w:rPr>
  </w:style>
  <w:style w:type="paragraph" w:customStyle="1" w:styleId="274">
    <w:name w:val="UserStyle_194"/>
    <w:basedOn w:val="68"/>
    <w:qFormat/>
    <w:uiPriority w:val="0"/>
    <w:pPr>
      <w:shd w:val="clear" w:color="auto" w:fill="000080"/>
      <w:spacing w:line="436" w:lineRule="exact"/>
      <w:ind w:left="357"/>
      <w:jc w:val="left"/>
      <w:textAlignment w:val="baseline"/>
    </w:pPr>
    <w:rPr>
      <w:rFonts w:ascii="Tahoma" w:hAnsi="Tahoma"/>
      <w:b/>
      <w:kern w:val="0"/>
      <w:sz w:val="24"/>
      <w:szCs w:val="24"/>
      <w:lang w:val="en-US" w:eastAsia="zh-CN" w:bidi="ar-SA"/>
    </w:rPr>
  </w:style>
  <w:style w:type="paragraph" w:customStyle="1" w:styleId="275">
    <w:name w:val="UserStyle_195"/>
    <w:basedOn w:val="1"/>
    <w:autoRedefine/>
    <w:qFormat/>
    <w:uiPriority w:val="0"/>
    <w:pPr>
      <w:spacing w:before="120" w:after="120"/>
      <w:ind w:firstLine="560" w:firstLineChars="200"/>
      <w:jc w:val="both"/>
      <w:textAlignment w:val="baseline"/>
    </w:pPr>
    <w:rPr>
      <w:rFonts w:ascii="Times New Roman" w:hAnsi="Times New Roman"/>
      <w:kern w:val="2"/>
      <w:sz w:val="28"/>
      <w:szCs w:val="20"/>
      <w:lang w:val="en-US" w:eastAsia="zh-CN" w:bidi="ar-SA"/>
    </w:rPr>
  </w:style>
  <w:style w:type="paragraph" w:customStyle="1" w:styleId="276">
    <w:name w:val="UserStyle_196"/>
    <w:basedOn w:val="36"/>
    <w:qFormat/>
    <w:uiPriority w:val="0"/>
    <w:pPr>
      <w:keepNext/>
      <w:keepLines/>
      <w:spacing w:before="260" w:after="260"/>
      <w:jc w:val="both"/>
      <w:textAlignment w:val="baseline"/>
    </w:pPr>
    <w:rPr>
      <w:rFonts w:ascii="Times New Roman" w:hAnsi="Times New Roman"/>
      <w:kern w:val="2"/>
      <w:sz w:val="21"/>
      <w:szCs w:val="20"/>
      <w:lang w:val="en-US" w:eastAsia="zh-CN" w:bidi="ar-SA"/>
    </w:rPr>
  </w:style>
  <w:style w:type="paragraph" w:customStyle="1" w:styleId="277">
    <w:name w:val="UserStyle_197"/>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center"/>
      <w:textAlignment w:val="center"/>
    </w:pPr>
    <w:rPr>
      <w:rFonts w:ascii="宋体" w:hAnsi="宋体"/>
      <w:kern w:val="0"/>
      <w:sz w:val="24"/>
      <w:szCs w:val="24"/>
      <w:lang w:val="en-US" w:eastAsia="zh-CN" w:bidi="ar-SA"/>
    </w:rPr>
  </w:style>
  <w:style w:type="paragraph" w:customStyle="1" w:styleId="278">
    <w:name w:val="UserStyle_198"/>
    <w:basedOn w:val="139"/>
    <w:next w:val="139"/>
    <w:qFormat/>
    <w:uiPriority w:val="0"/>
    <w:pPr>
      <w:widowControl/>
      <w:topLinePunct/>
      <w:snapToGrid w:val="0"/>
      <w:spacing w:after="200" w:line="360" w:lineRule="auto"/>
      <w:ind w:firstLineChars="0"/>
      <w:jc w:val="center"/>
      <w:textAlignment w:val="baseline"/>
    </w:pPr>
    <w:rPr>
      <w:rFonts w:ascii="Times New Roman" w:hAnsi="Times New Roman" w:eastAsia="黑体"/>
      <w:b/>
      <w:spacing w:val="4"/>
      <w:kern w:val="0"/>
      <w:sz w:val="36"/>
      <w:szCs w:val="36"/>
      <w:lang w:val="en-US" w:eastAsia="zh-CN" w:bidi="ar-SA"/>
    </w:rPr>
  </w:style>
  <w:style w:type="paragraph" w:customStyle="1" w:styleId="279">
    <w:name w:val="UserStyle_199"/>
    <w:qFormat/>
    <w:uiPriority w:val="0"/>
    <w:pPr>
      <w:spacing w:after="240" w:line="240" w:lineRule="atLeast"/>
      <w:ind w:left="2304"/>
      <w:jc w:val="both"/>
      <w:textAlignment w:val="baseline"/>
    </w:pPr>
    <w:rPr>
      <w:rFonts w:ascii="Times New Roman" w:hAnsi="Times New Roman" w:eastAsia="全真中明體" w:cstheme="minorBidi"/>
      <w:spacing w:val="30"/>
      <w:sz w:val="24"/>
      <w:lang w:val="en-GB" w:eastAsia="zh-TW" w:bidi="ar-SA"/>
    </w:rPr>
  </w:style>
  <w:style w:type="paragraph" w:customStyle="1" w:styleId="280">
    <w:name w:val="UserStyle_200"/>
    <w:basedOn w:val="34"/>
    <w:autoRedefine/>
    <w:qFormat/>
    <w:uiPriority w:val="0"/>
    <w:pPr>
      <w:keepNext/>
      <w:keepLines/>
      <w:numPr>
        <w:ilvl w:val="0"/>
        <w:numId w:val="0"/>
      </w:numPr>
      <w:spacing w:before="0" w:after="0" w:line="360" w:lineRule="auto"/>
      <w:ind w:left="454"/>
      <w:jc w:val="both"/>
      <w:textAlignment w:val="baseline"/>
    </w:pPr>
    <w:rPr>
      <w:rFonts w:ascii="Arial" w:hAnsi="Arial" w:cs="宋体"/>
      <w:bCs/>
      <w:color w:val="000000"/>
      <w:kern w:val="2"/>
      <w:sz w:val="24"/>
      <w:szCs w:val="20"/>
      <w:lang w:val="en-US" w:eastAsia="zh-CN" w:bidi="ar-SA"/>
    </w:rPr>
  </w:style>
  <w:style w:type="paragraph" w:customStyle="1" w:styleId="281">
    <w:name w:val="UserStyle_201"/>
    <w:basedOn w:val="1"/>
    <w:autoRedefine/>
    <w:qFormat/>
    <w:uiPriority w:val="0"/>
    <w:pPr>
      <w:widowControl/>
      <w:tabs>
        <w:tab w:val="left" w:pos="360"/>
      </w:tabs>
      <w:spacing w:line="288" w:lineRule="auto"/>
      <w:ind w:left="360" w:hanging="360"/>
      <w:jc w:val="both"/>
      <w:textAlignment w:val="baseline"/>
    </w:pPr>
    <w:rPr>
      <w:rFonts w:ascii="Arial" w:hAnsi="Arial" w:eastAsia="PMingLiU"/>
      <w:kern w:val="0"/>
      <w:sz w:val="22"/>
      <w:szCs w:val="20"/>
      <w:lang w:val="en-GB" w:eastAsia="en-US" w:bidi="ar-SA"/>
    </w:rPr>
  </w:style>
  <w:style w:type="paragraph" w:customStyle="1" w:styleId="282">
    <w:name w:val="UserStyle_202"/>
    <w:basedOn w:val="1"/>
    <w:autoRedefine/>
    <w:qFormat/>
    <w:uiPriority w:val="0"/>
    <w:pPr>
      <w:widowControl/>
      <w:ind w:left="720"/>
      <w:jc w:val="both"/>
      <w:textAlignment w:val="baseline"/>
    </w:pPr>
    <w:rPr>
      <w:rFonts w:ascii="Times New Roman" w:hAnsi="Times New Roman" w:eastAsia="PMingLiU"/>
      <w:kern w:val="0"/>
      <w:sz w:val="22"/>
      <w:szCs w:val="20"/>
      <w:lang w:val="en-GB" w:eastAsia="en-US" w:bidi="ar-SA"/>
    </w:rPr>
  </w:style>
  <w:style w:type="paragraph" w:customStyle="1" w:styleId="283">
    <w:name w:val="UserStyle_203"/>
    <w:basedOn w:val="1"/>
    <w:qFormat/>
    <w:uiPriority w:val="0"/>
    <w:pPr>
      <w:widowControl/>
      <w:tabs>
        <w:tab w:val="left" w:pos="1080"/>
      </w:tabs>
      <w:spacing w:before="60" w:after="60" w:line="360" w:lineRule="auto"/>
      <w:jc w:val="left"/>
      <w:textAlignment w:val="baseline"/>
    </w:pPr>
    <w:rPr>
      <w:rFonts w:ascii="Times New Roman" w:hAnsi="Times New Roman"/>
      <w:kern w:val="0"/>
      <w:sz w:val="20"/>
      <w:szCs w:val="20"/>
      <w:lang w:val="en-GB" w:eastAsia="en-US" w:bidi="ar-SA"/>
    </w:rPr>
  </w:style>
  <w:style w:type="paragraph" w:customStyle="1" w:styleId="284">
    <w:name w:val="UserStyle_204"/>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textAlignment w:val="center"/>
    </w:pPr>
    <w:rPr>
      <w:rFonts w:ascii="宋体" w:hAnsi="宋体"/>
      <w:kern w:val="0"/>
      <w:sz w:val="24"/>
      <w:szCs w:val="24"/>
      <w:lang w:val="en-US" w:eastAsia="zh-CN" w:bidi="ar-SA"/>
    </w:rPr>
  </w:style>
  <w:style w:type="paragraph" w:customStyle="1" w:styleId="285">
    <w:name w:val="UserStyle_205"/>
    <w:basedOn w:val="36"/>
    <w:qFormat/>
    <w:uiPriority w:val="0"/>
    <w:pPr>
      <w:keepNext/>
      <w:keepLines/>
      <w:numPr>
        <w:ilvl w:val="1"/>
        <w:numId w:val="0"/>
      </w:numPr>
      <w:tabs>
        <w:tab w:val="left" w:pos="1050"/>
        <w:tab w:val="left" w:pos="1740"/>
      </w:tabs>
      <w:snapToGrid w:val="0"/>
      <w:spacing w:before="0" w:after="0" w:line="360" w:lineRule="auto"/>
      <w:ind w:left="1740" w:hanging="420"/>
      <w:jc w:val="left"/>
      <w:textAlignment w:val="baseline"/>
    </w:pPr>
    <w:rPr>
      <w:rFonts w:ascii="黑体" w:hAnsi="Calibri" w:eastAsia="黑体"/>
      <w:kern w:val="0"/>
      <w:sz w:val="28"/>
      <w:szCs w:val="20"/>
      <w:lang w:val="en-US" w:eastAsia="zh-CN" w:bidi="ar-SA"/>
    </w:rPr>
  </w:style>
  <w:style w:type="paragraph" w:customStyle="1" w:styleId="286">
    <w:name w:val="UserStyle_206"/>
    <w:basedOn w:val="1"/>
    <w:qFormat/>
    <w:uiPriority w:val="0"/>
    <w:pPr>
      <w:widowControl/>
      <w:spacing w:line="360" w:lineRule="auto"/>
      <w:jc w:val="both"/>
      <w:textAlignment w:val="baseline"/>
    </w:pPr>
    <w:rPr>
      <w:rFonts w:ascii="Times New Roman" w:hAnsi="Times New Roman"/>
      <w:kern w:val="0"/>
      <w:sz w:val="21"/>
      <w:szCs w:val="21"/>
      <w:lang w:val="en-US" w:eastAsia="zh-CN" w:bidi="ar-SA"/>
    </w:rPr>
  </w:style>
  <w:style w:type="paragraph" w:customStyle="1" w:styleId="287">
    <w:name w:val="UserStyle_207"/>
    <w:basedOn w:val="1"/>
    <w:qFormat/>
    <w:uiPriority w:val="0"/>
    <w:pPr>
      <w:ind w:firstLine="560" w:firstLineChars="200"/>
      <w:jc w:val="both"/>
      <w:textAlignment w:val="baseline"/>
    </w:pPr>
    <w:rPr>
      <w:rFonts w:ascii="宋体" w:hAnsi="宋体"/>
      <w:kern w:val="2"/>
      <w:sz w:val="28"/>
      <w:szCs w:val="20"/>
      <w:lang w:val="en-US" w:eastAsia="zh-CN" w:bidi="ar-SA"/>
    </w:rPr>
  </w:style>
  <w:style w:type="paragraph" w:customStyle="1" w:styleId="288">
    <w:name w:val="UserStyle_208"/>
    <w:basedOn w:val="1"/>
    <w:autoRedefine/>
    <w:qFormat/>
    <w:uiPriority w:val="0"/>
    <w:pPr>
      <w:spacing w:line="360" w:lineRule="auto"/>
      <w:jc w:val="center"/>
      <w:textAlignment w:val="baseline"/>
    </w:pPr>
    <w:rPr>
      <w:rFonts w:ascii="黑体" w:hAnsi="Times New Roman" w:eastAsia="黑体"/>
      <w:kern w:val="0"/>
      <w:sz w:val="24"/>
      <w:szCs w:val="20"/>
      <w:lang w:val="en-US" w:eastAsia="zh-CN" w:bidi="ar-SA"/>
    </w:rPr>
  </w:style>
  <w:style w:type="paragraph" w:customStyle="1" w:styleId="289">
    <w:name w:val="UserStyle_209"/>
    <w:basedOn w:val="1"/>
    <w:next w:val="1"/>
    <w:autoRedefine/>
    <w:qFormat/>
    <w:uiPriority w:val="0"/>
    <w:pPr>
      <w:jc w:val="both"/>
      <w:textAlignment w:val="baseline"/>
    </w:pPr>
  </w:style>
  <w:style w:type="paragraph" w:customStyle="1" w:styleId="290">
    <w:name w:val="UserStyle_210"/>
    <w:basedOn w:val="1"/>
    <w:qFormat/>
    <w:uiPriority w:val="0"/>
    <w:pPr>
      <w:ind w:firstLine="420" w:firstLineChars="200"/>
      <w:jc w:val="both"/>
      <w:textAlignment w:val="baseline"/>
    </w:pPr>
  </w:style>
  <w:style w:type="paragraph" w:customStyle="1" w:styleId="291">
    <w:name w:val="UserStyle_211"/>
    <w:basedOn w:val="1"/>
    <w:qFormat/>
    <w:uiPriority w:val="0"/>
    <w:pPr>
      <w:widowControl/>
      <w:pBdr>
        <w:right w:val="single" w:color="000000" w:sz="4" w:space="0"/>
      </w:pBdr>
      <w:shd w:val="clear" w:color="auto" w:fill="FFFFFF"/>
      <w:spacing w:before="100" w:beforeAutospacing="1" w:after="100" w:afterAutospacing="1"/>
      <w:jc w:val="center"/>
      <w:textAlignment w:val="center"/>
    </w:pPr>
    <w:rPr>
      <w:rFonts w:ascii="宋体" w:hAnsi="宋体"/>
      <w:kern w:val="0"/>
      <w:sz w:val="24"/>
      <w:szCs w:val="24"/>
      <w:lang w:val="en-US" w:eastAsia="zh-CN" w:bidi="ar-SA"/>
    </w:rPr>
  </w:style>
  <w:style w:type="paragraph" w:customStyle="1" w:styleId="292">
    <w:name w:val="UserStyle_212"/>
    <w:autoRedefine/>
    <w:qFormat/>
    <w:uiPriority w:val="0"/>
    <w:pPr>
      <w:widowControl/>
      <w:snapToGrid w:val="0"/>
      <w:spacing w:line="360" w:lineRule="auto"/>
      <w:ind w:firstLine="200" w:firstLineChars="200"/>
      <w:textAlignment w:val="baseline"/>
    </w:pPr>
    <w:rPr>
      <w:rFonts w:ascii="Times New Roman" w:hAnsi="Times New Roman" w:eastAsia="宋体" w:cstheme="minorBidi"/>
      <w:sz w:val="24"/>
      <w:lang w:val="en-US" w:eastAsia="zh-CN" w:bidi="ar-SA"/>
    </w:rPr>
  </w:style>
  <w:style w:type="paragraph" w:customStyle="1" w:styleId="293">
    <w:name w:val="266"/>
    <w:basedOn w:val="31"/>
    <w:next w:val="1"/>
    <w:qFormat/>
    <w:uiPriority w:val="0"/>
    <w:pPr>
      <w:keepNext/>
      <w:keepLines/>
      <w:widowControl/>
      <w:spacing w:before="480" w:after="0" w:line="276" w:lineRule="auto"/>
      <w:jc w:val="center"/>
      <w:textAlignment w:val="baseline"/>
    </w:pPr>
    <w:rPr>
      <w:rFonts w:ascii="Cambria" w:hAnsi="Cambria"/>
      <w:color w:val="365F91"/>
      <w:kern w:val="0"/>
      <w:sz w:val="28"/>
      <w:szCs w:val="28"/>
      <w:lang w:val="en-US" w:eastAsia="zh-CN" w:bidi="ar-SA"/>
    </w:rPr>
  </w:style>
  <w:style w:type="paragraph" w:customStyle="1" w:styleId="294">
    <w:name w:val="UserStyle_21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kern w:val="0"/>
      <w:sz w:val="21"/>
      <w:szCs w:val="21"/>
      <w:lang w:val="en-US" w:eastAsia="zh-CN" w:bidi="ar-SA"/>
    </w:rPr>
  </w:style>
  <w:style w:type="paragraph" w:customStyle="1" w:styleId="295">
    <w:name w:val="UserStyle_214"/>
    <w:basedOn w:val="89"/>
    <w:qFormat/>
    <w:uiPriority w:val="0"/>
    <w:pPr>
      <w:spacing w:line="240" w:lineRule="auto"/>
      <w:ind w:firstLine="0"/>
      <w:textAlignment w:val="baseline"/>
    </w:pPr>
    <w:rPr>
      <w:kern w:val="2"/>
      <w:sz w:val="21"/>
      <w:szCs w:val="24"/>
      <w:lang w:val="en-US" w:eastAsia="zh-CN" w:bidi="ar-SA"/>
    </w:rPr>
  </w:style>
  <w:style w:type="paragraph" w:customStyle="1" w:styleId="296">
    <w:name w:val="UserStyle_215"/>
    <w:basedOn w:val="1"/>
    <w:qFormat/>
    <w:uiPriority w:val="0"/>
    <w:pPr>
      <w:spacing w:before="100" w:after="100"/>
      <w:ind w:left="360" w:right="360"/>
      <w:jc w:val="left"/>
      <w:textAlignment w:val="baseline"/>
    </w:pPr>
    <w:rPr>
      <w:rFonts w:ascii="Times New Roman" w:hAnsi="Times New Roman"/>
      <w:kern w:val="0"/>
      <w:sz w:val="24"/>
      <w:szCs w:val="20"/>
      <w:lang w:val="en-US" w:eastAsia="zh-CN" w:bidi="ar-SA"/>
    </w:rPr>
  </w:style>
  <w:style w:type="paragraph" w:customStyle="1" w:styleId="297">
    <w:name w:val="UserStyle_216"/>
    <w:basedOn w:val="1"/>
    <w:qFormat/>
    <w:uiPriority w:val="0"/>
    <w:pPr>
      <w:widowControl/>
      <w:jc w:val="left"/>
      <w:textAlignment w:val="baseline"/>
    </w:pPr>
    <w:rPr>
      <w:rFonts w:ascii="Arial" w:hAnsi="Arial"/>
      <w:kern w:val="0"/>
      <w:sz w:val="18"/>
      <w:szCs w:val="20"/>
      <w:lang w:val="en-GB" w:eastAsia="fr-FR" w:bidi="ar-SA"/>
    </w:rPr>
  </w:style>
  <w:style w:type="paragraph" w:customStyle="1" w:styleId="298">
    <w:name w:val="UserStyle_217"/>
    <w:basedOn w:val="36"/>
    <w:qFormat/>
    <w:uiPriority w:val="0"/>
    <w:pPr>
      <w:keepNext/>
      <w:keepLines/>
      <w:tabs>
        <w:tab w:val="left" w:pos="1499"/>
      </w:tabs>
      <w:spacing w:before="0" w:after="0"/>
      <w:ind w:left="1499" w:hanging="567"/>
      <w:jc w:val="left"/>
      <w:textAlignment w:val="baseline"/>
    </w:pPr>
    <w:rPr>
      <w:rFonts w:ascii="Calibri" w:hAnsi="Calibri" w:eastAsia="黑体" w:cs="宋体"/>
      <w:bCs/>
      <w:kern w:val="2"/>
      <w:sz w:val="24"/>
      <w:szCs w:val="20"/>
      <w:lang w:val="en-US" w:eastAsia="zh-CN" w:bidi="ar-SA"/>
    </w:rPr>
  </w:style>
  <w:style w:type="paragraph" w:customStyle="1" w:styleId="299">
    <w:name w:val="UserStyle_218"/>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kern w:val="0"/>
      <w:sz w:val="24"/>
      <w:szCs w:val="24"/>
      <w:lang w:val="en-US" w:eastAsia="zh-CN" w:bidi="ar-SA"/>
    </w:rPr>
  </w:style>
  <w:style w:type="paragraph" w:customStyle="1" w:styleId="300">
    <w:name w:val="UserStyle_219"/>
    <w:basedOn w:val="1"/>
    <w:qFormat/>
    <w:uiPriority w:val="0"/>
    <w:pPr>
      <w:widowControl/>
      <w:spacing w:before="100" w:beforeAutospacing="1" w:after="100" w:afterAutospacing="1"/>
      <w:jc w:val="left"/>
      <w:textAlignment w:val="baseline"/>
    </w:pPr>
    <w:rPr>
      <w:rFonts w:ascii="等线" w:hAnsi="等线" w:eastAsia="等线"/>
      <w:kern w:val="0"/>
      <w:sz w:val="18"/>
      <w:szCs w:val="18"/>
      <w:lang w:val="en-US" w:eastAsia="zh-CN" w:bidi="ar-SA"/>
    </w:rPr>
  </w:style>
  <w:style w:type="paragraph" w:customStyle="1" w:styleId="301">
    <w:name w:val="UserStyle_220"/>
    <w:basedOn w:val="1"/>
    <w:qFormat/>
    <w:uiPriority w:val="0"/>
    <w:pPr>
      <w:widowControl/>
      <w:pBdr>
        <w:top w:val="single" w:color="000000" w:sz="4" w:space="0"/>
        <w:left w:val="single" w:color="000000" w:sz="4" w:space="0"/>
        <w:right w:val="single" w:color="000000" w:sz="4" w:space="0"/>
      </w:pBdr>
      <w:shd w:val="clear" w:color="auto" w:fill="FFFFFF"/>
      <w:spacing w:before="100" w:beforeAutospacing="1" w:after="100" w:afterAutospacing="1"/>
      <w:jc w:val="center"/>
      <w:textAlignment w:val="center"/>
    </w:pPr>
    <w:rPr>
      <w:rFonts w:ascii="宋体" w:hAnsi="宋体"/>
      <w:kern w:val="0"/>
      <w:sz w:val="24"/>
      <w:szCs w:val="24"/>
      <w:lang w:val="en-US" w:eastAsia="zh-CN" w:bidi="ar-SA"/>
    </w:rPr>
  </w:style>
  <w:style w:type="paragraph" w:customStyle="1" w:styleId="302">
    <w:name w:val="UserStyle_221"/>
    <w:basedOn w:val="1"/>
    <w:qFormat/>
    <w:uiPriority w:val="0"/>
    <w:pPr>
      <w:jc w:val="both"/>
      <w:textAlignment w:val="baseline"/>
    </w:pPr>
    <w:rPr>
      <w:rFonts w:ascii="Tahoma" w:hAnsi="Tahoma"/>
      <w:kern w:val="2"/>
      <w:sz w:val="24"/>
      <w:szCs w:val="20"/>
      <w:lang w:val="en-US" w:eastAsia="zh-CN" w:bidi="ar-SA"/>
    </w:rPr>
  </w:style>
  <w:style w:type="paragraph" w:customStyle="1" w:styleId="303">
    <w:name w:val="UserStyle_222"/>
    <w:basedOn w:val="1"/>
    <w:qFormat/>
    <w:uiPriority w:val="0"/>
    <w:pPr>
      <w:widowControl/>
      <w:pBdr>
        <w:top w:val="single" w:color="000000" w:sz="4" w:space="0"/>
        <w:right w:val="single" w:color="000000" w:sz="4" w:space="0"/>
      </w:pBdr>
      <w:spacing w:before="100" w:beforeAutospacing="1" w:after="100" w:afterAutospacing="1"/>
      <w:jc w:val="center"/>
      <w:textAlignment w:val="center"/>
    </w:pPr>
    <w:rPr>
      <w:rFonts w:ascii="宋体" w:hAnsi="宋体"/>
      <w:kern w:val="0"/>
      <w:sz w:val="24"/>
      <w:szCs w:val="24"/>
      <w:lang w:val="en-US" w:eastAsia="zh-CN" w:bidi="ar-SA"/>
    </w:rPr>
  </w:style>
  <w:style w:type="paragraph" w:customStyle="1" w:styleId="304">
    <w:name w:val="UserStyle_223"/>
    <w:basedOn w:val="1"/>
    <w:autoRedefine/>
    <w:qFormat/>
    <w:uiPriority w:val="0"/>
    <w:pPr>
      <w:tabs>
        <w:tab w:val="left" w:pos="420"/>
      </w:tabs>
      <w:spacing w:before="120" w:after="120" w:line="480" w:lineRule="exact"/>
      <w:jc w:val="left"/>
      <w:textAlignment w:val="baseline"/>
    </w:pPr>
    <w:rPr>
      <w:rFonts w:ascii="宋体" w:hAnsi="Times New Roman"/>
      <w:b/>
      <w:spacing w:val="10"/>
      <w:w w:val="95"/>
      <w:kern w:val="0"/>
      <w:sz w:val="28"/>
      <w:szCs w:val="24"/>
      <w:lang w:val="en-US" w:eastAsia="zh-CN" w:bidi="ar-SA"/>
    </w:rPr>
  </w:style>
  <w:style w:type="paragraph" w:customStyle="1" w:styleId="305">
    <w:name w:val="UserStyle_224"/>
    <w:basedOn w:val="1"/>
    <w:next w:val="1"/>
    <w:qFormat/>
    <w:uiPriority w:val="0"/>
    <w:pPr>
      <w:spacing w:after="278"/>
      <w:jc w:val="left"/>
      <w:textAlignment w:val="baseline"/>
    </w:pPr>
    <w:rPr>
      <w:rFonts w:ascii="LCJFL P+ Frutiger" w:hAnsi="Times New Roman" w:eastAsia="LCJFL P+ Frutiger"/>
      <w:kern w:val="0"/>
      <w:sz w:val="20"/>
      <w:szCs w:val="24"/>
      <w:lang w:val="en-US" w:eastAsia="zh-CN" w:bidi="ar-SA"/>
    </w:rPr>
  </w:style>
  <w:style w:type="paragraph" w:customStyle="1" w:styleId="306">
    <w:name w:val="UserStyle_225"/>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textAlignment w:val="center"/>
    </w:pPr>
    <w:rPr>
      <w:rFonts w:ascii="宋体" w:hAnsi="宋体"/>
      <w:kern w:val="0"/>
      <w:sz w:val="18"/>
      <w:szCs w:val="18"/>
      <w:lang w:val="en-US" w:eastAsia="zh-CN" w:bidi="ar-SA"/>
    </w:rPr>
  </w:style>
  <w:style w:type="paragraph" w:customStyle="1" w:styleId="307">
    <w:name w:val="UserStyle_226"/>
    <w:basedOn w:val="1"/>
    <w:qFormat/>
    <w:uiPriority w:val="0"/>
    <w:pPr>
      <w:tabs>
        <w:tab w:val="left" w:pos="1080"/>
      </w:tabs>
      <w:spacing w:line="360" w:lineRule="auto"/>
      <w:jc w:val="left"/>
      <w:textAlignment w:val="baseline"/>
    </w:pPr>
    <w:rPr>
      <w:rFonts w:ascii="Times New Roman" w:hAnsi="Times New Roman"/>
      <w:kern w:val="0"/>
      <w:sz w:val="24"/>
      <w:szCs w:val="24"/>
      <w:lang w:val="en-US" w:eastAsia="zh-CN" w:bidi="ar-SA"/>
    </w:rPr>
  </w:style>
  <w:style w:type="paragraph" w:customStyle="1" w:styleId="308">
    <w:name w:val="UserStyle_227"/>
    <w:basedOn w:val="35"/>
    <w:qFormat/>
    <w:uiPriority w:val="0"/>
    <w:pPr>
      <w:ind w:firstLine="0"/>
      <w:jc w:val="both"/>
      <w:textAlignment w:val="baseline"/>
    </w:pPr>
    <w:rPr>
      <w:rFonts w:ascii="仿宋_GB2312" w:hAnsi="Times New Roman" w:eastAsia="仿宋_GB2312"/>
      <w:kern w:val="2"/>
      <w:sz w:val="30"/>
      <w:szCs w:val="24"/>
      <w:lang w:val="en-US" w:eastAsia="zh-CN" w:bidi="ar-SA"/>
    </w:rPr>
  </w:style>
  <w:style w:type="paragraph" w:customStyle="1" w:styleId="309">
    <w:name w:val="UserStyle_228"/>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E699"/>
      <w:spacing w:before="100" w:beforeAutospacing="1" w:after="100" w:afterAutospacing="1"/>
      <w:jc w:val="center"/>
      <w:textAlignment w:val="center"/>
    </w:pPr>
    <w:rPr>
      <w:rFonts w:ascii="宋体" w:hAnsi="宋体"/>
      <w:kern w:val="0"/>
      <w:sz w:val="24"/>
      <w:szCs w:val="24"/>
      <w:lang w:val="en-US" w:eastAsia="zh-CN" w:bidi="ar-SA"/>
    </w:rPr>
  </w:style>
  <w:style w:type="paragraph" w:customStyle="1" w:styleId="310">
    <w:name w:val="UserStyle_229"/>
    <w:basedOn w:val="1"/>
    <w:qFormat/>
    <w:uiPriority w:val="0"/>
    <w:pPr>
      <w:jc w:val="both"/>
      <w:textAlignment w:val="baseline"/>
    </w:pPr>
    <w:rPr>
      <w:kern w:val="2"/>
      <w:sz w:val="21"/>
      <w:szCs w:val="24"/>
      <w:lang w:val="en-US" w:eastAsia="zh-CN" w:bidi="ar-SA"/>
    </w:rPr>
  </w:style>
  <w:style w:type="paragraph" w:customStyle="1" w:styleId="311">
    <w:name w:val="UserStyle_230"/>
    <w:basedOn w:val="1"/>
    <w:qFormat/>
    <w:uiPriority w:val="0"/>
    <w:pPr>
      <w:widowControl/>
      <w:spacing w:after="160" w:line="240" w:lineRule="exact"/>
      <w:jc w:val="left"/>
      <w:textAlignment w:val="baseline"/>
    </w:pPr>
    <w:rPr>
      <w:rFonts w:ascii="Verdana" w:hAnsi="Verdana"/>
      <w:kern w:val="0"/>
      <w:sz w:val="20"/>
      <w:szCs w:val="20"/>
      <w:lang w:val="en-US" w:eastAsia="en-US" w:bidi="ar-SA"/>
    </w:rPr>
  </w:style>
  <w:style w:type="paragraph" w:customStyle="1" w:styleId="312">
    <w:name w:val="UserStyle_231"/>
    <w:basedOn w:val="1"/>
    <w:qFormat/>
    <w:uiPriority w:val="0"/>
    <w:pPr>
      <w:widowControl/>
      <w:pBdr>
        <w:left w:val="single" w:color="000000" w:sz="8" w:space="0"/>
        <w:bottom w:val="single" w:color="000000" w:sz="8" w:space="0"/>
        <w:right w:val="single" w:color="000000" w:sz="4" w:space="0"/>
      </w:pBdr>
      <w:spacing w:before="100" w:beforeAutospacing="1" w:after="100" w:afterAutospacing="1"/>
      <w:jc w:val="center"/>
      <w:textAlignment w:val="baseline"/>
    </w:pPr>
    <w:rPr>
      <w:rFonts w:ascii="宋体" w:hAnsi="宋体"/>
      <w:kern w:val="0"/>
      <w:sz w:val="20"/>
      <w:szCs w:val="20"/>
      <w:lang w:val="en-US" w:eastAsia="zh-CN" w:bidi="ar-SA"/>
    </w:rPr>
  </w:style>
  <w:style w:type="paragraph" w:customStyle="1" w:styleId="313">
    <w:name w:val="UserStyle_232"/>
    <w:basedOn w:val="196"/>
    <w:qFormat/>
    <w:uiPriority w:val="0"/>
    <w:pPr>
      <w:numPr>
        <w:ilvl w:val="1"/>
        <w:numId w:val="6"/>
      </w:numPr>
      <w:tabs>
        <w:tab w:val="left" w:pos="1200"/>
      </w:tabs>
      <w:spacing w:after="120" w:line="300" w:lineRule="auto"/>
      <w:ind w:left="1200" w:hanging="720"/>
      <w:jc w:val="both"/>
      <w:textAlignment w:val="baseline"/>
    </w:pPr>
    <w:rPr>
      <w:rFonts w:ascii="宋体" w:hAnsi="宋体"/>
      <w:b w:val="0"/>
      <w:spacing w:val="2"/>
      <w:kern w:val="2"/>
      <w:sz w:val="24"/>
      <w:szCs w:val="24"/>
      <w:lang w:val="en-US" w:eastAsia="zh-CN" w:bidi="ar-SA"/>
    </w:rPr>
  </w:style>
  <w:style w:type="paragraph" w:customStyle="1" w:styleId="314">
    <w:name w:val="UserStyle_233"/>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textAlignment w:val="center"/>
    </w:pPr>
    <w:rPr>
      <w:rFonts w:ascii="宋体" w:hAnsi="宋体"/>
      <w:kern w:val="0"/>
      <w:sz w:val="24"/>
      <w:szCs w:val="24"/>
      <w:lang w:val="en-US" w:eastAsia="zh-CN" w:bidi="ar-SA"/>
    </w:rPr>
  </w:style>
  <w:style w:type="paragraph" w:customStyle="1" w:styleId="315">
    <w:name w:val="UserStyle_234"/>
    <w:basedOn w:val="1"/>
    <w:qFormat/>
    <w:uiPriority w:val="0"/>
    <w:pPr>
      <w:ind w:firstLine="200" w:firstLineChars="200"/>
      <w:jc w:val="both"/>
      <w:textAlignment w:val="baseline"/>
    </w:pPr>
    <w:rPr>
      <w:rFonts w:ascii="宋体" w:hAnsi="宋体" w:cs="Times New Roman"/>
      <w:bCs/>
      <w:kern w:val="2"/>
      <w:sz w:val="28"/>
      <w:szCs w:val="28"/>
      <w:lang w:val="en-US" w:eastAsia="zh-CN" w:bidi="ar-SA"/>
    </w:rPr>
  </w:style>
  <w:style w:type="paragraph" w:customStyle="1" w:styleId="316">
    <w:name w:val="UserStyle_235"/>
    <w:basedOn w:val="1"/>
    <w:qFormat/>
    <w:uiPriority w:val="0"/>
    <w:pPr>
      <w:keepNext/>
      <w:keepLines/>
      <w:tabs>
        <w:tab w:val="left" w:pos="425"/>
        <w:tab w:val="left" w:pos="480"/>
      </w:tabs>
      <w:spacing w:line="360" w:lineRule="exact"/>
      <w:ind w:left="425" w:hanging="425"/>
      <w:jc w:val="both"/>
      <w:textAlignment w:val="baseline"/>
    </w:pPr>
    <w:rPr>
      <w:rFonts w:ascii="Arial" w:hAnsi="Arial"/>
      <w:kern w:val="2"/>
      <w:sz w:val="28"/>
      <w:szCs w:val="20"/>
      <w:lang w:val="en-US" w:eastAsia="zh-CN" w:bidi="ar-SA"/>
    </w:rPr>
  </w:style>
  <w:style w:type="paragraph" w:customStyle="1" w:styleId="317">
    <w:name w:val="UserStyle_236"/>
    <w:qFormat/>
    <w:uiPriority w:val="0"/>
    <w:pPr>
      <w:jc w:val="both"/>
      <w:textAlignment w:val="baseline"/>
    </w:pPr>
    <w:rPr>
      <w:rFonts w:ascii="Times New Roman" w:hAnsi="Times New Roman" w:eastAsia="楷体_GB2312" w:cstheme="minorBidi"/>
      <w:lang w:val="en-US" w:eastAsia="zh-CN" w:bidi="ar-SA"/>
    </w:rPr>
  </w:style>
  <w:style w:type="paragraph" w:customStyle="1" w:styleId="318">
    <w:name w:val="UserStyle_237"/>
    <w:basedOn w:val="1"/>
    <w:qFormat/>
    <w:uiPriority w:val="0"/>
    <w:pPr>
      <w:spacing w:line="360" w:lineRule="auto"/>
      <w:ind w:firstLine="200" w:firstLineChars="200"/>
      <w:jc w:val="left"/>
      <w:textAlignment w:val="baseline"/>
    </w:pPr>
    <w:rPr>
      <w:rFonts w:ascii="Times New Roman" w:hAnsi="Times New Roman"/>
      <w:kern w:val="0"/>
      <w:sz w:val="24"/>
      <w:szCs w:val="20"/>
      <w:lang w:val="en-US" w:eastAsia="zh-CN" w:bidi="ar-SA"/>
    </w:rPr>
  </w:style>
  <w:style w:type="paragraph" w:customStyle="1" w:styleId="319">
    <w:name w:val="UserStyle_238"/>
    <w:basedOn w:val="1"/>
    <w:autoRedefine/>
    <w:qFormat/>
    <w:uiPriority w:val="0"/>
    <w:pPr>
      <w:jc w:val="both"/>
      <w:textAlignment w:val="baseline"/>
    </w:pPr>
    <w:rPr>
      <w:rFonts w:ascii="Tahoma" w:hAnsi="Tahoma"/>
      <w:kern w:val="2"/>
      <w:sz w:val="24"/>
      <w:szCs w:val="20"/>
      <w:lang w:val="en-US" w:eastAsia="zh-CN" w:bidi="ar-SA"/>
    </w:rPr>
  </w:style>
  <w:style w:type="paragraph" w:customStyle="1" w:styleId="320">
    <w:name w:val="UserStyle_239"/>
    <w:basedOn w:val="1"/>
    <w:autoRedefine/>
    <w:qFormat/>
    <w:uiPriority w:val="0"/>
    <w:pPr>
      <w:widowControl/>
      <w:pBdr>
        <w:left w:val="single" w:color="000000" w:sz="4" w:space="0"/>
        <w:right w:val="single" w:color="000000" w:sz="4" w:space="0"/>
      </w:pBdr>
      <w:shd w:val="clear" w:color="auto" w:fill="FFFFFF"/>
      <w:spacing w:before="100" w:beforeAutospacing="1" w:after="100" w:afterAutospacing="1"/>
      <w:jc w:val="center"/>
      <w:textAlignment w:val="center"/>
    </w:pPr>
    <w:rPr>
      <w:rFonts w:ascii="宋体" w:hAnsi="宋体"/>
      <w:kern w:val="0"/>
      <w:sz w:val="24"/>
      <w:szCs w:val="24"/>
      <w:lang w:val="en-US" w:eastAsia="zh-CN" w:bidi="ar-SA"/>
    </w:rPr>
  </w:style>
  <w:style w:type="paragraph" w:customStyle="1" w:styleId="321">
    <w:name w:val="UserStyle_240"/>
    <w:basedOn w:val="1"/>
    <w:qFormat/>
    <w:uiPriority w:val="0"/>
    <w:pPr>
      <w:widowControl/>
      <w:spacing w:after="160" w:line="240" w:lineRule="exact"/>
      <w:jc w:val="left"/>
      <w:textAlignment w:val="baseline"/>
    </w:pPr>
    <w:rPr>
      <w:rFonts w:ascii="Verdana" w:hAnsi="Verdana" w:eastAsia="仿宋_GB2312"/>
      <w:kern w:val="0"/>
      <w:sz w:val="24"/>
      <w:szCs w:val="20"/>
      <w:lang w:val="en-US" w:eastAsia="en-US" w:bidi="ar-SA"/>
    </w:rPr>
  </w:style>
  <w:style w:type="paragraph" w:customStyle="1" w:styleId="322">
    <w:name w:val="UserStyle_241"/>
    <w:basedOn w:val="1"/>
    <w:qFormat/>
    <w:uiPriority w:val="0"/>
    <w:pPr>
      <w:widowControl/>
      <w:pBdr>
        <w:top w:val="single" w:color="000000" w:sz="4" w:space="0"/>
        <w:bottom w:val="single" w:color="000000" w:sz="4" w:space="0"/>
        <w:right w:val="single" w:color="000000" w:sz="4" w:space="0"/>
      </w:pBdr>
      <w:shd w:val="clear" w:color="auto" w:fill="A6A6A6"/>
      <w:spacing w:before="100" w:beforeAutospacing="1" w:after="100" w:afterAutospacing="1"/>
      <w:jc w:val="center"/>
      <w:textAlignment w:val="center"/>
    </w:pPr>
    <w:rPr>
      <w:rFonts w:ascii="宋体" w:hAnsi="宋体" w:cs="宋体"/>
      <w:b/>
      <w:bCs/>
      <w:kern w:val="0"/>
      <w:sz w:val="24"/>
      <w:szCs w:val="24"/>
      <w:lang w:val="en-US" w:eastAsia="zh-CN" w:bidi="ar-SA"/>
    </w:rPr>
  </w:style>
  <w:style w:type="paragraph" w:customStyle="1" w:styleId="323">
    <w:name w:val="UserStyle_242"/>
    <w:basedOn w:val="1"/>
    <w:qFormat/>
    <w:uiPriority w:val="0"/>
    <w:pPr>
      <w:ind w:left="567" w:hanging="279"/>
      <w:jc w:val="both"/>
      <w:textAlignment w:val="baseline"/>
    </w:pPr>
    <w:rPr>
      <w:rFonts w:ascii="Times New Roman" w:hAnsi="Times New Roman"/>
      <w:kern w:val="2"/>
      <w:sz w:val="24"/>
      <w:szCs w:val="24"/>
      <w:lang w:val="en-US" w:eastAsia="zh-CN" w:bidi="ar-SA"/>
    </w:rPr>
  </w:style>
  <w:style w:type="paragraph" w:customStyle="1" w:styleId="324">
    <w:name w:val="UserStyle_243"/>
    <w:next w:val="1"/>
    <w:autoRedefine/>
    <w:qFormat/>
    <w:uiPriority w:val="0"/>
    <w:pPr>
      <w:keepNext/>
      <w:spacing w:before="160" w:after="60"/>
      <w:textAlignment w:val="baseline"/>
    </w:pPr>
    <w:rPr>
      <w:rFonts w:ascii="Arial" w:hAnsi="Arial" w:eastAsia="宋体" w:cs="Times New Roman"/>
      <w:b/>
      <w:bCs/>
      <w:kern w:val="44"/>
      <w:sz w:val="44"/>
      <w:szCs w:val="44"/>
      <w:lang w:val="en-US" w:eastAsia="zh-CN" w:bidi="ar-SA"/>
    </w:rPr>
  </w:style>
  <w:style w:type="paragraph" w:customStyle="1" w:styleId="325">
    <w:name w:val="UserStyle_244"/>
    <w:basedOn w:val="34"/>
    <w:qFormat/>
    <w:uiPriority w:val="0"/>
    <w:pPr>
      <w:keepNext/>
      <w:keepLines/>
      <w:numPr>
        <w:ilvl w:val="0"/>
        <w:numId w:val="0"/>
      </w:numPr>
      <w:spacing w:before="100" w:after="0" w:line="400" w:lineRule="exact"/>
      <w:ind w:left="454"/>
      <w:jc w:val="both"/>
      <w:textAlignment w:val="baseline"/>
    </w:pPr>
    <w:rPr>
      <w:rFonts w:ascii="Times New Roman" w:hAnsi="Times New Roman" w:eastAsia="黑体"/>
      <w:b w:val="0"/>
      <w:color w:val="000000"/>
      <w:kern w:val="0"/>
      <w:sz w:val="32"/>
      <w:szCs w:val="32"/>
      <w:lang w:val="en-US" w:eastAsia="zh-CN" w:bidi="ar-SA"/>
    </w:rPr>
  </w:style>
  <w:style w:type="paragraph" w:customStyle="1" w:styleId="326">
    <w:name w:val="UserStyle_245"/>
    <w:basedOn w:val="1"/>
    <w:qFormat/>
    <w:uiPriority w:val="0"/>
    <w:pPr>
      <w:spacing w:line="480" w:lineRule="atLeast"/>
      <w:ind w:firstLine="567"/>
      <w:jc w:val="both"/>
      <w:textAlignment w:val="baseline"/>
    </w:pPr>
    <w:rPr>
      <w:rFonts w:ascii="仿宋_GB2312" w:hAnsi="Times New Roman" w:eastAsia="仿宋_GB2312"/>
      <w:kern w:val="0"/>
      <w:sz w:val="28"/>
      <w:szCs w:val="20"/>
      <w:lang w:val="en-US" w:eastAsia="zh-CN" w:bidi="ar-SA"/>
    </w:rPr>
  </w:style>
  <w:style w:type="paragraph" w:customStyle="1" w:styleId="327">
    <w:name w:val="UserStyle_246"/>
    <w:basedOn w:val="68"/>
    <w:qFormat/>
    <w:uiPriority w:val="0"/>
    <w:pPr>
      <w:shd w:val="clear" w:color="auto" w:fill="000080"/>
      <w:jc w:val="both"/>
      <w:textAlignment w:val="baseline"/>
    </w:pPr>
    <w:rPr>
      <w:rFonts w:ascii="Tahoma" w:hAnsi="Tahoma"/>
      <w:kern w:val="0"/>
      <w:sz w:val="24"/>
      <w:szCs w:val="24"/>
      <w:lang w:val="en-US" w:eastAsia="zh-CN" w:bidi="ar-SA"/>
    </w:rPr>
  </w:style>
  <w:style w:type="paragraph" w:customStyle="1" w:styleId="328">
    <w:name w:val="UserStyle_247"/>
    <w:basedOn w:val="1"/>
    <w:next w:val="1"/>
    <w:autoRedefine/>
    <w:qFormat/>
    <w:uiPriority w:val="0"/>
    <w:pPr>
      <w:widowControl/>
      <w:tabs>
        <w:tab w:val="left" w:pos="777"/>
      </w:tabs>
      <w:spacing w:line="360" w:lineRule="auto"/>
      <w:ind w:left="2210" w:hanging="748"/>
      <w:jc w:val="center"/>
      <w:textAlignment w:val="baseline"/>
    </w:pPr>
    <w:rPr>
      <w:rFonts w:ascii="宋体" w:hAnsi="宋体"/>
      <w:kern w:val="0"/>
      <w:sz w:val="24"/>
      <w:szCs w:val="24"/>
      <w:lang w:val="en-US" w:eastAsia="zh-CN" w:bidi="ar-SA"/>
    </w:rPr>
  </w:style>
  <w:style w:type="paragraph" w:customStyle="1" w:styleId="329">
    <w:name w:val="UserStyle_248"/>
    <w:next w:val="1"/>
    <w:qFormat/>
    <w:uiPriority w:val="0"/>
    <w:pPr>
      <w:keepNext/>
      <w:widowControl/>
      <w:spacing w:before="240" w:after="120"/>
      <w:textAlignment w:val="baseline"/>
    </w:pPr>
    <w:rPr>
      <w:rFonts w:ascii="Arial" w:hAnsi="Arial" w:eastAsia="仿宋_GB2312" w:cstheme="minorBidi"/>
      <w:b/>
      <w:kern w:val="2"/>
      <w:sz w:val="32"/>
      <w:szCs w:val="24"/>
      <w:lang w:val="en-US" w:eastAsia="zh-CN" w:bidi="ar-SA"/>
    </w:rPr>
  </w:style>
  <w:style w:type="paragraph" w:customStyle="1" w:styleId="330">
    <w:name w:val="UserStyle_249"/>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textAlignment w:val="center"/>
    </w:pPr>
    <w:rPr>
      <w:rFonts w:ascii="宋体" w:hAnsi="宋体"/>
      <w:kern w:val="0"/>
      <w:sz w:val="24"/>
      <w:szCs w:val="24"/>
      <w:lang w:val="en-US" w:eastAsia="zh-CN" w:bidi="ar-SA"/>
    </w:rPr>
  </w:style>
  <w:style w:type="paragraph" w:customStyle="1" w:styleId="331">
    <w:name w:val="UserStyle_250"/>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textAlignment w:val="center"/>
    </w:pPr>
    <w:rPr>
      <w:rFonts w:ascii="宋体" w:hAnsi="宋体"/>
      <w:kern w:val="0"/>
      <w:sz w:val="24"/>
      <w:szCs w:val="24"/>
      <w:lang w:val="en-US" w:eastAsia="zh-CN" w:bidi="ar-SA"/>
    </w:rPr>
  </w:style>
  <w:style w:type="paragraph" w:customStyle="1" w:styleId="332">
    <w:name w:val="UserStyle_251"/>
    <w:basedOn w:val="1"/>
    <w:autoRedefine/>
    <w:qFormat/>
    <w:uiPriority w:val="0"/>
    <w:pPr>
      <w:widowControl/>
      <w:pBdr>
        <w:left w:val="single" w:color="000000" w:sz="4" w:space="0"/>
        <w:right w:val="single" w:color="000000" w:sz="4" w:space="0"/>
      </w:pBdr>
      <w:shd w:val="clear" w:color="auto" w:fill="FFFFFF"/>
      <w:spacing w:before="100" w:beforeAutospacing="1" w:after="100" w:afterAutospacing="1"/>
      <w:jc w:val="center"/>
      <w:textAlignment w:val="center"/>
    </w:pPr>
    <w:rPr>
      <w:rFonts w:ascii="宋体" w:hAnsi="宋体"/>
      <w:kern w:val="0"/>
      <w:sz w:val="24"/>
      <w:szCs w:val="24"/>
      <w:lang w:val="en-US" w:eastAsia="zh-CN" w:bidi="ar-SA"/>
    </w:rPr>
  </w:style>
  <w:style w:type="paragraph" w:customStyle="1" w:styleId="333">
    <w:name w:val="UserStyle_252"/>
    <w:basedOn w:val="1"/>
    <w:qFormat/>
    <w:uiPriority w:val="0"/>
    <w:pPr>
      <w:widowControl/>
      <w:pBdr>
        <w:right w:val="single" w:color="000000" w:sz="4" w:space="0"/>
      </w:pBdr>
      <w:spacing w:before="100" w:beforeAutospacing="1" w:after="100" w:afterAutospacing="1"/>
      <w:jc w:val="center"/>
      <w:textAlignment w:val="center"/>
    </w:pPr>
    <w:rPr>
      <w:rFonts w:ascii="宋体" w:hAnsi="宋体"/>
      <w:kern w:val="0"/>
      <w:sz w:val="24"/>
      <w:szCs w:val="24"/>
      <w:lang w:val="en-US" w:eastAsia="zh-CN" w:bidi="ar-SA"/>
    </w:rPr>
  </w:style>
  <w:style w:type="paragraph" w:customStyle="1" w:styleId="334">
    <w:name w:val="UserStyle_253"/>
    <w:qFormat/>
    <w:uiPriority w:val="0"/>
    <w:pPr>
      <w:jc w:val="both"/>
      <w:textAlignment w:val="baseline"/>
    </w:pPr>
    <w:rPr>
      <w:rFonts w:ascii="Times New Roman" w:hAnsi="Times New Roman" w:eastAsia="宋体" w:cstheme="minorBidi"/>
      <w:kern w:val="2"/>
      <w:sz w:val="21"/>
      <w:lang w:val="en-US" w:eastAsia="zh-CN" w:bidi="ar-SA"/>
    </w:rPr>
  </w:style>
  <w:style w:type="paragraph" w:customStyle="1" w:styleId="335">
    <w:name w:val="UserStyle_254"/>
    <w:basedOn w:val="1"/>
    <w:qFormat/>
    <w:uiPriority w:val="0"/>
    <w:pPr>
      <w:spacing w:line="312" w:lineRule="atLeast"/>
      <w:jc w:val="both"/>
      <w:textAlignment w:val="baseline"/>
    </w:pPr>
    <w:rPr>
      <w:rFonts w:ascii="Times New Roman" w:hAnsi="Times New Roman"/>
      <w:kern w:val="0"/>
      <w:sz w:val="21"/>
      <w:szCs w:val="20"/>
      <w:lang w:val="en-US" w:eastAsia="zh-CN" w:bidi="ar-SA"/>
    </w:rPr>
  </w:style>
  <w:style w:type="paragraph" w:customStyle="1" w:styleId="336">
    <w:name w:val="UserStyle_255"/>
    <w:basedOn w:val="1"/>
    <w:qFormat/>
    <w:uiPriority w:val="0"/>
    <w:pPr>
      <w:widowControl/>
      <w:jc w:val="both"/>
      <w:textAlignment w:val="baseline"/>
    </w:pPr>
    <w:rPr>
      <w:kern w:val="0"/>
      <w:sz w:val="21"/>
      <w:szCs w:val="21"/>
      <w:lang w:val="en-US" w:eastAsia="zh-CN" w:bidi="ar-SA"/>
    </w:rPr>
  </w:style>
  <w:style w:type="paragraph" w:customStyle="1" w:styleId="337">
    <w:name w:val="UserStyle_256"/>
    <w:qFormat/>
    <w:uiPriority w:val="0"/>
    <w:pPr>
      <w:widowControl/>
      <w:numPr>
        <w:ilvl w:val="1"/>
        <w:numId w:val="8"/>
      </w:numPr>
      <w:spacing w:before="120" w:after="120" w:line="300" w:lineRule="auto"/>
      <w:ind w:left="0" w:firstLine="0"/>
      <w:textAlignment w:val="baseline"/>
    </w:pPr>
    <w:rPr>
      <w:rFonts w:ascii="宋体" w:hAnsi="Times New Roman" w:eastAsia="宋体" w:cstheme="minorBidi"/>
      <w:spacing w:val="10"/>
      <w:w w:val="95"/>
      <w:sz w:val="21"/>
      <w:lang w:val="en-US" w:eastAsia="zh-CN" w:bidi="ar-SA"/>
    </w:rPr>
  </w:style>
  <w:style w:type="paragraph" w:customStyle="1" w:styleId="338">
    <w:name w:val="UserStyle_257"/>
    <w:basedOn w:val="1"/>
    <w:qFormat/>
    <w:uiPriority w:val="0"/>
    <w:pPr>
      <w:jc w:val="both"/>
      <w:textAlignment w:val="baseline"/>
    </w:pPr>
    <w:rPr>
      <w:kern w:val="2"/>
      <w:sz w:val="30"/>
      <w:szCs w:val="24"/>
      <w:lang w:val="en-US" w:eastAsia="zh-CN" w:bidi="ar-SA"/>
    </w:rPr>
  </w:style>
  <w:style w:type="paragraph" w:customStyle="1" w:styleId="339">
    <w:name w:val="UserStyle_258"/>
    <w:basedOn w:val="1"/>
    <w:qFormat/>
    <w:uiPriority w:val="0"/>
    <w:pPr>
      <w:widowControl/>
      <w:pBdr>
        <w:bottom w:val="single" w:color="000000" w:sz="4" w:space="0"/>
        <w:right w:val="single" w:color="000000" w:sz="4" w:space="0"/>
      </w:pBdr>
      <w:shd w:val="clear" w:color="auto" w:fill="FFFFFF"/>
      <w:spacing w:before="100" w:beforeAutospacing="1" w:after="100" w:afterAutospacing="1"/>
      <w:jc w:val="center"/>
      <w:textAlignment w:val="center"/>
    </w:pPr>
    <w:rPr>
      <w:rFonts w:ascii="宋体" w:hAnsi="宋体"/>
      <w:kern w:val="0"/>
      <w:sz w:val="24"/>
      <w:szCs w:val="24"/>
      <w:lang w:val="en-US" w:eastAsia="zh-CN" w:bidi="ar-SA"/>
    </w:rPr>
  </w:style>
  <w:style w:type="paragraph" w:customStyle="1" w:styleId="340">
    <w:name w:val="UserStyle_259"/>
    <w:basedOn w:val="1"/>
    <w:autoRedefine/>
    <w:qFormat/>
    <w:uiPriority w:val="0"/>
    <w:pPr>
      <w:widowControl/>
      <w:pBdr>
        <w:top w:val="single" w:color="000000" w:sz="4" w:space="0"/>
        <w:left w:val="single" w:color="000000" w:sz="4" w:space="0"/>
        <w:bottom w:val="single" w:color="000000" w:sz="4" w:space="0"/>
      </w:pBdr>
      <w:shd w:val="clear" w:color="auto" w:fill="A6A6A6"/>
      <w:spacing w:before="100" w:beforeAutospacing="1" w:after="100" w:afterAutospacing="1"/>
      <w:jc w:val="center"/>
      <w:textAlignment w:val="center"/>
    </w:pPr>
    <w:rPr>
      <w:rFonts w:ascii="宋体" w:hAnsi="宋体" w:cs="宋体"/>
      <w:b/>
      <w:bCs/>
      <w:kern w:val="0"/>
      <w:sz w:val="24"/>
      <w:szCs w:val="24"/>
      <w:lang w:val="en-US" w:eastAsia="zh-CN" w:bidi="ar-SA"/>
    </w:rPr>
  </w:style>
  <w:style w:type="paragraph" w:customStyle="1" w:styleId="341">
    <w:name w:val="UserStyle_260"/>
    <w:basedOn w:val="1"/>
    <w:qFormat/>
    <w:uiPriority w:val="0"/>
    <w:pPr>
      <w:jc w:val="both"/>
      <w:textAlignment w:val="baseline"/>
    </w:pPr>
    <w:rPr>
      <w:rFonts w:ascii="Tahoma" w:hAnsi="Tahoma"/>
      <w:kern w:val="2"/>
      <w:sz w:val="24"/>
      <w:szCs w:val="20"/>
      <w:lang w:val="en-US" w:eastAsia="zh-CN" w:bidi="ar-SA"/>
    </w:rPr>
  </w:style>
  <w:style w:type="paragraph" w:customStyle="1" w:styleId="342">
    <w:name w:val="UserStyle_26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kern w:val="0"/>
      <w:sz w:val="24"/>
      <w:szCs w:val="24"/>
      <w:lang w:val="en-US" w:eastAsia="zh-CN" w:bidi="ar-SA"/>
    </w:rPr>
  </w:style>
  <w:style w:type="paragraph" w:customStyle="1" w:styleId="343">
    <w:name w:val="UserStyle_262"/>
    <w:basedOn w:val="1"/>
    <w:qFormat/>
    <w:uiPriority w:val="0"/>
    <w:pPr>
      <w:widowControl/>
      <w:pBdr>
        <w:left w:val="single" w:color="000000" w:sz="4" w:space="0"/>
        <w:bottom w:val="single" w:color="000000" w:sz="4" w:space="0"/>
      </w:pBdr>
      <w:shd w:val="clear" w:color="auto" w:fill="FFFFFF"/>
      <w:spacing w:before="100" w:beforeAutospacing="1" w:after="100" w:afterAutospacing="1"/>
      <w:jc w:val="center"/>
      <w:textAlignment w:val="center"/>
    </w:pPr>
    <w:rPr>
      <w:rFonts w:ascii="宋体" w:hAnsi="宋体"/>
      <w:kern w:val="0"/>
      <w:sz w:val="24"/>
      <w:szCs w:val="24"/>
      <w:lang w:val="en-US" w:eastAsia="zh-CN" w:bidi="ar-SA"/>
    </w:rPr>
  </w:style>
  <w:style w:type="paragraph" w:customStyle="1" w:styleId="344">
    <w:name w:val="UserStyle_263"/>
    <w:basedOn w:val="1"/>
    <w:qFormat/>
    <w:uiPriority w:val="0"/>
    <w:pPr>
      <w:jc w:val="both"/>
      <w:textAlignment w:val="baseline"/>
    </w:pPr>
    <w:rPr>
      <w:rFonts w:ascii="Times New Roman" w:hAnsi="Times New Roman"/>
      <w:kern w:val="2"/>
      <w:sz w:val="21"/>
      <w:szCs w:val="24"/>
      <w:lang w:val="en-US" w:eastAsia="zh-CN" w:bidi="ar-SA"/>
    </w:rPr>
  </w:style>
  <w:style w:type="paragraph" w:customStyle="1" w:styleId="345">
    <w:name w:val="UserStyle_264"/>
    <w:basedOn w:val="1"/>
    <w:qFormat/>
    <w:uiPriority w:val="0"/>
    <w:pPr>
      <w:widowControl/>
      <w:pBdr>
        <w:left w:val="single" w:color="000000" w:sz="8" w:space="0"/>
        <w:bottom w:val="single" w:color="000000" w:sz="4" w:space="0"/>
        <w:right w:val="single" w:color="000000" w:sz="4" w:space="0"/>
      </w:pBdr>
      <w:spacing w:before="100" w:beforeAutospacing="1" w:after="100" w:afterAutospacing="1"/>
      <w:jc w:val="left"/>
      <w:textAlignment w:val="baseline"/>
    </w:pPr>
    <w:rPr>
      <w:rFonts w:ascii="Arial Unicode MS" w:hAnsi="Arial Unicode MS"/>
      <w:kern w:val="0"/>
      <w:sz w:val="24"/>
      <w:szCs w:val="24"/>
      <w:lang w:val="en-US" w:eastAsia="en-US" w:bidi="ar-SA"/>
    </w:rPr>
  </w:style>
  <w:style w:type="paragraph" w:customStyle="1" w:styleId="346">
    <w:name w:val="UserStyle_265"/>
    <w:basedOn w:val="36"/>
    <w:qFormat/>
    <w:uiPriority w:val="0"/>
    <w:pPr>
      <w:keepNext/>
      <w:keepLines/>
      <w:numPr>
        <w:ilvl w:val="2"/>
        <w:numId w:val="0"/>
      </w:numPr>
      <w:tabs>
        <w:tab w:val="left" w:pos="1050"/>
      </w:tabs>
      <w:snapToGrid w:val="0"/>
      <w:spacing w:before="0" w:after="0" w:line="360" w:lineRule="auto"/>
      <w:ind w:left="1710" w:hanging="1134"/>
      <w:jc w:val="left"/>
      <w:textAlignment w:val="baseline"/>
    </w:pPr>
    <w:rPr>
      <w:rFonts w:ascii="黑体" w:hAnsi="Calibri" w:eastAsia="黑体"/>
      <w:kern w:val="0"/>
      <w:sz w:val="28"/>
      <w:szCs w:val="20"/>
      <w:lang w:val="en-US" w:eastAsia="zh-CN" w:bidi="ar-SA"/>
    </w:rPr>
  </w:style>
  <w:style w:type="paragraph" w:customStyle="1" w:styleId="347">
    <w:name w:val="UserStyle_266"/>
    <w:basedOn w:val="1"/>
    <w:autoRedefine/>
    <w:qFormat/>
    <w:uiPriority w:val="0"/>
    <w:pPr>
      <w:widowControl/>
      <w:pBdr>
        <w:top w:val="single" w:color="000000" w:sz="4" w:space="0"/>
        <w:left w:val="single" w:color="000000" w:sz="4" w:space="0"/>
        <w:right w:val="single" w:color="000000" w:sz="4" w:space="0"/>
      </w:pBdr>
      <w:shd w:val="clear" w:color="auto" w:fill="FFFFFF"/>
      <w:spacing w:before="100" w:beforeAutospacing="1" w:after="100" w:afterAutospacing="1"/>
      <w:jc w:val="center"/>
      <w:textAlignment w:val="center"/>
    </w:pPr>
    <w:rPr>
      <w:rFonts w:ascii="宋体" w:hAnsi="宋体"/>
      <w:kern w:val="0"/>
      <w:sz w:val="24"/>
      <w:szCs w:val="24"/>
      <w:lang w:val="en-US" w:eastAsia="zh-CN" w:bidi="ar-SA"/>
    </w:rPr>
  </w:style>
  <w:style w:type="paragraph" w:customStyle="1" w:styleId="348">
    <w:name w:val="UserStyle_267"/>
    <w:qFormat/>
    <w:uiPriority w:val="0"/>
    <w:pPr>
      <w:widowControl/>
      <w:spacing w:before="120" w:after="120" w:line="480" w:lineRule="exact"/>
      <w:textAlignment w:val="baseline"/>
    </w:pPr>
    <w:rPr>
      <w:rFonts w:ascii="宋体" w:hAnsi="Times New Roman" w:eastAsia="宋体" w:cstheme="minorBidi"/>
      <w:b/>
      <w:spacing w:val="10"/>
      <w:w w:val="95"/>
      <w:sz w:val="21"/>
      <w:lang w:val="en-US" w:eastAsia="zh-CN" w:bidi="ar-SA"/>
    </w:rPr>
  </w:style>
  <w:style w:type="paragraph" w:customStyle="1" w:styleId="349">
    <w:name w:val="UserStyle_268"/>
    <w:basedOn w:val="1"/>
    <w:qFormat/>
    <w:uiPriority w:val="0"/>
    <w:pPr>
      <w:ind w:firstLine="420" w:firstLineChars="200"/>
      <w:jc w:val="both"/>
      <w:textAlignment w:val="baseline"/>
    </w:pPr>
  </w:style>
  <w:style w:type="paragraph" w:customStyle="1" w:styleId="350">
    <w:name w:val="UserStyle_269"/>
    <w:basedOn w:val="68"/>
    <w:qFormat/>
    <w:uiPriority w:val="0"/>
    <w:pPr>
      <w:shd w:val="clear" w:color="auto" w:fill="000080"/>
      <w:spacing w:line="436" w:lineRule="exact"/>
      <w:ind w:left="357"/>
      <w:jc w:val="left"/>
      <w:textAlignment w:val="baseline"/>
    </w:pPr>
    <w:rPr>
      <w:rFonts w:ascii="Tahoma" w:hAnsi="Tahoma"/>
      <w:b/>
      <w:kern w:val="0"/>
      <w:sz w:val="24"/>
      <w:szCs w:val="24"/>
      <w:lang w:val="en-US" w:eastAsia="zh-CN" w:bidi="ar-SA"/>
    </w:rPr>
  </w:style>
  <w:style w:type="paragraph" w:customStyle="1" w:styleId="351">
    <w:name w:val="UserStyle_270"/>
    <w:basedOn w:val="1"/>
    <w:qFormat/>
    <w:uiPriority w:val="0"/>
    <w:pPr>
      <w:keepNext/>
      <w:keepLines/>
      <w:tabs>
        <w:tab w:val="left" w:pos="480"/>
        <w:tab w:val="left" w:pos="1800"/>
      </w:tabs>
      <w:spacing w:line="360" w:lineRule="exact"/>
      <w:ind w:left="1800" w:hanging="420"/>
      <w:jc w:val="both"/>
      <w:textAlignment w:val="baseline"/>
    </w:pPr>
    <w:rPr>
      <w:rFonts w:ascii="Arial" w:hAnsi="Arial" w:cs="宋体"/>
      <w:b/>
      <w:bCs/>
      <w:kern w:val="2"/>
      <w:sz w:val="28"/>
      <w:szCs w:val="28"/>
      <w:lang w:val="en-US" w:eastAsia="zh-CN" w:bidi="ar-SA"/>
    </w:rPr>
  </w:style>
  <w:style w:type="paragraph" w:customStyle="1" w:styleId="352">
    <w:name w:val="UserStyle_271"/>
    <w:basedOn w:val="1"/>
    <w:qFormat/>
    <w:uiPriority w:val="0"/>
    <w:pPr>
      <w:keepNext/>
      <w:keepLines/>
      <w:tabs>
        <w:tab w:val="left" w:pos="630"/>
        <w:tab w:val="left" w:pos="780"/>
      </w:tabs>
      <w:snapToGrid w:val="0"/>
      <w:spacing w:line="360" w:lineRule="auto"/>
      <w:ind w:left="780" w:hanging="360"/>
      <w:jc w:val="left"/>
      <w:textAlignment w:val="baseline"/>
    </w:pPr>
    <w:rPr>
      <w:rFonts w:ascii="Arial" w:hAnsi="Arial" w:eastAsia="黑体" w:cs="宋体"/>
      <w:b/>
      <w:bCs/>
      <w:kern w:val="2"/>
      <w:sz w:val="28"/>
      <w:szCs w:val="20"/>
      <w:lang w:val="en-US" w:eastAsia="zh-CN" w:bidi="ar-SA"/>
    </w:rPr>
  </w:style>
  <w:style w:type="paragraph" w:customStyle="1" w:styleId="353">
    <w:name w:val="UserStyle_272"/>
    <w:basedOn w:val="216"/>
    <w:next w:val="1"/>
    <w:autoRedefine/>
    <w:qFormat/>
    <w:uiPriority w:val="0"/>
    <w:pPr>
      <w:keepNext/>
      <w:widowControl/>
      <w:numPr>
        <w:ilvl w:val="1"/>
        <w:numId w:val="1"/>
      </w:numPr>
      <w:jc w:val="left"/>
      <w:textAlignment w:val="baseline"/>
    </w:pPr>
    <w:rPr>
      <w:rFonts w:ascii="Times New Roman" w:hAnsi="Times New Roman"/>
      <w:b w:val="0"/>
      <w:caps w:val="0"/>
      <w:kern w:val="0"/>
      <w:sz w:val="24"/>
      <w:szCs w:val="20"/>
      <w:lang w:val="en-GB" w:eastAsia="en-US" w:bidi="ar-SA"/>
    </w:rPr>
  </w:style>
  <w:style w:type="paragraph" w:customStyle="1" w:styleId="354">
    <w:name w:val="UserStyle_273"/>
    <w:basedOn w:val="1"/>
    <w:qFormat/>
    <w:uiPriority w:val="0"/>
    <w:pPr>
      <w:widowControl/>
      <w:tabs>
        <w:tab w:val="left" w:pos="360"/>
      </w:tabs>
      <w:spacing w:line="360" w:lineRule="auto"/>
      <w:ind w:left="360" w:hanging="360"/>
      <w:jc w:val="both"/>
      <w:textAlignment w:val="baseline"/>
    </w:pPr>
    <w:rPr>
      <w:rFonts w:ascii="宋体" w:hAnsi="宋体"/>
      <w:smallCaps/>
      <w:kern w:val="2"/>
      <w:sz w:val="28"/>
      <w:szCs w:val="20"/>
      <w:lang w:val="en-US" w:eastAsia="zh-CN" w:bidi="ar-SA"/>
    </w:rPr>
  </w:style>
  <w:style w:type="paragraph" w:customStyle="1" w:styleId="355">
    <w:name w:val="UserStyle_274"/>
    <w:basedOn w:val="356"/>
    <w:qFormat/>
    <w:uiPriority w:val="0"/>
    <w:pPr>
      <w:keepNext/>
      <w:widowControl/>
      <w:spacing w:before="160" w:after="60"/>
      <w:textAlignment w:val="baseline"/>
    </w:pPr>
    <w:rPr>
      <w:rFonts w:ascii="Arial Black" w:hAnsi="Arial Black" w:eastAsia="黑体" w:cs="Times New Roman"/>
      <w:kern w:val="2"/>
      <w:sz w:val="28"/>
      <w:szCs w:val="32"/>
      <w:lang w:val="en-US" w:eastAsia="zh-CN" w:bidi="ar-SA"/>
    </w:rPr>
  </w:style>
  <w:style w:type="paragraph" w:customStyle="1" w:styleId="356">
    <w:name w:val="UserStyle_275"/>
    <w:next w:val="89"/>
    <w:qFormat/>
    <w:uiPriority w:val="0"/>
    <w:pPr>
      <w:keepNext/>
      <w:widowControl/>
      <w:spacing w:before="160" w:after="60"/>
      <w:textAlignment w:val="baseline"/>
    </w:pPr>
    <w:rPr>
      <w:rFonts w:ascii="Arial Black" w:hAnsi="Arial Black" w:eastAsia="黑体" w:cs="Times New Roman"/>
      <w:bCs/>
      <w:kern w:val="2"/>
      <w:sz w:val="30"/>
      <w:szCs w:val="32"/>
      <w:lang w:val="en-US" w:eastAsia="zh-CN" w:bidi="ar-SA"/>
    </w:rPr>
  </w:style>
  <w:style w:type="paragraph" w:customStyle="1" w:styleId="357">
    <w:name w:val="UserStyle_276"/>
    <w:basedOn w:val="1"/>
    <w:qFormat/>
    <w:uiPriority w:val="0"/>
    <w:pPr>
      <w:widowControl/>
      <w:pBdr>
        <w:left w:val="single" w:color="000000" w:sz="4" w:space="0"/>
        <w:bottom w:val="single" w:color="000000" w:sz="4" w:space="0"/>
        <w:right w:val="single" w:color="000000" w:sz="4" w:space="0"/>
      </w:pBdr>
      <w:shd w:val="clear" w:color="auto" w:fill="FFFFFF"/>
      <w:spacing w:before="100" w:beforeAutospacing="1" w:after="100" w:afterAutospacing="1"/>
      <w:jc w:val="center"/>
      <w:textAlignment w:val="center"/>
    </w:pPr>
    <w:rPr>
      <w:rFonts w:ascii="宋体" w:hAnsi="宋体"/>
      <w:kern w:val="0"/>
      <w:sz w:val="24"/>
      <w:szCs w:val="24"/>
      <w:lang w:val="en-US" w:eastAsia="zh-CN" w:bidi="ar-SA"/>
    </w:rPr>
  </w:style>
  <w:style w:type="paragraph" w:customStyle="1" w:styleId="358">
    <w:name w:val="UserStyle_277"/>
    <w:basedOn w:val="1"/>
    <w:qFormat/>
    <w:uiPriority w:val="0"/>
    <w:pPr>
      <w:widowControl/>
      <w:pBdr>
        <w:top w:val="single" w:color="000000" w:sz="4" w:space="0"/>
        <w:right w:val="single" w:color="000000" w:sz="4" w:space="0"/>
      </w:pBdr>
      <w:shd w:val="clear" w:color="auto" w:fill="FFFFFF"/>
      <w:spacing w:before="100" w:beforeAutospacing="1" w:after="100" w:afterAutospacing="1"/>
      <w:jc w:val="center"/>
      <w:textAlignment w:val="center"/>
    </w:pPr>
    <w:rPr>
      <w:rFonts w:ascii="宋体" w:hAnsi="宋体"/>
      <w:kern w:val="0"/>
      <w:sz w:val="24"/>
      <w:szCs w:val="24"/>
      <w:lang w:val="en-US" w:eastAsia="zh-CN" w:bidi="ar-SA"/>
    </w:rPr>
  </w:style>
  <w:style w:type="paragraph" w:customStyle="1" w:styleId="359">
    <w:name w:val="UserStyle_278"/>
    <w:basedOn w:val="1"/>
    <w:qFormat/>
    <w:uiPriority w:val="0"/>
    <w:pPr>
      <w:widowControl/>
      <w:spacing w:line="420" w:lineRule="exact"/>
      <w:ind w:firstLine="520" w:firstLineChars="200"/>
      <w:jc w:val="both"/>
      <w:textAlignment w:val="baseline"/>
    </w:pPr>
    <w:rPr>
      <w:rFonts w:ascii="Times New Roman" w:hAnsi="Times New Roman"/>
      <w:spacing w:val="10"/>
      <w:kern w:val="0"/>
      <w:sz w:val="24"/>
      <w:szCs w:val="20"/>
      <w:lang w:val="en-US" w:eastAsia="zh-CN" w:bidi="ar-SA"/>
    </w:rPr>
  </w:style>
  <w:style w:type="paragraph" w:customStyle="1" w:styleId="360">
    <w:name w:val="UserStyle_279"/>
    <w:basedOn w:val="334"/>
    <w:next w:val="1"/>
    <w:qFormat/>
    <w:uiPriority w:val="0"/>
    <w:pPr>
      <w:jc w:val="both"/>
      <w:textAlignment w:val="baseline"/>
    </w:pPr>
  </w:style>
  <w:style w:type="paragraph" w:customStyle="1" w:styleId="361">
    <w:name w:val="UserStyle_280"/>
    <w:basedOn w:val="68"/>
    <w:qFormat/>
    <w:uiPriority w:val="0"/>
    <w:pPr>
      <w:shd w:val="clear" w:color="auto" w:fill="000080"/>
      <w:spacing w:line="436" w:lineRule="exact"/>
      <w:ind w:left="357"/>
      <w:jc w:val="left"/>
      <w:textAlignment w:val="baseline"/>
    </w:pPr>
    <w:rPr>
      <w:rFonts w:ascii="Tahoma" w:hAnsi="Tahoma"/>
      <w:b/>
      <w:kern w:val="0"/>
      <w:sz w:val="24"/>
      <w:szCs w:val="24"/>
      <w:lang w:val="en-US" w:eastAsia="zh-CN" w:bidi="ar-SA"/>
    </w:rPr>
  </w:style>
  <w:style w:type="paragraph" w:customStyle="1" w:styleId="362">
    <w:name w:val="UserStyle_281"/>
    <w:basedOn w:val="1"/>
    <w:qFormat/>
    <w:uiPriority w:val="0"/>
    <w:pPr>
      <w:spacing w:line="480" w:lineRule="auto"/>
      <w:jc w:val="center"/>
      <w:textAlignment w:val="baseline"/>
    </w:pPr>
    <w:rPr>
      <w:rFonts w:ascii="Times New Roman" w:hAnsi="Times New Roman"/>
      <w:kern w:val="2"/>
      <w:sz w:val="21"/>
      <w:szCs w:val="20"/>
      <w:lang w:val="en-US" w:eastAsia="zh-CN" w:bidi="ar-SA"/>
    </w:rPr>
  </w:style>
  <w:style w:type="paragraph" w:customStyle="1" w:styleId="363">
    <w:name w:val="UserStyle_282"/>
    <w:basedOn w:val="1"/>
    <w:qFormat/>
    <w:uiPriority w:val="0"/>
    <w:pPr>
      <w:keepNext/>
      <w:keepLines/>
      <w:spacing w:line="415" w:lineRule="auto"/>
      <w:jc w:val="left"/>
      <w:textAlignment w:val="baseline"/>
    </w:pPr>
    <w:rPr>
      <w:rFonts w:ascii="Times New Roman" w:hAnsi="Times New Roman" w:cs="宋体"/>
      <w:bCs/>
      <w:kern w:val="2"/>
      <w:sz w:val="24"/>
      <w:szCs w:val="20"/>
      <w:lang w:val="en-US" w:eastAsia="zh-CN" w:bidi="ar-SA"/>
    </w:rPr>
  </w:style>
  <w:style w:type="paragraph" w:customStyle="1" w:styleId="364">
    <w:name w:val="UserStyle_283"/>
    <w:basedOn w:val="36"/>
    <w:autoRedefine/>
    <w:qFormat/>
    <w:uiPriority w:val="0"/>
    <w:pPr>
      <w:keepNext/>
      <w:keepLines/>
      <w:spacing w:before="0" w:after="0" w:line="400" w:lineRule="exact"/>
      <w:jc w:val="both"/>
      <w:textAlignment w:val="baseline"/>
    </w:pPr>
    <w:rPr>
      <w:rFonts w:ascii="Times New Roman" w:hAnsi="Times New Roman" w:eastAsia="黑体"/>
      <w:kern w:val="0"/>
      <w:sz w:val="32"/>
      <w:szCs w:val="32"/>
      <w:lang w:val="en-US" w:eastAsia="zh-CN" w:bidi="ar-SA"/>
    </w:rPr>
  </w:style>
  <w:style w:type="paragraph" w:customStyle="1" w:styleId="365">
    <w:name w:val="UserStyle_284"/>
    <w:basedOn w:val="1"/>
    <w:qFormat/>
    <w:uiPriority w:val="0"/>
    <w:pPr>
      <w:widowControl/>
      <w:pBdr>
        <w:left w:val="single" w:color="000000" w:sz="4" w:space="0"/>
        <w:bottom w:val="single" w:color="000000" w:sz="4" w:space="0"/>
      </w:pBdr>
      <w:spacing w:before="100" w:beforeAutospacing="1" w:after="100" w:afterAutospacing="1"/>
      <w:jc w:val="center"/>
      <w:textAlignment w:val="center"/>
    </w:pPr>
    <w:rPr>
      <w:rFonts w:ascii="宋体" w:hAnsi="宋体"/>
      <w:kern w:val="0"/>
      <w:sz w:val="24"/>
      <w:szCs w:val="24"/>
      <w:lang w:val="en-US" w:eastAsia="zh-CN" w:bidi="ar-SA"/>
    </w:rPr>
  </w:style>
  <w:style w:type="paragraph" w:customStyle="1" w:styleId="366">
    <w:name w:val="UserStyle_285"/>
    <w:basedOn w:val="34"/>
    <w:qFormat/>
    <w:uiPriority w:val="0"/>
    <w:pPr>
      <w:keepNext/>
      <w:keepLines/>
      <w:numPr>
        <w:ilvl w:val="0"/>
        <w:numId w:val="0"/>
      </w:numPr>
      <w:spacing w:before="0" w:after="0" w:line="360" w:lineRule="auto"/>
      <w:ind w:left="454"/>
      <w:jc w:val="left"/>
      <w:textAlignment w:val="baseline"/>
    </w:pPr>
    <w:rPr>
      <w:rFonts w:ascii="宋体" w:hAnsi="Times New Roman"/>
      <w:b w:val="0"/>
      <w:color w:val="000000"/>
      <w:kern w:val="0"/>
      <w:sz w:val="21"/>
      <w:szCs w:val="21"/>
      <w:lang w:val="en-US" w:eastAsia="zh-CN" w:bidi="ar-SA"/>
    </w:rPr>
  </w:style>
  <w:style w:type="paragraph" w:customStyle="1" w:styleId="367">
    <w:name w:val="UserStyle_286"/>
    <w:basedOn w:val="1"/>
    <w:qFormat/>
    <w:uiPriority w:val="0"/>
    <w:pPr>
      <w:widowControl/>
      <w:pBdr>
        <w:top w:val="single" w:color="000000" w:sz="4" w:space="0"/>
        <w:bottom w:val="single" w:color="000000" w:sz="4" w:space="0"/>
      </w:pBdr>
      <w:spacing w:before="100" w:beforeAutospacing="1" w:after="100" w:afterAutospacing="1"/>
      <w:jc w:val="center"/>
      <w:textAlignment w:val="center"/>
    </w:pPr>
    <w:rPr>
      <w:rFonts w:ascii="宋体" w:hAnsi="宋体"/>
      <w:kern w:val="0"/>
      <w:sz w:val="24"/>
      <w:szCs w:val="24"/>
      <w:lang w:val="en-US" w:eastAsia="zh-CN" w:bidi="ar-SA"/>
    </w:rPr>
  </w:style>
  <w:style w:type="paragraph" w:customStyle="1" w:styleId="368">
    <w:name w:val="UserStyle_287"/>
    <w:basedOn w:val="1"/>
    <w:autoRedefine/>
    <w:qFormat/>
    <w:uiPriority w:val="0"/>
    <w:pPr>
      <w:widowControl/>
      <w:pBdr>
        <w:right w:val="single" w:color="000000" w:sz="4" w:space="0"/>
      </w:pBdr>
      <w:shd w:val="clear" w:color="auto" w:fill="FFFFFF"/>
      <w:spacing w:before="100" w:beforeAutospacing="1" w:after="100" w:afterAutospacing="1"/>
      <w:jc w:val="center"/>
      <w:textAlignment w:val="center"/>
    </w:pPr>
    <w:rPr>
      <w:rFonts w:ascii="宋体" w:hAnsi="宋体"/>
      <w:kern w:val="0"/>
      <w:sz w:val="24"/>
      <w:szCs w:val="24"/>
      <w:lang w:val="en-US" w:eastAsia="zh-CN" w:bidi="ar-SA"/>
    </w:rPr>
  </w:style>
  <w:style w:type="paragraph" w:customStyle="1" w:styleId="369">
    <w:name w:val="UserStyle_288"/>
    <w:basedOn w:val="139"/>
    <w:next w:val="139"/>
    <w:qFormat/>
    <w:uiPriority w:val="0"/>
    <w:pPr>
      <w:widowControl/>
      <w:topLinePunct/>
      <w:snapToGrid w:val="0"/>
      <w:spacing w:after="200" w:line="360" w:lineRule="auto"/>
      <w:ind w:firstLineChars="0"/>
      <w:jc w:val="center"/>
      <w:textAlignment w:val="baseline"/>
    </w:pPr>
    <w:rPr>
      <w:rFonts w:ascii="Calibri" w:hAnsi="Calibri" w:eastAsia="黑体"/>
      <w:b/>
      <w:spacing w:val="4"/>
      <w:kern w:val="0"/>
      <w:sz w:val="84"/>
      <w:szCs w:val="84"/>
      <w:lang w:val="en-US" w:eastAsia="zh-CN" w:bidi="ar-SA"/>
    </w:rPr>
  </w:style>
  <w:style w:type="paragraph" w:customStyle="1" w:styleId="370">
    <w:name w:val="UserStyle_289"/>
    <w:basedOn w:val="1"/>
    <w:qFormat/>
    <w:uiPriority w:val="0"/>
    <w:pPr>
      <w:widowControl/>
      <w:pBdr>
        <w:top w:val="single" w:color="000000" w:sz="4" w:space="0"/>
        <w:bottom w:val="single" w:color="000000" w:sz="4" w:space="0"/>
        <w:right w:val="single" w:color="000000" w:sz="4" w:space="0"/>
      </w:pBdr>
      <w:shd w:val="clear" w:color="auto" w:fill="FFFFFF"/>
      <w:spacing w:before="100" w:beforeAutospacing="1" w:after="100" w:afterAutospacing="1"/>
      <w:jc w:val="center"/>
      <w:textAlignment w:val="center"/>
    </w:pPr>
    <w:rPr>
      <w:rFonts w:ascii="宋体" w:hAnsi="宋体"/>
      <w:kern w:val="0"/>
      <w:sz w:val="24"/>
      <w:szCs w:val="24"/>
      <w:lang w:val="en-US" w:eastAsia="zh-CN" w:bidi="ar-SA"/>
    </w:rPr>
  </w:style>
  <w:style w:type="paragraph" w:customStyle="1" w:styleId="371">
    <w:name w:val="UserStyle_290"/>
    <w:qFormat/>
    <w:uiPriority w:val="0"/>
    <w:pPr>
      <w:spacing w:line="240" w:lineRule="atLeast"/>
      <w:jc w:val="both"/>
      <w:textAlignment w:val="baseline"/>
    </w:pPr>
    <w:rPr>
      <w:rFonts w:ascii="宋体" w:hAnsi="Times New Roman" w:eastAsia="宋体" w:cstheme="minorBidi"/>
      <w:sz w:val="34"/>
      <w:lang w:val="en-US" w:eastAsia="zh-CN" w:bidi="ar-SA"/>
    </w:rPr>
  </w:style>
  <w:style w:type="table" w:customStyle="1" w:styleId="372">
    <w:name w:val="TableGrid"/>
    <w:basedOn w:val="44"/>
    <w:qFormat/>
    <w:uiPriority w:val="0"/>
  </w:style>
  <w:style w:type="table" w:customStyle="1" w:styleId="373">
    <w:name w:val="UserStyle_291"/>
    <w:basedOn w:val="44"/>
    <w:qFormat/>
    <w:uiPriority w:val="0"/>
  </w:style>
  <w:style w:type="table" w:customStyle="1" w:styleId="374">
    <w:name w:val="UserStyle_292"/>
    <w:basedOn w:val="44"/>
    <w:qFormat/>
    <w:uiPriority w:val="0"/>
  </w:style>
  <w:style w:type="paragraph" w:customStyle="1" w:styleId="375">
    <w:name w:val="x_msonormal"/>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376">
    <w:name w:val="List Paragraph"/>
    <w:basedOn w:val="1"/>
    <w:autoRedefine/>
    <w:qFormat/>
    <w:uiPriority w:val="99"/>
    <w:pPr>
      <w:ind w:firstLine="420" w:firstLineChars="200"/>
    </w:pPr>
  </w:style>
  <w:style w:type="paragraph" w:customStyle="1" w:styleId="377">
    <w:name w:val="_Style 105"/>
    <w:basedOn w:val="1"/>
    <w:next w:val="376"/>
    <w:qFormat/>
    <w:uiPriority w:val="0"/>
    <w:pPr>
      <w:ind w:firstLine="420" w:firstLineChars="200"/>
    </w:pPr>
    <w:rPr>
      <w:rFonts w:eastAsia="宋体"/>
      <w:kern w:val="0"/>
      <w:sz w:val="20"/>
    </w:rPr>
  </w:style>
  <w:style w:type="paragraph" w:customStyle="1" w:styleId="378">
    <w:name w:val="TOC Heading"/>
    <w:basedOn w:val="3"/>
    <w:next w:val="1"/>
    <w:qFormat/>
    <w:uiPriority w:val="99"/>
    <w:pPr>
      <w:numPr>
        <w:ilvl w:val="0"/>
        <w:numId w:val="0"/>
      </w:numPr>
      <w:tabs>
        <w:tab w:val="left" w:pos="432"/>
      </w:tabs>
      <w:spacing w:before="480" w:after="0" w:line="276" w:lineRule="auto"/>
      <w:outlineLvl w:val="9"/>
    </w:pPr>
    <w:rPr>
      <w:rFonts w:ascii="Cambria" w:hAnsi="Cambria" w:cs="Cambria"/>
      <w:bCs/>
      <w:color w:val="365F91"/>
    </w:rPr>
  </w:style>
  <w:style w:type="paragraph" w:customStyle="1" w:styleId="379">
    <w:name w:val="_Style 4"/>
    <w:basedOn w:val="3"/>
    <w:next w:val="1"/>
    <w:autoRedefine/>
    <w:qFormat/>
    <w:uiPriority w:val="99"/>
    <w:pPr>
      <w:widowControl w:val="0"/>
      <w:numPr>
        <w:ilvl w:val="0"/>
        <w:numId w:val="0"/>
      </w:numPr>
      <w:tabs>
        <w:tab w:val="left" w:pos="432"/>
      </w:tabs>
      <w:spacing w:line="576" w:lineRule="auto"/>
      <w:jc w:val="both"/>
      <w:outlineLvl w:val="9"/>
    </w:pPr>
    <w:rPr>
      <w:rFonts w:ascii="Calibri" w:hAnsi="Calibri" w:cs="Calibri"/>
      <w:bCs/>
      <w:kern w:val="44"/>
      <w:sz w:val="44"/>
      <w:szCs w:val="44"/>
    </w:rPr>
  </w:style>
  <w:style w:type="paragraph" w:customStyle="1" w:styleId="380">
    <w:name w:val="Default"/>
    <w:next w:val="1"/>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81">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63</Pages>
  <Words>49213</Words>
  <Characters>51244</Characters>
  <TotalTime>1</TotalTime>
  <ScaleCrop>false</ScaleCrop>
  <LinksUpToDate>false</LinksUpToDate>
  <CharactersWithSpaces>53989</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2020-06-02T06:31:00Z</dcterms:created>
  <dc:creator>Administrator</dc:creator>
  <cp:lastModifiedBy>WPS_1695793307</cp:lastModifiedBy>
  <cp:lastPrinted>2023-05-16T11:43:00Z</cp:lastPrinted>
  <dcterms:modified xsi:type="dcterms:W3CDTF">2024-06-03T02:03:08Z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88ACA1781D454A50B54BD4470473F518_13</vt:lpwstr>
  </property>
</Properties>
</file>