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宋体" w:hAnsi="宋体"/>
          <w:b/>
          <w:color w:val="000000" w:themeColor="text1"/>
          <w:sz w:val="48"/>
          <w:szCs w:val="48"/>
          <w:highlight w:val="none"/>
          <w14:textFill>
            <w14:solidFill>
              <w14:schemeClr w14:val="tx1"/>
            </w14:solidFill>
          </w14:textFill>
        </w:rPr>
      </w:pPr>
    </w:p>
    <w:p>
      <w:pPr>
        <w:spacing w:line="360" w:lineRule="auto"/>
        <w:jc w:val="center"/>
        <w:rPr>
          <w:rFonts w:hint="eastAsia" w:ascii="宋体" w:hAnsi="宋体"/>
          <w:b/>
          <w:color w:val="000000" w:themeColor="text1"/>
          <w:sz w:val="44"/>
          <w:szCs w:val="44"/>
          <w:highlight w:val="none"/>
          <w:lang w:eastAsia="zh-CN"/>
          <w14:textFill>
            <w14:solidFill>
              <w14:schemeClr w14:val="tx1"/>
            </w14:solidFill>
          </w14:textFill>
        </w:rPr>
      </w:pPr>
      <w:r>
        <w:rPr>
          <w:rFonts w:hint="eastAsia" w:ascii="宋体" w:hAnsi="宋体"/>
          <w:b/>
          <w:color w:val="000000" w:themeColor="text1"/>
          <w:sz w:val="44"/>
          <w:szCs w:val="44"/>
          <w:highlight w:val="none"/>
          <w:lang w:eastAsia="zh-CN"/>
          <w14:textFill>
            <w14:solidFill>
              <w14:schemeClr w14:val="tx1"/>
            </w14:solidFill>
          </w14:textFill>
        </w:rPr>
        <w:t>广州市增城区教育城西消防救援站项目</w:t>
      </w:r>
    </w:p>
    <w:p>
      <w:pPr>
        <w:spacing w:line="360" w:lineRule="auto"/>
        <w:jc w:val="center"/>
        <w:rPr>
          <w:rFonts w:hint="eastAsia" w:eastAsia="宋体"/>
          <w:color w:val="000000" w:themeColor="text1"/>
          <w:sz w:val="36"/>
          <w:highlight w:val="none"/>
          <w:u w:val="single"/>
          <w:lang w:eastAsia="zh-CN"/>
          <w14:textFill>
            <w14:solidFill>
              <w14:schemeClr w14:val="tx1"/>
            </w14:solidFill>
          </w14:textFill>
        </w:rPr>
      </w:pPr>
      <w:r>
        <w:rPr>
          <w:rFonts w:hint="eastAsia" w:ascii="宋体" w:hAnsi="宋体"/>
          <w:b/>
          <w:color w:val="000000" w:themeColor="text1"/>
          <w:sz w:val="44"/>
          <w:szCs w:val="44"/>
          <w:highlight w:val="none"/>
          <w:lang w:eastAsia="zh-CN"/>
          <w14:textFill>
            <w14:solidFill>
              <w14:schemeClr w14:val="tx1"/>
            </w14:solidFill>
          </w14:textFill>
        </w:rPr>
        <w:t>施工总承包</w:t>
      </w:r>
    </w:p>
    <w:p>
      <w:pPr>
        <w:spacing w:line="360" w:lineRule="auto"/>
        <w:rPr>
          <w:color w:val="000000" w:themeColor="text1"/>
          <w:sz w:val="36"/>
          <w:highlight w:val="none"/>
          <w:u w:val="single"/>
          <w14:textFill>
            <w14:solidFill>
              <w14:schemeClr w14:val="tx1"/>
            </w14:solidFill>
          </w14:textFill>
        </w:rPr>
      </w:pPr>
    </w:p>
    <w:p>
      <w:pPr>
        <w:spacing w:line="360" w:lineRule="auto"/>
        <w:jc w:val="center"/>
        <w:rPr>
          <w:color w:val="000000" w:themeColor="text1"/>
          <w:sz w:val="36"/>
          <w:highlight w:val="none"/>
          <w:u w:val="single"/>
          <w14:textFill>
            <w14:solidFill>
              <w14:schemeClr w14:val="tx1"/>
            </w14:solidFill>
          </w14:textFill>
        </w:rPr>
      </w:pPr>
    </w:p>
    <w:p>
      <w:pPr>
        <w:pStyle w:val="10"/>
        <w:rPr>
          <w:color w:val="000000" w:themeColor="text1"/>
          <w:sz w:val="36"/>
          <w:highlight w:val="none"/>
          <w:u w:val="single"/>
          <w14:textFill>
            <w14:solidFill>
              <w14:schemeClr w14:val="tx1"/>
            </w14:solidFill>
          </w14:textFill>
        </w:rPr>
      </w:pPr>
    </w:p>
    <w:p>
      <w:pPr>
        <w:pStyle w:val="10"/>
        <w:spacing w:line="360" w:lineRule="auto"/>
        <w:rPr>
          <w:color w:val="000000" w:themeColor="text1"/>
          <w:sz w:val="36"/>
          <w:highlight w:val="none"/>
          <w:u w:val="single"/>
          <w14:textFill>
            <w14:solidFill>
              <w14:schemeClr w14:val="tx1"/>
            </w14:solidFill>
          </w14:textFill>
        </w:rPr>
      </w:pPr>
    </w:p>
    <w:p>
      <w:pPr>
        <w:spacing w:line="360" w:lineRule="auto"/>
        <w:jc w:val="center"/>
        <w:rPr>
          <w:rFonts w:ascii="宋体" w:hAnsi="宋体"/>
          <w:b/>
          <w:bCs/>
          <w:color w:val="000000" w:themeColor="text1"/>
          <w:spacing w:val="26"/>
          <w:sz w:val="110"/>
          <w:szCs w:val="110"/>
          <w:highlight w:val="none"/>
          <w14:textFill>
            <w14:solidFill>
              <w14:schemeClr w14:val="tx1"/>
            </w14:solidFill>
          </w14:textFill>
        </w:rPr>
      </w:pPr>
      <w:r>
        <w:rPr>
          <w:rFonts w:hint="eastAsia" w:ascii="宋体" w:hAnsi="宋体"/>
          <w:b/>
          <w:bCs/>
          <w:color w:val="000000" w:themeColor="text1"/>
          <w:spacing w:val="26"/>
          <w:sz w:val="96"/>
          <w:szCs w:val="110"/>
          <w:highlight w:val="none"/>
          <w14:textFill>
            <w14:solidFill>
              <w14:schemeClr w14:val="tx1"/>
            </w14:solidFill>
          </w14:textFill>
        </w:rPr>
        <w:t>招标文件</w:t>
      </w:r>
    </w:p>
    <w:p>
      <w:pPr>
        <w:spacing w:line="360" w:lineRule="auto"/>
        <w:rPr>
          <w:color w:val="000000" w:themeColor="text1"/>
          <w:sz w:val="32"/>
          <w:highlight w:val="none"/>
          <w14:textFill>
            <w14:solidFill>
              <w14:schemeClr w14:val="tx1"/>
            </w14:solidFill>
          </w14:textFill>
        </w:rPr>
      </w:pPr>
    </w:p>
    <w:p>
      <w:pPr>
        <w:pStyle w:val="10"/>
        <w:spacing w:line="360" w:lineRule="auto"/>
        <w:rPr>
          <w:color w:val="000000" w:themeColor="text1"/>
          <w:highlight w:val="none"/>
          <w14:textFill>
            <w14:solidFill>
              <w14:schemeClr w14:val="tx1"/>
            </w14:solidFill>
          </w14:textFill>
        </w:rPr>
      </w:pPr>
    </w:p>
    <w:p>
      <w:pPr>
        <w:spacing w:line="360" w:lineRule="auto"/>
        <w:rPr>
          <w:color w:val="000000" w:themeColor="text1"/>
          <w:sz w:val="52"/>
          <w:highlight w:val="none"/>
          <w14:textFill>
            <w14:solidFill>
              <w14:schemeClr w14:val="tx1"/>
            </w14:solidFill>
          </w14:textFill>
        </w:rPr>
      </w:pPr>
    </w:p>
    <w:p>
      <w:pPr>
        <w:pStyle w:val="10"/>
        <w:rPr>
          <w:color w:val="000000" w:themeColor="text1"/>
          <w:sz w:val="52"/>
          <w:highlight w:val="none"/>
          <w14:textFill>
            <w14:solidFill>
              <w14:schemeClr w14:val="tx1"/>
            </w14:solidFill>
          </w14:textFill>
        </w:rPr>
      </w:pPr>
    </w:p>
    <w:p>
      <w:pPr>
        <w:spacing w:line="360" w:lineRule="auto"/>
        <w:rPr>
          <w:color w:val="000000" w:themeColor="text1"/>
          <w:sz w:val="52"/>
          <w:highlight w:val="none"/>
          <w14:textFill>
            <w14:solidFill>
              <w14:schemeClr w14:val="tx1"/>
            </w14:solidFill>
          </w14:textFill>
        </w:rPr>
      </w:pPr>
    </w:p>
    <w:p>
      <w:pPr>
        <w:spacing w:line="360" w:lineRule="auto"/>
        <w:rPr>
          <w:color w:val="000000" w:themeColor="text1"/>
          <w:sz w:val="52"/>
          <w:highlight w:val="none"/>
          <w14:textFill>
            <w14:solidFill>
              <w14:schemeClr w14:val="tx1"/>
            </w14:solidFill>
          </w14:textFill>
        </w:rPr>
      </w:pPr>
    </w:p>
    <w:p>
      <w:pPr>
        <w:spacing w:line="360" w:lineRule="auto"/>
        <w:ind w:firstLine="1280" w:firstLineChars="400"/>
        <w:jc w:val="left"/>
        <w:rPr>
          <w:rFonts w:ascii="宋体" w:hAnsi="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14:textFill>
            <w14:solidFill>
              <w14:schemeClr w14:val="tx1"/>
            </w14:solidFill>
          </w14:textFill>
        </w:rPr>
        <w:t>招标单位：</w:t>
      </w:r>
      <w:r>
        <w:rPr>
          <w:rFonts w:hint="eastAsia" w:ascii="宋体" w:hAnsi="宋体" w:cs="宋体"/>
          <w:color w:val="000000" w:themeColor="text1"/>
          <w:sz w:val="32"/>
          <w:szCs w:val="32"/>
          <w:highlight w:val="none"/>
          <w:u w:val="single"/>
          <w14:textFill>
            <w14:solidFill>
              <w14:schemeClr w14:val="tx1"/>
            </w14:solidFill>
          </w14:textFill>
        </w:rPr>
        <w:t>广州市重点公共建设项目管理中心</w:t>
      </w:r>
    </w:p>
    <w:p>
      <w:pPr>
        <w:spacing w:line="360" w:lineRule="auto"/>
        <w:ind w:firstLine="1280" w:firstLineChars="400"/>
        <w:jc w:val="left"/>
        <w:rPr>
          <w:rFonts w:hint="eastAsia" w:ascii="宋体" w:hAnsi="宋体" w:eastAsia="宋体" w:cs="宋体"/>
          <w:color w:val="000000" w:themeColor="text1"/>
          <w:sz w:val="32"/>
          <w:szCs w:val="32"/>
          <w:highlight w:val="none"/>
          <w:lang w:eastAsia="zh-CN"/>
          <w14:textFill>
            <w14:solidFill>
              <w14:schemeClr w14:val="tx1"/>
            </w14:solidFill>
          </w14:textFill>
        </w:rPr>
      </w:pPr>
      <w:r>
        <w:rPr>
          <w:rFonts w:hint="eastAsia" w:ascii="宋体" w:hAnsi="宋体" w:cs="宋体"/>
          <w:color w:val="000000" w:themeColor="text1"/>
          <w:sz w:val="32"/>
          <w:szCs w:val="32"/>
          <w:highlight w:val="none"/>
          <w14:textFill>
            <w14:solidFill>
              <w14:schemeClr w14:val="tx1"/>
            </w14:solidFill>
          </w14:textFill>
        </w:rPr>
        <w:t>招标代理机构：</w:t>
      </w:r>
      <w:r>
        <w:rPr>
          <w:rFonts w:hint="eastAsia" w:ascii="宋体" w:hAnsi="宋体" w:cs="宋体"/>
          <w:color w:val="000000" w:themeColor="text1"/>
          <w:sz w:val="32"/>
          <w:szCs w:val="32"/>
          <w:highlight w:val="none"/>
          <w:u w:val="single"/>
          <w:lang w:eastAsia="zh-CN"/>
          <w14:textFill>
            <w14:solidFill>
              <w14:schemeClr w14:val="tx1"/>
            </w14:solidFill>
          </w14:textFill>
        </w:rPr>
        <w:t>广州高新工程顾问有限公司</w:t>
      </w:r>
    </w:p>
    <w:p>
      <w:pPr>
        <w:widowControl/>
        <w:snapToGrid w:val="0"/>
        <w:spacing w:line="480" w:lineRule="auto"/>
        <w:ind w:right="102" w:firstLine="1280" w:firstLineChars="400"/>
        <w:jc w:val="left"/>
        <w:rPr>
          <w:rFonts w:ascii="宋体" w:hAnsi="宋体" w:cs="宋体"/>
          <w:color w:val="000000" w:themeColor="text1"/>
          <w:sz w:val="32"/>
          <w:szCs w:val="32"/>
          <w:highlight w:val="none"/>
          <w14:textFill>
            <w14:solidFill>
              <w14:schemeClr w14:val="tx1"/>
            </w14:solidFill>
          </w14:textFill>
        </w:rPr>
      </w:pPr>
      <w:r>
        <w:rPr>
          <w:rFonts w:hint="eastAsia" w:ascii="宋体" w:hAnsi="宋体" w:cs="宋体"/>
          <w:color w:val="000000" w:themeColor="text1"/>
          <w:sz w:val="32"/>
          <w:szCs w:val="32"/>
          <w:highlight w:val="none"/>
          <w14:textFill>
            <w14:solidFill>
              <w14:schemeClr w14:val="tx1"/>
            </w14:solidFill>
          </w14:textFill>
        </w:rPr>
        <w:t>日    期：</w:t>
      </w:r>
      <w:r>
        <w:rPr>
          <w:rFonts w:hint="eastAsia" w:ascii="宋体" w:hAnsi="宋体" w:cs="宋体"/>
          <w:color w:val="000000" w:themeColor="text1"/>
          <w:sz w:val="32"/>
          <w:szCs w:val="32"/>
          <w:highlight w:val="none"/>
          <w:u w:val="single"/>
          <w14:textFill>
            <w14:solidFill>
              <w14:schemeClr w14:val="tx1"/>
            </w14:solidFill>
          </w14:textFill>
        </w:rPr>
        <w:t>2</w:t>
      </w:r>
      <w:r>
        <w:rPr>
          <w:rFonts w:ascii="宋体" w:hAnsi="宋体" w:cs="宋体"/>
          <w:color w:val="000000" w:themeColor="text1"/>
          <w:sz w:val="32"/>
          <w:szCs w:val="32"/>
          <w:highlight w:val="none"/>
          <w:u w:val="single"/>
          <w14:textFill>
            <w14:solidFill>
              <w14:schemeClr w14:val="tx1"/>
            </w14:solidFill>
          </w14:textFill>
        </w:rPr>
        <w:t>024</w:t>
      </w:r>
      <w:r>
        <w:rPr>
          <w:rFonts w:hint="eastAsia" w:ascii="宋体" w:hAnsi="宋体" w:cs="宋体"/>
          <w:color w:val="000000" w:themeColor="text1"/>
          <w:sz w:val="32"/>
          <w:szCs w:val="32"/>
          <w:highlight w:val="none"/>
          <w14:textFill>
            <w14:solidFill>
              <w14:schemeClr w14:val="tx1"/>
            </w14:solidFill>
          </w14:textFill>
        </w:rPr>
        <w:t>年</w:t>
      </w:r>
      <w:r>
        <w:rPr>
          <w:rFonts w:hint="eastAsia" w:ascii="宋体" w:hAnsi="宋体" w:cs="宋体"/>
          <w:color w:val="000000" w:themeColor="text1"/>
          <w:sz w:val="32"/>
          <w:szCs w:val="32"/>
          <w:highlight w:val="none"/>
          <w:u w:val="single"/>
          <w:lang w:val="en-US" w:eastAsia="zh-CN"/>
          <w14:textFill>
            <w14:solidFill>
              <w14:schemeClr w14:val="tx1"/>
            </w14:solidFill>
          </w14:textFill>
        </w:rPr>
        <w:t xml:space="preserve"> 5 </w:t>
      </w:r>
      <w:r>
        <w:rPr>
          <w:rFonts w:hint="eastAsia" w:ascii="宋体" w:hAnsi="宋体" w:cs="宋体"/>
          <w:color w:val="000000" w:themeColor="text1"/>
          <w:sz w:val="32"/>
          <w:szCs w:val="32"/>
          <w:highlight w:val="none"/>
          <w14:textFill>
            <w14:solidFill>
              <w14:schemeClr w14:val="tx1"/>
            </w14:solidFill>
          </w14:textFill>
        </w:rPr>
        <w:t>月</w:t>
      </w:r>
    </w:p>
    <w:p>
      <w:pPr>
        <w:pStyle w:val="7"/>
        <w:rPr>
          <w:rFonts w:ascii="宋体" w:hAnsi="宋体" w:cs="宋体"/>
          <w:color w:val="000000" w:themeColor="text1"/>
          <w:sz w:val="32"/>
          <w:szCs w:val="32"/>
          <w:highlight w:val="none"/>
          <w14:textFill>
            <w14:solidFill>
              <w14:schemeClr w14:val="tx1"/>
            </w14:solidFill>
          </w14:textFill>
        </w:rPr>
      </w:pPr>
    </w:p>
    <w:p>
      <w:pPr>
        <w:rPr>
          <w:rFonts w:ascii="宋体" w:hAnsi="宋体" w:cs="宋体"/>
          <w:color w:val="000000" w:themeColor="text1"/>
          <w:sz w:val="32"/>
          <w:szCs w:val="32"/>
          <w:highlight w:val="none"/>
          <w14:textFill>
            <w14:solidFill>
              <w14:schemeClr w14:val="tx1"/>
            </w14:solidFill>
          </w14:textFill>
        </w:rPr>
      </w:pPr>
    </w:p>
    <w:p>
      <w:pPr>
        <w:pStyle w:val="10"/>
        <w:rPr>
          <w:color w:val="000000" w:themeColor="text1"/>
          <w:highlight w:val="none"/>
          <w14:textFill>
            <w14:solidFill>
              <w14:schemeClr w14:val="tx1"/>
            </w14:solidFill>
          </w14:textFill>
        </w:rPr>
        <w:sectPr>
          <w:footerReference r:id="rId5" w:type="first"/>
          <w:headerReference r:id="rId3" w:type="default"/>
          <w:footerReference r:id="rId4" w:type="default"/>
          <w:endnotePr>
            <w:numFmt w:val="decimal"/>
          </w:endnotePr>
          <w:pgSz w:w="11906" w:h="16838"/>
          <w:pgMar w:top="1134" w:right="1418" w:bottom="1247" w:left="1418" w:header="851" w:footer="907" w:gutter="0"/>
          <w:pgNumType w:fmt="decimal"/>
          <w:cols w:space="425" w:num="1"/>
          <w:docGrid w:type="lines" w:linePitch="312" w:charSpace="0"/>
        </w:sectPr>
      </w:pPr>
    </w:p>
    <w:p>
      <w:pPr>
        <w:rPr>
          <w:color w:val="000000" w:themeColor="text1"/>
          <w:highlight w:val="none"/>
          <w14:textFill>
            <w14:solidFill>
              <w14:schemeClr w14:val="tx1"/>
            </w14:solidFill>
          </w14:textFill>
        </w:rPr>
      </w:pPr>
    </w:p>
    <w:p>
      <w:pPr>
        <w:jc w:val="center"/>
        <w:rPr>
          <w:rFonts w:ascii="宋体" w:hAnsi="宋体"/>
          <w:b/>
          <w:caps/>
          <w:color w:val="000000" w:themeColor="text1"/>
          <w:kern w:val="0"/>
          <w:highlight w:val="none"/>
          <w14:textFill>
            <w14:solidFill>
              <w14:schemeClr w14:val="tx1"/>
            </w14:solidFill>
          </w14:textFill>
        </w:rPr>
      </w:pPr>
      <w:r>
        <w:rPr>
          <w:rStyle w:val="21"/>
          <w:rFonts w:hint="eastAsia"/>
          <w:b/>
          <w:bCs/>
          <w:color w:val="000000" w:themeColor="text1"/>
          <w:sz w:val="28"/>
          <w:szCs w:val="28"/>
          <w:highlight w:val="none"/>
          <w:u w:val="none"/>
          <w14:textFill>
            <w14:solidFill>
              <w14:schemeClr w14:val="tx1"/>
            </w14:solidFill>
          </w14:textFill>
        </w:rPr>
        <w:t>目  录</w:t>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TOC \o "1-3" \h \z \u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"_Toc21525489"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第一章  投标须知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_Toc21525489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
        <w:rPr>
          <w:rFonts w:asciiTheme="minorHAnsi" w:hAnsiTheme="minorHAnsi" w:eastAsiaTheme="minorEastAsia" w:cstheme="minorBidi"/>
          <w:color w:val="000000" w:themeColor="text1"/>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"_Toc21525490"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一、投标须知前附表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_Toc21525490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
        <w:rPr>
          <w:rFonts w:asciiTheme="minorHAnsi" w:hAnsiTheme="minorHAnsi" w:eastAsiaTheme="minorEastAsia" w:cstheme="minorBidi"/>
          <w:color w:val="000000" w:themeColor="text1"/>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"_Toc21525491"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二、投标须知修改表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
        <w:rPr>
          <w:rFonts w:asciiTheme="minorHAnsi" w:hAnsiTheme="minorHAnsi" w:eastAsiaTheme="minorEastAsia" w:cstheme="minorBidi"/>
          <w:color w:val="000000" w:themeColor="text1"/>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"_Toc21525492"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三、投标须知通用条款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_Toc21525492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"_Toc21525498"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第二章  开标、评标及定标办法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_Toc21525498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
        <w:rPr>
          <w:rFonts w:asciiTheme="minorHAnsi" w:hAnsiTheme="minorHAnsi" w:eastAsiaTheme="minorEastAsia" w:cstheme="minorBidi"/>
          <w:color w:val="000000" w:themeColor="text1"/>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"_Toc21525499"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一、开标、评标及定标办法修改表</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_Toc21525499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5"/>
        <w:rPr>
          <w:rFonts w:asciiTheme="minorHAnsi" w:hAnsiTheme="minorHAnsi" w:eastAsiaTheme="minorEastAsia" w:cstheme="minorBidi"/>
          <w:color w:val="000000" w:themeColor="text1"/>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"_Toc21525500"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二、开标、评标及定标办法通用条款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_Toc21525500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"_Toc21525511"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第三章  合同条款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"_Toc21525512"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第四章  投标文件格式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"_Toc21525513"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第五章  技术条件（工程建设标准）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"_Toc21525514"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第六章  图纸及勘察资料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rFonts w:asciiTheme="minorHAnsi" w:hAnsiTheme="minorHAnsi" w:eastAsiaTheme="minorEastAsia" w:cstheme="minorBidi"/>
          <w:caps w:val="0"/>
          <w:color w:val="000000" w:themeColor="text1"/>
          <w:kern w:val="2"/>
          <w:sz w:val="21"/>
          <w:szCs w:val="22"/>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"_Toc21525515"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第七章  工程量清单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"_Toc21525516" </w:instrText>
      </w:r>
      <w:r>
        <w:rPr>
          <w:color w:val="000000" w:themeColor="text1"/>
          <w:highlight w:val="none"/>
          <w14:textFill>
            <w14:solidFill>
              <w14:schemeClr w14:val="tx1"/>
            </w14:solidFill>
          </w14:textFill>
        </w:rPr>
        <w:fldChar w:fldCharType="separate"/>
      </w:r>
      <w:r>
        <w:rPr>
          <w:rStyle w:val="21"/>
          <w:color w:val="000000" w:themeColor="text1"/>
          <w:highlight w:val="none"/>
          <w14:textFill>
            <w14:solidFill>
              <w14:schemeClr w14:val="tx1"/>
            </w14:solidFill>
          </w14:textFill>
        </w:rPr>
        <w:t>第八章  最高投标限价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_Toc21525516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7"/>
        <w:rPr>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sectPr>
          <w:footerReference r:id="rId6" w:type="default"/>
          <w:endnotePr>
            <w:numFmt w:val="decimal"/>
          </w:endnotePr>
          <w:pgSz w:w="11906" w:h="16838"/>
          <w:pgMar w:top="1134" w:right="1418" w:bottom="1247" w:left="1418" w:header="851" w:footer="907" w:gutter="0"/>
          <w:pgNumType w:fmt="decimal" w:start="1"/>
          <w:cols w:space="425" w:num="1"/>
          <w:docGrid w:type="lines" w:linePitch="312" w:charSpace="0"/>
        </w:sectPr>
      </w:pP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end"/>
      </w:r>
      <w:bookmarkStart w:id="0" w:name="_Toc21525489"/>
      <w:bookmarkStart w:id="1" w:name="_Toc2272545"/>
      <w:r>
        <w:rPr>
          <w:rFonts w:hint="eastAsia"/>
          <w:color w:val="000000" w:themeColor="text1"/>
          <w:highlight w:val="none"/>
          <w14:textFill>
            <w14:solidFill>
              <w14:schemeClr w14:val="tx1"/>
            </w14:solidFill>
          </w14:textFill>
        </w:rPr>
        <w:t>第一章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投标须知</w:t>
      </w:r>
      <w:bookmarkEnd w:id="0"/>
      <w:bookmarkEnd w:id="1"/>
    </w:p>
    <w:p>
      <w:pPr>
        <w:pStyle w:val="4"/>
        <w:rPr>
          <w:color w:val="000000" w:themeColor="text1"/>
          <w:highlight w:val="none"/>
          <w14:textFill>
            <w14:solidFill>
              <w14:schemeClr w14:val="tx1"/>
            </w14:solidFill>
          </w14:textFill>
        </w:rPr>
      </w:pPr>
      <w:bookmarkStart w:id="2" w:name="_Toc21525490"/>
      <w:bookmarkStart w:id="3" w:name="_Toc2272546"/>
      <w:r>
        <w:rPr>
          <w:rFonts w:hint="eastAsia"/>
          <w:color w:val="000000" w:themeColor="text1"/>
          <w:highlight w:val="none"/>
          <w14:textFill>
            <w14:solidFill>
              <w14:schemeClr w14:val="tx1"/>
            </w14:solidFill>
          </w14:textFill>
        </w:rPr>
        <w:t>一、投标须知前附表</w:t>
      </w:r>
      <w:bookmarkEnd w:id="2"/>
      <w:bookmarkEnd w:id="3"/>
    </w:p>
    <w:p>
      <w:pPr>
        <w:pStyle w:val="7"/>
        <w:spacing w:line="360" w:lineRule="auto"/>
        <w:ind w:firstLine="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声明：本投标须知前附表使用GZZB2018-3招标文件范本，与范本不同之处均以下划线标明，所有标明下划线部分属于本表的组成部分，同其他部分具有同样的效力。对范本《投标须知通用条款》和《开标、评标和定标办法通用条款》可选择部分的选择使用，均已在本表中注明，通用条款可选择部分中未被本投标须知前附表选择的部分无效。</w:t>
      </w:r>
    </w:p>
    <w:tbl>
      <w:tblPr>
        <w:tblStyle w:val="18"/>
        <w:tblW w:w="9350"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981"/>
        <w:gridCol w:w="1810"/>
        <w:gridCol w:w="585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tblHeader/>
        </w:trPr>
        <w:tc>
          <w:tcPr>
            <w:tcW w:w="702" w:type="dxa"/>
            <w:tcBorders>
              <w:top w:val="doub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项目</w:t>
            </w:r>
          </w:p>
        </w:tc>
        <w:tc>
          <w:tcPr>
            <w:tcW w:w="981" w:type="dxa"/>
            <w:tcBorders>
              <w:top w:val="doub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条款号</w:t>
            </w:r>
          </w:p>
        </w:tc>
        <w:tc>
          <w:tcPr>
            <w:tcW w:w="1810" w:type="dxa"/>
            <w:tcBorders>
              <w:top w:val="doub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内容</w:t>
            </w:r>
          </w:p>
        </w:tc>
        <w:tc>
          <w:tcPr>
            <w:tcW w:w="5857" w:type="dxa"/>
            <w:tcBorders>
              <w:top w:val="double" w:color="auto" w:sz="4" w:space="0"/>
              <w:left w:val="single" w:color="auto" w:sz="4" w:space="0"/>
              <w:bottom w:val="single" w:color="auto" w:sz="4" w:space="0"/>
              <w:right w:val="double" w:color="auto" w:sz="4" w:space="0"/>
            </w:tcBorders>
            <w:vAlign w:val="center"/>
          </w:tcPr>
          <w:p>
            <w:pPr>
              <w:pStyle w:val="11"/>
              <w:keepNext w:val="0"/>
              <w:keepLines w:val="0"/>
              <w:suppressLineNumbers w:val="0"/>
              <w:spacing w:before="0" w:beforeAutospacing="0" w:after="0" w:afterAutospacing="0"/>
              <w:ind w:left="0" w:right="0" w:firstLine="458"/>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说明与要求</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30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定义</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招标人（即发包人）：</w:t>
            </w:r>
            <w:r>
              <w:rPr>
                <w:rFonts w:hint="eastAsia" w:ascii="Times New Roman" w:hAnsi="Times New Roman"/>
                <w:color w:val="000000" w:themeColor="text1"/>
                <w:szCs w:val="21"/>
                <w:highlight w:val="none"/>
                <w:u w:val="single"/>
                <w14:textFill>
                  <w14:solidFill>
                    <w14:schemeClr w14:val="tx1"/>
                  </w14:solidFill>
                </w14:textFill>
              </w:rPr>
              <w:t>广州市重点公共建设项目管理中心</w:t>
            </w:r>
          </w:p>
          <w:p>
            <w:pPr>
              <w:keepNext w:val="0"/>
              <w:keepLines w:val="0"/>
              <w:suppressLineNumbers w:val="0"/>
              <w:spacing w:before="0" w:beforeAutospacing="0" w:after="0" w:afterAutospacing="0"/>
              <w:ind w:left="0" w:right="0"/>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招标代理：</w:t>
            </w:r>
            <w:r>
              <w:rPr>
                <w:rFonts w:hint="eastAsia" w:ascii="Times New Roman" w:hAnsi="Times New Roman"/>
                <w:color w:val="000000" w:themeColor="text1"/>
                <w:szCs w:val="21"/>
                <w:highlight w:val="none"/>
                <w:u w:val="single"/>
                <w:lang w:eastAsia="zh-CN"/>
                <w14:textFill>
                  <w14:solidFill>
                    <w14:schemeClr w14:val="tx1"/>
                  </w14:solidFill>
                </w14:textFill>
              </w:rPr>
              <w:t>广州高新工程顾问有限公司</w:t>
            </w:r>
          </w:p>
          <w:p>
            <w:pPr>
              <w:keepNext w:val="0"/>
              <w:keepLines w:val="0"/>
              <w:suppressLineNumbers w:val="0"/>
              <w:spacing w:before="0" w:beforeAutospacing="0" w:after="0" w:afterAutospacing="0"/>
              <w:ind w:left="0" w:right="0"/>
              <w:rPr>
                <w:rFonts w:hint="default"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设计单位：</w:t>
            </w:r>
            <w:r>
              <w:rPr>
                <w:rFonts w:hint="eastAsia" w:ascii="宋体" w:hAnsi="宋体"/>
                <w:color w:val="000000" w:themeColor="text1"/>
                <w:szCs w:val="21"/>
                <w:highlight w:val="none"/>
                <w:u w:val="single"/>
                <w14:textFill>
                  <w14:solidFill>
                    <w14:schemeClr w14:val="tx1"/>
                  </w14:solidFill>
                </w14:textFill>
              </w:rPr>
              <w:t>广东省建筑设计研究院有限公司</w:t>
            </w:r>
          </w:p>
          <w:p>
            <w:pPr>
              <w:keepNext w:val="0"/>
              <w:keepLines w:val="0"/>
              <w:suppressLineNumbers w:val="0"/>
              <w:spacing w:before="0" w:beforeAutospacing="0" w:after="0" w:afterAutospacing="0"/>
              <w:ind w:left="0" w:right="0"/>
              <w:rPr>
                <w:rFonts w:hint="default" w:ascii="宋体" w:hAnsi="宋体" w:eastAsia="宋体"/>
                <w:color w:val="000000" w:themeColor="text1"/>
                <w:szCs w:val="21"/>
                <w:highlight w:val="none"/>
                <w:u w:val="single"/>
                <w:lang w:val="en-US"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监理单位：</w:t>
            </w:r>
            <w:r>
              <w:rPr>
                <w:rFonts w:hint="eastAsia" w:ascii="宋体" w:hAnsi="宋体"/>
                <w:color w:val="000000" w:themeColor="text1"/>
                <w:szCs w:val="21"/>
                <w:highlight w:val="none"/>
                <w:u w:val="single"/>
                <w14:textFill>
                  <w14:solidFill>
                    <w14:schemeClr w14:val="tx1"/>
                  </w14:solidFill>
                </w14:textFill>
              </w:rPr>
              <w:t>（另行通知）</w:t>
            </w:r>
          </w:p>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检测机构：</w:t>
            </w:r>
            <w:r>
              <w:rPr>
                <w:rFonts w:hint="eastAsia" w:ascii="宋体" w:hAnsi="宋体"/>
                <w:color w:val="000000" w:themeColor="text1"/>
                <w:szCs w:val="21"/>
                <w:highlight w:val="none"/>
                <w:u w:val="single"/>
                <w14:textFill>
                  <w14:solidFill>
                    <w14:schemeClr w14:val="tx1"/>
                  </w14:solidFill>
                </w14:textFill>
              </w:rPr>
              <w:t>（另行通知）</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58"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工程名称</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eastAsia" w:ascii="宋体" w:hAnsi="宋体" w:eastAsia="宋体"/>
                <w:color w:val="000000" w:themeColor="text1"/>
                <w:szCs w:val="21"/>
                <w:highlight w:val="none"/>
                <w:u w:val="single"/>
                <w:lang w:eastAsia="zh-CN"/>
                <w14:textFill>
                  <w14:solidFill>
                    <w14:schemeClr w14:val="tx1"/>
                  </w14:solidFill>
                </w14:textFill>
              </w:rPr>
            </w:pPr>
            <w:r>
              <w:rPr>
                <w:rFonts w:hint="eastAsia" w:ascii="Times New Roman" w:hAnsi="Times New Roman"/>
                <w:color w:val="000000" w:themeColor="text1"/>
                <w:szCs w:val="21"/>
                <w:highlight w:val="none"/>
                <w:u w:val="single"/>
                <w:lang w:eastAsia="zh-CN"/>
                <w14:textFill>
                  <w14:solidFill>
                    <w14:schemeClr w14:val="tx1"/>
                  </w14:solidFill>
                </w14:textFill>
              </w:rPr>
              <w:t>广州市增城区教育城西消防救援站项目施工总承包</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建设地点</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Times New Roman" w:hAnsi="Times New Roman" w:cs="Times New Roman"/>
                <w:color w:val="000000" w:themeColor="text1"/>
                <w:kern w:val="2"/>
                <w:sz w:val="21"/>
                <w:szCs w:val="21"/>
                <w:highlight w:val="none"/>
                <w:u w:val="single"/>
                <w:lang w:bidi="ar"/>
                <w14:textFill>
                  <w14:solidFill>
                    <w14:schemeClr w14:val="tx1"/>
                  </w14:solidFill>
                </w14:textFill>
              </w:rPr>
              <w:t>广州市增城区朱村街秀山村</w:t>
            </w:r>
            <w:r>
              <w:rPr>
                <w:rFonts w:hint="eastAsia" w:ascii="宋体" w:hAnsi="宋体"/>
                <w:color w:val="000000" w:themeColor="text1"/>
                <w:szCs w:val="21"/>
                <w:highlight w:val="none"/>
                <w:u w:val="single"/>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69"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建设规模</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详见本工程招标公告。</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承包方式</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val="0"/>
              <w:suppressLineNumbers w:val="0"/>
              <w:spacing w:before="0" w:beforeAutospacing="0" w:after="0" w:afterAutospacing="0"/>
              <w:ind w:left="0" w:right="0"/>
              <w:jc w:val="both"/>
              <w:rPr>
                <w:rFonts w:hint="default" w:ascii="宋体" w:hAnsi="宋体"/>
                <w:color w:val="000000" w:themeColor="text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u w:val="single"/>
                <w:lang w:val="en-US" w:eastAsia="zh-CN" w:bidi="ar"/>
                <w14:textFill>
                  <w14:solidFill>
                    <w14:schemeClr w14:val="tx1"/>
                  </w14:solidFill>
                </w14:textFill>
              </w:rPr>
              <w:t>投标人根据招标人的招标文件、施工图纸及工程量清单等规定的范围内的工程内容，结合现场实际情况进行投标报价，由承包人按照合同约定范围和图纸内容实行工程施工总承包，包括但不限于包工、包料、包工期、包质量、包安全生产、包文明施工、包各系统调试及联合调试、包承包范围内工程验收通过、包移交、包结算、包运行维护管理及相关部门报建/报批手续、包创优工程的组织实施工作和资料整理（如有）、包城市建设档案组卷移交和市重点建设项目档案组卷移交（如有）、包施工总承包管理和现场整体组织、包专业协调及配合、</w:t>
            </w:r>
            <w:r>
              <w:rPr>
                <w:rFonts w:hint="eastAsia" w:ascii="宋体" w:hAnsi="宋体" w:eastAsia="宋体" w:cs="宋体"/>
                <w:b w:val="0"/>
                <w:color w:val="000000" w:themeColor="text1"/>
                <w:kern w:val="0"/>
                <w:sz w:val="21"/>
                <w:szCs w:val="21"/>
                <w:highlight w:val="none"/>
                <w:u w:val="single"/>
                <w:lang w:val="en-US" w:eastAsia="zh-CN" w:bidi="ar"/>
                <w14:textFill>
                  <w14:solidFill>
                    <w14:schemeClr w14:val="tx1"/>
                  </w14:solidFill>
                </w14:textFill>
              </w:rPr>
              <w:t>包工程保险（含建筑（安装）工程一切险、安全生产责任险及其他保险）、</w:t>
            </w:r>
            <w:r>
              <w:rPr>
                <w:rFonts w:hint="eastAsia" w:ascii="宋体" w:hAnsi="宋体" w:eastAsia="宋体" w:cs="宋体"/>
                <w:color w:val="000000" w:themeColor="text1"/>
                <w:kern w:val="0"/>
                <w:sz w:val="21"/>
                <w:szCs w:val="21"/>
                <w:highlight w:val="none"/>
                <w:u w:val="single"/>
                <w:lang w:val="en-US" w:eastAsia="zh-CN" w:bidi="ar"/>
                <w14:textFill>
                  <w14:solidFill>
                    <w14:schemeClr w14:val="tx1"/>
                  </w14:solidFill>
                </w14:textFill>
              </w:rPr>
              <w:t>包竣工图编制（须满足规划等各专项验收要求）等。</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83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质量标准</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宋体" w:hAnsi="宋体" w:cs="Times New Roman"/>
                <w:color w:val="000000" w:themeColor="text1"/>
                <w:kern w:val="2"/>
                <w:sz w:val="21"/>
                <w:szCs w:val="21"/>
                <w:highlight w:val="none"/>
                <w:u w:val="single"/>
                <w14:textFill>
                  <w14:solidFill>
                    <w14:schemeClr w14:val="tx1"/>
                  </w14:solidFill>
                </w14:textFill>
              </w:rPr>
              <w:t>一次竣工验收合格</w:t>
            </w:r>
            <w:r>
              <w:rPr>
                <w:rFonts w:hint="eastAsia" w:ascii="宋体" w:hAnsi="宋体"/>
                <w:color w:val="000000" w:themeColor="text1"/>
                <w:szCs w:val="21"/>
                <w:highlight w:val="none"/>
                <w:u w:val="single"/>
                <w14:textFill>
                  <w14:solidFill>
                    <w14:schemeClr w14:val="tx1"/>
                  </w14:solidFill>
                </w14:textFill>
              </w:rPr>
              <w:t>，争创广州市建设工程优质奖。</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招标范围</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Times New Roman" w:hAnsi="Times New Roman"/>
                <w:bCs/>
                <w:snapToGrid w:val="0"/>
                <w:color w:val="000000" w:themeColor="text1"/>
                <w:kern w:val="0"/>
                <w:szCs w:val="21"/>
                <w:highlight w:val="none"/>
                <w:u w:val="single"/>
                <w14:textFill>
                  <w14:solidFill>
                    <w14:schemeClr w14:val="tx1"/>
                  </w14:solidFill>
                </w14:textFill>
              </w:rPr>
              <w:t>详见本工程招标公告。</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8</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工期要求</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val="0"/>
              <w:suppressLineNumbers w:val="0"/>
              <w:spacing w:before="0" w:beforeAutospacing="0" w:after="0" w:afterAutospacing="0"/>
              <w:ind w:left="0" w:right="0"/>
              <w:jc w:val="both"/>
              <w:rPr>
                <w:rFonts w:hint="default" w:ascii="宋体" w:hAnsi="宋体"/>
                <w:color w:val="000000" w:themeColor="text1"/>
                <w:szCs w:val="21"/>
                <w:highlight w:val="none"/>
                <w14:textFill>
                  <w14:solidFill>
                    <w14:schemeClr w14:val="tx1"/>
                  </w14:solidFill>
                </w14:textFill>
              </w:rPr>
            </w:pP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本工程总工期为</w:t>
            </w:r>
            <w:r>
              <w:rPr>
                <w:rFonts w:hint="eastAsia" w:ascii="宋体" w:hAnsi="宋体" w:cs="Times New Roman"/>
                <w:color w:val="000000" w:themeColor="text1"/>
                <w:kern w:val="2"/>
                <w:sz w:val="21"/>
                <w:szCs w:val="21"/>
                <w:highlight w:val="none"/>
                <w:u w:val="single"/>
                <w:lang w:val="en-US" w:eastAsia="zh-CN" w:bidi="ar"/>
                <w14:textFill>
                  <w14:solidFill>
                    <w14:schemeClr w14:val="tx1"/>
                  </w14:solidFill>
                </w14:textFill>
              </w:rPr>
              <w:t>245</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日历天，计划</w:t>
            </w:r>
            <w:r>
              <w:rPr>
                <w:rFonts w:hint="eastAsia" w:ascii="宋体" w:hAnsi="宋体" w:cs="Times New Roman"/>
                <w:color w:val="000000" w:themeColor="text1"/>
                <w:kern w:val="2"/>
                <w:sz w:val="21"/>
                <w:szCs w:val="21"/>
                <w:highlight w:val="none"/>
                <w:u w:val="single"/>
                <w:lang w:val="en-US" w:eastAsia="zh-CN" w:bidi="ar"/>
                <w14:textFill>
                  <w14:solidFill>
                    <w14:schemeClr w14:val="tx1"/>
                  </w14:solidFill>
                </w14:textFill>
              </w:rPr>
              <w:t>2024</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年</w:t>
            </w:r>
            <w:r>
              <w:rPr>
                <w:rFonts w:hint="default" w:ascii="宋体" w:hAnsi="宋体" w:cs="宋体"/>
                <w:color w:val="000000" w:themeColor="text1"/>
                <w:kern w:val="2"/>
                <w:sz w:val="21"/>
                <w:szCs w:val="21"/>
                <w:highlight w:val="none"/>
                <w:u w:val="single"/>
                <w:lang w:eastAsia="zh-CN" w:bidi="ar"/>
                <w14:textFill>
                  <w14:solidFill>
                    <w14:schemeClr w14:val="tx1"/>
                  </w14:solidFill>
                </w14:textFill>
              </w:rPr>
              <w:t>7</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月</w:t>
            </w:r>
            <w:r>
              <w:rPr>
                <w:rFonts w:hint="eastAsia" w:ascii="宋体" w:hAnsi="宋体" w:cs="Times New Roman"/>
                <w:color w:val="000000" w:themeColor="text1"/>
                <w:kern w:val="2"/>
                <w:sz w:val="21"/>
                <w:szCs w:val="21"/>
                <w:highlight w:val="none"/>
                <w:u w:val="single"/>
                <w:lang w:val="en-US" w:eastAsia="zh-CN" w:bidi="ar"/>
                <w14:textFill>
                  <w14:solidFill>
                    <w14:schemeClr w14:val="tx1"/>
                  </w14:solidFill>
                </w14:textFill>
              </w:rPr>
              <w:t>1</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日开工，</w:t>
            </w:r>
            <w:r>
              <w:rPr>
                <w:rFonts w:hint="eastAsia" w:ascii="宋体" w:hAnsi="宋体" w:cs="宋体"/>
                <w:color w:val="000000" w:themeColor="text1"/>
                <w:kern w:val="2"/>
                <w:sz w:val="21"/>
                <w:szCs w:val="21"/>
                <w:highlight w:val="none"/>
                <w:u w:val="single"/>
                <w:lang w:val="en-US" w:eastAsia="zh-CN" w:bidi="ar"/>
                <w14:textFill>
                  <w14:solidFill>
                    <w14:schemeClr w14:val="tx1"/>
                  </w14:solidFill>
                </w14:textFill>
              </w:rPr>
              <w:t>2025</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年</w:t>
            </w:r>
            <w:r>
              <w:rPr>
                <w:rFonts w:hint="default" w:ascii="宋体" w:hAnsi="宋体" w:cs="宋体"/>
                <w:color w:val="000000" w:themeColor="text1"/>
                <w:kern w:val="2"/>
                <w:sz w:val="21"/>
                <w:szCs w:val="21"/>
                <w:highlight w:val="none"/>
                <w:u w:val="single"/>
                <w:lang w:eastAsia="zh-CN" w:bidi="ar"/>
                <w14:textFill>
                  <w14:solidFill>
                    <w14:schemeClr w14:val="tx1"/>
                  </w14:solidFill>
                </w14:textFill>
              </w:rPr>
              <w:t>3</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月</w:t>
            </w:r>
            <w:r>
              <w:rPr>
                <w:rFonts w:hint="default" w:ascii="宋体" w:hAnsi="宋体" w:cs="宋体"/>
                <w:color w:val="000000" w:themeColor="text1"/>
                <w:kern w:val="2"/>
                <w:sz w:val="21"/>
                <w:szCs w:val="21"/>
                <w:highlight w:val="none"/>
                <w:u w:val="single"/>
                <w:lang w:eastAsia="zh-CN" w:bidi="ar"/>
                <w14:textFill>
                  <w14:solidFill>
                    <w14:schemeClr w14:val="tx1"/>
                  </w14:solidFill>
                </w14:textFill>
              </w:rPr>
              <w:t>3</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日竣工，</w:t>
            </w:r>
            <w:r>
              <w:rPr>
                <w:rFonts w:hint="eastAsia" w:ascii="宋体" w:hAnsi="宋体"/>
                <w:color w:val="000000" w:themeColor="text1"/>
                <w:highlight w:val="none"/>
                <w:u w:val="single"/>
                <w14:textFill>
                  <w14:solidFill>
                    <w14:schemeClr w14:val="tx1"/>
                  </w14:solidFill>
                </w14:textFill>
              </w:rPr>
              <w:t>具体开工日期以总监理工程师发出的开工令为准。（具体工期要求详见第五章）。</w:t>
            </w:r>
            <w:r>
              <w:rPr>
                <w:rFonts w:hint="eastAsia" w:ascii="宋体" w:hAnsi="宋体"/>
                <w:color w:val="000000" w:themeColor="text1"/>
                <w:szCs w:val="21"/>
                <w:highlight w:val="none"/>
                <w14:textFill>
                  <w14:solidFill>
                    <w14:schemeClr w14:val="tx1"/>
                  </w14:solidFill>
                </w14:textFill>
              </w:rPr>
              <w:t xml:space="preserve">                                                                  </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9</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资金来源</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Times New Roman" w:hAnsi="Times New Roman"/>
                <w:bCs/>
                <w:snapToGrid w:val="0"/>
                <w:color w:val="000000" w:themeColor="text1"/>
                <w:kern w:val="0"/>
                <w:szCs w:val="21"/>
                <w:highlight w:val="none"/>
                <w:u w:val="single"/>
                <w14:textFill>
                  <w14:solidFill>
                    <w14:schemeClr w14:val="tx1"/>
                  </w14:solidFill>
                </w14:textFill>
              </w:rPr>
              <w:t>详见本工程招标公告。</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87"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10</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投标人资质等级及项目负责人等级要求</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详见本工程招标公告。</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11</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资格审查方式</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详见本工程招标公告。</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12</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13.1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报价以及单价和总价计算方式</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工程量清单计价。</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13</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15.1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投标有效期</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120</w:t>
            </w:r>
            <w:r>
              <w:rPr>
                <w:rFonts w:hint="eastAsia" w:ascii="宋体" w:hAnsi="宋体"/>
                <w:color w:val="000000" w:themeColor="text1"/>
                <w:szCs w:val="21"/>
                <w:highlight w:val="none"/>
                <w14:textFill>
                  <w14:solidFill>
                    <w14:schemeClr w14:val="tx1"/>
                  </w14:solidFill>
                </w14:textFill>
              </w:rPr>
              <w:t>日历天。（从投标截止之日计起）</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14</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投标保证金</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jc w:val="left"/>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是否要求投标人递交投标保证金：</w:t>
            </w:r>
          </w:p>
          <w:p>
            <w:pPr>
              <w:keepNext w:val="0"/>
              <w:keepLines w:val="0"/>
              <w:suppressLineNumbers w:val="0"/>
              <w:adjustRightInd w:val="0"/>
              <w:snapToGrid w:val="0"/>
              <w:spacing w:before="50" w:beforeAutospacing="0" w:after="0" w:afterAutospacing="0"/>
              <w:ind w:left="0" w:right="0"/>
              <w:rPr>
                <w:rFonts w:hint="default" w:ascii="宋体" w:hAnsi="宋体" w:cs="宋体"/>
                <w:color w:val="000000" w:themeColor="text1"/>
                <w:kern w:val="0"/>
                <w:szCs w:val="21"/>
                <w:highlight w:val="none"/>
                <w:lang w:bidi="ar"/>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□要求，</w:t>
            </w:r>
          </w:p>
          <w:p>
            <w:pPr>
              <w:keepNext w:val="0"/>
              <w:keepLines w:val="0"/>
              <w:suppressLineNumbers w:val="0"/>
              <w:adjustRightInd w:val="0"/>
              <w:snapToGrid w:val="0"/>
              <w:spacing w:before="50" w:beforeAutospacing="0" w:after="0" w:afterAutospacing="0"/>
              <w:ind w:left="0" w:right="0"/>
              <w:rPr>
                <w:rFonts w:hint="default" w:ascii="宋体" w:hAnsi="宋体" w:cs="宋体"/>
                <w:color w:val="000000" w:themeColor="text1"/>
                <w:kern w:val="0"/>
                <w:szCs w:val="21"/>
                <w:highlight w:val="none"/>
                <w:lang w:bidi="ar"/>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 xml:space="preserve">投标保证金额度： /  </w:t>
            </w:r>
          </w:p>
          <w:p>
            <w:pPr>
              <w:keepNext w:val="0"/>
              <w:keepLines w:val="0"/>
              <w:suppressLineNumbers w:val="0"/>
              <w:adjustRightInd w:val="0"/>
              <w:snapToGrid w:val="0"/>
              <w:spacing w:before="50" w:beforeAutospacing="0" w:after="0" w:afterAutospacing="0"/>
              <w:ind w:left="0" w:right="0"/>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 xml:space="preserve">投标保证金有效期： / </w:t>
            </w:r>
          </w:p>
          <w:p>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■不要求</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15</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踏勘现场</w:t>
            </w:r>
          </w:p>
        </w:tc>
        <w:tc>
          <w:tcPr>
            <w:tcW w:w="5857" w:type="dxa"/>
            <w:tcBorders>
              <w:top w:val="single" w:color="auto" w:sz="4" w:space="0"/>
              <w:left w:val="single" w:color="auto" w:sz="4" w:space="0"/>
              <w:bottom w:val="single" w:color="auto" w:sz="4" w:space="0"/>
              <w:right w:val="double" w:color="auto" w:sz="4" w:space="0"/>
            </w:tcBorders>
            <w:vAlign w:val="center"/>
          </w:tcPr>
          <w:p>
            <w:pPr>
              <w:pStyle w:val="11"/>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color w:val="000000" w:themeColor="text1"/>
                <w:szCs w:val="21"/>
                <w:highlight w:val="none"/>
                <w:u w:val="single"/>
                <w14:textFill>
                  <w14:solidFill>
                    <w14:schemeClr w14:val="tx1"/>
                  </w14:solidFill>
                </w14:textFill>
              </w:rPr>
              <w:t>招标人不集中组织，由投标人自行踏勘。</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16</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8</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投标答疑</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疑问提交时间：</w:t>
            </w:r>
            <w:r>
              <w:rPr>
                <w:rFonts w:hint="eastAsia" w:ascii="宋体" w:hAnsi="宋体"/>
                <w:color w:val="000000" w:themeColor="text1"/>
                <w:szCs w:val="21"/>
                <w:highlight w:val="none"/>
                <w:u w:val="single"/>
                <w14:textFill>
                  <w14:solidFill>
                    <w14:schemeClr w14:val="tx1"/>
                  </w14:solidFill>
                </w14:textFill>
              </w:rPr>
              <w:t>在提交投标文件截止时间18天前</w:t>
            </w:r>
            <w:r>
              <w:rPr>
                <w:rFonts w:hint="eastAsia" w:ascii="宋体" w:hAnsi="宋体"/>
                <w:color w:val="000000" w:themeColor="text1"/>
                <w:szCs w:val="21"/>
                <w:highlight w:val="none"/>
                <w14:textFill>
                  <w14:solidFill>
                    <w14:schemeClr w14:val="tx1"/>
                  </w14:solidFill>
                </w14:textFill>
              </w:rPr>
              <w:t>；</w:t>
            </w:r>
          </w:p>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形式：投标人的疑问通过</w:t>
            </w:r>
            <w:r>
              <w:rPr>
                <w:rFonts w:hint="eastAsia" w:ascii="宋体" w:hAnsi="宋体"/>
                <w:color w:val="000000" w:themeColor="text1"/>
                <w:szCs w:val="21"/>
                <w:highlight w:val="none"/>
                <w:u w:val="single"/>
                <w14:textFill>
                  <w14:solidFill>
                    <w14:schemeClr w14:val="tx1"/>
                  </w14:solidFill>
                </w14:textFill>
              </w:rPr>
              <w:t>广州公共资源交易中心</w:t>
            </w:r>
            <w:r>
              <w:rPr>
                <w:rFonts w:hint="eastAsia" w:ascii="宋体" w:hAnsi="宋体"/>
                <w:color w:val="000000" w:themeColor="text1"/>
                <w:szCs w:val="21"/>
                <w:highlight w:val="none"/>
                <w14:textFill>
                  <w14:solidFill>
                    <w14:schemeClr w14:val="tx1"/>
                  </w14:solidFill>
                </w14:textFill>
              </w:rPr>
              <w:t>交易平台提交。</w:t>
            </w:r>
          </w:p>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具体要求：按照交易平台关于全流程电子化项目的相关指南进行操作，详见：</w:t>
            </w:r>
            <w:r>
              <w:rPr>
                <w:rFonts w:hint="eastAsia" w:ascii="宋体" w:hAnsi="宋体"/>
                <w:color w:val="000000" w:themeColor="text1"/>
                <w:szCs w:val="21"/>
                <w:highlight w:val="none"/>
                <w:u w:val="single"/>
                <w14:textFill>
                  <w14:solidFill>
                    <w14:schemeClr w14:val="tx1"/>
                  </w14:solidFill>
                </w14:textFill>
              </w:rPr>
              <w:t>广州公共资源交易中心</w:t>
            </w:r>
            <w:r>
              <w:rPr>
                <w:rFonts w:hint="eastAsia" w:ascii="宋体" w:hAnsi="宋体"/>
                <w:color w:val="000000" w:themeColor="text1"/>
                <w:szCs w:val="21"/>
                <w:highlight w:val="none"/>
                <w14:textFill>
                  <w14:solidFill>
                    <w14:schemeClr w14:val="tx1"/>
                  </w14:solidFill>
                </w14:textFill>
              </w:rPr>
              <w:t>。提问一律不得署名。</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17</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20.1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投标截止时间</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strike/>
                <w:color w:val="000000" w:themeColor="text1"/>
                <w:szCs w:val="21"/>
                <w:highlight w:val="non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年</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月</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日</w:t>
            </w:r>
            <w:r>
              <w:rPr>
                <w:rFonts w:hint="eastAsia" w:ascii="宋体" w:hAnsi="宋体"/>
                <w:color w:val="000000" w:themeColor="text1"/>
                <w:szCs w:val="21"/>
                <w:highlight w:val="none"/>
                <w:u w:val="singl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时（北京时间）。</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18</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20.1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开标开始时间和地点</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（技术标和经济标同时开标）</w:t>
            </w:r>
          </w:p>
          <w:p>
            <w:pPr>
              <w:keepNext w:val="0"/>
              <w:keepLines w:val="0"/>
              <w:widowControl/>
              <w:suppressLineNumbers w:val="0"/>
              <w:spacing w:before="0" w:beforeAutospacing="0" w:after="0" w:afterAutospacing="0"/>
              <w:ind w:left="0" w:right="0"/>
              <w:jc w:val="left"/>
              <w:rPr>
                <w:rFonts w:hint="default"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1、开标开始时间：</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年</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月</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日</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时</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分（与投标截止时间为同一时间），地点：</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w:t>
            </w:r>
            <w:r>
              <w:rPr>
                <w:rFonts w:hint="eastAsia" w:ascii="宋体" w:hAnsi="宋体" w:cs="宋体"/>
                <w:b/>
                <w:bCs/>
                <w:color w:val="000000" w:themeColor="text1"/>
                <w:kern w:val="0"/>
                <w:szCs w:val="21"/>
                <w:highlight w:val="none"/>
                <w14:textFill>
                  <w14:solidFill>
                    <w14:schemeClr w14:val="tx1"/>
                  </w14:solidFill>
                </w14:textFill>
              </w:rPr>
              <w:t>投标人也可选择参加在线开标，具体按照交易平台相关指南进行操作。详见：</w:t>
            </w:r>
            <w:r>
              <w:rPr>
                <w:rFonts w:hint="eastAsia" w:ascii="宋体" w:hAnsi="宋体" w:cs="宋体"/>
                <w:color w:val="000000" w:themeColor="text1"/>
                <w:szCs w:val="21"/>
                <w:highlight w:val="none"/>
                <w:u w:val="single"/>
                <w:lang w:bidi="ar"/>
                <w14:textFill>
                  <w14:solidFill>
                    <w14:schemeClr w14:val="tx1"/>
                  </w14:solidFill>
                </w14:textFill>
              </w:rPr>
              <w:t>广州公共资源交易中心网站最新指引</w:t>
            </w:r>
            <w:r>
              <w:rPr>
                <w:rFonts w:hint="eastAsia" w:ascii="宋体" w:hAnsi="宋体" w:cs="宋体"/>
                <w:b/>
                <w:bCs/>
                <w:color w:val="000000" w:themeColor="text1"/>
                <w:kern w:val="0"/>
                <w:szCs w:val="21"/>
                <w:highlight w:val="none"/>
                <w14:textFill>
                  <w14:solidFill>
                    <w14:schemeClr w14:val="tx1"/>
                  </w14:solidFill>
                </w14:textFill>
              </w:rPr>
              <w:t>。</w:t>
            </w:r>
          </w:p>
          <w:p>
            <w:pPr>
              <w:keepNext w:val="0"/>
              <w:keepLines w:val="0"/>
              <w:widowControl/>
              <w:suppressLineNumbers w:val="0"/>
              <w:spacing w:before="0" w:beforeAutospacing="0" w:after="0" w:afterAutospacing="0"/>
              <w:ind w:left="0" w:right="0"/>
              <w:jc w:val="left"/>
              <w:rPr>
                <w:rFonts w:hint="default"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注：投标文件解密问题。投标人只用执行一次解密，招标人执行解密次数根据招标文件开标次数确定。</w:t>
            </w:r>
          </w:p>
          <w:p>
            <w:pPr>
              <w:keepNext w:val="0"/>
              <w:keepLines w:val="0"/>
              <w:widowControl/>
              <w:suppressLineNumbers w:val="0"/>
              <w:spacing w:before="0" w:beforeAutospacing="0" w:after="0" w:afterAutospacing="0"/>
              <w:ind w:left="0" w:right="0"/>
              <w:jc w:val="left"/>
              <w:rPr>
                <w:rFonts w:hint="default" w:ascii="宋体" w:hAnsi="宋体" w:cs="宋体"/>
                <w:bCs/>
                <w:color w:val="000000" w:themeColor="text1"/>
                <w:kern w:val="0"/>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2、递交投标文件备用光盘时间：</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年</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月</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日</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时</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分至</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年</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月</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日   时</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分；递交地点：</w:t>
            </w:r>
            <w:r>
              <w:rPr>
                <w:rFonts w:hint="eastAsia" w:ascii="宋体" w:hAnsi="宋体" w:cs="宋体"/>
                <w:bCs/>
                <w:color w:val="000000" w:themeColor="text1"/>
                <w:kern w:val="0"/>
                <w:szCs w:val="21"/>
                <w:highlight w:val="none"/>
                <w:u w:val="single"/>
                <w14:textFill>
                  <w14:solidFill>
                    <w14:schemeClr w14:val="tx1"/>
                  </w14:solidFill>
                </w14:textFill>
              </w:rPr>
              <w:t xml:space="preserve">      </w:t>
            </w:r>
            <w:r>
              <w:rPr>
                <w:rFonts w:hint="eastAsia" w:ascii="宋体" w:hAnsi="宋体" w:cs="宋体"/>
                <w:bCs/>
                <w:color w:val="000000" w:themeColor="text1"/>
                <w:kern w:val="0"/>
                <w:szCs w:val="21"/>
                <w:highlight w:val="none"/>
                <w14:textFill>
                  <w14:solidFill>
                    <w14:schemeClr w14:val="tx1"/>
                  </w14:solidFill>
                </w14:textFill>
              </w:rPr>
              <w:t>。</w:t>
            </w:r>
            <w:r>
              <w:rPr>
                <w:rFonts w:hint="eastAsia" w:ascii="宋体" w:hAnsi="宋体"/>
                <w:b/>
                <w:bCs/>
                <w:color w:val="000000" w:themeColor="text1"/>
                <w:highlight w:val="none"/>
                <w:u w:val="single"/>
                <w14:textFill>
                  <w14:solidFill>
                    <w14:schemeClr w14:val="tx1"/>
                  </w14:solidFill>
                </w14:textFill>
              </w:rPr>
              <w:t>注：投标人</w:t>
            </w:r>
            <w:r>
              <w:rPr>
                <w:rFonts w:hint="eastAsia" w:ascii="宋体" w:hAnsi="宋体"/>
                <w:b/>
                <w:bCs/>
                <w:color w:val="000000" w:themeColor="text1"/>
                <w:szCs w:val="21"/>
                <w:highlight w:val="none"/>
                <w:u w:val="single"/>
                <w14:textFill>
                  <w14:solidFill>
                    <w14:schemeClr w14:val="tx1"/>
                  </w14:solidFill>
                </w14:textFill>
              </w:rPr>
              <w:t>应凭法定代表人证明书及法定代表人授权委托书（授权代表递交时出具）递交投标文件备用光盘</w:t>
            </w:r>
            <w:r>
              <w:rPr>
                <w:rFonts w:hint="eastAsia" w:ascii="宋体" w:hAnsi="宋体"/>
                <w:b/>
                <w:bCs/>
                <w:color w:val="000000" w:themeColor="text1"/>
                <w:szCs w:val="21"/>
                <w:highlight w:val="none"/>
                <w:u w:val="single"/>
                <w:lang w:eastAsia="zh-CN"/>
                <w14:textFill>
                  <w14:solidFill>
                    <w14:schemeClr w14:val="tx1"/>
                  </w14:solidFill>
                </w14:textFill>
              </w:rPr>
              <w:t>，并出示本人身份证</w:t>
            </w:r>
            <w:r>
              <w:rPr>
                <w:rFonts w:hint="eastAsia" w:ascii="宋体" w:hAnsi="宋体"/>
                <w:b/>
                <w:bCs/>
                <w:color w:val="000000" w:themeColor="text1"/>
                <w:szCs w:val="21"/>
                <w:highlight w:val="none"/>
                <w:u w:val="single"/>
                <w:lang w:val="en-US" w:eastAsia="zh-CN"/>
                <w14:textFill>
                  <w14:solidFill>
                    <w14:schemeClr w14:val="tx1"/>
                  </w14:solidFill>
                </w14:textFill>
              </w:rPr>
              <w:t>原件</w:t>
            </w:r>
            <w:r>
              <w:rPr>
                <w:rFonts w:hint="eastAsia" w:ascii="宋体" w:hAnsi="宋体"/>
                <w:b/>
                <w:bCs/>
                <w:color w:val="000000" w:themeColor="text1"/>
                <w:szCs w:val="21"/>
                <w:highlight w:val="none"/>
                <w:u w:val="single"/>
                <w14:textFill>
                  <w14:solidFill>
                    <w14:schemeClr w14:val="tx1"/>
                  </w14:solidFill>
                </w14:textFill>
              </w:rPr>
              <w:t>。</w:t>
            </w:r>
            <w:r>
              <w:rPr>
                <w:rFonts w:hint="eastAsia" w:ascii="宋体" w:hAnsi="宋体" w:cs="宋体"/>
                <w:bCs/>
                <w:color w:val="000000" w:themeColor="text1"/>
                <w:kern w:val="0"/>
                <w:szCs w:val="21"/>
                <w:highlight w:val="none"/>
                <w14:textFill>
                  <w14:solidFill>
                    <w14:schemeClr w14:val="tx1"/>
                  </w14:solidFill>
                </w14:textFill>
              </w:rPr>
              <w:t>(建议安排在投标文件截止时间前15分钟至投标文件截止时间）</w:t>
            </w:r>
          </w:p>
          <w:p>
            <w:pPr>
              <w:keepNext w:val="0"/>
              <w:keepLines w:val="0"/>
              <w:widowControl/>
              <w:suppressLineNumbers w:val="0"/>
              <w:spacing w:before="0" w:beforeAutospacing="0" w:after="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s="宋体"/>
                <w:bCs/>
                <w:color w:val="000000" w:themeColor="text1"/>
                <w:kern w:val="0"/>
                <w:szCs w:val="21"/>
                <w:highlight w:val="none"/>
                <w14:textFill>
                  <w14:solidFill>
                    <w14:schemeClr w14:val="tx1"/>
                  </w14:solidFill>
                </w14:textFill>
              </w:rPr>
              <w:t>上述时间及地点是否有改变，请密切留意补充公告和招标答疑纪要的相关信息。</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787"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19</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26</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开标评标办法</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120" w:afterAutospacing="0"/>
              <w:ind w:left="0" w:right="0" w:firstLine="420" w:firstLineChars="200"/>
              <w:rPr>
                <w:rFonts w:hint="default" w:asci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方式一：选取办法</w:t>
            </w:r>
            <w:r>
              <w:rPr>
                <w:rFonts w:hint="eastAsia" w:ascii="宋体" w:hAnsi="宋体" w:cs="宋体"/>
                <w:color w:val="000000" w:themeColor="text1"/>
                <w:szCs w:val="21"/>
                <w:highlight w:val="none"/>
                <w:u w:val="single"/>
                <w14:textFill>
                  <w14:solidFill>
                    <w14:schemeClr w14:val="tx1"/>
                  </w14:solidFill>
                </w14:textFill>
              </w:rPr>
              <w:t>七（适合综合评分法四，技术标与经济标同时开启）</w:t>
            </w:r>
          </w:p>
          <w:p>
            <w:pPr>
              <w:keepNext w:val="0"/>
              <w:keepLines w:val="0"/>
              <w:suppressLineNumbers w:val="0"/>
              <w:spacing w:before="0" w:beforeAutospacing="0" w:after="120" w:afterAutospacing="0"/>
              <w:ind w:left="0" w:right="0" w:firstLine="422" w:firstLineChars="200"/>
              <w:rPr>
                <w:rFonts w:hint="default" w:ascii="宋体" w:hAnsi="宋体"/>
                <w:color w:val="000000" w:themeColor="text1"/>
                <w:szCs w:val="21"/>
                <w:highlight w:val="none"/>
                <w:lang w:val="en-US"/>
                <w14:textFill>
                  <w14:solidFill>
                    <w14:schemeClr w14:val="tx1"/>
                  </w14:solidFill>
                </w14:textFill>
              </w:rPr>
            </w:pPr>
            <w:r>
              <w:rPr>
                <w:rFonts w:hint="default" w:ascii="宋体" w:hAnsi="宋体" w:eastAsia="宋体" w:cs="宋体"/>
                <w:b/>
                <w:bCs w:val="0"/>
                <w:strike w:val="0"/>
                <w:dstrike w:val="0"/>
                <w:color w:val="000000" w:themeColor="text1"/>
                <w:kern w:val="2"/>
                <w:sz w:val="21"/>
                <w:szCs w:val="21"/>
                <w:highlight w:val="none"/>
                <w:u w:val="single"/>
                <w14:textFill>
                  <w14:solidFill>
                    <w14:schemeClr w14:val="tx1"/>
                  </w14:solidFill>
                </w14:textFill>
              </w:rPr>
              <w:t>投标人总得分=技术得分(满分20分)＋经济得分(满分100分)×经济得分权重（80%）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20</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29.1</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履约担保</w:t>
            </w:r>
          </w:p>
        </w:tc>
        <w:tc>
          <w:tcPr>
            <w:tcW w:w="5857" w:type="dxa"/>
            <w:tcBorders>
              <w:top w:val="single" w:color="auto" w:sz="4" w:space="0"/>
              <w:left w:val="single" w:color="auto" w:sz="4" w:space="0"/>
              <w:bottom w:val="single" w:color="auto" w:sz="4" w:space="0"/>
              <w:right w:val="double" w:color="auto" w:sz="4" w:space="0"/>
            </w:tcBorders>
            <w:vAlign w:val="center"/>
          </w:tcPr>
          <w:p>
            <w:pPr>
              <w:pStyle w:val="17"/>
              <w:keepNext w:val="0"/>
              <w:keepLines w:val="0"/>
              <w:suppressLineNumbers w:val="0"/>
              <w:spacing w:before="0" w:beforeAutospacing="0" w:after="0" w:afterAutospacing="0"/>
              <w:ind w:left="0" w:right="0" w:firstLine="0"/>
              <w:rPr>
                <w:rFonts w:hint="default"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方式一：中标人提供的履约保证金为中标价款的10%。</w:t>
            </w:r>
          </w:p>
          <w:p>
            <w:pPr>
              <w:keepNext w:val="0"/>
              <w:keepLines w:val="0"/>
              <w:widowControl w:val="0"/>
              <w:suppressLineNumbers w:val="0"/>
              <w:spacing w:before="0" w:beforeAutospacing="0" w:after="0" w:afterAutospacing="0"/>
              <w:ind w:left="0" w:right="0" w:firstLine="0"/>
              <w:jc w:val="both"/>
              <w:rPr>
                <w:rFonts w:hint="default" w:ascii="宋体" w:hAnsi="宋体"/>
                <w:color w:val="000000" w:themeColor="text1"/>
                <w:highlight w:val="none"/>
                <w14:textFill>
                  <w14:solidFill>
                    <w14:schemeClr w14:val="tx1"/>
                  </w14:solidFill>
                </w14:textFill>
              </w:rPr>
            </w:pPr>
            <w:r>
              <w:rPr>
                <w:rFonts w:hint="eastAsia"/>
                <w:color w:val="000000" w:themeColor="text1"/>
                <w:szCs w:val="21"/>
                <w:highlight w:val="none"/>
                <w:u w:val="single"/>
                <w14:textFill>
                  <w14:solidFill>
                    <w14:schemeClr w14:val="tx1"/>
                  </w14:solidFill>
                </w14:textFill>
              </w:rPr>
              <w:t>（具体形式详见合同）</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60"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21</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最高投标限价</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val="0"/>
              <w:suppressLineNumbers w:val="0"/>
              <w:spacing w:before="0" w:beforeAutospacing="0" w:after="0" w:afterAutospacing="0"/>
              <w:ind w:left="0" w:right="0"/>
              <w:jc w:val="both"/>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本项目最高投标限价为人民币</w:t>
            </w:r>
            <w:r>
              <w:rPr>
                <w:rFonts w:hint="eastAsia" w:ascii="宋体" w:hAnsi="宋体"/>
                <w:color w:val="000000" w:themeColor="text1"/>
                <w:szCs w:val="21"/>
                <w:highlight w:val="none"/>
                <w:u w:val="single"/>
                <w14:textFill>
                  <w14:solidFill>
                    <w14:schemeClr w14:val="tx1"/>
                  </w14:solidFill>
                </w14:textFill>
              </w:rPr>
              <w:t>18773988.85</w:t>
            </w:r>
            <w:r>
              <w:rPr>
                <w:rFonts w:hint="eastAsia" w:ascii="宋体" w:hAnsi="宋体"/>
                <w:color w:val="000000" w:themeColor="text1"/>
                <w:szCs w:val="21"/>
                <w:highlight w:val="none"/>
                <w14:textFill>
                  <w14:solidFill>
                    <w14:schemeClr w14:val="tx1"/>
                  </w14:solidFill>
                </w14:textFill>
              </w:rPr>
              <w:t>元。</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22</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非竞争费用</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val="0"/>
              <w:suppressLineNumbers w:val="0"/>
              <w:spacing w:before="0" w:beforeAutospacing="0" w:after="0" w:afterAutospacing="0"/>
              <w:ind w:left="0" w:right="0"/>
              <w:jc w:val="both"/>
              <w:rPr>
                <w:rFonts w:hint="default" w:ascii="宋体" w:hAnsi="宋体"/>
                <w:color w:val="000000" w:themeColor="text1"/>
                <w:szCs w:val="21"/>
                <w:highlight w:val="none"/>
                <w14:textFill>
                  <w14:solidFill>
                    <w14:schemeClr w14:val="tx1"/>
                  </w14:solidFill>
                </w14:textFill>
              </w:rPr>
            </w:pPr>
            <w:r>
              <w:rPr>
                <w:rFonts w:hint="eastAsia" w:ascii="宋体" w:hAnsi="宋体" w:eastAsia="宋体" w:cs="宋体"/>
                <w:color w:val="000000" w:themeColor="text1"/>
                <w:kern w:val="2"/>
                <w:sz w:val="21"/>
                <w:szCs w:val="21"/>
                <w:highlight w:val="none"/>
                <w:lang w:val="en-US" w:eastAsia="zh-CN" w:bidi="ar"/>
                <w14:textFill>
                  <w14:solidFill>
                    <w14:schemeClr w14:val="tx1"/>
                  </w14:solidFill>
                </w14:textFill>
              </w:rPr>
              <w:t>本项目绿色施工安全防护措施费为</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1333849.94</w:t>
            </w:r>
            <w:r>
              <w:rPr>
                <w:rFonts w:hint="eastAsia" w:ascii="宋体" w:hAnsi="宋体"/>
                <w:color w:val="000000" w:themeColor="text1"/>
                <w:szCs w:val="21"/>
                <w:highlight w:val="none"/>
                <w14:textFill>
                  <w14:solidFill>
                    <w14:schemeClr w14:val="tx1"/>
                  </w14:solidFill>
                </w14:textFill>
              </w:rPr>
              <w:t>元</w:t>
            </w:r>
            <w:r>
              <w:rPr>
                <w:rFonts w:hint="eastAsia" w:ascii="宋体" w:hAnsi="宋体" w:eastAsia="宋体" w:cs="宋体"/>
                <w:color w:val="000000" w:themeColor="text1"/>
                <w:kern w:val="2"/>
                <w:sz w:val="21"/>
                <w:szCs w:val="21"/>
                <w:highlight w:val="none"/>
                <w:lang w:val="en-US" w:eastAsia="zh-CN" w:bidi="ar"/>
                <w14:textFill>
                  <w14:solidFill>
                    <w14:schemeClr w14:val="tx1"/>
                  </w14:solidFill>
                </w14:textFill>
              </w:rPr>
              <w:t>，暂列金额为</w:t>
            </w:r>
            <w:r>
              <w:rPr>
                <w:rFonts w:hint="eastAsia" w:ascii="宋体" w:hAnsi="宋体" w:eastAsia="宋体" w:cs="宋体"/>
                <w:color w:val="000000" w:themeColor="text1"/>
                <w:kern w:val="2"/>
                <w:sz w:val="21"/>
                <w:szCs w:val="21"/>
                <w:highlight w:val="none"/>
                <w:u w:val="single"/>
                <w:lang w:val="en-US" w:eastAsia="zh-CN" w:bidi="ar"/>
                <w14:textFill>
                  <w14:solidFill>
                    <w14:schemeClr w14:val="tx1"/>
                  </w14:solidFill>
                </w14:textFill>
              </w:rPr>
              <w:t>933014.62</w:t>
            </w:r>
            <w:r>
              <w:rPr>
                <w:rFonts w:hint="eastAsia" w:ascii="宋体" w:hAnsi="宋体"/>
                <w:color w:val="000000" w:themeColor="text1"/>
                <w:szCs w:val="21"/>
                <w:highlight w:val="none"/>
                <w14:textFill>
                  <w14:solidFill>
                    <w14:schemeClr w14:val="tx1"/>
                  </w14:solidFill>
                </w14:textFill>
              </w:rPr>
              <w:t>元</w:t>
            </w:r>
            <w:r>
              <w:rPr>
                <w:rFonts w:hint="eastAsia" w:ascii="宋体" w:hAnsi="宋体" w:eastAsia="宋体" w:cs="宋体"/>
                <w:strike w:val="0"/>
                <w:color w:val="000000" w:themeColor="text1"/>
                <w:kern w:val="2"/>
                <w:sz w:val="21"/>
                <w:szCs w:val="21"/>
                <w:highlight w:val="none"/>
                <w:lang w:val="en-US" w:eastAsia="zh-CN" w:bidi="ar"/>
                <w14:textFill>
                  <w14:solidFill>
                    <w14:schemeClr w14:val="tx1"/>
                  </w14:solidFill>
                </w14:textFill>
              </w:rPr>
              <w:t>，暂估价为</w:t>
            </w:r>
            <w:r>
              <w:rPr>
                <w:rFonts w:hint="eastAsia" w:ascii="宋体" w:hAnsi="宋体" w:cs="宋体"/>
                <w:strike w:val="0"/>
                <w:color w:val="000000" w:themeColor="text1"/>
                <w:kern w:val="2"/>
                <w:sz w:val="21"/>
                <w:szCs w:val="21"/>
                <w:highlight w:val="none"/>
                <w:u w:val="single"/>
                <w:lang w:val="en-US" w:eastAsia="zh-CN" w:bidi="ar"/>
                <w14:textFill>
                  <w14:solidFill>
                    <w14:schemeClr w14:val="tx1"/>
                  </w14:solidFill>
                </w14:textFill>
              </w:rPr>
              <w:t xml:space="preserve">   </w:t>
            </w:r>
            <w:r>
              <w:rPr>
                <w:rFonts w:hint="default" w:ascii="宋体" w:hAnsi="宋体" w:cs="宋体"/>
                <w:strike w:val="0"/>
                <w:color w:val="000000" w:themeColor="text1"/>
                <w:kern w:val="2"/>
                <w:sz w:val="21"/>
                <w:szCs w:val="21"/>
                <w:highlight w:val="none"/>
                <w:u w:val="single"/>
                <w:lang w:eastAsia="zh-CN" w:bidi="ar"/>
                <w14:textFill>
                  <w14:solidFill>
                    <w14:schemeClr w14:val="tx1"/>
                  </w14:solidFill>
                </w14:textFill>
              </w:rPr>
              <w:t>/</w:t>
            </w:r>
            <w:r>
              <w:rPr>
                <w:rFonts w:hint="eastAsia" w:ascii="宋体" w:hAnsi="宋体" w:cs="宋体"/>
                <w:strike w:val="0"/>
                <w:color w:val="000000" w:themeColor="text1"/>
                <w:kern w:val="2"/>
                <w:sz w:val="21"/>
                <w:szCs w:val="21"/>
                <w:highlight w:val="none"/>
                <w:u w:val="single"/>
                <w:lang w:val="en-US" w:eastAsia="zh-CN" w:bidi="ar"/>
                <w14:textFill>
                  <w14:solidFill>
                    <w14:schemeClr w14:val="tx1"/>
                  </w14:solidFill>
                </w14:textFill>
              </w:rPr>
              <w:t xml:space="preserve">  </w:t>
            </w:r>
            <w:r>
              <w:rPr>
                <w:rFonts w:hint="eastAsia" w:ascii="宋体" w:hAnsi="宋体"/>
                <w:strike w:val="0"/>
                <w:color w:val="000000" w:themeColor="text1"/>
                <w:szCs w:val="21"/>
                <w:highlight w:val="none"/>
                <w14:textFill>
                  <w14:solidFill>
                    <w14:schemeClr w14:val="tx1"/>
                  </w14:solidFill>
                </w14:textFill>
              </w:rPr>
              <w:t>元</w:t>
            </w:r>
            <w:r>
              <w:rPr>
                <w:rFonts w:hint="eastAsia" w:ascii="宋体" w:hAnsi="宋体"/>
                <w:color w:val="000000" w:themeColor="text1"/>
                <w:szCs w:val="21"/>
                <w:highlight w:val="none"/>
                <w14:textFill>
                  <w14:solidFill>
                    <w14:schemeClr w14:val="tx1"/>
                  </w14:solidFill>
                </w14:textFill>
              </w:rPr>
              <w:t>。（未按招标文件规定的金额填写的，由评标委员会按照招标文件规定的金额进行修正）</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689"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23</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pStyle w:val="17"/>
              <w:keepNext w:val="0"/>
              <w:keepLines w:val="0"/>
              <w:suppressLineNumbers w:val="0"/>
              <w:spacing w:before="0" w:beforeAutospacing="0" w:afterAutospacing="0"/>
              <w:ind w:left="0" w:right="0" w:firstLine="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保修期</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按照《建设工程质量管理条例》规定。</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bidi="ar"/>
                <w14:textFill>
                  <w14:solidFill>
                    <w14:schemeClr w14:val="tx1"/>
                  </w14:solidFill>
                </w14:textFill>
              </w:rPr>
              <w:t>24</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strike w:val="0"/>
                <w:color w:val="000000" w:themeColor="text1"/>
                <w:szCs w:val="21"/>
                <w:highlight w:val="none"/>
                <w:lang w:bidi="ar"/>
                <w14:textFill>
                  <w14:solidFill>
                    <w14:schemeClr w14:val="tx1"/>
                  </w14:solidFill>
                </w14:textFill>
              </w:rPr>
              <w:t>计算评标参考价的等分点值</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71" w:leftChars="34" w:right="0"/>
              <w:rPr>
                <w:rFonts w:hint="default" w:ascii="宋体" w:hAnsi="宋体"/>
                <w:strike/>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bidi="ar"/>
                <w14:textFill>
                  <w14:solidFill>
                    <w14:schemeClr w14:val="tx1"/>
                  </w14:solidFill>
                </w14:textFill>
              </w:rPr>
              <w:t>25</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strike w:val="0"/>
                <w:color w:val="000000" w:themeColor="text1"/>
                <w:szCs w:val="21"/>
                <w:highlight w:val="none"/>
                <w:lang w:bidi="ar"/>
                <w14:textFill>
                  <w14:solidFill>
                    <w14:schemeClr w14:val="tx1"/>
                  </w14:solidFill>
                </w14:textFill>
              </w:rPr>
              <w:t>进入第二阶段评审的家数</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71" w:leftChars="34"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26</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工程成本警戒价</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widowControl w:val="0"/>
              <w:suppressLineNumbers w:val="0"/>
              <w:spacing w:before="0" w:beforeAutospacing="0" w:after="0" w:afterAutospacing="0"/>
              <w:ind w:left="0" w:right="0"/>
              <w:jc w:val="both"/>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工程成本警戒价为</w:t>
            </w:r>
            <w:r>
              <w:rPr>
                <w:rFonts w:hint="eastAsia" w:ascii="宋体" w:hAnsi="宋体"/>
                <w:color w:val="000000" w:themeColor="text1"/>
                <w:szCs w:val="21"/>
                <w:highlight w:val="none"/>
                <w:u w:val="single"/>
                <w:lang w:val="en-US" w:eastAsia="zh-CN"/>
                <w14:textFill>
                  <w14:solidFill>
                    <w14:schemeClr w14:val="tx1"/>
                  </w14:solidFill>
                </w14:textFill>
              </w:rPr>
              <w:t>16896589.97</w:t>
            </w:r>
            <w:r>
              <w:rPr>
                <w:rFonts w:hint="eastAsia" w:ascii="宋体" w:hAnsi="宋体"/>
                <w:color w:val="000000" w:themeColor="text1"/>
                <w:szCs w:val="21"/>
                <w:highlight w:val="none"/>
                <w14:textFill>
                  <w14:solidFill>
                    <w14:schemeClr w14:val="tx1"/>
                  </w14:solidFill>
                </w14:textFill>
              </w:rPr>
              <w:t>元</w:t>
            </w:r>
            <w:r>
              <w:rPr>
                <w:rFonts w:hint="eastAsia" w:ascii="宋体" w:hAnsi="宋体" w:cs="宋体"/>
                <w:color w:val="000000" w:themeColor="text1"/>
                <w:szCs w:val="21"/>
                <w:highlight w:val="none"/>
                <w14:textFill>
                  <w14:solidFill>
                    <w14:schemeClr w14:val="tx1"/>
                  </w14:solidFill>
                </w14:textFill>
              </w:rPr>
              <w:t>（按最高投标限价的90%计取）</w:t>
            </w:r>
            <w:r>
              <w:rPr>
                <w:rFonts w:hint="eastAsia" w:ascii="宋体" w:hAnsi="宋体"/>
                <w:color w:val="000000" w:themeColor="text1"/>
                <w:szCs w:val="21"/>
                <w:highlight w:val="none"/>
                <w14:textFill>
                  <w14:solidFill>
                    <w14:schemeClr w14:val="tx1"/>
                  </w14:solidFill>
                </w14:textFill>
              </w:rPr>
              <w:t>。对低于该警戒价的投标报价，投标人必须提供详细的施工组织设计、单价、措施性费用、单价分析表、主要材料价格表、投标人成本分析供评标委员会评审，由评标委员会判定其是否低于企业自身成本。在评标过程中，评标委员会发现投标人的报价明显低于其他投标报价或者低于成本警戒价，使得其投标报价可能低于其个别成本的，应当要求该投标人作出书面说明并提供相关证明材料。投标人不能合理说明或者不能提供相关证明材料的，由评标委员会认定该投标人以低于成本报价竞标，应当否决其投标。</w:t>
            </w:r>
          </w:p>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注：为充分体现招标人意愿及落实项目招标人负责制，警戒价由招标人决定。</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27</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strike w:val="0"/>
                <w:color w:val="000000" w:themeColor="text1"/>
                <w:szCs w:val="21"/>
                <w:highlight w:val="none"/>
                <w14:textFill>
                  <w14:solidFill>
                    <w14:schemeClr w14:val="tx1"/>
                  </w14:solidFill>
                </w14:textFill>
              </w:rPr>
            </w:pPr>
            <w:r>
              <w:rPr>
                <w:rFonts w:hint="eastAsia" w:ascii="宋体" w:hAnsi="宋体"/>
                <w:strike w:val="0"/>
                <w:color w:val="000000" w:themeColor="text1"/>
                <w:szCs w:val="21"/>
                <w:highlight w:val="none"/>
                <w14:textFill>
                  <w14:solidFill>
                    <w14:schemeClr w14:val="tx1"/>
                  </w14:solidFill>
                </w14:textFill>
              </w:rPr>
              <w:t>第一阶段各分值的权重</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strike w:val="0"/>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707"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28</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评标委员会人数</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评标委员会由招标人依法组建。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strike/>
                <w:color w:val="000000" w:themeColor="text1"/>
                <w:szCs w:val="21"/>
                <w:highlight w:val="none"/>
                <w14:textFill>
                  <w14:solidFill>
                    <w14:schemeClr w14:val="tx1"/>
                  </w14:solidFill>
                </w14:textFill>
              </w:rPr>
            </w:pPr>
            <w:r>
              <w:rPr>
                <w:rFonts w:hint="eastAsia" w:ascii="宋体" w:hAnsi="宋体"/>
                <w:strike w:val="0"/>
                <w:color w:val="000000" w:themeColor="text1"/>
                <w:szCs w:val="21"/>
                <w:highlight w:val="none"/>
                <w14:textFill>
                  <w14:solidFill>
                    <w14:schemeClr w14:val="tx1"/>
                  </w14:solidFill>
                </w14:textFill>
              </w:rPr>
              <w:t>29</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strike/>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strike/>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企业综合诚信评价分数</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leftChars="0" w:right="0"/>
              <w:rPr>
                <w:rFonts w:hint="default" w:hAnsi="宋体"/>
                <w:strike/>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30</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第二阶段投标人名次的排序方法（适用于办法一、办法二）</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31</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经济分相同情况下的排序方法（适用于办法三、办法四）</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32</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firstLine="458"/>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第二阶段投标人名次的排序方法（适用于办法五、办法六）</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u w:val="single"/>
                <w:lang w:bidi="ar"/>
                <w14:textFill>
                  <w14:solidFill>
                    <w14:schemeClr w14:val="tx1"/>
                  </w14:solidFill>
                </w14:textFill>
              </w:rPr>
              <w:t>本款不适用。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33</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13.4、13.5.2</w:t>
            </w: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合同价款的调整办法</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u w:val="single"/>
                <w14:textFill>
                  <w14:solidFill>
                    <w14:schemeClr w14:val="tx1"/>
                  </w14:solidFill>
                </w14:textFill>
              </w:rPr>
            </w:pPr>
            <w:r>
              <w:rPr>
                <w:rFonts w:hint="eastAsia" w:ascii="Times New Roman" w:hAnsi="Times New Roman"/>
                <w:color w:val="000000" w:themeColor="text1"/>
                <w:szCs w:val="21"/>
                <w:highlight w:val="none"/>
                <w:u w:val="single"/>
                <w14:textFill>
                  <w14:solidFill>
                    <w14:schemeClr w14:val="tx1"/>
                  </w14:solidFill>
                </w14:textFill>
              </w:rPr>
              <w:t>按合同条款相关约定调整。</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915"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34</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kern w:val="0"/>
                <w:szCs w:val="21"/>
                <w:highlight w:val="none"/>
                <w:lang w:val="zh-CN"/>
                <w14:textFill>
                  <w14:solidFill>
                    <w14:schemeClr w14:val="tx1"/>
                  </w14:solidFill>
                </w14:textFill>
              </w:rPr>
              <w:t>建设工程质量检测单位</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lang w:val="zh-CN"/>
                <w14:textFill>
                  <w14:solidFill>
                    <w14:schemeClr w14:val="tx1"/>
                  </w14:solidFill>
                </w14:textFill>
              </w:rPr>
            </w:pPr>
            <w:r>
              <w:rPr>
                <w:rFonts w:hint="eastAsia" w:ascii="Times New Roman" w:hAnsi="Times New Roman"/>
                <w:color w:val="000000" w:themeColor="text1"/>
                <w:kern w:val="0"/>
                <w:szCs w:val="21"/>
                <w:highlight w:val="none"/>
                <w:lang w:val="zh-CN"/>
                <w14:textFill>
                  <w14:solidFill>
                    <w14:schemeClr w14:val="tx1"/>
                  </w14:solidFill>
                </w14:textFill>
              </w:rPr>
              <w:t>建设单位和中标人均不得委托近二年（从招标公告发布年度起逆推2年的1月1日起至投标截止时间止）因伪造检测数据、出具虚假检测报告被各级建设行政主管部门或市场监督管理部门行政处罚或通报的检测单位负责本项目的检测工作。</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684" w:hRule="atLeast"/>
        </w:trPr>
        <w:tc>
          <w:tcPr>
            <w:tcW w:w="702" w:type="dxa"/>
            <w:tcBorders>
              <w:top w:val="single" w:color="auto" w:sz="4" w:space="0"/>
              <w:left w:val="doub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35</w:t>
            </w:r>
          </w:p>
        </w:tc>
        <w:tc>
          <w:tcPr>
            <w:tcW w:w="9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81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lang w:val="zh-CN"/>
                <w14:textFill>
                  <w14:solidFill>
                    <w14:schemeClr w14:val="tx1"/>
                  </w14:solidFill>
                </w14:textFill>
              </w:rPr>
            </w:pPr>
            <w:r>
              <w:rPr>
                <w:rFonts w:hint="eastAsia" w:ascii="宋体" w:hAnsi="宋体"/>
                <w:color w:val="000000" w:themeColor="text1"/>
                <w:kern w:val="0"/>
                <w:szCs w:val="21"/>
                <w:highlight w:val="none"/>
                <w:lang w:val="zh-CN"/>
                <w14:textFill>
                  <w14:solidFill>
                    <w14:schemeClr w14:val="tx1"/>
                  </w14:solidFill>
                </w14:textFill>
              </w:rPr>
              <w:t>分包</w:t>
            </w:r>
          </w:p>
        </w:tc>
        <w:tc>
          <w:tcPr>
            <w:tcW w:w="5857" w:type="dxa"/>
            <w:tcBorders>
              <w:top w:val="single" w:color="auto" w:sz="4" w:space="0"/>
              <w:left w:val="single" w:color="auto" w:sz="4" w:space="0"/>
              <w:bottom w:val="single" w:color="auto" w:sz="4" w:space="0"/>
              <w:right w:val="double" w:color="auto" w:sz="4" w:space="0"/>
            </w:tcBorders>
            <w:vAlign w:val="center"/>
          </w:tcPr>
          <w:p>
            <w:pPr>
              <w:keepNext w:val="0"/>
              <w:keepLines w:val="0"/>
              <w:suppressLineNumbers w:val="0"/>
              <w:spacing w:before="0" w:beforeAutospacing="0" w:after="0" w:afterAutospacing="0"/>
              <w:ind w:left="0" w:right="0" w:firstLine="0" w:firstLineChars="0"/>
              <w:rPr>
                <w:rFonts w:hint="default" w:ascii="宋体" w:hAnsi="宋体"/>
                <w:color w:val="000000" w:themeColor="text1"/>
                <w:kern w:val="0"/>
                <w:szCs w:val="21"/>
                <w:highlight w:val="none"/>
                <w:lang w:val="zh-CN"/>
                <w14:textFill>
                  <w14:solidFill>
                    <w14:schemeClr w14:val="tx1"/>
                  </w14:solidFill>
                </w14:textFill>
              </w:rPr>
            </w:pPr>
            <w:r>
              <w:rPr>
                <w:rFonts w:hint="eastAsia" w:ascii="宋体" w:hAnsi="宋体"/>
                <w:color w:val="000000" w:themeColor="text1"/>
                <w:kern w:val="0"/>
                <w:szCs w:val="21"/>
                <w:highlight w:val="none"/>
                <w:lang w:val="zh-CN"/>
                <w14:textFill>
                  <w14:solidFill>
                    <w14:schemeClr w14:val="tx1"/>
                  </w14:solidFill>
                </w14:textFill>
              </w:rPr>
              <w:t>□不允许；</w:t>
            </w:r>
          </w:p>
          <w:p>
            <w:pPr>
              <w:keepNext w:val="0"/>
              <w:keepLines w:val="0"/>
              <w:suppressLineNumbers w:val="0"/>
              <w:spacing w:before="0" w:beforeAutospacing="0" w:after="0" w:afterAutospacing="0"/>
              <w:ind w:left="0" w:right="0" w:firstLine="0" w:firstLineChars="0"/>
              <w:rPr>
                <w:rFonts w:hint="default" w:ascii="Times New Roman" w:hAnsi="Times New Roman"/>
                <w:color w:val="000000" w:themeColor="text1"/>
                <w:kern w:val="0"/>
                <w:szCs w:val="21"/>
                <w:highlight w:val="none"/>
                <w:lang w:val="zh-CN"/>
                <w14:textFill>
                  <w14:solidFill>
                    <w14:schemeClr w14:val="tx1"/>
                  </w14:solidFill>
                </w14:textFill>
              </w:rPr>
            </w:pPr>
            <w:r>
              <w:rPr>
                <w:rFonts w:hint="eastAsia" w:ascii="Times New Roman" w:hAnsi="Times New Roman" w:cs="宋体"/>
                <w:color w:val="000000" w:themeColor="text1"/>
                <w:kern w:val="0"/>
                <w:szCs w:val="21"/>
                <w:highlight w:val="none"/>
                <w14:textFill>
                  <w14:solidFill>
                    <w14:schemeClr w14:val="tx1"/>
                  </w14:solidFill>
                </w14:textFill>
              </w:rPr>
              <w:t>■</w:t>
            </w:r>
            <w:r>
              <w:rPr>
                <w:rFonts w:hint="eastAsia" w:ascii="Times New Roman" w:hAnsi="Times New Roman"/>
                <w:color w:val="000000" w:themeColor="text1"/>
                <w:kern w:val="0"/>
                <w:szCs w:val="21"/>
                <w:highlight w:val="none"/>
                <w:lang w:val="zh-CN"/>
                <w14:textFill>
                  <w14:solidFill>
                    <w14:schemeClr w14:val="tx1"/>
                  </w14:solidFill>
                </w14:textFill>
              </w:rPr>
              <w:t>允许：</w:t>
            </w:r>
          </w:p>
          <w:p>
            <w:pPr>
              <w:keepNext w:val="0"/>
              <w:keepLines w:val="0"/>
              <w:widowControl w:val="0"/>
              <w:suppressLineNumbers w:val="0"/>
              <w:spacing w:before="0" w:beforeAutospacing="0" w:after="0" w:afterAutospacing="0"/>
              <w:ind w:left="0" w:right="0" w:firstLine="0" w:firstLineChars="0"/>
              <w:jc w:val="both"/>
              <w:rPr>
                <w:rFonts w:hint="default" w:ascii="Times New Roman" w:hAnsi="Times New Roman" w:eastAsia="宋体" w:cs="Times New Roman"/>
                <w:color w:val="000000" w:themeColor="text1"/>
                <w:kern w:val="2"/>
                <w:sz w:val="21"/>
                <w:szCs w:val="21"/>
                <w:highlight w:val="none"/>
                <w14:textFill>
                  <w14:solidFill>
                    <w14:schemeClr w14:val="tx1"/>
                  </w14:solidFill>
                </w14:textFill>
              </w:rPr>
            </w:pPr>
            <w:r>
              <w:rPr>
                <w:rFonts w:hint="default" w:ascii="宋体" w:hAnsi="宋体" w:eastAsia="宋体" w:cs="宋体"/>
                <w:color w:val="000000" w:themeColor="text1"/>
                <w:kern w:val="0"/>
                <w:sz w:val="21"/>
                <w:szCs w:val="21"/>
                <w:highlight w:val="none"/>
                <w:lang w:eastAsia="zh-CN" w:bidi="ar"/>
                <w14:textFill>
                  <w14:solidFill>
                    <w14:schemeClr w14:val="tx1"/>
                  </w14:solidFill>
                </w14:textFill>
              </w:rPr>
              <w:t xml:space="preserve">  </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分包内容要求：</w:t>
            </w:r>
            <w:r>
              <w:rPr>
                <w:rFonts w:hint="eastAsia" w:ascii="宋体" w:hAnsi="宋体" w:eastAsia="宋体" w:cs="宋体"/>
                <w:color w:val="000000" w:themeColor="text1"/>
                <w:kern w:val="0"/>
                <w:sz w:val="21"/>
                <w:szCs w:val="21"/>
                <w:highlight w:val="none"/>
                <w:u w:val="single"/>
                <w:lang w:val="en-US" w:eastAsia="zh-CN" w:bidi="ar"/>
                <w14:textFill>
                  <w14:solidFill>
                    <w14:schemeClr w14:val="tx1"/>
                  </w14:solidFill>
                </w14:textFill>
              </w:rPr>
              <w:t>非主体、非关键性工程。</w:t>
            </w:r>
          </w:p>
          <w:p>
            <w:pPr>
              <w:keepNext w:val="0"/>
              <w:keepLines w:val="0"/>
              <w:widowControl w:val="0"/>
              <w:suppressLineNumbers w:val="0"/>
              <w:spacing w:before="0" w:beforeAutospacing="0" w:after="0" w:afterAutospacing="0"/>
              <w:ind w:left="0" w:right="0" w:firstLine="0" w:firstLineChars="0"/>
              <w:jc w:val="both"/>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default" w:ascii="宋体" w:hAnsi="宋体" w:eastAsia="宋体" w:cs="宋体"/>
                <w:color w:val="000000" w:themeColor="text1"/>
                <w:kern w:val="0"/>
                <w:sz w:val="21"/>
                <w:szCs w:val="21"/>
                <w:highlight w:val="none"/>
                <w:lang w:eastAsia="zh-CN" w:bidi="ar"/>
                <w14:textFill>
                  <w14:solidFill>
                    <w14:schemeClr w14:val="tx1"/>
                  </w14:solidFill>
                </w14:textFill>
              </w:rPr>
              <w:t xml:space="preserve">  </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分包金额要求：</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w:t>
            </w:r>
          </w:p>
          <w:p>
            <w:pPr>
              <w:keepNext w:val="0"/>
              <w:keepLines w:val="0"/>
              <w:widowControl w:val="0"/>
              <w:suppressLineNumbers w:val="0"/>
              <w:spacing w:before="0" w:beforeAutospacing="0" w:after="0" w:afterAutospacing="0"/>
              <w:ind w:left="0" w:right="0" w:firstLine="210" w:firstLineChars="100"/>
              <w:jc w:val="both"/>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对分包人的资质要求：</w:t>
            </w:r>
            <w:r>
              <w:rPr>
                <w:rFonts w:hint="eastAsia" w:ascii="宋体" w:hAnsi="宋体" w:eastAsia="宋体" w:cs="宋体"/>
                <w:color w:val="000000" w:themeColor="text1"/>
                <w:kern w:val="0"/>
                <w:sz w:val="21"/>
                <w:szCs w:val="21"/>
                <w:highlight w:val="none"/>
                <w:u w:val="single"/>
                <w:lang w:val="en-US" w:eastAsia="zh-CN" w:bidi="ar"/>
                <w14:textFill>
                  <w14:solidFill>
                    <w14:schemeClr w14:val="tx1"/>
                  </w14:solidFill>
                </w14:textFill>
              </w:rPr>
              <w:t>对于非主体、非关键性工程，需经发包人审核批准后依法分包给具有相应资质和能力的专业单位实施。</w:t>
            </w:r>
          </w:p>
          <w:p>
            <w:pPr>
              <w:keepNext w:val="0"/>
              <w:keepLines w:val="0"/>
              <w:suppressLineNumbers w:val="0"/>
              <w:spacing w:before="0" w:beforeAutospacing="0" w:after="0" w:afterAutospacing="0"/>
              <w:ind w:left="0" w:right="0" w:firstLine="0" w:firstLineChars="0"/>
              <w:rPr>
                <w:rFonts w:hint="default" w:ascii="宋体" w:hAnsi="宋体"/>
                <w:color w:val="000000" w:themeColor="text1"/>
                <w:kern w:val="0"/>
                <w:szCs w:val="21"/>
                <w:highlight w:val="none"/>
                <w:lang w:val="zh-CN"/>
                <w14:textFill>
                  <w14:solidFill>
                    <w14:schemeClr w14:val="tx1"/>
                  </w14:solidFill>
                </w14:textFill>
              </w:rPr>
            </w:pPr>
            <w:r>
              <w:rPr>
                <w:rFonts w:hint="default" w:ascii="宋体" w:hAnsi="宋体" w:eastAsia="宋体" w:cs="宋体"/>
                <w:color w:val="000000" w:themeColor="text1"/>
                <w:kern w:val="0"/>
                <w:sz w:val="21"/>
                <w:szCs w:val="21"/>
                <w:highlight w:val="none"/>
                <w:lang w:eastAsia="zh-CN" w:bidi="ar"/>
                <w14:textFill>
                  <w14:solidFill>
                    <w14:schemeClr w14:val="tx1"/>
                  </w14:solidFill>
                </w14:textFill>
              </w:rPr>
              <w:t xml:space="preserve">  </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对分包人的其他要求：</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702" w:type="dxa"/>
            <w:tcBorders>
              <w:top w:val="single" w:color="auto" w:sz="4" w:space="0"/>
              <w:left w:val="double" w:color="auto" w:sz="4" w:space="0"/>
              <w:bottom w:val="doub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36</w:t>
            </w:r>
          </w:p>
        </w:tc>
        <w:tc>
          <w:tcPr>
            <w:tcW w:w="981" w:type="dxa"/>
            <w:tcBorders>
              <w:top w:val="single" w:color="auto" w:sz="4" w:space="0"/>
              <w:left w:val="single" w:color="auto" w:sz="4" w:space="0"/>
              <w:bottom w:val="doub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hAnsi="宋体"/>
                <w:color w:val="000000" w:themeColor="text1"/>
                <w:highlight w:val="none"/>
                <w14:textFill>
                  <w14:solidFill>
                    <w14:schemeClr w14:val="tx1"/>
                  </w14:solidFill>
                </w14:textFill>
              </w:rPr>
            </w:pPr>
          </w:p>
        </w:tc>
        <w:tc>
          <w:tcPr>
            <w:tcW w:w="1810" w:type="dxa"/>
            <w:tcBorders>
              <w:top w:val="single" w:color="auto" w:sz="4" w:space="0"/>
              <w:left w:val="single" w:color="auto" w:sz="4" w:space="0"/>
              <w:bottom w:val="doub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hAnsi="宋体"/>
                <w:color w:val="000000" w:themeColor="text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电子招标投标解密失败及突发情况的补救</w:t>
            </w:r>
          </w:p>
        </w:tc>
        <w:tc>
          <w:tcPr>
            <w:tcW w:w="5857" w:type="dxa"/>
            <w:tcBorders>
              <w:top w:val="single" w:color="auto" w:sz="4" w:space="0"/>
              <w:left w:val="single" w:color="auto" w:sz="4" w:space="0"/>
              <w:bottom w:val="double" w:color="auto" w:sz="4" w:space="0"/>
              <w:right w:val="double" w:color="auto" w:sz="4" w:space="0"/>
            </w:tcBorders>
            <w:vAlign w:val="center"/>
          </w:tcPr>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1、按照交易平台关于全流程电子化项目的相关指南进行操作。详见：</w:t>
            </w:r>
            <w:r>
              <w:rPr>
                <w:rFonts w:hint="eastAsia" w:ascii="宋体" w:hAnsi="宋体" w:cs="宋体"/>
                <w:color w:val="000000" w:themeColor="text1"/>
                <w:szCs w:val="21"/>
                <w:highlight w:val="none"/>
                <w:u w:val="single"/>
                <w:lang w:bidi="ar"/>
                <w14:textFill>
                  <w14:solidFill>
                    <w14:schemeClr w14:val="tx1"/>
                  </w14:solidFill>
                </w14:textFill>
              </w:rPr>
              <w:t>广州公共资源交易中心网站(http:/ www.gzggzy.cn)服务指南栏目</w:t>
            </w:r>
            <w:r>
              <w:rPr>
                <w:rFonts w:hint="eastAsia" w:ascii="宋体" w:hAnsi="宋体" w:cs="Courier New"/>
                <w:color w:val="000000" w:themeColor="text1"/>
                <w:szCs w:val="21"/>
                <w:highlight w:val="none"/>
                <w14:textFill>
                  <w14:solidFill>
                    <w14:schemeClr w14:val="tx1"/>
                  </w14:solidFill>
                </w14:textFill>
              </w:rPr>
              <w:t xml:space="preserve">。  </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2、提交投标文件光盘备用</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投标人可制作非加密的电子投标文件（PDF格式）刻入光盘（1份），在投标须知前附表第18项规定的时间、地点提交备用。刻录好的投标文件光盘密封在密封袋中，并在封口处加盖投标人单位公章。密封袋上应写明项目名称和招标人名称。递交的光盘不得加密。光盘无法读取或导入的，则视为未提交备用投标文件光盘。如果投标人没有按规定通过交易平台网上递交电子投标文件的，不再读取提交的光盘。投标人也可不提交备用光盘。</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 xml:space="preserve"> 3、补救方案</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（1）投标文件解密失败的补救方案：</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在规定时间内，因投标人之外原因(指网络瘫痪、服务器损坏、交易系统故障短期无法恢复)导致的电子投标文件解密失败，在开标现场读取光盘内容，继续开标程序。评标委员会对其投标文件的评审以光盘内容为准。因投标人之外原因解密失败且未递交电子光盘的，视为撤回投标文件。</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（2）评标时突发情况的补救方案</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若遇不可抗力发生（指网络瘫痪、服务器损坏、交易系统故障短期无法恢复等因素），由评标委员会开启投标人递交的全部投标文件光盘，并按光盘内容进行评审。</w:t>
            </w:r>
          </w:p>
          <w:p>
            <w:pPr>
              <w:keepNext w:val="0"/>
              <w:keepLines w:val="0"/>
              <w:suppressLineNumbers w:val="0"/>
              <w:spacing w:before="0" w:beforeAutospacing="0" w:after="0" w:afterAutospacing="0"/>
              <w:ind w:left="0" w:right="0"/>
              <w:rPr>
                <w:rFonts w:hint="default" w:ascii="宋体" w:hAnsi="宋体" w:cs="Courier New"/>
                <w:color w:val="000000" w:themeColor="text1"/>
                <w:szCs w:val="21"/>
                <w:highlight w:val="none"/>
                <w14:textFill>
                  <w14:solidFill>
                    <w14:schemeClr w14:val="tx1"/>
                  </w14:solidFill>
                </w14:textFill>
              </w:rPr>
            </w:pPr>
            <w:r>
              <w:rPr>
                <w:rFonts w:hint="eastAsia" w:ascii="宋体" w:hAnsi="宋体" w:cs="Courier New"/>
                <w:color w:val="000000" w:themeColor="text1"/>
                <w:szCs w:val="21"/>
                <w:highlight w:val="none"/>
                <w14:textFill>
                  <w14:solidFill>
                    <w14:schemeClr w14:val="tx1"/>
                  </w14:solidFill>
                </w14:textFill>
              </w:rPr>
              <w:t>（3）除发生上述情况外，开标评标均以投标人通过交易平台网上递交的电子投标文件为准。</w:t>
            </w:r>
          </w:p>
        </w:tc>
      </w:tr>
    </w:tbl>
    <w:p>
      <w:pPr>
        <w:spacing w:line="480" w:lineRule="auto"/>
        <w:rPr>
          <w:rFonts w:ascii="宋体"/>
          <w:strike/>
          <w:color w:val="000000" w:themeColor="text1"/>
          <w:sz w:val="24"/>
          <w:highlight w:val="none"/>
          <w14:textFill>
            <w14:solidFill>
              <w14:schemeClr w14:val="tx1"/>
            </w14:solidFill>
          </w14:textFill>
        </w:rPr>
      </w:pPr>
      <w:r>
        <w:rPr>
          <w:rFonts w:hint="eastAsia" w:ascii="宋体" w:hAnsi="宋体" w:cs="宋体"/>
          <w:strike/>
          <w:color w:val="000000" w:themeColor="text1"/>
          <w:sz w:val="24"/>
          <w:highlight w:val="none"/>
          <w14:textFill>
            <w14:solidFill>
              <w14:schemeClr w14:val="tx1"/>
            </w14:solidFill>
          </w14:textFill>
        </w:rPr>
        <w:t>注：企业</w:t>
      </w:r>
      <w:r>
        <w:rPr>
          <w:rFonts w:hint="eastAsia" w:ascii="宋体" w:hAnsi="宋体" w:cs="宋体"/>
          <w:strike/>
          <w:color w:val="000000" w:themeColor="text1"/>
          <w:kern w:val="0"/>
          <w:sz w:val="24"/>
          <w:highlight w:val="none"/>
          <w14:textFill>
            <w14:solidFill>
              <w14:schemeClr w14:val="tx1"/>
            </w14:solidFill>
          </w14:textFill>
        </w:rPr>
        <w:t>综合诚信评价得分即</w:t>
      </w:r>
      <w:r>
        <w:rPr>
          <w:rFonts w:hint="eastAsia" w:ascii="宋体" w:hAnsi="宋体" w:cs="宋体"/>
          <w:strike/>
          <w:color w:val="000000" w:themeColor="text1"/>
          <w:sz w:val="24"/>
          <w:highlight w:val="none"/>
          <w14:textFill>
            <w14:solidFill>
              <w14:schemeClr w14:val="tx1"/>
            </w14:solidFill>
          </w14:textFill>
        </w:rPr>
        <w:t>企业</w:t>
      </w:r>
      <w:r>
        <w:rPr>
          <w:rFonts w:hint="eastAsia" w:ascii="宋体" w:hAnsi="宋体" w:cs="宋体"/>
          <w:strike/>
          <w:color w:val="000000" w:themeColor="text1"/>
          <w:kern w:val="0"/>
          <w:sz w:val="24"/>
          <w:highlight w:val="none"/>
          <w14:textFill>
            <w14:solidFill>
              <w14:schemeClr w14:val="tx1"/>
            </w14:solidFill>
          </w14:textFill>
        </w:rPr>
        <w:t>综合诚信评价60日诚信分，以下同。</w:t>
      </w:r>
    </w:p>
    <w:p>
      <w:pPr>
        <w:pStyle w:val="4"/>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bookmarkStart w:id="4" w:name="_Toc2272547"/>
      <w:bookmarkStart w:id="5" w:name="_Toc21525491"/>
      <w:r>
        <w:rPr>
          <w:rFonts w:hint="eastAsia"/>
          <w:color w:val="000000" w:themeColor="text1"/>
          <w:highlight w:val="none"/>
          <w14:textFill>
            <w14:solidFill>
              <w14:schemeClr w14:val="tx1"/>
            </w14:solidFill>
          </w14:textFill>
        </w:rPr>
        <w:t>二、投标须知修改表</w:t>
      </w:r>
      <w:bookmarkEnd w:id="4"/>
      <w:bookmarkEnd w:id="5"/>
    </w:p>
    <w:p>
      <w:pPr>
        <w:pStyle w:val="17"/>
        <w:spacing w:line="360" w:lineRule="auto"/>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声明：本投标须知使用GZZB2018-3招标文件范本的投标须知通用条款，与该通用条款不同之处，均在本表中列明，并以现文为准，原文不再有效。本招标文件中不再转录投标须知通用条款，请投标人自行到广州市住房和城乡建设局网站（网址：http://zfcj.gz.gov.cn/）下载查阅。</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条款号：2.5              修改类型：增加</w:t>
      </w:r>
    </w:p>
    <w:p>
      <w:pPr>
        <w:pBdr>
          <w:bottom w:val="single" w:color="auto" w:sz="6" w:space="1"/>
        </w:pBdr>
        <w:spacing w:after="120" w:line="360" w:lineRule="auto"/>
        <w:ind w:firstLine="420"/>
        <w:rPr>
          <w:rFonts w:ascii="宋体" w:cs="宋体"/>
          <w:bCs/>
          <w:color w:val="000000" w:themeColor="text1"/>
          <w:szCs w:val="21"/>
          <w:highlight w:val="none"/>
          <w:u w:val="single"/>
          <w14:textFill>
            <w14:solidFill>
              <w14:schemeClr w14:val="tx1"/>
            </w14:solidFill>
          </w14:textFill>
        </w:rPr>
      </w:pPr>
      <w:r>
        <w:rPr>
          <w:rFonts w:hint="eastAsia"/>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highlight w:val="none"/>
          <w:u w:val="single"/>
          <w14:textFill>
            <w14:solidFill>
              <w14:schemeClr w14:val="tx1"/>
            </w14:solidFill>
          </w14:textFill>
        </w:rPr>
        <w:t>2.5根据《建设工程质量检测管理办法》（建设部令第141号）第十二条规定，建设工程质量、安全检测业务应由建设单位依法委托，不列入本次招标范围。招标文件中与此条不一致的，以此条为准。建设单位和中标人均不得委托近二年(从招标公告发布年度起逆推2年的1月1日起至投标截止时间止)因伪造检测数据、出具虚假检测报告被各级建设行政主管部门或市场监督管理部门行政处罚或通报的检测单位负责本项目的检测工作。</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条款号：5.1           修改类型：修改</w:t>
      </w:r>
    </w:p>
    <w:p>
      <w:pPr>
        <w:pBdr>
          <w:bottom w:val="single" w:color="auto" w:sz="6" w:space="1"/>
        </w:pBdr>
        <w:spacing w:line="360" w:lineRule="auto"/>
        <w:ind w:firstLine="482" w:firstLineChars="200"/>
        <w:rPr>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原文：</w:t>
      </w:r>
      <w:r>
        <w:rPr>
          <w:color w:val="000000" w:themeColor="text1"/>
          <w:sz w:val="24"/>
          <w:szCs w:val="24"/>
          <w:highlight w:val="none"/>
          <w14:textFill>
            <w14:solidFill>
              <w14:schemeClr w14:val="tx1"/>
            </w14:solidFill>
          </w14:textFill>
        </w:rPr>
        <w:t>5.1</w:t>
      </w:r>
      <w:r>
        <w:rPr>
          <w:rFonts w:hint="eastAsia" w:ascii="宋体" w:hAnsi="宋体"/>
          <w:bCs/>
          <w:color w:val="000000" w:themeColor="text1"/>
          <w:sz w:val="24"/>
          <w:highlight w:val="none"/>
          <w14:textFill>
            <w14:solidFill>
              <w14:schemeClr w14:val="tx1"/>
            </w14:solidFill>
          </w14:textFill>
        </w:rPr>
        <w:t>投标人应按本投标须知前附表第</w:t>
      </w:r>
      <w:r>
        <w:rPr>
          <w:rFonts w:ascii="宋体" w:hAnsi="宋体"/>
          <w:bCs/>
          <w:color w:val="000000" w:themeColor="text1"/>
          <w:sz w:val="24"/>
          <w:highlight w:val="none"/>
          <w14:textFill>
            <w14:solidFill>
              <w14:schemeClr w14:val="tx1"/>
            </w14:solidFill>
          </w14:textFill>
        </w:rPr>
        <w:t>15</w:t>
      </w:r>
      <w:r>
        <w:rPr>
          <w:rFonts w:hint="eastAsia" w:ascii="宋体" w:hAnsi="宋体"/>
          <w:bCs/>
          <w:color w:val="000000" w:themeColor="text1"/>
          <w:sz w:val="24"/>
          <w:highlight w:val="none"/>
          <w14:textFill>
            <w14:solidFill>
              <w14:schemeClr w14:val="tx1"/>
            </w14:solidFill>
          </w14:textFill>
        </w:rPr>
        <w:t>项所述时间和要求对工程现场及周围环境进行踏勘，</w:t>
      </w:r>
      <w:r>
        <w:rPr>
          <w:rFonts w:hint="eastAsia" w:ascii="宋体" w:hAnsi="宋体"/>
          <w:color w:val="000000" w:themeColor="text1"/>
          <w:sz w:val="24"/>
          <w:highlight w:val="none"/>
          <w14:textFill>
            <w14:solidFill>
              <w14:schemeClr w14:val="tx1"/>
            </w14:solidFill>
          </w14:textFill>
        </w:rPr>
        <w:t>投标人应充分重视和仔细地进行这种考察，</w:t>
      </w:r>
      <w:r>
        <w:rPr>
          <w:rFonts w:hint="eastAsia" w:ascii="宋体" w:hAnsi="宋体"/>
          <w:bCs/>
          <w:color w:val="000000" w:themeColor="text1"/>
          <w:sz w:val="24"/>
          <w:highlight w:val="none"/>
          <w14:textFill>
            <w14:solidFill>
              <w14:schemeClr w14:val="tx1"/>
            </w14:solidFill>
          </w14:textFill>
        </w:rPr>
        <w:t>以便投标人获取</w:t>
      </w:r>
      <w:r>
        <w:rPr>
          <w:rFonts w:hint="eastAsia" w:ascii="宋体" w:hAnsi="宋体"/>
          <w:color w:val="000000" w:themeColor="text1"/>
          <w:sz w:val="24"/>
          <w:highlight w:val="none"/>
          <w14:textFill>
            <w14:solidFill>
              <w14:schemeClr w14:val="tx1"/>
            </w14:solidFill>
          </w14:textFill>
        </w:rPr>
        <w:t>那些须投标人自己负责的</w:t>
      </w:r>
      <w:r>
        <w:rPr>
          <w:rFonts w:hint="eastAsia" w:ascii="宋体" w:hAnsi="宋体"/>
          <w:bCs/>
          <w:color w:val="000000" w:themeColor="text1"/>
          <w:sz w:val="24"/>
          <w:highlight w:val="none"/>
          <w14:textFill>
            <w14:solidFill>
              <w14:schemeClr w14:val="tx1"/>
            </w14:solidFill>
          </w14:textFill>
        </w:rPr>
        <w:t>有关编制投标文件和签署合同所涉及现场所有的资料。</w:t>
      </w:r>
      <w:r>
        <w:rPr>
          <w:rFonts w:hint="eastAsia" w:ascii="宋体" w:hAnsi="宋体"/>
          <w:color w:val="000000" w:themeColor="text1"/>
          <w:sz w:val="24"/>
          <w:highlight w:val="none"/>
          <w14:textFill>
            <w14:solidFill>
              <w14:schemeClr w14:val="tx1"/>
            </w14:solidFill>
          </w14:textFill>
        </w:rPr>
        <w:t>一旦中标，这种考察即被认为其结果已在中标文件中得到充分反映。考察现场的费用由投标人自己承担</w:t>
      </w:r>
      <w:r>
        <w:rPr>
          <w:color w:val="000000" w:themeColor="text1"/>
          <w:sz w:val="24"/>
          <w:szCs w:val="24"/>
          <w:highlight w:val="none"/>
          <w14:textFill>
            <w14:solidFill>
              <w14:schemeClr w14:val="tx1"/>
            </w14:solidFill>
          </w14:textFill>
        </w:rPr>
        <w:t>。</w:t>
      </w:r>
    </w:p>
    <w:p>
      <w:pPr>
        <w:pBdr>
          <w:bottom w:val="single" w:color="auto" w:sz="6" w:space="1"/>
        </w:pBdr>
        <w:spacing w:line="360" w:lineRule="auto"/>
        <w:ind w:firstLine="482" w:firstLineChars="20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现文：</w:t>
      </w:r>
      <w:r>
        <w:rPr>
          <w:color w:val="000000" w:themeColor="text1"/>
          <w:sz w:val="24"/>
          <w:szCs w:val="24"/>
          <w:highlight w:val="none"/>
          <w14:textFill>
            <w14:solidFill>
              <w14:schemeClr w14:val="tx1"/>
            </w14:solidFill>
          </w14:textFill>
        </w:rPr>
        <w:t>5.1</w:t>
      </w:r>
      <w:r>
        <w:rPr>
          <w:rFonts w:hint="eastAsia" w:ascii="宋体" w:hAnsi="宋体"/>
          <w:bCs/>
          <w:color w:val="000000" w:themeColor="text1"/>
          <w:sz w:val="24"/>
          <w:highlight w:val="none"/>
          <w14:textFill>
            <w14:solidFill>
              <w14:schemeClr w14:val="tx1"/>
            </w14:solidFill>
          </w14:textFill>
        </w:rPr>
        <w:t>投标人应按本投标须知前附表第</w:t>
      </w:r>
      <w:r>
        <w:rPr>
          <w:rFonts w:ascii="宋体" w:hAnsi="宋体"/>
          <w:bCs/>
          <w:color w:val="000000" w:themeColor="text1"/>
          <w:sz w:val="24"/>
          <w:highlight w:val="none"/>
          <w14:textFill>
            <w14:solidFill>
              <w14:schemeClr w14:val="tx1"/>
            </w14:solidFill>
          </w14:textFill>
        </w:rPr>
        <w:t>15</w:t>
      </w:r>
      <w:r>
        <w:rPr>
          <w:rFonts w:hint="eastAsia" w:ascii="宋体" w:hAnsi="宋体"/>
          <w:bCs/>
          <w:color w:val="000000" w:themeColor="text1"/>
          <w:sz w:val="24"/>
          <w:highlight w:val="none"/>
          <w14:textFill>
            <w14:solidFill>
              <w14:schemeClr w14:val="tx1"/>
            </w14:solidFill>
          </w14:textFill>
        </w:rPr>
        <w:t>项所述时间和要求对工程现场及周围环境进行踏勘，</w:t>
      </w:r>
      <w:r>
        <w:rPr>
          <w:rFonts w:hint="eastAsia" w:ascii="宋体" w:hAnsi="宋体"/>
          <w:color w:val="000000" w:themeColor="text1"/>
          <w:sz w:val="24"/>
          <w:highlight w:val="none"/>
          <w14:textFill>
            <w14:solidFill>
              <w14:schemeClr w14:val="tx1"/>
            </w14:solidFill>
          </w14:textFill>
        </w:rPr>
        <w:t>投标人应充分重视和仔细地进行这种考察，</w:t>
      </w:r>
      <w:r>
        <w:rPr>
          <w:rFonts w:hint="eastAsia" w:ascii="宋体" w:hAnsi="宋体"/>
          <w:bCs/>
          <w:color w:val="000000" w:themeColor="text1"/>
          <w:sz w:val="24"/>
          <w:highlight w:val="none"/>
          <w14:textFill>
            <w14:solidFill>
              <w14:schemeClr w14:val="tx1"/>
            </w14:solidFill>
          </w14:textFill>
        </w:rPr>
        <w:t>以便投标人获取</w:t>
      </w:r>
      <w:r>
        <w:rPr>
          <w:rFonts w:hint="eastAsia" w:ascii="宋体" w:hAnsi="宋体"/>
          <w:color w:val="000000" w:themeColor="text1"/>
          <w:sz w:val="24"/>
          <w:highlight w:val="none"/>
          <w14:textFill>
            <w14:solidFill>
              <w14:schemeClr w14:val="tx1"/>
            </w14:solidFill>
          </w14:textFill>
        </w:rPr>
        <w:t>那些须投标人自己负责的</w:t>
      </w:r>
      <w:r>
        <w:rPr>
          <w:rFonts w:hint="eastAsia" w:ascii="宋体" w:hAnsi="宋体"/>
          <w:bCs/>
          <w:color w:val="000000" w:themeColor="text1"/>
          <w:sz w:val="24"/>
          <w:highlight w:val="none"/>
          <w14:textFill>
            <w14:solidFill>
              <w14:schemeClr w14:val="tx1"/>
            </w14:solidFill>
          </w14:textFill>
        </w:rPr>
        <w:t>有关编制投标文件和签署合同所涉及现场所有的资料。</w:t>
      </w:r>
      <w:r>
        <w:rPr>
          <w:rFonts w:hint="eastAsia" w:ascii="宋体" w:hAnsi="宋体"/>
          <w:color w:val="000000" w:themeColor="text1"/>
          <w:sz w:val="24"/>
          <w:highlight w:val="none"/>
          <w14:textFill>
            <w14:solidFill>
              <w14:schemeClr w14:val="tx1"/>
            </w14:solidFill>
          </w14:textFill>
        </w:rPr>
        <w:t>一旦中标，这种考察即被认为其结果已在中标文件中得到充分反映</w:t>
      </w:r>
      <w:r>
        <w:rPr>
          <w:color w:val="000000" w:themeColor="text1"/>
          <w:sz w:val="24"/>
          <w:szCs w:val="24"/>
          <w:highlight w:val="none"/>
          <w14:textFill>
            <w14:solidFill>
              <w14:schemeClr w14:val="tx1"/>
            </w14:solidFill>
          </w14:textFill>
        </w:rPr>
        <w:t>，</w:t>
      </w:r>
      <w:r>
        <w:rPr>
          <w:color w:val="000000" w:themeColor="text1"/>
          <w:sz w:val="24"/>
          <w:szCs w:val="24"/>
          <w:highlight w:val="none"/>
          <w:u w:val="single"/>
          <w14:textFill>
            <w14:solidFill>
              <w14:schemeClr w14:val="tx1"/>
            </w14:solidFill>
          </w14:textFill>
        </w:rPr>
        <w:t>且充分考虑了现场各种因素。招标人不受理因投标人缺乏对现场条件的了解或掌握而提出的任何索赔。</w:t>
      </w:r>
      <w:r>
        <w:rPr>
          <w:color w:val="000000" w:themeColor="text1"/>
          <w:sz w:val="24"/>
          <w:szCs w:val="24"/>
          <w:highlight w:val="none"/>
          <w14:textFill>
            <w14:solidFill>
              <w14:schemeClr w14:val="tx1"/>
            </w14:solidFill>
          </w14:textFill>
        </w:rPr>
        <w:t>考察现场的费用由投标人自己承担。</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条款号：8.1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8.1</w:t>
      </w:r>
      <w:r>
        <w:rPr>
          <w:rFonts w:hint="eastAsia" w:ascii="宋体" w:hAnsi="宋体"/>
          <w:color w:val="000000" w:themeColor="text1"/>
          <w:sz w:val="24"/>
          <w:highlight w:val="none"/>
          <w14:textFill>
            <w14:solidFill>
              <w14:schemeClr w14:val="tx1"/>
            </w14:solidFill>
          </w14:textFill>
        </w:rPr>
        <w:t>投标人若对招标文件（包括招标图纸）中有疑问，可以书面形式</w:t>
      </w:r>
      <w:r>
        <w:rPr>
          <w:rFonts w:hint="eastAsia"/>
          <w:color w:val="000000" w:themeColor="text1"/>
          <w:sz w:val="24"/>
          <w:szCs w:val="24"/>
          <w:highlight w:val="none"/>
          <w14:textFill>
            <w14:solidFill>
              <w14:schemeClr w14:val="tx1"/>
            </w14:solidFill>
          </w14:textFill>
        </w:rPr>
        <w:t>通过</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color w:val="000000" w:themeColor="text1"/>
          <w:sz w:val="24"/>
          <w:szCs w:val="24"/>
          <w:highlight w:val="none"/>
          <w14:textFill>
            <w14:solidFill>
              <w14:schemeClr w14:val="tx1"/>
            </w14:solidFill>
          </w14:textFill>
        </w:rPr>
        <w:t>提交</w:t>
      </w:r>
      <w:r>
        <w:rPr>
          <w:rFonts w:hint="eastAsia" w:ascii="宋体" w:hAnsi="宋体"/>
          <w:color w:val="000000" w:themeColor="text1"/>
          <w:sz w:val="24"/>
          <w:highlight w:val="none"/>
          <w14:textFill>
            <w14:solidFill>
              <w14:schemeClr w14:val="tx1"/>
            </w14:solidFill>
          </w14:textFill>
        </w:rPr>
        <w:t>给招标人或招标代理人，提交形式见本须知前附表第</w:t>
      </w:r>
      <w:r>
        <w:rPr>
          <w:rFonts w:ascii="宋体" w:hAnsi="宋体"/>
          <w:color w:val="000000" w:themeColor="text1"/>
          <w:sz w:val="24"/>
          <w:highlight w:val="none"/>
          <w14:textFill>
            <w14:solidFill>
              <w14:schemeClr w14:val="tx1"/>
            </w14:solidFill>
          </w14:textFill>
        </w:rPr>
        <w:t>16</w:t>
      </w:r>
      <w:r>
        <w:rPr>
          <w:rFonts w:hint="eastAsia" w:ascii="宋体" w:hAnsi="宋体"/>
          <w:color w:val="000000" w:themeColor="text1"/>
          <w:sz w:val="24"/>
          <w:highlight w:val="none"/>
          <w14:textFill>
            <w14:solidFill>
              <w14:schemeClr w14:val="tx1"/>
            </w14:solidFill>
          </w14:textFill>
        </w:rPr>
        <w:t>项</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8.1</w:t>
      </w:r>
      <w:r>
        <w:rPr>
          <w:rFonts w:hint="eastAsia" w:ascii="宋体" w:hAnsi="宋体"/>
          <w:color w:val="000000" w:themeColor="text1"/>
          <w:sz w:val="24"/>
          <w:highlight w:val="none"/>
          <w14:textFill>
            <w14:solidFill>
              <w14:schemeClr w14:val="tx1"/>
            </w14:solidFill>
          </w14:textFill>
        </w:rPr>
        <w:t>投标人若对招标文件（包括招标图纸）中有疑问，可以书面形式</w:t>
      </w:r>
      <w:r>
        <w:rPr>
          <w:rFonts w:hint="eastAsia" w:ascii="Times New Roman" w:hAnsi="Times New Roman"/>
          <w:color w:val="000000" w:themeColor="text1"/>
          <w:sz w:val="24"/>
          <w:szCs w:val="24"/>
          <w:highlight w:val="none"/>
          <w14:textFill>
            <w14:solidFill>
              <w14:schemeClr w14:val="tx1"/>
            </w14:solidFill>
          </w14:textFill>
        </w:rPr>
        <w:t>通过</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Times New Roman" w:hAnsi="Times New Roman"/>
          <w:color w:val="000000" w:themeColor="text1"/>
          <w:sz w:val="24"/>
          <w:szCs w:val="24"/>
          <w:highlight w:val="none"/>
          <w14:textFill>
            <w14:solidFill>
              <w14:schemeClr w14:val="tx1"/>
            </w14:solidFill>
          </w14:textFill>
        </w:rPr>
        <w:t>交易平台</w:t>
      </w:r>
      <w:r>
        <w:rPr>
          <w:rFonts w:hint="eastAsia"/>
          <w:color w:val="000000" w:themeColor="text1"/>
          <w:sz w:val="24"/>
          <w:szCs w:val="24"/>
          <w:highlight w:val="none"/>
          <w14:textFill>
            <w14:solidFill>
              <w14:schemeClr w14:val="tx1"/>
            </w14:solidFill>
          </w14:textFill>
        </w:rPr>
        <w:t>提交</w:t>
      </w:r>
      <w:r>
        <w:rPr>
          <w:rFonts w:hint="eastAsia" w:ascii="宋体" w:hAnsi="宋体"/>
          <w:color w:val="000000" w:themeColor="text1"/>
          <w:sz w:val="24"/>
          <w:highlight w:val="none"/>
          <w14:textFill>
            <w14:solidFill>
              <w14:schemeClr w14:val="tx1"/>
            </w14:solidFill>
          </w14:textFill>
        </w:rPr>
        <w:t>给招标人或招标代理人，提交形式见本须知前附表第</w:t>
      </w:r>
      <w:r>
        <w:rPr>
          <w:rFonts w:ascii="宋体" w:hAnsi="宋体"/>
          <w:color w:val="000000" w:themeColor="text1"/>
          <w:sz w:val="24"/>
          <w:highlight w:val="none"/>
          <w14:textFill>
            <w14:solidFill>
              <w14:schemeClr w14:val="tx1"/>
            </w14:solidFill>
          </w14:textFill>
        </w:rPr>
        <w:t>16</w:t>
      </w:r>
      <w:r>
        <w:rPr>
          <w:rFonts w:hint="eastAsia" w:ascii="宋体" w:hAnsi="宋体"/>
          <w:color w:val="000000" w:themeColor="text1"/>
          <w:sz w:val="24"/>
          <w:highlight w:val="none"/>
          <w14:textFill>
            <w14:solidFill>
              <w14:schemeClr w14:val="tx1"/>
            </w14:solidFill>
          </w14:textFill>
        </w:rPr>
        <w:t>项</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条款号：8.2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8.2</w:t>
      </w:r>
      <w:r>
        <w:rPr>
          <w:rFonts w:hint="eastAsia" w:ascii="宋体"/>
          <w:color w:val="000000" w:themeColor="text1"/>
          <w:sz w:val="24"/>
          <w:highlight w:val="none"/>
          <w14:textFill>
            <w14:solidFill>
              <w14:schemeClr w14:val="tx1"/>
            </w14:solidFill>
          </w14:textFill>
        </w:rPr>
        <w:t>招标答疑会会议纪要将在提交投标文件截止时间15日前在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 xml:space="preserve"> “项目答疑纪要”专区公开发布。答疑纪要一经在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8.2</w:t>
      </w:r>
      <w:r>
        <w:rPr>
          <w:rFonts w:hint="eastAsia" w:ascii="宋体"/>
          <w:color w:val="000000" w:themeColor="text1"/>
          <w:sz w:val="24"/>
          <w:highlight w:val="none"/>
          <w14:textFill>
            <w14:solidFill>
              <w14:schemeClr w14:val="tx1"/>
            </w14:solidFill>
          </w14:textFill>
        </w:rPr>
        <w:t>招标答疑会会议纪要将在提交投标文件截止时间15日前在</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 xml:space="preserve"> “项目答疑纪要”专区公开发布。答疑纪要一经在</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条款号：9.2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9.2</w:t>
      </w:r>
      <w:r>
        <w:rPr>
          <w:rFonts w:hint="eastAsia" w:ascii="宋体"/>
          <w:color w:val="000000" w:themeColor="text1"/>
          <w:sz w:val="24"/>
          <w:highlight w:val="none"/>
          <w14:textFill>
            <w14:solidFill>
              <w14:schemeClr w14:val="tx1"/>
            </w14:solidFill>
          </w14:textFill>
        </w:rPr>
        <w:t>招标文件的澄清或修改将在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“项目答疑纪要”专区公开发布。答疑纪要一经在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发布，视作已发放给所有投标人，以</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上网发布时间作为送达时间</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9.2</w:t>
      </w:r>
      <w:r>
        <w:rPr>
          <w:rFonts w:hint="eastAsia" w:ascii="宋体"/>
          <w:color w:val="000000" w:themeColor="text1"/>
          <w:sz w:val="24"/>
          <w:highlight w:val="none"/>
          <w14:textFill>
            <w14:solidFill>
              <w14:schemeClr w14:val="tx1"/>
            </w14:solidFill>
          </w14:textFill>
        </w:rPr>
        <w:t>招标文件的澄清或修改将在</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“项目答疑纪要”专区公开发布。答疑纪要一经在</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发布，视作已发放给所有投标人，以</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上网发布时间作为送达时间</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482" w:firstLineChars="20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条款号：9.4             修改类型：修改</w:t>
      </w:r>
    </w:p>
    <w:p>
      <w:pPr>
        <w:pStyle w:val="17"/>
        <w:spacing w:after="0"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9.4</w:t>
      </w:r>
      <w:r>
        <w:rPr>
          <w:rFonts w:hint="eastAsia" w:ascii="宋体" w:hAnsi="宋体"/>
          <w:color w:val="000000" w:themeColor="text1"/>
          <w:sz w:val="24"/>
          <w:highlight w:val="none"/>
          <w14:textFill>
            <w14:solidFill>
              <w14:schemeClr w14:val="tx1"/>
            </w14:solidFill>
          </w14:textFill>
        </w:rPr>
        <w:t>招标文件的澄清或修改均以书面形式明确的内容为准。当招标文件的澄清、修改、补充等在同一内容的表述不一致时，以最后发出的书面形式的文件为准</w:t>
      </w:r>
      <w:r>
        <w:rPr>
          <w:rFonts w:hint="eastAsia" w:ascii="宋体" w:hAnsi="宋体"/>
          <w:color w:val="000000" w:themeColor="text1"/>
          <w:sz w:val="24"/>
          <w:szCs w:val="24"/>
          <w:highlight w:val="none"/>
          <w14:textFill>
            <w14:solidFill>
              <w14:schemeClr w14:val="tx1"/>
            </w14:solidFill>
          </w14:textFill>
        </w:rPr>
        <w:t>。</w:t>
      </w:r>
    </w:p>
    <w:p>
      <w:pPr>
        <w:pBdr>
          <w:bottom w:val="single" w:color="auto" w:sz="6" w:space="1"/>
        </w:pBdr>
        <w:spacing w:line="360" w:lineRule="auto"/>
        <w:ind w:firstLine="482" w:firstLineChars="20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9.4</w:t>
      </w:r>
      <w:r>
        <w:rPr>
          <w:color w:val="000000" w:themeColor="text1"/>
          <w:sz w:val="24"/>
          <w:szCs w:val="24"/>
          <w:highlight w:val="none"/>
          <w14:textFill>
            <w14:solidFill>
              <w14:schemeClr w14:val="tx1"/>
            </w14:solidFill>
          </w14:textFill>
        </w:rPr>
        <w:t>招标文件的澄清、修改均以</w:t>
      </w:r>
      <w:r>
        <w:rPr>
          <w:color w:val="000000" w:themeColor="text1"/>
          <w:sz w:val="24"/>
          <w:szCs w:val="24"/>
          <w:highlight w:val="none"/>
          <w:u w:val="single"/>
          <w14:textFill>
            <w14:solidFill>
              <w14:schemeClr w14:val="tx1"/>
            </w14:solidFill>
          </w14:textFill>
        </w:rPr>
        <w:t>广州公共资源交易中心</w:t>
      </w:r>
      <w:r>
        <w:rPr>
          <w:color w:val="000000" w:themeColor="text1"/>
          <w:sz w:val="24"/>
          <w:szCs w:val="24"/>
          <w:highlight w:val="none"/>
          <w14:textFill>
            <w14:solidFill>
              <w14:schemeClr w14:val="tx1"/>
            </w14:solidFill>
          </w14:textFill>
        </w:rPr>
        <w:t>交易平台发布的内容为准。当招标文件的澄清、修改在同一内容的表述不一致时，以</w:t>
      </w:r>
      <w:r>
        <w:rPr>
          <w:color w:val="000000" w:themeColor="text1"/>
          <w:sz w:val="24"/>
          <w:szCs w:val="24"/>
          <w:highlight w:val="none"/>
          <w:u w:val="single"/>
          <w14:textFill>
            <w14:solidFill>
              <w14:schemeClr w14:val="tx1"/>
            </w14:solidFill>
          </w14:textFill>
        </w:rPr>
        <w:t>广州公共资源交易中心</w:t>
      </w:r>
      <w:r>
        <w:rPr>
          <w:color w:val="000000" w:themeColor="text1"/>
          <w:sz w:val="24"/>
          <w:szCs w:val="24"/>
          <w:highlight w:val="none"/>
          <w14:textFill>
            <w14:solidFill>
              <w14:schemeClr w14:val="tx1"/>
            </w14:solidFill>
          </w14:textFill>
        </w:rPr>
        <w:t>交易平台最后发布的内容为准。</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条款号：11.2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482"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bCs/>
          <w:color w:val="000000" w:themeColor="text1"/>
          <w:sz w:val="24"/>
          <w:szCs w:val="24"/>
          <w:highlight w:val="none"/>
          <w14:textFill>
            <w14:solidFill>
              <w14:schemeClr w14:val="tx1"/>
            </w14:solidFill>
          </w14:textFill>
        </w:rPr>
        <w:t>11.2投标文件技术标部分主要包括下列内容:</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11.2.1 技术投标文件(按招标文件的要求填写)；</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11.2.2 资格审查文件：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 xml:space="preserve">（1）投标人声明； </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（2）法定代表人证明书、法定代表人签字或盖章的本投标文件授权委托证明书；</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（3）企业营业执照（取自平台内上传件）；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（4）企业资质证书（取自平台内上传件）；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（5）建筑施工企业安全生产许可证（取自平台内上传件）；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（6）项目负责人（按网上投标登记时选择拟投标的项目负责人）</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（7）专职安全员（按网上投标登记时选择拟投标的专职安全员）</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（8）拟委托技术负责人的相关证书、资料（具体要求由招标人明确）</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 xml:space="preserve">（9）拟委派项目负责人的建造师注册证书（取自平台内上传件）；  </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（10）项目负责人安全生产考核合格证明或在有效期内的安全考核合格证书（B类）或建筑施工企业项目负责人安全生产考核合格证书（取自平台内上传件）；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（11）专职安全员须具有在有效期内的安全考核合格证书（C类）或建筑施工企业专职安全生产管理人员安全生产考核合格证书（取自平台内上传件）；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（12）用于资格审查的业绩（设置业绩要求时选择此项，投标人须提供类似工程业绩的项目名称及项目编号，具体格式由招标人自定）；</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（13）资格审查前，投标人须在广州市住房和城乡建设局建立企业信用档案，拟担任本工程项目负责人、专职安全员须是本企业信用档案中的在册人员。</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 xml:space="preserve">（14）列明主办单位的联合体工作协议（采用联合体投标时需递交，投标人拟任本工程项目负责人应为联合体主办方信用档案中的在册人员，联合体工作协议应明确约定各方拟承担的工作和责任）； </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15）投标人具有在广州地区可使用适合本工程的机械设备的证明文件（提供沥青摊铺机自有发票或权属证明及设备现场全貌彩照（彩照须能反映其规格型号））。（含有市政道路面层沥青摊铺且沥青摊铺占预计发包价50%或以上的大、中修市政公用工程需提供该项内容的证明文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11.2.3项目管理机构配备。</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（1）投标人应列出该项目工程的施工组织机构构成和画出机构框架图及其负责人；</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（2）投标人应详细列出该施工组织机构中主要成员的名单、简历资料、职务职称和在本项目中拟担任的职务等资料，并附上有关证明材料扫描件；</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（3）其他辅助说明资料。</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11.2.4投标人在广州市可使用适合本工程的机械设备（附：机械设备为自有或租赁的说明；及承诺机械设备如属于租赁的，其租赁是不属于重复租赁）。</w:t>
      </w:r>
    </w:p>
    <w:p>
      <w:pPr>
        <w:spacing w:line="360" w:lineRule="auto"/>
        <w:ind w:firstLine="480" w:firstLineChars="200"/>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11.2.5施工组织设计或施工方案。</w:t>
      </w:r>
      <w:r>
        <w:rPr>
          <w:rFonts w:hint="eastAsia" w:ascii="Times New Roman" w:hAnsi="Times New Roman"/>
          <w:b/>
          <w:color w:val="000000" w:themeColor="text1"/>
          <w:sz w:val="24"/>
          <w:szCs w:val="24"/>
          <w:highlight w:val="none"/>
          <w14:textFill>
            <w14:solidFill>
              <w14:schemeClr w14:val="tx1"/>
            </w14:solidFill>
          </w14:textFill>
        </w:rPr>
        <w:t>（投标人在编制施工组织设计或施工方案时应按照招标人提出的施工现场建筑垃圾源头减量的具体要求以及建筑垃圾综合利用产品的使用要求提供相应措施。）</w:t>
      </w:r>
    </w:p>
    <w:p>
      <w:pPr>
        <w:spacing w:line="360" w:lineRule="auto"/>
        <w:ind w:firstLine="480" w:firstLineChars="20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11.2.6按照招标文件要求填写的《参与编制技术标投标文件人员名单》。</w:t>
      </w:r>
    </w:p>
    <w:p>
      <w:pPr>
        <w:spacing w:line="360" w:lineRule="auto"/>
        <w:ind w:firstLine="482" w:firstLineChars="200"/>
        <w:rPr>
          <w:rFonts w:ascii="宋体"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宋体" w:hAnsi="Times New Roman"/>
          <w:color w:val="000000" w:themeColor="text1"/>
          <w:sz w:val="24"/>
          <w:szCs w:val="24"/>
          <w:highlight w:val="none"/>
          <w14:textFill>
            <w14:solidFill>
              <w14:schemeClr w14:val="tx1"/>
            </w14:solidFill>
          </w14:textFill>
        </w:rPr>
        <w:t>11.2</w:t>
      </w:r>
      <w:r>
        <w:rPr>
          <w:rFonts w:hint="eastAsia" w:ascii="宋体" w:hAnsi="Times New Roman"/>
          <w:color w:val="000000" w:themeColor="text1"/>
          <w:sz w:val="24"/>
          <w:szCs w:val="24"/>
          <w:highlight w:val="none"/>
          <w14:textFill>
            <w14:solidFill>
              <w14:schemeClr w14:val="tx1"/>
            </w14:solidFill>
          </w14:textFill>
        </w:rPr>
        <w:t>投标文件技术标部分主要包括下列内容</w:t>
      </w:r>
      <w:r>
        <w:rPr>
          <w:rFonts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11.2.1 技术投标文件</w:t>
      </w:r>
      <w:r>
        <w:rPr>
          <w:rFonts w:hint="eastAsia" w:ascii="Times New Roman" w:hAnsi="Times New Roman"/>
          <w:bCs/>
          <w:color w:val="000000" w:themeColor="text1"/>
          <w:sz w:val="24"/>
          <w:szCs w:val="24"/>
          <w:highlight w:val="none"/>
          <w14:textFill>
            <w14:solidFill>
              <w14:schemeClr w14:val="tx1"/>
            </w14:solidFill>
          </w14:textFill>
        </w:rPr>
        <w:t>(按招标文件的要求填写)</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11.2.2 资格审查文件：</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（1）投标人声明</w:t>
      </w:r>
      <w:r>
        <w:rPr>
          <w:rFonts w:hint="eastAsia" w:ascii="宋体" w:hAnsi="Times New Roman"/>
          <w:color w:val="000000" w:themeColor="text1"/>
          <w:sz w:val="24"/>
          <w:szCs w:val="24"/>
          <w:highlight w:val="none"/>
          <w:u w:val="single"/>
          <w14:textFill>
            <w14:solidFill>
              <w14:schemeClr w14:val="tx1"/>
            </w14:solidFill>
          </w14:textFill>
        </w:rPr>
        <w:t>（按招标公告附件一的格式及内容提交）</w:t>
      </w:r>
      <w:r>
        <w:rPr>
          <w:rFonts w:hint="eastAsia" w:ascii="宋体" w:hAnsi="Times New Roman"/>
          <w:color w:val="000000" w:themeColor="text1"/>
          <w:sz w:val="24"/>
          <w:szCs w:val="24"/>
          <w:highlight w:val="none"/>
          <w14:textFill>
            <w14:solidFill>
              <w14:schemeClr w14:val="tx1"/>
            </w14:solidFill>
          </w14:textFill>
        </w:rPr>
        <w:t xml:space="preserve">； </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（2）法定代表人证明书、法定代表人签字或盖章的本投标文件授权委托证明书</w:t>
      </w:r>
      <w:r>
        <w:rPr>
          <w:rFonts w:hint="eastAsia" w:ascii="宋体" w:hAnsi="Times New Roman"/>
          <w:color w:val="000000" w:themeColor="text1"/>
          <w:sz w:val="24"/>
          <w:szCs w:val="24"/>
          <w:highlight w:val="none"/>
          <w:u w:val="single"/>
          <w14:textFill>
            <w14:solidFill>
              <w14:schemeClr w14:val="tx1"/>
            </w14:solidFill>
          </w14:textFill>
        </w:rPr>
        <w:t>（见本招标文件第四章“技术标投标文件格式”格式五）</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（3）企业营业执照</w:t>
      </w:r>
      <w:r>
        <w:rPr>
          <w:rFonts w:hint="eastAsia" w:ascii="Times New Roman" w:hAnsi="Times New Roman"/>
          <w:bCs/>
          <w:color w:val="000000" w:themeColor="text1"/>
          <w:sz w:val="24"/>
          <w:szCs w:val="24"/>
          <w:highlight w:val="none"/>
          <w14:textFill>
            <w14:solidFill>
              <w14:schemeClr w14:val="tx1"/>
            </w14:solidFill>
          </w14:textFill>
        </w:rPr>
        <w:t>（取自平台内上传件）</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（4）企业资质证书</w:t>
      </w:r>
      <w:r>
        <w:rPr>
          <w:rFonts w:hint="eastAsia" w:ascii="Times New Roman" w:hAnsi="Times New Roman"/>
          <w:bCs/>
          <w:color w:val="000000" w:themeColor="text1"/>
          <w:sz w:val="24"/>
          <w:szCs w:val="24"/>
          <w:highlight w:val="none"/>
          <w14:textFill>
            <w14:solidFill>
              <w14:schemeClr w14:val="tx1"/>
            </w14:solidFill>
          </w14:textFill>
        </w:rPr>
        <w:t>（取自平台内上传件）</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（5）建筑施工企业安全生产许可证</w:t>
      </w:r>
      <w:r>
        <w:rPr>
          <w:rFonts w:hint="eastAsia" w:ascii="Times New Roman" w:hAnsi="Times New Roman"/>
          <w:bCs/>
          <w:color w:val="000000" w:themeColor="text1"/>
          <w:sz w:val="24"/>
          <w:szCs w:val="24"/>
          <w:highlight w:val="none"/>
          <w14:textFill>
            <w14:solidFill>
              <w14:schemeClr w14:val="tx1"/>
            </w14:solidFill>
          </w14:textFill>
        </w:rPr>
        <w:t>（取自平台内上传件）</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（6）项目负责人（按网上投标登记时选择拟投标的项目负责人）；</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（7）专职安全员（按网上投标登记时选择拟投标的专职安全员）；</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（8）</w:t>
      </w:r>
      <w:r>
        <w:rPr>
          <w:rFonts w:hint="eastAsia" w:ascii="宋体" w:hAnsi="Times New Roman"/>
          <w:color w:val="000000" w:themeColor="text1"/>
          <w:sz w:val="24"/>
          <w:szCs w:val="24"/>
          <w:highlight w:val="none"/>
          <w:u w:val="single"/>
          <w14:textFill>
            <w14:solidFill>
              <w14:schemeClr w14:val="tx1"/>
            </w14:solidFill>
          </w14:textFill>
        </w:rPr>
        <w:t>拟委派技术负责人的职称证书扫描件；</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（9）</w:t>
      </w:r>
      <w:r>
        <w:rPr>
          <w:rFonts w:hint="eastAsia" w:ascii="宋体" w:hAnsi="Times New Roman"/>
          <w:color w:val="000000" w:themeColor="text1"/>
          <w:sz w:val="24"/>
          <w:szCs w:val="24"/>
          <w:highlight w:val="none"/>
          <w:u w:val="single"/>
          <w14:textFill>
            <w14:solidFill>
              <w14:schemeClr w14:val="tx1"/>
            </w14:solidFill>
          </w14:textFill>
        </w:rPr>
        <w:t>拟委派项目负责人的建造师证书</w:t>
      </w:r>
      <w:r>
        <w:rPr>
          <w:rFonts w:hint="eastAsia" w:ascii="Times New Roman" w:hAnsi="Times New Roman"/>
          <w:bCs/>
          <w:color w:val="000000" w:themeColor="text1"/>
          <w:sz w:val="24"/>
          <w:szCs w:val="24"/>
          <w:highlight w:val="none"/>
          <w14:textFill>
            <w14:solidFill>
              <w14:schemeClr w14:val="tx1"/>
            </w14:solidFill>
          </w14:textFill>
        </w:rPr>
        <w:t>（取自平台内上传件）</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（10）项目负责人安全生产考核合格证明或在有效期内的安全考核合格证书（B类）或建筑施工企业项目负责人安全生产考核合格证书</w:t>
      </w:r>
      <w:r>
        <w:rPr>
          <w:rFonts w:hint="eastAsia" w:ascii="Times New Roman" w:hAnsi="Times New Roman"/>
          <w:bCs/>
          <w:color w:val="000000" w:themeColor="text1"/>
          <w:sz w:val="24"/>
          <w:szCs w:val="24"/>
          <w:highlight w:val="none"/>
          <w14:textFill>
            <w14:solidFill>
              <w14:schemeClr w14:val="tx1"/>
            </w14:solidFill>
          </w14:textFill>
        </w:rPr>
        <w:t>（取自平台内上传件）</w:t>
      </w:r>
      <w:r>
        <w:rPr>
          <w:rFonts w:hint="eastAsia" w:ascii="宋体"/>
          <w:bCs/>
          <w:color w:val="000000" w:themeColor="text1"/>
          <w:sz w:val="24"/>
          <w:highlight w:val="none"/>
          <w14:textFill>
            <w14:solidFill>
              <w14:schemeClr w14:val="tx1"/>
            </w14:solidFill>
          </w14:textFill>
        </w:rPr>
        <w:t>；</w:t>
      </w:r>
    </w:p>
    <w:p>
      <w:pPr>
        <w:spacing w:line="360" w:lineRule="auto"/>
        <w:ind w:firstLine="480" w:firstLineChars="200"/>
        <w:rPr>
          <w:rFonts w:ascii="宋体"/>
          <w:bCs/>
          <w:color w:val="000000" w:themeColor="text1"/>
          <w:sz w:val="24"/>
          <w:szCs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（11）专职安全员须具有在有效期内的安全考核合格证书（C类）或</w:t>
      </w:r>
      <w:r>
        <w:rPr>
          <w:rFonts w:hint="eastAsia" w:ascii="宋体" w:hAnsi="Times New Roman"/>
          <w:color w:val="000000" w:themeColor="text1"/>
          <w:sz w:val="24"/>
          <w:szCs w:val="24"/>
          <w:highlight w:val="none"/>
          <w:u w:val="single"/>
          <w14:textFill>
            <w14:solidFill>
              <w14:schemeClr w14:val="tx1"/>
            </w14:solidFill>
          </w14:textFill>
        </w:rPr>
        <w:t>建筑施工企业专职安全生产管理人员安全生产考核合格证书（C3）</w:t>
      </w:r>
      <w:r>
        <w:rPr>
          <w:rFonts w:hint="eastAsia" w:ascii="宋体"/>
          <w:bCs/>
          <w:color w:val="000000" w:themeColor="text1"/>
          <w:sz w:val="24"/>
          <w:szCs w:val="24"/>
          <w:highlight w:val="none"/>
          <w14:textFill>
            <w14:solidFill>
              <w14:schemeClr w14:val="tx1"/>
            </w14:solidFill>
          </w14:textFill>
        </w:rPr>
        <w:t>（取自平台内上传件），</w:t>
      </w:r>
      <w:r>
        <w:rPr>
          <w:rFonts w:hint="eastAsia" w:ascii="宋体" w:hAnsi="宋体"/>
          <w:b/>
          <w:color w:val="000000" w:themeColor="text1"/>
          <w:sz w:val="24"/>
          <w:szCs w:val="24"/>
          <w:highlight w:val="none"/>
          <w:u w:val="single"/>
          <w14:textFill>
            <w14:solidFill>
              <w14:schemeClr w14:val="tx1"/>
            </w14:solidFill>
          </w14:textFill>
        </w:rPr>
        <w:t>项目负责人和专职安全员不为同一人</w:t>
      </w:r>
      <w:r>
        <w:rPr>
          <w:rFonts w:hint="eastAsia" w:ascii="宋体"/>
          <w:bCs/>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（12）</w:t>
      </w:r>
      <w:r>
        <w:rPr>
          <w:rFonts w:hint="eastAsia" w:ascii="宋体" w:hAnsi="宋体" w:cs="宋体"/>
          <w:bCs/>
          <w:color w:val="000000" w:themeColor="text1"/>
          <w:sz w:val="24"/>
          <w:szCs w:val="24"/>
          <w:highlight w:val="none"/>
          <w14:textFill>
            <w14:solidFill>
              <w14:schemeClr w14:val="tx1"/>
            </w14:solidFill>
          </w14:textFill>
        </w:rPr>
        <w:t>用于资格审查的业绩（</w:t>
      </w:r>
      <w:r>
        <w:rPr>
          <w:rFonts w:hint="eastAsia" w:ascii="宋体" w:hAnsi="宋体" w:cs="宋体"/>
          <w:bCs/>
          <w:color w:val="000000" w:themeColor="text1"/>
          <w:sz w:val="24"/>
          <w:szCs w:val="24"/>
          <w:highlight w:val="none"/>
          <w:u w:val="single"/>
          <w14:textFill>
            <w14:solidFill>
              <w14:schemeClr w14:val="tx1"/>
            </w14:solidFill>
          </w14:textFill>
        </w:rPr>
        <w:t>取自平台内上传件，提交《企业类似工程业绩信息表（资格审查）》扫描件（</w:t>
      </w:r>
      <w:r>
        <w:rPr>
          <w:rFonts w:hint="eastAsia" w:ascii="宋体" w:hAnsi="宋体" w:cs="宋体"/>
          <w:bCs/>
          <w:color w:val="000000" w:themeColor="text1"/>
          <w:sz w:val="24"/>
          <w:szCs w:val="24"/>
          <w:highlight w:val="none"/>
          <w:u w:val="single"/>
          <w:lang w:val="en-US" w:eastAsia="zh-CN"/>
          <w14:textFill>
            <w14:solidFill>
              <w14:schemeClr w14:val="tx1"/>
            </w14:solidFill>
          </w14:textFill>
        </w:rPr>
        <w:t>见</w:t>
      </w:r>
      <w:r>
        <w:rPr>
          <w:rFonts w:hint="eastAsia" w:ascii="宋体" w:hAnsi="宋体" w:cs="宋体"/>
          <w:bCs/>
          <w:color w:val="000000" w:themeColor="text1"/>
          <w:sz w:val="24"/>
          <w:szCs w:val="24"/>
          <w:highlight w:val="none"/>
          <w:u w:val="single"/>
          <w14:textFill>
            <w14:solidFill>
              <w14:schemeClr w14:val="tx1"/>
            </w14:solidFill>
          </w14:textFill>
        </w:rPr>
        <w:t>按招标文件第四章“技术标投标文件格式”格式六））</w:t>
      </w:r>
      <w:r>
        <w:rPr>
          <w:rFonts w:hint="eastAsia" w:ascii="宋体" w:hAnsi="宋体"/>
          <w:color w:val="000000" w:themeColor="text1"/>
          <w:sz w:val="24"/>
          <w:szCs w:val="24"/>
          <w:highlight w:val="none"/>
          <w:u w:val="singl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（13）</w:t>
      </w:r>
      <w:r>
        <w:rPr>
          <w:rFonts w:hint="eastAsia" w:ascii="宋体"/>
          <w:bCs/>
          <w:color w:val="000000" w:themeColor="text1"/>
          <w:sz w:val="24"/>
          <w:highlight w:val="none"/>
          <w14:textFill>
            <w14:solidFill>
              <w14:schemeClr w14:val="tx1"/>
            </w14:solidFill>
          </w14:textFill>
        </w:rPr>
        <w:t>资格审查前，投标人须在广州市住房和城乡建设局建立企业信用档案，拟担任本工程项目负责人、专职安全员须是本企业信用档案中的在册人员</w:t>
      </w:r>
      <w:r>
        <w:rPr>
          <w:rFonts w:hint="eastAsia" w:ascii="宋体" w:hAnsi="Times New Roman"/>
          <w:color w:val="000000" w:themeColor="text1"/>
          <w:sz w:val="24"/>
          <w:szCs w:val="24"/>
          <w:highlight w:val="non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（14）</w:t>
      </w:r>
      <w:r>
        <w:rPr>
          <w:rFonts w:hint="eastAsia" w:ascii="宋体" w:hAnsi="宋体"/>
          <w:color w:val="000000" w:themeColor="text1"/>
          <w:sz w:val="24"/>
          <w:szCs w:val="24"/>
          <w:highlight w:val="none"/>
          <w14:textFill>
            <w14:solidFill>
              <w14:schemeClr w14:val="tx1"/>
            </w14:solidFill>
          </w14:textFill>
        </w:rPr>
        <w:t>关于联合体投标：</w:t>
      </w:r>
      <w:r>
        <w:rPr>
          <w:rFonts w:hint="eastAsia" w:ascii="宋体" w:hAnsi="宋体" w:cs="宋体"/>
          <w:b/>
          <w:color w:val="000000" w:themeColor="text1"/>
          <w:kern w:val="0"/>
          <w:sz w:val="24"/>
          <w:szCs w:val="24"/>
          <w:highlight w:val="none"/>
          <w:u w:val="single"/>
          <w14:textFill>
            <w14:solidFill>
              <w14:schemeClr w14:val="tx1"/>
            </w14:solidFill>
          </w14:textFill>
        </w:rPr>
        <w:t>本项目不接受联合体投标。</w:t>
      </w:r>
    </w:p>
    <w:p>
      <w:pPr>
        <w:spacing w:line="360" w:lineRule="auto"/>
        <w:ind w:firstLine="480" w:firstLineChars="20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u w:val="single"/>
          <w14:textFill>
            <w14:solidFill>
              <w14:schemeClr w14:val="tx1"/>
            </w14:solidFill>
          </w14:textFill>
        </w:rPr>
        <w:t>（15）投标人认为应提交的其他资料</w:t>
      </w:r>
      <w:r>
        <w:rPr>
          <w:rFonts w:hint="eastAsia" w:ascii="宋体" w:hAnsi="宋体"/>
          <w:color w:val="000000" w:themeColor="text1"/>
          <w:sz w:val="24"/>
          <w:szCs w:val="24"/>
          <w:highlight w:val="none"/>
          <w:u w:val="single"/>
          <w:lang w:eastAsia="zh-CN"/>
          <w14:textFill>
            <w14:solidFill>
              <w14:schemeClr w14:val="tx1"/>
            </w14:solidFill>
          </w14:textFill>
        </w:rPr>
        <w:t>（</w:t>
      </w:r>
      <w:r>
        <w:rPr>
          <w:rFonts w:hint="eastAsia" w:ascii="宋体" w:hAnsi="宋体"/>
          <w:color w:val="000000" w:themeColor="text1"/>
          <w:sz w:val="24"/>
          <w:szCs w:val="24"/>
          <w:highlight w:val="none"/>
          <w:u w:val="single"/>
          <w:lang w:val="en-US" w:eastAsia="zh-CN"/>
          <w14:textFill>
            <w14:solidFill>
              <w14:schemeClr w14:val="tx1"/>
            </w14:solidFill>
          </w14:textFill>
        </w:rPr>
        <w:t>如有</w:t>
      </w:r>
      <w:r>
        <w:rPr>
          <w:rFonts w:hint="eastAsia" w:ascii="宋体" w:hAnsi="宋体"/>
          <w:color w:val="000000" w:themeColor="text1"/>
          <w:sz w:val="24"/>
          <w:szCs w:val="24"/>
          <w:highlight w:val="none"/>
          <w:u w:val="single"/>
          <w:lang w:eastAsia="zh-CN"/>
          <w14:textFill>
            <w14:solidFill>
              <w14:schemeClr w14:val="tx1"/>
            </w14:solidFill>
          </w14:textFill>
        </w:rPr>
        <w:t>）</w:t>
      </w:r>
      <w:r>
        <w:rPr>
          <w:rFonts w:hint="eastAsia" w:ascii="宋体" w:hAnsi="宋体"/>
          <w:color w:val="000000" w:themeColor="text1"/>
          <w:sz w:val="24"/>
          <w:szCs w:val="24"/>
          <w:highlight w:val="none"/>
          <w:u w:val="single"/>
          <w14:textFill>
            <w14:solidFill>
              <w14:schemeClr w14:val="tx1"/>
            </w14:solidFill>
          </w14:textFill>
        </w:rPr>
        <w:t>。</w:t>
      </w:r>
    </w:p>
    <w:p>
      <w:pPr>
        <w:spacing w:line="360" w:lineRule="auto"/>
        <w:ind w:firstLine="480" w:firstLineChars="200"/>
        <w:rPr>
          <w:rFonts w:ascii="宋体" w:hAnsi="Times New Roman"/>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11.2.3</w:t>
      </w:r>
      <w:r>
        <w:rPr>
          <w:rFonts w:hint="eastAsia" w:ascii="宋体" w:hAnsi="宋体"/>
          <w:color w:val="000000" w:themeColor="text1"/>
          <w:sz w:val="24"/>
          <w:szCs w:val="24"/>
          <w:highlight w:val="none"/>
          <w14:textFill>
            <w14:solidFill>
              <w14:schemeClr w14:val="tx1"/>
            </w14:solidFill>
          </w14:textFill>
        </w:rPr>
        <w:t>项目管理机构配备。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w:t>
      </w:r>
      <w:r>
        <w:rPr>
          <w:rFonts w:ascii="宋体" w:hAnsi="宋体"/>
          <w:color w:val="000000" w:themeColor="text1"/>
          <w:sz w:val="24"/>
          <w:szCs w:val="24"/>
          <w:highlight w:val="none"/>
          <w14:textFill>
            <w14:solidFill>
              <w14:schemeClr w14:val="tx1"/>
            </w14:solidFill>
          </w14:textFill>
        </w:rPr>
        <w:t>1</w:t>
      </w:r>
      <w:r>
        <w:rPr>
          <w:rFonts w:hint="eastAsia" w:ascii="宋体" w:hAnsi="宋体"/>
          <w:color w:val="000000" w:themeColor="text1"/>
          <w:sz w:val="24"/>
          <w:szCs w:val="24"/>
          <w:highlight w:val="none"/>
          <w14:textFill>
            <w14:solidFill>
              <w14:schemeClr w14:val="tx1"/>
            </w14:solidFill>
          </w14:textFill>
        </w:rPr>
        <w:t>）投标人应列出该项目工程的施工组织机构构成和画出机构框架图及其负责人</w:t>
      </w:r>
      <w:r>
        <w:rPr>
          <w:rFonts w:hint="eastAsia" w:ascii="宋体" w:hAnsi="宋体"/>
          <w:color w:val="000000" w:themeColor="text1"/>
          <w:sz w:val="24"/>
          <w:szCs w:val="24"/>
          <w:highlight w:val="none"/>
          <w:u w:val="single"/>
          <w14:textFill>
            <w14:solidFill>
              <w14:schemeClr w14:val="tx1"/>
            </w14:solidFill>
          </w14:textFill>
        </w:rPr>
        <w:t>（见本招标文件第四章 “技术标投标文件格式”格式七）</w:t>
      </w:r>
      <w:r>
        <w:rPr>
          <w:rFonts w:hint="eastAsia" w:ascii="宋体" w:hAnsi="宋体"/>
          <w:color w:val="000000" w:themeColor="text1"/>
          <w:sz w:val="24"/>
          <w:szCs w:val="24"/>
          <w:highlight w:val="none"/>
          <w14:textFill>
            <w14:solidFill>
              <w14:schemeClr w14:val="tx1"/>
            </w14:solidFill>
          </w14:textFill>
        </w:rPr>
        <w:t>；</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w:t>
      </w:r>
      <w:r>
        <w:rPr>
          <w:rFonts w:ascii="宋体" w:hAnsi="宋体"/>
          <w:color w:val="000000" w:themeColor="text1"/>
          <w:sz w:val="24"/>
          <w:szCs w:val="24"/>
          <w:highlight w:val="none"/>
          <w14:textFill>
            <w14:solidFill>
              <w14:schemeClr w14:val="tx1"/>
            </w14:solidFill>
          </w14:textFill>
        </w:rPr>
        <w:t>2</w:t>
      </w:r>
      <w:r>
        <w:rPr>
          <w:rFonts w:hint="eastAsia" w:ascii="宋体" w:hAnsi="宋体"/>
          <w:color w:val="000000" w:themeColor="text1"/>
          <w:sz w:val="24"/>
          <w:szCs w:val="24"/>
          <w:highlight w:val="none"/>
          <w14:textFill>
            <w14:solidFill>
              <w14:schemeClr w14:val="tx1"/>
            </w14:solidFill>
          </w14:textFill>
        </w:rPr>
        <w:t>）投标人应详细列出该施工组织机构中主要成员的名单、简历资料、职务职称和在本项目中拟担任的职务等资料，并附上有关证明材料扫描件</w:t>
      </w:r>
      <w:r>
        <w:rPr>
          <w:rFonts w:hint="eastAsia" w:ascii="宋体" w:hAnsi="宋体"/>
          <w:color w:val="000000" w:themeColor="text1"/>
          <w:sz w:val="24"/>
          <w:szCs w:val="24"/>
          <w:highlight w:val="none"/>
          <w:u w:val="single"/>
          <w14:textFill>
            <w14:solidFill>
              <w14:schemeClr w14:val="tx1"/>
            </w14:solidFill>
          </w14:textFill>
        </w:rPr>
        <w:t>（见本招标文件第四章“技术标投标文件格式”格式八《投入主要人员汇总表》和格式九《主要人员简历表》填写）</w:t>
      </w:r>
      <w:r>
        <w:rPr>
          <w:rFonts w:hint="eastAsia" w:ascii="宋体" w:hAnsi="宋体"/>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0" w:firstLineChars="250"/>
        <w:rPr>
          <w:rFonts w:ascii="宋体" w:hAnsi="宋体" w:cs="宋体"/>
          <w:b/>
          <w:color w:val="000000" w:themeColor="text1"/>
          <w:kern w:val="0"/>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（3）其他辅助说明资料</w:t>
      </w:r>
      <w:r>
        <w:rPr>
          <w:rFonts w:hint="eastAsia" w:ascii="宋体" w:hAnsi="宋体"/>
          <w:color w:val="000000" w:themeColor="text1"/>
          <w:sz w:val="24"/>
          <w:szCs w:val="24"/>
          <w:highlight w:val="none"/>
          <w:u w:val="single"/>
          <w14:textFill>
            <w14:solidFill>
              <w14:schemeClr w14:val="tx1"/>
            </w14:solidFill>
          </w14:textFill>
        </w:rPr>
        <w:t>（包含并不限于）：需提供投标人在投标登记时，在交易系统中按《施工项目管理团队人员信息表》（详见招标公告附件二）填写的网页截图</w:t>
      </w:r>
      <w:r>
        <w:rPr>
          <w:rFonts w:hint="eastAsia" w:ascii="宋体" w:hAnsi="宋体"/>
          <w:color w:val="000000" w:themeColor="text1"/>
          <w:sz w:val="24"/>
          <w:szCs w:val="24"/>
          <w:highlight w:val="none"/>
          <w14:textFill>
            <w14:solidFill>
              <w14:schemeClr w14:val="tx1"/>
            </w14:solidFill>
          </w14:textFill>
        </w:rPr>
        <w:t>。</w:t>
      </w:r>
    </w:p>
    <w:p>
      <w:pPr>
        <w:keepNext w:val="0"/>
        <w:keepLines w:val="0"/>
        <w:widowControl w:val="0"/>
        <w:suppressLineNumbers w:val="0"/>
        <w:pBdr>
          <w:bottom w:val="single" w:color="auto" w:sz="6" w:space="1"/>
        </w:pBdr>
        <w:spacing w:before="0" w:beforeAutospacing="0" w:after="0" w:afterAutospacing="0" w:line="360" w:lineRule="auto"/>
        <w:ind w:left="0" w:right="0" w:firstLine="600" w:firstLineChars="250"/>
        <w:jc w:val="both"/>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11.2.4</w:t>
      </w:r>
      <w:r>
        <w:rPr>
          <w:rFonts w:hint="eastAsia" w:ascii="宋体" w:hAnsi="宋体"/>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u w:val="single"/>
          <w14:textFill>
            <w14:solidFill>
              <w14:schemeClr w14:val="tx1"/>
            </w14:solidFill>
          </w14:textFill>
        </w:rPr>
        <w:t>企业相关资料：企业获奖资料、工程研发能力资料</w:t>
      </w:r>
      <w:r>
        <w:rPr>
          <w:rFonts w:hint="default" w:ascii="宋体" w:hAnsi="宋体"/>
          <w:color w:val="000000" w:themeColor="text1"/>
          <w:sz w:val="24"/>
          <w:szCs w:val="24"/>
          <w:highlight w:val="none"/>
          <w:u w:val="single"/>
          <w14:textFill>
            <w14:solidFill>
              <w14:schemeClr w14:val="tx1"/>
            </w14:solidFill>
          </w14:textFill>
        </w:rPr>
        <w:t>、第三方评价</w:t>
      </w:r>
      <w:r>
        <w:rPr>
          <w:rFonts w:hint="eastAsia" w:ascii="宋体" w:hAnsi="宋体"/>
          <w:color w:val="000000" w:themeColor="text1"/>
          <w:sz w:val="24"/>
          <w:szCs w:val="24"/>
          <w:highlight w:val="none"/>
          <w:u w:val="single"/>
          <w14:textFill>
            <w14:solidFill>
              <w14:schemeClr w14:val="tx1"/>
            </w14:solidFill>
          </w14:textFill>
        </w:rPr>
        <w:t>资料等</w:t>
      </w:r>
      <w:r>
        <w:rPr>
          <w:rFonts w:hint="eastAsia" w:ascii="宋体" w:hAnsi="宋体"/>
          <w:color w:val="000000" w:themeColor="text1"/>
          <w:sz w:val="24"/>
          <w:szCs w:val="24"/>
          <w:highlight w:val="none"/>
          <w:u w:val="single"/>
          <w:lang w:eastAsia="zh-CN"/>
          <w14:textFill>
            <w14:solidFill>
              <w14:schemeClr w14:val="tx1"/>
            </w14:solidFill>
          </w14:textFill>
        </w:rPr>
        <w:t>（</w:t>
      </w:r>
      <w:r>
        <w:rPr>
          <w:rFonts w:hint="eastAsia" w:ascii="宋体" w:hAnsi="宋体"/>
          <w:color w:val="000000" w:themeColor="text1"/>
          <w:sz w:val="24"/>
          <w:szCs w:val="24"/>
          <w:highlight w:val="none"/>
          <w:u w:val="single"/>
          <w14:textFill>
            <w14:solidFill>
              <w14:schemeClr w14:val="tx1"/>
            </w14:solidFill>
          </w14:textFill>
        </w:rPr>
        <w:t>按《技术标详细审查评分表》中的评分要求进行提供</w:t>
      </w:r>
      <w:r>
        <w:rPr>
          <w:rFonts w:hint="eastAsia" w:ascii="宋体" w:hAnsi="宋体"/>
          <w:color w:val="000000" w:themeColor="text1"/>
          <w:sz w:val="24"/>
          <w:szCs w:val="24"/>
          <w:highlight w:val="none"/>
          <w:u w:val="single"/>
          <w:lang w:eastAsia="zh-CN"/>
          <w14:textFill>
            <w14:solidFill>
              <w14:schemeClr w14:val="tx1"/>
            </w14:solidFill>
          </w14:textFill>
        </w:rPr>
        <w:t>）</w:t>
      </w:r>
      <w:r>
        <w:rPr>
          <w:rFonts w:hint="eastAsia" w:ascii="宋体" w:hAnsi="宋体"/>
          <w:color w:val="000000" w:themeColor="text1"/>
          <w:sz w:val="24"/>
          <w:szCs w:val="24"/>
          <w:highlight w:val="none"/>
          <w:u w:val="single"/>
          <w14:textFill>
            <w14:solidFill>
              <w14:schemeClr w14:val="tx1"/>
            </w14:solidFill>
          </w14:textFill>
        </w:rPr>
        <w:t>。（见本招标文件第四章“技术标投标文件格式”格式</w:t>
      </w:r>
      <w:r>
        <w:rPr>
          <w:rFonts w:hint="eastAsia" w:ascii="宋体" w:hAnsi="宋体"/>
          <w:color w:val="000000" w:themeColor="text1"/>
          <w:sz w:val="24"/>
          <w:szCs w:val="24"/>
          <w:highlight w:val="none"/>
          <w:u w:val="single"/>
          <w:lang w:eastAsia="zh-CN"/>
          <w14:textFill>
            <w14:solidFill>
              <w14:schemeClr w14:val="tx1"/>
            </w14:solidFill>
          </w14:textFill>
        </w:rPr>
        <w:t>四</w:t>
      </w:r>
      <w:r>
        <w:rPr>
          <w:rFonts w:hint="eastAsia" w:ascii="宋体" w:hAnsi="宋体"/>
          <w:color w:val="000000" w:themeColor="text1"/>
          <w:sz w:val="24"/>
          <w:szCs w:val="24"/>
          <w:highlight w:val="none"/>
          <w:u w:val="single"/>
          <w14:textFill>
            <w14:solidFill>
              <w14:schemeClr w14:val="tx1"/>
            </w14:solidFill>
          </w14:textFill>
        </w:rPr>
        <w:t>）</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11.2.</w:t>
      </w:r>
      <w:r>
        <w:rPr>
          <w:rFonts w:hint="eastAsia" w:ascii="宋体" w:hAnsi="宋体"/>
          <w:color w:val="000000" w:themeColor="text1"/>
          <w:sz w:val="24"/>
          <w:szCs w:val="24"/>
          <w:highlight w:val="none"/>
          <w14:textFill>
            <w14:solidFill>
              <w14:schemeClr w14:val="tx1"/>
            </w14:solidFill>
          </w14:textFill>
        </w:rPr>
        <w:t xml:space="preserve">5 </w:t>
      </w:r>
      <w:r>
        <w:rPr>
          <w:rFonts w:hint="eastAsia" w:ascii="宋体" w:hAnsi="宋体"/>
          <w:color w:val="000000" w:themeColor="text1"/>
          <w:sz w:val="24"/>
          <w:szCs w:val="24"/>
          <w:highlight w:val="none"/>
          <w:u w:val="single"/>
          <w14:textFill>
            <w14:solidFill>
              <w14:schemeClr w14:val="tx1"/>
            </w14:solidFill>
          </w14:textFill>
        </w:rPr>
        <w:t>《已竣工验收的类似工程业绩表》</w:t>
      </w:r>
      <w:r>
        <w:rPr>
          <w:rFonts w:hint="eastAsia" w:ascii="宋体" w:hAnsi="宋体"/>
          <w:snapToGrid w:val="0"/>
          <w:color w:val="000000" w:themeColor="text1"/>
          <w:spacing w:val="4"/>
          <w:kern w:val="0"/>
          <w:sz w:val="24"/>
          <w:szCs w:val="24"/>
          <w:highlight w:val="none"/>
          <w:u w:val="single"/>
          <w14:textFill>
            <w14:solidFill>
              <w14:schemeClr w14:val="tx1"/>
            </w14:solidFill>
          </w14:textFill>
        </w:rPr>
        <w:t>、《企业获奖业绩表》（企业获奖取自广州市住建行业信用管理平台的提供）</w:t>
      </w:r>
      <w:r>
        <w:rPr>
          <w:rFonts w:hint="eastAsia" w:ascii="宋体" w:hAnsi="宋体"/>
          <w:color w:val="000000" w:themeColor="text1"/>
          <w:sz w:val="24"/>
          <w:szCs w:val="24"/>
          <w:highlight w:val="none"/>
          <w:u w:val="single"/>
          <w14:textFill>
            <w14:solidFill>
              <w14:schemeClr w14:val="tx1"/>
            </w14:solidFill>
          </w14:textFill>
        </w:rPr>
        <w:t>（见本招标文件第四章“技术标投标文件格式”格式十）。</w:t>
      </w:r>
    </w:p>
    <w:p>
      <w:pPr>
        <w:pBdr>
          <w:bottom w:val="single" w:color="auto" w:sz="6" w:space="1"/>
        </w:pBdr>
        <w:spacing w:line="360" w:lineRule="auto"/>
        <w:ind w:firstLine="600" w:firstLineChars="250"/>
        <w:rPr>
          <w:rFonts w:ascii="宋体" w:hAnsi="Times New Roman"/>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u w:val="single"/>
          <w14:textFill>
            <w14:solidFill>
              <w14:schemeClr w14:val="tx1"/>
            </w14:solidFill>
          </w14:textFill>
        </w:rPr>
        <w:t>11.2.6</w:t>
      </w:r>
      <w:r>
        <w:rPr>
          <w:rFonts w:hint="eastAsia" w:ascii="宋体" w:hAnsi="宋体"/>
          <w:color w:val="000000" w:themeColor="text1"/>
          <w:sz w:val="24"/>
          <w:szCs w:val="24"/>
          <w:highlight w:val="none"/>
          <w:u w:val="single"/>
          <w:lang w:val="en-US" w:eastAsia="zh-CN"/>
          <w14:textFill>
            <w14:solidFill>
              <w14:schemeClr w14:val="tx1"/>
            </w14:solidFill>
          </w14:textFill>
        </w:rPr>
        <w:t xml:space="preserve"> </w:t>
      </w:r>
      <w:r>
        <w:rPr>
          <w:rFonts w:hint="eastAsia" w:ascii="宋体" w:hAnsi="宋体"/>
          <w:color w:val="000000" w:themeColor="text1"/>
          <w:sz w:val="24"/>
          <w:szCs w:val="24"/>
          <w:highlight w:val="none"/>
          <w:u w:val="single"/>
          <w14:textFill>
            <w14:solidFill>
              <w14:schemeClr w14:val="tx1"/>
            </w14:solidFill>
          </w14:textFill>
        </w:rPr>
        <w:t>《响应招标文件所附施工组织设计要点的承诺书》</w:t>
      </w:r>
      <w:r>
        <w:rPr>
          <w:rFonts w:hint="eastAsia" w:ascii="宋体" w:hAnsi="Times New Roman"/>
          <w:color w:val="000000" w:themeColor="text1"/>
          <w:sz w:val="24"/>
          <w:szCs w:val="24"/>
          <w:highlight w:val="none"/>
          <w:u w:val="single"/>
          <w14:textFill>
            <w14:solidFill>
              <w14:schemeClr w14:val="tx1"/>
            </w14:solidFill>
          </w14:textFill>
        </w:rPr>
        <w:t>（</w:t>
      </w:r>
      <w:r>
        <w:rPr>
          <w:rFonts w:hint="eastAsia" w:ascii="宋体" w:hAnsi="Times New Roman"/>
          <w:color w:val="000000" w:themeColor="text1"/>
          <w:sz w:val="24"/>
          <w:szCs w:val="24"/>
          <w:highlight w:val="none"/>
          <w:u w:val="single"/>
          <w:lang w:eastAsia="zh-CN"/>
          <w14:textFill>
            <w14:solidFill>
              <w14:schemeClr w14:val="tx1"/>
            </w14:solidFill>
          </w14:textFill>
        </w:rPr>
        <w:t>须按</w:t>
      </w:r>
      <w:r>
        <w:rPr>
          <w:rFonts w:hint="eastAsia" w:ascii="宋体" w:hAnsi="Times New Roman"/>
          <w:color w:val="000000" w:themeColor="text1"/>
          <w:sz w:val="24"/>
          <w:szCs w:val="24"/>
          <w:highlight w:val="none"/>
          <w:u w:val="single"/>
          <w14:textFill>
            <w14:solidFill>
              <w14:schemeClr w14:val="tx1"/>
            </w14:solidFill>
          </w14:textFill>
        </w:rPr>
        <w:t>本招标文件第四章“技术标投标文件格式” 格式十一）。</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Times New Roman"/>
          <w:color w:val="000000" w:themeColor="text1"/>
          <w:sz w:val="24"/>
          <w:szCs w:val="24"/>
          <w:highlight w:val="none"/>
          <w14:textFill>
            <w14:solidFill>
              <w14:schemeClr w14:val="tx1"/>
            </w14:solidFill>
          </w14:textFill>
        </w:rPr>
        <w:t>11.2.7</w:t>
      </w:r>
      <w:r>
        <w:rPr>
          <w:rFonts w:hint="eastAsia" w:ascii="宋体" w:hAnsi="宋体"/>
          <w:color w:val="000000" w:themeColor="text1"/>
          <w:sz w:val="24"/>
          <w:szCs w:val="24"/>
          <w:highlight w:val="none"/>
          <w:u w:val="single"/>
          <w14:textFill>
            <w14:solidFill>
              <w14:schemeClr w14:val="tx1"/>
            </w14:solidFill>
          </w14:textFill>
        </w:rPr>
        <w:t>《承诺书》（</w:t>
      </w:r>
      <w:r>
        <w:rPr>
          <w:rFonts w:hint="eastAsia" w:ascii="宋体" w:hAnsi="宋体"/>
          <w:color w:val="000000" w:themeColor="text1"/>
          <w:sz w:val="24"/>
          <w:szCs w:val="24"/>
          <w:highlight w:val="none"/>
          <w:u w:val="single"/>
          <w:lang w:val="en-US" w:eastAsia="zh-CN"/>
          <w14:textFill>
            <w14:solidFill>
              <w14:schemeClr w14:val="tx1"/>
            </w14:solidFill>
          </w14:textFill>
        </w:rPr>
        <w:t>须按</w:t>
      </w:r>
      <w:r>
        <w:rPr>
          <w:rFonts w:hint="eastAsia" w:ascii="宋体" w:hAnsi="宋体"/>
          <w:color w:val="000000" w:themeColor="text1"/>
          <w:sz w:val="24"/>
          <w:szCs w:val="24"/>
          <w:highlight w:val="none"/>
          <w:u w:val="single"/>
          <w14:textFill>
            <w14:solidFill>
              <w14:schemeClr w14:val="tx1"/>
            </w14:solidFill>
          </w14:textFill>
        </w:rPr>
        <w:t>本招标文件第四章“技术标投标文件格式”格式十二</w:t>
      </w:r>
      <w:r>
        <w:rPr>
          <w:rFonts w:hint="eastAsia" w:ascii="宋体" w:hAnsi="宋体"/>
          <w:color w:val="000000" w:themeColor="text1"/>
          <w:sz w:val="24"/>
          <w:szCs w:val="24"/>
          <w:highlight w:val="none"/>
          <w:u w:val="single"/>
          <w:lang w:eastAsia="zh-CN"/>
          <w14:textFill>
            <w14:solidFill>
              <w14:schemeClr w14:val="tx1"/>
            </w14:solidFill>
          </w14:textFill>
        </w:rPr>
        <w:t>）</w:t>
      </w:r>
      <w:r>
        <w:rPr>
          <w:rFonts w:hint="eastAsia" w:ascii="宋体" w:hAnsi="宋体"/>
          <w:color w:val="000000" w:themeColor="text1"/>
          <w:sz w:val="24"/>
          <w:szCs w:val="24"/>
          <w:highlight w:val="none"/>
          <w:u w:val="single"/>
          <w14:textFill>
            <w14:solidFill>
              <w14:schemeClr w14:val="tx1"/>
            </w14:solidFill>
          </w14:textFill>
        </w:rPr>
        <w:t>。</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u w:val="single"/>
          <w14:textFill>
            <w14:solidFill>
              <w14:schemeClr w14:val="tx1"/>
            </w14:solidFill>
          </w14:textFill>
        </w:rPr>
        <w:t>11.2.8 《投标函》（须按本招标文件第四章“技术标投标文件格式”格式三）。</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11.2.9</w:t>
      </w:r>
      <w:r>
        <w:rPr>
          <w:rFonts w:hint="eastAsia" w:ascii="Times New Roman" w:hAnsi="Times New Roman"/>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u w:val="single"/>
          <w14:textFill>
            <w14:solidFill>
              <w14:schemeClr w14:val="tx1"/>
            </w14:solidFill>
          </w14:textFill>
        </w:rPr>
        <w:t>《主要设备的质保和维护维修承诺书》（</w:t>
      </w:r>
      <w:r>
        <w:rPr>
          <w:rFonts w:hint="eastAsia" w:ascii="宋体" w:hAnsi="宋体"/>
          <w:color w:val="000000" w:themeColor="text1"/>
          <w:sz w:val="24"/>
          <w:szCs w:val="24"/>
          <w:highlight w:val="none"/>
          <w:u w:val="single"/>
          <w:lang w:val="en-US" w:eastAsia="zh-CN"/>
          <w14:textFill>
            <w14:solidFill>
              <w14:schemeClr w14:val="tx1"/>
            </w14:solidFill>
          </w14:textFill>
        </w:rPr>
        <w:t>须按</w:t>
      </w:r>
      <w:r>
        <w:rPr>
          <w:rFonts w:hint="eastAsia" w:ascii="宋体" w:hAnsi="宋体"/>
          <w:color w:val="000000" w:themeColor="text1"/>
          <w:sz w:val="24"/>
          <w:szCs w:val="24"/>
          <w:highlight w:val="none"/>
          <w:u w:val="single"/>
          <w14:textFill>
            <w14:solidFill>
              <w14:schemeClr w14:val="tx1"/>
            </w14:solidFill>
          </w14:textFill>
        </w:rPr>
        <w:t>本招标文件第四章“技术标投标文件格式”格式十三）。</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11.2.10</w:t>
      </w:r>
      <w:r>
        <w:rPr>
          <w:rFonts w:hint="eastAsia" w:ascii="宋体" w:hAnsi="宋体"/>
          <w:color w:val="000000" w:themeColor="text1"/>
          <w:sz w:val="24"/>
          <w:szCs w:val="24"/>
          <w:highlight w:val="none"/>
          <w:u w:val="single"/>
          <w14:textFill>
            <w14:solidFill>
              <w14:schemeClr w14:val="tx1"/>
            </w14:solidFill>
          </w14:textFill>
        </w:rPr>
        <w:t>按照招标文件要求填写的《参与编制技术标投标文件人员名单》（</w:t>
      </w:r>
      <w:r>
        <w:rPr>
          <w:rFonts w:hint="eastAsia" w:ascii="宋体" w:hAnsi="宋体"/>
          <w:color w:val="000000" w:themeColor="text1"/>
          <w:sz w:val="24"/>
          <w:szCs w:val="24"/>
          <w:highlight w:val="none"/>
          <w:u w:val="single"/>
          <w:lang w:val="en-US" w:eastAsia="zh-CN"/>
          <w14:textFill>
            <w14:solidFill>
              <w14:schemeClr w14:val="tx1"/>
            </w14:solidFill>
          </w14:textFill>
        </w:rPr>
        <w:t>须按</w:t>
      </w:r>
      <w:r>
        <w:rPr>
          <w:rFonts w:hint="eastAsia" w:ascii="宋体" w:hAnsi="宋体"/>
          <w:color w:val="000000" w:themeColor="text1"/>
          <w:sz w:val="24"/>
          <w:szCs w:val="24"/>
          <w:highlight w:val="none"/>
          <w:u w:val="single"/>
          <w14:textFill>
            <w14:solidFill>
              <w14:schemeClr w14:val="tx1"/>
            </w14:solidFill>
          </w14:textFill>
        </w:rPr>
        <w:t>本招标文件第四章“投标文件格式”格式十四）。</w:t>
      </w:r>
    </w:p>
    <w:p>
      <w:pPr>
        <w:pBdr>
          <w:bottom w:val="single" w:color="auto" w:sz="6" w:space="1"/>
        </w:pBdr>
        <w:spacing w:line="360" w:lineRule="auto"/>
        <w:ind w:firstLine="600"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11.2.11</w:t>
      </w:r>
      <w:r>
        <w:rPr>
          <w:rFonts w:hint="eastAsia" w:ascii="宋体" w:hAnsi="宋体"/>
          <w:color w:val="000000" w:themeColor="text1"/>
          <w:sz w:val="24"/>
          <w:szCs w:val="24"/>
          <w:highlight w:val="none"/>
          <w:u w:val="single"/>
          <w14:textFill>
            <w14:solidFill>
              <w14:schemeClr w14:val="tx1"/>
            </w14:solidFill>
          </w14:textFill>
        </w:rPr>
        <w:t>按照招标文件要求填写的《危险性较大的分部分项工程清单及超过一定规模的危险性较大的分部分项工程清单》（见本招标文件第四章“投标文件格式”格式十五）。</w:t>
      </w:r>
    </w:p>
    <w:p>
      <w:pPr>
        <w:pBdr>
          <w:bottom w:val="single" w:color="auto" w:sz="6" w:space="1"/>
        </w:pBdr>
        <w:spacing w:line="360" w:lineRule="auto"/>
        <w:ind w:firstLine="600" w:firstLineChars="25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11.2.12</w:t>
      </w:r>
      <w:r>
        <w:rPr>
          <w:rFonts w:hint="eastAsia" w:ascii="宋体" w:hAnsi="宋体"/>
          <w:color w:val="000000" w:themeColor="text1"/>
          <w:sz w:val="24"/>
          <w:szCs w:val="24"/>
          <w:highlight w:val="none"/>
          <w:u w:val="single"/>
          <w14:textFill>
            <w14:solidFill>
              <w14:schemeClr w14:val="tx1"/>
            </w14:solidFill>
          </w14:textFill>
        </w:rPr>
        <w:t>投标人认为应该提供的其他资料。</w:t>
      </w:r>
    </w:p>
    <w:p>
      <w:pPr>
        <w:spacing w:line="440" w:lineRule="exact"/>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条款号：11.3.3</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pBdr>
          <w:bottom w:val="single" w:color="auto" w:sz="6" w:space="1"/>
        </w:pBdr>
        <w:spacing w:line="440" w:lineRule="exact"/>
        <w:ind w:firstLine="540" w:firstLineChars="224"/>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bCs/>
          <w:color w:val="000000" w:themeColor="text1"/>
          <w:sz w:val="24"/>
          <w:szCs w:val="24"/>
          <w:highlight w:val="none"/>
          <w14:textFill>
            <w14:solidFill>
              <w14:schemeClr w14:val="tx1"/>
            </w14:solidFill>
          </w14:textFill>
        </w:rPr>
        <w:t>11.3.3</w:t>
      </w:r>
      <w:r>
        <w:rPr>
          <w:rFonts w:hint="eastAsia" w:ascii="宋体" w:hAnsi="宋体"/>
          <w:color w:val="000000" w:themeColor="text1"/>
          <w:sz w:val="24"/>
          <w:szCs w:val="24"/>
          <w:highlight w:val="none"/>
          <w14:textFill>
            <w14:solidFill>
              <w14:schemeClr w14:val="tx1"/>
            </w14:solidFill>
          </w14:textFill>
        </w:rPr>
        <w:t>按照</w:t>
      </w:r>
      <w:r>
        <w:rPr>
          <w:rFonts w:hint="eastAsia" w:ascii="宋体" w:hAnsi="宋体"/>
          <w:bCs/>
          <w:color w:val="000000" w:themeColor="text1"/>
          <w:sz w:val="24"/>
          <w:szCs w:val="24"/>
          <w:highlight w:val="none"/>
          <w14:textFill>
            <w14:solidFill>
              <w14:schemeClr w14:val="tx1"/>
            </w14:solidFill>
          </w14:textFill>
        </w:rPr>
        <w:t>招标文件要求</w:t>
      </w:r>
      <w:r>
        <w:rPr>
          <w:rFonts w:hint="eastAsia" w:ascii="宋体" w:hAnsi="宋体"/>
          <w:color w:val="000000" w:themeColor="text1"/>
          <w:sz w:val="24"/>
          <w:szCs w:val="24"/>
          <w:highlight w:val="none"/>
          <w14:textFill>
            <w14:solidFill>
              <w14:schemeClr w14:val="tx1"/>
            </w14:solidFill>
          </w14:textFill>
        </w:rPr>
        <w:t>填写的《参与编制经济标投标文件人员名单》。</w:t>
      </w:r>
    </w:p>
    <w:p>
      <w:pPr>
        <w:pBdr>
          <w:bottom w:val="single" w:color="auto" w:sz="6" w:space="1"/>
        </w:pBdr>
        <w:spacing w:line="440" w:lineRule="exact"/>
        <w:ind w:firstLine="540" w:firstLineChars="224"/>
        <w:rPr>
          <w:rFonts w:ascii="宋体" w:hAnsi="宋体"/>
          <w:bCs/>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11.3.3按</w:t>
      </w:r>
      <w:r>
        <w:rPr>
          <w:rFonts w:hint="eastAsia" w:ascii="宋体" w:hAnsi="宋体"/>
          <w:color w:val="000000" w:themeColor="text1"/>
          <w:sz w:val="24"/>
          <w:szCs w:val="24"/>
          <w:highlight w:val="none"/>
          <w14:textFill>
            <w14:solidFill>
              <w14:schemeClr w14:val="tx1"/>
            </w14:solidFill>
          </w14:textFill>
        </w:rPr>
        <w:t>照</w:t>
      </w:r>
      <w:r>
        <w:rPr>
          <w:rFonts w:hint="eastAsia" w:ascii="宋体" w:hAnsi="宋体"/>
          <w:bCs/>
          <w:color w:val="000000" w:themeColor="text1"/>
          <w:sz w:val="24"/>
          <w:szCs w:val="24"/>
          <w:highlight w:val="none"/>
          <w14:textFill>
            <w14:solidFill>
              <w14:schemeClr w14:val="tx1"/>
            </w14:solidFill>
          </w14:textFill>
        </w:rPr>
        <w:t>招标文件要求</w:t>
      </w:r>
      <w:r>
        <w:rPr>
          <w:rFonts w:hint="eastAsia" w:ascii="宋体" w:hAnsi="宋体"/>
          <w:color w:val="000000" w:themeColor="text1"/>
          <w:sz w:val="24"/>
          <w:szCs w:val="24"/>
          <w:highlight w:val="none"/>
          <w14:textFill>
            <w14:solidFill>
              <w14:schemeClr w14:val="tx1"/>
            </w14:solidFill>
          </w14:textFill>
        </w:rPr>
        <w:t>填写的《参与编制经济标投标文件人员名单》。</w:t>
      </w:r>
      <w:r>
        <w:rPr>
          <w:rFonts w:hint="eastAsia" w:ascii="宋体" w:hAnsi="宋体"/>
          <w:bCs/>
          <w:color w:val="000000" w:themeColor="text1"/>
          <w:sz w:val="24"/>
          <w:szCs w:val="24"/>
          <w:highlight w:val="none"/>
          <w:u w:val="single"/>
          <w14:textFill>
            <w14:solidFill>
              <w14:schemeClr w14:val="tx1"/>
            </w14:solidFill>
          </w14:textFill>
        </w:rPr>
        <w:t>（须按招标文件第四章 “经济标投标文件格式”格式三）。</w:t>
      </w:r>
    </w:p>
    <w:p>
      <w:pPr>
        <w:spacing w:line="440" w:lineRule="exact"/>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条款号：11.3.5</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修改类型：增加</w:t>
      </w:r>
    </w:p>
    <w:p>
      <w:pPr>
        <w:pBdr>
          <w:bottom w:val="single" w:color="auto" w:sz="6" w:space="1"/>
        </w:pBdr>
        <w:spacing w:line="440" w:lineRule="exact"/>
        <w:ind w:firstLine="540" w:firstLineChars="224"/>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11.3.5</w:t>
      </w:r>
      <w:r>
        <w:rPr>
          <w:rFonts w:hint="eastAsia" w:ascii="宋体" w:hAnsi="宋体"/>
          <w:color w:val="000000" w:themeColor="text1"/>
          <w:sz w:val="24"/>
          <w:szCs w:val="24"/>
          <w:highlight w:val="none"/>
          <w14:textFill>
            <w14:solidFill>
              <w14:schemeClr w14:val="tx1"/>
            </w14:solidFill>
          </w14:textFill>
        </w:rPr>
        <w:t>《</w:t>
      </w:r>
      <w:r>
        <w:rPr>
          <w:rFonts w:hint="eastAsia" w:ascii="宋体" w:hAnsi="宋体"/>
          <w:bCs/>
          <w:color w:val="000000" w:themeColor="text1"/>
          <w:sz w:val="24"/>
          <w:szCs w:val="24"/>
          <w:highlight w:val="none"/>
          <w:u w:val="single"/>
          <w14:textFill>
            <w14:solidFill>
              <w14:schemeClr w14:val="tx1"/>
            </w14:solidFill>
          </w14:textFill>
        </w:rPr>
        <w:t>对投标文件编制的承诺</w:t>
      </w:r>
      <w:r>
        <w:rPr>
          <w:rFonts w:hint="eastAsia" w:ascii="宋体" w:hAnsi="宋体"/>
          <w:color w:val="000000" w:themeColor="text1"/>
          <w:sz w:val="24"/>
          <w:szCs w:val="24"/>
          <w:highlight w:val="none"/>
          <w14:textFill>
            <w14:solidFill>
              <w14:schemeClr w14:val="tx1"/>
            </w14:solidFill>
          </w14:textFill>
        </w:rPr>
        <w:t>》</w:t>
      </w:r>
      <w:r>
        <w:rPr>
          <w:rFonts w:hint="eastAsia" w:ascii="宋体" w:hAnsi="宋体"/>
          <w:bCs/>
          <w:color w:val="000000" w:themeColor="text1"/>
          <w:sz w:val="24"/>
          <w:szCs w:val="24"/>
          <w:highlight w:val="none"/>
          <w:u w:val="single"/>
          <w14:textFill>
            <w14:solidFill>
              <w14:schemeClr w14:val="tx1"/>
            </w14:solidFill>
          </w14:textFill>
        </w:rPr>
        <w:t>（须按招标文件第四章 “经济标投标文件格式”格式四</w:t>
      </w:r>
      <w:r>
        <w:rPr>
          <w:rFonts w:hint="eastAsia" w:ascii="宋体" w:hAnsi="宋体"/>
          <w:bCs/>
          <w:color w:val="000000" w:themeColor="text1"/>
          <w:sz w:val="24"/>
          <w:szCs w:val="24"/>
          <w:highlight w:val="none"/>
          <w14:textFill>
            <w14:solidFill>
              <w14:schemeClr w14:val="tx1"/>
            </w14:solidFill>
          </w14:textFill>
        </w:rPr>
        <w:t>）</w:t>
      </w:r>
    </w:p>
    <w:p>
      <w:pPr>
        <w:tabs>
          <w:tab w:val="left" w:pos="1125"/>
        </w:tabs>
        <w:spacing w:line="360" w:lineRule="auto"/>
        <w:ind w:firstLine="482" w:firstLineChars="20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条款号：12.1                 修改类型：修改</w:t>
      </w:r>
    </w:p>
    <w:p>
      <w:pPr>
        <w:pBdr>
          <w:bottom w:val="single" w:color="auto" w:sz="6" w:space="1"/>
        </w:pBdr>
        <w:tabs>
          <w:tab w:val="left" w:pos="1125"/>
        </w:tabs>
        <w:spacing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bCs/>
          <w:color w:val="000000" w:themeColor="text1"/>
          <w:sz w:val="24"/>
          <w:szCs w:val="24"/>
          <w:highlight w:val="none"/>
          <w14:textFill>
            <w14:solidFill>
              <w14:schemeClr w14:val="tx1"/>
            </w14:solidFill>
          </w14:textFill>
        </w:rPr>
        <w:t>12.1</w:t>
      </w:r>
      <w:r>
        <w:rPr>
          <w:rFonts w:hint="eastAsia" w:ascii="宋体" w:hAnsi="宋体"/>
          <w:color w:val="000000" w:themeColor="text1"/>
          <w:sz w:val="24"/>
          <w:szCs w:val="24"/>
          <w:highlight w:val="none"/>
          <w14:textFill>
            <w14:solidFill>
              <w14:schemeClr w14:val="tx1"/>
            </w14:solidFill>
          </w14:textFill>
        </w:rPr>
        <w:t>投标文件包括本须知第11条中规定的内容，投标人提交的投标文件应当使用招标文件所提供的投标文件全部格式（表格可以按同样格式扩展）。</w:t>
      </w:r>
    </w:p>
    <w:p>
      <w:pPr>
        <w:pBdr>
          <w:bottom w:val="single" w:color="auto" w:sz="6" w:space="1"/>
        </w:pBdr>
        <w:tabs>
          <w:tab w:val="left" w:pos="1125"/>
        </w:tabs>
        <w:spacing w:line="360" w:lineRule="auto"/>
        <w:ind w:firstLine="482" w:firstLineChars="20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12.1</w:t>
      </w:r>
      <w:r>
        <w:rPr>
          <w:rFonts w:hint="eastAsia" w:ascii="宋体" w:hAnsi="宋体"/>
          <w:color w:val="000000" w:themeColor="text1"/>
          <w:sz w:val="24"/>
          <w:szCs w:val="24"/>
          <w:highlight w:val="none"/>
          <w14:textFill>
            <w14:solidFill>
              <w14:schemeClr w14:val="tx1"/>
            </w14:solidFill>
          </w14:textFill>
        </w:rPr>
        <w:t>投标文件包括本须知第11条中规定的内容</w:t>
      </w:r>
      <w:r>
        <w:rPr>
          <w:rFonts w:hint="eastAsia" w:ascii="宋体" w:hAnsi="宋体"/>
          <w:color w:val="000000" w:themeColor="text1"/>
          <w:sz w:val="24"/>
          <w:szCs w:val="24"/>
          <w:highlight w:val="none"/>
          <w:u w:val="single"/>
          <w14:textFill>
            <w14:solidFill>
              <w14:schemeClr w14:val="tx1"/>
            </w14:solidFill>
          </w14:textFill>
        </w:rPr>
        <w:t>，投标文件格式按招标文件第四章《投标文件格式》。其中：技术标技术标格式二、格式三、</w:t>
      </w:r>
      <w:r>
        <w:rPr>
          <w:rFonts w:hint="eastAsia" w:ascii="宋体" w:hAnsi="宋体"/>
          <w:color w:val="000000" w:themeColor="text1"/>
          <w:sz w:val="24"/>
          <w:szCs w:val="24"/>
          <w:highlight w:val="none"/>
          <w:u w:val="single"/>
          <w:lang w:eastAsia="zh-CN"/>
          <w14:textFill>
            <w14:solidFill>
              <w14:schemeClr w14:val="tx1"/>
            </w14:solidFill>
          </w14:textFill>
        </w:rPr>
        <w:t>格式十一、</w:t>
      </w:r>
      <w:r>
        <w:rPr>
          <w:rFonts w:hint="eastAsia" w:ascii="宋体" w:hAnsi="宋体"/>
          <w:color w:val="000000" w:themeColor="text1"/>
          <w:sz w:val="24"/>
          <w:szCs w:val="24"/>
          <w:highlight w:val="none"/>
          <w:u w:val="single"/>
          <w14:textFill>
            <w14:solidFill>
              <w14:schemeClr w14:val="tx1"/>
            </w14:solidFill>
          </w14:textFill>
        </w:rPr>
        <w:t>格式十二、格式十三、格式十四和经济标格式二、格式三、格式四必须按招标文件规定的格式进行编制外，其余格式仅供参考。</w:t>
      </w:r>
    </w:p>
    <w:p>
      <w:pPr>
        <w:spacing w:line="440" w:lineRule="exact"/>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w:t>
      </w:r>
      <w:r>
        <w:rPr>
          <w:rFonts w:hint="eastAsia" w:ascii="宋体" w:hAnsi="宋体"/>
          <w:color w:val="000000" w:themeColor="text1"/>
          <w:sz w:val="24"/>
          <w:szCs w:val="24"/>
          <w:highlight w:val="none"/>
          <w14:textFill>
            <w14:solidFill>
              <w14:schemeClr w14:val="tx1"/>
            </w14:solidFill>
          </w14:textFill>
        </w:rPr>
        <w:t xml:space="preserve">12.2 </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spacing w:line="440" w:lineRule="exact"/>
        <w:ind w:firstLine="482" w:firstLineChars="200"/>
        <w:rPr>
          <w:rFonts w:ascii="宋体" w:hAnsi="宋体"/>
          <w:color w:val="000000" w:themeColor="text1"/>
          <w:kern w:val="0"/>
          <w:sz w:val="24"/>
          <w:szCs w:val="24"/>
          <w:highlight w:val="none"/>
          <w14:textFill>
            <w14:solidFill>
              <w14:schemeClr w14:val="tx1"/>
            </w14:solidFill>
          </w14:textFill>
        </w:rPr>
      </w:pPr>
      <w:r>
        <w:rPr>
          <w:rFonts w:hint="eastAsia" w:ascii="宋体" w:hAnsi="宋体"/>
          <w:b/>
          <w:color w:val="000000" w:themeColor="text1"/>
          <w:kern w:val="0"/>
          <w:sz w:val="24"/>
          <w:szCs w:val="24"/>
          <w:highlight w:val="none"/>
          <w14:textFill>
            <w14:solidFill>
              <w14:schemeClr w14:val="tx1"/>
            </w14:solidFill>
          </w14:textFill>
        </w:rPr>
        <w:t>原文：</w:t>
      </w:r>
      <w:r>
        <w:rPr>
          <w:rFonts w:hint="eastAsia" w:ascii="宋体" w:hAnsi="宋体"/>
          <w:bCs/>
          <w:color w:val="000000" w:themeColor="text1"/>
          <w:kern w:val="0"/>
          <w:sz w:val="24"/>
          <w:szCs w:val="24"/>
          <w:highlight w:val="none"/>
          <w14:textFill>
            <w14:solidFill>
              <w14:schemeClr w14:val="tx1"/>
            </w14:solidFill>
          </w14:textFill>
        </w:rPr>
        <w:t>12.2</w:t>
      </w:r>
      <w:r>
        <w:rPr>
          <w:rFonts w:hint="eastAsia" w:ascii="宋体" w:hAnsi="宋体"/>
          <w:bCs/>
          <w:color w:val="000000" w:themeColor="text1"/>
          <w:sz w:val="24"/>
          <w:highlight w:val="none"/>
          <w14:textFill>
            <w14:solidFill>
              <w14:schemeClr w14:val="tx1"/>
            </w14:solidFill>
          </w14:textFill>
        </w:rPr>
        <w:t>投</w:t>
      </w:r>
      <w:r>
        <w:rPr>
          <w:rFonts w:hint="eastAsia" w:ascii="宋体" w:hAnsi="宋体"/>
          <w:color w:val="000000" w:themeColor="text1"/>
          <w:sz w:val="24"/>
          <w:highlight w:val="none"/>
          <w14:textFill>
            <w14:solidFill>
              <w14:schemeClr w14:val="tx1"/>
            </w14:solidFill>
          </w14:textFill>
        </w:rPr>
        <w:t>标文件全部采用电子文档，投标文件所附证书证件均为原件扫描件，并采用单位数字证书，按招标文件要求在相应位置加盖电子印章。投标文件中需个人签字或盖章的，应加盖个人电子印章或在线下完成后扫描上传。按照交易平台关于</w:t>
      </w:r>
      <w:r>
        <w:rPr>
          <w:rFonts w:hint="eastAsia"/>
          <w:color w:val="000000" w:themeColor="text1"/>
          <w:sz w:val="24"/>
          <w:szCs w:val="24"/>
          <w:highlight w:val="none"/>
          <w14:textFill>
            <w14:solidFill>
              <w14:schemeClr w14:val="tx1"/>
            </w14:solidFill>
          </w14:textFill>
        </w:rPr>
        <w:t>全流程电子化项目的相关指南进行操作。详见：</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u w:val="single"/>
          <w14:textFill>
            <w14:solidFill>
              <w14:schemeClr w14:val="tx1"/>
            </w14:solidFill>
          </w14:textFill>
        </w:rPr>
        <w:t xml:space="preserve">    </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kern w:val="0"/>
          <w:sz w:val="24"/>
          <w:szCs w:val="24"/>
          <w:highlight w:val="none"/>
          <w14:textFill>
            <w14:solidFill>
              <w14:schemeClr w14:val="tx1"/>
            </w14:solidFill>
          </w14:textFill>
        </w:rPr>
        <w:t>。</w:t>
      </w:r>
    </w:p>
    <w:p>
      <w:pPr>
        <w:pBdr>
          <w:bottom w:val="single" w:color="auto" w:sz="6" w:space="1"/>
        </w:pBdr>
        <w:spacing w:line="440" w:lineRule="exact"/>
        <w:ind w:firstLine="602" w:firstLineChars="250"/>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12.2</w:t>
      </w:r>
      <w:r>
        <w:rPr>
          <w:rFonts w:hint="eastAsia" w:ascii="宋体" w:hAnsi="宋体"/>
          <w:bCs/>
          <w:color w:val="000000" w:themeColor="text1"/>
          <w:sz w:val="24"/>
          <w:highlight w:val="none"/>
          <w14:textFill>
            <w14:solidFill>
              <w14:schemeClr w14:val="tx1"/>
            </w14:solidFill>
          </w14:textFill>
        </w:rPr>
        <w:t>投</w:t>
      </w:r>
      <w:r>
        <w:rPr>
          <w:rFonts w:hint="eastAsia" w:ascii="宋体" w:hAnsi="宋体"/>
          <w:color w:val="000000" w:themeColor="text1"/>
          <w:sz w:val="24"/>
          <w:highlight w:val="none"/>
          <w14:textFill>
            <w14:solidFill>
              <w14:schemeClr w14:val="tx1"/>
            </w14:solidFill>
          </w14:textFill>
        </w:rPr>
        <w:t>标文件全部采用电子文档，投标文件所附证书证件均为原件扫描件，并采用单位数字证书，按招标文件要求在相应位置加盖电子印章。投标文件中需个人签字或盖章的，应加盖个人电子印章或在线下完成后扫描上传。按照交易平台关于</w:t>
      </w:r>
      <w:r>
        <w:rPr>
          <w:rFonts w:hint="eastAsia"/>
          <w:color w:val="000000" w:themeColor="text1"/>
          <w:sz w:val="24"/>
          <w:szCs w:val="24"/>
          <w:highlight w:val="none"/>
          <w14:textFill>
            <w14:solidFill>
              <w14:schemeClr w14:val="tx1"/>
            </w14:solidFill>
          </w14:textFill>
        </w:rPr>
        <w:t>全流程电子化项目的相关指南进行操作。详见：</w:t>
      </w:r>
      <w:r>
        <w:rPr>
          <w:rFonts w:hint="eastAsia" w:ascii="宋体" w:hAnsi="宋体" w:cs="宋体"/>
          <w:color w:val="000000" w:themeColor="text1"/>
          <w:sz w:val="24"/>
          <w:szCs w:val="24"/>
          <w:highlight w:val="none"/>
          <w:u w:val="single"/>
          <w:lang w:bidi="ar"/>
          <w14:textFill>
            <w14:solidFill>
              <w14:schemeClr w14:val="tx1"/>
            </w14:solidFill>
          </w14:textFill>
        </w:rPr>
        <w:t>广州公共资源交易中心网站</w:t>
      </w:r>
      <w:r>
        <w:rPr>
          <w:color w:val="000000" w:themeColor="text1"/>
          <w:sz w:val="24"/>
          <w:szCs w:val="24"/>
          <w:highlight w:val="none"/>
          <w:u w:val="singl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条款号：12.3</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12.3 投标文件应按照交易平台关于全流程电子化项目的相关指南进行编制，详见：</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12.3 投标文件应按照交易平台关于全流程电子化项目的相关指南进行编制，详见：</w:t>
      </w:r>
      <w:r>
        <w:rPr>
          <w:rFonts w:hint="eastAsia" w:ascii="宋体" w:hAnsi="宋体" w:cs="宋体"/>
          <w:color w:val="000000" w:themeColor="text1"/>
          <w:sz w:val="24"/>
          <w:szCs w:val="24"/>
          <w:highlight w:val="none"/>
          <w:u w:val="single"/>
          <w:lang w:bidi="ar"/>
          <w14:textFill>
            <w14:solidFill>
              <w14:schemeClr w14:val="tx1"/>
            </w14:solidFill>
          </w14:textFill>
        </w:rPr>
        <w:t>广州公共资源交易中心网站</w:t>
      </w:r>
      <w:r>
        <w:rPr>
          <w:rFonts w:hint="eastAsia" w:ascii="Times New Roman" w:hAnsi="Times New Roman"/>
          <w:color w:val="000000" w:themeColor="text1"/>
          <w:sz w:val="24"/>
          <w:szCs w:val="24"/>
          <w:highlight w:val="none"/>
          <w14:textFill>
            <w14:solidFill>
              <w14:schemeClr w14:val="tx1"/>
            </w14:solidFill>
          </w14:textFill>
        </w:rPr>
        <w:t>。</w:t>
      </w:r>
    </w:p>
    <w:p>
      <w:pPr>
        <w:pBdr>
          <w:top w:val="single" w:color="auto" w:sz="4" w:space="1"/>
        </w:pBd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条款号：13.1             修改类型：修改</w:t>
      </w:r>
    </w:p>
    <w:p>
      <w:pPr>
        <w:pBdr>
          <w:bottom w:val="single" w:color="auto" w:sz="6" w:space="1"/>
        </w:pBdr>
        <w:spacing w:line="360" w:lineRule="auto"/>
        <w:ind w:firstLine="602" w:firstLineChars="25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ascii="宋体" w:hAnsi="宋体"/>
          <w:color w:val="000000" w:themeColor="text1"/>
          <w:sz w:val="24"/>
          <w:szCs w:val="24"/>
          <w:highlight w:val="none"/>
          <w14:textFill>
            <w14:solidFill>
              <w14:schemeClr w14:val="tx1"/>
            </w14:solidFill>
          </w14:textFill>
        </w:rPr>
        <w:t xml:space="preserve">13.1 </w:t>
      </w:r>
      <w:r>
        <w:rPr>
          <w:rFonts w:hint="eastAsia" w:ascii="宋体" w:hAnsi="宋体"/>
          <w:color w:val="000000" w:themeColor="text1"/>
          <w:sz w:val="24"/>
          <w:szCs w:val="24"/>
          <w:highlight w:val="none"/>
          <w14:textFill>
            <w14:solidFill>
              <w14:schemeClr w14:val="tx1"/>
            </w14:solidFill>
          </w14:textFill>
        </w:rPr>
        <w:t>本工程的投标报价采用投标须知前附表第</w:t>
      </w:r>
      <w:r>
        <w:rPr>
          <w:rFonts w:ascii="宋体" w:hAnsi="宋体"/>
          <w:color w:val="000000" w:themeColor="text1"/>
          <w:sz w:val="24"/>
          <w:szCs w:val="24"/>
          <w:highlight w:val="none"/>
          <w14:textFill>
            <w14:solidFill>
              <w14:schemeClr w14:val="tx1"/>
            </w14:solidFill>
          </w14:textFill>
        </w:rPr>
        <w:t>12</w:t>
      </w:r>
      <w:r>
        <w:rPr>
          <w:rFonts w:hint="eastAsia" w:ascii="宋体" w:hAnsi="宋体"/>
          <w:color w:val="000000" w:themeColor="text1"/>
          <w:sz w:val="24"/>
          <w:szCs w:val="24"/>
          <w:highlight w:val="none"/>
          <w14:textFill>
            <w14:solidFill>
              <w14:schemeClr w14:val="tx1"/>
            </w14:solidFill>
          </w14:textFill>
        </w:rPr>
        <w:t>项所规定的方式。投标报价（含单价及总价）精确到“分”。</w:t>
      </w:r>
    </w:p>
    <w:p>
      <w:pPr>
        <w:pBdr>
          <w:bottom w:val="single" w:color="auto" w:sz="6" w:space="1"/>
        </w:pBdr>
        <w:spacing w:line="360" w:lineRule="auto"/>
        <w:ind w:firstLine="602" w:firstLineChars="25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ascii="宋体" w:hAnsi="宋体"/>
          <w:color w:val="000000" w:themeColor="text1"/>
          <w:sz w:val="24"/>
          <w:szCs w:val="24"/>
          <w:highlight w:val="none"/>
          <w14:textFill>
            <w14:solidFill>
              <w14:schemeClr w14:val="tx1"/>
            </w14:solidFill>
          </w14:textFill>
        </w:rPr>
        <w:t xml:space="preserve">13.1 </w:t>
      </w:r>
      <w:r>
        <w:rPr>
          <w:rFonts w:hint="eastAsia" w:ascii="宋体" w:hAnsi="宋体"/>
          <w:color w:val="000000" w:themeColor="text1"/>
          <w:sz w:val="24"/>
          <w:szCs w:val="24"/>
          <w:highlight w:val="none"/>
          <w14:textFill>
            <w14:solidFill>
              <w14:schemeClr w14:val="tx1"/>
            </w14:solidFill>
          </w14:textFill>
        </w:rPr>
        <w:t>本工程的投标报价采用投标须知前附表第</w:t>
      </w:r>
      <w:r>
        <w:rPr>
          <w:rFonts w:ascii="宋体" w:hAnsi="宋体"/>
          <w:color w:val="000000" w:themeColor="text1"/>
          <w:sz w:val="24"/>
          <w:szCs w:val="24"/>
          <w:highlight w:val="none"/>
          <w14:textFill>
            <w14:solidFill>
              <w14:schemeClr w14:val="tx1"/>
            </w14:solidFill>
          </w14:textFill>
        </w:rPr>
        <w:t>12</w:t>
      </w:r>
      <w:r>
        <w:rPr>
          <w:rFonts w:hint="eastAsia" w:ascii="宋体" w:hAnsi="宋体"/>
          <w:color w:val="000000" w:themeColor="text1"/>
          <w:sz w:val="24"/>
          <w:szCs w:val="24"/>
          <w:highlight w:val="none"/>
          <w14:textFill>
            <w14:solidFill>
              <w14:schemeClr w14:val="tx1"/>
            </w14:solidFill>
          </w14:textFill>
        </w:rPr>
        <w:t>项所规定的方式。</w:t>
      </w:r>
      <w:r>
        <w:rPr>
          <w:rFonts w:hint="eastAsia" w:ascii="宋体" w:hAnsi="宋体"/>
          <w:color w:val="000000" w:themeColor="text1"/>
          <w:sz w:val="24"/>
          <w:szCs w:val="24"/>
          <w:highlight w:val="none"/>
          <w:u w:val="single"/>
          <w14:textFill>
            <w14:solidFill>
              <w14:schemeClr w14:val="tx1"/>
            </w14:solidFill>
          </w14:textFill>
        </w:rPr>
        <w:t>投标文件中的大写金额和小写金额不一致的，以大写金额为准。</w:t>
      </w:r>
      <w:r>
        <w:rPr>
          <w:rFonts w:hint="eastAsia" w:ascii="宋体" w:hAnsi="宋体"/>
          <w:color w:val="000000" w:themeColor="text1"/>
          <w:sz w:val="24"/>
          <w:szCs w:val="24"/>
          <w:highlight w:val="none"/>
          <w14:textFill>
            <w14:solidFill>
              <w14:schemeClr w14:val="tx1"/>
            </w14:solidFill>
          </w14:textFill>
        </w:rPr>
        <w:t>投标报价（含单价及总价）精确到“分”。</w:t>
      </w:r>
    </w:p>
    <w:p>
      <w:pPr>
        <w:spacing w:line="360" w:lineRule="auto"/>
        <w:ind w:firstLine="470" w:firstLineChars="195"/>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条款号：13.3                        修改类型：修改</w:t>
      </w:r>
    </w:p>
    <w:p>
      <w:pPr>
        <w:spacing w:line="360" w:lineRule="auto"/>
        <w:ind w:firstLine="470" w:firstLineChars="195"/>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原文：</w:t>
      </w:r>
      <w:r>
        <w:rPr>
          <w:rFonts w:hint="eastAsia" w:ascii="宋体" w:hAnsi="宋体" w:cs="宋体"/>
          <w:bCs/>
          <w:color w:val="000000" w:themeColor="text1"/>
          <w:sz w:val="24"/>
          <w:szCs w:val="24"/>
          <w:highlight w:val="none"/>
          <w14:textFill>
            <w14:solidFill>
              <w14:schemeClr w14:val="tx1"/>
            </w14:solidFill>
          </w14:textFill>
        </w:rPr>
        <w:t>13.3</w:t>
      </w:r>
      <w:r>
        <w:rPr>
          <w:rFonts w:hint="eastAsia" w:ascii="宋体" w:hAnsi="宋体"/>
          <w:bCs/>
          <w:color w:val="000000" w:themeColor="text1"/>
          <w:sz w:val="24"/>
          <w:highlight w:val="none"/>
          <w14:textFill>
            <w14:solidFill>
              <w14:schemeClr w14:val="tx1"/>
            </w14:solidFill>
          </w14:textFill>
        </w:rPr>
        <w:t>投</w:t>
      </w:r>
      <w:r>
        <w:rPr>
          <w:rFonts w:hint="eastAsia" w:ascii="宋体" w:hAnsi="宋体"/>
          <w:color w:val="000000" w:themeColor="text1"/>
          <w:sz w:val="24"/>
          <w:highlight w:val="none"/>
          <w14:textFill>
            <w14:solidFill>
              <w14:schemeClr w14:val="tx1"/>
            </w14:solidFill>
          </w14:textFill>
        </w:rPr>
        <w:t>标人的投标报价，应是按照投标须知前附表第</w:t>
      </w:r>
      <w:r>
        <w:rPr>
          <w:rFonts w:ascii="宋体" w:hAnsi="宋体"/>
          <w:color w:val="000000" w:themeColor="text1"/>
          <w:sz w:val="24"/>
          <w:highlight w:val="none"/>
          <w14:textFill>
            <w14:solidFill>
              <w14:schemeClr w14:val="tx1"/>
            </w14:solidFill>
          </w14:textFill>
        </w:rPr>
        <w:t>8</w:t>
      </w:r>
      <w:r>
        <w:rPr>
          <w:rFonts w:hint="eastAsia" w:ascii="宋体" w:hAnsi="宋体"/>
          <w:color w:val="000000" w:themeColor="text1"/>
          <w:sz w:val="24"/>
          <w:highlight w:val="none"/>
          <w14:textFill>
            <w14:solidFill>
              <w14:schemeClr w14:val="tx1"/>
            </w14:solidFill>
          </w14:textFill>
        </w:rPr>
        <w:t>项的工期要求，在投标须知前附表第</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项的建设地点，完成投标须知前附表第</w:t>
      </w:r>
      <w:r>
        <w:rPr>
          <w:rFonts w:ascii="宋体" w:hAnsi="宋体"/>
          <w:color w:val="000000" w:themeColor="text1"/>
          <w:sz w:val="24"/>
          <w:highlight w:val="none"/>
          <w14:textFill>
            <w14:solidFill>
              <w14:schemeClr w14:val="tx1"/>
            </w14:solidFill>
          </w14:textFill>
        </w:rPr>
        <w:t>7</w:t>
      </w:r>
      <w:r>
        <w:rPr>
          <w:rFonts w:hint="eastAsia" w:ascii="宋体" w:hAnsi="宋体"/>
          <w:color w:val="000000" w:themeColor="text1"/>
          <w:sz w:val="24"/>
          <w:highlight w:val="none"/>
          <w14:textFill>
            <w14:solidFill>
              <w14:schemeClr w14:val="tx1"/>
            </w14:solidFill>
          </w14:textFill>
        </w:rPr>
        <w:t>项的招标范围内已由招标人制定的工程量清单列明工作的全部费用，包括但不限于完成工作的成本、利润、税金、技术措施费、大型机械进出场费、风险费以及政策性文件规定费用等，不得以任何理由予以重复计算。招标人提供的工程量清单或招标文件其他部分</w:t>
      </w:r>
      <w:r>
        <w:rPr>
          <w:rFonts w:hint="eastAsia" w:ascii="宋体" w:hAnsi="宋体"/>
          <w:color w:val="000000" w:themeColor="text1"/>
          <w:sz w:val="24"/>
          <w:szCs w:val="24"/>
          <w:highlight w:val="none"/>
          <w14:textFill>
            <w14:solidFill>
              <w14:schemeClr w14:val="tx1"/>
            </w14:solidFill>
          </w14:textFill>
        </w:rPr>
        <w:t>中有关规费、暂列金额、暂估价、绿色施工安全防护措施费等非竞争性项目明列了单价或合价的金额的，投标人应按照明列的单价或合价的金额报价，未按照规定金额报价的，由评标委员会按照招标文件规定的金额进行修正</w:t>
      </w:r>
      <w:r>
        <w:rPr>
          <w:rFonts w:hint="eastAsia" w:ascii="宋体" w:hAnsi="宋体" w:cs="宋体"/>
          <w:color w:val="000000" w:themeColor="text1"/>
          <w:sz w:val="24"/>
          <w:szCs w:val="24"/>
          <w:highlight w:val="none"/>
          <w14:textFill>
            <w14:solidFill>
              <w14:schemeClr w14:val="tx1"/>
            </w14:solidFill>
          </w14:textFill>
        </w:rPr>
        <w:t>。</w:t>
      </w:r>
    </w:p>
    <w:p>
      <w:pPr>
        <w:pBdr>
          <w:bottom w:val="single" w:color="auto" w:sz="6" w:space="1"/>
        </w:pBdr>
        <w:spacing w:line="360" w:lineRule="auto"/>
        <w:ind w:firstLine="470" w:firstLineChars="195"/>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现文：</w:t>
      </w:r>
      <w:r>
        <w:rPr>
          <w:rFonts w:hint="eastAsia" w:ascii="宋体" w:hAnsi="宋体" w:cs="宋体"/>
          <w:bCs/>
          <w:color w:val="000000" w:themeColor="text1"/>
          <w:sz w:val="24"/>
          <w:szCs w:val="24"/>
          <w:highlight w:val="none"/>
          <w14:textFill>
            <w14:solidFill>
              <w14:schemeClr w14:val="tx1"/>
            </w14:solidFill>
          </w14:textFill>
        </w:rPr>
        <w:t>13.3</w:t>
      </w:r>
      <w:r>
        <w:rPr>
          <w:rFonts w:hint="eastAsia" w:ascii="宋体" w:hAnsi="宋体"/>
          <w:bCs/>
          <w:color w:val="000000" w:themeColor="text1"/>
          <w:sz w:val="24"/>
          <w:highlight w:val="none"/>
          <w14:textFill>
            <w14:solidFill>
              <w14:schemeClr w14:val="tx1"/>
            </w14:solidFill>
          </w14:textFill>
        </w:rPr>
        <w:t>投</w:t>
      </w:r>
      <w:r>
        <w:rPr>
          <w:rFonts w:hint="eastAsia" w:ascii="宋体" w:hAnsi="宋体"/>
          <w:color w:val="000000" w:themeColor="text1"/>
          <w:sz w:val="24"/>
          <w:highlight w:val="none"/>
          <w14:textFill>
            <w14:solidFill>
              <w14:schemeClr w14:val="tx1"/>
            </w14:solidFill>
          </w14:textFill>
        </w:rPr>
        <w:t>标人的投标报价，应是按照投标须知前附表第</w:t>
      </w:r>
      <w:r>
        <w:rPr>
          <w:rFonts w:ascii="宋体" w:hAnsi="宋体"/>
          <w:color w:val="000000" w:themeColor="text1"/>
          <w:sz w:val="24"/>
          <w:highlight w:val="none"/>
          <w14:textFill>
            <w14:solidFill>
              <w14:schemeClr w14:val="tx1"/>
            </w14:solidFill>
          </w14:textFill>
        </w:rPr>
        <w:t>8</w:t>
      </w:r>
      <w:r>
        <w:rPr>
          <w:rFonts w:hint="eastAsia" w:ascii="宋体" w:hAnsi="宋体"/>
          <w:color w:val="000000" w:themeColor="text1"/>
          <w:sz w:val="24"/>
          <w:highlight w:val="none"/>
          <w14:textFill>
            <w14:solidFill>
              <w14:schemeClr w14:val="tx1"/>
            </w14:solidFill>
          </w14:textFill>
        </w:rPr>
        <w:t>项的工期要求，在投标须知前附表第</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项的建设地点，完成投标须知前附表第</w:t>
      </w:r>
      <w:r>
        <w:rPr>
          <w:rFonts w:ascii="宋体" w:hAnsi="宋体"/>
          <w:color w:val="000000" w:themeColor="text1"/>
          <w:sz w:val="24"/>
          <w:highlight w:val="none"/>
          <w14:textFill>
            <w14:solidFill>
              <w14:schemeClr w14:val="tx1"/>
            </w14:solidFill>
          </w14:textFill>
        </w:rPr>
        <w:t>7</w:t>
      </w:r>
      <w:r>
        <w:rPr>
          <w:rFonts w:hint="eastAsia" w:ascii="宋体" w:hAnsi="宋体"/>
          <w:color w:val="000000" w:themeColor="text1"/>
          <w:sz w:val="24"/>
          <w:highlight w:val="none"/>
          <w14:textFill>
            <w14:solidFill>
              <w14:schemeClr w14:val="tx1"/>
            </w14:solidFill>
          </w14:textFill>
        </w:rPr>
        <w:t>项的招标范围内已由招标人</w:t>
      </w:r>
      <w:r>
        <w:rPr>
          <w:rFonts w:hint="eastAsia" w:ascii="宋体" w:hAnsi="宋体"/>
          <w:color w:val="000000" w:themeColor="text1"/>
          <w:sz w:val="24"/>
          <w:highlight w:val="none"/>
          <w:u w:val="single"/>
          <w14:textFill>
            <w14:solidFill>
              <w14:schemeClr w14:val="tx1"/>
            </w14:solidFill>
          </w14:textFill>
        </w:rPr>
        <w:t>提供的招标图纸（包括有关于本项目招标的相关资料）及</w:t>
      </w:r>
      <w:r>
        <w:rPr>
          <w:rFonts w:hint="eastAsia" w:ascii="宋体" w:hAnsi="宋体"/>
          <w:color w:val="000000" w:themeColor="text1"/>
          <w:sz w:val="24"/>
          <w:highlight w:val="none"/>
          <w14:textFill>
            <w14:solidFill>
              <w14:schemeClr w14:val="tx1"/>
            </w14:solidFill>
          </w14:textFill>
        </w:rPr>
        <w:t>制定的工程量清单列明工作的全部费用，包括但不限于完成工作的成本、利润、税金、技术措施费、大型机械进出场费、风险费以及政策性文件规定费用等，不得以任何理由予以重复计算。招标人提供的工程量清单或招标文件其他部分</w:t>
      </w:r>
      <w:r>
        <w:rPr>
          <w:rFonts w:hint="eastAsia" w:ascii="宋体" w:hAnsi="宋体"/>
          <w:color w:val="000000" w:themeColor="text1"/>
          <w:sz w:val="24"/>
          <w:szCs w:val="24"/>
          <w:highlight w:val="none"/>
          <w14:textFill>
            <w14:solidFill>
              <w14:schemeClr w14:val="tx1"/>
            </w14:solidFill>
          </w14:textFill>
        </w:rPr>
        <w:t>中有关规费、暂列金额、暂估价、绿色施工安全防护措施费等非竞争性项目明列了单价或合价的金额的，投标人应按照明列的单价或合价的金额报价，未按照规定金额报价的，由评标委员会按照招标文件规定的金额进行修正</w:t>
      </w:r>
      <w:r>
        <w:rPr>
          <w:rFonts w:hint="eastAsia" w:ascii="宋体" w:hAnsi="宋体" w:cs="宋体"/>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13.4</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13.4</w:t>
      </w:r>
      <w:r>
        <w:rPr>
          <w:rFonts w:hint="eastAsia" w:ascii="宋体" w:hAnsi="宋体"/>
          <w:color w:val="000000" w:themeColor="text1"/>
          <w:sz w:val="24"/>
          <w:highlight w:val="none"/>
          <w14:textFill>
            <w14:solidFill>
              <w14:schemeClr w14:val="tx1"/>
            </w14:solidFill>
          </w14:textFill>
        </w:rPr>
        <w:t>投标人一旦中标，投标人对招标人提供的招标工程量清单中列出的工程项目所报出的综合单价，在工程结算时将不得变更，招标人应在招标文件及合同中明确在人工、材料、设备或机械台班市场价格发生异常变动情况时合同价款的调整办法。因应计算的实际工程量与招标工程量清单出现偏差或因工程变更等原因导致的工程量偏差，引起相关措施项目相应发生变化时，按系数或单一总价方式计价的措施项目费，工程量增加的措施项目费调增，工程量减少的措施项目费调减</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13.4投标人一旦中标，投标人对招标人提供的招标工程量清单中列出的工程项目所报出的综合单价，在工程结算时将不得变更，招标人应在招标文件及合同中明确在人工、材料、设备或机械台班市场价格发生异常变动情况时合同价款的调整办法。因应计算的实际工程量与招标工程量清单出现偏差或因工程变更等原因导致的工程量偏差，引起相关措施项目相应发生变化时，</w:t>
      </w:r>
      <w:r>
        <w:rPr>
          <w:rFonts w:hint="eastAsia" w:ascii="Times New Roman" w:hAnsi="Times New Roman"/>
          <w:color w:val="000000" w:themeColor="text1"/>
          <w:sz w:val="24"/>
          <w:szCs w:val="24"/>
          <w:highlight w:val="none"/>
          <w:u w:val="single"/>
          <w14:textFill>
            <w14:solidFill>
              <w14:schemeClr w14:val="tx1"/>
            </w14:solidFill>
          </w14:textFill>
        </w:rPr>
        <w:t>按合同条款相关约定调整。</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color w:val="000000" w:themeColor="text1"/>
          <w:sz w:val="24"/>
          <w:szCs w:val="24"/>
          <w:highlight w:val="none"/>
          <w14:textFill>
            <w14:solidFill>
              <w14:schemeClr w14:val="tx1"/>
            </w14:solidFill>
          </w14:textFill>
        </w:rPr>
        <w:t>13.5</w:t>
      </w:r>
      <w:r>
        <w:rPr>
          <w:rFonts w:hint="eastAsia"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13.5.1</w:t>
      </w:r>
      <w:r>
        <w:rPr>
          <w:rFonts w:hint="eastAsia"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13.5.2</w:t>
      </w:r>
      <w:r>
        <w:rPr>
          <w:rFonts w:hint="eastAsia"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13.5.3</w:t>
      </w:r>
      <w:r>
        <w:rPr>
          <w:rFonts w:hint="eastAsia"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13.5.4</w:t>
      </w:r>
      <w:r>
        <w:rPr>
          <w:rFonts w:hint="eastAsia" w:ascii="Times New Roman" w:hAnsi="Times New Roman"/>
          <w:b/>
          <w:color w:val="000000" w:themeColor="text1"/>
          <w:sz w:val="24"/>
          <w:szCs w:val="24"/>
          <w:highlight w:val="none"/>
          <w14:textFill>
            <w14:solidFill>
              <w14:schemeClr w14:val="tx1"/>
            </w14:solidFill>
          </w14:textFill>
        </w:rPr>
        <w:t xml:space="preserve">          修改类型：修改</w:t>
      </w:r>
    </w:p>
    <w:p>
      <w:pPr>
        <w:pBdr>
          <w:bottom w:val="single" w:color="auto" w:sz="6" w:space="1"/>
        </w:pBdr>
        <w:spacing w:line="360" w:lineRule="auto"/>
        <w:ind w:firstLine="482" w:firstLineChars="200"/>
        <w:rPr>
          <w:rFonts w:ascii="Times New Roman" w:hAnsi="Times New Roman"/>
          <w:color w:val="000000" w:themeColor="text1"/>
          <w:kern w:val="0"/>
          <w:sz w:val="24"/>
          <w:szCs w:val="24"/>
          <w:highlight w:val="none"/>
          <w14:textFill>
            <w14:solidFill>
              <w14:schemeClr w14:val="tx1"/>
            </w14:solidFill>
          </w14:textFill>
        </w:rPr>
      </w:pPr>
      <w:r>
        <w:rPr>
          <w:rFonts w:hint="eastAsia" w:ascii="Times New Roman" w:hAnsi="Times New Roman"/>
          <w:b/>
          <w:color w:val="000000" w:themeColor="text1"/>
          <w:kern w:val="0"/>
          <w:sz w:val="24"/>
          <w:szCs w:val="24"/>
          <w:highlight w:val="none"/>
          <w14:textFill>
            <w14:solidFill>
              <w14:schemeClr w14:val="tx1"/>
            </w14:solidFill>
          </w14:textFill>
        </w:rPr>
        <w:t>原文：</w:t>
      </w:r>
      <w:r>
        <w:rPr>
          <w:rFonts w:hint="eastAsia" w:ascii="Times New Roman" w:hAnsi="Times New Roman"/>
          <w:color w:val="000000" w:themeColor="text1"/>
          <w:kern w:val="0"/>
          <w:sz w:val="24"/>
          <w:szCs w:val="24"/>
          <w:highlight w:val="none"/>
          <w14:textFill>
            <w14:solidFill>
              <w14:schemeClr w14:val="tx1"/>
            </w14:solidFill>
          </w14:textFill>
        </w:rPr>
        <w:t>工程项目实施期间……，中标后双方协商约定。</w:t>
      </w:r>
    </w:p>
    <w:p>
      <w:pPr>
        <w:pBdr>
          <w:bottom w:val="single" w:color="auto" w:sz="6" w:space="1"/>
        </w:pBdr>
        <w:spacing w:line="360" w:lineRule="auto"/>
        <w:ind w:firstLine="482" w:firstLineChars="200"/>
        <w:rPr>
          <w:rFonts w:ascii="Times New Roman" w:hAnsi="Times New Roman"/>
          <w:color w:val="000000" w:themeColor="text1"/>
          <w:kern w:val="0"/>
          <w:sz w:val="24"/>
          <w:szCs w:val="24"/>
          <w:highlight w:val="none"/>
          <w14:textFill>
            <w14:solidFill>
              <w14:schemeClr w14:val="tx1"/>
            </w14:solidFill>
          </w14:textFill>
        </w:rPr>
      </w:pPr>
      <w:r>
        <w:rPr>
          <w:rFonts w:hint="eastAsia" w:ascii="Times New Roman" w:hAnsi="Times New Roman"/>
          <w:b/>
          <w:color w:val="000000" w:themeColor="text1"/>
          <w:kern w:val="0"/>
          <w:sz w:val="24"/>
          <w:szCs w:val="24"/>
          <w:highlight w:val="none"/>
          <w14:textFill>
            <w14:solidFill>
              <w14:schemeClr w14:val="tx1"/>
            </w14:solidFill>
          </w14:textFill>
        </w:rPr>
        <w:t>现文：</w:t>
      </w:r>
      <w:r>
        <w:rPr>
          <w:rFonts w:hint="eastAsia" w:ascii="Times New Roman" w:hAnsi="Times New Roman"/>
          <w:color w:val="000000" w:themeColor="text1"/>
          <w:kern w:val="0"/>
          <w:sz w:val="24"/>
          <w:szCs w:val="24"/>
          <w:highlight w:val="none"/>
          <w:u w:val="single"/>
          <w14:textFill>
            <w14:solidFill>
              <w14:schemeClr w14:val="tx1"/>
            </w14:solidFill>
          </w14:textFill>
        </w:rPr>
        <w:t>变更结算方式按招标文件及施工合同相关规定执行。</w:t>
      </w:r>
    </w:p>
    <w:p>
      <w:pPr>
        <w:pBdr>
          <w:top w:val="single" w:color="auto" w:sz="4" w:space="1"/>
        </w:pBdr>
        <w:spacing w:line="480" w:lineRule="auto"/>
        <w:ind w:firstLine="540" w:firstLineChars="224"/>
        <w:rPr>
          <w:b/>
          <w:color w:val="000000" w:themeColor="text1"/>
          <w:sz w:val="24"/>
          <w:szCs w:val="24"/>
          <w:highlight w:val="none"/>
          <w14:textFill>
            <w14:solidFill>
              <w14:schemeClr w14:val="tx1"/>
            </w14:solidFill>
          </w14:textFill>
        </w:rPr>
      </w:pPr>
      <w:r>
        <w:rPr>
          <w:rFonts w:hint="eastAsia" w:ascii="Times New Roman" w:hAnsi="Times New Roman" w:cs="宋体"/>
          <w:b/>
          <w:color w:val="000000" w:themeColor="text1"/>
          <w:sz w:val="24"/>
          <w:szCs w:val="24"/>
          <w:highlight w:val="none"/>
          <w:lang w:bidi="ar"/>
          <w14:textFill>
            <w14:solidFill>
              <w14:schemeClr w14:val="tx1"/>
            </w14:solidFill>
          </w14:textFill>
        </w:rPr>
        <w:t>条款号：</w:t>
      </w:r>
      <w:r>
        <w:rPr>
          <w:rFonts w:ascii="Times New Roman" w:hAnsi="Times New Roman"/>
          <w:b/>
          <w:color w:val="000000" w:themeColor="text1"/>
          <w:sz w:val="24"/>
          <w:szCs w:val="24"/>
          <w:highlight w:val="none"/>
          <w:lang w:bidi="ar"/>
          <w14:textFill>
            <w14:solidFill>
              <w14:schemeClr w14:val="tx1"/>
            </w14:solidFill>
          </w14:textFill>
        </w:rPr>
        <w:t xml:space="preserve">13.6.2-13.6.6             </w:t>
      </w:r>
      <w:r>
        <w:rPr>
          <w:rFonts w:hint="eastAsia" w:ascii="Times New Roman" w:hAnsi="Times New Roman" w:cs="宋体"/>
          <w:b/>
          <w:color w:val="000000" w:themeColor="text1"/>
          <w:sz w:val="24"/>
          <w:szCs w:val="24"/>
          <w:highlight w:val="none"/>
          <w:lang w:bidi="ar"/>
          <w14:textFill>
            <w14:solidFill>
              <w14:schemeClr w14:val="tx1"/>
            </w14:solidFill>
          </w14:textFill>
        </w:rPr>
        <w:t>修改类型：修改</w:t>
      </w:r>
    </w:p>
    <w:p>
      <w:pPr>
        <w:pBdr>
          <w:bottom w:val="single" w:color="auto" w:sz="6" w:space="1"/>
        </w:pBdr>
        <w:spacing w:line="360" w:lineRule="auto"/>
        <w:ind w:firstLine="602"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Times New Roman" w:hAnsi="Times New Roman"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13.6.2在工程实施中，暂列金额、暂估价所包含的工作范围和图纸、标准深化固定后，按照工程专业、设备、材料类别等分类汇总的金额，达到法定招标范围标准的，应由招标人同中标人联合招标，确定承包人和承包价格。</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13.6.3在工程实施中，暂列金额、暂估价所包含的工作范围和图纸、标准深化固定后，按照工程专业、设备、材料类别等分类汇总的金额，未达到法定招标范围标准但适用政府采购规定的，应按照政府采购规定确定承包人和承包价格。</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13.6.4在工程实施中，暂列金额、暂估价所包含的工作范围和图纸、标准深化固定后，按照工程专业、设备、材料类别等分类汇总的金额，未达到法定招标范围标准也不适用政府采购规定，承包人有法定的承包资格的，由承包人承包，承包人无法定的承包资格但有法定的分包权的，由承包人分包，招标人同承包人结算的价格按本投标须知13.5款规定确定。</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13.6.5在工程实施中，暂列金额、暂估价所包含的工作范围和图纸、标准深化固定后，按照工程专业、设备、材料类别等分类汇总的金额，未达到法定招标范围标准也不适用政府采购规定，承包人既无法定的承包资格又无法定的分包权的，由招标人另行发包。</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13.6.6在工程实施中，暂列金额、暂估价所包含的工作范围由其他承包人承包的，纳入本项目承包人的管理和协调范围，由其他承包人向本项目承包人承担质量、安全、文明施工、工期责任，本项目承包人向招标人承担责任。投标人应当充分考虑此项管理和协调所发生的费用，并将其纳入招标人提供的工程量清单中的适当项目报价中。招标人将视为此项管理和协调所发生的费用已包含在其它有价款的竞争性报价内，在实施后，招标人将不予支付。</w:t>
      </w:r>
    </w:p>
    <w:p>
      <w:pPr>
        <w:pBdr>
          <w:bottom w:val="single" w:color="auto" w:sz="6" w:space="1"/>
        </w:pBdr>
        <w:spacing w:line="360" w:lineRule="auto"/>
        <w:ind w:firstLine="602"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Times New Roman" w:hAnsi="Times New Roman" w:cs="宋体"/>
          <w:b/>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13.6.2在工程实施中，暂估价所包含的工作范围和图纸、标准深化固定后，按照工程专业、设备、材料类别等分类汇总的金额，达到法定招标范围标准的，应由招标人同中标人联合招标，确定承包人和承包价格。</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13.6.3在工程实施中，暂估价所包含的工作范围和图纸、标准深化固定后，按照工程专业、设备、材料类别等分类汇总的金额，未达到法定招标范围标准但适用政府采购规定的，应按照政府采购规定确定承包人和承包价格。</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13.6.4在工程实施中，暂估价所包含的工作范围和图纸、标准深化固定后，按照工程专业、设备、材料类别等分类汇总的金额，未达到法定招标范围标准也不适用政府采购规定，承包人有法定的承包资格的，由承包人承包，承包人无法定的承包资格但有法定的分包权的，由承包人分包，招标人同承包人结算的价格按本投标须知13.5款规定确定。</w:t>
      </w:r>
    </w:p>
    <w:p>
      <w:pPr>
        <w:pBdr>
          <w:bottom w:val="single" w:color="auto" w:sz="6" w:space="1"/>
        </w:pBdr>
        <w:spacing w:line="360" w:lineRule="auto"/>
        <w:ind w:firstLine="600" w:firstLineChars="250"/>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13.6.5在工程实施中，暂估价所包含的工作范围和图纸、标准深化固定后，按照工程专业、设备、材料类别等分类汇总的金额，未达到法定招标范围标准也不适用政府采购规定，承包人既无法定的承包资格又无法定的分包权的，由招标人另行发包。</w:t>
      </w:r>
    </w:p>
    <w:p>
      <w:pPr>
        <w:pBdr>
          <w:bottom w:val="single" w:color="auto" w:sz="6" w:space="1"/>
        </w:pBdr>
        <w:spacing w:line="360" w:lineRule="auto"/>
        <w:ind w:firstLine="600" w:firstLineChars="250"/>
        <w:rPr>
          <w:color w:val="000000" w:themeColor="text1"/>
          <w:sz w:val="24"/>
          <w:szCs w:val="24"/>
          <w:highlight w:val="none"/>
          <w:u w:val="singl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13.6.6在工程实施中，暂估价所包含的工作范围由其他承包人承包的，纳入本项目承包人的管理和协调范围，由其他承包人向本项目承包人承担质量、安全、文明施工、工期责任，本项目承包人向招标人承担责任。投标人应当充分考虑此项管理和协调所发生的费用，并将其纳入招标人提供的工程量清单中的适当项目报价中。招标人将视为此项管理和协调所发生的费用已包含在其它有价款的竞争性报价内，在实施后，招标人将不予支付。</w:t>
      </w:r>
    </w:p>
    <w:p>
      <w:pPr>
        <w:spacing w:line="360" w:lineRule="auto"/>
        <w:ind w:firstLine="482" w:firstLineChars="20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条款号：</w:t>
      </w:r>
      <w:r>
        <w:rPr>
          <w:b/>
          <w:color w:val="000000" w:themeColor="text1"/>
          <w:sz w:val="24"/>
          <w:szCs w:val="24"/>
          <w:highlight w:val="none"/>
          <w14:textFill>
            <w14:solidFill>
              <w14:schemeClr w14:val="tx1"/>
            </w14:solidFill>
          </w14:textFill>
        </w:rPr>
        <w:t>13</w:t>
      </w:r>
      <w:r>
        <w:rPr>
          <w:rFonts w:hint="eastAsia"/>
          <w:b/>
          <w:color w:val="000000" w:themeColor="text1"/>
          <w:sz w:val="24"/>
          <w:szCs w:val="24"/>
          <w:highlight w:val="none"/>
          <w14:textFill>
            <w14:solidFill>
              <w14:schemeClr w14:val="tx1"/>
            </w14:solidFill>
          </w14:textFill>
        </w:rPr>
        <w:t>.8             修改类型：修改</w:t>
      </w:r>
    </w:p>
    <w:p>
      <w:pPr>
        <w:pBdr>
          <w:bottom w:val="single" w:color="auto" w:sz="6" w:space="1"/>
        </w:pBdr>
        <w:spacing w:line="360" w:lineRule="auto"/>
        <w:ind w:firstLine="602" w:firstLineChars="25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原文：</w:t>
      </w:r>
      <w:r>
        <w:rPr>
          <w:rFonts w:hint="eastAsia"/>
          <w:color w:val="000000" w:themeColor="text1"/>
          <w:sz w:val="24"/>
          <w:szCs w:val="24"/>
          <w:highlight w:val="none"/>
          <w14:textFill>
            <w14:solidFill>
              <w14:schemeClr w14:val="tx1"/>
            </w14:solidFill>
          </w14:textFill>
        </w:rPr>
        <w:t>13.8</w:t>
      </w:r>
      <w:r>
        <w:rPr>
          <w:rFonts w:hint="eastAsia" w:ascii="宋体" w:hAnsi="宋体"/>
          <w:color w:val="000000" w:themeColor="text1"/>
          <w:sz w:val="24"/>
          <w:highlight w:val="none"/>
          <w14:textFill>
            <w14:solidFill>
              <w14:schemeClr w14:val="tx1"/>
            </w14:solidFill>
          </w14:textFill>
        </w:rPr>
        <w:t>属于承包人自行采购的主要材料、设备，招标人应当在招标文件中提出材料、设备的技术标准或者质量要求，或者提出不少于</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个同等档次品牌或分包商供投标人报价时选择</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凡招标人在招标文件中提出参考品牌的，必须在参考品牌后面加上“或相当于”字样。投标人在投标文件中应明确所选用主要材料、设备的品牌、厂家以及质量等级，并且应当符合招标文件的要求</w:t>
      </w:r>
      <w:r>
        <w:rPr>
          <w:rFonts w:hint="eastAsia"/>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strike/>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现文：</w:t>
      </w:r>
      <w:r>
        <w:rPr>
          <w:rFonts w:hint="eastAsia" w:ascii="宋体" w:hAnsi="宋体"/>
          <w:color w:val="000000" w:themeColor="text1"/>
          <w:sz w:val="24"/>
          <w:highlight w:val="none"/>
          <w14:textFill>
            <w14:solidFill>
              <w14:schemeClr w14:val="tx1"/>
            </w14:solidFill>
          </w14:textFill>
        </w:rPr>
        <w:t>属于承包人自行采购的主要材料、设备，招标人应当在招标文件中提出材料、设备的技术标准或者质量要求，或者提出不少于</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个同等档次品牌或分包商供投标人报价时选择</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凡招标人在招标文件中提出参考品牌的，必须在参考品牌后面加上“或相当于”字样。</w:t>
      </w:r>
      <w:r>
        <w:rPr>
          <w:rFonts w:hint="eastAsia" w:ascii="宋体" w:hAnsi="宋体"/>
          <w:strike/>
          <w:color w:val="000000" w:themeColor="text1"/>
          <w:sz w:val="24"/>
          <w:highlight w:val="none"/>
          <w14:textFill>
            <w14:solidFill>
              <w14:schemeClr w14:val="tx1"/>
            </w14:solidFill>
          </w14:textFill>
        </w:rPr>
        <w:t>投标人在投标文件中应明确所选用主要材料、设备的品牌、厂家以及质量等级，并且应当符合招标文件的要求</w:t>
      </w:r>
      <w:r>
        <w:rPr>
          <w:rFonts w:hint="eastAsia"/>
          <w:strike/>
          <w:color w:val="000000" w:themeColor="text1"/>
          <w:sz w:val="24"/>
          <w:szCs w:val="24"/>
          <w:highlight w:val="none"/>
          <w14:textFill>
            <w14:solidFill>
              <w14:schemeClr w14:val="tx1"/>
            </w14:solidFill>
          </w14:textFill>
        </w:rPr>
        <w:t>。</w:t>
      </w:r>
    </w:p>
    <w:p>
      <w:pPr>
        <w:spacing w:line="360" w:lineRule="auto"/>
        <w:ind w:firstLine="482" w:firstLineChars="20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条款号：</w:t>
      </w:r>
      <w:r>
        <w:rPr>
          <w:b/>
          <w:color w:val="000000" w:themeColor="text1"/>
          <w:sz w:val="24"/>
          <w:szCs w:val="24"/>
          <w:highlight w:val="none"/>
          <w14:textFill>
            <w14:solidFill>
              <w14:schemeClr w14:val="tx1"/>
            </w14:solidFill>
          </w14:textFill>
        </w:rPr>
        <w:t>1</w:t>
      </w:r>
      <w:r>
        <w:rPr>
          <w:rFonts w:hint="eastAsia"/>
          <w:b/>
          <w:color w:val="000000" w:themeColor="text1"/>
          <w:sz w:val="24"/>
          <w:szCs w:val="24"/>
          <w:highlight w:val="none"/>
          <w14:textFill>
            <w14:solidFill>
              <w14:schemeClr w14:val="tx1"/>
            </w14:solidFill>
          </w14:textFill>
        </w:rPr>
        <w:t>5.2             修改类型：修改</w:t>
      </w:r>
    </w:p>
    <w:p>
      <w:pPr>
        <w:pBdr>
          <w:bottom w:val="single" w:color="auto" w:sz="6" w:space="1"/>
        </w:pBdr>
        <w:spacing w:line="360" w:lineRule="auto"/>
        <w:ind w:firstLine="602" w:firstLineChars="25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原文：</w:t>
      </w:r>
      <w:r>
        <w:rPr>
          <w:rFonts w:hint="eastAsia"/>
          <w:color w:val="000000" w:themeColor="text1"/>
          <w:sz w:val="24"/>
          <w:szCs w:val="24"/>
          <w:highlight w:val="none"/>
          <w14:textFill>
            <w14:solidFill>
              <w14:schemeClr w14:val="tx1"/>
            </w14:solidFill>
          </w14:textFill>
        </w:rPr>
        <w:t>15.2在特殊情况下，招标人在原定投标有效期内，可以根据需要以书面形式向投标人提出延长投标有效期的要求，对此要求投标人须以书面形式予以答复。投标人可以拒绝招标人这种要求，而不影响退还其投标保证金。同意延长投标有效期的投标人既不能要求也不允许修改其投标文件，但需要相应的延长投标保证金的有效期，在延长的投标有效期内，本须知第16条关于投标保证金的退还与不予退还的规定仍然适用。</w:t>
      </w:r>
    </w:p>
    <w:p>
      <w:pPr>
        <w:pBdr>
          <w:bottom w:val="single" w:color="auto" w:sz="6" w:space="1"/>
        </w:pBdr>
        <w:spacing w:line="360" w:lineRule="auto"/>
        <w:ind w:firstLine="602" w:firstLineChars="250"/>
        <w:rPr>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现文：</w:t>
      </w:r>
      <w:r>
        <w:rPr>
          <w:rFonts w:hint="eastAsia"/>
          <w:color w:val="000000" w:themeColor="text1"/>
          <w:sz w:val="24"/>
          <w:szCs w:val="24"/>
          <w:highlight w:val="none"/>
          <w14:textFill>
            <w14:solidFill>
              <w14:schemeClr w14:val="tx1"/>
            </w14:solidFill>
          </w14:textFill>
        </w:rPr>
        <w:t>15.2在特殊情况下，招标人在原定投标有效期内，可以根据需要以书面形式向投标人提出延长投标有效期的要求，对此要求投标人须以书面形式予以答复。投标人可以拒绝招标人这种要求</w:t>
      </w:r>
      <w:r>
        <w:rPr>
          <w:rFonts w:hint="eastAsia" w:ascii="宋体" w:hAnsi="宋体"/>
          <w:b w:val="0"/>
          <w:bCs w:val="0"/>
          <w:strike/>
          <w:color w:val="000000" w:themeColor="text1"/>
          <w:sz w:val="24"/>
          <w:szCs w:val="28"/>
          <w:highlight w:val="none"/>
          <w14:textFill>
            <w14:solidFill>
              <w14:schemeClr w14:val="tx1"/>
            </w14:solidFill>
          </w14:textFill>
        </w:rPr>
        <w:t>，而不影响退还其投标保证金</w:t>
      </w:r>
      <w:r>
        <w:rPr>
          <w:rFonts w:hint="eastAsia"/>
          <w:color w:val="000000" w:themeColor="text1"/>
          <w:sz w:val="24"/>
          <w:szCs w:val="24"/>
          <w:highlight w:val="none"/>
          <w14:textFill>
            <w14:solidFill>
              <w14:schemeClr w14:val="tx1"/>
            </w14:solidFill>
          </w14:textFill>
        </w:rPr>
        <w:t>。同意延长投标有效期的投标人既不能要求也不允许修改其投标文件</w:t>
      </w:r>
      <w:r>
        <w:rPr>
          <w:rFonts w:hint="eastAsia" w:ascii="宋体" w:hAnsi="宋体"/>
          <w:b w:val="0"/>
          <w:bCs w:val="0"/>
          <w:strike/>
          <w:color w:val="000000" w:themeColor="text1"/>
          <w:sz w:val="24"/>
          <w:szCs w:val="28"/>
          <w:highlight w:val="none"/>
          <w14:textFill>
            <w14:solidFill>
              <w14:schemeClr w14:val="tx1"/>
            </w14:solidFill>
          </w14:textFill>
        </w:rPr>
        <w:t>，但需要相应的延长投标保证金的有效期，</w:t>
      </w:r>
      <w:r>
        <w:rPr>
          <w:rFonts w:hint="eastAsia" w:ascii="宋体" w:hAnsi="宋体" w:eastAsia="宋体" w:cs="Times New Roman"/>
          <w:b w:val="0"/>
          <w:bCs w:val="0"/>
          <w:strike/>
          <w:color w:val="000000" w:themeColor="text1"/>
          <w:sz w:val="24"/>
          <w:szCs w:val="28"/>
          <w:highlight w:val="none"/>
          <w14:textFill>
            <w14:solidFill>
              <w14:schemeClr w14:val="tx1"/>
            </w14:solidFill>
          </w14:textFill>
        </w:rPr>
        <w:t>在延长的投标有效期内，本须知第16条关于投标保证金的退还与不予退还的规定仍然适用</w:t>
      </w:r>
      <w:r>
        <w:rPr>
          <w:rFonts w:hint="eastAsia" w:ascii="宋体" w:hAnsi="宋体"/>
          <w:color w:val="000000" w:themeColor="text1"/>
          <w:sz w:val="24"/>
          <w:highlight w:val="none"/>
          <w14:textFill>
            <w14:solidFill>
              <w14:schemeClr w14:val="tx1"/>
            </w14:solidFill>
          </w14:textFill>
        </w:rPr>
        <w:t>。</w:t>
      </w:r>
    </w:p>
    <w:p>
      <w:pPr>
        <w:spacing w:line="360" w:lineRule="auto"/>
        <w:ind w:firstLine="482" w:firstLineChars="200"/>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条款号：16.投标保证金             修改类型：删除</w:t>
      </w:r>
    </w:p>
    <w:p>
      <w:pPr>
        <w:pBdr>
          <w:bottom w:val="single" w:color="auto" w:sz="6" w:space="1"/>
        </w:pBdr>
        <w:spacing w:line="360" w:lineRule="auto"/>
        <w:ind w:firstLine="602" w:firstLineChars="250"/>
        <w:rPr>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原文：</w:t>
      </w:r>
      <w:r>
        <w:rPr>
          <w:rFonts w:hint="eastAsia"/>
          <w:color w:val="000000" w:themeColor="text1"/>
          <w:sz w:val="24"/>
          <w:szCs w:val="24"/>
          <w:highlight w:val="none"/>
          <w14:textFill>
            <w14:solidFill>
              <w14:schemeClr w14:val="tx1"/>
            </w14:solidFill>
          </w14:textFill>
        </w:rPr>
        <w:t>16.1投标人应按投标须知前附表第14项所述金额和时间递交投标保证金。招标人应当允许投标人自主选择现金、银行保函、保证保险、专业工程担保公司担保等方式缴纳投标保证金。</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16.1.1 采用现金或者支票形式提交的，投标保证金须从投标人的银行基本账户转出。</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16.1.2 依法必须招标的房屋建筑工程如采用非电子形式的银行保函、专业工程担保公司担保或保证保险提交投标保证金的，在开标前不强制要求投标人提交纸质原件，由中标候选人在中标候选人公示前提交并在网上公示，投标人应在投标文件中提交保函、担保或保证保险扫描件并加盖投标人电子印章。如投标人存在16.4条款所列情形的，应将纸质原件提交给招标人。</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16.1.3 采用电子形式的保函、担保或保证保险提交投标保证金的，应在招标文件中明确电子递交途径。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16.2开标时投标人没有按要求提供投标保证金的，其投标文件将被否决；未按招标文件要求提交符合免予提供投标保证金相关证明材料，且未提交投标保证金的投标人，视为未按要求提供投标保证金。</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16.3投标保证金应依据法律法规的相关规定退还。</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16.4如有下列情况之一的，招标人可以不予退还投标保证金（是否退还投标保证金由招标人在招标文件中规定）：</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16.4.1因投标人原因造成投标文件未解密的；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16.4.2投标人在投标有效期内撤销投标文件；</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16.4.3中标人未能在规定期限内按要求提交履约担保；</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16.4.4中标人未能在规定期限内签署合同协议。</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16.5投标人如存在下列情况之一的，将被拒绝在一定时期内参与招标人后续工程投标（拒绝时限需在招标文件中明确）：</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16.5.1投标人存在16.4条款所列情形且投标人提交的保函、担保或保证保险无法兑付的；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16.5.2采用非电子形式提交投标保证金的投标人存在16.4条款所列情形，且未按招标人要求补交银行保函、专业工程担保公司担保或保证保险原件的；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16.5.3按招标文件要求免于提供投标保证金的投标人存在16.4条款所列情形，且未按招标人要求补交投标保证金的；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16.5.3按招标文件要求免于提供投标保证金的投标人存在16.4条款所列情形的。</w:t>
      </w:r>
    </w:p>
    <w:p>
      <w:pPr>
        <w:pBdr>
          <w:bottom w:val="single" w:color="auto" w:sz="6" w:space="1"/>
        </w:pBdr>
        <w:spacing w:line="360" w:lineRule="auto"/>
        <w:ind w:firstLine="600" w:firstLineChars="25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注：16.5.3款由招标人二选一，需在招标文件中明确。</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宋体" w:hAnsi="宋体"/>
          <w:b/>
          <w:color w:val="000000" w:themeColor="text1"/>
          <w:sz w:val="24"/>
          <w:highlight w:val="none"/>
          <w14:textFill>
            <w14:solidFill>
              <w14:schemeClr w14:val="tx1"/>
            </w14:solidFill>
          </w14:textFill>
        </w:rPr>
        <w:t>条</w:t>
      </w:r>
      <w:r>
        <w:rPr>
          <w:rFonts w:hint="eastAsia" w:ascii="Times New Roman" w:hAnsi="Times New Roman"/>
          <w:b/>
          <w:color w:val="000000" w:themeColor="text1"/>
          <w:sz w:val="24"/>
          <w:szCs w:val="24"/>
          <w:highlight w:val="none"/>
          <w14:textFill>
            <w14:solidFill>
              <w14:schemeClr w14:val="tx1"/>
            </w14:solidFill>
          </w14:textFill>
        </w:rPr>
        <w:t>款号：17.1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17.1</w:t>
      </w:r>
      <w:r>
        <w:rPr>
          <w:rFonts w:hint="eastAsia" w:ascii="宋体" w:hAnsi="宋体"/>
          <w:color w:val="000000" w:themeColor="text1"/>
          <w:sz w:val="24"/>
          <w:highlight w:val="none"/>
          <w14:textFill>
            <w14:solidFill>
              <w14:schemeClr w14:val="tx1"/>
            </w14:solidFill>
          </w14:textFill>
        </w:rPr>
        <w:t>投标人应采用单位数字证书，按招标文件要求在相应位置加盖电子印章。投标文件中需个人签字或盖章的，应加盖个人电子印章或在线下完成后扫描上传。按照交易平台关于全流程电子化项目的相关指南进行操作。详见：</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17.1</w:t>
      </w:r>
      <w:r>
        <w:rPr>
          <w:rFonts w:hint="eastAsia" w:ascii="宋体" w:hAnsi="宋体"/>
          <w:color w:val="000000" w:themeColor="text1"/>
          <w:sz w:val="24"/>
          <w:highlight w:val="none"/>
          <w14:textFill>
            <w14:solidFill>
              <w14:schemeClr w14:val="tx1"/>
            </w14:solidFill>
          </w14:textFill>
        </w:rPr>
        <w:t>投标人应采用单位数字证书，按招标文件要求在相应位置加盖电子印章。投标文件中需个人签字或盖章的，应加盖个人电子印章或在线下完成后扫描上传。按照交易平台关于全流程电子化项目的相关指南进行操作。</w:t>
      </w:r>
      <w:r>
        <w:rPr>
          <w:rFonts w:hint="eastAsia" w:ascii="Times New Roman" w:hAnsi="Times New Roman"/>
          <w:color w:val="000000" w:themeColor="text1"/>
          <w:sz w:val="24"/>
          <w:szCs w:val="24"/>
          <w:highlight w:val="none"/>
          <w14:textFill>
            <w14:solidFill>
              <w14:schemeClr w14:val="tx1"/>
            </w14:solidFill>
          </w14:textFill>
        </w:rPr>
        <w:t>详见：</w:t>
      </w:r>
      <w:r>
        <w:rPr>
          <w:rFonts w:hint="eastAsia" w:ascii="宋体" w:hAnsi="宋体" w:cs="宋体"/>
          <w:color w:val="000000" w:themeColor="text1"/>
          <w:sz w:val="24"/>
          <w:szCs w:val="24"/>
          <w:highlight w:val="none"/>
          <w:u w:val="single"/>
          <w:lang w:bidi="ar"/>
          <w14:textFill>
            <w14:solidFill>
              <w14:schemeClr w14:val="tx1"/>
            </w14:solidFill>
          </w14:textFill>
        </w:rPr>
        <w:t>广州公共资源交易中心网站</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条款号：18.1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8</w:t>
      </w:r>
      <w:r>
        <w:rPr>
          <w:rFonts w:ascii="Times New Roman" w:hAnsi="Times New Roman"/>
          <w:bCs/>
          <w:color w:val="000000" w:themeColor="text1"/>
          <w:sz w:val="24"/>
          <w:szCs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递交的电子投标文件（不含备用光盘）必须进行加密。按照交易平台关于</w:t>
      </w:r>
      <w:r>
        <w:rPr>
          <w:rFonts w:hint="eastAsia"/>
          <w:color w:val="000000" w:themeColor="text1"/>
          <w:sz w:val="24"/>
          <w:szCs w:val="24"/>
          <w:highlight w:val="none"/>
          <w14:textFill>
            <w14:solidFill>
              <w14:schemeClr w14:val="tx1"/>
            </w14:solidFill>
          </w14:textFill>
        </w:rPr>
        <w:t>全流程电子化项目的相关指南进行操作。</w:t>
      </w:r>
      <w:r>
        <w:rPr>
          <w:rFonts w:hint="eastAsia" w:ascii="Times New Roman" w:hAnsi="Times New Roman"/>
          <w:color w:val="000000" w:themeColor="text1"/>
          <w:sz w:val="24"/>
          <w:szCs w:val="24"/>
          <w:highlight w:val="none"/>
          <w14:textFill>
            <w14:solidFill>
              <w14:schemeClr w14:val="tx1"/>
            </w14:solidFill>
          </w14:textFill>
        </w:rPr>
        <w:t>详见：</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 xml:space="preserve">   </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 xml:space="preserve"> 。</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8</w:t>
      </w:r>
      <w:r>
        <w:rPr>
          <w:rFonts w:ascii="Times New Roman" w:hAnsi="Times New Roman"/>
          <w:bCs/>
          <w:color w:val="000000" w:themeColor="text1"/>
          <w:sz w:val="24"/>
          <w:szCs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递交的电子投标文件（不含备用光盘）必须进行加密。按照交易平台关于</w:t>
      </w:r>
      <w:r>
        <w:rPr>
          <w:rFonts w:hint="eastAsia"/>
          <w:color w:val="000000" w:themeColor="text1"/>
          <w:sz w:val="24"/>
          <w:szCs w:val="24"/>
          <w:highlight w:val="none"/>
          <w14:textFill>
            <w14:solidFill>
              <w14:schemeClr w14:val="tx1"/>
            </w14:solidFill>
          </w14:textFill>
        </w:rPr>
        <w:t>全流程电子化项目的相关指南进行操作。</w:t>
      </w:r>
      <w:r>
        <w:rPr>
          <w:rFonts w:hint="eastAsia" w:ascii="Times New Roman" w:hAnsi="Times New Roman"/>
          <w:color w:val="000000" w:themeColor="text1"/>
          <w:sz w:val="24"/>
          <w:szCs w:val="24"/>
          <w:highlight w:val="none"/>
          <w14:textFill>
            <w14:solidFill>
              <w14:schemeClr w14:val="tx1"/>
            </w14:solidFill>
          </w14:textFill>
        </w:rPr>
        <w:t>详见：</w:t>
      </w:r>
      <w:r>
        <w:rPr>
          <w:rFonts w:hint="eastAsia" w:ascii="宋体" w:hAnsi="宋体" w:cs="宋体"/>
          <w:color w:val="000000" w:themeColor="text1"/>
          <w:sz w:val="24"/>
          <w:szCs w:val="24"/>
          <w:highlight w:val="none"/>
          <w:u w:val="single"/>
          <w:lang w:bidi="ar"/>
          <w14:textFill>
            <w14:solidFill>
              <w14:schemeClr w14:val="tx1"/>
            </w14:solidFill>
          </w14:textFill>
        </w:rPr>
        <w:t>广州公共资源交易中心网站</w:t>
      </w:r>
      <w:r>
        <w:rPr>
          <w:rFonts w:hint="eastAsia" w:ascii="Times New Roman" w:hAnsi="Times New Roman"/>
          <w:color w:val="000000" w:themeColor="text1"/>
          <w:sz w:val="24"/>
          <w:szCs w:val="24"/>
          <w:highlight w:val="none"/>
          <w14:textFill>
            <w14:solidFill>
              <w14:schemeClr w14:val="tx1"/>
            </w14:solidFill>
          </w14:textFill>
        </w:rPr>
        <w:t xml:space="preserve"> 。</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条款号：18.2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8</w:t>
      </w:r>
      <w:r>
        <w:rPr>
          <w:rFonts w:ascii="Times New Roman" w:hAnsi="Times New Roman"/>
          <w:bCs/>
          <w:color w:val="000000" w:themeColor="text1"/>
          <w:sz w:val="24"/>
          <w:szCs w:val="24"/>
          <w:highlight w:val="none"/>
          <w14:textFill>
            <w14:solidFill>
              <w14:schemeClr w14:val="tx1"/>
            </w14:solidFill>
          </w14:textFill>
        </w:rPr>
        <w:t xml:space="preserve">.2 </w:t>
      </w:r>
      <w:r>
        <w:rPr>
          <w:rFonts w:hint="eastAsia" w:ascii="Times New Roman" w:hAnsi="Times New Roman"/>
          <w:bCs/>
          <w:color w:val="000000" w:themeColor="text1"/>
          <w:sz w:val="24"/>
          <w:szCs w:val="24"/>
          <w:highlight w:val="none"/>
          <w14:textFill>
            <w14:solidFill>
              <w14:schemeClr w14:val="tx1"/>
            </w14:solidFill>
          </w14:textFill>
        </w:rPr>
        <w:t>未按要求加密的投标文件，</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w:t>
      </w:r>
      <w:r>
        <w:rPr>
          <w:rFonts w:hint="eastAsia" w:ascii="Times New Roman" w:hAnsi="Times New Roman"/>
          <w:bCs/>
          <w:color w:val="000000" w:themeColor="text1"/>
          <w:sz w:val="24"/>
          <w:szCs w:val="24"/>
          <w:highlight w:val="none"/>
          <w14:textFill>
            <w14:solidFill>
              <w14:schemeClr w14:val="tx1"/>
            </w14:solidFill>
          </w14:textFill>
        </w:rPr>
        <w:t>将予以拒收。</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8</w:t>
      </w:r>
      <w:r>
        <w:rPr>
          <w:rFonts w:ascii="Times New Roman" w:hAnsi="Times New Roman"/>
          <w:bCs/>
          <w:color w:val="000000" w:themeColor="text1"/>
          <w:sz w:val="24"/>
          <w:szCs w:val="24"/>
          <w:highlight w:val="none"/>
          <w14:textFill>
            <w14:solidFill>
              <w14:schemeClr w14:val="tx1"/>
            </w14:solidFill>
          </w14:textFill>
        </w:rPr>
        <w:t xml:space="preserve">.2 </w:t>
      </w:r>
      <w:r>
        <w:rPr>
          <w:rFonts w:hint="eastAsia" w:ascii="Times New Roman" w:hAnsi="Times New Roman"/>
          <w:bCs/>
          <w:color w:val="000000" w:themeColor="text1"/>
          <w:sz w:val="24"/>
          <w:szCs w:val="24"/>
          <w:highlight w:val="none"/>
          <w14:textFill>
            <w14:solidFill>
              <w14:schemeClr w14:val="tx1"/>
            </w14:solidFill>
          </w14:textFill>
        </w:rPr>
        <w:t>未按要求加密的投标文件，</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w:t>
      </w:r>
      <w:r>
        <w:rPr>
          <w:rFonts w:hint="eastAsia" w:ascii="Times New Roman" w:hAnsi="Times New Roman"/>
          <w:bCs/>
          <w:color w:val="000000" w:themeColor="text1"/>
          <w:sz w:val="24"/>
          <w:szCs w:val="24"/>
          <w:highlight w:val="none"/>
          <w14:textFill>
            <w14:solidFill>
              <w14:schemeClr w14:val="tx1"/>
            </w14:solidFill>
          </w14:textFill>
        </w:rPr>
        <w:t>将予以拒收。</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条款号：19.1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1投标人通过</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交易平台递交电子投标文件。</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1投标人通过</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Times New Roman" w:hAnsi="Times New Roman"/>
          <w:color w:val="000000" w:themeColor="text1"/>
          <w:sz w:val="24"/>
          <w:szCs w:val="24"/>
          <w:highlight w:val="none"/>
          <w14:textFill>
            <w14:solidFill>
              <w14:schemeClr w14:val="tx1"/>
            </w14:solidFill>
          </w14:textFill>
        </w:rPr>
        <w:t>交易平台递交电子投标文件。</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19.2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2投标人完成电子</w:t>
      </w:r>
      <w:r>
        <w:rPr>
          <w:rFonts w:hint="eastAsia" w:ascii="Times New Roman" w:hAnsi="Times New Roman"/>
          <w:color w:val="000000" w:themeColor="text1"/>
          <w:sz w:val="24"/>
          <w:szCs w:val="24"/>
          <w:highlight w:val="none"/>
          <w14:textFill>
            <w14:solidFill>
              <w14:schemeClr w14:val="tx1"/>
            </w14:solidFill>
          </w14:textFill>
        </w:rPr>
        <w:t>投标文件</w:t>
      </w:r>
      <w:r>
        <w:rPr>
          <w:rFonts w:hint="eastAsia" w:ascii="Times New Roman" w:hAnsi="Times New Roman"/>
          <w:bCs/>
          <w:color w:val="000000" w:themeColor="text1"/>
          <w:sz w:val="24"/>
          <w:szCs w:val="24"/>
          <w:highlight w:val="none"/>
          <w14:textFill>
            <w14:solidFill>
              <w14:schemeClr w14:val="tx1"/>
            </w14:solidFill>
          </w14:textFill>
        </w:rPr>
        <w:t>上传后，</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交易平台即时向投标人发出递交回执通知。递交时间以递交回执通知载明的传输完成时间为准。</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2投标人完成电子</w:t>
      </w:r>
      <w:r>
        <w:rPr>
          <w:rFonts w:hint="eastAsia" w:ascii="Times New Roman" w:hAnsi="Times New Roman"/>
          <w:color w:val="000000" w:themeColor="text1"/>
          <w:sz w:val="24"/>
          <w:szCs w:val="24"/>
          <w:highlight w:val="none"/>
          <w14:textFill>
            <w14:solidFill>
              <w14:schemeClr w14:val="tx1"/>
            </w14:solidFill>
          </w14:textFill>
        </w:rPr>
        <w:t>投标文件</w:t>
      </w:r>
      <w:r>
        <w:rPr>
          <w:rFonts w:hint="eastAsia" w:ascii="Times New Roman" w:hAnsi="Times New Roman"/>
          <w:bCs/>
          <w:color w:val="000000" w:themeColor="text1"/>
          <w:sz w:val="24"/>
          <w:szCs w:val="24"/>
          <w:highlight w:val="none"/>
          <w14:textFill>
            <w14:solidFill>
              <w14:schemeClr w14:val="tx1"/>
            </w14:solidFill>
          </w14:textFill>
        </w:rPr>
        <w:t>上传后，</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 xml:space="preserve">广州公共资源交易中心 </w:t>
      </w:r>
      <w:r>
        <w:rPr>
          <w:rFonts w:hint="eastAsia" w:ascii="Times New Roman" w:hAnsi="Times New Roman"/>
          <w:color w:val="000000" w:themeColor="text1"/>
          <w:sz w:val="24"/>
          <w:szCs w:val="24"/>
          <w:highlight w:val="none"/>
          <w14:textFill>
            <w14:solidFill>
              <w14:schemeClr w14:val="tx1"/>
            </w14:solidFill>
          </w14:textFill>
        </w:rPr>
        <w:t>交易平台即时向投标人发出递交回执通知。递交时间以递交回执通知载明的传输完成时间为准。</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条款号：19.3</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3逾期送达的电子投标文件，</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交易平台将予以拒收。</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bCs/>
          <w:color w:val="000000" w:themeColor="text1"/>
          <w:sz w:val="24"/>
          <w:szCs w:val="24"/>
          <w:highlight w:val="none"/>
          <w14:textFill>
            <w14:solidFill>
              <w14:schemeClr w14:val="tx1"/>
            </w14:solidFill>
          </w14:textFill>
        </w:rPr>
        <w:t>1</w:t>
      </w:r>
      <w:r>
        <w:rPr>
          <w:rFonts w:hint="eastAsia" w:ascii="Times New Roman" w:hAnsi="Times New Roman"/>
          <w:bCs/>
          <w:color w:val="000000" w:themeColor="text1"/>
          <w:sz w:val="24"/>
          <w:szCs w:val="24"/>
          <w:highlight w:val="none"/>
          <w14:textFill>
            <w14:solidFill>
              <w14:schemeClr w14:val="tx1"/>
            </w14:solidFill>
          </w14:textFill>
        </w:rPr>
        <w:t>9</w:t>
      </w:r>
      <w:r>
        <w:rPr>
          <w:rFonts w:ascii="Times New Roman" w:hAnsi="Times New Roman"/>
          <w:bCs/>
          <w:color w:val="000000" w:themeColor="text1"/>
          <w:sz w:val="24"/>
          <w:szCs w:val="24"/>
          <w:highlight w:val="none"/>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3逾期送达的电子投标文件，</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交易平台将予以拒收。</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条款号：19.5</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修改类型：删除</w:t>
      </w:r>
    </w:p>
    <w:p>
      <w:pPr>
        <w:pBdr>
          <w:bottom w:val="single" w:color="auto" w:sz="6" w:space="1"/>
        </w:pBdr>
        <w:spacing w:line="360" w:lineRule="auto"/>
        <w:ind w:firstLine="723" w:firstLineChars="30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19.</w:t>
      </w:r>
      <w:r>
        <w:rPr>
          <w:rFonts w:hint="eastAsia" w:ascii="Times New Roman" w:hAnsi="Times New Roman"/>
          <w:color w:val="000000" w:themeColor="text1"/>
          <w:sz w:val="24"/>
          <w:szCs w:val="24"/>
          <w:highlight w:val="none"/>
          <w14:textFill>
            <w14:solidFill>
              <w14:schemeClr w14:val="tx1"/>
            </w14:solidFill>
          </w14:textFill>
        </w:rPr>
        <w:t>5如技术标和经济标先后分别开启，</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交易平台将按招标文件规定的时间分别开启技术标和经济标。</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21.1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 xml:space="preserve">21.1 </w:t>
      </w:r>
      <w:r>
        <w:rPr>
          <w:rFonts w:hint="eastAsia" w:ascii="Times New Roman" w:hAnsi="Times New Roman"/>
          <w:color w:val="000000" w:themeColor="text1"/>
          <w:sz w:val="24"/>
          <w:szCs w:val="24"/>
          <w:highlight w:val="none"/>
          <w14:textFill>
            <w14:solidFill>
              <w14:schemeClr w14:val="tx1"/>
            </w14:solidFill>
          </w14:textFill>
        </w:rPr>
        <w:t>本须知前附表第</w:t>
      </w:r>
      <w:r>
        <w:rPr>
          <w:rFonts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14:textFill>
            <w14:solidFill>
              <w14:schemeClr w14:val="tx1"/>
            </w14:solidFill>
          </w14:textFill>
        </w:rPr>
        <w:t>7项规定的投标截止时间</w:t>
      </w:r>
      <w:r>
        <w:rPr>
          <w:rFonts w:hint="eastAsia" w:ascii="Times New Roman" w:hAnsi="Times New Roman"/>
          <w:bCs/>
          <w:color w:val="000000" w:themeColor="text1"/>
          <w:sz w:val="24"/>
          <w:szCs w:val="24"/>
          <w:highlight w:val="none"/>
          <w14:textFill>
            <w14:solidFill>
              <w14:schemeClr w14:val="tx1"/>
            </w14:solidFill>
          </w14:textFill>
        </w:rPr>
        <w:t>后送达的电子投标文件，</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交易平台将予以拒收。</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 xml:space="preserve">21.1 </w:t>
      </w:r>
      <w:r>
        <w:rPr>
          <w:rFonts w:hint="eastAsia" w:ascii="Times New Roman" w:hAnsi="Times New Roman"/>
          <w:color w:val="000000" w:themeColor="text1"/>
          <w:sz w:val="24"/>
          <w:szCs w:val="24"/>
          <w:highlight w:val="none"/>
          <w14:textFill>
            <w14:solidFill>
              <w14:schemeClr w14:val="tx1"/>
            </w14:solidFill>
          </w14:textFill>
        </w:rPr>
        <w:t>本须知前附表第</w:t>
      </w:r>
      <w:r>
        <w:rPr>
          <w:rFonts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14:textFill>
            <w14:solidFill>
              <w14:schemeClr w14:val="tx1"/>
            </w14:solidFill>
          </w14:textFill>
        </w:rPr>
        <w:t>7项规定的投标截止时间</w:t>
      </w:r>
      <w:r>
        <w:rPr>
          <w:rFonts w:hint="eastAsia" w:ascii="Times New Roman" w:hAnsi="Times New Roman"/>
          <w:bCs/>
          <w:color w:val="000000" w:themeColor="text1"/>
          <w:sz w:val="24"/>
          <w:szCs w:val="24"/>
          <w:highlight w:val="none"/>
          <w14:textFill>
            <w14:solidFill>
              <w14:schemeClr w14:val="tx1"/>
            </w14:solidFill>
          </w14:textFill>
        </w:rPr>
        <w:t>后送达的电子投标文件，</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交易平台将予以拒收。</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条款号：27.1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27.1</w:t>
      </w:r>
      <w:r>
        <w:rPr>
          <w:rFonts w:hint="eastAsia" w:ascii="Times New Roman" w:hAnsi="Times New Roman"/>
          <w:color w:val="000000" w:themeColor="text1"/>
          <w:sz w:val="24"/>
          <w:szCs w:val="24"/>
          <w:highlight w:val="none"/>
          <w14:textFill>
            <w14:solidFill>
              <w14:schemeClr w14:val="tx1"/>
            </w14:solidFill>
          </w14:textFill>
        </w:rPr>
        <w:t>招标人将在</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交易平台、广东省招标投标监管网和中国招标投标公共服务平台公示中标候选人，公示期为三天。投标人或其他利害关系人对评标结果有异议的，应当在中标候选人公示期间提出，可以通过线下或线上的形式提出异议。线上提交的，应通过交易平台进行，招标人也应通过交易平台答复线上提交的异议。作出答复前，应当暂停招标投标活动</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27.1</w:t>
      </w:r>
      <w:r>
        <w:rPr>
          <w:rFonts w:hint="eastAsia" w:ascii="Times New Roman" w:hAnsi="Times New Roman"/>
          <w:color w:val="000000" w:themeColor="text1"/>
          <w:sz w:val="24"/>
          <w:szCs w:val="24"/>
          <w:highlight w:val="none"/>
          <w14:textFill>
            <w14:solidFill>
              <w14:schemeClr w14:val="tx1"/>
            </w14:solidFill>
          </w14:textFill>
        </w:rPr>
        <w:t>招标人将在</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交易平台、广东省招标投标监管网和中国招标投标公共服务平台公示中标候选人，公示期为三天。投标人或其他利害关系人对评标结果有异议的，应当在中标候选人公示期间提出，可以通过线下或线上的形式提出异议。线上提交的，应通过交易平台进行，招标人也应通过交易平台答复线上提交的异议。作出答复前，应当暂停招标投标活动</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27.4</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27.4在</w:t>
      </w:r>
      <w:r>
        <w:rPr>
          <w:rFonts w:hint="eastAsia" w:ascii="宋体" w:hAnsi="宋体"/>
          <w:color w:val="000000" w:themeColor="text1"/>
          <w:sz w:val="24"/>
          <w:highlight w:val="none"/>
          <w14:textFill>
            <w14:solidFill>
              <w14:schemeClr w14:val="tx1"/>
            </w14:solidFill>
          </w14:textFill>
        </w:rPr>
        <w:t>产生中标候选人后，招标人将中标候选人的投标文件商务部分文件的所有内容（包括人员、业绩、奖项等资料）</w:t>
      </w:r>
      <w:r>
        <w:rPr>
          <w:rFonts w:hint="eastAsia" w:ascii="Times New Roman" w:hAnsi="Times New Roman"/>
          <w:color w:val="000000" w:themeColor="text1"/>
          <w:sz w:val="24"/>
          <w:szCs w:val="24"/>
          <w:highlight w:val="none"/>
          <w14:textFill>
            <w14:solidFill>
              <w14:schemeClr w14:val="tx1"/>
            </w14:solidFill>
          </w14:textFill>
        </w:rPr>
        <w:t>在</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交易平台和广东省招标投标监管网公开。</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27.4在</w:t>
      </w:r>
      <w:r>
        <w:rPr>
          <w:rFonts w:hint="eastAsia" w:ascii="宋体" w:hAnsi="宋体"/>
          <w:color w:val="000000" w:themeColor="text1"/>
          <w:sz w:val="24"/>
          <w:highlight w:val="none"/>
          <w14:textFill>
            <w14:solidFill>
              <w14:schemeClr w14:val="tx1"/>
            </w14:solidFill>
          </w14:textFill>
        </w:rPr>
        <w:t>产生中标候选人后，招标人将中标候选人的投标文件商务部分文件的所有内容（包括人员、业绩、奖项等资料）在</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ascii="Times New Roman" w:hAnsi="Times New Roman"/>
          <w:color w:val="000000" w:themeColor="text1"/>
          <w:sz w:val="24"/>
          <w:szCs w:val="24"/>
          <w:highlight w:val="none"/>
          <w:u w:val="singl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交易平台和广东省招标投标监管网公开。</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28.2</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28.2</w:t>
      </w:r>
      <w:r>
        <w:rPr>
          <w:rFonts w:hint="eastAsia" w:ascii="宋体" w:hAnsi="宋体"/>
          <w:color w:val="000000" w:themeColor="text1"/>
          <w:sz w:val="24"/>
          <w:highlight w:val="none"/>
          <w14:textFill>
            <w14:solidFill>
              <w14:schemeClr w14:val="tx1"/>
            </w14:solidFill>
          </w14:textFill>
        </w:rPr>
        <w:t>中标通知书发出之日起</w:t>
      </w:r>
      <w:r>
        <w:rPr>
          <w:rFonts w:ascii="宋体" w:hAnsi="宋体"/>
          <w:color w:val="000000" w:themeColor="text1"/>
          <w:sz w:val="24"/>
          <w:highlight w:val="none"/>
          <w14:textFill>
            <w14:solidFill>
              <w14:schemeClr w14:val="tx1"/>
            </w14:solidFill>
          </w14:textFill>
        </w:rPr>
        <w:t>30</w:t>
      </w:r>
      <w:r>
        <w:rPr>
          <w:rFonts w:hint="eastAsia" w:ascii="宋体" w:hAnsi="宋体"/>
          <w:color w:val="000000" w:themeColor="text1"/>
          <w:sz w:val="24"/>
          <w:highlight w:val="none"/>
          <w14:textFill>
            <w14:solidFill>
              <w14:schemeClr w14:val="tx1"/>
            </w14:solidFill>
          </w14:textFill>
        </w:rPr>
        <w:t>日后，中标人未按上款的规定与招标人订立合同，招标人将解除中标通知书，原中标人的投标保证金不予退还，且依法承担相应法律责任。原中标人给招标人造成的损失超过投标保证金数额的，还应当对超过部分予以赔偿。原中标人有异议的，可以向人民法院起诉</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28.2</w:t>
      </w:r>
      <w:r>
        <w:rPr>
          <w:rFonts w:hint="eastAsia" w:ascii="宋体" w:hAnsi="宋体"/>
          <w:color w:val="000000" w:themeColor="text1"/>
          <w:sz w:val="24"/>
          <w:highlight w:val="none"/>
          <w14:textFill>
            <w14:solidFill>
              <w14:schemeClr w14:val="tx1"/>
            </w14:solidFill>
          </w14:textFill>
        </w:rPr>
        <w:t>中标通知书发出之日起</w:t>
      </w:r>
      <w:r>
        <w:rPr>
          <w:rFonts w:ascii="宋体" w:hAnsi="宋体"/>
          <w:color w:val="000000" w:themeColor="text1"/>
          <w:sz w:val="24"/>
          <w:highlight w:val="none"/>
          <w14:textFill>
            <w14:solidFill>
              <w14:schemeClr w14:val="tx1"/>
            </w14:solidFill>
          </w14:textFill>
        </w:rPr>
        <w:t>30</w:t>
      </w:r>
      <w:r>
        <w:rPr>
          <w:rFonts w:hint="eastAsia" w:ascii="宋体" w:hAnsi="宋体"/>
          <w:color w:val="000000" w:themeColor="text1"/>
          <w:sz w:val="24"/>
          <w:highlight w:val="none"/>
          <w14:textFill>
            <w14:solidFill>
              <w14:schemeClr w14:val="tx1"/>
            </w14:solidFill>
          </w14:textFill>
        </w:rPr>
        <w:t>日后，中标人未按上款的规定与招标人订立合同，招标人将解除中标通知书，</w:t>
      </w:r>
      <w:r>
        <w:rPr>
          <w:rFonts w:hint="eastAsia" w:ascii="宋体" w:hAnsi="宋体" w:cs="宋体"/>
          <w:color w:val="000000" w:themeColor="text1"/>
          <w:sz w:val="24"/>
          <w:szCs w:val="24"/>
          <w:highlight w:val="none"/>
          <w:lang w:bidi="ar"/>
          <w14:textFill>
            <w14:solidFill>
              <w14:schemeClr w14:val="tx1"/>
            </w14:solidFill>
          </w14:textFill>
        </w:rPr>
        <w:t>原中标人应依法承担相应法律责任。</w:t>
      </w:r>
      <w:r>
        <w:rPr>
          <w:rFonts w:hint="eastAsia" w:ascii="宋体" w:hAnsi="宋体" w:cs="宋体"/>
          <w:bCs/>
          <w:color w:val="000000" w:themeColor="text1"/>
          <w:sz w:val="24"/>
          <w:szCs w:val="24"/>
          <w:highlight w:val="none"/>
          <w:u w:val="single"/>
          <w:lang w:bidi="ar"/>
          <w14:textFill>
            <w14:solidFill>
              <w14:schemeClr w14:val="tx1"/>
            </w14:solidFill>
          </w14:textFill>
        </w:rPr>
        <w:t>原中标人给招标人造成损失的，招标人有权要求原中标人承担赔偿责任。</w:t>
      </w:r>
      <w:r>
        <w:rPr>
          <w:rFonts w:hint="eastAsia" w:ascii="宋体" w:hAnsi="宋体" w:cs="宋体"/>
          <w:color w:val="000000" w:themeColor="text1"/>
          <w:sz w:val="24"/>
          <w:szCs w:val="24"/>
          <w:highlight w:val="none"/>
          <w:lang w:bidi="ar"/>
          <w14:textFill>
            <w14:solidFill>
              <w14:schemeClr w14:val="tx1"/>
            </w14:solidFill>
          </w14:textFill>
        </w:rPr>
        <w:t>原中标人有异议的，可以向人民法院起诉</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条款号：29.1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Times New Roman" w:hAnsi="Times New Roman"/>
          <w:color w:val="000000" w:themeColor="text1"/>
          <w:sz w:val="24"/>
          <w:szCs w:val="24"/>
          <w:highlight w:val="none"/>
          <w14:textFill>
            <w14:solidFill>
              <w14:schemeClr w14:val="tx1"/>
            </w14:solidFill>
          </w14:textFill>
        </w:rPr>
        <w:t xml:space="preserve">29.1 </w:t>
      </w:r>
      <w:r>
        <w:rPr>
          <w:rFonts w:hint="eastAsia" w:ascii="宋体" w:hAnsi="宋体"/>
          <w:color w:val="000000" w:themeColor="text1"/>
          <w:sz w:val="24"/>
          <w:highlight w:val="none"/>
          <w14:textFill>
            <w14:solidFill>
              <w14:schemeClr w14:val="tx1"/>
            </w14:solidFill>
          </w14:textFill>
        </w:rPr>
        <w:t>在收到中标通知书后的</w:t>
      </w:r>
      <w:r>
        <w:rPr>
          <w:rFonts w:ascii="宋体" w:hAnsi="宋体"/>
          <w:b/>
          <w:color w:val="000000" w:themeColor="text1"/>
          <w:sz w:val="24"/>
          <w:highlight w:val="none"/>
          <w14:textFill>
            <w14:solidFill>
              <w14:schemeClr w14:val="tx1"/>
            </w14:solidFill>
          </w14:textFill>
        </w:rPr>
        <w:t>15</w:t>
      </w:r>
      <w:r>
        <w:rPr>
          <w:rFonts w:hint="eastAsia" w:ascii="宋体" w:hAnsi="宋体"/>
          <w:b/>
          <w:color w:val="000000" w:themeColor="text1"/>
          <w:sz w:val="24"/>
          <w:highlight w:val="none"/>
          <w14:textFill>
            <w14:solidFill>
              <w14:schemeClr w14:val="tx1"/>
            </w14:solidFill>
          </w14:textFill>
        </w:rPr>
        <w:t>日</w:t>
      </w:r>
      <w:r>
        <w:rPr>
          <w:rFonts w:hint="eastAsia" w:ascii="宋体" w:hAnsi="宋体"/>
          <w:color w:val="000000" w:themeColor="text1"/>
          <w:sz w:val="24"/>
          <w:highlight w:val="none"/>
          <w14:textFill>
            <w14:solidFill>
              <w14:schemeClr w14:val="tx1"/>
            </w14:solidFill>
          </w14:textFill>
        </w:rPr>
        <w:t>内，中标人应按本须知前附表第</w:t>
      </w: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0项的规定向招标人提交履约担保</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Times New Roman" w:hAnsi="Times New Roman"/>
          <w:color w:val="000000" w:themeColor="text1"/>
          <w:sz w:val="24"/>
          <w:szCs w:val="24"/>
          <w:highlight w:val="none"/>
          <w14:textFill>
            <w14:solidFill>
              <w14:schemeClr w14:val="tx1"/>
            </w14:solidFill>
          </w14:textFill>
        </w:rPr>
        <w:t xml:space="preserve">29.1 </w:t>
      </w:r>
      <w:r>
        <w:rPr>
          <w:rFonts w:hint="eastAsia" w:ascii="Times New Roman" w:hAnsi="Times New Roman"/>
          <w:color w:val="000000" w:themeColor="text1"/>
          <w:sz w:val="24"/>
          <w:szCs w:val="24"/>
          <w:highlight w:val="none"/>
          <w14:textFill>
            <w14:solidFill>
              <w14:schemeClr w14:val="tx1"/>
            </w14:solidFill>
          </w14:textFill>
        </w:rPr>
        <w:t>在</w:t>
      </w:r>
      <w:r>
        <w:rPr>
          <w:rFonts w:hint="eastAsia" w:ascii="Times New Roman" w:hAnsi="Times New Roman"/>
          <w:color w:val="000000" w:themeColor="text1"/>
          <w:sz w:val="24"/>
          <w:szCs w:val="24"/>
          <w:highlight w:val="none"/>
          <w:u w:val="single"/>
          <w14:textFill>
            <w14:solidFill>
              <w14:schemeClr w14:val="tx1"/>
            </w14:solidFill>
          </w14:textFill>
        </w:rPr>
        <w:t>签订合同后按合同约定时间</w:t>
      </w:r>
      <w:r>
        <w:rPr>
          <w:rFonts w:hint="eastAsia" w:ascii="Times New Roman" w:hAnsi="Times New Roman"/>
          <w:color w:val="000000" w:themeColor="text1"/>
          <w:sz w:val="24"/>
          <w:szCs w:val="24"/>
          <w:highlight w:val="none"/>
          <w14:textFill>
            <w14:solidFill>
              <w14:schemeClr w14:val="tx1"/>
            </w14:solidFill>
          </w14:textFill>
        </w:rPr>
        <w:t>，中标人应按本须知前附表第</w:t>
      </w:r>
      <w:r>
        <w:rPr>
          <w:rFonts w:ascii="Times New Roman" w:hAnsi="Times New Roman"/>
          <w:color w:val="000000" w:themeColor="text1"/>
          <w:sz w:val="24"/>
          <w:szCs w:val="24"/>
          <w:highlight w:val="none"/>
          <w14:textFill>
            <w14:solidFill>
              <w14:schemeClr w14:val="tx1"/>
            </w14:solidFill>
          </w14:textFill>
        </w:rPr>
        <w:t>2</w:t>
      </w:r>
      <w:r>
        <w:rPr>
          <w:rFonts w:hint="eastAsia" w:ascii="Times New Roman" w:hAnsi="Times New Roman"/>
          <w:color w:val="000000" w:themeColor="text1"/>
          <w:sz w:val="24"/>
          <w:szCs w:val="24"/>
          <w:highlight w:val="none"/>
          <w14:textFill>
            <w14:solidFill>
              <w14:schemeClr w14:val="tx1"/>
            </w14:solidFill>
          </w14:textFill>
        </w:rPr>
        <w:t>0项的规定向招标人提交履约担保</w:t>
      </w:r>
      <w:r>
        <w:rPr>
          <w:rFonts w:hint="eastAsia" w:ascii="Times New Roman" w:hAnsi="Times New Roman"/>
          <w:color w:val="000000" w:themeColor="text1"/>
          <w:sz w:val="24"/>
          <w:szCs w:val="24"/>
          <w:highlight w:val="none"/>
          <w:u w:val="single"/>
          <w14:textFill>
            <w14:solidFill>
              <w14:schemeClr w14:val="tx1"/>
            </w14:solidFill>
          </w14:textFill>
        </w:rPr>
        <w:t>（具体形式详见合同）</w:t>
      </w:r>
      <w:r>
        <w:rPr>
          <w:rFonts w:hint="eastAsia" w:ascii="Times New Roman" w:hAnsi="Times New Roman"/>
          <w:color w:val="000000" w:themeColor="text1"/>
          <w:sz w:val="24"/>
          <w:szCs w:val="24"/>
          <w:highlight w:val="none"/>
          <w14:textFill>
            <w14:solidFill>
              <w14:schemeClr w14:val="tx1"/>
            </w14:solidFill>
          </w14:textFill>
        </w:rPr>
        <w:t>。</w:t>
      </w:r>
    </w:p>
    <w:p>
      <w:pPr>
        <w:spacing w:line="440" w:lineRule="exact"/>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 xml:space="preserve">条款号：  </w:t>
      </w:r>
      <w:r>
        <w:rPr>
          <w:rFonts w:hint="eastAsia" w:ascii="宋体" w:hAnsi="宋体" w:cs="宋体"/>
          <w:color w:val="000000" w:themeColor="text1"/>
          <w:sz w:val="24"/>
          <w:szCs w:val="24"/>
          <w:highlight w:val="none"/>
          <w14:textFill>
            <w14:solidFill>
              <w14:schemeClr w14:val="tx1"/>
            </w14:solidFill>
          </w14:textFill>
        </w:rPr>
        <w:t>29.2</w:t>
      </w:r>
      <w:r>
        <w:rPr>
          <w:rFonts w:hint="eastAsia" w:ascii="宋体" w:hAnsi="宋体" w:cs="宋体"/>
          <w:b/>
          <w:color w:val="000000" w:themeColor="text1"/>
          <w:sz w:val="24"/>
          <w:szCs w:val="24"/>
          <w:highlight w:val="none"/>
          <w14:textFill>
            <w14:solidFill>
              <w14:schemeClr w14:val="tx1"/>
            </w14:solidFill>
          </w14:textFill>
        </w:rPr>
        <w:t xml:space="preserve">           修改类型：修改</w:t>
      </w:r>
    </w:p>
    <w:p>
      <w:pPr>
        <w:spacing w:line="440" w:lineRule="exact"/>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原文：</w:t>
      </w:r>
      <w:r>
        <w:rPr>
          <w:rFonts w:hint="eastAsia" w:ascii="宋体" w:hAnsi="宋体" w:cs="宋体"/>
          <w:color w:val="000000" w:themeColor="text1"/>
          <w:sz w:val="24"/>
          <w:szCs w:val="24"/>
          <w:highlight w:val="none"/>
          <w14:textFill>
            <w14:solidFill>
              <w14:schemeClr w14:val="tx1"/>
            </w14:solidFill>
          </w14:textFill>
        </w:rPr>
        <w:t>29.2</w:t>
      </w:r>
      <w:r>
        <w:rPr>
          <w:rFonts w:hint="eastAsia" w:ascii="宋体" w:hAnsi="宋体"/>
          <w:color w:val="000000" w:themeColor="text1"/>
          <w:sz w:val="24"/>
          <w:highlight w:val="none"/>
          <w14:textFill>
            <w14:solidFill>
              <w14:schemeClr w14:val="tx1"/>
            </w14:solidFill>
          </w14:textFill>
        </w:rPr>
        <w:t>中标通知书发出之日起</w:t>
      </w:r>
      <w:r>
        <w:rPr>
          <w:rFonts w:ascii="宋体" w:hAnsi="宋体"/>
          <w:color w:val="000000" w:themeColor="text1"/>
          <w:sz w:val="24"/>
          <w:highlight w:val="none"/>
          <w14:textFill>
            <w14:solidFill>
              <w14:schemeClr w14:val="tx1"/>
            </w14:solidFill>
          </w14:textFill>
        </w:rPr>
        <w:t>15</w:t>
      </w:r>
      <w:r>
        <w:rPr>
          <w:rFonts w:hint="eastAsia" w:ascii="宋体" w:hAnsi="宋体"/>
          <w:color w:val="000000" w:themeColor="text1"/>
          <w:sz w:val="24"/>
          <w:highlight w:val="none"/>
          <w14:textFill>
            <w14:solidFill>
              <w14:schemeClr w14:val="tx1"/>
            </w14:solidFill>
          </w14:textFill>
        </w:rPr>
        <w:t>日后，中标人未按上款的规定提交履约担保，招标人将解除中标通知书，原中标人的投标保证金不予退还，且依法承担相应法律责任。原中标人给招标人造成的损失超过投标保证金数额的，还应当对超过部分予以赔偿。原中标人有异议的，可以向人民法院起诉</w:t>
      </w:r>
      <w:r>
        <w:rPr>
          <w:rFonts w:hint="eastAsia" w:ascii="宋体" w:hAnsi="宋体" w:cs="宋体"/>
          <w:color w:val="000000" w:themeColor="text1"/>
          <w:sz w:val="24"/>
          <w:szCs w:val="24"/>
          <w:highlight w:val="none"/>
          <w14:textFill>
            <w14:solidFill>
              <w14:schemeClr w14:val="tx1"/>
            </w14:solidFill>
          </w14:textFill>
        </w:rPr>
        <w:t>。</w:t>
      </w:r>
    </w:p>
    <w:p>
      <w:pPr>
        <w:pBdr>
          <w:bottom w:val="single" w:color="auto" w:sz="6" w:space="1"/>
        </w:pBdr>
        <w:spacing w:line="440" w:lineRule="exact"/>
        <w:ind w:firstLine="602" w:firstLineChars="25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现文：</w:t>
      </w:r>
      <w:r>
        <w:rPr>
          <w:rFonts w:hint="eastAsia" w:ascii="宋体" w:hAnsi="宋体" w:cs="宋体"/>
          <w:color w:val="000000" w:themeColor="text1"/>
          <w:sz w:val="24"/>
          <w:szCs w:val="24"/>
          <w:highlight w:val="none"/>
          <w:u w:val="single"/>
          <w14:textFill>
            <w14:solidFill>
              <w14:schemeClr w14:val="tx1"/>
            </w14:solidFill>
          </w14:textFill>
        </w:rPr>
        <w:t>在签订合同后，根据合同约定时间</w:t>
      </w:r>
      <w:r>
        <w:rPr>
          <w:rFonts w:hint="eastAsia" w:ascii="宋体" w:hAnsi="宋体" w:cs="宋体"/>
          <w:color w:val="000000" w:themeColor="text1"/>
          <w:sz w:val="24"/>
          <w:szCs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中标人未按上款的规定提交履约担保，招标人将解除中标通知书，</w:t>
      </w:r>
      <w:r>
        <w:rPr>
          <w:rFonts w:hint="eastAsia" w:ascii="宋体" w:hAnsi="宋体" w:cs="宋体"/>
          <w:color w:val="000000" w:themeColor="text1"/>
          <w:sz w:val="24"/>
          <w:szCs w:val="24"/>
          <w:highlight w:val="none"/>
          <w:lang w:bidi="ar"/>
          <w14:textFill>
            <w14:solidFill>
              <w14:schemeClr w14:val="tx1"/>
            </w14:solidFill>
          </w14:textFill>
        </w:rPr>
        <w:t>原中标人</w:t>
      </w:r>
      <w:r>
        <w:rPr>
          <w:rFonts w:hint="eastAsia" w:ascii="宋体" w:hAnsi="宋体" w:cs="宋体"/>
          <w:bCs/>
          <w:color w:val="000000" w:themeColor="text1"/>
          <w:sz w:val="24"/>
          <w:szCs w:val="24"/>
          <w:highlight w:val="none"/>
          <w:u w:val="single"/>
          <w:lang w:bidi="ar"/>
          <w14:textFill>
            <w14:solidFill>
              <w14:schemeClr w14:val="tx1"/>
            </w14:solidFill>
          </w14:textFill>
        </w:rPr>
        <w:t>应</w:t>
      </w:r>
      <w:r>
        <w:rPr>
          <w:rFonts w:hint="eastAsia" w:ascii="宋体" w:hAnsi="宋体" w:cs="宋体"/>
          <w:bCs/>
          <w:color w:val="000000" w:themeColor="text1"/>
          <w:sz w:val="24"/>
          <w:szCs w:val="24"/>
          <w:highlight w:val="none"/>
          <w:lang w:bidi="ar"/>
          <w14:textFill>
            <w14:solidFill>
              <w14:schemeClr w14:val="tx1"/>
            </w14:solidFill>
          </w14:textFill>
        </w:rPr>
        <w:t>依法承担相应法律责任。</w:t>
      </w:r>
      <w:r>
        <w:rPr>
          <w:rFonts w:hint="eastAsia" w:ascii="宋体" w:hAnsi="宋体" w:cs="宋体"/>
          <w:bCs/>
          <w:color w:val="000000" w:themeColor="text1"/>
          <w:sz w:val="24"/>
          <w:szCs w:val="24"/>
          <w:highlight w:val="none"/>
          <w:u w:val="single"/>
          <w:lang w:bidi="ar"/>
          <w14:textFill>
            <w14:solidFill>
              <w14:schemeClr w14:val="tx1"/>
            </w14:solidFill>
          </w14:textFill>
        </w:rPr>
        <w:t>原中标人给招标人造成损失的，招标人有权要求原中标人承担赔偿责任。</w:t>
      </w:r>
      <w:r>
        <w:rPr>
          <w:rFonts w:hint="eastAsia" w:ascii="宋体" w:hAnsi="宋体" w:cs="宋体"/>
          <w:bCs/>
          <w:color w:val="000000" w:themeColor="text1"/>
          <w:sz w:val="24"/>
          <w:szCs w:val="24"/>
          <w:highlight w:val="none"/>
          <w:lang w:bidi="ar"/>
          <w14:textFill>
            <w14:solidFill>
              <w14:schemeClr w14:val="tx1"/>
            </w14:solidFill>
          </w14:textFill>
        </w:rPr>
        <w:t>原</w:t>
      </w:r>
      <w:r>
        <w:rPr>
          <w:rFonts w:hint="eastAsia" w:ascii="宋体" w:hAnsi="宋体" w:cs="宋体"/>
          <w:color w:val="000000" w:themeColor="text1"/>
          <w:sz w:val="24"/>
          <w:szCs w:val="24"/>
          <w:highlight w:val="none"/>
          <w:lang w:bidi="ar"/>
          <w14:textFill>
            <w14:solidFill>
              <w14:schemeClr w14:val="tx1"/>
            </w14:solidFill>
          </w14:textFill>
        </w:rPr>
        <w:t>中标人有异议的，可以向人民法院起诉。</w:t>
      </w:r>
      <w:r>
        <w:rPr>
          <w:rFonts w:hint="eastAsia" w:ascii="Times New Roman" w:hAnsi="Times New Roman"/>
          <w:color w:val="000000" w:themeColor="text1"/>
          <w:sz w:val="24"/>
          <w:szCs w:val="24"/>
          <w:highlight w:val="none"/>
          <w:u w:val="single"/>
          <w14:textFill>
            <w14:solidFill>
              <w14:schemeClr w14:val="tx1"/>
            </w14:solidFill>
          </w14:textFill>
        </w:rPr>
        <w:t>（具体形式详见合同）</w:t>
      </w:r>
      <w:r>
        <w:rPr>
          <w:rFonts w:hint="eastAsia" w:ascii="宋体" w:hAnsi="宋体" w:cs="宋体"/>
          <w:color w:val="000000" w:themeColor="text1"/>
          <w:sz w:val="24"/>
          <w:szCs w:val="24"/>
          <w:highlight w:val="none"/>
          <w14:textFill>
            <w14:solidFill>
              <w14:schemeClr w14:val="tx1"/>
            </w14:solidFill>
          </w14:textFill>
        </w:rPr>
        <w:t>。</w:t>
      </w:r>
    </w:p>
    <w:p>
      <w:pPr>
        <w:spacing w:line="440" w:lineRule="exact"/>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 xml:space="preserve">条款号： </w:t>
      </w:r>
      <w:r>
        <w:rPr>
          <w:rFonts w:hint="eastAsia" w:ascii="宋体" w:hAnsi="宋体" w:cs="宋体"/>
          <w:color w:val="000000" w:themeColor="text1"/>
          <w:sz w:val="24"/>
          <w:szCs w:val="24"/>
          <w:highlight w:val="none"/>
          <w14:textFill>
            <w14:solidFill>
              <w14:schemeClr w14:val="tx1"/>
            </w14:solidFill>
          </w14:textFill>
        </w:rPr>
        <w:t>30.1</w:t>
      </w:r>
      <w:r>
        <w:rPr>
          <w:rFonts w:hint="eastAsia" w:ascii="宋体" w:hAnsi="宋体" w:cs="宋体"/>
          <w:b/>
          <w:color w:val="000000" w:themeColor="text1"/>
          <w:sz w:val="24"/>
          <w:szCs w:val="24"/>
          <w:highlight w:val="none"/>
          <w14:textFill>
            <w14:solidFill>
              <w14:schemeClr w14:val="tx1"/>
            </w14:solidFill>
          </w14:textFill>
        </w:rPr>
        <w:t xml:space="preserve">            修改类型：修改</w:t>
      </w:r>
    </w:p>
    <w:p>
      <w:pPr>
        <w:spacing w:line="440" w:lineRule="exact"/>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原文：</w:t>
      </w:r>
      <w:r>
        <w:rPr>
          <w:rFonts w:hint="eastAsia" w:ascii="宋体" w:hAnsi="宋体" w:cs="宋体"/>
          <w:color w:val="000000" w:themeColor="text1"/>
          <w:sz w:val="24"/>
          <w:szCs w:val="24"/>
          <w:highlight w:val="none"/>
          <w14:textFill>
            <w14:solidFill>
              <w14:schemeClr w14:val="tx1"/>
            </w14:solidFill>
          </w14:textFill>
        </w:rPr>
        <w:t>在合同双方全权代表在合同协议书上签字，并分别加盖双方单位的公章后，合同正式生效。</w:t>
      </w:r>
    </w:p>
    <w:p>
      <w:pPr>
        <w:pBdr>
          <w:bottom w:val="single" w:color="auto" w:sz="6" w:space="1"/>
        </w:pBdr>
        <w:spacing w:line="440" w:lineRule="exact"/>
        <w:ind w:firstLine="482" w:firstLineChars="200"/>
        <w:rPr>
          <w:rFonts w:ascii="宋体" w:hAnsi="宋体" w:cs="宋体"/>
          <w:color w:val="000000" w:themeColor="text1"/>
          <w:sz w:val="24"/>
          <w:szCs w:val="24"/>
          <w:highlight w:val="none"/>
          <w:u w:val="singl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现文：</w:t>
      </w:r>
      <w:r>
        <w:rPr>
          <w:rFonts w:hint="eastAsia" w:ascii="宋体" w:hAnsi="宋体" w:cs="宋体"/>
          <w:color w:val="000000" w:themeColor="text1"/>
          <w:sz w:val="24"/>
          <w:szCs w:val="24"/>
          <w:highlight w:val="none"/>
          <w:u w:val="single"/>
          <w14:textFill>
            <w14:solidFill>
              <w14:schemeClr w14:val="tx1"/>
            </w14:solidFill>
          </w14:textFill>
        </w:rPr>
        <w:t>合同自发包人、承包人双方法定代表人或委托代理人签字并加盖公章之日起生效。</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 3</w:t>
      </w:r>
      <w:r>
        <w:rPr>
          <w:rFonts w:hint="eastAsia" w:ascii="Times New Roman" w:hAnsi="Times New Roman"/>
          <w:b/>
          <w:color w:val="000000" w:themeColor="text1"/>
          <w:sz w:val="24"/>
          <w:szCs w:val="24"/>
          <w:highlight w:val="none"/>
          <w14:textFill>
            <w14:solidFill>
              <w14:schemeClr w14:val="tx1"/>
            </w14:solidFill>
          </w14:textFill>
        </w:rPr>
        <w:t>3</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修改类型：增加</w:t>
      </w:r>
    </w:p>
    <w:p>
      <w:pPr>
        <w:pBdr>
          <w:bottom w:val="single" w:color="auto" w:sz="6" w:space="1"/>
        </w:pBdr>
        <w:spacing w:line="360" w:lineRule="exact"/>
        <w:ind w:firstLine="600" w:firstLineChars="25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u w:val="single"/>
          <w14:textFill>
            <w14:solidFill>
              <w14:schemeClr w14:val="tx1"/>
            </w14:solidFill>
          </w14:textFill>
        </w:rPr>
        <w:t>（一）投标人需按下表格式，在投标文件“其他投标人认为应该提供的资料”处，提交投标报价总表。安装工程含配电箱的，需按下表格式，在投标文件“其他投标人认为应该提供的资料”处，提交配电箱价格分析表。</w:t>
      </w:r>
    </w:p>
    <w:p>
      <w:pPr>
        <w:pBdr>
          <w:bottom w:val="single" w:color="auto" w:sz="6" w:space="1"/>
        </w:pBdr>
        <w:spacing w:line="300" w:lineRule="exact"/>
        <w:ind w:firstLine="703" w:firstLineChars="250"/>
        <w:jc w:val="center"/>
        <w:rPr>
          <w:rFonts w:ascii="宋体" w:hAnsi="宋体" w:cs="宋体"/>
          <w:b/>
          <w:color w:val="000000" w:themeColor="text1"/>
          <w:sz w:val="28"/>
          <w:szCs w:val="24"/>
          <w:highlight w:val="none"/>
          <w14:textFill>
            <w14:solidFill>
              <w14:schemeClr w14:val="tx1"/>
            </w14:solidFill>
          </w14:textFill>
        </w:rPr>
      </w:pPr>
    </w:p>
    <w:p>
      <w:pPr>
        <w:pBdr>
          <w:bottom w:val="single" w:color="auto" w:sz="6" w:space="1"/>
        </w:pBdr>
        <w:spacing w:line="300" w:lineRule="exact"/>
        <w:ind w:firstLine="703" w:firstLineChars="250"/>
        <w:jc w:val="center"/>
        <w:rPr>
          <w:rFonts w:ascii="宋体" w:hAnsi="宋体" w:cs="宋体"/>
          <w:b/>
          <w:color w:val="000000" w:themeColor="text1"/>
          <w:sz w:val="28"/>
          <w:szCs w:val="24"/>
          <w:highlight w:val="none"/>
          <w14:textFill>
            <w14:solidFill>
              <w14:schemeClr w14:val="tx1"/>
            </w14:solidFill>
          </w14:textFill>
        </w:rPr>
      </w:pPr>
      <w:r>
        <w:rPr>
          <w:rFonts w:hint="eastAsia" w:ascii="宋体" w:hAnsi="宋体" w:cs="宋体"/>
          <w:b/>
          <w:color w:val="000000" w:themeColor="text1"/>
          <w:sz w:val="28"/>
          <w:szCs w:val="24"/>
          <w:highlight w:val="none"/>
          <w14:textFill>
            <w14:solidFill>
              <w14:schemeClr w14:val="tx1"/>
            </w14:solidFill>
          </w14:textFill>
        </w:rPr>
        <w:t>投标报价总表</w:t>
      </w:r>
    </w:p>
    <w:p>
      <w:pPr>
        <w:pBdr>
          <w:bottom w:val="single" w:color="auto" w:sz="6" w:space="1"/>
        </w:pBdr>
        <w:spacing w:line="300" w:lineRule="exact"/>
        <w:ind w:firstLine="602" w:firstLineChars="25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工程名称：</w:t>
      </w:r>
    </w:p>
    <w:tbl>
      <w:tblPr>
        <w:tblStyle w:val="18"/>
        <w:tblW w:w="9013" w:type="dxa"/>
        <w:tblInd w:w="0" w:type="dxa"/>
        <w:tblLayout w:type="fixed"/>
        <w:tblCellMar>
          <w:top w:w="0" w:type="dxa"/>
          <w:left w:w="0" w:type="dxa"/>
          <w:bottom w:w="0" w:type="dxa"/>
          <w:right w:w="0" w:type="dxa"/>
        </w:tblCellMar>
      </w:tblPr>
      <w:tblGrid>
        <w:gridCol w:w="659"/>
        <w:gridCol w:w="3568"/>
        <w:gridCol w:w="2355"/>
        <w:gridCol w:w="2431"/>
      </w:tblGrid>
      <w:tr>
        <w:tblPrEx>
          <w:tblCellMar>
            <w:top w:w="0" w:type="dxa"/>
            <w:left w:w="0" w:type="dxa"/>
            <w:bottom w:w="0" w:type="dxa"/>
            <w:right w:w="0" w:type="dxa"/>
          </w:tblCellMar>
        </w:tblPrEx>
        <w:trPr>
          <w:trHeight w:val="457"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序号</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项目名称</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金额（元）</w:t>
            </w: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备注</w:t>
            </w:r>
          </w:p>
        </w:tc>
      </w:tr>
      <w:tr>
        <w:tblPrEx>
          <w:tblCellMar>
            <w:top w:w="0" w:type="dxa"/>
            <w:left w:w="0" w:type="dxa"/>
            <w:bottom w:w="0" w:type="dxa"/>
            <w:right w:w="0" w:type="dxa"/>
          </w:tblCellMar>
        </w:tblPrEx>
        <w:trPr>
          <w:trHeight w:val="421"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一</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分部分项工程量清单计价汇总合计</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right"/>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tabs>
                <w:tab w:val="left" w:pos="3629"/>
              </w:tabs>
              <w:spacing w:before="0" w:beforeAutospacing="0" w:after="0" w:afterAutospacing="0"/>
              <w:ind w:left="-178" w:leftChars="-85" w:right="1077" w:rightChars="513" w:firstLine="195" w:firstLineChars="89"/>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426"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二</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措施项目清单计价汇总合计</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right"/>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428"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三</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其它项目清单计价汇总合计</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right"/>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423"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四</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税金计价汇总合计</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right"/>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428"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五</w:t>
            </w: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投标总报价(一+二+三+四)</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406"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其中：1、绿色施工安全防护措施费</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固定金额</w:t>
            </w:r>
          </w:p>
        </w:tc>
      </w:tr>
      <w:tr>
        <w:tblPrEx>
          <w:tblCellMar>
            <w:top w:w="0" w:type="dxa"/>
            <w:left w:w="0" w:type="dxa"/>
            <w:bottom w:w="0" w:type="dxa"/>
            <w:right w:w="0" w:type="dxa"/>
          </w:tblCellMar>
        </w:tblPrEx>
        <w:trPr>
          <w:trHeight w:val="413"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 xml:space="preserve">      2、暂列金额</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固定金额</w:t>
            </w:r>
          </w:p>
        </w:tc>
      </w:tr>
      <w:tr>
        <w:tblPrEx>
          <w:tblCellMar>
            <w:top w:w="0" w:type="dxa"/>
            <w:left w:w="0" w:type="dxa"/>
            <w:bottom w:w="0" w:type="dxa"/>
            <w:right w:w="0" w:type="dxa"/>
          </w:tblCellMar>
        </w:tblPrEx>
        <w:trPr>
          <w:trHeight w:val="419"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 xml:space="preserve">      3、分部分项人工费</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r>
      <w:tr>
        <w:tblPrEx>
          <w:tblCellMar>
            <w:top w:w="0" w:type="dxa"/>
            <w:left w:w="0" w:type="dxa"/>
            <w:bottom w:w="0" w:type="dxa"/>
            <w:right w:w="0" w:type="dxa"/>
          </w:tblCellMar>
        </w:tblPrEx>
        <w:trPr>
          <w:trHeight w:val="567" w:hRule="exact"/>
        </w:trPr>
        <w:tc>
          <w:tcPr>
            <w:tcW w:w="659"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2"/>
                <w:szCs w:val="24"/>
                <w:highlight w:val="none"/>
                <w14:textFill>
                  <w14:solidFill>
                    <w14:schemeClr w14:val="tx1"/>
                  </w14:solidFill>
                </w14:textFill>
              </w:rPr>
            </w:pPr>
          </w:p>
        </w:tc>
        <w:tc>
          <w:tcPr>
            <w:tcW w:w="3568"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 xml:space="preserve">      4、总人工费</w:t>
            </w:r>
          </w:p>
        </w:tc>
        <w:tc>
          <w:tcPr>
            <w:tcW w:w="235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2"/>
                <w:szCs w:val="24"/>
                <w:highlight w:val="none"/>
                <w14:textFill>
                  <w14:solidFill>
                    <w14:schemeClr w14:val="tx1"/>
                  </w14:solidFill>
                </w14:textFill>
              </w:rPr>
            </w:pPr>
          </w:p>
        </w:tc>
        <w:tc>
          <w:tcPr>
            <w:tcW w:w="2431"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color w:val="000000" w:themeColor="text1"/>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lang w:bidi="ar"/>
                <w14:textFill>
                  <w14:solidFill>
                    <w14:schemeClr w14:val="tx1"/>
                  </w14:solidFill>
                </w14:textFill>
              </w:rPr>
              <w:t>含分部分项、措施项目</w:t>
            </w:r>
          </w:p>
        </w:tc>
      </w:tr>
    </w:tbl>
    <w:p>
      <w:pPr>
        <w:topLinePunct/>
        <w:adjustRightInd w:val="0"/>
        <w:snapToGrid w:val="0"/>
        <w:spacing w:line="360" w:lineRule="auto"/>
        <w:ind w:firstLine="199" w:firstLineChars="80"/>
        <w:jc w:val="center"/>
        <w:rPr>
          <w:rFonts w:ascii="宋体" w:hAnsi="宋体" w:cs="宋体"/>
          <w:b/>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231" w:firstLineChars="80"/>
        <w:jc w:val="center"/>
        <w:rPr>
          <w:rFonts w:ascii="宋体" w:hAnsi="宋体" w:cs="宋体"/>
          <w:b/>
          <w:color w:val="000000" w:themeColor="text1"/>
          <w:spacing w:val="4"/>
          <w:sz w:val="28"/>
          <w:szCs w:val="24"/>
          <w:highlight w:val="none"/>
          <w14:textFill>
            <w14:solidFill>
              <w14:schemeClr w14:val="tx1"/>
            </w14:solidFill>
          </w14:textFill>
        </w:rPr>
      </w:pPr>
      <w:r>
        <w:rPr>
          <w:rFonts w:hint="eastAsia" w:ascii="宋体" w:hAnsi="宋体" w:cs="宋体"/>
          <w:b/>
          <w:color w:val="000000" w:themeColor="text1"/>
          <w:spacing w:val="4"/>
          <w:kern w:val="0"/>
          <w:sz w:val="28"/>
          <w:szCs w:val="24"/>
          <w:highlight w:val="none"/>
          <w14:textFill>
            <w14:solidFill>
              <w14:schemeClr w14:val="tx1"/>
            </w14:solidFill>
          </w14:textFill>
        </w:rPr>
        <w:t>配电箱价格分析表</w:t>
      </w:r>
    </w:p>
    <w:p>
      <w:pPr>
        <w:topLinePunct/>
        <w:adjustRightInd w:val="0"/>
        <w:snapToGrid w:val="0"/>
        <w:spacing w:line="360" w:lineRule="auto"/>
        <w:ind w:firstLine="199" w:firstLineChars="80"/>
        <w:rPr>
          <w:rFonts w:ascii="宋体" w:hAnsi="宋体" w:cs="宋体"/>
          <w:b/>
          <w:color w:val="000000" w:themeColor="text1"/>
          <w:spacing w:val="4"/>
          <w:kern w:val="0"/>
          <w:sz w:val="24"/>
          <w:szCs w:val="24"/>
          <w:highlight w:val="none"/>
          <w14:textFill>
            <w14:solidFill>
              <w14:schemeClr w14:val="tx1"/>
            </w14:solidFill>
          </w14:textFill>
        </w:rPr>
      </w:pPr>
      <w:r>
        <w:rPr>
          <w:rFonts w:hint="eastAsia" w:ascii="宋体" w:hAnsi="宋体" w:cs="宋体"/>
          <w:b/>
          <w:color w:val="000000" w:themeColor="text1"/>
          <w:spacing w:val="4"/>
          <w:kern w:val="0"/>
          <w:sz w:val="24"/>
          <w:szCs w:val="24"/>
          <w:highlight w:val="none"/>
          <w14:textFill>
            <w14:solidFill>
              <w14:schemeClr w14:val="tx1"/>
            </w14:solidFill>
          </w14:textFill>
        </w:rPr>
        <w:t>工程名称：</w:t>
      </w:r>
    </w:p>
    <w:tbl>
      <w:tblPr>
        <w:tblStyle w:val="18"/>
        <w:tblW w:w="8500" w:type="dxa"/>
        <w:tblInd w:w="93" w:type="dxa"/>
        <w:tblLayout w:type="fixed"/>
        <w:tblCellMar>
          <w:top w:w="0" w:type="dxa"/>
          <w:left w:w="108" w:type="dxa"/>
          <w:bottom w:w="0" w:type="dxa"/>
          <w:right w:w="108" w:type="dxa"/>
        </w:tblCellMar>
      </w:tblPr>
      <w:tblGrid>
        <w:gridCol w:w="724"/>
        <w:gridCol w:w="1156"/>
        <w:gridCol w:w="1679"/>
        <w:gridCol w:w="709"/>
        <w:gridCol w:w="851"/>
        <w:gridCol w:w="992"/>
        <w:gridCol w:w="1197"/>
        <w:gridCol w:w="1192"/>
      </w:tblGrid>
      <w:tr>
        <w:tblPrEx>
          <w:tblCellMar>
            <w:top w:w="0" w:type="dxa"/>
            <w:left w:w="108" w:type="dxa"/>
            <w:bottom w:w="0" w:type="dxa"/>
            <w:right w:w="108" w:type="dxa"/>
          </w:tblCellMar>
        </w:tblPrEx>
        <w:trPr>
          <w:trHeight w:val="567" w:hRule="exact"/>
        </w:trPr>
        <w:tc>
          <w:tcPr>
            <w:tcW w:w="1880" w:type="dxa"/>
            <w:gridSpan w:val="2"/>
            <w:tcBorders>
              <w:top w:val="single" w:color="auto" w:sz="4" w:space="0"/>
              <w:left w:val="single" w:color="auto" w:sz="4" w:space="0"/>
              <w:bottom w:val="single" w:color="auto" w:sz="4" w:space="0"/>
              <w:right w:val="single" w:color="000000"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配电箱编号</w:t>
            </w:r>
          </w:p>
        </w:tc>
        <w:tc>
          <w:tcPr>
            <w:tcW w:w="1679" w:type="dxa"/>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560" w:type="dxa"/>
            <w:gridSpan w:val="2"/>
            <w:tcBorders>
              <w:top w:val="single" w:color="auto" w:sz="4" w:space="0"/>
              <w:left w:val="single" w:color="auto" w:sz="4" w:space="0"/>
              <w:bottom w:val="single" w:color="auto" w:sz="4" w:space="0"/>
              <w:right w:val="single" w:color="000000"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设计图号</w:t>
            </w:r>
          </w:p>
        </w:tc>
        <w:tc>
          <w:tcPr>
            <w:tcW w:w="3381" w:type="dxa"/>
            <w:gridSpan w:val="3"/>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411"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序号</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部件名称</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型号规格</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单位</w:t>
            </w:r>
          </w:p>
        </w:tc>
        <w:tc>
          <w:tcPr>
            <w:tcW w:w="851" w:type="dxa"/>
            <w:tcBorders>
              <w:top w:val="nil"/>
              <w:left w:val="nil"/>
              <w:bottom w:val="nil"/>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数量</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单价</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合价</w:t>
            </w:r>
          </w:p>
        </w:tc>
        <w:tc>
          <w:tcPr>
            <w:tcW w:w="11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备注</w:t>
            </w:r>
          </w:p>
        </w:tc>
      </w:tr>
      <w:tr>
        <w:tblPrEx>
          <w:tblCellMar>
            <w:top w:w="0" w:type="dxa"/>
            <w:left w:w="108" w:type="dxa"/>
            <w:bottom w:w="0" w:type="dxa"/>
            <w:right w:w="108" w:type="dxa"/>
          </w:tblCellMar>
        </w:tblPrEx>
        <w:trPr>
          <w:trHeight w:val="431"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1</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箱体</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（长×宽×高）</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个</w:t>
            </w:r>
          </w:p>
        </w:tc>
        <w:tc>
          <w:tcPr>
            <w:tcW w:w="851" w:type="dxa"/>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424"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2</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主元器件</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（按分类）</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429"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断路器1</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个</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421"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断路器2</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个</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428"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56"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w:t>
            </w:r>
          </w:p>
        </w:tc>
        <w:tc>
          <w:tcPr>
            <w:tcW w:w="167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nil"/>
              <w:left w:val="nil"/>
              <w:bottom w:val="nil"/>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744"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2835" w:type="dxa"/>
            <w:gridSpan w:val="2"/>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出线回路数</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个</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tcBorders>
              <w:top w:val="nil"/>
              <w:left w:val="nil"/>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2"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本项不参与计价</w:t>
            </w:r>
          </w:p>
        </w:tc>
      </w:tr>
      <w:tr>
        <w:tblPrEx>
          <w:tblCellMar>
            <w:top w:w="0" w:type="dxa"/>
            <w:left w:w="108" w:type="dxa"/>
            <w:bottom w:w="0" w:type="dxa"/>
            <w:right w:w="108" w:type="dxa"/>
          </w:tblCellMar>
        </w:tblPrEx>
        <w:trPr>
          <w:trHeight w:val="841" w:hRule="exact"/>
        </w:trPr>
        <w:tc>
          <w:tcPr>
            <w:tcW w:w="724"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3</w:t>
            </w:r>
          </w:p>
        </w:tc>
        <w:tc>
          <w:tcPr>
            <w:tcW w:w="2835" w:type="dxa"/>
            <w:gridSpan w:val="2"/>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综合费</w:t>
            </w:r>
          </w:p>
        </w:tc>
        <w:tc>
          <w:tcPr>
            <w:tcW w:w="709"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项</w:t>
            </w:r>
          </w:p>
        </w:tc>
        <w:tc>
          <w:tcPr>
            <w:tcW w:w="851"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992" w:type="dxa"/>
            <w:tcBorders>
              <w:top w:val="nil"/>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c>
          <w:tcPr>
            <w:tcW w:w="1197" w:type="dxa"/>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（1+2）×综合费率</w:t>
            </w:r>
          </w:p>
        </w:tc>
        <w:tc>
          <w:tcPr>
            <w:tcW w:w="1192" w:type="dxa"/>
            <w:tcBorders>
              <w:top w:val="nil"/>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left"/>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r>
        <w:tblPrEx>
          <w:tblCellMar>
            <w:top w:w="0" w:type="dxa"/>
            <w:left w:w="108" w:type="dxa"/>
            <w:bottom w:w="0" w:type="dxa"/>
            <w:right w:w="108" w:type="dxa"/>
          </w:tblCellMar>
        </w:tblPrEx>
        <w:trPr>
          <w:trHeight w:val="567" w:hRule="exact"/>
        </w:trPr>
        <w:tc>
          <w:tcPr>
            <w:tcW w:w="3559"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配电箱总价(1+2+3)</w:t>
            </w:r>
          </w:p>
        </w:tc>
        <w:tc>
          <w:tcPr>
            <w:tcW w:w="4941" w:type="dxa"/>
            <w:gridSpan w:val="5"/>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　</w:t>
            </w:r>
          </w:p>
        </w:tc>
      </w:tr>
    </w:tbl>
    <w:p>
      <w:pPr>
        <w:topLinePunct/>
        <w:adjustRightInd w:val="0"/>
        <w:snapToGrid w:val="0"/>
        <w:spacing w:line="240" w:lineRule="atLeast"/>
        <w:ind w:left="684" w:hanging="684" w:hangingChars="300"/>
        <w:rPr>
          <w:rFonts w:ascii="宋体" w:hAnsi="宋体" w:cs="宋体"/>
          <w:color w:val="000000" w:themeColor="text1"/>
          <w:spacing w:val="4"/>
          <w:sz w:val="22"/>
          <w:szCs w:val="24"/>
          <w:highlight w:val="none"/>
          <w14:textFill>
            <w14:solidFill>
              <w14:schemeClr w14:val="tx1"/>
            </w14:solidFill>
          </w14:textFill>
        </w:rPr>
      </w:pPr>
      <w:r>
        <w:rPr>
          <w:rFonts w:hint="eastAsia" w:ascii="宋体" w:hAnsi="宋体" w:cs="宋体"/>
          <w:color w:val="000000" w:themeColor="text1"/>
          <w:spacing w:val="4"/>
          <w:kern w:val="0"/>
          <w:sz w:val="22"/>
          <w:szCs w:val="24"/>
          <w:highlight w:val="none"/>
          <w14:textFill>
            <w14:solidFill>
              <w14:schemeClr w14:val="tx1"/>
            </w14:solidFill>
          </w14:textFill>
        </w:rPr>
        <w:t>注：1.本表中内容由投标人对照招标人提供的设备清单和设计图纸，对每一类型配电箱规格/型号应分别填写。</w:t>
      </w:r>
    </w:p>
    <w:p>
      <w:pPr>
        <w:topLinePunct/>
        <w:adjustRightInd w:val="0"/>
        <w:snapToGrid w:val="0"/>
        <w:ind w:firstLine="456" w:firstLineChars="200"/>
        <w:rPr>
          <w:rFonts w:hint="eastAsia" w:ascii="宋体" w:hAnsi="宋体" w:cs="宋体"/>
          <w:color w:val="000000" w:themeColor="text1"/>
          <w:spacing w:val="4"/>
          <w:kern w:val="0"/>
          <w:sz w:val="22"/>
          <w:szCs w:val="24"/>
          <w:highlight w:val="none"/>
          <w14:textFill>
            <w14:solidFill>
              <w14:schemeClr w14:val="tx1"/>
            </w14:solidFill>
          </w14:textFill>
        </w:rPr>
      </w:pPr>
      <w:r>
        <w:rPr>
          <w:rFonts w:hint="eastAsia" w:ascii="宋体" w:hAnsi="宋体" w:cs="宋体"/>
          <w:color w:val="000000" w:themeColor="text1"/>
          <w:spacing w:val="4"/>
          <w:kern w:val="0"/>
          <w:sz w:val="22"/>
          <w:szCs w:val="24"/>
          <w:highlight w:val="none"/>
          <w14:textFill>
            <w14:solidFill>
              <w14:schemeClr w14:val="tx1"/>
            </w14:solidFill>
          </w14:textFill>
        </w:rPr>
        <w:t>2.箱体单位面积限价为250.00元/ m</w:t>
      </w:r>
      <w:r>
        <w:rPr>
          <w:rFonts w:hint="eastAsia" w:ascii="宋体" w:hAnsi="宋体" w:cs="宋体"/>
          <w:color w:val="000000" w:themeColor="text1"/>
          <w:spacing w:val="4"/>
          <w:kern w:val="0"/>
          <w:sz w:val="22"/>
          <w:szCs w:val="24"/>
          <w:highlight w:val="none"/>
          <w:vertAlign w:val="superscript"/>
          <w14:textFill>
            <w14:solidFill>
              <w14:schemeClr w14:val="tx1"/>
            </w14:solidFill>
          </w14:textFill>
        </w:rPr>
        <w:t>2</w:t>
      </w:r>
      <w:r>
        <w:rPr>
          <w:rFonts w:hint="eastAsia" w:ascii="宋体" w:hAnsi="宋体" w:cs="宋体"/>
          <w:color w:val="000000" w:themeColor="text1"/>
          <w:spacing w:val="4"/>
          <w:kern w:val="0"/>
          <w:sz w:val="22"/>
          <w:szCs w:val="24"/>
          <w:highlight w:val="none"/>
          <w14:textFill>
            <w14:solidFill>
              <w14:schemeClr w14:val="tx1"/>
            </w14:solidFill>
          </w14:textFill>
        </w:rPr>
        <w:t>（此限价不作为否决其投标的条款）。</w:t>
      </w:r>
    </w:p>
    <w:p>
      <w:pPr>
        <w:topLinePunct/>
        <w:adjustRightInd w:val="0"/>
        <w:snapToGrid w:val="0"/>
        <w:ind w:firstLine="456" w:firstLineChars="200"/>
        <w:rPr>
          <w:rFonts w:ascii="宋体" w:hAnsi="宋体" w:cs="宋体"/>
          <w:color w:val="000000" w:themeColor="text1"/>
          <w:spacing w:val="4"/>
          <w:kern w:val="0"/>
          <w:sz w:val="22"/>
          <w:szCs w:val="24"/>
          <w:highlight w:val="none"/>
          <w14:textFill>
            <w14:solidFill>
              <w14:schemeClr w14:val="tx1"/>
            </w14:solidFill>
          </w14:textFill>
        </w:rPr>
      </w:pPr>
      <w:r>
        <w:rPr>
          <w:rFonts w:hint="eastAsia" w:ascii="宋体" w:hAnsi="宋体" w:cs="宋体"/>
          <w:color w:val="000000" w:themeColor="text1"/>
          <w:spacing w:val="4"/>
          <w:kern w:val="0"/>
          <w:sz w:val="22"/>
          <w:szCs w:val="24"/>
          <w:highlight w:val="none"/>
          <w14:textFill>
            <w14:solidFill>
              <w14:schemeClr w14:val="tx1"/>
            </w14:solidFill>
          </w14:textFill>
        </w:rPr>
        <w:t>3.综合费费率按25%统一取定。</w:t>
      </w:r>
    </w:p>
    <w:p>
      <w:pPr>
        <w:topLinePunct/>
        <w:adjustRightInd w:val="0"/>
        <w:snapToGrid w:val="0"/>
        <w:ind w:firstLine="465" w:firstLineChars="204"/>
        <w:rPr>
          <w:rFonts w:ascii="宋体" w:hAnsi="宋体" w:cs="宋体"/>
          <w:color w:val="000000" w:themeColor="text1"/>
          <w:spacing w:val="4"/>
          <w:kern w:val="0"/>
          <w:sz w:val="22"/>
          <w:szCs w:val="24"/>
          <w:highlight w:val="none"/>
          <w14:textFill>
            <w14:solidFill>
              <w14:schemeClr w14:val="tx1"/>
            </w14:solidFill>
          </w14:textFill>
        </w:rPr>
      </w:pPr>
      <w:r>
        <w:rPr>
          <w:rFonts w:hint="eastAsia" w:ascii="宋体" w:hAnsi="宋体" w:cs="宋体"/>
          <w:color w:val="000000" w:themeColor="text1"/>
          <w:spacing w:val="4"/>
          <w:kern w:val="0"/>
          <w:sz w:val="22"/>
          <w:szCs w:val="24"/>
          <w:highlight w:val="none"/>
          <w14:textFill>
            <w14:solidFill>
              <w14:schemeClr w14:val="tx1"/>
            </w14:solidFill>
          </w14:textFill>
        </w:rPr>
        <w:t>4.以上配电箱价格分析表中计算出的各配电箱“配电箱总价”等于分部分项清单计价表中的“主材费”。</w:t>
      </w:r>
    </w:p>
    <w:p>
      <w:pPr>
        <w:pBdr>
          <w:bottom w:val="single" w:color="auto" w:sz="6" w:space="1"/>
        </w:pBdr>
        <w:ind w:firstLine="440" w:firstLineChars="200"/>
        <w:rPr>
          <w:rFonts w:ascii="宋体" w:hAnsi="宋体" w:cs="宋体"/>
          <w:color w:val="000000" w:themeColor="text1"/>
          <w:kern w:val="0"/>
          <w:sz w:val="22"/>
          <w:szCs w:val="24"/>
          <w:highlight w:val="none"/>
          <w14:textFill>
            <w14:solidFill>
              <w14:schemeClr w14:val="tx1"/>
            </w14:solidFill>
          </w14:textFill>
        </w:rPr>
      </w:pPr>
      <w:r>
        <w:rPr>
          <w:rFonts w:hint="eastAsia" w:ascii="宋体" w:hAnsi="宋体" w:cs="宋体"/>
          <w:color w:val="000000" w:themeColor="text1"/>
          <w:kern w:val="0"/>
          <w:sz w:val="22"/>
          <w:szCs w:val="24"/>
          <w:highlight w:val="none"/>
          <w14:textFill>
            <w14:solidFill>
              <w14:schemeClr w14:val="tx1"/>
            </w14:solidFill>
          </w14:textFill>
        </w:rPr>
        <w:t>5.如投标人未填报配电箱价格分析表，则新增配电箱箱体价格以出线回路总位数统一按合同中《新增配电箱箱体税前价格计算表》计取。</w:t>
      </w:r>
    </w:p>
    <w:p>
      <w:pPr>
        <w:pBdr>
          <w:bottom w:val="single" w:color="auto" w:sz="6" w:space="1"/>
        </w:pBdr>
        <w:spacing w:line="360" w:lineRule="auto"/>
        <w:ind w:firstLine="600" w:firstLineChars="250"/>
        <w:rPr>
          <w:rFonts w:ascii="宋体" w:hAnsi="宋体" w:cs="宋体"/>
          <w:color w:val="000000" w:themeColor="text1"/>
          <w:sz w:val="24"/>
          <w:szCs w:val="24"/>
          <w:highlight w:val="none"/>
          <w:u w:val="single"/>
          <w14:textFill>
            <w14:solidFill>
              <w14:schemeClr w14:val="tx1"/>
            </w14:solidFill>
          </w14:textFill>
        </w:rPr>
      </w:pPr>
      <w:r>
        <w:rPr>
          <w:rFonts w:hint="eastAsia" w:ascii="宋体" w:hAnsi="宋体" w:cs="宋体"/>
          <w:color w:val="000000" w:themeColor="text1"/>
          <w:kern w:val="0"/>
          <w:sz w:val="24"/>
          <w:szCs w:val="24"/>
          <w:highlight w:val="none"/>
          <w:u w:val="single"/>
          <w14:textFill>
            <w14:solidFill>
              <w14:schemeClr w14:val="tx1"/>
            </w14:solidFill>
          </w14:textFill>
        </w:rPr>
        <w:t>（二）</w:t>
      </w:r>
      <w:r>
        <w:rPr>
          <w:rFonts w:hint="eastAsia" w:ascii="宋体" w:hAnsi="宋体" w:cs="宋体"/>
          <w:color w:val="000000" w:themeColor="text1"/>
          <w:sz w:val="24"/>
          <w:szCs w:val="24"/>
          <w:highlight w:val="none"/>
          <w:u w:val="single"/>
          <w14:textFill>
            <w14:solidFill>
              <w14:schemeClr w14:val="tx1"/>
            </w14:solidFill>
          </w14:textFill>
        </w:rPr>
        <w:t>中标单位在中标公示后，签订合同前，须提供与所递交投标电子标书内容一致且加盖单位公章的纸质文件四套及电子文件二套（不用生成投标书；包括用Microsoft Excel 软件或广州公共资源交易中心提供的投标书制作软件制作的工程量清单报价表和单价分析表，用Microsoft Word软件或广州公共资源交易中心提供的投标书制作软件制作的经济投标文件其他部分；以及与所递交投标电子标书内容一致的投标版计价软件及XML投标版cos文件；补齐遗漏表格及相关内容或者无条件接受招标人给出的表格及相关内容。电子文件介质使用CD-R光盘，所有电子文件不能采用压缩处理）给招标人。</w:t>
      </w:r>
    </w:p>
    <w:p>
      <w:pPr>
        <w:spacing w:line="440" w:lineRule="exact"/>
        <w:ind w:firstLine="540" w:firstLineChars="224"/>
        <w:rPr>
          <w:rFonts w:ascii="宋体" w:hAnsi="宋体" w:cs="宋体"/>
          <w:b/>
          <w:color w:val="000000" w:themeColor="text1"/>
          <w:sz w:val="24"/>
          <w:highlight w:val="non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条款号： 34            修改类型：增加</w:t>
      </w:r>
    </w:p>
    <w:p>
      <w:pPr>
        <w:pBdr>
          <w:bottom w:val="single" w:color="auto" w:sz="6" w:space="1"/>
        </w:pBdr>
        <w:spacing w:line="440" w:lineRule="exact"/>
        <w:ind w:firstLine="482" w:firstLineChars="200"/>
        <w:rPr>
          <w:rFonts w:ascii="宋体" w:hAnsi="宋体" w:cs="宋体"/>
          <w:color w:val="000000" w:themeColor="text1"/>
          <w:sz w:val="24"/>
          <w:highlight w:val="none"/>
          <w:u w:val="single"/>
          <w14:textFill>
            <w14:solidFill>
              <w14:schemeClr w14:val="tx1"/>
            </w14:solidFill>
          </w14:textFill>
        </w:rPr>
      </w:pPr>
      <w:r>
        <w:rPr>
          <w:rFonts w:hint="eastAsia" w:ascii="宋体" w:hAnsi="宋体" w:cs="宋体"/>
          <w:b/>
          <w:color w:val="000000" w:themeColor="text1"/>
          <w:sz w:val="24"/>
          <w:highlight w:val="none"/>
          <w14:textFill>
            <w14:solidFill>
              <w14:schemeClr w14:val="tx1"/>
            </w14:solidFill>
          </w14:textFill>
        </w:rPr>
        <w:t>现文：</w:t>
      </w:r>
      <w:r>
        <w:rPr>
          <w:rFonts w:hint="eastAsia" w:ascii="宋体" w:hAnsi="宋体" w:cs="宋体"/>
          <w:color w:val="000000" w:themeColor="text1"/>
          <w:sz w:val="24"/>
          <w:szCs w:val="24"/>
          <w:highlight w:val="none"/>
          <w:u w:val="single"/>
          <w14:textFill>
            <w14:solidFill>
              <w14:schemeClr w14:val="tx1"/>
            </w14:solidFill>
          </w14:textFill>
        </w:rPr>
        <w:t xml:space="preserve">34. </w:t>
      </w:r>
      <w:r>
        <w:rPr>
          <w:rFonts w:hint="eastAsia" w:ascii="宋体" w:hAnsi="宋体" w:cs="宋体"/>
          <w:bCs/>
          <w:snapToGrid w:val="0"/>
          <w:color w:val="000000" w:themeColor="text1"/>
          <w:kern w:val="0"/>
          <w:sz w:val="24"/>
          <w:highlight w:val="none"/>
          <w:u w:val="single"/>
          <w14:textFill>
            <w14:solidFill>
              <w14:schemeClr w14:val="tx1"/>
            </w14:solidFill>
          </w14:textFill>
        </w:rPr>
        <w:t>在招标人与中标人签订合同或办理施工许可前，招标人将会核查中标人委派的项目负责人在建项目任职情况，如发现委派的项目负责人在其他在建项目中任职的，承包人应以书面形式向监理单位提出更换项目负责人意向（附前任和后任人员的详细履历资料），经总监理工程师签署意见后向发包人提出申请，征得发包人同意后更换项目负责人。承包人必须保证后任人员的资质、资历、业绩、实际工作能力不低于前任人员的素质。即使征得发包人同意更换的，承包人仍需承担严重违约责任1次，且自撤换之日起一年内，该项目负责人不得再作为发包人后续招标项目时拟委派项目管理机构的项目负责人。</w:t>
      </w:r>
    </w:p>
    <w:p>
      <w:pPr>
        <w:spacing w:line="360" w:lineRule="auto"/>
        <w:ind w:firstLine="211" w:firstLineChars="100"/>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注：以上修改，仅限于本范本中有可供选择条款的情形。</w:t>
      </w:r>
    </w:p>
    <w:p>
      <w:pPr>
        <w:spacing w:line="360" w:lineRule="auto"/>
        <w:rPr>
          <w:color w:val="000000" w:themeColor="text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（以下无正文）</w:t>
      </w:r>
    </w:p>
    <w:p>
      <w:pPr>
        <w:pStyle w:val="4"/>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bookmarkStart w:id="6" w:name="_Toc2272548"/>
      <w:bookmarkStart w:id="7" w:name="_Toc21525492"/>
      <w:r>
        <w:rPr>
          <w:rFonts w:hint="eastAsia"/>
          <w:color w:val="000000" w:themeColor="text1"/>
          <w:highlight w:val="none"/>
          <w14:textFill>
            <w14:solidFill>
              <w14:schemeClr w14:val="tx1"/>
            </w14:solidFill>
          </w14:textFill>
        </w:rPr>
        <w:t>三、投标须知通用条款</w:t>
      </w:r>
      <w:bookmarkEnd w:id="6"/>
      <w:bookmarkEnd w:id="7"/>
    </w:p>
    <w:p>
      <w:pPr>
        <w:pStyle w:val="6"/>
        <w:spacing w:before="156" w:after="156"/>
        <w:rPr>
          <w:color w:val="000000" w:themeColor="text1"/>
          <w:highlight w:val="none"/>
          <w14:textFill>
            <w14:solidFill>
              <w14:schemeClr w14:val="tx1"/>
            </w14:solidFill>
          </w14:textFill>
        </w:rPr>
      </w:pPr>
      <w:bookmarkStart w:id="8" w:name="_Toc2272549"/>
      <w:bookmarkStart w:id="9" w:name="_Toc21525493"/>
      <w:r>
        <w:rPr>
          <w:rFonts w:hint="eastAsia"/>
          <w:color w:val="000000" w:themeColor="text1"/>
          <w:highlight w:val="none"/>
          <w14:textFill>
            <w14:solidFill>
              <w14:schemeClr w14:val="tx1"/>
            </w14:solidFill>
          </w14:textFill>
        </w:rPr>
        <w:t>（一）总则</w:t>
      </w:r>
      <w:bookmarkEnd w:id="8"/>
      <w:bookmarkEnd w:id="9"/>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w:t>
      </w:r>
      <w:r>
        <w:rPr>
          <w:rFonts w:hint="eastAsia" w:ascii="宋体" w:hAnsi="宋体"/>
          <w:b/>
          <w:bCs/>
          <w:color w:val="000000" w:themeColor="text1"/>
          <w:sz w:val="24"/>
          <w:highlight w:val="none"/>
          <w14:textFill>
            <w14:solidFill>
              <w14:schemeClr w14:val="tx1"/>
            </w14:solidFill>
          </w14:textFill>
        </w:rPr>
        <w:t>、定义</w:t>
      </w:r>
    </w:p>
    <w:p>
      <w:pPr>
        <w:pStyle w:val="17"/>
        <w:spacing w:after="0" w:line="360" w:lineRule="auto"/>
        <w:ind w:firstLine="480" w:firstLineChars="200"/>
        <w:rPr>
          <w:rFonts w:ascii="宋体"/>
          <w:b/>
          <w:bCs/>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本招标文件使用的下列词语具有如下规定的意义：</w:t>
      </w:r>
    </w:p>
    <w:p>
      <w:pPr>
        <w:pStyle w:val="17"/>
        <w:spacing w:after="0" w:line="360" w:lineRule="auto"/>
        <w:ind w:firstLine="480" w:firstLineChars="200"/>
        <w:rPr>
          <w:rFonts w:ascii="宋体"/>
          <w:b/>
          <w:bCs/>
          <w:color w:val="000000" w:themeColor="text1"/>
          <w:sz w:val="24"/>
          <w:highlight w:val="none"/>
          <w:u w:val="singl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）“招标人”（即发包人）、“项目建设管理单位</w:t>
      </w:r>
      <w:r>
        <w:rPr>
          <w:rFonts w:hint="eastAsia"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（或称“项目代建单位”）、“招标代理”、“设计单位”、“监理单位”均已在投标须知前附表中列明。</w:t>
      </w:r>
    </w:p>
    <w:p>
      <w:pPr>
        <w:pStyle w:val="17"/>
        <w:spacing w:after="0" w:line="360" w:lineRule="auto"/>
        <w:ind w:firstLine="480" w:firstLineChars="200"/>
        <w:rPr>
          <w:rFonts w:ascii="宋体"/>
          <w:color w:val="000000" w:themeColor="text1"/>
          <w:sz w:val="24"/>
          <w:highlight w:val="none"/>
          <w:u w:val="singl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）“投标人”指向招标人提交投标文件的当事人。</w:t>
      </w:r>
      <w:r>
        <w:rPr>
          <w:rFonts w:ascii="宋体" w:hAnsi="宋体"/>
          <w:color w:val="000000" w:themeColor="text1"/>
          <w:sz w:val="24"/>
          <w:highlight w:val="none"/>
          <w14:textFill>
            <w14:solidFill>
              <w14:schemeClr w14:val="tx1"/>
            </w14:solidFill>
          </w14:textFill>
        </w:rPr>
        <w:t xml:space="preserve">   </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）“承包人”指其投标被招标人接受并与其签订承包合同的当事人。</w:t>
      </w:r>
    </w:p>
    <w:p>
      <w:pPr>
        <w:pStyle w:val="17"/>
        <w:spacing w:after="0" w:line="360" w:lineRule="auto"/>
        <w:ind w:firstLine="480" w:firstLineChars="200"/>
        <w:rPr>
          <w:rFonts w:ascii="宋体"/>
          <w:color w:val="000000" w:themeColor="text1"/>
          <w:sz w:val="24"/>
          <w:highlight w:val="none"/>
          <w:u w:val="singl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4</w:t>
      </w:r>
      <w:r>
        <w:rPr>
          <w:rFonts w:hint="eastAsia" w:ascii="宋体" w:hAnsi="宋体"/>
          <w:color w:val="000000" w:themeColor="text1"/>
          <w:sz w:val="24"/>
          <w:highlight w:val="none"/>
          <w14:textFill>
            <w14:solidFill>
              <w14:schemeClr w14:val="tx1"/>
            </w14:solidFill>
          </w14:textFill>
        </w:rPr>
        <w:t>）“招标文件”指由招标代理发出的本文件（包括全部章节、附件）及招标答疑会会议纪要和</w:t>
      </w:r>
      <w:r>
        <w:rPr>
          <w:rFonts w:hint="eastAsia" w:ascii="宋体" w:hAnsi="宋体"/>
          <w:bCs/>
          <w:color w:val="000000" w:themeColor="text1"/>
          <w:sz w:val="24"/>
          <w:highlight w:val="none"/>
          <w14:textFill>
            <w14:solidFill>
              <w14:schemeClr w14:val="tx1"/>
            </w14:solidFill>
          </w14:textFill>
        </w:rPr>
        <w:t>招标文件的澄清与修改</w:t>
      </w:r>
      <w:r>
        <w:rPr>
          <w:rFonts w:hint="eastAsia" w:ascii="宋体" w:hAnsi="宋体"/>
          <w:color w:val="000000" w:themeColor="text1"/>
          <w:sz w:val="24"/>
          <w:highlight w:val="none"/>
          <w14:textFill>
            <w14:solidFill>
              <w14:schemeClr w14:val="tx1"/>
            </w14:solidFill>
          </w14:textFill>
        </w:rPr>
        <w:t>文件。</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5</w:t>
      </w:r>
      <w:r>
        <w:rPr>
          <w:rFonts w:hint="eastAsia" w:ascii="宋体" w:hAnsi="宋体"/>
          <w:color w:val="000000" w:themeColor="text1"/>
          <w:sz w:val="24"/>
          <w:highlight w:val="none"/>
          <w14:textFill>
            <w14:solidFill>
              <w14:schemeClr w14:val="tx1"/>
            </w14:solidFill>
          </w14:textFill>
        </w:rPr>
        <w:t>）“投标文件”指投标人根据本项目招标文件向招标人提交的全部文件。</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6</w:t>
      </w:r>
      <w:r>
        <w:rPr>
          <w:rFonts w:hint="eastAsia" w:ascii="宋体" w:hAnsi="宋体"/>
          <w:color w:val="000000" w:themeColor="text1"/>
          <w:sz w:val="24"/>
          <w:highlight w:val="none"/>
          <w14:textFill>
            <w14:solidFill>
              <w14:schemeClr w14:val="tx1"/>
            </w14:solidFill>
          </w14:textFill>
        </w:rPr>
        <w:t>）“书面形式”指打字或印刷的文件和数据电文（包括电报、电传、传真、电子数据交换和电子邮件）。</w:t>
      </w:r>
    </w:p>
    <w:p>
      <w:pPr>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2</w:t>
      </w:r>
      <w:r>
        <w:rPr>
          <w:rFonts w:hint="eastAsia" w:ascii="宋体" w:hAnsi="宋体"/>
          <w:b/>
          <w:color w:val="000000" w:themeColor="text1"/>
          <w:sz w:val="24"/>
          <w:highlight w:val="none"/>
          <w14:textFill>
            <w14:solidFill>
              <w14:schemeClr w14:val="tx1"/>
            </w14:solidFill>
          </w14:textFill>
        </w:rPr>
        <w:t>、招标说明</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2.1</w:t>
      </w:r>
      <w:r>
        <w:rPr>
          <w:rFonts w:hint="eastAsia" w:ascii="宋体" w:hAnsi="宋体"/>
          <w:bCs/>
          <w:color w:val="000000" w:themeColor="text1"/>
          <w:sz w:val="24"/>
          <w:highlight w:val="none"/>
          <w14:textFill>
            <w14:solidFill>
              <w14:schemeClr w14:val="tx1"/>
            </w14:solidFill>
          </w14:textFill>
        </w:rPr>
        <w:t>本招标工程项目按照《中华人民共和国招标投标法》等有关法律、行政法规、规章和规范性文件，通过招标方式选定承包人。</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2.2</w:t>
      </w:r>
      <w:r>
        <w:rPr>
          <w:rFonts w:hint="eastAsia" w:ascii="宋体" w:hAnsi="宋体"/>
          <w:bCs/>
          <w:color w:val="000000" w:themeColor="text1"/>
          <w:sz w:val="24"/>
          <w:highlight w:val="none"/>
          <w14:textFill>
            <w14:solidFill>
              <w14:schemeClr w14:val="tx1"/>
            </w14:solidFill>
          </w14:textFill>
        </w:rPr>
        <w:t>工程名称、建设地点、建设规模、承包方式、质量标准、招标范围、工期要求等均在投标须知前附表中列明。</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2.3</w:t>
      </w:r>
      <w:r>
        <w:rPr>
          <w:rFonts w:hint="eastAsia" w:ascii="宋体" w:hAnsi="宋体"/>
          <w:bCs/>
          <w:color w:val="000000" w:themeColor="text1"/>
          <w:sz w:val="24"/>
          <w:highlight w:val="none"/>
          <w14:textFill>
            <w14:solidFill>
              <w14:schemeClr w14:val="tx1"/>
            </w14:solidFill>
          </w14:textFill>
        </w:rPr>
        <w:t>设计说明：详见招标图纸。</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2.4</w:t>
      </w:r>
      <w:r>
        <w:rPr>
          <w:rFonts w:hint="eastAsia" w:ascii="宋体" w:hAnsi="宋体"/>
          <w:bCs/>
          <w:color w:val="000000" w:themeColor="text1"/>
          <w:sz w:val="24"/>
          <w:highlight w:val="none"/>
          <w14:textFill>
            <w14:solidFill>
              <w14:schemeClr w14:val="tx1"/>
            </w14:solidFill>
          </w14:textFill>
        </w:rPr>
        <w:t>工程施工特点：详见招标图纸。</w:t>
      </w:r>
    </w:p>
    <w:p>
      <w:pPr>
        <w:tabs>
          <w:tab w:val="left" w:pos="105"/>
        </w:tabs>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3</w:t>
      </w:r>
      <w:r>
        <w:rPr>
          <w:rFonts w:hint="eastAsia" w:ascii="宋体" w:hAnsi="宋体"/>
          <w:b/>
          <w:color w:val="000000" w:themeColor="text1"/>
          <w:sz w:val="24"/>
          <w:highlight w:val="none"/>
          <w14:textFill>
            <w14:solidFill>
              <w14:schemeClr w14:val="tx1"/>
            </w14:solidFill>
          </w14:textFill>
        </w:rPr>
        <w:t>．资金来源</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3.1</w:t>
      </w:r>
      <w:r>
        <w:rPr>
          <w:rFonts w:hint="eastAsia" w:ascii="宋体" w:hAnsi="宋体"/>
          <w:bCs/>
          <w:color w:val="000000" w:themeColor="text1"/>
          <w:sz w:val="24"/>
          <w:highlight w:val="none"/>
          <w14:textFill>
            <w14:solidFill>
              <w14:schemeClr w14:val="tx1"/>
            </w14:solidFill>
          </w14:textFill>
        </w:rPr>
        <w:t>本招标工程项目资金来源见投标须知前附表第</w:t>
      </w:r>
      <w:r>
        <w:rPr>
          <w:rFonts w:ascii="宋体" w:hAnsi="宋体"/>
          <w:bCs/>
          <w:color w:val="000000" w:themeColor="text1"/>
          <w:sz w:val="24"/>
          <w:highlight w:val="none"/>
          <w14:textFill>
            <w14:solidFill>
              <w14:schemeClr w14:val="tx1"/>
            </w14:solidFill>
          </w14:textFill>
        </w:rPr>
        <w:t>9</w:t>
      </w:r>
      <w:r>
        <w:rPr>
          <w:rFonts w:hint="eastAsia" w:ascii="宋体" w:hAnsi="宋体"/>
          <w:bCs/>
          <w:color w:val="000000" w:themeColor="text1"/>
          <w:sz w:val="24"/>
          <w:highlight w:val="none"/>
          <w14:textFill>
            <w14:solidFill>
              <w14:schemeClr w14:val="tx1"/>
            </w14:solidFill>
          </w14:textFill>
        </w:rPr>
        <w:t>项</w:t>
      </w:r>
    </w:p>
    <w:p>
      <w:pPr>
        <w:tabs>
          <w:tab w:val="left" w:pos="105"/>
        </w:tabs>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4</w:t>
      </w:r>
      <w:r>
        <w:rPr>
          <w:rFonts w:hint="eastAsia" w:ascii="宋体" w:hAnsi="宋体"/>
          <w:b/>
          <w:color w:val="000000" w:themeColor="text1"/>
          <w:sz w:val="24"/>
          <w:highlight w:val="none"/>
          <w14:textFill>
            <w14:solidFill>
              <w14:schemeClr w14:val="tx1"/>
            </w14:solidFill>
          </w14:textFill>
        </w:rPr>
        <w:t>．合格投标人的条件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4.1</w:t>
      </w:r>
      <w:r>
        <w:rPr>
          <w:rFonts w:hint="eastAsia" w:ascii="宋体" w:hAnsi="宋体"/>
          <w:bCs/>
          <w:color w:val="000000" w:themeColor="text1"/>
          <w:sz w:val="24"/>
          <w:highlight w:val="none"/>
          <w14:textFill>
            <w14:solidFill>
              <w14:schemeClr w14:val="tx1"/>
            </w14:solidFill>
          </w14:textFill>
        </w:rPr>
        <w:t>详见本项目招标公告</w:t>
      </w:r>
    </w:p>
    <w:p>
      <w:pPr>
        <w:tabs>
          <w:tab w:val="left" w:pos="105"/>
        </w:tabs>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5</w:t>
      </w:r>
      <w:r>
        <w:rPr>
          <w:rFonts w:hint="eastAsia" w:ascii="宋体" w:hAnsi="宋体"/>
          <w:b/>
          <w:color w:val="000000" w:themeColor="text1"/>
          <w:sz w:val="24"/>
          <w:highlight w:val="none"/>
          <w14:textFill>
            <w14:solidFill>
              <w14:schemeClr w14:val="tx1"/>
            </w14:solidFill>
          </w14:textFill>
        </w:rPr>
        <w:t>．踏勘现场</w:t>
      </w:r>
    </w:p>
    <w:p>
      <w:pPr>
        <w:spacing w:line="360" w:lineRule="auto"/>
        <w:ind w:firstLine="480" w:firstLineChars="200"/>
        <w:rPr>
          <w:rFonts w:ascii="宋体"/>
          <w:bCs/>
          <w:color w:val="000000" w:themeColor="text1"/>
          <w:sz w:val="24"/>
          <w:highlight w:val="none"/>
          <w:u w:val="single"/>
          <w14:textFill>
            <w14:solidFill>
              <w14:schemeClr w14:val="tx1"/>
            </w14:solidFill>
          </w14:textFill>
        </w:rPr>
      </w:pPr>
      <w:r>
        <w:rPr>
          <w:rFonts w:ascii="宋体" w:hAnsi="宋体"/>
          <w:bCs/>
          <w:color w:val="000000" w:themeColor="text1"/>
          <w:sz w:val="24"/>
          <w:highlight w:val="none"/>
          <w14:textFill>
            <w14:solidFill>
              <w14:schemeClr w14:val="tx1"/>
            </w14:solidFill>
          </w14:textFill>
        </w:rPr>
        <w:t xml:space="preserve">5.1 </w:t>
      </w:r>
      <w:r>
        <w:rPr>
          <w:rFonts w:hint="eastAsia" w:ascii="宋体" w:hAnsi="宋体"/>
          <w:bCs/>
          <w:color w:val="000000" w:themeColor="text1"/>
          <w:sz w:val="24"/>
          <w:highlight w:val="none"/>
          <w14:textFill>
            <w14:solidFill>
              <w14:schemeClr w14:val="tx1"/>
            </w14:solidFill>
          </w14:textFill>
        </w:rPr>
        <w:t>投标人应按本投标须知前附表第</w:t>
      </w:r>
      <w:r>
        <w:rPr>
          <w:rFonts w:ascii="宋体" w:hAnsi="宋体"/>
          <w:bCs/>
          <w:color w:val="000000" w:themeColor="text1"/>
          <w:sz w:val="24"/>
          <w:highlight w:val="none"/>
          <w14:textFill>
            <w14:solidFill>
              <w14:schemeClr w14:val="tx1"/>
            </w14:solidFill>
          </w14:textFill>
        </w:rPr>
        <w:t>15</w:t>
      </w:r>
      <w:r>
        <w:rPr>
          <w:rFonts w:hint="eastAsia" w:ascii="宋体" w:hAnsi="宋体"/>
          <w:bCs/>
          <w:color w:val="000000" w:themeColor="text1"/>
          <w:sz w:val="24"/>
          <w:highlight w:val="none"/>
          <w14:textFill>
            <w14:solidFill>
              <w14:schemeClr w14:val="tx1"/>
            </w14:solidFill>
          </w14:textFill>
        </w:rPr>
        <w:t>项所述时间和要求对工程现场及周围环境进行踏勘，</w:t>
      </w:r>
      <w:r>
        <w:rPr>
          <w:rFonts w:hint="eastAsia" w:ascii="宋体" w:hAnsi="宋体"/>
          <w:color w:val="000000" w:themeColor="text1"/>
          <w:sz w:val="24"/>
          <w:highlight w:val="none"/>
          <w14:textFill>
            <w14:solidFill>
              <w14:schemeClr w14:val="tx1"/>
            </w14:solidFill>
          </w14:textFill>
        </w:rPr>
        <w:t>投标人应充分重视和仔细地进行这种考察，</w:t>
      </w:r>
      <w:r>
        <w:rPr>
          <w:rFonts w:hint="eastAsia" w:ascii="宋体" w:hAnsi="宋体"/>
          <w:bCs/>
          <w:color w:val="000000" w:themeColor="text1"/>
          <w:sz w:val="24"/>
          <w:highlight w:val="none"/>
          <w14:textFill>
            <w14:solidFill>
              <w14:schemeClr w14:val="tx1"/>
            </w14:solidFill>
          </w14:textFill>
        </w:rPr>
        <w:t>以便投标人获取</w:t>
      </w:r>
      <w:r>
        <w:rPr>
          <w:rFonts w:hint="eastAsia" w:ascii="宋体" w:hAnsi="宋体"/>
          <w:color w:val="000000" w:themeColor="text1"/>
          <w:sz w:val="24"/>
          <w:highlight w:val="none"/>
          <w14:textFill>
            <w14:solidFill>
              <w14:schemeClr w14:val="tx1"/>
            </w14:solidFill>
          </w14:textFill>
        </w:rPr>
        <w:t>那些须投标人自己负责的</w:t>
      </w:r>
      <w:r>
        <w:rPr>
          <w:rFonts w:hint="eastAsia" w:ascii="宋体" w:hAnsi="宋体"/>
          <w:bCs/>
          <w:color w:val="000000" w:themeColor="text1"/>
          <w:sz w:val="24"/>
          <w:highlight w:val="none"/>
          <w14:textFill>
            <w14:solidFill>
              <w14:schemeClr w14:val="tx1"/>
            </w14:solidFill>
          </w14:textFill>
        </w:rPr>
        <w:t>有关编制投标文件和签署合同所涉及现场所有的资料。</w:t>
      </w:r>
      <w:r>
        <w:rPr>
          <w:rFonts w:hint="eastAsia" w:ascii="宋体" w:hAnsi="宋体"/>
          <w:color w:val="000000" w:themeColor="text1"/>
          <w:sz w:val="24"/>
          <w:highlight w:val="none"/>
          <w14:textFill>
            <w14:solidFill>
              <w14:schemeClr w14:val="tx1"/>
            </w14:solidFill>
          </w14:textFill>
        </w:rPr>
        <w:t>一旦中标，这种考察即被认为其结果已在中标文件中得到充分反映。考察现场的费用由投标人自己承担。</w:t>
      </w:r>
    </w:p>
    <w:p>
      <w:pPr>
        <w:tabs>
          <w:tab w:val="left" w:pos="105"/>
        </w:tabs>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 xml:space="preserve">5.2 </w:t>
      </w:r>
      <w:r>
        <w:rPr>
          <w:rFonts w:hint="eastAsia" w:ascii="宋体" w:hAnsi="宋体"/>
          <w:bCs/>
          <w:color w:val="000000" w:themeColor="text1"/>
          <w:sz w:val="24"/>
          <w:highlight w:val="none"/>
          <w14:textFill>
            <w14:solidFill>
              <w14:schemeClr w14:val="tx1"/>
            </w14:solidFill>
          </w14:textFill>
        </w:rPr>
        <w:t>招标人向投标人提供的有关现场的数据和资料，是招标人现有的能被投标人利用的资料，招标人对投标人做出的任何推论、理解和结论均不负责任。</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 xml:space="preserve">5.3 </w:t>
      </w:r>
      <w:r>
        <w:rPr>
          <w:rFonts w:hint="eastAsia" w:ascii="宋体" w:hAnsi="宋体"/>
          <w:bCs/>
          <w:color w:val="000000" w:themeColor="text1"/>
          <w:sz w:val="24"/>
          <w:highlight w:val="none"/>
          <w14:textFill>
            <w14:solidFill>
              <w14:schemeClr w14:val="tx1"/>
            </w14:solidFill>
          </w14:textFill>
        </w:rPr>
        <w:t>经招标人允许，投标人可为踏勘目的进入招标人的项目现场。</w:t>
      </w:r>
      <w:r>
        <w:rPr>
          <w:rFonts w:hint="eastAsia" w:ascii="宋体" w:hAnsi="宋体"/>
          <w:color w:val="000000" w:themeColor="text1"/>
          <w:sz w:val="24"/>
          <w:highlight w:val="none"/>
          <w14:textFill>
            <w14:solidFill>
              <w14:schemeClr w14:val="tx1"/>
            </w14:solidFill>
          </w14:textFill>
        </w:rPr>
        <w:t>在考察过程中，投标人及其代表必须承担那些进入现场后，由于他们的行为所造成的人身伤害（不管是否致命）、财产损失或损坏，以及其他任何原因造成的损失、损坏或费用，</w:t>
      </w:r>
      <w:r>
        <w:rPr>
          <w:rFonts w:hint="eastAsia" w:ascii="宋体" w:hAnsi="宋体"/>
          <w:bCs/>
          <w:color w:val="000000" w:themeColor="text1"/>
          <w:sz w:val="24"/>
          <w:highlight w:val="none"/>
          <w14:textFill>
            <w14:solidFill>
              <w14:schemeClr w14:val="tx1"/>
            </w14:solidFill>
          </w14:textFill>
        </w:rPr>
        <w:t>投标人不得因此使招标人承担有关的责任和蒙受损失。</w:t>
      </w:r>
    </w:p>
    <w:p>
      <w:pPr>
        <w:tabs>
          <w:tab w:val="left" w:pos="105"/>
        </w:tabs>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6</w:t>
      </w:r>
      <w:r>
        <w:rPr>
          <w:rFonts w:hint="eastAsia" w:ascii="宋体" w:hAnsi="宋体"/>
          <w:b/>
          <w:color w:val="000000" w:themeColor="text1"/>
          <w:sz w:val="24"/>
          <w:highlight w:val="none"/>
          <w14:textFill>
            <w14:solidFill>
              <w14:schemeClr w14:val="tx1"/>
            </w14:solidFill>
          </w14:textFill>
        </w:rPr>
        <w:t>．投标费用</w:t>
      </w:r>
    </w:p>
    <w:p>
      <w:pPr>
        <w:tabs>
          <w:tab w:val="left" w:pos="105"/>
        </w:tabs>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6.1</w:t>
      </w:r>
      <w:r>
        <w:rPr>
          <w:rFonts w:hint="eastAsia" w:ascii="宋体" w:hAnsi="宋体"/>
          <w:color w:val="000000" w:themeColor="text1"/>
          <w:sz w:val="24"/>
          <w:highlight w:val="none"/>
          <w14:textFill>
            <w14:solidFill>
              <w14:schemeClr w14:val="tx1"/>
            </w14:solidFill>
          </w14:textFill>
        </w:rPr>
        <w:t>不论投标结果如何，投标人应承担</w:t>
      </w:r>
      <w:r>
        <w:rPr>
          <w:rFonts w:hint="eastAsia" w:ascii="宋体" w:hAnsi="宋体"/>
          <w:bCs/>
          <w:color w:val="000000" w:themeColor="text1"/>
          <w:sz w:val="24"/>
          <w:highlight w:val="none"/>
          <w14:textFill>
            <w14:solidFill>
              <w14:schemeClr w14:val="tx1"/>
            </w14:solidFill>
          </w14:textFill>
        </w:rPr>
        <w:t>自身</w:t>
      </w:r>
      <w:r>
        <w:rPr>
          <w:rFonts w:hint="eastAsia" w:ascii="宋体" w:hAnsi="宋体"/>
          <w:color w:val="000000" w:themeColor="text1"/>
          <w:sz w:val="24"/>
          <w:highlight w:val="none"/>
          <w14:textFill>
            <w14:solidFill>
              <w14:schemeClr w14:val="tx1"/>
            </w14:solidFill>
          </w14:textFill>
        </w:rPr>
        <w:t>因投标文件编制、递交及其他</w:t>
      </w:r>
      <w:r>
        <w:rPr>
          <w:rFonts w:hint="eastAsia" w:ascii="宋体" w:hAnsi="宋体"/>
          <w:bCs/>
          <w:color w:val="000000" w:themeColor="text1"/>
          <w:sz w:val="24"/>
          <w:highlight w:val="none"/>
          <w14:textFill>
            <w14:solidFill>
              <w14:schemeClr w14:val="tx1"/>
            </w14:solidFill>
          </w14:textFill>
        </w:rPr>
        <w:t>参加本招标活动</w:t>
      </w:r>
      <w:r>
        <w:rPr>
          <w:rFonts w:hint="eastAsia" w:ascii="宋体" w:hAnsi="宋体"/>
          <w:color w:val="000000" w:themeColor="text1"/>
          <w:sz w:val="24"/>
          <w:highlight w:val="none"/>
          <w14:textFill>
            <w14:solidFill>
              <w14:schemeClr w14:val="tx1"/>
            </w14:solidFill>
          </w14:textFill>
        </w:rPr>
        <w:t>所涉及的一切费用，招标人对上述费用不负任何责任。</w:t>
      </w:r>
    </w:p>
    <w:p>
      <w:pPr>
        <w:pStyle w:val="6"/>
        <w:spacing w:before="156" w:after="156"/>
        <w:rPr>
          <w:color w:val="000000" w:themeColor="text1"/>
          <w:highlight w:val="none"/>
          <w14:textFill>
            <w14:solidFill>
              <w14:schemeClr w14:val="tx1"/>
            </w14:solidFill>
          </w14:textFill>
        </w:rPr>
      </w:pPr>
      <w:bookmarkStart w:id="10" w:name="_Toc21525494"/>
      <w:bookmarkStart w:id="11" w:name="_Toc2272550"/>
      <w:r>
        <w:rPr>
          <w:rFonts w:hint="eastAsia"/>
          <w:color w:val="000000" w:themeColor="text1"/>
          <w:highlight w:val="none"/>
          <w14:textFill>
            <w14:solidFill>
              <w14:schemeClr w14:val="tx1"/>
            </w14:solidFill>
          </w14:textFill>
        </w:rPr>
        <w:t>（二）招标文件</w:t>
      </w:r>
      <w:bookmarkEnd w:id="10"/>
      <w:bookmarkEnd w:id="11"/>
    </w:p>
    <w:p>
      <w:pPr>
        <w:tabs>
          <w:tab w:val="left" w:pos="105"/>
        </w:tabs>
        <w:spacing w:line="360" w:lineRule="auto"/>
        <w:ind w:firstLine="482" w:firstLineChars="200"/>
        <w:rPr>
          <w:rFonts w:ascii="宋体"/>
          <w:b/>
          <w:color w:val="000000" w:themeColor="text1"/>
          <w:sz w:val="24"/>
          <w:highlight w:val="none"/>
          <w14:textFill>
            <w14:solidFill>
              <w14:schemeClr w14:val="tx1"/>
            </w14:solidFill>
          </w14:textFill>
        </w:rPr>
      </w:pPr>
      <w:r>
        <w:rPr>
          <w:rFonts w:ascii="宋体" w:hAnsi="宋体"/>
          <w:b/>
          <w:color w:val="000000" w:themeColor="text1"/>
          <w:sz w:val="24"/>
          <w:highlight w:val="none"/>
          <w14:textFill>
            <w14:solidFill>
              <w14:schemeClr w14:val="tx1"/>
            </w14:solidFill>
          </w14:textFill>
        </w:rPr>
        <w:t>7.</w:t>
      </w:r>
      <w:r>
        <w:rPr>
          <w:rFonts w:hint="eastAsia" w:ascii="宋体" w:hAnsi="宋体"/>
          <w:b/>
          <w:color w:val="000000" w:themeColor="text1"/>
          <w:sz w:val="24"/>
          <w:highlight w:val="none"/>
          <w14:textFill>
            <w14:solidFill>
              <w14:schemeClr w14:val="tx1"/>
            </w14:solidFill>
          </w14:textFill>
        </w:rPr>
        <w:t>招标文件的组成</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7.1</w:t>
      </w:r>
      <w:r>
        <w:rPr>
          <w:rFonts w:hint="eastAsia" w:ascii="宋体" w:hAnsi="宋体"/>
          <w:color w:val="000000" w:themeColor="text1"/>
          <w:sz w:val="24"/>
          <w:highlight w:val="none"/>
          <w14:textFill>
            <w14:solidFill>
              <w14:schemeClr w14:val="tx1"/>
            </w14:solidFill>
          </w14:textFill>
        </w:rPr>
        <w:t>本招标文件包括下列文件，以及所有按本须知第</w:t>
      </w:r>
      <w:r>
        <w:rPr>
          <w:rFonts w:ascii="宋体" w:hAnsi="宋体"/>
          <w:color w:val="000000" w:themeColor="text1"/>
          <w:sz w:val="24"/>
          <w:highlight w:val="none"/>
          <w14:textFill>
            <w14:solidFill>
              <w14:schemeClr w14:val="tx1"/>
            </w14:solidFill>
          </w14:textFill>
        </w:rPr>
        <w:t>8</w:t>
      </w:r>
      <w:r>
        <w:rPr>
          <w:rFonts w:hint="eastAsia" w:ascii="宋体" w:hAnsi="宋体"/>
          <w:color w:val="000000" w:themeColor="text1"/>
          <w:sz w:val="24"/>
          <w:highlight w:val="none"/>
          <w14:textFill>
            <w14:solidFill>
              <w14:schemeClr w14:val="tx1"/>
            </w14:solidFill>
          </w14:textFill>
        </w:rPr>
        <w:t>条发出的招标答疑会会议纪要和按本须知第</w:t>
      </w:r>
      <w:r>
        <w:rPr>
          <w:rFonts w:ascii="宋体" w:hAnsi="宋体"/>
          <w:color w:val="000000" w:themeColor="text1"/>
          <w:sz w:val="24"/>
          <w:highlight w:val="none"/>
          <w14:textFill>
            <w14:solidFill>
              <w14:schemeClr w14:val="tx1"/>
            </w14:solidFill>
          </w14:textFill>
        </w:rPr>
        <w:t>9</w:t>
      </w:r>
      <w:r>
        <w:rPr>
          <w:rFonts w:hint="eastAsia" w:ascii="宋体" w:hAnsi="宋体"/>
          <w:color w:val="000000" w:themeColor="text1"/>
          <w:sz w:val="24"/>
          <w:highlight w:val="none"/>
          <w14:textFill>
            <w14:solidFill>
              <w14:schemeClr w14:val="tx1"/>
            </w14:solidFill>
          </w14:textFill>
        </w:rPr>
        <w:t>条发出的澄清或修改：</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第一章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投标须知</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第二章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开标、评标及定标办法</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第三章</w:t>
      </w:r>
      <w:r>
        <w:rPr>
          <w:rFonts w:ascii="宋体" w:hAnsi="宋体"/>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合同条款</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第四章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投标文件格式</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第五章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技术条件（工程建设标准）（另册）</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第六章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图纸及勘察资料（另册）</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第七章</w:t>
      </w:r>
      <w:r>
        <w:rPr>
          <w:rFonts w:ascii="宋体" w:hAnsi="宋体"/>
          <w:bCs/>
          <w:color w:val="000000" w:themeColor="text1"/>
          <w:sz w:val="24"/>
          <w:highlight w:val="none"/>
          <w14:textFill>
            <w14:solidFill>
              <w14:schemeClr w14:val="tx1"/>
            </w14:solidFill>
          </w14:textFill>
        </w:rPr>
        <w:t xml:space="preserve">  </w:t>
      </w:r>
      <w:r>
        <w:rPr>
          <w:rFonts w:hint="eastAsia" w:ascii="宋体" w:hAnsi="宋体"/>
          <w:bCs/>
          <w:color w:val="000000" w:themeColor="text1"/>
          <w:sz w:val="24"/>
          <w:highlight w:val="none"/>
          <w14:textFill>
            <w14:solidFill>
              <w14:schemeClr w14:val="tx1"/>
            </w14:solidFill>
          </w14:textFill>
        </w:rPr>
        <w:t>招标</w:t>
      </w:r>
      <w:r>
        <w:rPr>
          <w:rFonts w:hint="eastAsia" w:ascii="宋体" w:hAnsi="宋体"/>
          <w:color w:val="000000" w:themeColor="text1"/>
          <w:sz w:val="24"/>
          <w:highlight w:val="none"/>
          <w14:textFill>
            <w14:solidFill>
              <w14:schemeClr w14:val="tx1"/>
            </w14:solidFill>
          </w14:textFill>
        </w:rPr>
        <w:t>工程量清单（另册）</w:t>
      </w:r>
    </w:p>
    <w:p>
      <w:pPr>
        <w:pStyle w:val="17"/>
        <w:spacing w:after="0" w:line="360" w:lineRule="auto"/>
        <w:ind w:left="-2"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第八章</w:t>
      </w:r>
      <w:r>
        <w:rPr>
          <w:rFonts w:ascii="宋体" w:hAnsi="宋体"/>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最高投标限价</w:t>
      </w:r>
    </w:p>
    <w:p>
      <w:pPr>
        <w:pStyle w:val="17"/>
        <w:spacing w:after="0" w:line="360" w:lineRule="auto"/>
        <w:ind w:firstLine="482" w:firstLineChars="200"/>
        <w:rPr>
          <w:rFonts w:ascii="宋体" w:hAnsi="宋体"/>
          <w:b/>
          <w:bCs/>
          <w:color w:val="000000" w:themeColor="text1"/>
          <w:sz w:val="24"/>
          <w:szCs w:val="22"/>
          <w:highlight w:val="none"/>
          <w14:textFill>
            <w14:solidFill>
              <w14:schemeClr w14:val="tx1"/>
            </w14:solidFill>
          </w14:textFill>
        </w:rPr>
      </w:pPr>
      <w:r>
        <w:rPr>
          <w:rFonts w:hint="eastAsia" w:ascii="宋体" w:hAnsi="宋体"/>
          <w:b/>
          <w:bCs/>
          <w:color w:val="000000" w:themeColor="text1"/>
          <w:sz w:val="24"/>
          <w:szCs w:val="22"/>
          <w:highlight w:val="none"/>
          <w14:textFill>
            <w14:solidFill>
              <w14:schemeClr w14:val="tx1"/>
            </w14:solidFill>
          </w14:textFill>
        </w:rPr>
        <w:t>注：招标人应在技术条件（工程建设标准）中明确施工现场建筑垃圾源头减量的具体要求和建筑垃圾综合利用产品的使用要求。</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7.2 </w:t>
      </w:r>
      <w:r>
        <w:rPr>
          <w:rFonts w:hint="eastAsia" w:ascii="宋体" w:hAnsi="宋体"/>
          <w:color w:val="000000" w:themeColor="text1"/>
          <w:sz w:val="24"/>
          <w:highlight w:val="none"/>
          <w14:textFill>
            <w14:solidFill>
              <w14:schemeClr w14:val="tx1"/>
            </w14:solidFill>
          </w14:textFill>
        </w:rPr>
        <w:t>投标人获取招标文件后，应仔细检查招标文件的所有内容，认真审阅招标文件中所有的事项、格式、条款和规范要求等，若投标人的投标文件没有按招标文件要求提交全部资料，或投标文件实质上没有响应招标文件的要求，招标人将按评标办法的规定予以拒绝，并且不允许投标人通过修改或撤消其不符合要求的差异或保留使之成为具有响应性的投标文件。</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7.3 </w:t>
      </w:r>
      <w:r>
        <w:rPr>
          <w:rFonts w:hint="eastAsia" w:ascii="宋体" w:hAnsi="宋体"/>
          <w:color w:val="000000" w:themeColor="text1"/>
          <w:sz w:val="24"/>
          <w:highlight w:val="none"/>
          <w14:textFill>
            <w14:solidFill>
              <w14:schemeClr w14:val="tx1"/>
            </w14:solidFill>
          </w14:textFill>
        </w:rPr>
        <w:t>投标人一旦中标，招标文件的内容对招标人和中标人双方均有约束力。</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8</w:t>
      </w:r>
      <w:r>
        <w:rPr>
          <w:rFonts w:hint="eastAsia" w:ascii="宋体" w:hAnsi="宋体"/>
          <w:b/>
          <w:bCs/>
          <w:color w:val="000000" w:themeColor="text1"/>
          <w:sz w:val="24"/>
          <w:highlight w:val="none"/>
          <w14:textFill>
            <w14:solidFill>
              <w14:schemeClr w14:val="tx1"/>
            </w14:solidFill>
          </w14:textFill>
        </w:rPr>
        <w:t>．招标答疑</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8.1 </w:t>
      </w:r>
      <w:r>
        <w:rPr>
          <w:rFonts w:hint="eastAsia" w:ascii="宋体" w:hAnsi="宋体"/>
          <w:color w:val="000000" w:themeColor="text1"/>
          <w:sz w:val="24"/>
          <w:highlight w:val="none"/>
          <w14:textFill>
            <w14:solidFill>
              <w14:schemeClr w14:val="tx1"/>
            </w14:solidFill>
          </w14:textFill>
        </w:rPr>
        <w:t>投标人若对招标文件（包括招标图纸）中有疑问，可以书面形式</w:t>
      </w:r>
      <w:r>
        <w:rPr>
          <w:rFonts w:hint="eastAsia"/>
          <w:color w:val="000000" w:themeColor="text1"/>
          <w:sz w:val="24"/>
          <w:szCs w:val="24"/>
          <w:highlight w:val="none"/>
          <w14:textFill>
            <w14:solidFill>
              <w14:schemeClr w14:val="tx1"/>
            </w14:solidFill>
          </w14:textFill>
        </w:rPr>
        <w:t>通过</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color w:val="000000" w:themeColor="text1"/>
          <w:sz w:val="24"/>
          <w:szCs w:val="24"/>
          <w:highlight w:val="none"/>
          <w14:textFill>
            <w14:solidFill>
              <w14:schemeClr w14:val="tx1"/>
            </w14:solidFill>
          </w14:textFill>
        </w:rPr>
        <w:t>提交</w:t>
      </w:r>
      <w:r>
        <w:rPr>
          <w:rFonts w:hint="eastAsia" w:ascii="宋体" w:hAnsi="宋体"/>
          <w:color w:val="000000" w:themeColor="text1"/>
          <w:sz w:val="24"/>
          <w:highlight w:val="none"/>
          <w14:textFill>
            <w14:solidFill>
              <w14:schemeClr w14:val="tx1"/>
            </w14:solidFill>
          </w14:textFill>
        </w:rPr>
        <w:t>给招标人或招标代理人，提交形式见本须知前附表第</w:t>
      </w:r>
      <w:r>
        <w:rPr>
          <w:rFonts w:ascii="宋体" w:hAnsi="宋体"/>
          <w:color w:val="000000" w:themeColor="text1"/>
          <w:sz w:val="24"/>
          <w:highlight w:val="none"/>
          <w14:textFill>
            <w14:solidFill>
              <w14:schemeClr w14:val="tx1"/>
            </w14:solidFill>
          </w14:textFill>
        </w:rPr>
        <w:t>16</w:t>
      </w:r>
      <w:r>
        <w:rPr>
          <w:rFonts w:hint="eastAsia" w:ascii="宋体" w:hAnsi="宋体"/>
          <w:color w:val="000000" w:themeColor="text1"/>
          <w:sz w:val="24"/>
          <w:highlight w:val="none"/>
          <w14:textFill>
            <w14:solidFill>
              <w14:schemeClr w14:val="tx1"/>
            </w14:solidFill>
          </w14:textFill>
        </w:rPr>
        <w:t>项。</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8.2</w:t>
      </w:r>
      <w:r>
        <w:rPr>
          <w:rFonts w:hint="eastAsia" w:ascii="宋体"/>
          <w:color w:val="000000" w:themeColor="text1"/>
          <w:sz w:val="24"/>
          <w:highlight w:val="none"/>
          <w14:textFill>
            <w14:solidFill>
              <w14:schemeClr w14:val="tx1"/>
            </w14:solidFill>
          </w14:textFill>
        </w:rPr>
        <w:t>招标答疑会会议纪要将在提交投标文件截止时间15日前在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 xml:space="preserve"> “项目答疑纪要”专区公开发布。答疑纪要一经在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8.3</w:t>
      </w:r>
      <w:r>
        <w:rPr>
          <w:rFonts w:hint="eastAsia" w:ascii="宋体" w:hAnsi="宋体"/>
          <w:color w:val="000000" w:themeColor="text1"/>
          <w:sz w:val="24"/>
          <w:highlight w:val="none"/>
          <w14:textFill>
            <w14:solidFill>
              <w14:schemeClr w14:val="tx1"/>
            </w14:solidFill>
          </w14:textFill>
        </w:rPr>
        <w:t>答疑会会议纪要为招标文件的一部分。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8.4</w:t>
      </w:r>
      <w:r>
        <w:rPr>
          <w:rFonts w:hint="eastAsia" w:ascii="宋体" w:hAnsi="宋体"/>
          <w:color w:val="000000" w:themeColor="text1"/>
          <w:sz w:val="24"/>
          <w:highlight w:val="none"/>
          <w14:textFill>
            <w14:solidFill>
              <w14:schemeClr w14:val="tx1"/>
            </w14:solidFill>
          </w14:textFill>
        </w:rPr>
        <w:t>若招标答疑会会议纪要与招标文件有矛盾，以答疑会议纪要最后发出的书面形式的文件为准。</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9.</w:t>
      </w:r>
      <w:r>
        <w:rPr>
          <w:rFonts w:hint="eastAsia" w:ascii="宋体" w:hAnsi="宋体"/>
          <w:b/>
          <w:bCs/>
          <w:color w:val="000000" w:themeColor="text1"/>
          <w:sz w:val="24"/>
          <w:highlight w:val="none"/>
          <w14:textFill>
            <w14:solidFill>
              <w14:schemeClr w14:val="tx1"/>
            </w14:solidFill>
          </w14:textFill>
        </w:rPr>
        <w:t>招标文件的澄清与修改</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9.1</w:t>
      </w:r>
      <w:r>
        <w:rPr>
          <w:rFonts w:hint="eastAsia" w:ascii="宋体" w:hAnsi="宋体"/>
          <w:color w:val="000000" w:themeColor="text1"/>
          <w:sz w:val="24"/>
          <w:highlight w:val="none"/>
          <w14:textFill>
            <w14:solidFill>
              <w14:schemeClr w14:val="tx1"/>
            </w14:solidFill>
          </w14:textFill>
        </w:rPr>
        <w:t>招标文件发出后</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在提交投标文件截止时间15日前，招标人可对招标文件进行必要的澄清或修改。</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9.2</w:t>
      </w:r>
      <w:r>
        <w:rPr>
          <w:rFonts w:hint="eastAsia" w:ascii="宋体"/>
          <w:color w:val="000000" w:themeColor="text1"/>
          <w:sz w:val="24"/>
          <w:highlight w:val="none"/>
          <w14:textFill>
            <w14:solidFill>
              <w14:schemeClr w14:val="tx1"/>
            </w14:solidFill>
          </w14:textFill>
        </w:rPr>
        <w:t>招标文件的澄清或修改将在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“项目答疑纪要”专区公开发布。答疑纪要一经在</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发布，视作已发放给所有投标人，以</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color w:val="000000" w:themeColor="text1"/>
          <w:sz w:val="24"/>
          <w:highlight w:val="none"/>
          <w14:textFill>
            <w14:solidFill>
              <w14:schemeClr w14:val="tx1"/>
            </w14:solidFill>
          </w14:textFill>
        </w:rPr>
        <w:t>上网发布时间作为送达时间。</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9.3</w:t>
      </w:r>
      <w:r>
        <w:rPr>
          <w:rFonts w:hint="eastAsia" w:ascii="宋体" w:hAnsi="宋体"/>
          <w:color w:val="000000" w:themeColor="text1"/>
          <w:sz w:val="24"/>
          <w:highlight w:val="none"/>
          <w14:textFill>
            <w14:solidFill>
              <w14:schemeClr w14:val="tx1"/>
            </w14:solidFill>
          </w14:textFill>
        </w:rPr>
        <w:t>招标文件的修改内容为招标文件的组成部分。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9.4</w:t>
      </w:r>
      <w:r>
        <w:rPr>
          <w:rFonts w:hint="eastAsia" w:ascii="宋体" w:hAnsi="宋体"/>
          <w:color w:val="000000" w:themeColor="text1"/>
          <w:sz w:val="24"/>
          <w:highlight w:val="none"/>
          <w14:textFill>
            <w14:solidFill>
              <w14:schemeClr w14:val="tx1"/>
            </w14:solidFill>
          </w14:textFill>
        </w:rPr>
        <w:t>招标文件的澄清或修改均以书面形式明确的内容为准。当招标文件的澄清、修改、补充等在同一内容的表述不一致时，以最后发出的书面形式的文件为准。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9.5</w:t>
      </w:r>
      <w:r>
        <w:rPr>
          <w:rFonts w:hint="eastAsia" w:ascii="宋体" w:hAnsi="宋体"/>
          <w:color w:val="000000" w:themeColor="text1"/>
          <w:sz w:val="24"/>
          <w:highlight w:val="none"/>
          <w14:textFill>
            <w14:solidFill>
              <w14:schemeClr w14:val="tx1"/>
            </w14:solidFill>
          </w14:textFill>
        </w:rPr>
        <w:t>为使投标人在编制投标文件时有充分的时间对招标文件的澄清或修改等内容考虑进去，招标人将酌情延长提交投标文件的截止时间，具体时间将在招标文件的澄清或修改中予以明确。若澄清或修改中没有明确延长时间，即表示投标时间不延长。</w:t>
      </w:r>
    </w:p>
    <w:p>
      <w:pPr>
        <w:pStyle w:val="6"/>
        <w:spacing w:before="156" w:after="156"/>
        <w:rPr>
          <w:color w:val="000000" w:themeColor="text1"/>
          <w:highlight w:val="none"/>
          <w14:textFill>
            <w14:solidFill>
              <w14:schemeClr w14:val="tx1"/>
            </w14:solidFill>
          </w14:textFill>
        </w:rPr>
      </w:pPr>
      <w:bookmarkStart w:id="12" w:name="_Toc2272551"/>
      <w:bookmarkStart w:id="13" w:name="_Toc21525495"/>
      <w:r>
        <w:rPr>
          <w:rFonts w:hint="eastAsia"/>
          <w:color w:val="000000" w:themeColor="text1"/>
          <w:highlight w:val="none"/>
          <w14:textFill>
            <w14:solidFill>
              <w14:schemeClr w14:val="tx1"/>
            </w14:solidFill>
          </w14:textFill>
        </w:rPr>
        <w:t>（三）投标文件的编制</w:t>
      </w:r>
      <w:bookmarkEnd w:id="12"/>
      <w:bookmarkEnd w:id="13"/>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10</w:t>
      </w:r>
      <w:r>
        <w:rPr>
          <w:rFonts w:hint="eastAsia" w:ascii="宋体" w:hAnsi="宋体"/>
          <w:b/>
          <w:bCs/>
          <w:color w:val="000000" w:themeColor="text1"/>
          <w:sz w:val="24"/>
          <w:highlight w:val="none"/>
          <w14:textFill>
            <w14:solidFill>
              <w14:schemeClr w14:val="tx1"/>
            </w14:solidFill>
          </w14:textFill>
        </w:rPr>
        <w:t>．投标文件的语言及度量衡单位</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10.1 </w:t>
      </w:r>
      <w:r>
        <w:rPr>
          <w:rFonts w:hint="eastAsia" w:ascii="宋体" w:hAnsi="宋体"/>
          <w:color w:val="000000" w:themeColor="text1"/>
          <w:sz w:val="24"/>
          <w:highlight w:val="none"/>
          <w14:textFill>
            <w14:solidFill>
              <w14:schemeClr w14:val="tx1"/>
            </w14:solidFill>
          </w14:textFill>
        </w:rPr>
        <w:t>投标文件和与投标有关的所有文件均应使用中文。</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10.2 </w:t>
      </w:r>
      <w:r>
        <w:rPr>
          <w:rFonts w:hint="eastAsia" w:ascii="宋体" w:hAnsi="宋体"/>
          <w:color w:val="000000" w:themeColor="text1"/>
          <w:sz w:val="24"/>
          <w:highlight w:val="none"/>
          <w14:textFill>
            <w14:solidFill>
              <w14:schemeClr w14:val="tx1"/>
            </w14:solidFill>
          </w14:textFill>
        </w:rPr>
        <w:t>除工程规范另有规定外，投标文件使用的度量衡单位，均采用中华人民共和国法定计量单位。</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11</w:t>
      </w:r>
      <w:r>
        <w:rPr>
          <w:rFonts w:hint="eastAsia" w:ascii="宋体" w:hAnsi="宋体"/>
          <w:b/>
          <w:bCs/>
          <w:color w:val="000000" w:themeColor="text1"/>
          <w:sz w:val="24"/>
          <w:highlight w:val="none"/>
          <w14:textFill>
            <w14:solidFill>
              <w14:schemeClr w14:val="tx1"/>
            </w14:solidFill>
          </w14:textFill>
        </w:rPr>
        <w:t>．投标文件的组成</w:t>
      </w:r>
    </w:p>
    <w:p>
      <w:pPr>
        <w:pStyle w:val="17"/>
        <w:spacing w:after="0" w:line="360" w:lineRule="auto"/>
        <w:ind w:firstLine="480" w:firstLineChars="200"/>
        <w:rPr>
          <w:rFonts w:ascii="宋体"/>
          <w:b/>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11.1 </w:t>
      </w:r>
      <w:r>
        <w:rPr>
          <w:rFonts w:hint="eastAsia" w:ascii="宋体" w:hAnsi="宋体"/>
          <w:color w:val="000000" w:themeColor="text1"/>
          <w:sz w:val="24"/>
          <w:highlight w:val="none"/>
          <w14:textFill>
            <w14:solidFill>
              <w14:schemeClr w14:val="tx1"/>
            </w14:solidFill>
          </w14:textFill>
        </w:rPr>
        <w:t>投标文件由技术部分（含资格审查文件）和经济部分二部分投标文件组成</w:t>
      </w:r>
      <w:r>
        <w:rPr>
          <w:rFonts w:hint="eastAsia" w:ascii="宋体" w:hAnsi="宋体"/>
          <w:b/>
          <w:color w:val="000000" w:themeColor="text1"/>
          <w:sz w:val="24"/>
          <w:highlight w:val="none"/>
          <w14:textFill>
            <w14:solidFill>
              <w14:schemeClr w14:val="tx1"/>
            </w14:solidFill>
          </w14:textFill>
        </w:rPr>
        <w:t>。</w:t>
      </w:r>
    </w:p>
    <w:p>
      <w:pPr>
        <w:spacing w:line="360" w:lineRule="auto"/>
        <w:ind w:firstLine="480" w:firstLineChars="200"/>
        <w:rPr>
          <w:rFonts w:ascii="宋体" w:hAns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11.2</w:t>
      </w:r>
      <w:r>
        <w:rPr>
          <w:rFonts w:hint="eastAsia" w:ascii="宋体" w:hAnsi="宋体"/>
          <w:bCs/>
          <w:color w:val="000000" w:themeColor="text1"/>
          <w:sz w:val="24"/>
          <w:highlight w:val="none"/>
          <w14:textFill>
            <w14:solidFill>
              <w14:schemeClr w14:val="tx1"/>
            </w14:solidFill>
          </w14:textFill>
        </w:rPr>
        <w:t>投标文件技术标部分主要包括下列内容</w:t>
      </w:r>
      <w:r>
        <w:rPr>
          <w:rFonts w:ascii="宋体" w:hAnsi="宋体"/>
          <w:bCs/>
          <w:color w:val="000000" w:themeColor="text1"/>
          <w:sz w:val="24"/>
          <w:highlight w:val="none"/>
          <w14:textFill>
            <w14:solidFill>
              <w14:schemeClr w14:val="tx1"/>
            </w14:solidFill>
          </w14:textFill>
        </w:rPr>
        <w:t>:</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11.2.1 技术投标文件</w:t>
      </w:r>
      <w:r>
        <w:rPr>
          <w:rFonts w:ascii="宋体" w:hAns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按招标文件的要求填写</w:t>
      </w:r>
      <w:r>
        <w:rPr>
          <w:rFonts w:ascii="宋体" w:hAnsi="宋体"/>
          <w:color w:val="000000" w:themeColor="text1"/>
          <w:sz w:val="24"/>
          <w:highlight w:val="none"/>
          <w14:textFill>
            <w14:solidFill>
              <w14:schemeClr w14:val="tx1"/>
            </w14:solidFill>
          </w14:textFill>
        </w:rPr>
        <w:t>)</w:t>
      </w:r>
      <w:r>
        <w:rPr>
          <w:rFonts w:hint="eastAsia" w:ascii="宋体"/>
          <w:bCs/>
          <w:color w:val="000000" w:themeColor="text1"/>
          <w:sz w:val="24"/>
          <w:highlight w:val="none"/>
          <w14:textFill>
            <w14:solidFill>
              <w14:schemeClr w14:val="tx1"/>
            </w14:solidFill>
          </w14:textFill>
        </w:rPr>
        <w:t>；</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11.2.2 资格审查文件：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 xml:space="preserve">（1）投标人声明； </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（2）法定代表人证明书、法定代表人签字或盖章的本投标文件授权委托证明书；</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（3）企业营业执照（取自平台内上传件）；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（4）企业资质证书（取自平台内上传件）；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（5）建筑施工企业安全生产许可证（取自平台内上传件）；</w:t>
      </w:r>
    </w:p>
    <w:p>
      <w:pPr>
        <w:spacing w:line="360" w:lineRule="auto"/>
        <w:ind w:firstLine="480" w:firstLineChars="200"/>
        <w:rPr>
          <w:rFonts w:ascii="宋体" w:hAnsi="宋体"/>
          <w:bCs/>
          <w:color w:val="000000" w:themeColor="text1"/>
          <w:sz w:val="24"/>
          <w:szCs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（6）</w:t>
      </w:r>
      <w:r>
        <w:rPr>
          <w:rFonts w:hint="eastAsia" w:ascii="宋体" w:hAnsi="宋体"/>
          <w:bCs/>
          <w:color w:val="000000" w:themeColor="text1"/>
          <w:sz w:val="24"/>
          <w:szCs w:val="24"/>
          <w:highlight w:val="none"/>
          <w14:textFill>
            <w14:solidFill>
              <w14:schemeClr w14:val="tx1"/>
            </w14:solidFill>
          </w14:textFill>
        </w:rPr>
        <w:t>项目负责人（按网上投标登记时选择拟投标的项目负责人）</w:t>
      </w:r>
    </w:p>
    <w:p>
      <w:pPr>
        <w:spacing w:line="360" w:lineRule="auto"/>
        <w:ind w:firstLine="480" w:firstLineChars="200"/>
        <w:rPr>
          <w:rFonts w:ascii="宋体" w:hAnsi="宋体"/>
          <w:bCs/>
          <w:color w:val="000000" w:themeColor="text1"/>
          <w:sz w:val="24"/>
          <w:szCs w:val="24"/>
          <w:highlight w:val="none"/>
          <w14:textFill>
            <w14:solidFill>
              <w14:schemeClr w14:val="tx1"/>
            </w14:solidFill>
          </w14:textFill>
        </w:rPr>
      </w:pPr>
      <w:r>
        <w:rPr>
          <w:rFonts w:hint="eastAsia" w:ascii="宋体" w:hAnsi="宋体"/>
          <w:bCs/>
          <w:color w:val="000000" w:themeColor="text1"/>
          <w:sz w:val="24"/>
          <w:szCs w:val="24"/>
          <w:highlight w:val="none"/>
          <w14:textFill>
            <w14:solidFill>
              <w14:schemeClr w14:val="tx1"/>
            </w14:solidFill>
          </w14:textFill>
        </w:rPr>
        <w:t>（7）专职安全员（按网上投标登记时选择拟投标的专职安全员）</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（8）拟委托技术负责人的相关证书、资料（具体要求由招标人明确）</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 xml:space="preserve">（9）拟委派项目负责人的建造师注册证书（取自平台内上传件）；  </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（10）项目负责人安全生产考核合格证明或在有效期内的安全考核合格证书（B类）或建筑施工企业项目负责人安全生产考核合格证书（取自平台内上传件）；</w:t>
      </w:r>
    </w:p>
    <w:p>
      <w:pPr>
        <w:spacing w:line="360" w:lineRule="auto"/>
        <w:ind w:firstLine="480" w:firstLineChars="200"/>
        <w:rPr>
          <w:rFonts w:ascii="宋体"/>
          <w:bCs/>
          <w:color w:val="000000" w:themeColor="text1"/>
          <w:sz w:val="24"/>
          <w:szCs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（11）专职安全员须具有在有效期内的安全考核合格证书（C类）或建筑施工企业专职安全生产管理人员安全生产考核合格证书</w:t>
      </w:r>
      <w:r>
        <w:rPr>
          <w:rFonts w:hint="eastAsia" w:ascii="宋体"/>
          <w:bCs/>
          <w:color w:val="000000" w:themeColor="text1"/>
          <w:sz w:val="24"/>
          <w:szCs w:val="24"/>
          <w:highlight w:val="none"/>
          <w14:textFill>
            <w14:solidFill>
              <w14:schemeClr w14:val="tx1"/>
            </w14:solidFill>
          </w14:textFill>
        </w:rPr>
        <w:t>（取自平台内上传件）；</w:t>
      </w:r>
    </w:p>
    <w:p>
      <w:pPr>
        <w:spacing w:line="360" w:lineRule="auto"/>
        <w:ind w:firstLine="480" w:firstLineChars="200"/>
        <w:rPr>
          <w:rFonts w:ascii="宋体"/>
          <w:bCs/>
          <w:color w:val="000000" w:themeColor="text1"/>
          <w:sz w:val="24"/>
          <w:szCs w:val="24"/>
          <w:highlight w:val="none"/>
          <w14:textFill>
            <w14:solidFill>
              <w14:schemeClr w14:val="tx1"/>
            </w14:solidFill>
          </w14:textFill>
        </w:rPr>
      </w:pPr>
      <w:r>
        <w:rPr>
          <w:rFonts w:hint="eastAsia" w:ascii="宋体"/>
          <w:bCs/>
          <w:color w:val="000000" w:themeColor="text1"/>
          <w:sz w:val="24"/>
          <w:szCs w:val="24"/>
          <w:highlight w:val="none"/>
          <w14:textFill>
            <w14:solidFill>
              <w14:schemeClr w14:val="tx1"/>
            </w14:solidFill>
          </w14:textFill>
        </w:rPr>
        <w:t>（12）</w:t>
      </w:r>
      <w:r>
        <w:rPr>
          <w:rFonts w:hint="eastAsia" w:ascii="宋体" w:hAnsi="宋体"/>
          <w:bCs/>
          <w:color w:val="000000" w:themeColor="text1"/>
          <w:sz w:val="24"/>
          <w:szCs w:val="24"/>
          <w:highlight w:val="none"/>
          <w14:textFill>
            <w14:solidFill>
              <w14:schemeClr w14:val="tx1"/>
            </w14:solidFill>
          </w14:textFill>
        </w:rPr>
        <w:t>用于资格审查的业绩（设置业绩要求时选择此项，投标人</w:t>
      </w:r>
      <w:r>
        <w:rPr>
          <w:rFonts w:hint="eastAsia" w:ascii="宋体" w:hAnsi="宋体"/>
          <w:color w:val="000000" w:themeColor="text1"/>
          <w:sz w:val="24"/>
          <w:highlight w:val="none"/>
          <w14:textFill>
            <w14:solidFill>
              <w14:schemeClr w14:val="tx1"/>
            </w14:solidFill>
          </w14:textFill>
        </w:rPr>
        <w:t>须提供类似工程业绩的项目名称及项目编号，具体格式由招标人自定</w:t>
      </w:r>
      <w:r>
        <w:rPr>
          <w:rFonts w:hint="eastAsia" w:ascii="宋体" w:hAnsi="宋体"/>
          <w:bCs/>
          <w:color w:val="000000" w:themeColor="text1"/>
          <w:sz w:val="24"/>
          <w:szCs w:val="24"/>
          <w:highlight w:val="none"/>
          <w14:textFill>
            <w14:solidFill>
              <w14:schemeClr w14:val="tx1"/>
            </w14:solidFill>
          </w14:textFill>
        </w:rPr>
        <w:t>）；</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bCs/>
          <w:color w:val="000000" w:themeColor="text1"/>
          <w:sz w:val="24"/>
          <w:highlight w:val="none"/>
          <w14:textFill>
            <w14:solidFill>
              <w14:schemeClr w14:val="tx1"/>
            </w14:solidFill>
          </w14:textFill>
        </w:rPr>
        <w:t>（13）资格审查前，投标人须在广州市住房和城乡建设局建立企业信用档案，拟担任本工程项目负责人、专职安全员须是本企业信用档案中的在册人员。</w:t>
      </w:r>
    </w:p>
    <w:p>
      <w:pPr>
        <w:spacing w:line="360" w:lineRule="auto"/>
        <w:ind w:firstLine="480" w:firstLineChars="200"/>
        <w:rPr>
          <w:rFonts w:ascii="宋体" w:hAnsi="宋体"/>
          <w:bCs/>
          <w:color w:val="000000" w:themeColor="text1"/>
          <w:sz w:val="24"/>
          <w:szCs w:val="24"/>
          <w:highlight w:val="none"/>
          <w14:textFill>
            <w14:solidFill>
              <w14:schemeClr w14:val="tx1"/>
            </w14:solidFill>
          </w14:textFill>
        </w:rPr>
      </w:pPr>
      <w:r>
        <w:rPr>
          <w:rFonts w:hint="eastAsia" w:ascii="宋体" w:hAnsi="宋体"/>
          <w:bCs/>
          <w:color w:val="000000" w:themeColor="text1"/>
          <w:sz w:val="24"/>
          <w:szCs w:val="24"/>
          <w:highlight w:val="none"/>
          <w14:textFill>
            <w14:solidFill>
              <w14:schemeClr w14:val="tx1"/>
            </w14:solidFill>
          </w14:textFill>
        </w:rPr>
        <w:t>（14）列明主办单位的联合体工作协议（采用联合体投标时需递交，投标人拟任本工程项目负责人应为联合体主办方信用档案中的在册人员，</w:t>
      </w:r>
      <w:r>
        <w:rPr>
          <w:rFonts w:hint="eastAsia" w:ascii="宋体" w:hAnsi="宋体"/>
          <w:color w:val="000000" w:themeColor="text1"/>
          <w:sz w:val="24"/>
          <w:szCs w:val="24"/>
          <w:highlight w:val="none"/>
          <w14:textFill>
            <w14:solidFill>
              <w14:schemeClr w14:val="tx1"/>
            </w14:solidFill>
          </w14:textFill>
        </w:rPr>
        <w:t>联合体工作协议应明确约定各方拟承担的工作和责任</w:t>
      </w:r>
      <w:r>
        <w:rPr>
          <w:rFonts w:hint="eastAsia" w:ascii="宋体" w:hAnsi="宋体"/>
          <w:bCs/>
          <w:color w:val="000000" w:themeColor="text1"/>
          <w:sz w:val="24"/>
          <w:szCs w:val="24"/>
          <w:highlight w:val="none"/>
          <w14:textFill>
            <w14:solidFill>
              <w14:schemeClr w14:val="tx1"/>
            </w14:solidFill>
          </w14:textFill>
        </w:rPr>
        <w:t xml:space="preserve">）； </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hint="eastAsia" w:ascii="宋体" w:hAnsi="宋体"/>
          <w:bCs/>
          <w:color w:val="000000" w:themeColor="text1"/>
          <w:sz w:val="24"/>
          <w:szCs w:val="24"/>
          <w:highlight w:val="none"/>
          <w14:textFill>
            <w14:solidFill>
              <w14:schemeClr w14:val="tx1"/>
            </w14:solidFill>
          </w14:textFill>
        </w:rPr>
        <w:t>（15）</w:t>
      </w:r>
      <w:r>
        <w:rPr>
          <w:rFonts w:hint="eastAsia" w:ascii="宋体" w:hAnsi="宋体"/>
          <w:color w:val="000000" w:themeColor="text1"/>
          <w:sz w:val="24"/>
          <w:szCs w:val="24"/>
          <w:highlight w:val="none"/>
          <w14:textFill>
            <w14:solidFill>
              <w14:schemeClr w14:val="tx1"/>
            </w14:solidFill>
          </w14:textFill>
        </w:rPr>
        <w:t>投标人具有在广州地区可使用适合本工程的机械设备的证明文件（</w:t>
      </w:r>
      <w:r>
        <w:rPr>
          <w:rFonts w:hint="eastAsia" w:ascii="宋体" w:hAnsi="宋体"/>
          <w:color w:val="000000" w:themeColor="text1"/>
          <w:sz w:val="24"/>
          <w:highlight w:val="none"/>
          <w14:textFill>
            <w14:solidFill>
              <w14:schemeClr w14:val="tx1"/>
            </w14:solidFill>
          </w14:textFill>
        </w:rPr>
        <w:t>提供沥青摊铺机自有发票或权属证明及设备现场全貌彩照（彩照须能反映其规格型号）</w:t>
      </w:r>
      <w:r>
        <w:rPr>
          <w:rFonts w:hint="eastAsia" w:ascii="宋体" w:hAnsi="宋体"/>
          <w:color w:val="000000" w:themeColor="text1"/>
          <w:sz w:val="24"/>
          <w:szCs w:val="24"/>
          <w:highlight w:val="none"/>
          <w14:textFill>
            <w14:solidFill>
              <w14:schemeClr w14:val="tx1"/>
            </w14:solidFill>
          </w14:textFill>
        </w:rPr>
        <w:t>）。（含有市政道路面层沥青摊铺且沥青摊铺占预计发包价50%或以上的大、中修市政公用工程需提供该项内容的证明文件）。</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11.2.3</w:t>
      </w:r>
      <w:r>
        <w:rPr>
          <w:rFonts w:hint="eastAsia" w:ascii="宋体" w:hAnsi="宋体"/>
          <w:color w:val="000000" w:themeColor="text1"/>
          <w:sz w:val="24"/>
          <w:highlight w:val="none"/>
          <w14:textFill>
            <w14:solidFill>
              <w14:schemeClr w14:val="tx1"/>
            </w14:solidFill>
          </w14:textFill>
        </w:rPr>
        <w:t>项目管理机构配备。</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）投标人应列出该项目工程的施工组织机构构成和画出机构框架图及其负责人；</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）投标人应详细列出该施工组织机构中主要成员的名单、简历资料、职务职称和在本项目中拟担任的职务等资料，并附上有关证明材料扫描件；</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）其他辅助说明资料。</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11.2.4</w:t>
      </w:r>
      <w:r>
        <w:rPr>
          <w:rFonts w:hint="eastAsia" w:ascii="宋体" w:hAnsi="宋体"/>
          <w:color w:val="000000" w:themeColor="text1"/>
          <w:sz w:val="24"/>
          <w:highlight w:val="none"/>
          <w14:textFill>
            <w14:solidFill>
              <w14:schemeClr w14:val="tx1"/>
            </w14:solidFill>
          </w14:textFill>
        </w:rPr>
        <w:t>投标人在广州市可使用适合本工程的机械设备（附：机械设备为自有或租赁的说明；及承诺机械设备如属于租赁的，其租赁是不属于重复租赁）。</w:t>
      </w:r>
    </w:p>
    <w:p>
      <w:pPr>
        <w:tabs>
          <w:tab w:val="left" w:pos="1125"/>
        </w:tabs>
        <w:spacing w:line="360" w:lineRule="auto"/>
        <w:ind w:firstLine="480" w:firstLineChars="200"/>
        <w:rPr>
          <w:rFonts w:ascii="宋体" w:hAnsi="宋体"/>
          <w:b/>
          <w:bCs/>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11.2.5</w:t>
      </w:r>
      <w:r>
        <w:rPr>
          <w:rFonts w:hint="eastAsia" w:ascii="宋体" w:hAnsi="宋体"/>
          <w:color w:val="000000" w:themeColor="text1"/>
          <w:sz w:val="24"/>
          <w:highlight w:val="none"/>
          <w14:textFill>
            <w14:solidFill>
              <w14:schemeClr w14:val="tx1"/>
            </w14:solidFill>
          </w14:textFill>
        </w:rPr>
        <w:t>施工组织设计或施工方案。</w:t>
      </w:r>
      <w:r>
        <w:rPr>
          <w:rFonts w:hint="eastAsia" w:ascii="宋体" w:hAnsi="宋体"/>
          <w:b/>
          <w:bCs/>
          <w:color w:val="000000" w:themeColor="text1"/>
          <w:sz w:val="24"/>
          <w:highlight w:val="none"/>
          <w14:textFill>
            <w14:solidFill>
              <w14:schemeClr w14:val="tx1"/>
            </w14:solidFill>
          </w14:textFill>
        </w:rPr>
        <w:t>（投标人在编制施工组织设计或施工方案时应按照招标人提出的施工现场建筑垃圾源头减量的具体要求以及建筑垃圾综合利用产品的使用要求提供相应措施。）</w:t>
      </w:r>
    </w:p>
    <w:p>
      <w:pPr>
        <w:tabs>
          <w:tab w:val="left" w:pos="1125"/>
        </w:tabs>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11.2.</w:t>
      </w:r>
      <w:r>
        <w:rPr>
          <w:rFonts w:hint="eastAsia" w:ascii="宋体" w:hAnsi="宋体"/>
          <w:color w:val="000000" w:themeColor="text1"/>
          <w:sz w:val="24"/>
          <w:highlight w:val="none"/>
          <w14:textFill>
            <w14:solidFill>
              <w14:schemeClr w14:val="tx1"/>
            </w14:solidFill>
          </w14:textFill>
        </w:rPr>
        <w:t>6按照</w:t>
      </w:r>
      <w:r>
        <w:rPr>
          <w:rFonts w:hint="eastAsia" w:ascii="宋体" w:hAnsi="宋体"/>
          <w:bCs/>
          <w:color w:val="000000" w:themeColor="text1"/>
          <w:sz w:val="24"/>
          <w:highlight w:val="none"/>
          <w14:textFill>
            <w14:solidFill>
              <w14:schemeClr w14:val="tx1"/>
            </w14:solidFill>
          </w14:textFill>
        </w:rPr>
        <w:t>招标文件要求</w:t>
      </w:r>
      <w:r>
        <w:rPr>
          <w:rFonts w:hint="eastAsia" w:ascii="宋体" w:hAnsi="宋体"/>
          <w:color w:val="000000" w:themeColor="text1"/>
          <w:sz w:val="24"/>
          <w:highlight w:val="none"/>
          <w14:textFill>
            <w14:solidFill>
              <w14:schemeClr w14:val="tx1"/>
            </w14:solidFill>
          </w14:textFill>
        </w:rPr>
        <w:t>填写的《参与编制技术标投标文件人员名单》。</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 xml:space="preserve">11.3 </w:t>
      </w:r>
      <w:r>
        <w:rPr>
          <w:rFonts w:hint="eastAsia" w:ascii="宋体" w:hAnsi="宋体"/>
          <w:bCs/>
          <w:color w:val="000000" w:themeColor="text1"/>
          <w:sz w:val="24"/>
          <w:highlight w:val="none"/>
          <w14:textFill>
            <w14:solidFill>
              <w14:schemeClr w14:val="tx1"/>
            </w14:solidFill>
          </w14:textFill>
        </w:rPr>
        <w:t>经济部分投标文件主要包括下列内容：</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11.3.1 </w:t>
      </w:r>
      <w:r>
        <w:rPr>
          <w:rFonts w:hint="eastAsia" w:ascii="宋体" w:hAnsi="宋体"/>
          <w:color w:val="000000" w:themeColor="text1"/>
          <w:sz w:val="24"/>
          <w:highlight w:val="none"/>
          <w14:textFill>
            <w14:solidFill>
              <w14:schemeClr w14:val="tx1"/>
            </w14:solidFill>
          </w14:textFill>
        </w:rPr>
        <w:t>经济投标文件</w:t>
      </w:r>
      <w:r>
        <w:rPr>
          <w:rFonts w:ascii="宋体" w:hAns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按招标文件的要求填写</w:t>
      </w:r>
      <w:r>
        <w:rPr>
          <w:rFonts w:ascii="宋体" w:hAns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11.3.2</w:t>
      </w:r>
      <w:r>
        <w:rPr>
          <w:rFonts w:hint="eastAsia" w:ascii="宋体" w:hAnsi="宋体"/>
          <w:color w:val="000000" w:themeColor="text1"/>
          <w:sz w:val="24"/>
          <w:highlight w:val="none"/>
          <w14:textFill>
            <w14:solidFill>
              <w14:schemeClr w14:val="tx1"/>
            </w14:solidFill>
          </w14:textFill>
        </w:rPr>
        <w:t>投标总价。投标人必须按招标工程量清单填报价格，工程量清单的组成、格式、项目编码、项目名称、项目特征、计量单位、工程量和工程量计算规则必须与招标工程量清单一致。投标报价由投标人依据建设工程工程量清单计价规范、招标文件、招标工程量清单、设计文件、企业定额、施工现场情况和投标时拟定的施工组织设计或者施工方案，结合企业成本、市场价格以及招标文件中载明的风险内容和范围等编制。</w:t>
      </w:r>
      <w:r>
        <w:rPr>
          <w:rFonts w:hint="eastAsia" w:ascii="宋体" w:hAnsi="宋体"/>
          <w:color w:val="000000" w:themeColor="text1"/>
          <w:sz w:val="24"/>
          <w:szCs w:val="24"/>
          <w:highlight w:val="none"/>
          <w14:textFill>
            <w14:solidFill>
              <w14:schemeClr w14:val="tx1"/>
            </w14:solidFill>
          </w14:textFill>
        </w:rPr>
        <w:t>其中包括如下：</w:t>
      </w:r>
      <w:r>
        <w:rPr>
          <w:rFonts w:ascii="宋体"/>
          <w:color w:val="000000" w:themeColor="text1"/>
          <w:sz w:val="24"/>
          <w:highlight w:val="none"/>
          <w14:textFill>
            <w14:solidFill>
              <w14:schemeClr w14:val="tx1"/>
            </w14:solidFill>
          </w14:textFill>
        </w:rPr>
        <w:t xml:space="preserve"> </w:t>
      </w:r>
    </w:p>
    <w:p>
      <w:pPr>
        <w:spacing w:line="360" w:lineRule="auto"/>
        <w:ind w:firstLine="566" w:firstLineChars="236"/>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）投标总价封面、扉页；</w:t>
      </w:r>
    </w:p>
    <w:p>
      <w:pPr>
        <w:spacing w:line="360" w:lineRule="auto"/>
        <w:ind w:firstLine="566" w:firstLineChars="236"/>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w:t>
      </w:r>
      <w:r>
        <w:rPr>
          <w:rFonts w:ascii="宋体" w:hAnsi="宋体"/>
          <w:color w:val="000000" w:themeColor="text1"/>
          <w:sz w:val="24"/>
          <w:szCs w:val="24"/>
          <w:highlight w:val="none"/>
          <w14:textFill>
            <w14:solidFill>
              <w14:schemeClr w14:val="tx1"/>
            </w14:solidFill>
          </w14:textFill>
        </w:rPr>
        <w:t>2</w:t>
      </w:r>
      <w:r>
        <w:rPr>
          <w:rFonts w:hint="eastAsia" w:ascii="宋体" w:hAnsi="宋体"/>
          <w:color w:val="000000" w:themeColor="text1"/>
          <w:sz w:val="24"/>
          <w:szCs w:val="24"/>
          <w:highlight w:val="none"/>
          <w14:textFill>
            <w14:solidFill>
              <w14:schemeClr w14:val="tx1"/>
            </w14:solidFill>
          </w14:textFill>
        </w:rPr>
        <w:t>）总说明</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（3）工程项目投标报价汇总表；</w:t>
      </w:r>
    </w:p>
    <w:p>
      <w:pPr>
        <w:spacing w:line="360" w:lineRule="auto"/>
        <w:ind w:firstLine="566" w:firstLineChars="236"/>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（4）单项工程投标报价汇总表；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（5）单位工程投标报价汇总表；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（6）分部分项工程清单与计价表；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（7）单价措施项目清单与计价表；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（8）总价措施项目清单与计价表；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（9）综合单价分析表；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（10）其他项目清单与计价汇总表；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（11）暂列金额明细表；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（12）材料（工程设备）暂估价明细表；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（13）专业工程暂估价明细表；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（14）计日工表；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（15）总承包服务计价表；</w:t>
      </w:r>
    </w:p>
    <w:p>
      <w:pPr>
        <w:spacing w:line="360" w:lineRule="auto"/>
        <w:ind w:firstLine="566" w:firstLineChars="236"/>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（16）规费和税金项目计价表；</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（17）人工、主要材料和设备一览表</w:t>
      </w:r>
    </w:p>
    <w:p>
      <w:pPr>
        <w:tabs>
          <w:tab w:val="left" w:pos="1125"/>
        </w:tabs>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11.3.</w:t>
      </w:r>
      <w:r>
        <w:rPr>
          <w:rFonts w:hint="eastAsia" w:ascii="宋体" w:hAnsi="宋体"/>
          <w:color w:val="000000" w:themeColor="text1"/>
          <w:sz w:val="24"/>
          <w:highlight w:val="none"/>
          <w14:textFill>
            <w14:solidFill>
              <w14:schemeClr w14:val="tx1"/>
            </w14:solidFill>
          </w14:textFill>
        </w:rPr>
        <w:t>3按照</w:t>
      </w:r>
      <w:r>
        <w:rPr>
          <w:rFonts w:hint="eastAsia" w:ascii="宋体" w:hAnsi="宋体"/>
          <w:bCs/>
          <w:color w:val="000000" w:themeColor="text1"/>
          <w:sz w:val="24"/>
          <w:highlight w:val="none"/>
          <w14:textFill>
            <w14:solidFill>
              <w14:schemeClr w14:val="tx1"/>
            </w14:solidFill>
          </w14:textFill>
        </w:rPr>
        <w:t>招标文件要求</w:t>
      </w:r>
      <w:r>
        <w:rPr>
          <w:rFonts w:hint="eastAsia" w:ascii="宋体" w:hAnsi="宋体"/>
          <w:color w:val="000000" w:themeColor="text1"/>
          <w:sz w:val="24"/>
          <w:highlight w:val="none"/>
          <w14:textFill>
            <w14:solidFill>
              <w14:schemeClr w14:val="tx1"/>
            </w14:solidFill>
          </w14:textFill>
        </w:rPr>
        <w:t>填写的《参与编制经济标投标文件人员名单》。</w:t>
      </w:r>
    </w:p>
    <w:p>
      <w:pPr>
        <w:tabs>
          <w:tab w:val="left" w:pos="1125"/>
        </w:tabs>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11.3.4若投标人的投标报价低于工程成本警戒价的，投标人还须提供详细的施工组织设计、单价、措施性费用、单价分析表、主要材料价格表、投标人成本分析供评标委员会评审。</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12</w:t>
      </w:r>
      <w:r>
        <w:rPr>
          <w:rFonts w:hint="eastAsia" w:ascii="宋体" w:hAnsi="宋体"/>
          <w:b/>
          <w:bCs/>
          <w:color w:val="000000" w:themeColor="text1"/>
          <w:sz w:val="24"/>
          <w:highlight w:val="none"/>
          <w14:textFill>
            <w14:solidFill>
              <w14:schemeClr w14:val="tx1"/>
            </w14:solidFill>
          </w14:textFill>
        </w:rPr>
        <w:t>．投标文件格式</w:t>
      </w:r>
    </w:p>
    <w:p>
      <w:pPr>
        <w:pStyle w:val="17"/>
        <w:spacing w:after="0"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12.1 </w:t>
      </w:r>
      <w:r>
        <w:rPr>
          <w:rFonts w:hint="eastAsia" w:ascii="宋体" w:hAnsi="宋体"/>
          <w:color w:val="000000" w:themeColor="text1"/>
          <w:sz w:val="24"/>
          <w:highlight w:val="none"/>
          <w14:textFill>
            <w14:solidFill>
              <w14:schemeClr w14:val="tx1"/>
            </w14:solidFill>
          </w14:textFill>
        </w:rPr>
        <w:t>投标文件包括本须知第</w:t>
      </w:r>
      <w:r>
        <w:rPr>
          <w:rFonts w:ascii="宋体" w:hAnsi="宋体"/>
          <w:color w:val="000000" w:themeColor="text1"/>
          <w:sz w:val="24"/>
          <w:highlight w:val="none"/>
          <w14:textFill>
            <w14:solidFill>
              <w14:schemeClr w14:val="tx1"/>
            </w14:solidFill>
          </w14:textFill>
        </w:rPr>
        <w:t>11</w:t>
      </w:r>
      <w:r>
        <w:rPr>
          <w:rFonts w:hint="eastAsia" w:ascii="宋体" w:hAnsi="宋体"/>
          <w:color w:val="000000" w:themeColor="text1"/>
          <w:sz w:val="24"/>
          <w:highlight w:val="none"/>
          <w14:textFill>
            <w14:solidFill>
              <w14:schemeClr w14:val="tx1"/>
            </w14:solidFill>
          </w14:textFill>
        </w:rPr>
        <w:t>条中规定的内容，投标人提交的投标文件应当使用招标文件所提供的投标文件全部格式（表格可以按同样格式扩展）。</w:t>
      </w:r>
    </w:p>
    <w:p>
      <w:pPr>
        <w:pStyle w:val="17"/>
        <w:spacing w:after="0"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12.2 投标文件全部采用电子文档，投标文件所附证书证件均为原件扫描件，并采用单位数字证书，按招标文件要求在相应位置加盖电子印章。投标文件中需个人签字或盖章的，应加盖个人电子印章或在线下完成后扫描上传。按照交易平台关于</w:t>
      </w:r>
      <w:r>
        <w:rPr>
          <w:rFonts w:hint="eastAsia"/>
          <w:color w:val="000000" w:themeColor="text1"/>
          <w:sz w:val="24"/>
          <w:szCs w:val="24"/>
          <w:highlight w:val="none"/>
          <w14:textFill>
            <w14:solidFill>
              <w14:schemeClr w14:val="tx1"/>
            </w14:solidFill>
          </w14:textFill>
        </w:rPr>
        <w:t>全流程电子化项目的相关指南进行操作。详见：</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u w:val="single"/>
          <w14:textFill>
            <w14:solidFill>
              <w14:schemeClr w14:val="tx1"/>
            </w14:solidFill>
          </w14:textFill>
        </w:rPr>
        <w:t xml:space="preserve">    </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 xml:space="preserve"> 。</w:t>
      </w:r>
    </w:p>
    <w:p>
      <w:pPr>
        <w:pStyle w:val="17"/>
        <w:spacing w:after="0"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 xml:space="preserve">12.3 </w:t>
      </w:r>
      <w:r>
        <w:rPr>
          <w:rFonts w:hint="eastAsia" w:ascii="宋体" w:hAnsi="宋体"/>
          <w:bCs/>
          <w:color w:val="000000" w:themeColor="text1"/>
          <w:sz w:val="24"/>
          <w:szCs w:val="24"/>
          <w:highlight w:val="none"/>
          <w14:textFill>
            <w14:solidFill>
              <w14:schemeClr w14:val="tx1"/>
            </w14:solidFill>
          </w14:textFill>
        </w:rPr>
        <w:t>投标文件应按</w:t>
      </w:r>
      <w:r>
        <w:rPr>
          <w:rFonts w:hint="eastAsia" w:ascii="宋体" w:hAnsi="宋体"/>
          <w:color w:val="000000" w:themeColor="text1"/>
          <w:sz w:val="24"/>
          <w:highlight w:val="none"/>
          <w14:textFill>
            <w14:solidFill>
              <w14:schemeClr w14:val="tx1"/>
            </w14:solidFill>
          </w14:textFill>
        </w:rPr>
        <w:t>照交易平台关于全流程电子化项目的相关指南进行编制，详见：</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 xml:space="preserve">。               </w:t>
      </w:r>
    </w:p>
    <w:p>
      <w:pPr>
        <w:pStyle w:val="17"/>
        <w:spacing w:after="0" w:line="360" w:lineRule="auto"/>
        <w:ind w:firstLine="0"/>
        <w:rPr>
          <w:rFonts w:ascii="宋体" w:hAnsi="宋体"/>
          <w:color w:val="000000" w:themeColor="text1"/>
          <w:sz w:val="24"/>
          <w:highlight w:val="none"/>
          <w14:textFill>
            <w14:solidFill>
              <w14:schemeClr w14:val="tx1"/>
            </w14:solidFill>
          </w14:textFill>
        </w:rPr>
      </w:pPr>
      <w:r>
        <w:rPr>
          <w:rFonts w:hint="eastAsia" w:ascii="宋体" w:hAnsi="宋体"/>
          <w:bCs/>
          <w:color w:val="000000" w:themeColor="text1"/>
          <w:sz w:val="24"/>
          <w:szCs w:val="24"/>
          <w:highlight w:val="none"/>
          <w14:textFill>
            <w14:solidFill>
              <w14:schemeClr w14:val="tx1"/>
            </w14:solidFill>
          </w14:textFill>
        </w:rPr>
        <w:t>如不按上述要求编制引起系统无法检索、读取相关信息的，其后果由投标人承担。</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13</w:t>
      </w:r>
      <w:r>
        <w:rPr>
          <w:rFonts w:hint="eastAsia" w:ascii="宋体" w:hAnsi="宋体"/>
          <w:b/>
          <w:bCs/>
          <w:color w:val="000000" w:themeColor="text1"/>
          <w:sz w:val="24"/>
          <w:highlight w:val="none"/>
          <w14:textFill>
            <w14:solidFill>
              <w14:schemeClr w14:val="tx1"/>
            </w14:solidFill>
          </w14:textFill>
        </w:rPr>
        <w:t>．投标报价及造价承包和变更结算方式</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13.1 </w:t>
      </w:r>
      <w:r>
        <w:rPr>
          <w:rFonts w:hint="eastAsia" w:ascii="宋体" w:hAnsi="宋体"/>
          <w:color w:val="000000" w:themeColor="text1"/>
          <w:sz w:val="24"/>
          <w:highlight w:val="none"/>
          <w14:textFill>
            <w14:solidFill>
              <w14:schemeClr w14:val="tx1"/>
            </w14:solidFill>
          </w14:textFill>
        </w:rPr>
        <w:t>本工程的投标报价采用投标须知前附表第</w:t>
      </w:r>
      <w:r>
        <w:rPr>
          <w:rFonts w:ascii="宋体" w:hAnsi="宋体"/>
          <w:color w:val="000000" w:themeColor="text1"/>
          <w:sz w:val="24"/>
          <w:highlight w:val="none"/>
          <w14:textFill>
            <w14:solidFill>
              <w14:schemeClr w14:val="tx1"/>
            </w14:solidFill>
          </w14:textFill>
        </w:rPr>
        <w:t>12</w:t>
      </w:r>
      <w:r>
        <w:rPr>
          <w:rFonts w:hint="eastAsia" w:ascii="宋体" w:hAnsi="宋体"/>
          <w:color w:val="000000" w:themeColor="text1"/>
          <w:sz w:val="24"/>
          <w:highlight w:val="none"/>
          <w14:textFill>
            <w14:solidFill>
              <w14:schemeClr w14:val="tx1"/>
            </w14:solidFill>
          </w14:textFill>
        </w:rPr>
        <w:t>项所规定的方式。投标报价（含单价及总价）精确到“分”。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13.2</w:t>
      </w:r>
      <w:r>
        <w:rPr>
          <w:rFonts w:hint="eastAsia" w:ascii="宋体" w:hAnsi="宋体"/>
          <w:color w:val="000000" w:themeColor="text1"/>
          <w:sz w:val="24"/>
          <w:highlight w:val="none"/>
          <w14:textFill>
            <w14:solidFill>
              <w14:schemeClr w14:val="tx1"/>
            </w14:solidFill>
          </w14:textFill>
        </w:rPr>
        <w:t>招标人按照招标图纸制定招标工程量清单，该清单载于本招标文件第七章中，投标人按照招标人提供的招标工程量清单中列出的工程项目和工程量填报单价和合价，每一项目只允许有一个报价，任何有选择的报价将不予接受。投标人未填报单价或合价的工程项目，视为此项费用已包含在已标价工程量清单中其他项目的单价和合价之中，在实施后，此项目不得重新组价予以调整，招标人将不予支付。</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13.3</w:t>
      </w:r>
      <w:r>
        <w:rPr>
          <w:rFonts w:hint="eastAsia" w:ascii="宋体" w:hAnsi="宋体"/>
          <w:color w:val="000000" w:themeColor="text1"/>
          <w:sz w:val="24"/>
          <w:highlight w:val="none"/>
          <w14:textFill>
            <w14:solidFill>
              <w14:schemeClr w14:val="tx1"/>
            </w14:solidFill>
          </w14:textFill>
        </w:rPr>
        <w:t>投标人的投标报价，应是按照投标须知前附表第</w:t>
      </w:r>
      <w:r>
        <w:rPr>
          <w:rFonts w:ascii="宋体" w:hAnsi="宋体"/>
          <w:color w:val="000000" w:themeColor="text1"/>
          <w:sz w:val="24"/>
          <w:highlight w:val="none"/>
          <w14:textFill>
            <w14:solidFill>
              <w14:schemeClr w14:val="tx1"/>
            </w14:solidFill>
          </w14:textFill>
        </w:rPr>
        <w:t>8</w:t>
      </w:r>
      <w:r>
        <w:rPr>
          <w:rFonts w:hint="eastAsia" w:ascii="宋体" w:hAnsi="宋体"/>
          <w:color w:val="000000" w:themeColor="text1"/>
          <w:sz w:val="24"/>
          <w:highlight w:val="none"/>
          <w14:textFill>
            <w14:solidFill>
              <w14:schemeClr w14:val="tx1"/>
            </w14:solidFill>
          </w14:textFill>
        </w:rPr>
        <w:t>项的工期要求，在投标须知前附表第</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项的建设地点，完成投标须知前附表第</w:t>
      </w:r>
      <w:r>
        <w:rPr>
          <w:rFonts w:ascii="宋体" w:hAnsi="宋体"/>
          <w:color w:val="000000" w:themeColor="text1"/>
          <w:sz w:val="24"/>
          <w:highlight w:val="none"/>
          <w14:textFill>
            <w14:solidFill>
              <w14:schemeClr w14:val="tx1"/>
            </w14:solidFill>
          </w14:textFill>
        </w:rPr>
        <w:t>7</w:t>
      </w:r>
      <w:r>
        <w:rPr>
          <w:rFonts w:hint="eastAsia" w:ascii="宋体" w:hAnsi="宋体"/>
          <w:color w:val="000000" w:themeColor="text1"/>
          <w:sz w:val="24"/>
          <w:highlight w:val="none"/>
          <w14:textFill>
            <w14:solidFill>
              <w14:schemeClr w14:val="tx1"/>
            </w14:solidFill>
          </w14:textFill>
        </w:rPr>
        <w:t>项的招标范围内已由招标人制定的工程量清单列明工作的全部费用，包括但不限于完成工作的成本、利润、税金、技术措施费、大型机械进出场费、风险费以及政策性文件规定费用等，不得以任何理由予以重复计算。招标人提供的工程量清单或招标文件其他部分</w:t>
      </w:r>
      <w:r>
        <w:rPr>
          <w:rFonts w:hint="eastAsia" w:ascii="宋体" w:hAnsi="宋体"/>
          <w:color w:val="000000" w:themeColor="text1"/>
          <w:sz w:val="24"/>
          <w:szCs w:val="24"/>
          <w:highlight w:val="none"/>
          <w14:textFill>
            <w14:solidFill>
              <w14:schemeClr w14:val="tx1"/>
            </w14:solidFill>
          </w14:textFill>
        </w:rPr>
        <w:t>中有关规费、暂列金额、暂估价、绿色施工安全防护措施费等非竞争性项目明列了单价或合价的金额的，投标人应按照明列的单价或合价的金额报价，未按照规定金额报价的，由评标委员会按照招标文件规定的金额进行修正。</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13.4</w:t>
      </w:r>
      <w:r>
        <w:rPr>
          <w:rFonts w:hint="eastAsia" w:ascii="宋体" w:hAnsi="宋体"/>
          <w:color w:val="000000" w:themeColor="text1"/>
          <w:sz w:val="24"/>
          <w:highlight w:val="none"/>
          <w14:textFill>
            <w14:solidFill>
              <w14:schemeClr w14:val="tx1"/>
            </w14:solidFill>
          </w14:textFill>
        </w:rPr>
        <w:t>投标人一旦中标，投标人对招标人提供的招标工程量清单中列出的工程项目所报出的综合单价，在工程结算时将不得变更，招标人应在招标文件及合同中明确在人工、材料、设备或机械台班市场价格发生异常变动情况时合同价款的调整办法。因应计算的实际工程量与招标工程量清单出现偏差或因工程变更等原因导致的工程量偏差，引起相关措施项目相应发生变化时，按系数或单一总价方式计价的措施项目费，工程量增加的措施项目费调增，工程量减少的措施项目费调减。</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13.5</w:t>
      </w:r>
      <w:r>
        <w:rPr>
          <w:rFonts w:hint="eastAsia" w:ascii="宋体" w:hAnsi="宋体"/>
          <w:color w:val="000000" w:themeColor="text1"/>
          <w:sz w:val="24"/>
          <w:highlight w:val="none"/>
          <w14:textFill>
            <w14:solidFill>
              <w14:schemeClr w14:val="tx1"/>
            </w14:solidFill>
          </w14:textFill>
        </w:rPr>
        <w:t>工程项目实施期间和结算时，招标文件工程量清单中漏列而由监理单位和招标人现场签证确认的工程项目、原设计没有而由招标人批准设计变更产生的工程项目，视为新增项目，按以下顺序确定价格：</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13.5.1</w:t>
      </w:r>
      <w:r>
        <w:rPr>
          <w:rFonts w:hint="eastAsia" w:ascii="宋体" w:hAnsi="宋体"/>
          <w:color w:val="000000" w:themeColor="text1"/>
          <w:sz w:val="24"/>
          <w:highlight w:val="none"/>
          <w14:textFill>
            <w14:solidFill>
              <w14:schemeClr w14:val="tx1"/>
            </w14:solidFill>
          </w14:textFill>
        </w:rPr>
        <w:t>中标的投标文件工程量清单中已有相同项目的适用综合单价，则沿用；</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13.5.2</w:t>
      </w:r>
      <w:r>
        <w:rPr>
          <w:rFonts w:hint="eastAsia" w:ascii="宋体" w:hAnsi="宋体"/>
          <w:color w:val="000000" w:themeColor="text1"/>
          <w:sz w:val="24"/>
          <w:highlight w:val="none"/>
          <w14:textFill>
            <w14:solidFill>
              <w14:schemeClr w14:val="tx1"/>
            </w14:solidFill>
          </w14:textFill>
        </w:rPr>
        <w:t>中标的投标文件工程量清单中已有类似项目的综合单价，则按类似项目的综合单价对相应子目、消耗量、单价等进行调整换算，原管理费、利润水平不变。如中标的投标文件工程量清单中类似项目的综合单价有两个以上，则由招标人按消耗量最少、管理费和利润取费最低的优先顺序选择类似项目综合单价进行换算。如换算时出现类似项目中没有的材料单价，按广州市造价管理站同期《广州地区建设工程常用材料税前综合价格》计算，《广州地区建设工程常用材料税前综合价格》没有的材料单价，由招标人在招标文件中依法确定计价方式。</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13.5.3 </w:t>
      </w:r>
      <w:r>
        <w:rPr>
          <w:rFonts w:hint="eastAsia" w:ascii="宋体" w:hAnsi="宋体"/>
          <w:color w:val="000000" w:themeColor="text1"/>
          <w:sz w:val="24"/>
          <w:highlight w:val="none"/>
          <w14:textFill>
            <w14:solidFill>
              <w14:schemeClr w14:val="tx1"/>
            </w14:solidFill>
          </w14:textFill>
        </w:rPr>
        <w:t>中标的投标文件工程量清单中没有相同项目或类似项目的，如可套取相关定额，则以相关定额为基数下浮计算单价</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下浮率为中标价</w:t>
      </w:r>
      <w:r>
        <w:rPr>
          <w:rFonts w:hint="eastAsia" w:ascii="宋体" w:hAnsi="宋体"/>
          <w:color w:val="000000" w:themeColor="text1"/>
          <w:sz w:val="24"/>
          <w:szCs w:val="24"/>
          <w:highlight w:val="none"/>
          <w14:textFill>
            <w14:solidFill>
              <w14:schemeClr w14:val="tx1"/>
            </w14:solidFill>
          </w14:textFill>
        </w:rPr>
        <w:t>相对于最高投标限价的下</w:t>
      </w:r>
      <w:r>
        <w:rPr>
          <w:rFonts w:hint="eastAsia" w:ascii="宋体" w:hAnsi="宋体"/>
          <w:color w:val="000000" w:themeColor="text1"/>
          <w:sz w:val="24"/>
          <w:highlight w:val="none"/>
          <w14:textFill>
            <w14:solidFill>
              <w14:schemeClr w14:val="tx1"/>
            </w14:solidFill>
          </w14:textFill>
        </w:rPr>
        <w:t>浮率（下浮率</w:t>
      </w:r>
      <w:r>
        <w:rPr>
          <w:rFonts w:ascii="宋体" w:hAnsi="宋体"/>
          <w:color w:val="000000" w:themeColor="text1"/>
          <w:sz w:val="24"/>
          <w:highlight w:val="none"/>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最高投标限价</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中标价</w:t>
      </w:r>
      <w:r>
        <w:rPr>
          <w:rFonts w:ascii="宋体" w:hAnsi="宋体"/>
          <w:color w:val="000000" w:themeColor="text1"/>
          <w:sz w:val="24"/>
          <w:highlight w:val="none"/>
          <w14:textFill>
            <w14:solidFill>
              <w14:schemeClr w14:val="tx1"/>
            </w14:solidFill>
          </w14:textFill>
        </w:rPr>
        <w:t>)/</w:t>
      </w:r>
      <w:r>
        <w:rPr>
          <w:rFonts w:ascii="宋体" w:hAnsi="宋体"/>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最高投标限价</w:t>
      </w:r>
      <w:r>
        <w:rPr>
          <w:rFonts w:hint="eastAsia" w:ascii="宋体" w:hAnsi="宋体"/>
          <w:color w:val="000000" w:themeColor="text1"/>
          <w:sz w:val="24"/>
          <w:highlight w:val="none"/>
          <w14:textFill>
            <w14:solidFill>
              <w14:schemeClr w14:val="tx1"/>
            </w14:solidFill>
          </w14:textFill>
        </w:rPr>
        <w:t>）。</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13.5.4 </w:t>
      </w:r>
      <w:r>
        <w:rPr>
          <w:rFonts w:hint="eastAsia" w:ascii="宋体" w:hAnsi="宋体"/>
          <w:color w:val="000000" w:themeColor="text1"/>
          <w:sz w:val="24"/>
          <w:highlight w:val="none"/>
          <w14:textFill>
            <w14:solidFill>
              <w14:schemeClr w14:val="tx1"/>
            </w14:solidFill>
          </w14:textFill>
        </w:rPr>
        <w:t>如相关定额没有相应子目的，其计价方式由招标人在本招标文件第三章中另行规定。未规定的，中标后双方协商约定。</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w:t>
      </w:r>
      <w:r>
        <w:rPr>
          <w:rFonts w:hint="eastAsia" w:ascii="宋体" w:hAnsi="宋体"/>
          <w:color w:val="000000" w:themeColor="text1"/>
          <w:sz w:val="24"/>
          <w:highlight w:val="none"/>
          <w14:textFill>
            <w14:solidFill>
              <w14:schemeClr w14:val="tx1"/>
            </w14:solidFill>
          </w14:textFill>
        </w:rPr>
        <w:t>暂列金额、暂估价</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13.6.1</w:t>
      </w:r>
      <w:r>
        <w:rPr>
          <w:rFonts w:hint="eastAsia" w:ascii="宋体" w:hAnsi="宋体"/>
          <w:color w:val="000000" w:themeColor="text1"/>
          <w:sz w:val="24"/>
          <w:highlight w:val="none"/>
          <w14:textFill>
            <w14:solidFill>
              <w14:schemeClr w14:val="tx1"/>
            </w14:solidFill>
          </w14:textFill>
        </w:rPr>
        <w:t>暂列金额指招标人在工程量清单中暂定并包括在合同价款中的一笔款项。用于施工合同签订时尚未确定或者不可预见的所需材料、设备、服务的采购，施工中可能发生的工程量变更、合同约定调整因素出现时的工程价款调整以及发生的索赔、现场签证等费用。</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暂估价是指招标人在工程量清单中提供的用于支付必然发生但暂时不能确定价格的材料的单价以及专业工程的金额。</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13.6.2</w:t>
      </w:r>
      <w:r>
        <w:rPr>
          <w:rFonts w:hint="eastAsia" w:ascii="宋体" w:hAnsi="宋体"/>
          <w:color w:val="000000" w:themeColor="text1"/>
          <w:sz w:val="24"/>
          <w:highlight w:val="none"/>
          <w14:textFill>
            <w14:solidFill>
              <w14:schemeClr w14:val="tx1"/>
            </w14:solidFill>
          </w14:textFill>
        </w:rPr>
        <w:t>在工程实施中，暂列金额、暂估价所包含的工作范围和图纸、标准深化固定后，按照工程专业、设备、材料类别等分类汇总的金额，达到法定招标范围标准的，应由招标人同中标人联合招标，确定承包人和承包价格。</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13.6.3</w:t>
      </w:r>
      <w:r>
        <w:rPr>
          <w:rFonts w:hint="eastAsia" w:ascii="宋体" w:hAnsi="宋体"/>
          <w:color w:val="000000" w:themeColor="text1"/>
          <w:sz w:val="24"/>
          <w:highlight w:val="none"/>
          <w14:textFill>
            <w14:solidFill>
              <w14:schemeClr w14:val="tx1"/>
            </w14:solidFill>
          </w14:textFill>
        </w:rPr>
        <w:t>在工程实施中，暂列金额、暂估价所包含的工作范围和图纸、标准深化固定后，按照工程专业、设备、材料类别等分类汇总的金额，未达到法定招标范围标准但适用政府采购规定的，应按照政府采购规定确定承包人和承包价格。</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13.6.4</w:t>
      </w:r>
      <w:r>
        <w:rPr>
          <w:rFonts w:hint="eastAsia" w:ascii="宋体" w:hAnsi="宋体"/>
          <w:color w:val="000000" w:themeColor="text1"/>
          <w:sz w:val="24"/>
          <w:highlight w:val="none"/>
          <w14:textFill>
            <w14:solidFill>
              <w14:schemeClr w14:val="tx1"/>
            </w14:solidFill>
          </w14:textFill>
        </w:rPr>
        <w:t>在工程实施中，暂列金额、暂估价所包含的工作范围和图纸、标准深化固定后，按照工程专业、设备、材料类别等分类汇总的金额，未达到法定招标范围标准也不适用政府采购规定，承包人有法定的承包资格的，由承包人承包，承包人无法定的承包资格但有法定的分包权的，由承包人分包，招标人同承包人结算的价格按本投标须知</w:t>
      </w:r>
      <w:r>
        <w:rPr>
          <w:rFonts w:ascii="宋体" w:hAnsi="宋体"/>
          <w:color w:val="000000" w:themeColor="text1"/>
          <w:sz w:val="24"/>
          <w:highlight w:val="none"/>
          <w14:textFill>
            <w14:solidFill>
              <w14:schemeClr w14:val="tx1"/>
            </w14:solidFill>
          </w14:textFill>
        </w:rPr>
        <w:t>13.5</w:t>
      </w:r>
      <w:r>
        <w:rPr>
          <w:rFonts w:hint="eastAsia" w:ascii="宋体" w:hAnsi="宋体"/>
          <w:color w:val="000000" w:themeColor="text1"/>
          <w:sz w:val="24"/>
          <w:highlight w:val="none"/>
          <w14:textFill>
            <w14:solidFill>
              <w14:schemeClr w14:val="tx1"/>
            </w14:solidFill>
          </w14:textFill>
        </w:rPr>
        <w:t>款规定确定。</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13.6.5</w:t>
      </w:r>
      <w:r>
        <w:rPr>
          <w:rFonts w:hint="eastAsia" w:ascii="宋体" w:hAnsi="宋体"/>
          <w:color w:val="000000" w:themeColor="text1"/>
          <w:sz w:val="24"/>
          <w:highlight w:val="none"/>
          <w14:textFill>
            <w14:solidFill>
              <w14:schemeClr w14:val="tx1"/>
            </w14:solidFill>
          </w14:textFill>
        </w:rPr>
        <w:t>在工程实施中，暂列金额、暂估价所包含的工作范围和图纸、标准深化固定后，按照工程专业、设备、材料类别等分类汇总的金额，未达到法定招标范围标准也不适用政府采购规定，承包人既无法定的承包资格又无法定的分包权的，由招标人另行发包。</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13.6.6 </w:t>
      </w:r>
      <w:r>
        <w:rPr>
          <w:rFonts w:hint="eastAsia" w:ascii="宋体" w:hAnsi="宋体"/>
          <w:color w:val="000000" w:themeColor="text1"/>
          <w:sz w:val="24"/>
          <w:highlight w:val="none"/>
          <w14:textFill>
            <w14:solidFill>
              <w14:schemeClr w14:val="tx1"/>
            </w14:solidFill>
          </w14:textFill>
        </w:rPr>
        <w:t>在工程实施中，暂列金额、暂估价所包含的工作范围由其他承包人承包的，纳入本项目承包人的管理和协调范围，由其他承包人向本项目承包人承担质量、安全、文明施工、工期责任，本项目承包人向招标人承担责任。投标人应当充分考虑此项管理和协调所发生的费用，并将其纳入招标人提供的工程量清单中的适当项目报价中。招标人将视为此项管理和协调所发生的费用已包含在其它有价款的竞争性报价内，在实施后，招标人将不予支付。</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13.7</w:t>
      </w:r>
      <w:r>
        <w:rPr>
          <w:rFonts w:hint="eastAsia" w:ascii="宋体" w:hAnsi="宋体"/>
          <w:color w:val="000000" w:themeColor="text1"/>
          <w:sz w:val="24"/>
          <w:highlight w:val="none"/>
          <w14:textFill>
            <w14:solidFill>
              <w14:schemeClr w14:val="tx1"/>
            </w14:solidFill>
          </w14:textFill>
        </w:rPr>
        <w:t>投标人可先到工地踏勘以充分了解工地位置、情况、道路、储存空间、装卸限制及任何其他足以影响承包价的情况，任何因忽视或误解工地情况而导致的索赔或工期延长申请将不被批准。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13.8</w:t>
      </w:r>
      <w:r>
        <w:rPr>
          <w:rFonts w:hint="eastAsia" w:ascii="宋体" w:hAnsi="宋体"/>
          <w:color w:val="000000" w:themeColor="text1"/>
          <w:sz w:val="24"/>
          <w:highlight w:val="none"/>
          <w14:textFill>
            <w14:solidFill>
              <w14:schemeClr w14:val="tx1"/>
            </w14:solidFill>
          </w14:textFill>
        </w:rPr>
        <w:t>属于承包人自行采购的主要材料、设备，招标人应当在招标文件中提出材料、设备的技术标准或者质量要求，或者提出不少于</w:t>
      </w:r>
      <w:r>
        <w:rPr>
          <w:rFonts w:ascii="宋体" w:hAnsi="宋体"/>
          <w:color w:val="000000" w:themeColor="text1"/>
          <w:sz w:val="24"/>
          <w:highlight w:val="none"/>
          <w14:textFill>
            <w14:solidFill>
              <w14:schemeClr w14:val="tx1"/>
            </w14:solidFill>
          </w14:textFill>
        </w:rPr>
        <w:t>3</w:t>
      </w:r>
      <w:r>
        <w:rPr>
          <w:rFonts w:hint="eastAsia" w:ascii="宋体" w:hAnsi="宋体"/>
          <w:color w:val="000000" w:themeColor="text1"/>
          <w:sz w:val="24"/>
          <w:highlight w:val="none"/>
          <w14:textFill>
            <w14:solidFill>
              <w14:schemeClr w14:val="tx1"/>
            </w14:solidFill>
          </w14:textFill>
        </w:rPr>
        <w:t>个同等档次品牌或分包商供投标人报价时选择</w:t>
      </w:r>
      <w:r>
        <w:rPr>
          <w:rFonts w:ascii="宋体"/>
          <w:color w:val="000000" w:themeColor="text1"/>
          <w:sz w:val="24"/>
          <w:highlight w:val="none"/>
          <w14:textFill>
            <w14:solidFill>
              <w14:schemeClr w14:val="tx1"/>
            </w14:solidFill>
          </w14:textFill>
        </w:rPr>
        <w:t>,</w:t>
      </w:r>
      <w:r>
        <w:rPr>
          <w:rFonts w:hint="eastAsia" w:ascii="宋体" w:hAnsi="宋体"/>
          <w:color w:val="000000" w:themeColor="text1"/>
          <w:sz w:val="24"/>
          <w:highlight w:val="none"/>
          <w14:textFill>
            <w14:solidFill>
              <w14:schemeClr w14:val="tx1"/>
            </w14:solidFill>
          </w14:textFill>
        </w:rPr>
        <w:t>凡招标人在招标文件中提出参考品牌的，必须在参考品牌后面加上“或相当于”字样。投标人在投标文件中应明确所选用主要材料、设备的品牌、厂家以及质量等级，并且应当符合招标文件的要求。</w:t>
      </w:r>
    </w:p>
    <w:p>
      <w:pPr>
        <w:pStyle w:val="17"/>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13.9</w:t>
      </w:r>
      <w:r>
        <w:rPr>
          <w:rFonts w:hint="eastAsia" w:ascii="宋体"/>
          <w:color w:val="000000" w:themeColor="text1"/>
          <w:sz w:val="24"/>
          <w:szCs w:val="24"/>
          <w:highlight w:val="none"/>
          <w14:textFill>
            <w14:solidFill>
              <w14:schemeClr w14:val="tx1"/>
            </w14:solidFill>
          </w14:textFill>
        </w:rPr>
        <w:t>招标人与中标人应本着实事求是、风险共担的原则，充分考虑施工合同履行期间人工、建筑材料、机械设备价格因素的影响。对于各类钢筋、混凝土等主要材料以及人工、机械设备等，应结合合同工期、各价格因素对工程总造价的影响等，合理约定调价机制。调价机制应由招标人在招标文件及合同中明确，内容包括调价范围（含材料、机械的具体名称、工种等）、价格变动时限、幅度以及相应的合同价款调整方法。</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14</w:t>
      </w:r>
      <w:r>
        <w:rPr>
          <w:rFonts w:hint="eastAsia" w:ascii="宋体" w:hAnsi="宋体"/>
          <w:b/>
          <w:bCs/>
          <w:color w:val="000000" w:themeColor="text1"/>
          <w:sz w:val="24"/>
          <w:highlight w:val="none"/>
          <w14:textFill>
            <w14:solidFill>
              <w14:schemeClr w14:val="tx1"/>
            </w14:solidFill>
          </w14:textFill>
        </w:rPr>
        <w:t>．投标货币</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14.1 </w:t>
      </w:r>
      <w:r>
        <w:rPr>
          <w:rFonts w:hint="eastAsia" w:ascii="宋体" w:hAnsi="宋体"/>
          <w:color w:val="000000" w:themeColor="text1"/>
          <w:sz w:val="24"/>
          <w:highlight w:val="none"/>
          <w14:textFill>
            <w14:solidFill>
              <w14:schemeClr w14:val="tx1"/>
            </w14:solidFill>
          </w14:textFill>
        </w:rPr>
        <w:t>本工程投标报价采用的币种为人民币。</w:t>
      </w:r>
    </w:p>
    <w:p>
      <w:pPr>
        <w:pStyle w:val="17"/>
        <w:spacing w:after="0" w:line="360" w:lineRule="auto"/>
        <w:ind w:firstLine="482" w:firstLineChars="200"/>
        <w:rPr>
          <w:rFonts w:ascii="宋体"/>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15</w:t>
      </w:r>
      <w:r>
        <w:rPr>
          <w:rFonts w:hint="eastAsia" w:ascii="宋体" w:hAnsi="宋体"/>
          <w:b/>
          <w:bCs/>
          <w:color w:val="000000" w:themeColor="text1"/>
          <w:sz w:val="24"/>
          <w:highlight w:val="none"/>
          <w14:textFill>
            <w14:solidFill>
              <w14:schemeClr w14:val="tx1"/>
            </w14:solidFill>
          </w14:textFill>
        </w:rPr>
        <w:t>．投标有效期</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15.1 </w:t>
      </w:r>
      <w:r>
        <w:rPr>
          <w:rFonts w:hint="eastAsia" w:ascii="宋体" w:hAnsi="宋体"/>
          <w:color w:val="000000" w:themeColor="text1"/>
          <w:sz w:val="24"/>
          <w:highlight w:val="none"/>
          <w14:textFill>
            <w14:solidFill>
              <w14:schemeClr w14:val="tx1"/>
            </w14:solidFill>
          </w14:textFill>
        </w:rPr>
        <w:t>投标有效期见投标须知前附表第</w:t>
      </w:r>
      <w:r>
        <w:rPr>
          <w:rFonts w:ascii="宋体" w:hAnsi="宋体"/>
          <w:color w:val="000000" w:themeColor="text1"/>
          <w:sz w:val="24"/>
          <w:highlight w:val="none"/>
          <w14:textFill>
            <w14:solidFill>
              <w14:schemeClr w14:val="tx1"/>
            </w14:solidFill>
          </w14:textFill>
        </w:rPr>
        <w:t>13</w:t>
      </w:r>
      <w:r>
        <w:rPr>
          <w:rFonts w:hint="eastAsia" w:ascii="宋体" w:hAnsi="宋体"/>
          <w:color w:val="000000" w:themeColor="text1"/>
          <w:sz w:val="24"/>
          <w:highlight w:val="none"/>
          <w14:textFill>
            <w14:solidFill>
              <w14:schemeClr w14:val="tx1"/>
            </w14:solidFill>
          </w14:textFill>
        </w:rPr>
        <w:t>项所规定的期限，在此期限内，凡符合本招标文件要求的投标文件均保持有效。</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15.2 </w:t>
      </w:r>
      <w:r>
        <w:rPr>
          <w:rFonts w:hint="eastAsia" w:ascii="宋体" w:hAnsi="宋体"/>
          <w:color w:val="000000" w:themeColor="text1"/>
          <w:sz w:val="24"/>
          <w:highlight w:val="none"/>
          <w14:textFill>
            <w14:solidFill>
              <w14:schemeClr w14:val="tx1"/>
            </w14:solidFill>
          </w14:textFill>
        </w:rPr>
        <w:t>在特殊情况下，招标人在原定投标有效期内，可以根据需要以书面形式向投标人提出延长投标有效期的要求，对此要求投标人须以书面形式予以答复。投标人可以拒绝招标人这种要求，而不影响退还其投标保证金。同意延长投标有效期的投标人既不能要求也不允许修改其投标文件，但需要相应的延长投标保证金的有效期，在延长的投标有效期内，本须知第</w:t>
      </w:r>
      <w:r>
        <w:rPr>
          <w:rFonts w:ascii="宋体" w:hAnsi="宋体"/>
          <w:color w:val="000000" w:themeColor="text1"/>
          <w:sz w:val="24"/>
          <w:highlight w:val="none"/>
          <w14:textFill>
            <w14:solidFill>
              <w14:schemeClr w14:val="tx1"/>
            </w14:solidFill>
          </w14:textFill>
        </w:rPr>
        <w:t>16</w:t>
      </w:r>
      <w:r>
        <w:rPr>
          <w:rFonts w:hint="eastAsia" w:ascii="宋体" w:hAnsi="宋体"/>
          <w:color w:val="000000" w:themeColor="text1"/>
          <w:sz w:val="24"/>
          <w:highlight w:val="none"/>
          <w14:textFill>
            <w14:solidFill>
              <w14:schemeClr w14:val="tx1"/>
            </w14:solidFill>
          </w14:textFill>
        </w:rPr>
        <w:t>条关于投标保证金的退还与不予退还的规定仍然适用。</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16</w:t>
      </w:r>
      <w:r>
        <w:rPr>
          <w:rFonts w:hint="eastAsia" w:ascii="宋体" w:hAnsi="宋体"/>
          <w:b/>
          <w:bCs/>
          <w:color w:val="000000" w:themeColor="text1"/>
          <w:sz w:val="24"/>
          <w:highlight w:val="none"/>
          <w14:textFill>
            <w14:solidFill>
              <w14:schemeClr w14:val="tx1"/>
            </w14:solidFill>
          </w14:textFill>
        </w:rPr>
        <w:t>．投标保证金</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16.1</w:t>
      </w:r>
      <w:r>
        <w:rPr>
          <w:rFonts w:hint="eastAsia" w:ascii="宋体" w:hAnsi="宋体"/>
          <w:color w:val="000000" w:themeColor="text1"/>
          <w:sz w:val="24"/>
          <w:highlight w:val="none"/>
          <w14:textFill>
            <w14:solidFill>
              <w14:schemeClr w14:val="tx1"/>
            </w14:solidFill>
          </w14:textFill>
        </w:rPr>
        <w:t>投标人应按投标须知前附表第</w:t>
      </w:r>
      <w:r>
        <w:rPr>
          <w:rFonts w:ascii="宋体" w:hAnsi="宋体"/>
          <w:color w:val="000000" w:themeColor="text1"/>
          <w:sz w:val="24"/>
          <w:highlight w:val="none"/>
          <w14:textFill>
            <w14:solidFill>
              <w14:schemeClr w14:val="tx1"/>
            </w14:solidFill>
          </w14:textFill>
        </w:rPr>
        <w:t>14</w:t>
      </w:r>
      <w:r>
        <w:rPr>
          <w:rFonts w:hint="eastAsia" w:ascii="宋体" w:hAnsi="宋体"/>
          <w:color w:val="000000" w:themeColor="text1"/>
          <w:sz w:val="24"/>
          <w:highlight w:val="none"/>
          <w14:textFill>
            <w14:solidFill>
              <w14:schemeClr w14:val="tx1"/>
            </w14:solidFill>
          </w14:textFill>
        </w:rPr>
        <w:t>项所述金额和时间递交</w:t>
      </w:r>
      <w:r>
        <w:rPr>
          <w:rFonts w:hint="eastAsia" w:ascii="宋体" w:hAnsi="宋体"/>
          <w:bCs/>
          <w:color w:val="000000" w:themeColor="text1"/>
          <w:sz w:val="24"/>
          <w:highlight w:val="none"/>
          <w14:textFill>
            <w14:solidFill>
              <w14:schemeClr w14:val="tx1"/>
            </w14:solidFill>
          </w14:textFill>
        </w:rPr>
        <w:t>投标保证金</w:t>
      </w:r>
      <w:r>
        <w:rPr>
          <w:rFonts w:hint="eastAsia" w:ascii="宋体" w:hAnsi="宋体"/>
          <w:color w:val="000000" w:themeColor="text1"/>
          <w:sz w:val="24"/>
          <w:highlight w:val="none"/>
          <w14:textFill>
            <w14:solidFill>
              <w14:schemeClr w14:val="tx1"/>
            </w14:solidFill>
          </w14:textFill>
        </w:rPr>
        <w:t>。招标人应当允许投标人自主选择现金、银行保函、保证保险、专业工程担保公司担保等方式缴纳投标保证金。</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16.1.1 采用现金或者支票形式提交的，投标保证金须从投标人的银行基本账户转出。</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16.1.2 依法必须招标的房屋建筑工程如采用非电子形式的银行保函、专业工程担保公司担保或保证保险提交投标保证金的，在开标前不强制要求投标人提交纸质原件，由中标候选人在中标候选人公示前提交并在网上公示，投标人应在投标文件中提交保函、担保或保证保险扫描件并加盖投标人电子印章。如投标人存在16.4条款所列情形的，应将纸质原件提交给招标人。</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16.1.3 采用电子形式的保函、担保或保证保险提交投标保证金的，应在招标文件中明确电子递交途径。</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16.2开标时投标人没有按要求提供投标保证金的，其投标文件将被否决；未按招标文件要求提交符合免予提供投标保证金相关证明材料，且未提交投标保证金的投标人，视为未按要求提供投标保证金。</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16.3投标保证金应依据法律法规的相关规定退还。</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16.4如有下列情况之一的，招标人可以不予退还投标保证金（是否退还投标保证金由招标人在招标文件中规定）：</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16.4.1因投标人原因造成投标文件未解密的；</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16.4.2投标人在投标有效期内撤销投标文件；</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16.4.3中标人未能在规定期限内按要求提交履约担保；</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16.4.4中标人未能在规定期限内签署合同协议。</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16.5投标人如存在下列情况之一的，将被拒绝在一定时期内参与招标人后续工程投标（拒绝时限需在招标文件中明确）：</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16.5.1投标人存在16.4条款所列情形且投标人提交的保函、担保或保证保险无法兑付的；</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16.5.2采用非电子形式提交投标保证金的投标人存在16.4条款所列情形，且未按招标人要求补交银行保函、专业工程担保公司担保或保证保险原件的；</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16.5.3按招标文件要求免于提供投标保证金的投标人存在16.4条款所列情形，且未按招标人要求补交投标保证金的；</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16.5.3按招标文件要求免于提供投标保证金的投标人存在16.4条款所列情形的。</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注：16.5.3款由招标人二选一，需在招标文件中明确。</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17</w:t>
      </w:r>
      <w:r>
        <w:rPr>
          <w:rFonts w:hint="eastAsia" w:ascii="宋体" w:hAnsi="宋体"/>
          <w:b/>
          <w:bCs/>
          <w:color w:val="000000" w:themeColor="text1"/>
          <w:sz w:val="24"/>
          <w:highlight w:val="none"/>
          <w14:textFill>
            <w14:solidFill>
              <w14:schemeClr w14:val="tx1"/>
            </w14:solidFill>
          </w14:textFill>
        </w:rPr>
        <w:t>．投标文件的签署</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17.1</w:t>
      </w:r>
      <w:r>
        <w:rPr>
          <w:rFonts w:hint="eastAsia" w:ascii="宋体" w:hAnsi="宋体"/>
          <w:color w:val="000000" w:themeColor="text1"/>
          <w:sz w:val="24"/>
          <w:highlight w:val="none"/>
          <w14:textFill>
            <w14:solidFill>
              <w14:schemeClr w14:val="tx1"/>
            </w14:solidFill>
          </w14:textFill>
        </w:rPr>
        <w:t>投标人应采用单位数字证书，按招标文件要求在相应位置加盖电子印章。投标文件中需个人签字或盖章的，应加盖个人电子印章或在线下完成后扫描上传。按照交易平台关于全流程电子化项目的相关指南进行操作。详见：</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 xml:space="preserve"> 。</w:t>
      </w:r>
    </w:p>
    <w:p>
      <w:pPr>
        <w:pStyle w:val="6"/>
        <w:spacing w:before="156" w:after="156"/>
        <w:rPr>
          <w:color w:val="000000" w:themeColor="text1"/>
          <w:highlight w:val="none"/>
          <w14:textFill>
            <w14:solidFill>
              <w14:schemeClr w14:val="tx1"/>
            </w14:solidFill>
          </w14:textFill>
        </w:rPr>
      </w:pPr>
      <w:bookmarkStart w:id="14" w:name="_Toc21525496"/>
      <w:bookmarkStart w:id="15" w:name="_Toc2272552"/>
      <w:r>
        <w:rPr>
          <w:rFonts w:hint="eastAsia"/>
          <w:color w:val="000000" w:themeColor="text1"/>
          <w:highlight w:val="none"/>
          <w14:textFill>
            <w14:solidFill>
              <w14:schemeClr w14:val="tx1"/>
            </w14:solidFill>
          </w14:textFill>
        </w:rPr>
        <w:t>（四）投标文件的提交</w:t>
      </w:r>
      <w:bookmarkEnd w:id="14"/>
      <w:bookmarkEnd w:id="15"/>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18</w:t>
      </w:r>
      <w:r>
        <w:rPr>
          <w:rFonts w:hint="eastAsia" w:ascii="宋体" w:hAnsi="宋体"/>
          <w:b/>
          <w:bCs/>
          <w:color w:val="000000" w:themeColor="text1"/>
          <w:sz w:val="24"/>
          <w:highlight w:val="none"/>
          <w14:textFill>
            <w14:solidFill>
              <w14:schemeClr w14:val="tx1"/>
            </w14:solidFill>
          </w14:textFill>
        </w:rPr>
        <w:t>．</w:t>
      </w:r>
      <w:r>
        <w:rPr>
          <w:rFonts w:hint="eastAsia"/>
          <w:b/>
          <w:color w:val="000000" w:themeColor="text1"/>
          <w:sz w:val="24"/>
          <w:szCs w:val="24"/>
          <w:highlight w:val="none"/>
          <w14:textFill>
            <w14:solidFill>
              <w14:schemeClr w14:val="tx1"/>
            </w14:solidFill>
          </w14:textFill>
        </w:rPr>
        <w:t>投标文件的密封和标记</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8</w:t>
      </w: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递交的电子投标文件（不含备用光盘）必须进行加密。按照交易平台关于</w:t>
      </w:r>
      <w:r>
        <w:rPr>
          <w:rFonts w:hint="eastAsia"/>
          <w:color w:val="000000" w:themeColor="text1"/>
          <w:sz w:val="24"/>
          <w:szCs w:val="24"/>
          <w:highlight w:val="none"/>
          <w14:textFill>
            <w14:solidFill>
              <w14:schemeClr w14:val="tx1"/>
            </w14:solidFill>
          </w14:textFill>
        </w:rPr>
        <w:t>全流程电子化项目的相关指南进行操作。详见：</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u w:val="single"/>
          <w14:textFill>
            <w14:solidFill>
              <w14:schemeClr w14:val="tx1"/>
            </w14:solidFill>
          </w14:textFill>
        </w:rPr>
        <w:t xml:space="preserve">   </w:t>
      </w:r>
      <w:r>
        <w:rPr>
          <w:color w:val="000000" w:themeColor="text1"/>
          <w:sz w:val="24"/>
          <w:szCs w:val="24"/>
          <w:highlight w:val="none"/>
          <w:u w:val="singl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 xml:space="preserve"> 。</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8</w:t>
      </w:r>
      <w:r>
        <w:rPr>
          <w:rFonts w:ascii="宋体" w:hAnsi="宋体"/>
          <w:bCs/>
          <w:color w:val="000000" w:themeColor="text1"/>
          <w:sz w:val="24"/>
          <w:highlight w:val="none"/>
          <w14:textFill>
            <w14:solidFill>
              <w14:schemeClr w14:val="tx1"/>
            </w14:solidFill>
          </w14:textFill>
        </w:rPr>
        <w:t>.2</w:t>
      </w:r>
      <w:r>
        <w:rPr>
          <w:rFonts w:ascii="宋体"/>
          <w:bCs/>
          <w:color w:val="000000" w:themeColor="text1"/>
          <w:sz w:val="24"/>
          <w:highlight w:val="none"/>
          <w14:textFill>
            <w14:solidFill>
              <w14:schemeClr w14:val="tx1"/>
            </w14:solidFill>
          </w14:textFill>
        </w:rPr>
        <w:t xml:space="preserve"> </w:t>
      </w:r>
      <w:r>
        <w:rPr>
          <w:rFonts w:hint="eastAsia" w:ascii="宋体"/>
          <w:bCs/>
          <w:color w:val="000000" w:themeColor="text1"/>
          <w:sz w:val="24"/>
          <w:highlight w:val="none"/>
          <w14:textFill>
            <w14:solidFill>
              <w14:schemeClr w14:val="tx1"/>
            </w14:solidFill>
          </w14:textFill>
        </w:rPr>
        <w:t>未按要求加密的投标文件，</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bCs/>
          <w:color w:val="000000" w:themeColor="text1"/>
          <w:sz w:val="24"/>
          <w:highlight w:val="none"/>
          <w14:textFill>
            <w14:solidFill>
              <w14:schemeClr w14:val="tx1"/>
            </w14:solidFill>
          </w14:textFill>
        </w:rPr>
        <w:t>将予以拒收。</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19</w:t>
      </w:r>
      <w:r>
        <w:rPr>
          <w:rFonts w:hint="eastAsia" w:ascii="宋体" w:hAnsi="宋体"/>
          <w:b/>
          <w:bCs/>
          <w:color w:val="000000" w:themeColor="text1"/>
          <w:sz w:val="24"/>
          <w:highlight w:val="none"/>
          <w14:textFill>
            <w14:solidFill>
              <w14:schemeClr w14:val="tx1"/>
            </w14:solidFill>
          </w14:textFill>
        </w:rPr>
        <w:t>．投标文件的递交和接收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9</w:t>
      </w:r>
      <w:r>
        <w:rPr>
          <w:rFonts w:ascii="宋体" w:hAnsi="宋体"/>
          <w:bCs/>
          <w:color w:val="000000" w:themeColor="text1"/>
          <w:sz w:val="24"/>
          <w:highlight w:val="none"/>
          <w14:textFill>
            <w14:solidFill>
              <w14:schemeClr w14:val="tx1"/>
            </w14:solidFill>
          </w14:textFill>
        </w:rPr>
        <w:t>.</w:t>
      </w:r>
      <w:r>
        <w:rPr>
          <w:rFonts w:hint="eastAsia" w:ascii="宋体" w:hAnsi="宋体"/>
          <w:bCs/>
          <w:color w:val="000000" w:themeColor="text1"/>
          <w:sz w:val="24"/>
          <w:highlight w:val="none"/>
          <w14:textFill>
            <w14:solidFill>
              <w14:schemeClr w14:val="tx1"/>
            </w14:solidFill>
          </w14:textFill>
        </w:rPr>
        <w:t>1投标人通过</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hAnsi="宋体"/>
          <w:color w:val="000000" w:themeColor="text1"/>
          <w:sz w:val="24"/>
          <w:highlight w:val="none"/>
          <w14:textFill>
            <w14:solidFill>
              <w14:schemeClr w14:val="tx1"/>
            </w14:solidFill>
          </w14:textFill>
        </w:rPr>
        <w:t>递交电子投标文件。</w:t>
      </w:r>
    </w:p>
    <w:p>
      <w:pPr>
        <w:spacing w:line="360" w:lineRule="auto"/>
        <w:ind w:firstLine="480" w:firstLineChars="200"/>
        <w:rPr>
          <w:rFonts w:ascii="宋体"/>
          <w:bCs/>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9</w:t>
      </w:r>
      <w:r>
        <w:rPr>
          <w:rFonts w:ascii="宋体" w:hAnsi="宋体"/>
          <w:bCs/>
          <w:color w:val="000000" w:themeColor="text1"/>
          <w:sz w:val="24"/>
          <w:highlight w:val="none"/>
          <w14:textFill>
            <w14:solidFill>
              <w14:schemeClr w14:val="tx1"/>
            </w14:solidFill>
          </w14:textFill>
        </w:rPr>
        <w:t>.</w:t>
      </w:r>
      <w:r>
        <w:rPr>
          <w:rFonts w:hint="eastAsia" w:ascii="宋体" w:hAnsi="宋体"/>
          <w:bCs/>
          <w:color w:val="000000" w:themeColor="text1"/>
          <w:sz w:val="24"/>
          <w:highlight w:val="none"/>
          <w14:textFill>
            <w14:solidFill>
              <w14:schemeClr w14:val="tx1"/>
            </w14:solidFill>
          </w14:textFill>
        </w:rPr>
        <w:t>2投标人完成电子</w:t>
      </w:r>
      <w:r>
        <w:rPr>
          <w:rFonts w:hint="eastAsia" w:ascii="宋体" w:hAnsi="宋体"/>
          <w:color w:val="000000" w:themeColor="text1"/>
          <w:sz w:val="24"/>
          <w:highlight w:val="none"/>
          <w14:textFill>
            <w14:solidFill>
              <w14:schemeClr w14:val="tx1"/>
            </w14:solidFill>
          </w14:textFill>
        </w:rPr>
        <w:t>投标文件</w:t>
      </w:r>
      <w:r>
        <w:rPr>
          <w:rFonts w:hint="eastAsia" w:ascii="宋体" w:hAnsi="宋体"/>
          <w:bCs/>
          <w:color w:val="000000" w:themeColor="text1"/>
          <w:sz w:val="24"/>
          <w:highlight w:val="none"/>
          <w14:textFill>
            <w14:solidFill>
              <w14:schemeClr w14:val="tx1"/>
            </w14:solidFill>
          </w14:textFill>
        </w:rPr>
        <w:t>上传后，</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hAnsi="宋体"/>
          <w:color w:val="000000" w:themeColor="text1"/>
          <w:sz w:val="24"/>
          <w:highlight w:val="none"/>
          <w14:textFill>
            <w14:solidFill>
              <w14:schemeClr w14:val="tx1"/>
            </w14:solidFill>
          </w14:textFill>
        </w:rPr>
        <w:t>即时向投标人发出递交回执通知。递交时间以递交回执通知载明的传输完成时间为准。</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bCs/>
          <w:color w:val="000000" w:themeColor="text1"/>
          <w:sz w:val="24"/>
          <w:highlight w:val="none"/>
          <w14:textFill>
            <w14:solidFill>
              <w14:schemeClr w14:val="tx1"/>
            </w14:solidFill>
          </w14:textFill>
        </w:rPr>
        <w:t>1</w:t>
      </w:r>
      <w:r>
        <w:rPr>
          <w:rFonts w:hint="eastAsia" w:ascii="宋体" w:hAnsi="宋体"/>
          <w:bCs/>
          <w:color w:val="000000" w:themeColor="text1"/>
          <w:sz w:val="24"/>
          <w:highlight w:val="none"/>
          <w14:textFill>
            <w14:solidFill>
              <w14:schemeClr w14:val="tx1"/>
            </w14:solidFill>
          </w14:textFill>
        </w:rPr>
        <w:t>9</w:t>
      </w:r>
      <w:r>
        <w:rPr>
          <w:rFonts w:ascii="宋体" w:hAnsi="宋体"/>
          <w:bCs/>
          <w:color w:val="000000" w:themeColor="text1"/>
          <w:sz w:val="24"/>
          <w:highlight w:val="none"/>
          <w14:textFill>
            <w14:solidFill>
              <w14:schemeClr w14:val="tx1"/>
            </w14:solidFill>
          </w14:textFill>
        </w:rPr>
        <w:t>.</w:t>
      </w:r>
      <w:r>
        <w:rPr>
          <w:rFonts w:hint="eastAsia" w:ascii="宋体" w:hAnsi="宋体"/>
          <w:bCs/>
          <w:color w:val="000000" w:themeColor="text1"/>
          <w:sz w:val="24"/>
          <w:highlight w:val="none"/>
          <w14:textFill>
            <w14:solidFill>
              <w14:schemeClr w14:val="tx1"/>
            </w14:solidFill>
          </w14:textFill>
        </w:rPr>
        <w:t>3</w:t>
      </w:r>
      <w:r>
        <w:rPr>
          <w:rFonts w:hint="eastAsia"/>
          <w:bCs/>
          <w:color w:val="000000" w:themeColor="text1"/>
          <w:sz w:val="24"/>
          <w:szCs w:val="24"/>
          <w:highlight w:val="none"/>
          <w14:textFill>
            <w14:solidFill>
              <w14:schemeClr w14:val="tx1"/>
            </w14:solidFill>
          </w14:textFill>
        </w:rPr>
        <w:t>逾期送达的</w:t>
      </w:r>
      <w:r>
        <w:rPr>
          <w:rFonts w:hint="eastAsia" w:ascii="宋体" w:hAnsi="宋体"/>
          <w:bCs/>
          <w:color w:val="000000" w:themeColor="text1"/>
          <w:sz w:val="24"/>
          <w:highlight w:val="none"/>
          <w14:textFill>
            <w14:solidFill>
              <w14:schemeClr w14:val="tx1"/>
            </w14:solidFill>
          </w14:textFill>
        </w:rPr>
        <w:t>电子投标文件，</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hAnsi="宋体"/>
          <w:color w:val="000000" w:themeColor="text1"/>
          <w:sz w:val="24"/>
          <w:highlight w:val="none"/>
          <w14:textFill>
            <w14:solidFill>
              <w14:schemeClr w14:val="tx1"/>
            </w14:solidFill>
          </w14:textFill>
        </w:rPr>
        <w:t>将予以拒收。</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19.</w:t>
      </w:r>
      <w:r>
        <w:rPr>
          <w:rFonts w:hint="eastAsia" w:ascii="宋体" w:hAnsi="宋体"/>
          <w:color w:val="000000" w:themeColor="text1"/>
          <w:sz w:val="24"/>
          <w:highlight w:val="none"/>
          <w14:textFill>
            <w14:solidFill>
              <w14:schemeClr w14:val="tx1"/>
            </w14:solidFill>
          </w14:textFill>
        </w:rPr>
        <w:t>4</w:t>
      </w:r>
      <w:r>
        <w:rPr>
          <w:rFonts w:ascii="宋体" w:hAnsi="宋体"/>
          <w:color w:val="000000" w:themeColor="text1"/>
          <w:sz w:val="24"/>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投标截止前，</w:t>
      </w:r>
      <w:r>
        <w:rPr>
          <w:rFonts w:hint="eastAsia"/>
          <w:color w:val="000000" w:themeColor="text1"/>
          <w:sz w:val="24"/>
          <w:szCs w:val="24"/>
          <w:highlight w:val="none"/>
          <w14:textFill>
            <w14:solidFill>
              <w14:schemeClr w14:val="tx1"/>
            </w14:solidFill>
          </w14:textFill>
        </w:rPr>
        <w:t>招标人拒绝接收符合条件的投标文件，投标人可向招标投标监督机构投诉。</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19.</w:t>
      </w:r>
      <w:r>
        <w:rPr>
          <w:rFonts w:hint="eastAsia" w:ascii="宋体" w:hAnsi="宋体"/>
          <w:color w:val="000000" w:themeColor="text1"/>
          <w:sz w:val="24"/>
          <w:highlight w:val="none"/>
          <w14:textFill>
            <w14:solidFill>
              <w14:schemeClr w14:val="tx1"/>
            </w14:solidFill>
          </w14:textFill>
        </w:rPr>
        <w:t>5如技术标和经济标先后分别开启，</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hAnsi="宋体"/>
          <w:color w:val="000000" w:themeColor="text1"/>
          <w:sz w:val="24"/>
          <w:highlight w:val="none"/>
          <w14:textFill>
            <w14:solidFill>
              <w14:schemeClr w14:val="tx1"/>
            </w14:solidFill>
          </w14:textFill>
        </w:rPr>
        <w:t>将按招标文件规定的时间分别开启技术标和经济标。</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20</w:t>
      </w:r>
      <w:r>
        <w:rPr>
          <w:rFonts w:hint="eastAsia" w:ascii="宋体" w:hAnsi="宋体"/>
          <w:b/>
          <w:bCs/>
          <w:color w:val="000000" w:themeColor="text1"/>
          <w:sz w:val="24"/>
          <w:highlight w:val="none"/>
          <w14:textFill>
            <w14:solidFill>
              <w14:schemeClr w14:val="tx1"/>
            </w14:solidFill>
          </w14:textFill>
        </w:rPr>
        <w:t>．投标文件提交的截止时间</w:t>
      </w:r>
    </w:p>
    <w:p>
      <w:pPr>
        <w:spacing w:line="360" w:lineRule="auto"/>
        <w:ind w:firstLine="480" w:firstLineChars="200"/>
        <w:rPr>
          <w:rFonts w:ascii="宋体"/>
          <w:b/>
          <w:bCs/>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20.1</w:t>
      </w:r>
      <w:r>
        <w:rPr>
          <w:rFonts w:hint="eastAsia" w:ascii="宋体" w:hAnsi="宋体"/>
          <w:color w:val="000000" w:themeColor="text1"/>
          <w:sz w:val="24"/>
          <w:highlight w:val="none"/>
          <w14:textFill>
            <w14:solidFill>
              <w14:schemeClr w14:val="tx1"/>
            </w14:solidFill>
          </w14:textFill>
        </w:rPr>
        <w:t>投标人应在投标须知前附表第17项所述的时间前提交投标文件。</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20.2</w:t>
      </w:r>
      <w:r>
        <w:rPr>
          <w:rFonts w:hint="eastAsia" w:ascii="宋体" w:hAnsi="宋体"/>
          <w:color w:val="000000" w:themeColor="text1"/>
          <w:sz w:val="24"/>
          <w:highlight w:val="none"/>
          <w14:textFill>
            <w14:solidFill>
              <w14:schemeClr w14:val="tx1"/>
            </w14:solidFill>
          </w14:textFill>
        </w:rPr>
        <w:t>招标人可按本须知第</w:t>
      </w:r>
      <w:r>
        <w:rPr>
          <w:rFonts w:ascii="宋体" w:hAnsi="宋体"/>
          <w:color w:val="000000" w:themeColor="text1"/>
          <w:sz w:val="24"/>
          <w:highlight w:val="none"/>
          <w14:textFill>
            <w14:solidFill>
              <w14:schemeClr w14:val="tx1"/>
            </w14:solidFill>
          </w14:textFill>
        </w:rPr>
        <w:t>9</w:t>
      </w:r>
      <w:r>
        <w:rPr>
          <w:rFonts w:hint="eastAsia" w:ascii="宋体" w:hAnsi="宋体"/>
          <w:color w:val="000000" w:themeColor="text1"/>
          <w:sz w:val="24"/>
          <w:highlight w:val="none"/>
          <w14:textFill>
            <w14:solidFill>
              <w14:schemeClr w14:val="tx1"/>
            </w14:solidFill>
          </w14:textFill>
        </w:rPr>
        <w:t>条规定以招标文件修改的方式，酌情延长提交投标文件的截止时间。在此情况下，投标人的所有权利和义务以及投标人受制约的截止时间，均以延长后新的投标截止时间为准。</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20.3 </w:t>
      </w:r>
      <w:r>
        <w:rPr>
          <w:rFonts w:hint="eastAsia" w:ascii="宋体" w:hAnsi="宋体"/>
          <w:color w:val="000000" w:themeColor="text1"/>
          <w:sz w:val="24"/>
          <w:highlight w:val="none"/>
          <w14:textFill>
            <w14:solidFill>
              <w14:schemeClr w14:val="tx1"/>
            </w14:solidFill>
          </w14:textFill>
        </w:rPr>
        <w:t>到投标截止时间止，招标人收到的投标文件少于3家的，招标人将重新组织招标</w:t>
      </w:r>
      <w:r>
        <w:rPr>
          <w:rFonts w:hint="eastAsia" w:ascii="宋体" w:hAnsi="宋体"/>
          <w:color w:val="000000" w:themeColor="text1"/>
          <w:sz w:val="24"/>
          <w:szCs w:val="24"/>
          <w:highlight w:val="none"/>
          <w14:textFill>
            <w14:solidFill>
              <w14:schemeClr w14:val="tx1"/>
            </w14:solidFill>
          </w14:textFill>
        </w:rPr>
        <w:t>（当</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个标段同时招标且不允许兼中时，若有效投标人不足</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2家，则重新组织招标）</w:t>
      </w:r>
      <w:r>
        <w:rPr>
          <w:rFonts w:hint="eastAsia" w:ascii="宋体" w:hAnsi="宋体"/>
          <w:color w:val="000000" w:themeColor="text1"/>
          <w:sz w:val="24"/>
          <w:highlight w:val="none"/>
          <w14:textFill>
            <w14:solidFill>
              <w14:schemeClr w14:val="tx1"/>
            </w14:solidFill>
          </w14:textFill>
        </w:rPr>
        <w:t>。</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21</w:t>
      </w:r>
      <w:r>
        <w:rPr>
          <w:rFonts w:hint="eastAsia" w:ascii="宋体" w:hAnsi="宋体"/>
          <w:b/>
          <w:bCs/>
          <w:color w:val="000000" w:themeColor="text1"/>
          <w:sz w:val="24"/>
          <w:highlight w:val="none"/>
          <w14:textFill>
            <w14:solidFill>
              <w14:schemeClr w14:val="tx1"/>
            </w14:solidFill>
          </w14:textFill>
        </w:rPr>
        <w:t>．迟交的投标文件</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21.1 </w:t>
      </w:r>
      <w:r>
        <w:rPr>
          <w:rFonts w:hint="eastAsia" w:ascii="宋体" w:hAnsi="宋体"/>
          <w:color w:val="000000" w:themeColor="text1"/>
          <w:sz w:val="24"/>
          <w:highlight w:val="none"/>
          <w14:textFill>
            <w14:solidFill>
              <w14:schemeClr w14:val="tx1"/>
            </w14:solidFill>
          </w14:textFill>
        </w:rPr>
        <w:t>本须知前附表第</w:t>
      </w: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7项规定的投标截止时间</w:t>
      </w:r>
      <w:r>
        <w:rPr>
          <w:rFonts w:hint="eastAsia"/>
          <w:bCs/>
          <w:color w:val="000000" w:themeColor="text1"/>
          <w:sz w:val="24"/>
          <w:szCs w:val="24"/>
          <w:highlight w:val="none"/>
          <w14:textFill>
            <w14:solidFill>
              <w14:schemeClr w14:val="tx1"/>
            </w14:solidFill>
          </w14:textFill>
        </w:rPr>
        <w:t>后送达的</w:t>
      </w:r>
      <w:r>
        <w:rPr>
          <w:rFonts w:hint="eastAsia" w:ascii="宋体" w:hAnsi="宋体"/>
          <w:bCs/>
          <w:color w:val="000000" w:themeColor="text1"/>
          <w:sz w:val="24"/>
          <w:highlight w:val="none"/>
          <w14:textFill>
            <w14:solidFill>
              <w14:schemeClr w14:val="tx1"/>
            </w14:solidFill>
          </w14:textFill>
        </w:rPr>
        <w:t>电子投标文件，</w:t>
      </w:r>
      <w:r>
        <w:rPr>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w:t>
      </w:r>
      <w:r>
        <w:rPr>
          <w:rFonts w:hint="eastAsia" w:ascii="宋体" w:hAnsi="宋体"/>
          <w:color w:val="000000" w:themeColor="text1"/>
          <w:sz w:val="24"/>
          <w:highlight w:val="none"/>
          <w14:textFill>
            <w14:solidFill>
              <w14:schemeClr w14:val="tx1"/>
            </w14:solidFill>
          </w14:textFill>
        </w:rPr>
        <w:t>将予以拒收。</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22</w:t>
      </w:r>
      <w:r>
        <w:rPr>
          <w:rFonts w:hint="eastAsia" w:ascii="宋体" w:hAnsi="宋体"/>
          <w:b/>
          <w:bCs/>
          <w:color w:val="000000" w:themeColor="text1"/>
          <w:sz w:val="24"/>
          <w:highlight w:val="none"/>
          <w14:textFill>
            <w14:solidFill>
              <w14:schemeClr w14:val="tx1"/>
            </w14:solidFill>
          </w14:textFill>
        </w:rPr>
        <w:t>．投标文件的修改与撤回</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22.1</w:t>
      </w:r>
      <w:r>
        <w:rPr>
          <w:rFonts w:hint="eastAsia" w:ascii="宋体" w:hAnsi="宋体"/>
          <w:color w:val="000000" w:themeColor="text1"/>
          <w:sz w:val="24"/>
          <w:highlight w:val="none"/>
          <w14:textFill>
            <w14:solidFill>
              <w14:schemeClr w14:val="tx1"/>
            </w14:solidFill>
          </w14:textFill>
        </w:rPr>
        <w:t>在规定的投标截止时间前，投标人可以修改或撤回已递交的投标文件，但应以书面形式通知招标人。</w:t>
      </w:r>
    </w:p>
    <w:p>
      <w:pPr>
        <w:spacing w:line="360" w:lineRule="auto"/>
        <w:ind w:firstLine="480" w:firstLineChars="200"/>
        <w:rPr>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22.2</w:t>
      </w:r>
      <w:r>
        <w:rPr>
          <w:color w:val="000000" w:themeColor="text1"/>
          <w:sz w:val="24"/>
          <w:szCs w:val="24"/>
          <w:highlight w:val="none"/>
          <w14:textFill>
            <w14:solidFill>
              <w14:schemeClr w14:val="tx1"/>
            </w14:solidFill>
          </w14:textFill>
        </w:rPr>
        <w:t>投标人修改或撤回已递交</w:t>
      </w:r>
      <w:r>
        <w:rPr>
          <w:rFonts w:hint="eastAsia"/>
          <w:color w:val="000000" w:themeColor="text1"/>
          <w:sz w:val="24"/>
          <w:szCs w:val="24"/>
          <w:highlight w:val="none"/>
          <w14:textFill>
            <w14:solidFill>
              <w14:schemeClr w14:val="tx1"/>
            </w14:solidFill>
          </w14:textFill>
        </w:rPr>
        <w:t>的</w:t>
      </w:r>
      <w:r>
        <w:rPr>
          <w:color w:val="000000" w:themeColor="text1"/>
          <w:sz w:val="24"/>
          <w:szCs w:val="24"/>
          <w:highlight w:val="none"/>
          <w14:textFill>
            <w14:solidFill>
              <w14:schemeClr w14:val="tx1"/>
            </w14:solidFill>
          </w14:textFill>
        </w:rPr>
        <w:t>投标文件</w:t>
      </w:r>
      <w:r>
        <w:rPr>
          <w:rFonts w:hint="eastAsia"/>
          <w:color w:val="000000" w:themeColor="text1"/>
          <w:sz w:val="24"/>
          <w:szCs w:val="24"/>
          <w:highlight w:val="none"/>
          <w14:textFill>
            <w14:solidFill>
              <w14:schemeClr w14:val="tx1"/>
            </w14:solidFill>
          </w14:textFill>
        </w:rPr>
        <w:t>，需在</w:t>
      </w:r>
      <w:r>
        <w:rPr>
          <w:rFonts w:hint="eastAsia" w:ascii="宋体" w:hAnsi="宋体"/>
          <w:color w:val="000000" w:themeColor="text1"/>
          <w:sz w:val="24"/>
          <w:highlight w:val="none"/>
          <w14:textFill>
            <w14:solidFill>
              <w14:schemeClr w14:val="tx1"/>
            </w14:solidFill>
          </w14:textFill>
        </w:rPr>
        <w:t>交易平台发出修改或撤回</w:t>
      </w:r>
      <w:r>
        <w:rPr>
          <w:color w:val="000000" w:themeColor="text1"/>
          <w:sz w:val="24"/>
          <w:szCs w:val="24"/>
          <w:highlight w:val="none"/>
          <w14:textFill>
            <w14:solidFill>
              <w14:schemeClr w14:val="tx1"/>
            </w14:solidFill>
          </w14:textFill>
        </w:rPr>
        <w:t>通知，</w:t>
      </w:r>
      <w:r>
        <w:rPr>
          <w:rFonts w:hint="eastAsia"/>
          <w:color w:val="000000" w:themeColor="text1"/>
          <w:sz w:val="24"/>
          <w:szCs w:val="24"/>
          <w:highlight w:val="none"/>
          <w14:textFill>
            <w14:solidFill>
              <w14:schemeClr w14:val="tx1"/>
            </w14:solidFill>
          </w14:textFill>
        </w:rPr>
        <w:t>并按</w:t>
      </w:r>
      <w:r>
        <w:rPr>
          <w:color w:val="000000" w:themeColor="text1"/>
          <w:sz w:val="24"/>
          <w:szCs w:val="24"/>
          <w:highlight w:val="none"/>
          <w14:textFill>
            <w14:solidFill>
              <w14:schemeClr w14:val="tx1"/>
            </w14:solidFill>
          </w14:textFill>
        </w:rPr>
        <w:t>要求加盖电子印章。</w:t>
      </w:r>
      <w:r>
        <w:rPr>
          <w:bCs/>
          <w:iCs/>
          <w:color w:val="000000" w:themeColor="text1"/>
          <w:sz w:val="24"/>
          <w:szCs w:val="24"/>
          <w:highlight w:val="none"/>
          <w14:textFill>
            <w14:solidFill>
              <w14:schemeClr w14:val="tx1"/>
            </w14:solidFill>
          </w14:textFill>
        </w:rPr>
        <w:t>电子招标投标交易平台收到通知后，</w:t>
      </w:r>
      <w:r>
        <w:rPr>
          <w:color w:val="000000" w:themeColor="text1"/>
          <w:sz w:val="24"/>
          <w:szCs w:val="24"/>
          <w:highlight w:val="none"/>
          <w14:textFill>
            <w14:solidFill>
              <w14:schemeClr w14:val="tx1"/>
            </w14:solidFill>
          </w14:textFill>
        </w:rPr>
        <w:t>即时向投标人发出确认回执通知。</w:t>
      </w:r>
    </w:p>
    <w:p>
      <w:pPr>
        <w:spacing w:line="360" w:lineRule="auto"/>
        <w:ind w:firstLine="480" w:firstLineChars="200"/>
        <w:rPr>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22.3</w:t>
      </w:r>
      <w:r>
        <w:rPr>
          <w:rFonts w:hint="eastAsia"/>
          <w:color w:val="000000" w:themeColor="text1"/>
          <w:sz w:val="24"/>
          <w:szCs w:val="24"/>
          <w:highlight w:val="none"/>
          <w14:textFill>
            <w14:solidFill>
              <w14:schemeClr w14:val="tx1"/>
            </w14:solidFill>
          </w14:textFill>
        </w:rPr>
        <w:t>修改后再次递交的，按19点的规定执行。</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22.</w:t>
      </w:r>
      <w:r>
        <w:rPr>
          <w:rFonts w:hint="eastAsia" w:ascii="宋体" w:hAnsi="宋体"/>
          <w:color w:val="000000" w:themeColor="text1"/>
          <w:sz w:val="24"/>
          <w:highlight w:val="none"/>
          <w14:textFill>
            <w14:solidFill>
              <w14:schemeClr w14:val="tx1"/>
            </w14:solidFill>
          </w14:textFill>
        </w:rPr>
        <w:t>4</w:t>
      </w:r>
      <w:r>
        <w:rPr>
          <w:rFonts w:ascii="宋体" w:hAnsi="宋体"/>
          <w:color w:val="000000" w:themeColor="text1"/>
          <w:sz w:val="24"/>
          <w:highlight w:val="non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在投标截止时间之后，投标人不得补充、修改和更换投标文件。</w:t>
      </w:r>
    </w:p>
    <w:p>
      <w:pPr>
        <w:pStyle w:val="6"/>
        <w:spacing w:before="156" w:after="156"/>
        <w:rPr>
          <w:color w:val="000000" w:themeColor="text1"/>
          <w:highlight w:val="none"/>
          <w14:textFill>
            <w14:solidFill>
              <w14:schemeClr w14:val="tx1"/>
            </w14:solidFill>
          </w14:textFill>
        </w:rPr>
      </w:pPr>
      <w:bookmarkStart w:id="16" w:name="_Toc21525497"/>
      <w:bookmarkStart w:id="17" w:name="_Toc2272553"/>
      <w:r>
        <w:rPr>
          <w:rFonts w:hint="eastAsia"/>
          <w:color w:val="000000" w:themeColor="text1"/>
          <w:highlight w:val="none"/>
          <w14:textFill>
            <w14:solidFill>
              <w14:schemeClr w14:val="tx1"/>
            </w14:solidFill>
          </w14:textFill>
        </w:rPr>
        <w:t>（五）开标、评标、定标及合同签定</w:t>
      </w:r>
      <w:bookmarkEnd w:id="16"/>
      <w:bookmarkEnd w:id="17"/>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23</w:t>
      </w:r>
      <w:r>
        <w:rPr>
          <w:rFonts w:hint="eastAsia" w:ascii="宋体" w:hAnsi="宋体"/>
          <w:b/>
          <w:bCs/>
          <w:color w:val="000000" w:themeColor="text1"/>
          <w:sz w:val="24"/>
          <w:highlight w:val="none"/>
          <w14:textFill>
            <w14:solidFill>
              <w14:schemeClr w14:val="tx1"/>
            </w14:solidFill>
          </w14:textFill>
        </w:rPr>
        <w:t>、开标。</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详见第二章开标、评标及定标办法</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24</w:t>
      </w:r>
      <w:r>
        <w:rPr>
          <w:rFonts w:hint="eastAsia" w:ascii="宋体" w:hAnsi="宋体"/>
          <w:b/>
          <w:bCs/>
          <w:color w:val="000000" w:themeColor="text1"/>
          <w:sz w:val="24"/>
          <w:highlight w:val="none"/>
          <w14:textFill>
            <w14:solidFill>
              <w14:schemeClr w14:val="tx1"/>
            </w14:solidFill>
          </w14:textFill>
        </w:rPr>
        <w:t>．评标过程的保密</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24.1 </w:t>
      </w:r>
      <w:r>
        <w:rPr>
          <w:rFonts w:hint="eastAsia" w:ascii="宋体" w:hAnsi="宋体"/>
          <w:color w:val="000000" w:themeColor="text1"/>
          <w:sz w:val="24"/>
          <w:highlight w:val="none"/>
          <w14:textFill>
            <w14:solidFill>
              <w14:schemeClr w14:val="tx1"/>
            </w14:solidFill>
          </w14:textFill>
        </w:rPr>
        <w:t>开标后，直至中标公示为止，凡属于对投标文件的审查、澄清、评价和比较有关的资料以及中标候选人的推荐情况，与评标有关的其他任何情况均严格保密。</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24.2 </w:t>
      </w:r>
      <w:r>
        <w:rPr>
          <w:rFonts w:hint="eastAsia" w:ascii="宋体" w:hAnsi="宋体"/>
          <w:color w:val="000000" w:themeColor="text1"/>
          <w:sz w:val="24"/>
          <w:highlight w:val="none"/>
          <w14:textFill>
            <w14:solidFill>
              <w14:schemeClr w14:val="tx1"/>
            </w14:solidFill>
          </w14:textFill>
        </w:rPr>
        <w:t>在投标文件的评审和比较、中标候选人推荐以及授予合同的过程中，投标人向招标人和评标委员会施加不公正影响的任何行为，都将会导致其投标被拒绝。</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25</w:t>
      </w:r>
      <w:r>
        <w:rPr>
          <w:rFonts w:hint="eastAsia" w:ascii="宋体" w:hAnsi="宋体"/>
          <w:b/>
          <w:bCs/>
          <w:color w:val="000000" w:themeColor="text1"/>
          <w:sz w:val="24"/>
          <w:highlight w:val="none"/>
          <w14:textFill>
            <w14:solidFill>
              <w14:schemeClr w14:val="tx1"/>
            </w14:solidFill>
          </w14:textFill>
        </w:rPr>
        <w:t>．投标文件的澄清，计算错误的修正</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详见招标文件第二章开标、评标及定标办法</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26</w:t>
      </w:r>
      <w:r>
        <w:rPr>
          <w:rFonts w:hint="eastAsia" w:ascii="宋体" w:hAnsi="宋体"/>
          <w:b/>
          <w:bCs/>
          <w:color w:val="000000" w:themeColor="text1"/>
          <w:sz w:val="24"/>
          <w:highlight w:val="none"/>
          <w14:textFill>
            <w14:solidFill>
              <w14:schemeClr w14:val="tx1"/>
            </w14:solidFill>
          </w14:textFill>
        </w:rPr>
        <w:t>．投标文件的评审、比较和否决</w:t>
      </w:r>
    </w:p>
    <w:p>
      <w:pPr>
        <w:spacing w:line="360" w:lineRule="auto"/>
        <w:ind w:firstLine="480" w:firstLineChars="200"/>
        <w:rPr>
          <w:rFonts w:ascii="宋体"/>
          <w:bCs/>
          <w:color w:val="000000" w:themeColor="text1"/>
          <w:sz w:val="24"/>
          <w:szCs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详见招标文件第二章开标、评标及定标办法。</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27</w:t>
      </w:r>
      <w:r>
        <w:rPr>
          <w:rFonts w:hint="eastAsia" w:ascii="宋体" w:hAnsi="宋体"/>
          <w:b/>
          <w:bCs/>
          <w:color w:val="000000" w:themeColor="text1"/>
          <w:sz w:val="24"/>
          <w:highlight w:val="none"/>
          <w14:textFill>
            <w14:solidFill>
              <w14:schemeClr w14:val="tx1"/>
            </w14:solidFill>
          </w14:textFill>
        </w:rPr>
        <w:t>．中标通知书</w:t>
      </w:r>
    </w:p>
    <w:p>
      <w:pPr>
        <w:spacing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27.1招标人将在</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交易平台、广东省招标投标监管网和中国招标投标公共服务平台公示中标候选人，公示期为三天。投标人或其他利害关系人对评标结果有异议的，应当在中标候选人公示期间提出，可以通过线下或线上的形式提出异议。线上提交的，应通过交易平台进行，招标人也应通过交易平台答复线上提交的异议。作出答复前，应当暂停招标投标活动。</w:t>
      </w:r>
    </w:p>
    <w:p>
      <w:pPr>
        <w:spacing w:line="360" w:lineRule="auto"/>
        <w:ind w:firstLine="480" w:firstLineChars="200"/>
        <w:rPr>
          <w:rFonts w:ascii="仿宋_GB2312" w:hAnsi="宋体" w:eastAsia="仿宋_GB2312"/>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27.2</w:t>
      </w:r>
      <w:r>
        <w:rPr>
          <w:rFonts w:hint="eastAsia" w:ascii="宋体" w:hAnsi="宋体"/>
          <w:color w:val="000000" w:themeColor="text1"/>
          <w:sz w:val="24"/>
          <w:highlight w:val="none"/>
          <w14:textFill>
            <w14:solidFill>
              <w14:schemeClr w14:val="tx1"/>
            </w14:solidFill>
          </w14:textFill>
        </w:rPr>
        <w:t>招标人应当自确定中标人后，向招标投标监管机构提交招标投标情况的书面报告；经招投标监管机构备案后，方可发出中标通知书。</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27.3</w:t>
      </w:r>
      <w:r>
        <w:rPr>
          <w:rFonts w:hint="eastAsia" w:ascii="宋体" w:hAnsi="宋体"/>
          <w:color w:val="000000" w:themeColor="text1"/>
          <w:sz w:val="24"/>
          <w:highlight w:val="none"/>
          <w14:textFill>
            <w14:solidFill>
              <w14:schemeClr w14:val="tx1"/>
            </w14:solidFill>
          </w14:textFill>
        </w:rPr>
        <w:t>中标人必须在收到中标通知书后</w:t>
      </w:r>
      <w:r>
        <w:rPr>
          <w:rFonts w:ascii="宋体" w:hAnsi="宋体"/>
          <w:color w:val="000000" w:themeColor="text1"/>
          <w:sz w:val="24"/>
          <w:highlight w:val="none"/>
          <w14:textFill>
            <w14:solidFill>
              <w14:schemeClr w14:val="tx1"/>
            </w14:solidFill>
          </w14:textFill>
        </w:rPr>
        <w:t>24</w:t>
      </w:r>
      <w:r>
        <w:rPr>
          <w:rFonts w:hint="eastAsia" w:ascii="宋体" w:hAnsi="宋体"/>
          <w:color w:val="000000" w:themeColor="text1"/>
          <w:sz w:val="24"/>
          <w:highlight w:val="none"/>
          <w14:textFill>
            <w14:solidFill>
              <w14:schemeClr w14:val="tx1"/>
            </w14:solidFill>
          </w14:textFill>
        </w:rPr>
        <w:t>小时之内以书面形式回复招标人，确认收到。</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27.4在产生中标候选人后，招标人将中标候选人的投标文件商务部分文件的所有内容（包括人员、业绩、奖项等资料）在</w:t>
      </w:r>
      <w:r>
        <w:rPr>
          <w:rFonts w:hint="eastAsia" w:ascii="宋体" w:hAnsi="宋体"/>
          <w:color w:val="000000" w:themeColor="text1"/>
          <w:sz w:val="24"/>
          <w:highlight w:val="none"/>
          <w:u w:val="single"/>
          <w14:textFill>
            <w14:solidFill>
              <w14:schemeClr w14:val="tx1"/>
            </w14:solidFill>
          </w14:textFill>
        </w:rPr>
        <w:t xml:space="preserve">        </w:t>
      </w:r>
      <w:r>
        <w:rPr>
          <w:rFonts w:hint="eastAsia" w:ascii="宋体" w:hAnsi="宋体"/>
          <w:color w:val="000000" w:themeColor="text1"/>
          <w:sz w:val="24"/>
          <w:highlight w:val="none"/>
          <w14:textFill>
            <w14:solidFill>
              <w14:schemeClr w14:val="tx1"/>
            </w14:solidFill>
          </w14:textFill>
        </w:rPr>
        <w:t>交易平台和广东省招标投标监管网公开。</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28</w:t>
      </w:r>
      <w:r>
        <w:rPr>
          <w:rFonts w:hint="eastAsia" w:ascii="宋体" w:hAnsi="宋体"/>
          <w:b/>
          <w:bCs/>
          <w:color w:val="000000" w:themeColor="text1"/>
          <w:sz w:val="24"/>
          <w:highlight w:val="none"/>
          <w14:textFill>
            <w14:solidFill>
              <w14:schemeClr w14:val="tx1"/>
            </w14:solidFill>
          </w14:textFill>
        </w:rPr>
        <w:t>．合同协议书的签订</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28.1 </w:t>
      </w:r>
      <w:r>
        <w:rPr>
          <w:rFonts w:hint="eastAsia" w:ascii="宋体" w:hAnsi="宋体"/>
          <w:color w:val="000000" w:themeColor="text1"/>
          <w:sz w:val="24"/>
          <w:highlight w:val="none"/>
          <w14:textFill>
            <w14:solidFill>
              <w14:schemeClr w14:val="tx1"/>
            </w14:solidFill>
          </w14:textFill>
        </w:rPr>
        <w:t>招标人与中标人将于中标通知书发出之日起</w:t>
      </w:r>
      <w:r>
        <w:rPr>
          <w:rFonts w:ascii="宋体" w:hAnsi="宋体"/>
          <w:color w:val="000000" w:themeColor="text1"/>
          <w:sz w:val="24"/>
          <w:highlight w:val="none"/>
          <w14:textFill>
            <w14:solidFill>
              <w14:schemeClr w14:val="tx1"/>
            </w14:solidFill>
          </w14:textFill>
        </w:rPr>
        <w:t>30</w:t>
      </w:r>
      <w:r>
        <w:rPr>
          <w:rFonts w:hint="eastAsia" w:ascii="宋体" w:hAnsi="宋体"/>
          <w:color w:val="000000" w:themeColor="text1"/>
          <w:sz w:val="24"/>
          <w:highlight w:val="none"/>
          <w14:textFill>
            <w14:solidFill>
              <w14:schemeClr w14:val="tx1"/>
            </w14:solidFill>
          </w14:textFill>
        </w:rPr>
        <w:t>日内，按照招标文件和中标人的投标文件商定和签订合同，招标人和中标人不得再行订立背离合同实质性内容的其他协议。</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28.2</w:t>
      </w:r>
      <w:r>
        <w:rPr>
          <w:rFonts w:hint="eastAsia" w:ascii="宋体" w:hAnsi="宋体"/>
          <w:color w:val="000000" w:themeColor="text1"/>
          <w:sz w:val="24"/>
          <w:highlight w:val="none"/>
          <w14:textFill>
            <w14:solidFill>
              <w14:schemeClr w14:val="tx1"/>
            </w14:solidFill>
          </w14:textFill>
        </w:rPr>
        <w:t>中标通知书发出之日起</w:t>
      </w:r>
      <w:r>
        <w:rPr>
          <w:rFonts w:ascii="宋体" w:hAnsi="宋体"/>
          <w:color w:val="000000" w:themeColor="text1"/>
          <w:sz w:val="24"/>
          <w:highlight w:val="none"/>
          <w14:textFill>
            <w14:solidFill>
              <w14:schemeClr w14:val="tx1"/>
            </w14:solidFill>
          </w14:textFill>
        </w:rPr>
        <w:t>30</w:t>
      </w:r>
      <w:r>
        <w:rPr>
          <w:rFonts w:hint="eastAsia" w:ascii="宋体" w:hAnsi="宋体"/>
          <w:color w:val="000000" w:themeColor="text1"/>
          <w:sz w:val="24"/>
          <w:highlight w:val="none"/>
          <w14:textFill>
            <w14:solidFill>
              <w14:schemeClr w14:val="tx1"/>
            </w14:solidFill>
          </w14:textFill>
        </w:rPr>
        <w:t>日后，中标人未按上款的规定与招标人订立合同，招标人将解除中标通知书，原中标人的投标保证金不予退还，且依法承担相应法律责任。原中标人给招标人造成的损失超过投标保证金数额的，还应当对超过部分予以赔偿。原中标人有异议的，可以向人民法院起诉。</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28.3</w:t>
      </w:r>
      <w:r>
        <w:rPr>
          <w:rFonts w:hint="eastAsia" w:ascii="宋体" w:hAnsi="宋体"/>
          <w:color w:val="000000" w:themeColor="text1"/>
          <w:sz w:val="24"/>
          <w:highlight w:val="none"/>
          <w14:textFill>
            <w14:solidFill>
              <w14:schemeClr w14:val="tx1"/>
            </w14:solidFill>
          </w14:textFill>
        </w:rPr>
        <w:t>非经招标人同意，中标人在投标过程中使用的银行名称及帐号至完成竣工结算不得变更，否则招标人有权停止工程款项的拔付及至解除合同，由此造成的一切责任由中标人承担。</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28.4</w:t>
      </w:r>
      <w:r>
        <w:rPr>
          <w:rFonts w:hint="eastAsia" w:ascii="宋体" w:hAnsi="宋体"/>
          <w:color w:val="000000" w:themeColor="text1"/>
          <w:sz w:val="24"/>
          <w:highlight w:val="none"/>
          <w14:textFill>
            <w14:solidFill>
              <w14:schemeClr w14:val="tx1"/>
            </w14:solidFill>
          </w14:textFill>
        </w:rPr>
        <w:t>招标人支付工程款时，中标人应按规定开具发票。</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29</w:t>
      </w:r>
      <w:r>
        <w:rPr>
          <w:rFonts w:hint="eastAsia" w:ascii="宋体" w:hAnsi="宋体"/>
          <w:b/>
          <w:bCs/>
          <w:color w:val="000000" w:themeColor="text1"/>
          <w:sz w:val="24"/>
          <w:highlight w:val="none"/>
          <w14:textFill>
            <w14:solidFill>
              <w14:schemeClr w14:val="tx1"/>
            </w14:solidFill>
          </w14:textFill>
        </w:rPr>
        <w:t>．履约担保</w:t>
      </w:r>
    </w:p>
    <w:p>
      <w:pPr>
        <w:snapToGrid w:val="0"/>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 xml:space="preserve">29.1 </w:t>
      </w:r>
      <w:r>
        <w:rPr>
          <w:rFonts w:hint="eastAsia" w:ascii="宋体" w:hAnsi="宋体"/>
          <w:color w:val="000000" w:themeColor="text1"/>
          <w:sz w:val="24"/>
          <w:highlight w:val="none"/>
          <w14:textFill>
            <w14:solidFill>
              <w14:schemeClr w14:val="tx1"/>
            </w14:solidFill>
          </w14:textFill>
        </w:rPr>
        <w:t>在收到中标通知书后的</w:t>
      </w:r>
      <w:r>
        <w:rPr>
          <w:rFonts w:ascii="宋体" w:hAnsi="宋体"/>
          <w:b/>
          <w:color w:val="000000" w:themeColor="text1"/>
          <w:sz w:val="24"/>
          <w:highlight w:val="none"/>
          <w14:textFill>
            <w14:solidFill>
              <w14:schemeClr w14:val="tx1"/>
            </w14:solidFill>
          </w14:textFill>
        </w:rPr>
        <w:t>15</w:t>
      </w:r>
      <w:r>
        <w:rPr>
          <w:rFonts w:hint="eastAsia" w:ascii="宋体" w:hAnsi="宋体"/>
          <w:b/>
          <w:color w:val="000000" w:themeColor="text1"/>
          <w:sz w:val="24"/>
          <w:highlight w:val="none"/>
          <w14:textFill>
            <w14:solidFill>
              <w14:schemeClr w14:val="tx1"/>
            </w14:solidFill>
          </w14:textFill>
        </w:rPr>
        <w:t>日</w:t>
      </w:r>
      <w:r>
        <w:rPr>
          <w:rFonts w:hint="eastAsia" w:ascii="宋体" w:hAnsi="宋体"/>
          <w:color w:val="000000" w:themeColor="text1"/>
          <w:sz w:val="24"/>
          <w:highlight w:val="none"/>
          <w14:textFill>
            <w14:solidFill>
              <w14:schemeClr w14:val="tx1"/>
            </w14:solidFill>
          </w14:textFill>
        </w:rPr>
        <w:t>内，中标人应按本须知前附表第</w:t>
      </w: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0项的规定向招标人提交履约担保。</w:t>
      </w:r>
    </w:p>
    <w:p>
      <w:pPr>
        <w:snapToGrid w:val="0"/>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29.2</w:t>
      </w:r>
      <w:r>
        <w:rPr>
          <w:rFonts w:hint="eastAsia" w:ascii="宋体" w:hAnsi="宋体"/>
          <w:color w:val="000000" w:themeColor="text1"/>
          <w:sz w:val="24"/>
          <w:highlight w:val="none"/>
          <w14:textFill>
            <w14:solidFill>
              <w14:schemeClr w14:val="tx1"/>
            </w14:solidFill>
          </w14:textFill>
        </w:rPr>
        <w:t>中标通知书发出之日起</w:t>
      </w:r>
      <w:r>
        <w:rPr>
          <w:rFonts w:ascii="宋体" w:hAnsi="宋体"/>
          <w:color w:val="000000" w:themeColor="text1"/>
          <w:sz w:val="24"/>
          <w:highlight w:val="none"/>
          <w14:textFill>
            <w14:solidFill>
              <w14:schemeClr w14:val="tx1"/>
            </w14:solidFill>
          </w14:textFill>
        </w:rPr>
        <w:t>15</w:t>
      </w:r>
      <w:r>
        <w:rPr>
          <w:rFonts w:hint="eastAsia" w:ascii="宋体" w:hAnsi="宋体"/>
          <w:color w:val="000000" w:themeColor="text1"/>
          <w:sz w:val="24"/>
          <w:highlight w:val="none"/>
          <w14:textFill>
            <w14:solidFill>
              <w14:schemeClr w14:val="tx1"/>
            </w14:solidFill>
          </w14:textFill>
        </w:rPr>
        <w:t>日后，中标人未按上款的规定提交履约担保，招标人将解除中标通知书，原中标人的投标保证金不予退还，且依法承担相应法律责任。原中标人给招标人造成的损失超过投标保证金数额的，还应当对超过部分予以赔偿。原中标人有异议的，可以向人民法院起诉。</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30</w:t>
      </w:r>
      <w:r>
        <w:rPr>
          <w:rFonts w:hint="eastAsia" w:ascii="宋体" w:hAnsi="宋体"/>
          <w:b/>
          <w:bCs/>
          <w:color w:val="000000" w:themeColor="text1"/>
          <w:sz w:val="24"/>
          <w:highlight w:val="none"/>
          <w14:textFill>
            <w14:solidFill>
              <w14:schemeClr w14:val="tx1"/>
            </w14:solidFill>
          </w14:textFill>
        </w:rPr>
        <w:t>．合同生效</w:t>
      </w:r>
    </w:p>
    <w:p>
      <w:pPr>
        <w:spacing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30.1</w:t>
      </w:r>
      <w:r>
        <w:rPr>
          <w:rFonts w:hint="eastAsia" w:ascii="宋体" w:hAnsi="宋体"/>
          <w:color w:val="000000" w:themeColor="text1"/>
          <w:sz w:val="24"/>
          <w:highlight w:val="none"/>
          <w14:textFill>
            <w14:solidFill>
              <w14:schemeClr w14:val="tx1"/>
            </w14:solidFill>
          </w14:textFill>
        </w:rPr>
        <w:t>在合同双方全权代表在合同协议书上签字，并分别加盖双方单位的公章后，合同正式生效。</w:t>
      </w:r>
    </w:p>
    <w:p>
      <w:pPr>
        <w:spacing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31</w:t>
      </w:r>
      <w:r>
        <w:rPr>
          <w:rFonts w:hint="eastAsia" w:ascii="宋体" w:hAnsi="宋体"/>
          <w:b/>
          <w:bCs/>
          <w:color w:val="000000" w:themeColor="text1"/>
          <w:sz w:val="24"/>
          <w:highlight w:val="none"/>
          <w14:textFill>
            <w14:solidFill>
              <w14:schemeClr w14:val="tx1"/>
            </w14:solidFill>
          </w14:textFill>
        </w:rPr>
        <w:t>．其它费用</w:t>
      </w:r>
    </w:p>
    <w:p>
      <w:pPr>
        <w:pStyle w:val="17"/>
        <w:spacing w:after="0" w:line="360" w:lineRule="auto"/>
        <w:ind w:firstLine="482" w:firstLineChars="200"/>
        <w:rPr>
          <w:rFonts w:ascii="宋体"/>
          <w:b/>
          <w:bCs/>
          <w:color w:val="000000" w:themeColor="text1"/>
          <w:sz w:val="24"/>
          <w:highlight w:val="none"/>
          <w14:textFill>
            <w14:solidFill>
              <w14:schemeClr w14:val="tx1"/>
            </w14:solidFill>
          </w14:textFill>
        </w:rPr>
      </w:pPr>
      <w:r>
        <w:rPr>
          <w:rFonts w:ascii="宋体" w:hAnsi="宋体"/>
          <w:b/>
          <w:bCs/>
          <w:color w:val="000000" w:themeColor="text1"/>
          <w:sz w:val="24"/>
          <w:highlight w:val="none"/>
          <w14:textFill>
            <w14:solidFill>
              <w14:schemeClr w14:val="tx1"/>
            </w14:solidFill>
          </w14:textFill>
        </w:rPr>
        <w:t>32</w:t>
      </w:r>
      <w:r>
        <w:rPr>
          <w:rFonts w:hint="eastAsia" w:ascii="宋体" w:hAnsi="宋体"/>
          <w:b/>
          <w:bCs/>
          <w:color w:val="000000" w:themeColor="text1"/>
          <w:sz w:val="24"/>
          <w:highlight w:val="none"/>
          <w14:textFill>
            <w14:solidFill>
              <w14:schemeClr w14:val="tx1"/>
            </w14:solidFill>
          </w14:textFill>
        </w:rPr>
        <w:t>．腐败与欺诈行为</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在招标和合同实施期间，招标人要求投标人和承包人遵守最高的道德标准。</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32</w:t>
      </w: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对本条款的规定，特定义如下词汇：</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1</w:t>
      </w:r>
      <w:r>
        <w:rPr>
          <w:rFonts w:hint="eastAsia" w:ascii="宋体" w:hAnsi="宋体"/>
          <w:color w:val="000000" w:themeColor="text1"/>
          <w:sz w:val="24"/>
          <w:highlight w:val="none"/>
          <w14:textFill>
            <w14:solidFill>
              <w14:schemeClr w14:val="tx1"/>
            </w14:solidFill>
          </w14:textFill>
        </w:rPr>
        <w:t>）、“腐败行为”是指在招标或合同执行期间，通过提供、给予、接受或索要任何有价值的东西，从而影响招标人有关人员工作的行为；</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欺诈行为”是指通过提供伪证影响招标或合同执行，从而损害招标人利益的行为；也包括投标人之间串通（在提交投标文件之前或之后），人为地使招标过程失去竞争性，从而使招标人无法从公开的自由竞争中获得利益的行为。</w:t>
      </w:r>
    </w:p>
    <w:p>
      <w:pPr>
        <w:pStyle w:val="17"/>
        <w:spacing w:after="0" w:line="360" w:lineRule="auto"/>
        <w:ind w:firstLine="480" w:firstLineChars="200"/>
        <w:rPr>
          <w:rFonts w:ascii="宋体" w:hAnsi="宋体"/>
          <w:color w:val="000000" w:themeColor="text1"/>
          <w:sz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t>32</w:t>
      </w:r>
      <w:r>
        <w:rPr>
          <w:rFonts w:hint="eastAsia" w:ascii="宋体" w:hAnsi="宋体"/>
          <w:color w:val="000000" w:themeColor="text1"/>
          <w:sz w:val="24"/>
          <w:highlight w:val="none"/>
          <w14:textFill>
            <w14:solidFill>
              <w14:schemeClr w14:val="tx1"/>
            </w14:solidFill>
          </w14:textFill>
        </w:rPr>
        <w:t>．</w:t>
      </w:r>
      <w:r>
        <w:rPr>
          <w:rFonts w:ascii="宋体" w:hAnsi="宋体"/>
          <w:color w:val="000000" w:themeColor="text1"/>
          <w:sz w:val="24"/>
          <w:highlight w:val="none"/>
          <w14:textFill>
            <w14:solidFill>
              <w14:schemeClr w14:val="tx1"/>
            </w14:solidFill>
          </w14:textFill>
        </w:rPr>
        <w:t>2</w:t>
      </w:r>
      <w:r>
        <w:rPr>
          <w:rFonts w:hint="eastAsia" w:ascii="宋体" w:hAnsi="宋体"/>
          <w:color w:val="000000" w:themeColor="text1"/>
          <w:sz w:val="24"/>
          <w:highlight w:val="none"/>
          <w14:textFill>
            <w14:solidFill>
              <w14:schemeClr w14:val="tx1"/>
            </w14:solidFill>
          </w14:textFill>
        </w:rPr>
        <w:t>如果投标人被认定在本招标的竞争中有腐败或欺诈行为，则会被取消投标资格。</w:t>
      </w:r>
    </w:p>
    <w:p>
      <w:pPr>
        <w:pStyle w:val="17"/>
        <w:spacing w:after="0" w:line="360" w:lineRule="auto"/>
        <w:ind w:firstLine="480" w:firstLineChars="200"/>
        <w:rPr>
          <w:rFonts w:ascii="宋体"/>
          <w:color w:val="000000" w:themeColor="text1"/>
          <w:sz w:val="24"/>
          <w:highlight w:val="none"/>
          <w14:textFill>
            <w14:solidFill>
              <w14:schemeClr w14:val="tx1"/>
            </w14:solidFill>
          </w14:textFill>
        </w:rPr>
      </w:pPr>
      <w:r>
        <w:rPr>
          <w:rFonts w:hint="eastAsia" w:ascii="宋体"/>
          <w:color w:val="000000" w:themeColor="text1"/>
          <w:sz w:val="24"/>
          <w:highlight w:val="none"/>
          <w14:textFill>
            <w14:solidFill>
              <w14:schemeClr w14:val="tx1"/>
            </w14:solidFill>
          </w14:textFill>
        </w:rPr>
        <w:t>32.3投标人如在本项目中存在串通投标、弄虚作假骗取中标、行贿情形的，中标无效，行政监督部门将对其违法行为进行政处罚。该投标人将被招标人列入黑名单并限制其参与招标人后续项目的投标。</w:t>
      </w:r>
    </w:p>
    <w:p>
      <w:pPr>
        <w:pStyle w:val="2"/>
        <w:rPr>
          <w:color w:val="000000" w:themeColor="text1"/>
          <w:highlight w:val="none"/>
          <w14:textFill>
            <w14:solidFill>
              <w14:schemeClr w14:val="tx1"/>
            </w14:solidFill>
          </w14:textFill>
        </w:rPr>
      </w:pPr>
      <w:r>
        <w:rPr>
          <w:rFonts w:ascii="宋体"/>
          <w:color w:val="000000" w:themeColor="text1"/>
          <w:sz w:val="24"/>
          <w:highlight w:val="none"/>
          <w14:textFill>
            <w14:solidFill>
              <w14:schemeClr w14:val="tx1"/>
            </w14:solidFill>
          </w14:textFill>
        </w:rPr>
        <w:br w:type="page"/>
      </w:r>
      <w:bookmarkStart w:id="18" w:name="_Toc21525498"/>
      <w:bookmarkStart w:id="19" w:name="_Toc2272554"/>
      <w:r>
        <w:rPr>
          <w:rFonts w:hint="eastAsia"/>
          <w:color w:val="000000" w:themeColor="text1"/>
          <w:highlight w:val="none"/>
          <w14:textFill>
            <w14:solidFill>
              <w14:schemeClr w14:val="tx1"/>
            </w14:solidFill>
          </w14:textFill>
        </w:rPr>
        <w:t>第二章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开标、评标及定标办法</w:t>
      </w:r>
      <w:bookmarkEnd w:id="18"/>
      <w:bookmarkEnd w:id="19"/>
    </w:p>
    <w:p>
      <w:pPr>
        <w:pStyle w:val="4"/>
        <w:rPr>
          <w:color w:val="000000" w:themeColor="text1"/>
          <w:highlight w:val="none"/>
          <w14:textFill>
            <w14:solidFill>
              <w14:schemeClr w14:val="tx1"/>
            </w14:solidFill>
          </w14:textFill>
        </w:rPr>
      </w:pPr>
      <w:bookmarkStart w:id="20" w:name="_Toc21525499"/>
      <w:bookmarkStart w:id="21" w:name="_Toc2272555"/>
      <w:r>
        <w:rPr>
          <w:rFonts w:hint="eastAsia"/>
          <w:color w:val="000000" w:themeColor="text1"/>
          <w:sz w:val="28"/>
          <w:szCs w:val="28"/>
          <w:highlight w:val="none"/>
          <w14:textFill>
            <w14:solidFill>
              <w14:schemeClr w14:val="tx1"/>
            </w14:solidFill>
          </w14:textFill>
        </w:rPr>
        <w:t>一、</w:t>
      </w:r>
      <w:r>
        <w:rPr>
          <w:rFonts w:hint="eastAsia"/>
          <w:color w:val="000000" w:themeColor="text1"/>
          <w:highlight w:val="none"/>
          <w14:textFill>
            <w14:solidFill>
              <w14:schemeClr w14:val="tx1"/>
            </w14:solidFill>
          </w14:textFill>
        </w:rPr>
        <w:t>开标、评标及定标办法修改表</w:t>
      </w:r>
      <w:bookmarkEnd w:id="20"/>
      <w:bookmarkEnd w:id="21"/>
    </w:p>
    <w:p>
      <w:pPr>
        <w:pStyle w:val="17"/>
        <w:spacing w:after="0" w:line="360" w:lineRule="auto"/>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声明：本</w:t>
      </w:r>
      <w:r>
        <w:rPr>
          <w:rFonts w:hint="eastAsia"/>
          <w:b/>
          <w:color w:val="000000" w:themeColor="text1"/>
          <w:highlight w:val="none"/>
          <w14:textFill>
            <w14:solidFill>
              <w14:schemeClr w14:val="tx1"/>
            </w14:solidFill>
          </w14:textFill>
        </w:rPr>
        <w:t>开标、评标及定标办法使用GZZB2018-3招标文件范本的开标、评标及定标办法通用条款，与该通用条款不同之处，均在本表中列明，并以现文为准，原</w:t>
      </w:r>
      <w:r>
        <w:rPr>
          <w:rFonts w:hint="eastAsia"/>
          <w:b/>
          <w:color w:val="000000" w:themeColor="text1"/>
          <w:szCs w:val="21"/>
          <w:highlight w:val="none"/>
          <w14:textFill>
            <w14:solidFill>
              <w14:schemeClr w14:val="tx1"/>
            </w14:solidFill>
          </w14:textFill>
        </w:rPr>
        <w:t>文不再有效。本招标文件中不再转录</w:t>
      </w:r>
      <w:r>
        <w:rPr>
          <w:rFonts w:hint="eastAsia"/>
          <w:b/>
          <w:color w:val="000000" w:themeColor="text1"/>
          <w:highlight w:val="none"/>
          <w14:textFill>
            <w14:solidFill>
              <w14:schemeClr w14:val="tx1"/>
            </w14:solidFill>
          </w14:textFill>
        </w:rPr>
        <w:t>开标、评标及定标办法</w:t>
      </w:r>
      <w:r>
        <w:rPr>
          <w:rFonts w:hint="eastAsia"/>
          <w:b/>
          <w:color w:val="000000" w:themeColor="text1"/>
          <w:szCs w:val="21"/>
          <w:highlight w:val="none"/>
          <w14:textFill>
            <w14:solidFill>
              <w14:schemeClr w14:val="tx1"/>
            </w14:solidFill>
          </w14:textFill>
        </w:rPr>
        <w:t>通用条款，请投标人自行到广州市住房和城乡建设局网站（网址：</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"http://www.gzcc.gov.cn/）下载GZZB2018-3" </w:instrText>
      </w:r>
      <w:r>
        <w:rPr>
          <w:color w:val="000000" w:themeColor="text1"/>
          <w:highlight w:val="none"/>
          <w14:textFill>
            <w14:solidFill>
              <w14:schemeClr w14:val="tx1"/>
            </w14:solidFill>
          </w14:textFill>
        </w:rPr>
        <w:fldChar w:fldCharType="separate"/>
      </w:r>
      <w:r>
        <w:rPr>
          <w:rStyle w:val="21"/>
          <w:b/>
          <w:color w:val="000000" w:themeColor="text1"/>
          <w:szCs w:val="21"/>
          <w:highlight w:val="none"/>
          <w:u w:val="none"/>
          <w14:textFill>
            <w14:solidFill>
              <w14:schemeClr w14:val="tx1"/>
            </w14:solidFill>
          </w14:textFill>
        </w:rPr>
        <w:t>http://zfcj.gz.gov.cn/</w:t>
      </w:r>
      <w:r>
        <w:rPr>
          <w:rStyle w:val="21"/>
          <w:rFonts w:hint="eastAsia"/>
          <w:b/>
          <w:color w:val="000000" w:themeColor="text1"/>
          <w:szCs w:val="21"/>
          <w:highlight w:val="none"/>
          <w:u w:val="none"/>
          <w14:textFill>
            <w14:solidFill>
              <w14:schemeClr w14:val="tx1"/>
            </w14:solidFill>
          </w14:textFill>
        </w:rPr>
        <w:t>）下载GZZB2018-3</w:t>
      </w:r>
      <w:r>
        <w:rPr>
          <w:rStyle w:val="21"/>
          <w:rFonts w:hint="eastAsia"/>
          <w:b/>
          <w:color w:val="000000" w:themeColor="text1"/>
          <w:szCs w:val="21"/>
          <w:highlight w:val="none"/>
          <w:u w:val="none"/>
          <w14:textFill>
            <w14:solidFill>
              <w14:schemeClr w14:val="tx1"/>
            </w14:solidFill>
          </w14:textFill>
        </w:rPr>
        <w:fldChar w:fldCharType="end"/>
      </w:r>
      <w:r>
        <w:rPr>
          <w:rFonts w:hint="eastAsia"/>
          <w:b/>
          <w:color w:val="000000" w:themeColor="text1"/>
          <w:szCs w:val="21"/>
          <w:highlight w:val="none"/>
          <w14:textFill>
            <w14:solidFill>
              <w14:schemeClr w14:val="tx1"/>
            </w14:solidFill>
          </w14:textFill>
        </w:rPr>
        <w:t>范本查阅。</w:t>
      </w:r>
    </w:p>
    <w:p>
      <w:pPr>
        <w:spacing w:line="360" w:lineRule="auto"/>
        <w:ind w:firstLine="482" w:firstLineChars="200"/>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条款号：（二）开标评标办法程序和细则        修改类型：删除</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原文：可选办法一（适合综合评分法一，技术标与经济标先后分别开启）</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原文：可选办法二（适合综合评分法一，技术标与经济标同时开启）</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原文：可选办法三（适合综合评分法二，技术标与经济标先后分别开启）</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原文：可选办法四（适合综合评分法二，技术标与经济标同时开启）</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原文：可选办法五（适合综合评分法三，技术标与经济标先后分别开启）</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原文：可选办法六（适合综合评分法三，技术标与经济标同时开启）</w:t>
      </w:r>
    </w:p>
    <w:p>
      <w:pPr>
        <w:pBdr>
          <w:bottom w:val="single" w:color="auto" w:sz="4" w:space="1"/>
        </w:pBdr>
        <w:spacing w:line="360" w:lineRule="auto"/>
        <w:ind w:firstLine="480" w:firstLineChars="200"/>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原文：可选办法八（适合经评审的最低投标价法，技术标与经济标同时开启）</w:t>
      </w:r>
    </w:p>
    <w:p>
      <w:pPr>
        <w:spacing w:line="48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w:t>
      </w:r>
      <w:r>
        <w:rPr>
          <w:b/>
          <w:color w:val="000000" w:themeColor="text1"/>
          <w:sz w:val="24"/>
          <w:szCs w:val="24"/>
          <w:highlight w:val="none"/>
          <w:lang w:bidi="ar"/>
          <w14:textFill>
            <w14:solidFill>
              <w14:schemeClr w14:val="tx1"/>
            </w14:solidFill>
          </w14:textFill>
        </w:rPr>
        <w:t xml:space="preserve">36.1   </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spacing w:line="360" w:lineRule="auto"/>
        <w:ind w:firstLine="540" w:firstLineChars="224"/>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w:t>
      </w:r>
      <w:r>
        <w:rPr>
          <w:color w:val="000000" w:themeColor="text1"/>
          <w:sz w:val="24"/>
          <w:szCs w:val="24"/>
          <w:highlight w:val="none"/>
          <w:lang w:bidi="ar"/>
          <w14:textFill>
            <w14:solidFill>
              <w14:schemeClr w14:val="tx1"/>
            </w14:solidFill>
          </w14:textFill>
        </w:rPr>
        <w:t>36.1</w:t>
      </w:r>
      <w:r>
        <w:rPr>
          <w:rFonts w:hint="eastAsia" w:ascii="宋体" w:hAnsi="宋体" w:cs="宋体"/>
          <w:color w:val="000000" w:themeColor="text1"/>
          <w:sz w:val="24"/>
          <w:szCs w:val="24"/>
          <w:highlight w:val="none"/>
          <w:lang w:bidi="ar"/>
          <w14:textFill>
            <w14:solidFill>
              <w14:schemeClr w14:val="tx1"/>
            </w14:solidFill>
          </w14:textFill>
        </w:rPr>
        <w:t xml:space="preserve"> 招标人按投标须知前附表第18项所规定的时间和地点公开开标，并邀请所有投标人参加。截标后，开标开始时间因故推迟的，相关评标信息仍以原定的开标开始时间的信息为准。</w:t>
      </w:r>
    </w:p>
    <w:p>
      <w:pPr>
        <w:pBdr>
          <w:bottom w:val="single" w:color="auto" w:sz="6" w:space="0"/>
        </w:pBdr>
        <w:spacing w:line="360" w:lineRule="auto"/>
        <w:ind w:firstLine="482" w:firstLineChars="200"/>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现文：</w:t>
      </w:r>
      <w:r>
        <w:rPr>
          <w:color w:val="000000" w:themeColor="text1"/>
          <w:sz w:val="24"/>
          <w:szCs w:val="24"/>
          <w:highlight w:val="none"/>
          <w:lang w:bidi="ar"/>
          <w14:textFill>
            <w14:solidFill>
              <w14:schemeClr w14:val="tx1"/>
            </w14:solidFill>
          </w14:textFill>
        </w:rPr>
        <w:t>36.1</w:t>
      </w:r>
      <w:r>
        <w:rPr>
          <w:rFonts w:hint="eastAsia" w:ascii="宋体" w:hAnsi="宋体" w:cs="宋体"/>
          <w:color w:val="000000" w:themeColor="text1"/>
          <w:sz w:val="24"/>
          <w:szCs w:val="24"/>
          <w:highlight w:val="none"/>
          <w:lang w:bidi="ar"/>
          <w14:textFill>
            <w14:solidFill>
              <w14:schemeClr w14:val="tx1"/>
            </w14:solidFill>
          </w14:textFill>
        </w:rPr>
        <w:t xml:space="preserve"> 招标人按投标须知前附表第18项所规定的时间和地点公开开标，并邀请所有投标人参加。截标后，开标开始时间因故推迟的，相关评标信息仍以原定的开标开始时间的信息为准。</w:t>
      </w:r>
      <w:r>
        <w:rPr>
          <w:rFonts w:hint="eastAsia" w:ascii="宋体" w:hAnsi="宋体" w:cs="宋体"/>
          <w:color w:val="000000" w:themeColor="text1"/>
          <w:sz w:val="24"/>
          <w:szCs w:val="24"/>
          <w:highlight w:val="none"/>
          <w:u w:val="single"/>
          <w:lang w:bidi="ar"/>
          <w14:textFill>
            <w14:solidFill>
              <w14:schemeClr w14:val="tx1"/>
            </w14:solidFill>
          </w14:textFill>
        </w:rPr>
        <w:t>若投标人不参加开标会的，其投标文件在开标现场的投标人或招标人代表、招标代理机构代表及交易中心代表见证下公开开启、解密、公布，并视同该投标人认可开标结果。</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条款号：36.3</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修改类型：删除</w:t>
      </w:r>
    </w:p>
    <w:p>
      <w:pPr>
        <w:pBdr>
          <w:bottom w:val="single" w:color="auto" w:sz="6" w:space="1"/>
        </w:pBd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36.3</w:t>
      </w:r>
      <w:r>
        <w:rPr>
          <w:rFonts w:hint="eastAsia" w:ascii="宋体" w:hAnsi="宋体"/>
          <w:color w:val="000000" w:themeColor="text1"/>
          <w:sz w:val="24"/>
          <w:szCs w:val="24"/>
          <w:highlight w:val="none"/>
          <w14:textFill>
            <w14:solidFill>
              <w14:schemeClr w14:val="tx1"/>
            </w14:solidFill>
          </w14:textFill>
        </w:rPr>
        <w:t>根据投标须知前附表第19项，如需抽取某一种评标办法供评标时使用的，应在开标前抽取。首先对招标文件中约定的若干种评标方法进行编号，再随机抽取某一编号，该编号所对应的评标办法供评标时使用</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条款号：36.4</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36.4</w:t>
      </w:r>
      <w:r>
        <w:rPr>
          <w:rFonts w:hint="eastAsia" w:ascii="宋体" w:hAnsi="宋体"/>
          <w:color w:val="000000" w:themeColor="text1"/>
          <w:sz w:val="24"/>
          <w:szCs w:val="24"/>
          <w:highlight w:val="none"/>
          <w14:textFill>
            <w14:solidFill>
              <w14:schemeClr w14:val="tx1"/>
            </w14:solidFill>
          </w14:textFill>
        </w:rPr>
        <w:t>若递交投标文件的投标人不足3家，则重新组织招标。（当</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个标段同时招标且不允许兼中时，若有效投标人不足</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2家，则重新组织招标）</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36.4若递交投标文件的投标人不足</w:t>
      </w:r>
      <w:r>
        <w:rPr>
          <w:rFonts w:ascii="Times New Roman" w:hAnsi="Times New Roman"/>
          <w:color w:val="000000" w:themeColor="text1"/>
          <w:sz w:val="24"/>
          <w:szCs w:val="24"/>
          <w:highlight w:val="none"/>
          <w:u w:val="single"/>
          <w14:textFill>
            <w14:solidFill>
              <w14:schemeClr w14:val="tx1"/>
            </w14:solidFill>
          </w14:textFill>
        </w:rPr>
        <w:t>3</w:t>
      </w:r>
      <w:r>
        <w:rPr>
          <w:rFonts w:hint="eastAsia" w:ascii="Times New Roman" w:hAnsi="Times New Roman"/>
          <w:color w:val="000000" w:themeColor="text1"/>
          <w:sz w:val="24"/>
          <w:szCs w:val="24"/>
          <w:highlight w:val="none"/>
          <w14:textFill>
            <w14:solidFill>
              <w14:schemeClr w14:val="tx1"/>
            </w14:solidFill>
          </w14:textFill>
        </w:rPr>
        <w:t>家，则重新组织招标。</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条款号：36.5.1</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36.5.1</w:t>
      </w:r>
      <w:r>
        <w:rPr>
          <w:rFonts w:hint="eastAsia" w:ascii="宋体" w:hAnsi="宋体"/>
          <w:color w:val="000000" w:themeColor="text1"/>
          <w:sz w:val="24"/>
          <w:highlight w:val="none"/>
          <w14:textFill>
            <w14:solidFill>
              <w14:schemeClr w14:val="tx1"/>
            </w14:solidFill>
          </w14:textFill>
        </w:rPr>
        <w:t>在投标截止时间后半小时内，投标人通过交易平台对已递交的电子投标文件进行解密。投标人完成解密后，再由招标人进行解密。解密完成后，公布招标项目名称、投标人名称、投标保证金的递交情况、投标报价、工期及其他内容</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36.5.1</w:t>
      </w:r>
      <w:r>
        <w:rPr>
          <w:rFonts w:hint="eastAsia" w:ascii="宋体" w:hAnsi="宋体"/>
          <w:color w:val="000000" w:themeColor="text1"/>
          <w:sz w:val="24"/>
          <w:highlight w:val="none"/>
          <w14:textFill>
            <w14:solidFill>
              <w14:schemeClr w14:val="tx1"/>
            </w14:solidFill>
          </w14:textFill>
        </w:rPr>
        <w:t>在投标截止时间后半小时内，投标人通过</w:t>
      </w:r>
      <w:r>
        <w:rPr>
          <w:rFonts w:hint="eastAsia" w:ascii="Times New Roman" w:hAnsi="Times New Roman"/>
          <w:color w:val="000000" w:themeColor="text1"/>
          <w:sz w:val="24"/>
          <w:szCs w:val="24"/>
          <w:highlight w:val="none"/>
          <w:u w:val="single"/>
          <w14:textFill>
            <w14:solidFill>
              <w14:schemeClr w14:val="tx1"/>
            </w14:solidFill>
          </w14:textFill>
        </w:rPr>
        <w:t>广州公共资源交易中心</w:t>
      </w:r>
      <w:r>
        <w:rPr>
          <w:rFonts w:hint="eastAsia" w:ascii="宋体" w:hAnsi="宋体"/>
          <w:color w:val="000000" w:themeColor="text1"/>
          <w:sz w:val="24"/>
          <w:highlight w:val="none"/>
          <w14:textFill>
            <w14:solidFill>
              <w14:schemeClr w14:val="tx1"/>
            </w14:solidFill>
          </w14:textFill>
        </w:rPr>
        <w:t>交易平台对已递交的电子投标文件进行解密。投标人完成解密后，再由招标人进行解密。解密完成后，公布招标项目名称、投标人名称、投标报价、工期及其他内容</w:t>
      </w:r>
      <w:r>
        <w:rPr>
          <w:rFonts w:hint="eastAsia" w:ascii="Times New Roman" w:hAnsi="Times New Roman"/>
          <w:color w:val="000000" w:themeColor="text1"/>
          <w:sz w:val="24"/>
          <w:szCs w:val="24"/>
          <w:highlight w:val="none"/>
          <w14:textFill>
            <w14:solidFill>
              <w14:schemeClr w14:val="tx1"/>
            </w14:solidFill>
          </w14:textFill>
        </w:rPr>
        <w:t>；</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hint="eastAsia" w:ascii="Times New Roman" w:hAnsi="Times New Roman"/>
          <w:b/>
          <w:bCs/>
          <w:color w:val="000000" w:themeColor="text1"/>
          <w:sz w:val="24"/>
          <w:szCs w:val="24"/>
          <w:highlight w:val="none"/>
          <w14:textFill>
            <w14:solidFill>
              <w14:schemeClr w14:val="tx1"/>
            </w14:solidFill>
          </w14:textFill>
        </w:rPr>
        <w:t>36.5.3</w:t>
      </w:r>
      <w:r>
        <w:rPr>
          <w:rFonts w:ascii="Times New Roman" w:hAnsi="Times New Roman"/>
          <w:b/>
          <w:bCs/>
          <w:color w:val="000000" w:themeColor="text1"/>
          <w:sz w:val="24"/>
          <w:szCs w:val="24"/>
          <w:highlight w:val="none"/>
          <w14:textFill>
            <w14:solidFill>
              <w14:schemeClr w14:val="tx1"/>
            </w14:solidFill>
          </w14:textFill>
        </w:rPr>
        <w:t xml:space="preserve"> </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482" w:firstLineChars="20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投标人代表、招标人代表、监标人、记录人等有关人员在开标记录上签字确认；若有关人员不签字的，不影响开标程序；</w:t>
      </w:r>
    </w:p>
    <w:p>
      <w:pPr>
        <w:pBdr>
          <w:bottom w:val="single" w:color="auto" w:sz="6" w:space="1"/>
        </w:pBd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b/>
          <w:color w:val="000000" w:themeColor="text1"/>
          <w:sz w:val="24"/>
          <w:szCs w:val="24"/>
          <w:highlight w:val="none"/>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投标人代表、招标人代表、监标人、记录人等有关人员在开标记录上签字确认；若有关人员不签字的，不影响开标程序；</w:t>
      </w:r>
      <w:r>
        <w:rPr>
          <w:rFonts w:hint="eastAsia" w:ascii="Times New Roman" w:hAnsi="Times New Roman"/>
          <w:color w:val="000000" w:themeColor="text1"/>
          <w:sz w:val="24"/>
          <w:szCs w:val="24"/>
          <w:highlight w:val="none"/>
          <w:u w:val="single"/>
          <w14:textFill>
            <w14:solidFill>
              <w14:schemeClr w14:val="tx1"/>
            </w14:solidFill>
          </w14:textFill>
        </w:rPr>
        <w:t>若投标人不参加开标会的，或不签字确认的，视同该投标人认可开标结果。</w:t>
      </w:r>
    </w:p>
    <w:p>
      <w:pPr>
        <w:spacing w:line="36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b/>
          <w:color w:val="000000" w:themeColor="text1"/>
          <w:sz w:val="24"/>
          <w:szCs w:val="24"/>
          <w:highlight w:val="none"/>
          <w14:textFill>
            <w14:solidFill>
              <w14:schemeClr w14:val="tx1"/>
            </w14:solidFill>
          </w14:textFill>
        </w:rPr>
        <w:t xml:space="preserve">38.1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Times New Roman" w:hAnsi="Times New Roman"/>
          <w:color w:val="000000" w:themeColor="text1"/>
          <w:sz w:val="24"/>
          <w:szCs w:val="24"/>
          <w:highlight w:val="none"/>
          <w14:textFill>
            <w14:solidFill>
              <w14:schemeClr w14:val="tx1"/>
            </w14:solidFill>
          </w14:textFill>
        </w:rPr>
        <w:t>38.1</w:t>
      </w:r>
      <w:r>
        <w:rPr>
          <w:rFonts w:hint="eastAsia" w:ascii="宋体" w:hAnsi="宋体"/>
          <w:color w:val="000000" w:themeColor="text1"/>
          <w:sz w:val="24"/>
          <w:szCs w:val="24"/>
          <w:highlight w:val="none"/>
          <w14:textFill>
            <w14:solidFill>
              <w14:schemeClr w14:val="tx1"/>
            </w14:solidFill>
          </w14:textFill>
        </w:rPr>
        <w:t>为有助于投标文件的审查、评价和比较，评标期间，经评标委员会或评标委员会专业评审组中两人以上（含两人）以书面形式提出动议，评标委员会或评标委员会专业评审组应当书面发出澄清通知，要求投标人对投标文件含义不明确的内容作出澄清</w:t>
      </w:r>
      <w:r>
        <w:rPr>
          <w:rFonts w:hint="eastAsia" w:ascii="Times New Roman" w:hAnsi="Times New Roman"/>
          <w:color w:val="000000" w:themeColor="text1"/>
          <w:sz w:val="24"/>
          <w:szCs w:val="24"/>
          <w:highlight w:val="none"/>
          <w14:textFill>
            <w14:solidFill>
              <w14:schemeClr w14:val="tx1"/>
            </w14:solidFill>
          </w14:textFill>
        </w:rPr>
        <w:t>。</w:t>
      </w:r>
    </w:p>
    <w:p>
      <w:pPr>
        <w:pBdr>
          <w:bottom w:val="single" w:color="auto" w:sz="12" w:space="1"/>
        </w:pBdr>
        <w:spacing w:line="360" w:lineRule="auto"/>
        <w:ind w:firstLine="42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38.1</w:t>
      </w:r>
      <w:r>
        <w:rPr>
          <w:rFonts w:hint="eastAsia" w:ascii="宋体" w:hAnsi="宋体"/>
          <w:color w:val="000000" w:themeColor="text1"/>
          <w:sz w:val="24"/>
          <w:szCs w:val="24"/>
          <w:highlight w:val="none"/>
          <w14:textFill>
            <w14:solidFill>
              <w14:schemeClr w14:val="tx1"/>
            </w14:solidFill>
          </w14:textFill>
        </w:rPr>
        <w:t>为有助于投标文件的审查、评价和比较，评标期间，经评标委员会或评标委员会专业评审组中两人以上（含两人）以书面形式提出动议，评标委员会或评标委员会专业评审组应当书面发出澄清通知，要求投标人</w:t>
      </w:r>
      <w:r>
        <w:rPr>
          <w:rFonts w:hint="eastAsia" w:ascii="Times New Roman" w:hAnsi="Times New Roman"/>
          <w:color w:val="000000" w:themeColor="text1"/>
          <w:sz w:val="24"/>
          <w:szCs w:val="24"/>
          <w:highlight w:val="none"/>
          <w:u w:val="single"/>
          <w14:textFill>
            <w14:solidFill>
              <w14:schemeClr w14:val="tx1"/>
            </w14:solidFill>
          </w14:textFill>
        </w:rPr>
        <w:t>对投标文件含义不明确、对同类问题表述不一致、有明显文字和计算错误的内容以及细微偏差的</w:t>
      </w:r>
      <w:r>
        <w:rPr>
          <w:rFonts w:hint="eastAsia" w:ascii="Times New Roman" w:hAnsi="Times New Roman"/>
          <w:color w:val="000000" w:themeColor="text1"/>
          <w:sz w:val="24"/>
          <w:szCs w:val="24"/>
          <w:highlight w:val="none"/>
          <w14:textFill>
            <w14:solidFill>
              <w14:schemeClr w14:val="tx1"/>
            </w14:solidFill>
          </w14:textFill>
        </w:rPr>
        <w:t>内容作出澄清。</w:t>
      </w:r>
    </w:p>
    <w:p>
      <w:pPr>
        <w:spacing w:line="360" w:lineRule="auto"/>
        <w:ind w:firstLine="540" w:firstLineChars="224"/>
        <w:rPr>
          <w:rFonts w:ascii="宋体" w:hAnsi="宋体"/>
          <w:b/>
          <w:bCs/>
          <w:color w:val="000000" w:themeColor="text1"/>
          <w:sz w:val="24"/>
          <w:szCs w:val="24"/>
          <w:highlight w:val="none"/>
          <w14:textFill>
            <w14:solidFill>
              <w14:schemeClr w14:val="tx1"/>
            </w14:solidFill>
          </w14:textFill>
        </w:rPr>
      </w:pPr>
      <w:r>
        <w:rPr>
          <w:rFonts w:hint="eastAsia" w:ascii="宋体" w:hAnsi="宋体"/>
          <w:b/>
          <w:bCs/>
          <w:color w:val="000000" w:themeColor="text1"/>
          <w:sz w:val="24"/>
          <w:szCs w:val="24"/>
          <w:highlight w:val="none"/>
          <w14:textFill>
            <w14:solidFill>
              <w14:schemeClr w14:val="tx1"/>
            </w14:solidFill>
          </w14:textFill>
        </w:rPr>
        <w:t>条款号：</w:t>
      </w:r>
      <w:r>
        <w:rPr>
          <w:rFonts w:hint="eastAsia"/>
          <w:b/>
          <w:color w:val="000000" w:themeColor="text1"/>
          <w:sz w:val="24"/>
          <w:szCs w:val="24"/>
          <w:highlight w:val="none"/>
          <w14:textFill>
            <w14:solidFill>
              <w14:schemeClr w14:val="tx1"/>
            </w14:solidFill>
          </w14:textFill>
        </w:rPr>
        <w:t xml:space="preserve">39.2  </w:t>
      </w:r>
      <w:r>
        <w:rPr>
          <w:rFonts w:ascii="宋体" w:hAnsi="宋体"/>
          <w:b/>
          <w:bCs/>
          <w:color w:val="000000" w:themeColor="text1"/>
          <w:sz w:val="24"/>
          <w:szCs w:val="24"/>
          <w:highlight w:val="none"/>
          <w14:textFill>
            <w14:solidFill>
              <w14:schemeClr w14:val="tx1"/>
            </w14:solidFill>
          </w14:textFill>
        </w:rPr>
        <w:t xml:space="preserve">         </w:t>
      </w:r>
      <w:r>
        <w:rPr>
          <w:rFonts w:hint="eastAsia" w:ascii="宋体" w:hAnsi="宋体"/>
          <w:b/>
          <w:bCs/>
          <w:color w:val="000000" w:themeColor="text1"/>
          <w:sz w:val="24"/>
          <w:szCs w:val="24"/>
          <w:highlight w:val="none"/>
          <w14:textFill>
            <w14:solidFill>
              <w14:schemeClr w14:val="tx1"/>
            </w14:solidFill>
          </w14:textFill>
        </w:rPr>
        <w:t>修改类型：修改</w:t>
      </w:r>
    </w:p>
    <w:p>
      <w:pPr>
        <w:spacing w:line="360" w:lineRule="auto"/>
        <w:ind w:firstLine="540" w:firstLineChars="224"/>
        <w:rPr>
          <w:rFonts w:ascii="宋体" w:hAnsi="宋体"/>
          <w:color w:val="000000" w:themeColor="text1"/>
          <w:sz w:val="24"/>
          <w:szCs w:val="24"/>
          <w:highlight w:val="none"/>
          <w14:textFill>
            <w14:solidFill>
              <w14:schemeClr w14:val="tx1"/>
            </w14:solidFill>
          </w14:textFill>
        </w:rPr>
      </w:pPr>
      <w:r>
        <w:rPr>
          <w:rFonts w:hint="eastAsia" w:ascii="宋体" w:hAnsi="宋体"/>
          <w:b/>
          <w:bCs/>
          <w:color w:val="000000" w:themeColor="text1"/>
          <w:sz w:val="24"/>
          <w:szCs w:val="24"/>
          <w:highlight w:val="none"/>
          <w14:textFill>
            <w14:solidFill>
              <w14:schemeClr w14:val="tx1"/>
            </w14:solidFill>
          </w14:textFill>
        </w:rPr>
        <w:t>原文：</w:t>
      </w:r>
      <w:r>
        <w:rPr>
          <w:rFonts w:hint="eastAsia"/>
          <w:color w:val="000000" w:themeColor="text1"/>
          <w:sz w:val="24"/>
          <w:szCs w:val="24"/>
          <w:highlight w:val="none"/>
          <w14:textFill>
            <w14:solidFill>
              <w14:schemeClr w14:val="tx1"/>
            </w14:solidFill>
          </w14:textFill>
        </w:rPr>
        <w:t>39.2</w:t>
      </w:r>
      <w:r>
        <w:rPr>
          <w:rFonts w:hint="eastAsia" w:ascii="宋体" w:hAnsi="宋体"/>
          <w:color w:val="000000" w:themeColor="text1"/>
          <w:sz w:val="24"/>
          <w:szCs w:val="24"/>
          <w:highlight w:val="none"/>
          <w14:textFill>
            <w14:solidFill>
              <w14:schemeClr w14:val="tx1"/>
            </w14:solidFill>
          </w14:textFill>
        </w:rPr>
        <w:t>依法必须进行公开招标的项目，招标人应当确定排名第一的中标候选人为中标人；</w:t>
      </w:r>
    </w:p>
    <w:p>
      <w:pPr>
        <w:pBdr>
          <w:bottom w:val="single" w:color="auto" w:sz="6" w:space="1"/>
        </w:pBdr>
        <w:spacing w:line="360" w:lineRule="auto"/>
        <w:ind w:firstLine="602" w:firstLineChars="250"/>
        <w:rPr>
          <w:rFonts w:ascii="宋体" w:hAnsi="宋体"/>
          <w:color w:val="000000" w:themeColor="text1"/>
          <w:sz w:val="24"/>
          <w:szCs w:val="24"/>
          <w:highlight w:val="none"/>
          <w:u w:val="single"/>
          <w14:textFill>
            <w14:solidFill>
              <w14:schemeClr w14:val="tx1"/>
            </w14:solidFill>
          </w14:textFill>
        </w:rPr>
      </w:pPr>
      <w:r>
        <w:rPr>
          <w:rFonts w:hint="eastAsia" w:ascii="宋体" w:hAnsi="宋体"/>
          <w:b/>
          <w:bCs/>
          <w:color w:val="000000" w:themeColor="text1"/>
          <w:sz w:val="24"/>
          <w:szCs w:val="24"/>
          <w:highlight w:val="none"/>
          <w14:textFill>
            <w14:solidFill>
              <w14:schemeClr w14:val="tx1"/>
            </w14:solidFill>
          </w14:textFill>
        </w:rPr>
        <w:t>现文：</w:t>
      </w:r>
      <w:r>
        <w:rPr>
          <w:rFonts w:hint="eastAsia"/>
          <w:color w:val="000000" w:themeColor="text1"/>
          <w:sz w:val="24"/>
          <w:szCs w:val="24"/>
          <w:highlight w:val="none"/>
          <w14:textFill>
            <w14:solidFill>
              <w14:schemeClr w14:val="tx1"/>
            </w14:solidFill>
          </w14:textFill>
        </w:rPr>
        <w:t>39.2</w:t>
      </w:r>
      <w:r>
        <w:rPr>
          <w:rFonts w:hint="eastAsia" w:ascii="宋体" w:hAnsi="宋体"/>
          <w:color w:val="000000" w:themeColor="text1"/>
          <w:sz w:val="24"/>
          <w:szCs w:val="24"/>
          <w:highlight w:val="none"/>
          <w14:textFill>
            <w14:solidFill>
              <w14:schemeClr w14:val="tx1"/>
            </w14:solidFill>
          </w14:textFill>
        </w:rPr>
        <w:t>依法必须进行公开招标的项目，招标人应当确定排名第一的中标候选人，</w:t>
      </w:r>
      <w:r>
        <w:rPr>
          <w:rFonts w:hint="eastAsia" w:ascii="宋体" w:hAnsi="宋体"/>
          <w:color w:val="000000" w:themeColor="text1"/>
          <w:sz w:val="24"/>
          <w:szCs w:val="24"/>
          <w:highlight w:val="none"/>
          <w:u w:val="single"/>
          <w14:textFill>
            <w14:solidFill>
              <w14:schemeClr w14:val="tx1"/>
            </w14:solidFill>
          </w14:textFill>
        </w:rPr>
        <w:t>若在填报中标候选人公示信息时被发现委派的项目负责人已在其他在建项目中任职、不符合任职数量规定时，则不能进行中标候选人公示，招标人可以确定排名第二的中标候选人为中标人。</w:t>
      </w:r>
    </w:p>
    <w:p>
      <w:pPr>
        <w:spacing w:line="360" w:lineRule="auto"/>
        <w:ind w:firstLine="540" w:firstLineChars="224"/>
        <w:rPr>
          <w:rFonts w:ascii="Times New Roman" w:hAnsi="Times New Roman" w:cs="宋体"/>
          <w:b/>
          <w:color w:val="000000" w:themeColor="text1"/>
          <w:sz w:val="24"/>
          <w:szCs w:val="24"/>
          <w:highlight w:val="none"/>
          <w14:textFill>
            <w14:solidFill>
              <w14:schemeClr w14:val="tx1"/>
            </w14:solidFill>
          </w14:textFill>
        </w:rPr>
      </w:pPr>
      <w:r>
        <w:rPr>
          <w:rFonts w:hint="eastAsia" w:ascii="Times New Roman" w:hAnsi="Times New Roman" w:cs="宋体"/>
          <w:b/>
          <w:color w:val="000000" w:themeColor="text1"/>
          <w:sz w:val="24"/>
          <w:szCs w:val="24"/>
          <w:highlight w:val="none"/>
          <w14:textFill>
            <w14:solidFill>
              <w14:schemeClr w14:val="tx1"/>
            </w14:solidFill>
          </w14:textFill>
        </w:rPr>
        <w:t>条款号：39.3            修改类型：修改</w:t>
      </w:r>
    </w:p>
    <w:p>
      <w:pPr>
        <w:spacing w:line="360" w:lineRule="auto"/>
        <w:ind w:firstLine="540" w:firstLineChars="224"/>
        <w:rPr>
          <w:rFonts w:ascii="Times New Roman" w:hAnsi="Times New Roman" w:cs="宋体"/>
          <w:color w:val="000000" w:themeColor="text1"/>
          <w:sz w:val="24"/>
          <w:szCs w:val="24"/>
          <w:highlight w:val="none"/>
          <w14:textFill>
            <w14:solidFill>
              <w14:schemeClr w14:val="tx1"/>
            </w14:solidFill>
          </w14:textFill>
        </w:rPr>
      </w:pPr>
      <w:r>
        <w:rPr>
          <w:rFonts w:hint="eastAsia" w:ascii="Times New Roman" w:hAnsi="Times New Roman" w:cs="宋体"/>
          <w:b/>
          <w:color w:val="000000" w:themeColor="text1"/>
          <w:sz w:val="24"/>
          <w:szCs w:val="24"/>
          <w:highlight w:val="none"/>
          <w14:textFill>
            <w14:solidFill>
              <w14:schemeClr w14:val="tx1"/>
            </w14:solidFill>
          </w14:textFill>
        </w:rPr>
        <w:t>原文：</w:t>
      </w:r>
      <w:r>
        <w:rPr>
          <w:rFonts w:hint="eastAsia" w:ascii="Times New Roman" w:hAnsi="Times New Roman" w:cs="宋体"/>
          <w:color w:val="000000" w:themeColor="text1"/>
          <w:sz w:val="24"/>
          <w:szCs w:val="24"/>
          <w:highlight w:val="none"/>
          <w14:textFill>
            <w14:solidFill>
              <w14:schemeClr w14:val="tx1"/>
            </w14:solidFill>
          </w14:textFill>
        </w:rPr>
        <w:t>39.3</w:t>
      </w:r>
      <w:r>
        <w:rPr>
          <w:rFonts w:hint="eastAsia" w:ascii="宋体" w:hAnsi="宋体"/>
          <w:color w:val="000000" w:themeColor="text1"/>
          <w:sz w:val="24"/>
          <w:szCs w:val="24"/>
          <w:highlight w:val="none"/>
          <w14:textFill>
            <w14:solidFill>
              <w14:schemeClr w14:val="tx1"/>
            </w14:solidFill>
          </w14:textFill>
        </w:rPr>
        <w:t>排名第一的中标候选人放弃中标、或因不可抗力提出不能履行合同，或者招标文件规定应当提交履约担保而在规定的期限内未能提交的，招标人可以确定排名第二的中标候选人为中标人</w:t>
      </w:r>
      <w:r>
        <w:rPr>
          <w:rFonts w:hint="eastAsia" w:ascii="Times New Roman" w:hAnsi="Times New Roman" w:cs="宋体"/>
          <w:color w:val="000000" w:themeColor="text1"/>
          <w:sz w:val="24"/>
          <w:szCs w:val="24"/>
          <w:highlight w:val="none"/>
          <w14:textFill>
            <w14:solidFill>
              <w14:schemeClr w14:val="tx1"/>
            </w14:solidFill>
          </w14:textFill>
        </w:rPr>
        <w:t>。</w:t>
      </w:r>
    </w:p>
    <w:p>
      <w:pPr>
        <w:pBdr>
          <w:bottom w:val="single" w:color="auto" w:sz="6" w:space="1"/>
        </w:pBdr>
        <w:spacing w:line="360" w:lineRule="auto"/>
        <w:ind w:firstLine="482" w:firstLineChars="200"/>
        <w:rPr>
          <w:rFonts w:ascii="Times New Roman" w:hAnsi="Times New Roman" w:cs="宋体"/>
          <w:color w:val="000000" w:themeColor="text1"/>
          <w:sz w:val="24"/>
          <w:szCs w:val="24"/>
          <w:highlight w:val="none"/>
          <w:u w:val="single"/>
          <w14:textFill>
            <w14:solidFill>
              <w14:schemeClr w14:val="tx1"/>
            </w14:solidFill>
          </w14:textFill>
        </w:rPr>
      </w:pPr>
      <w:r>
        <w:rPr>
          <w:rFonts w:hint="eastAsia" w:ascii="Times New Roman" w:hAnsi="Times New Roman" w:cs="宋体"/>
          <w:b/>
          <w:color w:val="000000" w:themeColor="text1"/>
          <w:sz w:val="24"/>
          <w:szCs w:val="24"/>
          <w:highlight w:val="none"/>
          <w14:textFill>
            <w14:solidFill>
              <w14:schemeClr w14:val="tx1"/>
            </w14:solidFill>
          </w14:textFill>
        </w:rPr>
        <w:t>现文：</w:t>
      </w:r>
      <w:r>
        <w:rPr>
          <w:rFonts w:hint="eastAsia" w:ascii="Times New Roman" w:hAnsi="Times New Roman" w:cs="宋体"/>
          <w:color w:val="000000" w:themeColor="text1"/>
          <w:sz w:val="24"/>
          <w:szCs w:val="24"/>
          <w:highlight w:val="none"/>
          <w14:textFill>
            <w14:solidFill>
              <w14:schemeClr w14:val="tx1"/>
            </w14:solidFill>
          </w14:textFill>
        </w:rPr>
        <w:t>39.3</w:t>
      </w:r>
      <w:r>
        <w:rPr>
          <w:rFonts w:hint="eastAsia" w:ascii="宋体" w:hAnsi="宋体"/>
          <w:color w:val="000000" w:themeColor="text1"/>
          <w:sz w:val="24"/>
          <w:szCs w:val="24"/>
          <w:highlight w:val="none"/>
          <w14:textFill>
            <w14:solidFill>
              <w14:schemeClr w14:val="tx1"/>
            </w14:solidFill>
          </w14:textFill>
        </w:rPr>
        <w:t>排名第一的中标候选人放弃中标、或因不可抗力提出不能履行合同，或者招标文件规定应当提交履约担保而在规定的期限内未能提交的，</w:t>
      </w:r>
      <w:r>
        <w:rPr>
          <w:rFonts w:hint="eastAsia" w:ascii="Times New Roman" w:hAnsi="Times New Roman" w:cs="宋体"/>
          <w:color w:val="000000" w:themeColor="text1"/>
          <w:sz w:val="24"/>
          <w:szCs w:val="24"/>
          <w:highlight w:val="none"/>
          <w:u w:val="single"/>
          <w14:textFill>
            <w14:solidFill>
              <w14:schemeClr w14:val="tx1"/>
            </w14:solidFill>
          </w14:textFill>
        </w:rPr>
        <w:t>或经核查发现委派的项目负责人已在其他在建项目中任职、不符合任职数量规定时，</w:t>
      </w:r>
      <w:r>
        <w:rPr>
          <w:rFonts w:hint="eastAsia" w:ascii="Times New Roman" w:hAnsi="Times New Roman" w:cs="宋体"/>
          <w:color w:val="000000" w:themeColor="text1"/>
          <w:sz w:val="24"/>
          <w:szCs w:val="24"/>
          <w:highlight w:val="none"/>
          <w14:textFill>
            <w14:solidFill>
              <w14:schemeClr w14:val="tx1"/>
            </w14:solidFill>
          </w14:textFill>
        </w:rPr>
        <w:t>招标人可以确定排名第二的中标候选人为中标人。</w:t>
      </w:r>
    </w:p>
    <w:p>
      <w:pPr>
        <w:spacing w:line="36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条款号：（二）开标评标办法程序和细则  注     修改类型：</w:t>
      </w:r>
      <w:r>
        <w:rPr>
          <w:rFonts w:hint="default" w:ascii="宋体" w:hAnsi="宋体" w:cs="宋体"/>
          <w:b/>
          <w:color w:val="000000" w:themeColor="text1"/>
          <w:sz w:val="24"/>
          <w:szCs w:val="24"/>
          <w:highlight w:val="none"/>
          <w:lang w:bidi="ar"/>
          <w14:textFill>
            <w14:solidFill>
              <w14:schemeClr w14:val="tx1"/>
            </w14:solidFill>
          </w14:textFill>
        </w:rPr>
        <w:t>删除</w:t>
      </w:r>
    </w:p>
    <w:p>
      <w:pPr>
        <w:pBdr>
          <w:bottom w:val="single" w:color="auto" w:sz="4" w:space="0"/>
        </w:pBdr>
        <w:spacing w:line="360" w:lineRule="auto"/>
        <w:ind w:firstLine="482"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注：</w:t>
      </w:r>
      <w:r>
        <w:rPr>
          <w:rFonts w:hint="eastAsia" w:ascii="宋体" w:hAnsi="宋体"/>
          <w:color w:val="000000" w:themeColor="text1"/>
          <w:sz w:val="24"/>
          <w:szCs w:val="24"/>
          <w:highlight w:val="none"/>
          <w14:textFill>
            <w14:solidFill>
              <w14:schemeClr w14:val="tx1"/>
            </w14:solidFill>
          </w14:textFill>
        </w:rPr>
        <w:t>以下八种评标办法所述企业综合诚信评价分数即投标截止当日广州市工程招标代理行业协会网站上公布的企业综合诚信评价</w:t>
      </w:r>
      <w:r>
        <w:rPr>
          <w:rFonts w:ascii="宋体" w:hAnsi="宋体"/>
          <w:color w:val="000000" w:themeColor="text1"/>
          <w:sz w:val="24"/>
          <w:szCs w:val="24"/>
          <w:highlight w:val="none"/>
          <w14:textFill>
            <w14:solidFill>
              <w14:schemeClr w14:val="tx1"/>
            </w14:solidFill>
          </w14:textFill>
        </w:rPr>
        <w:t>60</w:t>
      </w:r>
      <w:r>
        <w:rPr>
          <w:rFonts w:hint="eastAsia" w:ascii="宋体" w:hAnsi="宋体"/>
          <w:color w:val="000000" w:themeColor="text1"/>
          <w:sz w:val="24"/>
          <w:szCs w:val="24"/>
          <w:highlight w:val="none"/>
          <w14:textFill>
            <w14:solidFill>
              <w14:schemeClr w14:val="tx1"/>
            </w14:solidFill>
          </w14:textFill>
        </w:rPr>
        <w:t>日诚信分</w:t>
      </w:r>
      <w:r>
        <w:rPr>
          <w:rFonts w:hint="eastAsia" w:ascii="宋体" w:hAnsi="宋体" w:cs="宋体"/>
          <w:color w:val="000000" w:themeColor="text1"/>
          <w:sz w:val="24"/>
          <w:szCs w:val="24"/>
          <w:highlight w:val="none"/>
          <w:lang w:bidi="ar"/>
          <w14:textFill>
            <w14:solidFill>
              <w14:schemeClr w14:val="tx1"/>
            </w14:solidFill>
          </w14:textFill>
        </w:rPr>
        <w:t>。</w:t>
      </w:r>
    </w:p>
    <w:p>
      <w:pPr>
        <w:spacing w:line="360" w:lineRule="auto"/>
        <w:ind w:firstLine="482" w:firstLineChars="200"/>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条款号：40</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napToGrid w:val="0"/>
        <w:spacing w:line="360" w:lineRule="auto"/>
        <w:ind w:firstLine="482" w:firstLineChars="200"/>
        <w:rPr>
          <w:rFonts w:ascii="宋体"/>
          <w:color w:val="000000" w:themeColor="text1"/>
          <w:sz w:val="24"/>
          <w:szCs w:val="24"/>
          <w:highlight w:val="none"/>
          <w14:textFill>
            <w14:solidFill>
              <w14:schemeClr w14:val="tx1"/>
            </w14:solidFill>
          </w14:textFill>
        </w:rPr>
      </w:pPr>
      <w:r>
        <w:rPr>
          <w:rFonts w:hint="eastAsia" w:ascii="Times New Roman" w:hAnsi="Times New Roman"/>
          <w:b/>
          <w:color w:val="000000" w:themeColor="text1"/>
          <w:kern w:val="0"/>
          <w:sz w:val="24"/>
          <w:szCs w:val="24"/>
          <w:highlight w:val="none"/>
          <w14:textFill>
            <w14:solidFill>
              <w14:schemeClr w14:val="tx1"/>
            </w14:solidFill>
          </w14:textFill>
        </w:rPr>
        <w:t>原文：</w:t>
      </w:r>
      <w:r>
        <w:rPr>
          <w:rFonts w:ascii="宋体" w:hAnsi="宋体"/>
          <w:color w:val="000000" w:themeColor="text1"/>
          <w:kern w:val="0"/>
          <w:sz w:val="24"/>
          <w:szCs w:val="24"/>
          <w:highlight w:val="none"/>
          <w14:textFill>
            <w14:solidFill>
              <w14:schemeClr w14:val="tx1"/>
            </w14:solidFill>
          </w14:textFill>
        </w:rPr>
        <w:t>40</w:t>
      </w:r>
      <w:r>
        <w:rPr>
          <w:rFonts w:hint="eastAsia" w:ascii="宋体" w:hAnsi="宋体"/>
          <w:color w:val="000000" w:themeColor="text1"/>
          <w:kern w:val="0"/>
          <w:sz w:val="24"/>
          <w:szCs w:val="24"/>
          <w:highlight w:val="none"/>
          <w14:textFill>
            <w14:solidFill>
              <w14:schemeClr w14:val="tx1"/>
            </w14:solidFill>
          </w14:textFill>
        </w:rPr>
        <w:t>．</w:t>
      </w:r>
      <w:r>
        <w:rPr>
          <w:rFonts w:hint="eastAsia" w:ascii="宋体"/>
          <w:color w:val="000000" w:themeColor="text1"/>
          <w:sz w:val="24"/>
          <w:szCs w:val="24"/>
          <w:highlight w:val="none"/>
          <w14:textFill>
            <w14:solidFill>
              <w14:schemeClr w14:val="tx1"/>
            </w14:solidFill>
          </w14:textFill>
        </w:rPr>
        <w:t>开标和评标程序</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40.1技术标（含资格审查文件）与经济标投标文件同时公开开标；</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40.2由评标委员会对所有已公开开标的投标人进行资格审查；</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40.3技术标投标文件有效性审查；</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40.4技术标详细审查评分；</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40.5经济标详细审查评分；</w:t>
      </w:r>
      <w:r>
        <w:rPr>
          <w:rFonts w:ascii="宋体"/>
          <w:color w:val="000000" w:themeColor="text1"/>
          <w:sz w:val="24"/>
          <w:szCs w:val="24"/>
          <w:highlight w:val="none"/>
          <w14:textFill>
            <w14:solidFill>
              <w14:schemeClr w14:val="tx1"/>
            </w14:solidFill>
          </w14:textFill>
        </w:rPr>
        <w:t xml:space="preserve"> </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40.6评标委员会按照投标人总得分由高至低排序；</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40.7经济标投标文件有效性审查；</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40.8评标委员会按排序向招标人推荐中标候选人名单，并递交资格审查报告及评标报告</w:t>
      </w:r>
      <w:r>
        <w:rPr>
          <w:rFonts w:hint="eastAsia" w:ascii="宋体" w:hAnsi="宋体"/>
          <w:color w:val="000000" w:themeColor="text1"/>
          <w:sz w:val="24"/>
          <w:szCs w:val="24"/>
          <w:highlight w:val="none"/>
          <w14:textFill>
            <w14:solidFill>
              <w14:schemeClr w14:val="tx1"/>
            </w14:solidFill>
          </w14:textFill>
        </w:rPr>
        <w:t>。</w:t>
      </w:r>
    </w:p>
    <w:p>
      <w:pPr>
        <w:spacing w:line="360" w:lineRule="auto"/>
        <w:ind w:firstLine="482" w:firstLineChars="200"/>
        <w:rPr>
          <w:rFonts w:ascii="宋体" w:hAnsi="宋体" w:cs="宋体"/>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ascii="宋体" w:hAnsi="宋体"/>
          <w:color w:val="000000" w:themeColor="text1"/>
          <w:sz w:val="24"/>
          <w:szCs w:val="24"/>
          <w:highlight w:val="none"/>
          <w14:textFill>
            <w14:solidFill>
              <w14:schemeClr w14:val="tx1"/>
            </w14:solidFill>
          </w14:textFill>
        </w:rPr>
        <w:t>40</w:t>
      </w:r>
      <w:r>
        <w:rPr>
          <w:rFonts w:hint="eastAsia" w:ascii="宋体" w:hAnsi="宋体"/>
          <w:color w:val="000000" w:themeColor="text1"/>
          <w:sz w:val="24"/>
          <w:szCs w:val="24"/>
          <w:highlight w:val="none"/>
          <w14:textFill>
            <w14:solidFill>
              <w14:schemeClr w14:val="tx1"/>
            </w14:solidFill>
          </w14:textFill>
        </w:rPr>
        <w:t>．</w:t>
      </w:r>
      <w:r>
        <w:rPr>
          <w:rFonts w:hint="eastAsia" w:ascii="宋体" w:hAnsi="宋体" w:cs="宋体"/>
          <w:color w:val="000000" w:themeColor="text1"/>
          <w:sz w:val="24"/>
          <w:szCs w:val="24"/>
          <w:highlight w:val="none"/>
          <w:lang w:bidi="ar"/>
          <w14:textFill>
            <w14:solidFill>
              <w14:schemeClr w14:val="tx1"/>
            </w14:solidFill>
          </w14:textFill>
        </w:rPr>
        <w:t>开标和评标程序</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40.1技术标（含资格审查文件）与经济标投标文件同时公开开标；</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40.2由评标委员会对所有已公开开标的投标人进行资格审查；</w:t>
      </w:r>
    </w:p>
    <w:p>
      <w:pPr>
        <w:spacing w:line="360" w:lineRule="auto"/>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 xml:space="preserve">    40.3技术标投标文件有效性审查；</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40.4技术标详细审查评分；</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 xml:space="preserve">40.5经济标详细审查评分； </w:t>
      </w:r>
    </w:p>
    <w:p>
      <w:pPr>
        <w:pBdr>
          <w:bottom w:val="single" w:color="auto" w:sz="6" w:space="1"/>
        </w:pBd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40.6评标委员会</w:t>
      </w:r>
      <w:r>
        <w:rPr>
          <w:rFonts w:hint="eastAsia" w:ascii="宋体" w:hAnsi="宋体" w:cs="宋体"/>
          <w:color w:val="000000" w:themeColor="text1"/>
          <w:sz w:val="24"/>
          <w:szCs w:val="24"/>
          <w:highlight w:val="none"/>
          <w:u w:val="single"/>
          <w:lang w:bidi="ar"/>
          <w14:textFill>
            <w14:solidFill>
              <w14:schemeClr w14:val="tx1"/>
            </w14:solidFill>
          </w14:textFill>
        </w:rPr>
        <w:t>汇总投标人得分，并</w:t>
      </w:r>
      <w:r>
        <w:rPr>
          <w:rFonts w:hint="eastAsia" w:ascii="宋体" w:hAnsi="宋体" w:cs="宋体"/>
          <w:color w:val="000000" w:themeColor="text1"/>
          <w:sz w:val="24"/>
          <w:szCs w:val="24"/>
          <w:highlight w:val="none"/>
          <w:lang w:bidi="ar"/>
          <w14:textFill>
            <w14:solidFill>
              <w14:schemeClr w14:val="tx1"/>
            </w14:solidFill>
          </w14:textFill>
        </w:rPr>
        <w:t>按照投标人总得分由高至低排序；</w:t>
      </w:r>
    </w:p>
    <w:p>
      <w:pPr>
        <w:pBdr>
          <w:bottom w:val="single" w:color="auto" w:sz="6" w:space="1"/>
        </w:pBd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40.7</w:t>
      </w:r>
      <w:r>
        <w:rPr>
          <w:rFonts w:hint="eastAsia" w:ascii="宋体" w:hAnsi="宋体" w:cs="宋体"/>
          <w:color w:val="000000" w:themeColor="text1"/>
          <w:sz w:val="24"/>
          <w:szCs w:val="24"/>
          <w:highlight w:val="none"/>
          <w:u w:val="single"/>
          <w:lang w:bidi="ar"/>
          <w14:textFill>
            <w14:solidFill>
              <w14:schemeClr w14:val="tx1"/>
            </w14:solidFill>
          </w14:textFill>
        </w:rPr>
        <w:t>按照投标人总得分由高至低排序，依次进行</w:t>
      </w:r>
      <w:r>
        <w:rPr>
          <w:rFonts w:hint="eastAsia" w:ascii="宋体" w:hAnsi="宋体" w:cs="宋体"/>
          <w:color w:val="000000" w:themeColor="text1"/>
          <w:sz w:val="24"/>
          <w:szCs w:val="24"/>
          <w:highlight w:val="none"/>
          <w:lang w:bidi="ar"/>
          <w14:textFill>
            <w14:solidFill>
              <w14:schemeClr w14:val="tx1"/>
            </w14:solidFill>
          </w14:textFill>
        </w:rPr>
        <w:t>经济标投标文件有效性审查；</w:t>
      </w:r>
    </w:p>
    <w:p>
      <w:pPr>
        <w:pBdr>
          <w:bottom w:val="single" w:color="auto" w:sz="6" w:space="1"/>
        </w:pBdr>
        <w:spacing w:line="360" w:lineRule="auto"/>
        <w:ind w:firstLine="480" w:firstLineChars="200"/>
        <w:rPr>
          <w:rFonts w:ascii="Times New Roman" w:hAnsi="Times New Roman"/>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40.8评标委员会按</w:t>
      </w:r>
      <w:r>
        <w:rPr>
          <w:rFonts w:hint="eastAsia" w:ascii="宋体" w:hAnsi="宋体" w:cs="宋体"/>
          <w:color w:val="000000" w:themeColor="text1"/>
          <w:sz w:val="24"/>
          <w:szCs w:val="24"/>
          <w:highlight w:val="none"/>
          <w:u w:val="single"/>
          <w:lang w:bidi="ar"/>
          <w14:textFill>
            <w14:solidFill>
              <w14:schemeClr w14:val="tx1"/>
            </w14:solidFill>
          </w14:textFill>
        </w:rPr>
        <w:t>总得分</w:t>
      </w:r>
      <w:r>
        <w:rPr>
          <w:rFonts w:hint="eastAsia" w:ascii="宋体" w:hAnsi="宋体" w:cs="宋体"/>
          <w:color w:val="000000" w:themeColor="text1"/>
          <w:sz w:val="24"/>
          <w:szCs w:val="24"/>
          <w:highlight w:val="none"/>
          <w:lang w:bidi="ar"/>
          <w14:textFill>
            <w14:solidFill>
              <w14:schemeClr w14:val="tx1"/>
            </w14:solidFill>
          </w14:textFill>
        </w:rPr>
        <w:t>排序，向招标人推荐</w:t>
      </w:r>
      <w:r>
        <w:rPr>
          <w:rFonts w:hint="eastAsia" w:ascii="宋体" w:hAnsi="宋体" w:cs="宋体"/>
          <w:color w:val="000000" w:themeColor="text1"/>
          <w:sz w:val="24"/>
          <w:szCs w:val="24"/>
          <w:highlight w:val="none"/>
          <w:u w:val="single"/>
          <w:lang w:bidi="ar"/>
          <w14:textFill>
            <w14:solidFill>
              <w14:schemeClr w14:val="tx1"/>
            </w14:solidFill>
          </w14:textFill>
        </w:rPr>
        <w:t>通过经济标有效性审查的</w:t>
      </w:r>
      <w:r>
        <w:rPr>
          <w:rFonts w:hint="eastAsia" w:ascii="宋体" w:hAnsi="宋体" w:cs="宋体"/>
          <w:color w:val="000000" w:themeColor="text1"/>
          <w:sz w:val="24"/>
          <w:szCs w:val="24"/>
          <w:highlight w:val="none"/>
          <w:lang w:bidi="ar"/>
          <w14:textFill>
            <w14:solidFill>
              <w14:schemeClr w14:val="tx1"/>
            </w14:solidFill>
          </w14:textFill>
        </w:rPr>
        <w:t>中标候选人，并递交资格审查报告及评标报告</w:t>
      </w:r>
      <w:r>
        <w:rPr>
          <w:rFonts w:hint="eastAsia" w:ascii="宋体" w:hAnsi="宋体"/>
          <w:color w:val="000000" w:themeColor="text1"/>
          <w:sz w:val="24"/>
          <w:szCs w:val="24"/>
          <w:highlight w:val="none"/>
          <w14:textFill>
            <w14:solidFill>
              <w14:schemeClr w14:val="tx1"/>
            </w14:solidFill>
          </w14:textFill>
        </w:rPr>
        <w:t>。</w:t>
      </w:r>
    </w:p>
    <w:p>
      <w:pP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w:t>
      </w:r>
      <w:r>
        <w:rPr>
          <w:rFonts w:hint="eastAsia" w:ascii="宋体" w:hAnsi="宋体"/>
          <w:color w:val="000000" w:themeColor="text1"/>
          <w:sz w:val="24"/>
          <w:szCs w:val="24"/>
          <w:highlight w:val="none"/>
          <w14:textFill>
            <w14:solidFill>
              <w14:schemeClr w14:val="tx1"/>
            </w14:solidFill>
          </w14:textFill>
        </w:rPr>
        <w:t>41.1</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snapToGrid w:val="0"/>
        <w:spacing w:line="360" w:lineRule="auto"/>
        <w:ind w:firstLine="525" w:firstLineChars="218"/>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bCs/>
          <w:color w:val="000000" w:themeColor="text1"/>
          <w:sz w:val="24"/>
          <w:szCs w:val="24"/>
          <w:highlight w:val="none"/>
          <w14:textFill>
            <w14:solidFill>
              <w14:schemeClr w14:val="tx1"/>
            </w14:solidFill>
          </w14:textFill>
        </w:rPr>
        <w:t>41.1开</w:t>
      </w:r>
      <w:r>
        <w:rPr>
          <w:rFonts w:hint="eastAsia" w:ascii="宋体" w:hAnsi="宋体"/>
          <w:color w:val="000000" w:themeColor="text1"/>
          <w:sz w:val="24"/>
          <w:szCs w:val="24"/>
          <w:highlight w:val="none"/>
          <w14:textFill>
            <w14:solidFill>
              <w14:schemeClr w14:val="tx1"/>
            </w14:solidFill>
          </w14:textFill>
        </w:rPr>
        <w:t>标由招标人主持；</w:t>
      </w:r>
    </w:p>
    <w:p>
      <w:pPr>
        <w:pBdr>
          <w:bottom w:val="single" w:color="auto" w:sz="6" w:space="1"/>
        </w:pBd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41.1</w:t>
      </w:r>
      <w:r>
        <w:rPr>
          <w:rFonts w:hint="eastAsia" w:ascii="宋体" w:hAnsi="宋体"/>
          <w:color w:val="000000" w:themeColor="text1"/>
          <w:sz w:val="24"/>
          <w:szCs w:val="24"/>
          <w:highlight w:val="none"/>
          <w:u w:val="single"/>
          <w14:textFill>
            <w14:solidFill>
              <w14:schemeClr w14:val="tx1"/>
            </w14:solidFill>
          </w14:textFill>
        </w:rPr>
        <w:t>开标由招标人或招标代理主持；</w:t>
      </w:r>
    </w:p>
    <w:p>
      <w:pP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w:t>
      </w:r>
      <w:r>
        <w:rPr>
          <w:rFonts w:hint="eastAsia" w:ascii="宋体" w:hAnsi="宋体"/>
          <w:color w:val="000000" w:themeColor="text1"/>
          <w:sz w:val="24"/>
          <w:szCs w:val="24"/>
          <w:highlight w:val="none"/>
          <w14:textFill>
            <w14:solidFill>
              <w14:schemeClr w14:val="tx1"/>
            </w14:solidFill>
          </w14:textFill>
        </w:rPr>
        <w:t>41.2.1</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pBdr>
          <w:bottom w:val="single" w:color="auto" w:sz="6" w:space="1"/>
        </w:pBdr>
        <w:spacing w:line="480" w:lineRule="auto"/>
        <w:ind w:firstLine="540" w:firstLineChars="224"/>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bCs/>
          <w:color w:val="000000" w:themeColor="text1"/>
          <w:sz w:val="24"/>
          <w:szCs w:val="24"/>
          <w:highlight w:val="none"/>
          <w14:textFill>
            <w14:solidFill>
              <w14:schemeClr w14:val="tx1"/>
            </w14:solidFill>
          </w14:textFill>
        </w:rPr>
        <w:t>41.2.1</w:t>
      </w:r>
      <w:r>
        <w:rPr>
          <w:rFonts w:hint="eastAsia" w:ascii="宋体" w:hAnsi="宋体"/>
          <w:color w:val="000000" w:themeColor="text1"/>
          <w:sz w:val="24"/>
          <w:szCs w:val="24"/>
          <w:highlight w:val="none"/>
          <w14:textFill>
            <w14:solidFill>
              <w14:schemeClr w14:val="tx1"/>
            </w14:solidFill>
          </w14:textFill>
        </w:rPr>
        <w:t>投标截止期前，各投标人递交投标文件（包括技术标投标文件、经济标投标文件）至</w:t>
      </w:r>
      <w:r>
        <w:rPr>
          <w:rFonts w:ascii="宋体" w:hAnsi="宋体"/>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交易平台。有关投标文件提交的事项详见第一章投标须知。</w:t>
      </w:r>
    </w:p>
    <w:p>
      <w:pPr>
        <w:pBdr>
          <w:bottom w:val="single" w:color="auto" w:sz="6" w:space="1"/>
        </w:pBdr>
        <w:spacing w:line="360" w:lineRule="auto"/>
        <w:ind w:firstLine="602" w:firstLineChars="250"/>
        <w:rPr>
          <w:rFonts w:ascii="宋体" w:hAnsi="宋体"/>
          <w:color w:val="000000" w:themeColor="text1"/>
          <w:sz w:val="24"/>
          <w:szCs w:val="24"/>
          <w:highlight w:val="none"/>
          <w14:textFill>
            <w14:solidFill>
              <w14:schemeClr w14:val="tx1"/>
            </w14:solidFill>
          </w14:textFill>
        </w:rPr>
      </w:pPr>
      <w:r>
        <w:rPr>
          <w:rFonts w:ascii="宋体" w:hAnsi="宋体"/>
          <w:b/>
          <w:color w:val="000000" w:themeColor="text1"/>
          <w:sz w:val="24"/>
          <w:szCs w:val="24"/>
          <w:highlight w:val="none"/>
          <w14:textFill>
            <w14:solidFill>
              <w14:schemeClr w14:val="tx1"/>
            </w14:solidFill>
          </w14:textFill>
        </w:rPr>
        <w:t>现文</w:t>
      </w:r>
      <w:r>
        <w:rPr>
          <w:rFonts w:hint="eastAsia" w:ascii="宋体" w:hAnsi="宋体"/>
          <w:b/>
          <w:color w:val="000000" w:themeColor="text1"/>
          <w:sz w:val="24"/>
          <w:szCs w:val="24"/>
          <w:highlight w:val="none"/>
          <w14:textFill>
            <w14:solidFill>
              <w14:schemeClr w14:val="tx1"/>
            </w14:solidFill>
          </w14:textFill>
        </w:rPr>
        <w:t>：</w:t>
      </w:r>
      <w:r>
        <w:rPr>
          <w:rFonts w:hint="eastAsia" w:ascii="宋体" w:hAnsi="宋体"/>
          <w:bCs/>
          <w:color w:val="000000" w:themeColor="text1"/>
          <w:sz w:val="24"/>
          <w:szCs w:val="24"/>
          <w:highlight w:val="none"/>
          <w14:textFill>
            <w14:solidFill>
              <w14:schemeClr w14:val="tx1"/>
            </w14:solidFill>
          </w14:textFill>
        </w:rPr>
        <w:t>41.2.1</w:t>
      </w:r>
      <w:r>
        <w:rPr>
          <w:rFonts w:hint="eastAsia" w:ascii="宋体" w:hAnsi="宋体"/>
          <w:color w:val="000000" w:themeColor="text1"/>
          <w:sz w:val="24"/>
          <w:szCs w:val="24"/>
          <w:highlight w:val="none"/>
          <w14:textFill>
            <w14:solidFill>
              <w14:schemeClr w14:val="tx1"/>
            </w14:solidFill>
          </w14:textFill>
        </w:rPr>
        <w:t>投标截止期前，各投标人递交投标文件（包括技术标投标文件（含资格审查文件）、经济标投标文件）至</w:t>
      </w:r>
      <w:r>
        <w:rPr>
          <w:rFonts w:hint="eastAsia" w:ascii="宋体" w:hAnsi="宋体"/>
          <w:color w:val="000000" w:themeColor="text1"/>
          <w:sz w:val="24"/>
          <w:szCs w:val="24"/>
          <w:highlight w:val="none"/>
          <w:u w:val="single"/>
          <w14:textFill>
            <w14:solidFill>
              <w14:schemeClr w14:val="tx1"/>
            </w14:solidFill>
          </w14:textFill>
        </w:rPr>
        <w:t>广州</w:t>
      </w:r>
      <w:r>
        <w:rPr>
          <w:rFonts w:ascii="宋体" w:hAnsi="宋体"/>
          <w:color w:val="000000" w:themeColor="text1"/>
          <w:sz w:val="24"/>
          <w:szCs w:val="24"/>
          <w:highlight w:val="none"/>
          <w:u w:val="single"/>
          <w14:textFill>
            <w14:solidFill>
              <w14:schemeClr w14:val="tx1"/>
            </w14:solidFill>
          </w14:textFill>
        </w:rPr>
        <w:t>公共资源交易中心</w:t>
      </w:r>
      <w:r>
        <w:rPr>
          <w:rFonts w:hint="eastAsia" w:ascii="宋体" w:hAnsi="宋体"/>
          <w:color w:val="000000" w:themeColor="text1"/>
          <w:sz w:val="24"/>
          <w:szCs w:val="24"/>
          <w:highlight w:val="none"/>
          <w14:textFill>
            <w14:solidFill>
              <w14:schemeClr w14:val="tx1"/>
            </w14:solidFill>
          </w14:textFill>
        </w:rPr>
        <w:t>交易平台。有关投标文件提交的事项详见第一章投标须知。</w:t>
      </w:r>
    </w:p>
    <w:p>
      <w:pPr>
        <w:pBdr>
          <w:bottom w:val="single" w:color="auto" w:sz="4" w:space="1"/>
        </w:pBdr>
        <w:spacing w:line="48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 xml:space="preserve">条款号： </w:t>
      </w:r>
      <w:r>
        <w:rPr>
          <w:rFonts w:hint="eastAsia" w:ascii="宋体" w:hAnsi="宋体" w:cs="宋体"/>
          <w:color w:val="000000" w:themeColor="text1"/>
          <w:sz w:val="24"/>
          <w:szCs w:val="24"/>
          <w:highlight w:val="none"/>
          <w:lang w:bidi="ar"/>
          <w14:textFill>
            <w14:solidFill>
              <w14:schemeClr w14:val="tx1"/>
            </w14:solidFill>
          </w14:textFill>
        </w:rPr>
        <w:t>41.2.2</w:t>
      </w:r>
      <w:r>
        <w:rPr>
          <w:rFonts w:hint="eastAsia" w:ascii="宋体" w:hAnsi="宋体" w:cs="宋体"/>
          <w:b/>
          <w:color w:val="000000" w:themeColor="text1"/>
          <w:sz w:val="24"/>
          <w:szCs w:val="24"/>
          <w:highlight w:val="none"/>
          <w:lang w:bidi="ar"/>
          <w14:textFill>
            <w14:solidFill>
              <w14:schemeClr w14:val="tx1"/>
            </w14:solidFill>
          </w14:textFill>
        </w:rPr>
        <w:t xml:space="preserve">           修改类型：删除</w:t>
      </w:r>
    </w:p>
    <w:p>
      <w:pPr>
        <w:pBdr>
          <w:bottom w:val="single" w:color="auto" w:sz="4" w:space="1"/>
        </w:pBdr>
        <w:spacing w:line="360" w:lineRule="auto"/>
        <w:ind w:firstLine="540" w:firstLineChars="224"/>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41.2.2开标前，首先由招标人随机抽取确定该工程计算评标参考价的等分点值X。</w:t>
      </w:r>
    </w:p>
    <w:p>
      <w:pPr>
        <w:pBdr>
          <w:bottom w:val="none" w:color="auto" w:sz="0" w:space="1"/>
        </w:pBdr>
        <w:spacing w:line="360" w:lineRule="auto"/>
        <w:ind w:firstLine="540" w:firstLineChars="224"/>
        <w:rPr>
          <w:rFonts w:ascii="宋体" w:hAnsi="宋体" w:cs="宋体"/>
          <w:b/>
          <w:color w:val="000000" w:themeColor="text1"/>
          <w:sz w:val="24"/>
          <w:szCs w:val="24"/>
          <w:highlight w:val="none"/>
          <w:lang w:bidi="ar"/>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 41.2.4</w:t>
      </w:r>
      <w:r>
        <w:rPr>
          <w:rFonts w:ascii="宋体" w:hAnsi="宋体" w:cs="宋体"/>
          <w:b/>
          <w:color w:val="000000" w:themeColor="text1"/>
          <w:sz w:val="24"/>
          <w:szCs w:val="24"/>
          <w:highlight w:val="none"/>
          <w:lang w:bidi="ar"/>
          <w14:textFill>
            <w14:solidFill>
              <w14:schemeClr w14:val="tx1"/>
            </w14:solidFill>
          </w14:textFill>
        </w:rPr>
        <w:t>.1</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pBdr>
          <w:bottom w:val="none" w:color="auto" w:sz="0" w:space="1"/>
        </w:pBdr>
        <w:spacing w:line="360" w:lineRule="auto"/>
        <w:ind w:firstLine="540" w:firstLineChars="224"/>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开标时，公布：a、投标人名称；b、投标文件密封情况；c、投标报价；d、投标保证金；e、项目经理（负责人）名称；f、法定代表人证明及授权委托等主要内容及开标记录表中的其他必要内容。投标报价以数字和文字两种方式表述的，应公布文字表述的投标报价。</w:t>
      </w:r>
    </w:p>
    <w:p>
      <w:pPr>
        <w:pBdr>
          <w:bottom w:val="single" w:color="auto" w:sz="6" w:space="1"/>
        </w:pBdr>
        <w:spacing w:line="360" w:lineRule="auto"/>
        <w:ind w:firstLine="540" w:firstLineChars="224"/>
        <w:rPr>
          <w:rFonts w:ascii="宋体" w:hAnsi="宋体" w:cs="宋体"/>
          <w:color w:val="000000" w:themeColor="text1"/>
          <w:sz w:val="24"/>
          <w:szCs w:val="24"/>
          <w:highlight w:val="none"/>
          <w:lang w:bidi="ar"/>
          <w14:textFill>
            <w14:solidFill>
              <w14:schemeClr w14:val="tx1"/>
            </w14:solidFill>
          </w14:textFill>
        </w:rPr>
      </w:pPr>
      <w:r>
        <w:rPr>
          <w:rFonts w:ascii="宋体" w:hAnsi="宋体" w:cs="宋体"/>
          <w:b/>
          <w:bCs/>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开标时，公布：a、投标人名称；b、投标文件密封情况；c、投标报价；</w:t>
      </w:r>
      <w:r>
        <w:rPr>
          <w:rFonts w:hint="eastAsia" w:ascii="宋体" w:hAnsi="宋体" w:cs="宋体"/>
          <w:bCs/>
          <w:color w:val="000000" w:themeColor="text1"/>
          <w:sz w:val="24"/>
          <w:szCs w:val="24"/>
          <w:highlight w:val="none"/>
          <w:u w:val="single"/>
          <w:lang w:bidi="ar"/>
          <w14:textFill>
            <w14:solidFill>
              <w14:schemeClr w14:val="tx1"/>
            </w14:solidFill>
          </w14:textFill>
        </w:rPr>
        <w:t>d、</w:t>
      </w:r>
      <w:r>
        <w:rPr>
          <w:rFonts w:hint="eastAsia" w:ascii="宋体" w:hAnsi="宋体" w:cs="宋体"/>
          <w:bCs/>
          <w:color w:val="000000" w:themeColor="text1"/>
          <w:sz w:val="24"/>
          <w:szCs w:val="24"/>
          <w:highlight w:val="none"/>
          <w:lang w:bidi="ar"/>
          <w14:textFill>
            <w14:solidFill>
              <w14:schemeClr w14:val="tx1"/>
            </w14:solidFill>
          </w14:textFill>
        </w:rPr>
        <w:t>项目经理（负责人）名称；</w:t>
      </w:r>
      <w:r>
        <w:rPr>
          <w:rFonts w:hint="eastAsia" w:ascii="宋体" w:hAnsi="宋体" w:cs="宋体"/>
          <w:bCs/>
          <w:color w:val="000000" w:themeColor="text1"/>
          <w:sz w:val="24"/>
          <w:szCs w:val="24"/>
          <w:highlight w:val="none"/>
          <w:u w:val="single"/>
          <w:lang w:bidi="ar"/>
          <w14:textFill>
            <w14:solidFill>
              <w14:schemeClr w14:val="tx1"/>
            </w14:solidFill>
          </w14:textFill>
        </w:rPr>
        <w:t>e、</w:t>
      </w:r>
      <w:r>
        <w:rPr>
          <w:rFonts w:hint="eastAsia" w:ascii="宋体" w:hAnsi="宋体" w:cs="宋体"/>
          <w:bCs/>
          <w:color w:val="000000" w:themeColor="text1"/>
          <w:sz w:val="24"/>
          <w:szCs w:val="24"/>
          <w:highlight w:val="none"/>
          <w:lang w:bidi="ar"/>
          <w14:textFill>
            <w14:solidFill>
              <w14:schemeClr w14:val="tx1"/>
            </w14:solidFill>
          </w14:textFill>
        </w:rPr>
        <w:t>法定代表人证明及授权委托等主要内容及开标记录</w:t>
      </w:r>
      <w:r>
        <w:rPr>
          <w:rFonts w:hint="eastAsia" w:ascii="宋体" w:hAnsi="宋体" w:cs="宋体"/>
          <w:color w:val="000000" w:themeColor="text1"/>
          <w:sz w:val="24"/>
          <w:szCs w:val="24"/>
          <w:highlight w:val="none"/>
          <w:lang w:bidi="ar"/>
          <w14:textFill>
            <w14:solidFill>
              <w14:schemeClr w14:val="tx1"/>
            </w14:solidFill>
          </w14:textFill>
        </w:rPr>
        <w:t>表中的其他必要内容。投标报价以数字和文字两种方式表述的，应公布文字表述的投标报价。</w:t>
      </w:r>
    </w:p>
    <w:p>
      <w:pPr>
        <w:spacing w:line="360" w:lineRule="auto"/>
        <w:ind w:firstLine="484" w:firstLineChars="201"/>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条款号：41.3</w:t>
      </w:r>
      <w:r>
        <w:rPr>
          <w:rFonts w:ascii="宋体" w:hAnsi="宋体" w:cs="宋体"/>
          <w:b/>
          <w:color w:val="000000" w:themeColor="text1"/>
          <w:sz w:val="24"/>
          <w:szCs w:val="24"/>
          <w:highlight w:val="none"/>
          <w14:textFill>
            <w14:solidFill>
              <w14:schemeClr w14:val="tx1"/>
            </w14:solidFill>
          </w14:textFill>
        </w:rPr>
        <w:t xml:space="preserve"> </w:t>
      </w:r>
      <w:r>
        <w:rPr>
          <w:rFonts w:hint="eastAsia" w:ascii="宋体" w:hAnsi="宋体" w:cs="宋体"/>
          <w:b/>
          <w:color w:val="000000" w:themeColor="text1"/>
          <w:sz w:val="24"/>
          <w:szCs w:val="24"/>
          <w:highlight w:val="none"/>
          <w14:textFill>
            <w14:solidFill>
              <w14:schemeClr w14:val="tx1"/>
            </w14:solidFill>
          </w14:textFill>
        </w:rPr>
        <w:t xml:space="preserve">                      修改类型：修改</w:t>
      </w:r>
    </w:p>
    <w:p>
      <w:pPr>
        <w:pBdr>
          <w:bottom w:val="single" w:color="auto" w:sz="6" w:space="1"/>
        </w:pBdr>
        <w:spacing w:line="360" w:lineRule="auto"/>
        <w:ind w:firstLine="484" w:firstLineChars="201"/>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原文：</w:t>
      </w:r>
      <w:r>
        <w:rPr>
          <w:rFonts w:hint="eastAsia" w:ascii="宋体" w:hAnsi="宋体" w:cs="宋体"/>
          <w:bCs/>
          <w:color w:val="000000" w:themeColor="text1"/>
          <w:sz w:val="24"/>
          <w:szCs w:val="24"/>
          <w:highlight w:val="none"/>
          <w14:textFill>
            <w14:solidFill>
              <w14:schemeClr w14:val="tx1"/>
            </w14:solidFill>
          </w14:textFill>
        </w:rPr>
        <w:t>41.3</w:t>
      </w:r>
      <w:r>
        <w:rPr>
          <w:rFonts w:hint="eastAsia" w:ascii="宋体" w:hAnsi="宋体" w:cs="宋体"/>
          <w:color w:val="000000" w:themeColor="text1"/>
          <w:sz w:val="24"/>
          <w:szCs w:val="24"/>
          <w:highlight w:val="none"/>
          <w14:textFill>
            <w14:solidFill>
              <w14:schemeClr w14:val="tx1"/>
            </w14:solidFill>
          </w14:textFill>
        </w:rPr>
        <w:t>招标人对开标过程进行记录，并存档备查，投标人在技术标开标记录上签字。</w:t>
      </w:r>
    </w:p>
    <w:p>
      <w:pPr>
        <w:pBdr>
          <w:bottom w:val="single" w:color="auto" w:sz="6" w:space="1"/>
        </w:pBdr>
        <w:spacing w:line="360" w:lineRule="auto"/>
        <w:ind w:firstLine="484" w:firstLineChars="201"/>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现文：</w:t>
      </w:r>
      <w:r>
        <w:rPr>
          <w:rFonts w:hint="eastAsia" w:ascii="宋体" w:hAnsi="宋体" w:cs="宋体"/>
          <w:bCs/>
          <w:color w:val="000000" w:themeColor="text1"/>
          <w:sz w:val="24"/>
          <w:szCs w:val="24"/>
          <w:highlight w:val="none"/>
          <w14:textFill>
            <w14:solidFill>
              <w14:schemeClr w14:val="tx1"/>
            </w14:solidFill>
          </w14:textFill>
        </w:rPr>
        <w:t>41.3</w:t>
      </w:r>
      <w:r>
        <w:rPr>
          <w:rFonts w:hint="eastAsia" w:ascii="宋体" w:hAnsi="宋体" w:cs="宋体"/>
          <w:color w:val="000000" w:themeColor="text1"/>
          <w:sz w:val="24"/>
          <w:szCs w:val="24"/>
          <w:highlight w:val="none"/>
          <w14:textFill>
            <w14:solidFill>
              <w14:schemeClr w14:val="tx1"/>
            </w14:solidFill>
          </w14:textFill>
        </w:rPr>
        <w:t>招标人</w:t>
      </w:r>
      <w:r>
        <w:rPr>
          <w:rFonts w:hint="eastAsia" w:ascii="宋体" w:hAnsi="宋体" w:cs="宋体"/>
          <w:color w:val="000000" w:themeColor="text1"/>
          <w:sz w:val="24"/>
          <w:szCs w:val="24"/>
          <w:highlight w:val="none"/>
          <w:u w:val="single"/>
          <w14:textFill>
            <w14:solidFill>
              <w14:schemeClr w14:val="tx1"/>
            </w14:solidFill>
          </w14:textFill>
        </w:rPr>
        <w:t>或招标代理机构</w:t>
      </w:r>
      <w:r>
        <w:rPr>
          <w:rFonts w:hint="eastAsia" w:ascii="宋体" w:hAnsi="宋体" w:cs="宋体"/>
          <w:color w:val="000000" w:themeColor="text1"/>
          <w:sz w:val="24"/>
          <w:szCs w:val="24"/>
          <w:highlight w:val="none"/>
          <w14:textFill>
            <w14:solidFill>
              <w14:schemeClr w14:val="tx1"/>
            </w14:solidFill>
          </w14:textFill>
        </w:rPr>
        <w:t>对开标过程进行记录，并存档备查，</w:t>
      </w:r>
      <w:r>
        <w:rPr>
          <w:rFonts w:hint="eastAsia" w:ascii="宋体" w:hAnsi="宋体" w:cs="宋体"/>
          <w:color w:val="000000" w:themeColor="text1"/>
          <w:sz w:val="24"/>
          <w:szCs w:val="24"/>
          <w:highlight w:val="none"/>
          <w:u w:val="single"/>
          <w14:textFill>
            <w14:solidFill>
              <w14:schemeClr w14:val="tx1"/>
            </w14:solidFill>
          </w14:textFill>
        </w:rPr>
        <w:t>参加开标会的</w:t>
      </w:r>
      <w:r>
        <w:rPr>
          <w:rFonts w:hint="eastAsia" w:ascii="宋体" w:hAnsi="宋体" w:cs="宋体"/>
          <w:color w:val="000000" w:themeColor="text1"/>
          <w:sz w:val="24"/>
          <w:szCs w:val="24"/>
          <w:highlight w:val="none"/>
          <w14:textFill>
            <w14:solidFill>
              <w14:schemeClr w14:val="tx1"/>
            </w14:solidFill>
          </w14:textFill>
        </w:rPr>
        <w:t>投标人在开标记录上签字。</w:t>
      </w:r>
    </w:p>
    <w:p>
      <w:pPr>
        <w:spacing w:line="360" w:lineRule="auto"/>
        <w:ind w:firstLine="484" w:firstLineChars="201"/>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条款号：41.4</w:t>
      </w:r>
      <w:r>
        <w:rPr>
          <w:rFonts w:ascii="宋体" w:hAnsi="宋体" w:cs="宋体"/>
          <w:b/>
          <w:color w:val="000000" w:themeColor="text1"/>
          <w:sz w:val="24"/>
          <w:szCs w:val="24"/>
          <w:highlight w:val="none"/>
          <w14:textFill>
            <w14:solidFill>
              <w14:schemeClr w14:val="tx1"/>
            </w14:solidFill>
          </w14:textFill>
        </w:rPr>
        <w:t xml:space="preserve"> </w:t>
      </w:r>
      <w:r>
        <w:rPr>
          <w:rFonts w:hint="eastAsia" w:ascii="宋体" w:hAnsi="宋体" w:cs="宋体"/>
          <w:b/>
          <w:color w:val="000000" w:themeColor="text1"/>
          <w:sz w:val="24"/>
          <w:szCs w:val="24"/>
          <w:highlight w:val="none"/>
          <w14:textFill>
            <w14:solidFill>
              <w14:schemeClr w14:val="tx1"/>
            </w14:solidFill>
          </w14:textFill>
        </w:rPr>
        <w:t xml:space="preserve">                      修改类型：修改</w:t>
      </w:r>
    </w:p>
    <w:p>
      <w:pPr>
        <w:pBdr>
          <w:bottom w:val="single" w:color="auto" w:sz="6" w:space="1"/>
        </w:pBdr>
        <w:spacing w:line="360" w:lineRule="auto"/>
        <w:ind w:firstLine="484" w:firstLineChars="201"/>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原文：</w:t>
      </w:r>
      <w:r>
        <w:rPr>
          <w:rFonts w:hint="eastAsia" w:ascii="宋体" w:hAnsi="宋体" w:cs="宋体"/>
          <w:bCs/>
          <w:color w:val="000000" w:themeColor="text1"/>
          <w:sz w:val="24"/>
          <w:szCs w:val="24"/>
          <w:highlight w:val="none"/>
          <w14:textFill>
            <w14:solidFill>
              <w14:schemeClr w14:val="tx1"/>
            </w14:solidFill>
          </w14:textFill>
        </w:rPr>
        <w:t>41.4招标人将上述符合要求的投标文件，送至评标委员会进行评审</w:t>
      </w:r>
      <w:r>
        <w:rPr>
          <w:rFonts w:hint="eastAsia" w:ascii="宋体" w:hAnsi="宋体" w:cs="宋体"/>
          <w:color w:val="000000" w:themeColor="text1"/>
          <w:sz w:val="24"/>
          <w:szCs w:val="24"/>
          <w:highlight w:val="none"/>
          <w14:textFill>
            <w14:solidFill>
              <w14:schemeClr w14:val="tx1"/>
            </w14:solidFill>
          </w14:textFill>
        </w:rPr>
        <w:t>。</w:t>
      </w:r>
    </w:p>
    <w:p>
      <w:pPr>
        <w:pBdr>
          <w:bottom w:val="single" w:color="auto" w:sz="6" w:space="1"/>
        </w:pBdr>
        <w:spacing w:line="360" w:lineRule="auto"/>
        <w:ind w:firstLine="484" w:firstLineChars="201"/>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现文：</w:t>
      </w:r>
      <w:r>
        <w:rPr>
          <w:rFonts w:hint="eastAsia" w:ascii="宋体" w:hAnsi="宋体" w:cs="宋体"/>
          <w:bCs/>
          <w:color w:val="000000" w:themeColor="text1"/>
          <w:sz w:val="24"/>
          <w:szCs w:val="24"/>
          <w:highlight w:val="none"/>
          <w14:textFill>
            <w14:solidFill>
              <w14:schemeClr w14:val="tx1"/>
            </w14:solidFill>
          </w14:textFill>
        </w:rPr>
        <w:t>41.4</w:t>
      </w:r>
      <w:r>
        <w:rPr>
          <w:rFonts w:hint="eastAsia" w:ascii="宋体" w:hAnsi="宋体" w:cs="宋体"/>
          <w:color w:val="000000" w:themeColor="text1"/>
          <w:sz w:val="24"/>
          <w:szCs w:val="24"/>
          <w:highlight w:val="none"/>
          <w14:textFill>
            <w14:solidFill>
              <w14:schemeClr w14:val="tx1"/>
            </w14:solidFill>
          </w14:textFill>
        </w:rPr>
        <w:t>招标人</w:t>
      </w:r>
      <w:r>
        <w:rPr>
          <w:rFonts w:hint="eastAsia" w:ascii="宋体" w:hAnsi="宋体" w:cs="宋体"/>
          <w:color w:val="000000" w:themeColor="text1"/>
          <w:sz w:val="24"/>
          <w:szCs w:val="24"/>
          <w:highlight w:val="none"/>
          <w:u w:val="single"/>
          <w14:textFill>
            <w14:solidFill>
              <w14:schemeClr w14:val="tx1"/>
            </w14:solidFill>
          </w14:textFill>
        </w:rPr>
        <w:t>或招标代理机构</w:t>
      </w:r>
      <w:r>
        <w:rPr>
          <w:rFonts w:hint="eastAsia" w:ascii="宋体" w:hAnsi="宋体" w:cs="宋体"/>
          <w:bCs/>
          <w:color w:val="000000" w:themeColor="text1"/>
          <w:sz w:val="24"/>
          <w:szCs w:val="24"/>
          <w:highlight w:val="none"/>
          <w14:textFill>
            <w14:solidFill>
              <w14:schemeClr w14:val="tx1"/>
            </w14:solidFill>
          </w14:textFill>
        </w:rPr>
        <w:t>将上述符合要求的投标文件，送至评标委员会进行评审</w:t>
      </w:r>
      <w:r>
        <w:rPr>
          <w:rFonts w:hint="eastAsia" w:ascii="宋体" w:hAnsi="宋体" w:cs="宋体"/>
          <w:color w:val="000000" w:themeColor="text1"/>
          <w:sz w:val="24"/>
          <w:szCs w:val="24"/>
          <w:highlight w:val="none"/>
          <w14:textFill>
            <w14:solidFill>
              <w14:schemeClr w14:val="tx1"/>
            </w14:solidFill>
          </w14:textFill>
        </w:rPr>
        <w:t>。</w:t>
      </w:r>
    </w:p>
    <w:p>
      <w:pPr>
        <w:spacing w:line="36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 xml:space="preserve">条款号： </w:t>
      </w:r>
      <w:r>
        <w:rPr>
          <w:rFonts w:hint="eastAsia" w:ascii="宋体" w:hAnsi="宋体" w:cs="宋体"/>
          <w:color w:val="000000" w:themeColor="text1"/>
          <w:sz w:val="24"/>
          <w:szCs w:val="24"/>
          <w:highlight w:val="none"/>
          <w:lang w:bidi="ar"/>
          <w14:textFill>
            <w14:solidFill>
              <w14:schemeClr w14:val="tx1"/>
            </w14:solidFill>
          </w14:textFill>
        </w:rPr>
        <w:t>42.2</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spacing w:line="360" w:lineRule="auto"/>
        <w:ind w:firstLine="482"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评标委员会的组成：方式  。</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方式一：评标委员会为综合评标委员会，负责资格审查及评标工作。</w:t>
      </w:r>
    </w:p>
    <w:p>
      <w:pPr>
        <w:spacing w:line="360" w:lineRule="auto"/>
        <w:ind w:firstLine="537"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方式二：评标委员会由技术评审组和经济评审组组成。其中：资格审查及技术评审由技术评标组负责，经济评审由经济评审组负责。</w:t>
      </w:r>
    </w:p>
    <w:p>
      <w:pPr>
        <w:pBdr>
          <w:bottom w:val="single" w:color="auto" w:sz="6" w:space="1"/>
        </w:pBdr>
        <w:spacing w:line="360" w:lineRule="auto"/>
        <w:ind w:firstLine="540" w:firstLineChars="224"/>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评标委员会的组成：方式</w:t>
      </w:r>
      <w:r>
        <w:rPr>
          <w:rFonts w:hint="eastAsia" w:ascii="宋体" w:hAnsi="宋体" w:cs="宋体"/>
          <w:color w:val="000000" w:themeColor="text1"/>
          <w:sz w:val="24"/>
          <w:szCs w:val="24"/>
          <w:highlight w:val="none"/>
          <w:u w:val="single"/>
          <w:lang w:bidi="ar"/>
          <w14:textFill>
            <w14:solidFill>
              <w14:schemeClr w14:val="tx1"/>
            </w14:solidFill>
          </w14:textFill>
        </w:rPr>
        <w:t>一</w:t>
      </w:r>
      <w:r>
        <w:rPr>
          <w:rFonts w:hint="eastAsia" w:ascii="宋体" w:hAnsi="宋体" w:cs="宋体"/>
          <w:color w:val="000000" w:themeColor="text1"/>
          <w:sz w:val="24"/>
          <w:szCs w:val="24"/>
          <w:highlight w:val="none"/>
          <w:lang w:bidi="ar"/>
          <w14:textFill>
            <w14:solidFill>
              <w14:schemeClr w14:val="tx1"/>
            </w14:solidFill>
          </w14:textFill>
        </w:rPr>
        <w:t>。</w:t>
      </w:r>
    </w:p>
    <w:p>
      <w:pPr>
        <w:pBdr>
          <w:bottom w:val="single" w:color="auto" w:sz="6" w:space="1"/>
        </w:pBdr>
        <w:spacing w:line="360" w:lineRule="auto"/>
        <w:ind w:firstLine="537" w:firstLineChars="224"/>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方式一：评标委员会为综合评标委员会，负责资格审查及评标工作。</w:t>
      </w:r>
    </w:p>
    <w:p>
      <w:pP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43</w:t>
      </w:r>
      <w:r>
        <w:rPr>
          <w:rFonts w:ascii="宋体" w:hAnsi="宋体"/>
          <w:color w:val="000000" w:themeColor="text1"/>
          <w:sz w:val="24"/>
          <w:szCs w:val="24"/>
          <w:highlight w:val="none"/>
          <w14:textFill>
            <w14:solidFill>
              <w14:schemeClr w14:val="tx1"/>
            </w14:solidFill>
          </w14:textFill>
        </w:rPr>
        <w:t>.6</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widowControl/>
        <w:spacing w:line="360" w:lineRule="auto"/>
        <w:ind w:firstLine="482" w:firstLineChars="200"/>
        <w:jc w:val="left"/>
        <w:rPr>
          <w:rFonts w:ascii="宋体" w:hAnsi="宋体" w:cs="宋体"/>
          <w:color w:val="000000" w:themeColor="text1"/>
          <w:kern w:val="0"/>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hint="eastAsia" w:ascii="宋体" w:hAnsi="宋体"/>
          <w:bCs/>
          <w:color w:val="000000" w:themeColor="text1"/>
          <w:sz w:val="24"/>
          <w:szCs w:val="24"/>
          <w:highlight w:val="none"/>
          <w14:textFill>
            <w14:solidFill>
              <w14:schemeClr w14:val="tx1"/>
            </w14:solidFill>
          </w14:textFill>
        </w:rPr>
        <w:t>43.6</w:t>
      </w:r>
      <w:r>
        <w:rPr>
          <w:rFonts w:hint="eastAsia" w:ascii="宋体"/>
          <w:color w:val="000000" w:themeColor="text1"/>
          <w:sz w:val="24"/>
          <w:szCs w:val="24"/>
          <w:highlight w:val="none"/>
          <w14:textFill>
            <w14:solidFill>
              <w14:schemeClr w14:val="tx1"/>
            </w14:solidFill>
          </w14:textFill>
        </w:rPr>
        <w:t>资格审查合格的投标人少于3名的（当N个标段同时招标且不允许兼中时，资格审查合格的投标人少于N+2名），则本项目招标失败。</w:t>
      </w:r>
    </w:p>
    <w:p>
      <w:pPr>
        <w:pBdr>
          <w:bottom w:val="single" w:color="auto" w:sz="6" w:space="1"/>
        </w:pBdr>
        <w:spacing w:line="360" w:lineRule="auto"/>
        <w:ind w:firstLine="482" w:firstLineChars="200"/>
        <w:rPr>
          <w:rFonts w:asci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hint="eastAsia" w:ascii="宋体" w:hAnsi="宋体"/>
          <w:bCs/>
          <w:color w:val="000000" w:themeColor="text1"/>
          <w:sz w:val="24"/>
          <w:szCs w:val="24"/>
          <w:highlight w:val="none"/>
          <w14:textFill>
            <w14:solidFill>
              <w14:schemeClr w14:val="tx1"/>
            </w14:solidFill>
          </w14:textFill>
        </w:rPr>
        <w:t>43.6</w:t>
      </w:r>
      <w:r>
        <w:rPr>
          <w:rFonts w:hint="eastAsia" w:ascii="宋体"/>
          <w:color w:val="000000" w:themeColor="text1"/>
          <w:sz w:val="24"/>
          <w:szCs w:val="24"/>
          <w:highlight w:val="none"/>
          <w14:textFill>
            <w14:solidFill>
              <w14:schemeClr w14:val="tx1"/>
            </w14:solidFill>
          </w14:textFill>
        </w:rPr>
        <w:t>资格审查合格的投标人少于</w:t>
      </w:r>
      <w:r>
        <w:rPr>
          <w:rFonts w:ascii="宋体"/>
          <w:color w:val="000000" w:themeColor="text1"/>
          <w:sz w:val="24"/>
          <w:szCs w:val="24"/>
          <w:highlight w:val="none"/>
          <w:u w:val="single"/>
          <w14:textFill>
            <w14:solidFill>
              <w14:schemeClr w14:val="tx1"/>
            </w14:solidFill>
          </w14:textFill>
        </w:rPr>
        <w:t>3</w:t>
      </w:r>
      <w:r>
        <w:rPr>
          <w:rFonts w:hint="eastAsia" w:ascii="宋体"/>
          <w:color w:val="000000" w:themeColor="text1"/>
          <w:sz w:val="24"/>
          <w:szCs w:val="24"/>
          <w:highlight w:val="none"/>
          <w14:textFill>
            <w14:solidFill>
              <w14:schemeClr w14:val="tx1"/>
            </w14:solidFill>
          </w14:textFill>
        </w:rPr>
        <w:t>名的，则本项目招标失败。</w:t>
      </w:r>
    </w:p>
    <w:p>
      <w:pPr>
        <w:spacing w:line="480" w:lineRule="auto"/>
        <w:ind w:firstLine="540" w:firstLineChars="224"/>
        <w:rPr>
          <w:rFonts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条款号：</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44</w:t>
      </w:r>
      <w:r>
        <w:rPr>
          <w:rFonts w:ascii="宋体" w:hAnsi="宋体"/>
          <w:color w:val="000000" w:themeColor="text1"/>
          <w:sz w:val="24"/>
          <w:szCs w:val="24"/>
          <w:highlight w:val="none"/>
          <w14:textFill>
            <w14:solidFill>
              <w14:schemeClr w14:val="tx1"/>
            </w14:solidFill>
          </w14:textFill>
        </w:rPr>
        <w:t>.1</w:t>
      </w:r>
      <w:r>
        <w:rPr>
          <w:rFonts w:ascii="宋体" w:hAnsi="宋体"/>
          <w:b/>
          <w:color w:val="000000" w:themeColor="text1"/>
          <w:sz w:val="24"/>
          <w:szCs w:val="24"/>
          <w:highlight w:val="none"/>
          <w14:textFill>
            <w14:solidFill>
              <w14:schemeClr w14:val="tx1"/>
            </w14:solidFill>
          </w14:textFill>
        </w:rPr>
        <w:t xml:space="preserve">            </w:t>
      </w:r>
      <w:r>
        <w:rPr>
          <w:rFonts w:hint="eastAsia" w:ascii="宋体" w:hAnsi="宋体"/>
          <w:b/>
          <w:color w:val="000000" w:themeColor="text1"/>
          <w:sz w:val="24"/>
          <w:szCs w:val="24"/>
          <w:highlight w:val="none"/>
          <w14:textFill>
            <w14:solidFill>
              <w14:schemeClr w14:val="tx1"/>
            </w14:solidFill>
          </w14:textFill>
        </w:rPr>
        <w:t>修改类型：修改</w:t>
      </w:r>
    </w:p>
    <w:p>
      <w:pPr>
        <w:spacing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原文：</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4.1技术标的有效性审查：投标文件中没有任一种列于本办法附表二《技术标有效性审查表》中情形的，为有效投标文件。否则其投标文件将被否决。被否决的投标人不参与下一阶段评审，不参与评标参考价的计算。如评标委员会成员的评审意见不一致时，以评标委员会过半数成员的意见作为评标委员会对该情形的认定结论。若通过技术标有效性审查的投标人不足三家，则重新招标。（当N个标段同时招标且不允许兼中时，若通过技术标有效性审查投标人不足N+2家，则重新招标）。评委发现投标文件中含义不明确、对同类问题表述不一致、有明显文字和计算错误的，应当要求投标人作必要的澄清、说明后再判定投标人是否通过有效性审查，不得直接否决投标。</w:t>
      </w:r>
    </w:p>
    <w:p>
      <w:pPr>
        <w:pBdr>
          <w:bottom w:val="single" w:color="auto" w:sz="6" w:space="1"/>
        </w:pBdr>
        <w:spacing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现文：</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4.1技术标的有效性审查：投标文件中没有任一种列于本办法附表二《技术标有效性审查表》中情形的，为有效投标文件。否则其投标文件将被否决。被否决的投标人不参与下一阶段评审，不参与评标参考价的计算。如评标委员会成员的评审意见不一致时，以评标委员会过半数成员的意见作为评标委员会对该情形的认定结论。若通过技术标有效性审查的投标人不足三家，则重新招标。评委发现投标文件中含义不明确、对同类问题表述不一致、有明显文字和计算错误的，应当要求投标人作必要的澄清、说明后再判定投标人是否通过有效性审查，不得直接否决投标。</w:t>
      </w:r>
    </w:p>
    <w:p>
      <w:pPr>
        <w:spacing w:line="360" w:lineRule="auto"/>
        <w:ind w:firstLine="472" w:firstLineChars="224"/>
        <w:rPr>
          <w:rFonts w:asci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条款号：</w:t>
      </w:r>
      <w:r>
        <w:rPr>
          <w:rFonts w:ascii="Times New Roman" w:hAnsi="Times New Roman"/>
          <w:b/>
          <w:color w:val="000000" w:themeColor="text1"/>
          <w:szCs w:val="21"/>
          <w:highlight w:val="none"/>
          <w14:textFill>
            <w14:solidFill>
              <w14:schemeClr w14:val="tx1"/>
            </w14:solidFill>
          </w14:textFill>
        </w:rPr>
        <w:t xml:space="preserve">44.2  </w:t>
      </w:r>
      <w:r>
        <w:rPr>
          <w:rFonts w:ascii="宋体" w:hAnsi="宋体" w:cs="宋体"/>
          <w:b/>
          <w:color w:val="000000" w:themeColor="text1"/>
          <w:szCs w:val="21"/>
          <w:highlight w:val="none"/>
          <w14:textFill>
            <w14:solidFill>
              <w14:schemeClr w14:val="tx1"/>
            </w14:solidFill>
          </w14:textFill>
        </w:rPr>
        <w:t xml:space="preserve">                </w:t>
      </w:r>
      <w:r>
        <w:rPr>
          <w:rFonts w:hint="eastAsia" w:ascii="宋体" w:hAnsi="宋体" w:cs="宋体"/>
          <w:b/>
          <w:color w:val="000000" w:themeColor="text1"/>
          <w:szCs w:val="21"/>
          <w:highlight w:val="none"/>
          <w14:textFill>
            <w14:solidFill>
              <w14:schemeClr w14:val="tx1"/>
            </w14:solidFill>
          </w14:textFill>
        </w:rPr>
        <w:t>修改类型：修改</w:t>
      </w:r>
    </w:p>
    <w:p>
      <w:pPr>
        <w:spacing w:line="360" w:lineRule="auto"/>
        <w:ind w:firstLine="422" w:firstLineChars="200"/>
        <w:rPr>
          <w:rFonts w:ascii="宋体" w:cs="宋体"/>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44.2技术标详细审查评分：评标委员会按照附表四《技术标详细审查评分表》的标准，对通过技术标有效性审查的投标文件技术标进行详细审查，评出技术分，得分四舍五入精确到小数点后两位。</w:t>
      </w:r>
    </w:p>
    <w:p>
      <w:pPr>
        <w:pBdr>
          <w:bottom w:val="single" w:color="auto" w:sz="6" w:space="1"/>
        </w:pBdr>
        <w:spacing w:line="360" w:lineRule="auto"/>
        <w:ind w:firstLine="472" w:firstLineChars="224"/>
        <w:rPr>
          <w:rFonts w:asci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44.2技术标详细审查评分：评标委员会按照附表四《技术标详细审查评分表》的标准，对通过技术标有效性审查的投标文件技术标进行详细审查，评出技术分，</w:t>
      </w:r>
      <w:r>
        <w:rPr>
          <w:rFonts w:hint="eastAsia" w:ascii="宋体" w:hAnsi="宋体"/>
          <w:color w:val="000000" w:themeColor="text1"/>
          <w:sz w:val="24"/>
          <w:szCs w:val="24"/>
          <w:highlight w:val="none"/>
          <w:u w:val="single"/>
          <w14:textFill>
            <w14:solidFill>
              <w14:schemeClr w14:val="tx1"/>
            </w14:solidFill>
          </w14:textFill>
        </w:rPr>
        <w:t>投标人的技术分为各评委评分的算术平均值，</w:t>
      </w:r>
      <w:r>
        <w:rPr>
          <w:rFonts w:hint="eastAsia" w:ascii="宋体" w:hAnsi="宋体"/>
          <w:color w:val="000000" w:themeColor="text1"/>
          <w:sz w:val="24"/>
          <w:szCs w:val="24"/>
          <w:highlight w:val="none"/>
          <w14:textFill>
            <w14:solidFill>
              <w14:schemeClr w14:val="tx1"/>
            </w14:solidFill>
          </w14:textFill>
        </w:rPr>
        <w:t>得分四舍五入精确到小数点后两位。</w:t>
      </w:r>
    </w:p>
    <w:p>
      <w:pPr>
        <w:spacing w:line="36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w:t>
      </w:r>
      <w:r>
        <w:rPr>
          <w:rFonts w:hint="eastAsia" w:ascii="宋体" w:hAnsi="宋体" w:cs="宋体"/>
          <w:color w:val="000000" w:themeColor="text1"/>
          <w:sz w:val="24"/>
          <w:szCs w:val="24"/>
          <w:highlight w:val="none"/>
          <w:lang w:bidi="ar"/>
          <w14:textFill>
            <w14:solidFill>
              <w14:schemeClr w14:val="tx1"/>
            </w14:solidFill>
          </w14:textFill>
        </w:rPr>
        <w:t>45</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pStyle w:val="15"/>
        <w:widowControl w:val="0"/>
        <w:snapToGrid w:val="0"/>
        <w:spacing w:after="0" w:afterAutospacing="0" w:line="360" w:lineRule="auto"/>
        <w:ind w:firstLine="482" w:firstLineChars="200"/>
        <w:jc w:val="both"/>
        <w:rPr>
          <w:rFonts w:cs="宋体"/>
          <w:color w:val="000000" w:themeColor="text1"/>
          <w:highlight w:val="none"/>
          <w14:textFill>
            <w14:solidFill>
              <w14:schemeClr w14:val="tx1"/>
            </w14:solidFill>
          </w14:textFill>
        </w:rPr>
      </w:pPr>
      <w:r>
        <w:rPr>
          <w:rFonts w:cs="宋体"/>
          <w:b/>
          <w:color w:val="000000" w:themeColor="text1"/>
          <w:highlight w:val="none"/>
          <w:lang w:bidi="ar"/>
          <w14:textFill>
            <w14:solidFill>
              <w14:schemeClr w14:val="tx1"/>
            </w14:solidFill>
          </w14:textFill>
        </w:rPr>
        <w:t>原文：</w:t>
      </w:r>
      <w:r>
        <w:rPr>
          <w:rFonts w:cs="宋体"/>
          <w:color w:val="000000" w:themeColor="text1"/>
          <w:highlight w:val="none"/>
          <w:lang w:bidi="ar"/>
          <w14:textFill>
            <w14:solidFill>
              <w14:schemeClr w14:val="tx1"/>
            </w14:solidFill>
          </w14:textFill>
        </w:rPr>
        <w:t>45．经济标评审和得分汇总</w:t>
      </w:r>
    </w:p>
    <w:p>
      <w:pPr>
        <w:keepNext w:val="0"/>
        <w:keepLines w:val="0"/>
        <w:widowControl w:val="0"/>
        <w:suppressLineNumbers w:val="0"/>
        <w:snapToGrid w:val="0"/>
        <w:spacing w:before="0" w:beforeAutospacing="0" w:after="0" w:afterAutospacing="0" w:line="360" w:lineRule="auto"/>
        <w:ind w:left="0" w:right="0" w:firstLine="480" w:firstLineChars="200"/>
        <w:jc w:val="both"/>
        <w:rPr>
          <w:rFonts w:ascii="宋体" w:hAnsi="宋体" w:cs="宋体"/>
          <w:color w:val="000000" w:themeColor="text1"/>
          <w:kern w:val="0"/>
          <w:sz w:val="24"/>
          <w:szCs w:val="24"/>
          <w:highlight w:val="none"/>
          <w:lang w:bidi="ar"/>
          <w14:textFill>
            <w14:solidFill>
              <w14:schemeClr w14:val="tx1"/>
            </w14:solidFill>
          </w14:textFill>
        </w:rPr>
      </w:pPr>
      <w:r>
        <w:rPr>
          <w:rFonts w:ascii="宋体" w:hAnsi="宋体" w:cs="宋体"/>
          <w:color w:val="000000" w:themeColor="text1"/>
          <w:kern w:val="0"/>
          <w:sz w:val="24"/>
          <w:szCs w:val="24"/>
          <w:highlight w:val="none"/>
          <w:lang w:bidi="ar"/>
          <w14:textFill>
            <w14:solidFill>
              <w14:schemeClr w14:val="tx1"/>
            </w14:solidFill>
          </w14:textFill>
        </w:rPr>
        <w:t>45.1</w:t>
      </w:r>
      <w:r>
        <w:rPr>
          <w:rFonts w:hint="default" w:ascii="宋体" w:hAnsi="宋体" w:cs="宋体"/>
          <w:color w:val="000000" w:themeColor="text1"/>
          <w:kern w:val="0"/>
          <w:sz w:val="24"/>
          <w:szCs w:val="24"/>
          <w:highlight w:val="none"/>
          <w:lang w:val="en-US" w:eastAsia="zh-CN" w:bidi="ar"/>
          <w14:textFill>
            <w14:solidFill>
              <w14:schemeClr w14:val="tx1"/>
            </w14:solidFill>
          </w14:textFill>
        </w:rPr>
        <w:t>若通过技术标有效性审查的投标人中所有投标报价均大于等于最高投标限价，则本项目招标失败，由招标人依法重新招标</w:t>
      </w:r>
      <w:r>
        <w:rPr>
          <w:rFonts w:ascii="宋体" w:hAnsi="宋体" w:cs="宋体"/>
          <w:color w:val="000000" w:themeColor="text1"/>
          <w:kern w:val="0"/>
          <w:sz w:val="24"/>
          <w:szCs w:val="24"/>
          <w:highlight w:val="none"/>
          <w:lang w:bidi="ar"/>
          <w14:textFill>
            <w14:solidFill>
              <w14:schemeClr w14:val="tx1"/>
            </w14:solidFill>
          </w14:textFill>
        </w:rPr>
        <w:t>。</w:t>
      </w:r>
    </w:p>
    <w:p>
      <w:pPr>
        <w:pStyle w:val="15"/>
        <w:widowControl w:val="0"/>
        <w:snapToGrid w:val="0"/>
        <w:spacing w:after="0" w:afterAutospacing="0" w:line="360" w:lineRule="auto"/>
        <w:ind w:firstLine="480" w:firstLineChars="200"/>
        <w:jc w:val="both"/>
        <w:rPr>
          <w:rFonts w:cs="宋体"/>
          <w:color w:val="000000" w:themeColor="text1"/>
          <w:highlight w:val="none"/>
          <w14:textFill>
            <w14:solidFill>
              <w14:schemeClr w14:val="tx1"/>
            </w14:solidFill>
          </w14:textFill>
        </w:rPr>
      </w:pPr>
      <w:r>
        <w:rPr>
          <w:rFonts w:cs="宋体"/>
          <w:color w:val="000000" w:themeColor="text1"/>
          <w:highlight w:val="none"/>
          <w:lang w:bidi="ar"/>
          <w14:textFill>
            <w14:solidFill>
              <w14:schemeClr w14:val="tx1"/>
            </w14:solidFill>
          </w14:textFill>
        </w:rPr>
        <w:t xml:space="preserve"> 45.2按方法计算评标参考价：</w:t>
      </w:r>
    </w:p>
    <w:p>
      <w:pPr>
        <w:widowControl/>
        <w:spacing w:line="360" w:lineRule="auto"/>
        <w:ind w:firstLine="482" w:firstLineChars="200"/>
        <w:rPr>
          <w:rFonts w:ascii="宋体" w:hAnsi="宋体" w:cs="宋体"/>
          <w:b/>
          <w:color w:val="000000" w:themeColor="text1"/>
          <w:kern w:val="0"/>
          <w:sz w:val="24"/>
          <w:szCs w:val="24"/>
          <w:highlight w:val="none"/>
          <w14:textFill>
            <w14:solidFill>
              <w14:schemeClr w14:val="tx1"/>
            </w14:solidFill>
          </w14:textFill>
        </w:rPr>
      </w:pPr>
      <w:r>
        <w:rPr>
          <w:rFonts w:hint="eastAsia" w:ascii="宋体" w:hAnsi="宋体" w:cs="宋体"/>
          <w:b/>
          <w:color w:val="000000" w:themeColor="text1"/>
          <w:kern w:val="0"/>
          <w:sz w:val="24"/>
          <w:szCs w:val="24"/>
          <w:highlight w:val="none"/>
          <w:lang w:bidi="ar"/>
          <w14:textFill>
            <w14:solidFill>
              <w14:schemeClr w14:val="tx1"/>
            </w14:solidFill>
          </w14:textFill>
        </w:rPr>
        <w:t>方法一：加权平均法</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技术标或技术标加诚信得分（具体由招标人自定）前N名（N≥5，具体由招标人自定）的经济报价加权平均，计算评标参考价。公式如下：</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评标参考价=Σ（投标人的投标报价*报价权重）。</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其中：报价权重的计算方法为：将N名投标人按技术分由高至低进行排序，第一名投标人的权重为（</w:t>
      </w:r>
      <w:r>
        <w:rPr>
          <w:rFonts w:hint="eastAsia" w:ascii="宋体" w:hAnsi="宋体" w:cs="宋体"/>
          <w:color w:val="000000" w:themeColor="text1"/>
          <w:sz w:val="24"/>
          <w:szCs w:val="24"/>
          <w:highlight w:val="none"/>
          <w14:textFill>
            <w14:solidFill>
              <w14:schemeClr w14:val="tx1"/>
            </w14:solidFill>
          </w14:textFill>
        </w:rPr>
        <w:drawing>
          <wp:inline distT="0" distB="0" distL="114300" distR="114300">
            <wp:extent cx="390525" cy="447675"/>
            <wp:effectExtent l="0" t="0" r="317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390525" cy="447675"/>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），第二名投标人的权重为（</w:t>
      </w:r>
      <w:r>
        <w:rPr>
          <w:rFonts w:hint="eastAsia" w:ascii="宋体" w:hAnsi="宋体" w:cs="宋体"/>
          <w:color w:val="000000" w:themeColor="text1"/>
          <w:sz w:val="24"/>
          <w:szCs w:val="24"/>
          <w:highlight w:val="none"/>
          <w14:textFill>
            <w14:solidFill>
              <w14:schemeClr w14:val="tx1"/>
            </w14:solidFill>
          </w14:textFill>
        </w:rPr>
        <w:drawing>
          <wp:inline distT="0" distB="0" distL="114300" distR="114300">
            <wp:extent cx="323850" cy="400050"/>
            <wp:effectExtent l="0" t="0" r="635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5"/>
                    <a:stretch>
                      <a:fillRect/>
                    </a:stretch>
                  </pic:blipFill>
                  <pic:spPr>
                    <a:xfrm>
                      <a:off x="0" y="0"/>
                      <a:ext cx="323850" cy="400050"/>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），以此类推，最后一名投标人的权重为（</w:t>
      </w:r>
      <w:r>
        <w:rPr>
          <w:color w:val="000000" w:themeColor="text1"/>
          <w:szCs w:val="21"/>
          <w:highlight w:val="none"/>
          <w14:textFill>
            <w14:solidFill>
              <w14:schemeClr w14:val="tx1"/>
            </w14:solidFill>
          </w14:textFill>
        </w:rPr>
        <w:drawing>
          <wp:inline distT="0" distB="0" distL="114300" distR="114300">
            <wp:extent cx="323850" cy="400050"/>
            <wp:effectExtent l="0" t="0" r="6350" b="571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6"/>
                    <a:stretch>
                      <a:fillRect/>
                    </a:stretch>
                  </pic:blipFill>
                  <pic:spPr>
                    <a:xfrm>
                      <a:off x="0" y="0"/>
                      <a:ext cx="323850" cy="400050"/>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w:t>
      </w:r>
    </w:p>
    <w:p>
      <w:pPr>
        <w:spacing w:line="360" w:lineRule="auto"/>
        <w:ind w:firstLine="480" w:firstLineChars="200"/>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45.3当标价等于评标参考价时得100分，标价每高于评标参考价1%，扣1.5分，每低于评标参考价1%，扣1分，扣至0分为止，得出经济分，精确到小数点后两位。</w:t>
      </w:r>
    </w:p>
    <w:p>
      <w:pPr>
        <w:spacing w:line="360" w:lineRule="auto"/>
        <w:ind w:firstLine="482" w:firstLineChars="200"/>
        <w:rPr>
          <w:rFonts w:hint="eastAsia"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45．经济标评审和得分汇总</w:t>
      </w:r>
    </w:p>
    <w:p>
      <w:pPr>
        <w:widowControl w:val="0"/>
        <w:snapToGrid w:val="0"/>
        <w:spacing w:after="0" w:afterAutospacing="0" w:line="360" w:lineRule="auto"/>
        <w:ind w:firstLine="480" w:firstLineChars="200"/>
        <w:jc w:val="both"/>
        <w:rPr>
          <w:rFonts w:hint="eastAsia"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45.1</w:t>
      </w:r>
      <w:r>
        <w:rPr>
          <w:rFonts w:hint="eastAsia" w:ascii="宋体" w:hAnsi="宋体" w:cs="宋体"/>
          <w:color w:val="000000" w:themeColor="text1"/>
          <w:kern w:val="2"/>
          <w:sz w:val="24"/>
          <w:szCs w:val="24"/>
          <w:highlight w:val="none"/>
          <w:lang w:val="en-US" w:eastAsia="zh-CN" w:bidi="ar"/>
          <w14:textFill>
            <w14:solidFill>
              <w14:schemeClr w14:val="tx1"/>
            </w14:solidFill>
          </w14:textFill>
        </w:rPr>
        <w:t>若通过技术标有效性审查的投标人中所有投标报价均大于等于最高投标限价，则本项目招标失败，由招标人依法重新招标</w:t>
      </w:r>
      <w:r>
        <w:rPr>
          <w:rFonts w:hint="eastAsia" w:ascii="宋体" w:hAnsi="宋体" w:cs="宋体"/>
          <w:color w:val="000000" w:themeColor="text1"/>
          <w:kern w:val="2"/>
          <w:sz w:val="24"/>
          <w:szCs w:val="24"/>
          <w:highlight w:val="none"/>
          <w:lang w:bidi="ar"/>
          <w14:textFill>
            <w14:solidFill>
              <w14:schemeClr w14:val="tx1"/>
            </w14:solidFill>
          </w14:textFill>
        </w:rPr>
        <w:t>。</w:t>
      </w:r>
    </w:p>
    <w:p>
      <w:pPr>
        <w:pStyle w:val="15"/>
        <w:widowControl w:val="0"/>
        <w:snapToGrid w:val="0"/>
        <w:spacing w:after="0" w:afterAutospacing="0" w:line="360" w:lineRule="auto"/>
        <w:ind w:firstLine="480" w:firstLineChars="200"/>
        <w:jc w:val="both"/>
        <w:rPr>
          <w:rFonts w:cs="宋体"/>
          <w:color w:val="000000" w:themeColor="text1"/>
          <w:highlight w:val="none"/>
          <w14:textFill>
            <w14:solidFill>
              <w14:schemeClr w14:val="tx1"/>
            </w14:solidFill>
          </w14:textFill>
        </w:rPr>
      </w:pPr>
      <w:r>
        <w:rPr>
          <w:rFonts w:cs="宋体"/>
          <w:color w:val="000000" w:themeColor="text1"/>
          <w:highlight w:val="none"/>
          <w:lang w:bidi="ar"/>
          <w14:textFill>
            <w14:solidFill>
              <w14:schemeClr w14:val="tx1"/>
            </w14:solidFill>
          </w14:textFill>
        </w:rPr>
        <w:t xml:space="preserve"> 45.2按方法</w:t>
      </w:r>
      <w:r>
        <w:rPr>
          <w:rFonts w:cs="宋体"/>
          <w:color w:val="000000" w:themeColor="text1"/>
          <w:highlight w:val="none"/>
          <w:u w:val="single"/>
          <w:lang w:bidi="ar"/>
          <w14:textFill>
            <w14:solidFill>
              <w14:schemeClr w14:val="tx1"/>
            </w14:solidFill>
          </w14:textFill>
        </w:rPr>
        <w:t xml:space="preserve"> 一 </w:t>
      </w:r>
      <w:r>
        <w:rPr>
          <w:rFonts w:cs="宋体"/>
          <w:color w:val="000000" w:themeColor="text1"/>
          <w:highlight w:val="none"/>
          <w:lang w:bidi="ar"/>
          <w14:textFill>
            <w14:solidFill>
              <w14:schemeClr w14:val="tx1"/>
            </w14:solidFill>
          </w14:textFill>
        </w:rPr>
        <w:t>计算评标参考价：</w:t>
      </w:r>
    </w:p>
    <w:p>
      <w:pPr>
        <w:widowControl/>
        <w:spacing w:line="360" w:lineRule="auto"/>
        <w:ind w:firstLine="482" w:firstLineChars="200"/>
        <w:rPr>
          <w:rFonts w:ascii="宋体" w:hAnsi="宋体" w:cs="宋体"/>
          <w:b/>
          <w:color w:val="000000" w:themeColor="text1"/>
          <w:kern w:val="0"/>
          <w:sz w:val="24"/>
          <w:szCs w:val="24"/>
          <w:highlight w:val="none"/>
          <w14:textFill>
            <w14:solidFill>
              <w14:schemeClr w14:val="tx1"/>
            </w14:solidFill>
          </w14:textFill>
        </w:rPr>
      </w:pPr>
      <w:r>
        <w:rPr>
          <w:rFonts w:hint="eastAsia" w:ascii="宋体" w:hAnsi="宋体" w:cs="宋体"/>
          <w:b/>
          <w:color w:val="000000" w:themeColor="text1"/>
          <w:kern w:val="0"/>
          <w:sz w:val="24"/>
          <w:szCs w:val="24"/>
          <w:highlight w:val="none"/>
          <w:lang w:bidi="ar"/>
          <w14:textFill>
            <w14:solidFill>
              <w14:schemeClr w14:val="tx1"/>
            </w14:solidFill>
          </w14:textFill>
        </w:rPr>
        <w:t>方法一：加权平均法</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u w:val="single"/>
          <w:lang w:bidi="ar"/>
          <w14:textFill>
            <w14:solidFill>
              <w14:schemeClr w14:val="tx1"/>
            </w14:solidFill>
          </w14:textFill>
        </w:rPr>
        <w:t>通过技术标有效性审查且经济报价在[工程成本警戒价，最高投标限价]区间中的投标人技术标得分前N名（若满足前述条件的投标人大于等于5家时</w:t>
      </w:r>
      <w:r>
        <w:rPr>
          <w:rFonts w:hint="eastAsia" w:ascii="宋体" w:hAnsi="宋体" w:cs="宋体"/>
          <w:color w:val="000000" w:themeColor="text1"/>
          <w:sz w:val="24"/>
          <w:szCs w:val="24"/>
          <w:highlight w:val="none"/>
          <w:u w:val="single"/>
          <w:lang w:eastAsia="zh-CN" w:bidi="ar"/>
          <w14:textFill>
            <w14:solidFill>
              <w14:schemeClr w14:val="tx1"/>
            </w14:solidFill>
          </w14:textFill>
        </w:rPr>
        <w:t>，</w:t>
      </w:r>
      <w:r>
        <w:rPr>
          <w:rFonts w:hint="eastAsia" w:ascii="宋体" w:hAnsi="宋体" w:cs="宋体"/>
          <w:color w:val="000000" w:themeColor="text1"/>
          <w:sz w:val="24"/>
          <w:szCs w:val="24"/>
          <w:highlight w:val="none"/>
          <w:u w:val="single"/>
          <w:lang w:bidi="ar"/>
          <w14:textFill>
            <w14:solidFill>
              <w14:schemeClr w14:val="tx1"/>
            </w14:solidFill>
          </w14:textFill>
        </w:rPr>
        <w:t>N=5；若满足前述条件的投标人小于5家时</w:t>
      </w:r>
      <w:r>
        <w:rPr>
          <w:rFonts w:hint="eastAsia" w:ascii="宋体" w:hAnsi="宋体" w:cs="宋体"/>
          <w:color w:val="000000" w:themeColor="text1"/>
          <w:sz w:val="24"/>
          <w:szCs w:val="24"/>
          <w:highlight w:val="none"/>
          <w:u w:val="single"/>
          <w:lang w:eastAsia="zh-CN" w:bidi="ar"/>
          <w14:textFill>
            <w14:solidFill>
              <w14:schemeClr w14:val="tx1"/>
            </w14:solidFill>
          </w14:textFill>
        </w:rPr>
        <w:t>，</w:t>
      </w:r>
      <w:r>
        <w:rPr>
          <w:rFonts w:hint="eastAsia" w:ascii="宋体" w:hAnsi="宋体" w:cs="宋体"/>
          <w:color w:val="000000" w:themeColor="text1"/>
          <w:sz w:val="24"/>
          <w:szCs w:val="24"/>
          <w:highlight w:val="none"/>
          <w:u w:val="single"/>
          <w:lang w:bidi="ar"/>
          <w14:textFill>
            <w14:solidFill>
              <w14:schemeClr w14:val="tx1"/>
            </w14:solidFill>
          </w14:textFill>
        </w:rPr>
        <w:t>N=满足前述条件的投标人个数）的经济报价加权平均，计算评标参考价</w:t>
      </w:r>
      <w:r>
        <w:rPr>
          <w:rFonts w:hint="eastAsia" w:ascii="宋体" w:hAnsi="宋体" w:cs="宋体"/>
          <w:color w:val="000000" w:themeColor="text1"/>
          <w:sz w:val="24"/>
          <w:szCs w:val="24"/>
          <w:highlight w:val="none"/>
          <w:lang w:bidi="ar"/>
          <w14:textFill>
            <w14:solidFill>
              <w14:schemeClr w14:val="tx1"/>
            </w14:solidFill>
          </w14:textFill>
        </w:rPr>
        <w:t>。公式如下：</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评标参考价=Σ（投标人的投标报价*报价权重）。</w:t>
      </w:r>
    </w:p>
    <w:p>
      <w:pPr>
        <w:spacing w:line="360" w:lineRule="auto"/>
        <w:ind w:firstLine="480"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bidi="ar"/>
          <w14:textFill>
            <w14:solidFill>
              <w14:schemeClr w14:val="tx1"/>
            </w14:solidFill>
          </w14:textFill>
        </w:rPr>
        <w:t>其中：报价权重的计算方法为：将N名投标人按</w:t>
      </w:r>
      <w:r>
        <w:rPr>
          <w:rFonts w:hint="eastAsia" w:ascii="宋体" w:hAnsi="宋体" w:cs="宋体"/>
          <w:color w:val="000000" w:themeColor="text1"/>
          <w:sz w:val="24"/>
          <w:szCs w:val="24"/>
          <w:highlight w:val="none"/>
          <w:u w:val="single"/>
          <w:lang w:bidi="ar"/>
          <w14:textFill>
            <w14:solidFill>
              <w14:schemeClr w14:val="tx1"/>
            </w14:solidFill>
          </w14:textFill>
        </w:rPr>
        <w:t>技术</w:t>
      </w:r>
      <w:r>
        <w:rPr>
          <w:rFonts w:hint="default" w:ascii="宋体" w:hAnsi="宋体" w:cs="宋体"/>
          <w:color w:val="000000" w:themeColor="text1"/>
          <w:sz w:val="24"/>
          <w:szCs w:val="24"/>
          <w:highlight w:val="none"/>
          <w:u w:val="single"/>
          <w:lang w:bidi="ar"/>
          <w14:textFill>
            <w14:solidFill>
              <w14:schemeClr w14:val="tx1"/>
            </w14:solidFill>
          </w14:textFill>
        </w:rPr>
        <w:t>标得</w:t>
      </w:r>
      <w:r>
        <w:rPr>
          <w:rFonts w:hint="eastAsia" w:ascii="宋体" w:hAnsi="宋体" w:cs="宋体"/>
          <w:color w:val="000000" w:themeColor="text1"/>
          <w:sz w:val="24"/>
          <w:szCs w:val="24"/>
          <w:highlight w:val="none"/>
          <w:u w:val="single"/>
          <w:lang w:bidi="ar"/>
          <w14:textFill>
            <w14:solidFill>
              <w14:schemeClr w14:val="tx1"/>
            </w14:solidFill>
          </w14:textFill>
        </w:rPr>
        <w:t>分</w:t>
      </w:r>
      <w:r>
        <w:rPr>
          <w:rFonts w:hint="eastAsia" w:ascii="宋体" w:hAnsi="宋体" w:cs="宋体"/>
          <w:color w:val="000000" w:themeColor="text1"/>
          <w:sz w:val="24"/>
          <w:szCs w:val="24"/>
          <w:highlight w:val="none"/>
          <w:lang w:bidi="ar"/>
          <w14:textFill>
            <w14:solidFill>
              <w14:schemeClr w14:val="tx1"/>
            </w14:solidFill>
          </w14:textFill>
        </w:rPr>
        <w:t>由高至低进行排序，第一名投标人的权重为（</w:t>
      </w:r>
      <w:r>
        <w:rPr>
          <w:rFonts w:hint="eastAsia" w:ascii="宋体" w:hAnsi="宋体" w:cs="宋体"/>
          <w:color w:val="000000" w:themeColor="text1"/>
          <w:sz w:val="24"/>
          <w:szCs w:val="24"/>
          <w:highlight w:val="none"/>
          <w14:textFill>
            <w14:solidFill>
              <w14:schemeClr w14:val="tx1"/>
            </w14:solidFill>
          </w14:textFill>
        </w:rPr>
        <w:drawing>
          <wp:inline distT="0" distB="0" distL="114300" distR="114300">
            <wp:extent cx="390525" cy="447675"/>
            <wp:effectExtent l="0" t="0" r="3175" b="952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4"/>
                    <a:stretch>
                      <a:fillRect/>
                    </a:stretch>
                  </pic:blipFill>
                  <pic:spPr>
                    <a:xfrm>
                      <a:off x="0" y="0"/>
                      <a:ext cx="390525" cy="447675"/>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），第二名投标人的权重为（</w:t>
      </w:r>
      <w:r>
        <w:rPr>
          <w:color w:val="000000" w:themeColor="text1"/>
          <w:szCs w:val="21"/>
          <w:highlight w:val="none"/>
          <w14:textFill>
            <w14:solidFill>
              <w14:schemeClr w14:val="tx1"/>
            </w14:solidFill>
          </w14:textFill>
        </w:rPr>
        <w:drawing>
          <wp:inline distT="0" distB="0" distL="114300" distR="114300">
            <wp:extent cx="323850" cy="400050"/>
            <wp:effectExtent l="0" t="0" r="6350" b="571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5"/>
                    <a:stretch>
                      <a:fillRect/>
                    </a:stretch>
                  </pic:blipFill>
                  <pic:spPr>
                    <a:xfrm>
                      <a:off x="0" y="0"/>
                      <a:ext cx="323850" cy="400050"/>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），以此类推，最后一名投标人的权重为（</w:t>
      </w:r>
      <w:r>
        <w:rPr>
          <w:rFonts w:hint="eastAsia" w:ascii="宋体" w:hAnsi="宋体" w:cs="宋体"/>
          <w:color w:val="000000" w:themeColor="text1"/>
          <w:sz w:val="24"/>
          <w:szCs w:val="24"/>
          <w:highlight w:val="none"/>
          <w14:textFill>
            <w14:solidFill>
              <w14:schemeClr w14:val="tx1"/>
            </w14:solidFill>
          </w14:textFill>
        </w:rPr>
        <w:drawing>
          <wp:inline distT="0" distB="0" distL="114300" distR="114300">
            <wp:extent cx="323850" cy="400050"/>
            <wp:effectExtent l="0" t="0" r="6350" b="571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6"/>
                    <a:stretch>
                      <a:fillRect/>
                    </a:stretch>
                  </pic:blipFill>
                  <pic:spPr>
                    <a:xfrm>
                      <a:off x="0" y="0"/>
                      <a:ext cx="323850" cy="400050"/>
                    </a:xfrm>
                    <a:prstGeom prst="rect">
                      <a:avLst/>
                    </a:prstGeom>
                    <a:noFill/>
                    <a:ln>
                      <a:noFill/>
                    </a:ln>
                  </pic:spPr>
                </pic:pic>
              </a:graphicData>
            </a:graphic>
          </wp:inline>
        </w:drawing>
      </w:r>
      <w:r>
        <w:rPr>
          <w:rFonts w:hint="eastAsia" w:ascii="宋体" w:hAnsi="宋体" w:cs="宋体"/>
          <w:color w:val="000000" w:themeColor="text1"/>
          <w:sz w:val="24"/>
          <w:szCs w:val="24"/>
          <w:highlight w:val="none"/>
          <w:lang w:bidi="ar"/>
          <w14:textFill>
            <w14:solidFill>
              <w14:schemeClr w14:val="tx1"/>
            </w14:solidFill>
          </w14:textFill>
        </w:rPr>
        <w:t>）。</w:t>
      </w:r>
    </w:p>
    <w:p>
      <w:pPr>
        <w:pBdr>
          <w:bottom w:val="single" w:color="auto" w:sz="4" w:space="1"/>
        </w:pBdr>
        <w:spacing w:line="360" w:lineRule="auto"/>
        <w:ind w:firstLine="480" w:firstLineChars="200"/>
        <w:rPr>
          <w:rFonts w:ascii="宋体" w:hAnsi="宋体" w:cs="宋体"/>
          <w:color w:val="000000" w:themeColor="text1"/>
          <w:sz w:val="24"/>
          <w:szCs w:val="24"/>
          <w:highlight w:val="none"/>
          <w:u w:val="single"/>
          <w14:textFill>
            <w14:solidFill>
              <w14:schemeClr w14:val="tx1"/>
            </w14:solidFill>
          </w14:textFill>
        </w:rPr>
      </w:pPr>
      <w:r>
        <w:rPr>
          <w:rFonts w:hint="eastAsia" w:ascii="宋体" w:hAnsi="宋体" w:cs="宋体"/>
          <w:color w:val="000000" w:themeColor="text1"/>
          <w:sz w:val="24"/>
          <w:szCs w:val="24"/>
          <w:highlight w:val="none"/>
          <w:u w:val="single"/>
          <w:lang w:bidi="ar"/>
          <w14:textFill>
            <w14:solidFill>
              <w14:schemeClr w14:val="tx1"/>
            </w14:solidFill>
          </w14:textFill>
        </w:rPr>
        <w:t>若投标人技术标得分相同的，则以投标总报价较低的排前；如仍存在相同情况，则对具有相同情况的投标人，按确定评标参考价的投标人数量规定，由评标委员会采用记名投票方式，确定投标人技术标得分名次的排序。记名投票方式确定排序的具体操作步骤为：由评标委员会对出现该情况的投标人进行编号，然后进行记名投票，按得票数从高到低排列先后次序，以得票数高的排前，依次确定技术标得分名次的排序。</w:t>
      </w:r>
    </w:p>
    <w:p>
      <w:pPr>
        <w:pBdr>
          <w:bottom w:val="single" w:color="auto" w:sz="4" w:space="1"/>
        </w:pBdr>
        <w:spacing w:line="360" w:lineRule="auto"/>
        <w:ind w:firstLine="480" w:firstLineChars="200"/>
        <w:rPr>
          <w:rFonts w:ascii="宋体" w:hAnsi="宋体" w:cs="宋体"/>
          <w:color w:val="000000" w:themeColor="text1"/>
          <w:sz w:val="24"/>
          <w:szCs w:val="24"/>
          <w:highlight w:val="none"/>
          <w:u w:val="single"/>
          <w14:textFill>
            <w14:solidFill>
              <w14:schemeClr w14:val="tx1"/>
            </w14:solidFill>
          </w14:textFill>
        </w:rPr>
      </w:pPr>
      <w:r>
        <w:rPr>
          <w:rFonts w:hint="eastAsia" w:ascii="宋体" w:hAnsi="宋体" w:cs="宋体"/>
          <w:color w:val="000000" w:themeColor="text1"/>
          <w:sz w:val="24"/>
          <w:szCs w:val="24"/>
          <w:highlight w:val="none"/>
          <w:u w:val="single"/>
          <w:lang w:bidi="ar"/>
          <w14:textFill>
            <w14:solidFill>
              <w14:schemeClr w14:val="tx1"/>
            </w14:solidFill>
          </w14:textFill>
        </w:rPr>
        <w:t>45.3当标价等于评标参考价时得100分，标价每高于评标参考价1%，扣</w:t>
      </w:r>
      <w:r>
        <w:rPr>
          <w:rFonts w:hint="default" w:ascii="宋体" w:hAnsi="宋体" w:cs="宋体"/>
          <w:color w:val="000000" w:themeColor="text1"/>
          <w:sz w:val="24"/>
          <w:szCs w:val="24"/>
          <w:highlight w:val="none"/>
          <w:u w:val="single"/>
          <w:lang w:bidi="ar"/>
          <w14:textFill>
            <w14:solidFill>
              <w14:schemeClr w14:val="tx1"/>
            </w14:solidFill>
          </w14:textFill>
        </w:rPr>
        <w:t>1</w:t>
      </w:r>
      <w:r>
        <w:rPr>
          <w:rFonts w:hint="eastAsia" w:ascii="宋体" w:hAnsi="宋体" w:cs="宋体"/>
          <w:color w:val="000000" w:themeColor="text1"/>
          <w:sz w:val="24"/>
          <w:szCs w:val="24"/>
          <w:highlight w:val="none"/>
          <w:u w:val="single"/>
          <w:lang w:bidi="ar"/>
          <w14:textFill>
            <w14:solidFill>
              <w14:schemeClr w14:val="tx1"/>
            </w14:solidFill>
          </w14:textFill>
        </w:rPr>
        <w:t>分，每低于评标参考价1%，扣</w:t>
      </w:r>
      <w:r>
        <w:rPr>
          <w:rFonts w:hint="default" w:ascii="宋体" w:hAnsi="宋体" w:cs="宋体"/>
          <w:color w:val="000000" w:themeColor="text1"/>
          <w:sz w:val="24"/>
          <w:szCs w:val="24"/>
          <w:highlight w:val="none"/>
          <w:u w:val="single"/>
          <w:lang w:bidi="ar"/>
          <w14:textFill>
            <w14:solidFill>
              <w14:schemeClr w14:val="tx1"/>
            </w14:solidFill>
          </w14:textFill>
        </w:rPr>
        <w:t>0.75</w:t>
      </w:r>
      <w:r>
        <w:rPr>
          <w:rFonts w:hint="eastAsia" w:ascii="宋体" w:hAnsi="宋体" w:cs="宋体"/>
          <w:color w:val="000000" w:themeColor="text1"/>
          <w:sz w:val="24"/>
          <w:szCs w:val="24"/>
          <w:highlight w:val="none"/>
          <w:u w:val="single"/>
          <w:lang w:bidi="ar"/>
          <w14:textFill>
            <w14:solidFill>
              <w14:schemeClr w14:val="tx1"/>
            </w14:solidFill>
          </w14:textFill>
        </w:rPr>
        <w:t>分，扣至0分为止，得出经济分，精确到小数点后两位。</w:t>
      </w:r>
    </w:p>
    <w:p>
      <w:pPr>
        <w:spacing w:line="36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 xml:space="preserve">条款号： </w:t>
      </w:r>
      <w:r>
        <w:rPr>
          <w:rFonts w:hint="eastAsia" w:ascii="宋体" w:hAnsi="宋体" w:cs="宋体"/>
          <w:color w:val="000000" w:themeColor="text1"/>
          <w:sz w:val="24"/>
          <w:szCs w:val="24"/>
          <w:highlight w:val="none"/>
          <w:lang w:bidi="ar"/>
          <w14:textFill>
            <w14:solidFill>
              <w14:schemeClr w14:val="tx1"/>
            </w14:solidFill>
          </w14:textFill>
        </w:rPr>
        <w:t>45.4</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spacing w:line="360" w:lineRule="auto"/>
        <w:ind w:firstLine="482" w:firstLineChars="200"/>
        <w:rPr>
          <w:rFonts w:ascii="宋体" w:hAnsi="宋体" w:cs="宋体"/>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计算通过技术标有效性审查的投标人总得分。投标人总得分=（技术得分×技术得分权重＋经济得分×经济得分权重）×（1-综合诚信评价分数权重）＋综合诚信评价排名得分×综合诚信评价分数权重）。技术、经济得分权重按投标须知前附表的规定执行。总得分四舍五入保留两位小数。</w:t>
      </w:r>
    </w:p>
    <w:p>
      <w:pPr>
        <w:keepNext w:val="0"/>
        <w:keepLines w:val="0"/>
        <w:widowControl w:val="0"/>
        <w:suppressLineNumbers w:val="0"/>
        <w:pBdr>
          <w:bottom w:val="single" w:color="000000" w:sz="4" w:space="1"/>
        </w:pBdr>
        <w:spacing w:before="0" w:beforeAutospacing="0" w:after="0" w:afterAutospacing="0" w:line="360" w:lineRule="auto"/>
        <w:ind w:left="0" w:right="0" w:firstLine="540" w:firstLineChars="224"/>
        <w:jc w:val="both"/>
        <w:rPr>
          <w:rFonts w:ascii="宋体" w:hAnsi="宋体" w:cs="宋体"/>
          <w:color w:val="000000" w:themeColor="text1"/>
          <w:sz w:val="24"/>
          <w:szCs w:val="24"/>
          <w:highlight w:val="none"/>
          <w:u w:val="single"/>
          <w:lang w:bidi="ar"/>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计算通过技术标有效性审查的投标人总得分。</w:t>
      </w:r>
      <w:r>
        <w:rPr>
          <w:rFonts w:hint="eastAsia" w:ascii="宋体" w:hAnsi="宋体" w:cs="宋体"/>
          <w:color w:val="000000" w:themeColor="text1"/>
          <w:sz w:val="24"/>
          <w:szCs w:val="24"/>
          <w:highlight w:val="none"/>
          <w:u w:val="single"/>
          <w:lang w:bidi="ar"/>
          <w14:textFill>
            <w14:solidFill>
              <w14:schemeClr w14:val="tx1"/>
            </w14:solidFill>
          </w14:textFill>
        </w:rPr>
        <w:t>投标人总得分=技术得分(满分20分)＋经济得分(满分100分)×经济得分权重（80%）。总得分四舍五入保留两位小数，并按照总得分从高到低排序。若投标人总得分相同的，则以技术得分较高的排前；若投标人总得分和技术得分均相同的，则以投标总报价较低的排前；如仍存在相同情况，则由评标委员会采用记名投票方式，确定投标人的排序。</w:t>
      </w:r>
    </w:p>
    <w:p>
      <w:pPr>
        <w:spacing w:line="360" w:lineRule="auto"/>
        <w:ind w:firstLine="540" w:firstLineChars="224"/>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条款号：</w:t>
      </w:r>
      <w:r>
        <w:rPr>
          <w:rFonts w:hint="eastAsia" w:ascii="宋体" w:hAnsi="宋体" w:cs="宋体"/>
          <w:color w:val="000000" w:themeColor="text1"/>
          <w:sz w:val="24"/>
          <w:szCs w:val="24"/>
          <w:highlight w:val="none"/>
          <w:lang w:bidi="ar"/>
          <w14:textFill>
            <w14:solidFill>
              <w14:schemeClr w14:val="tx1"/>
            </w14:solidFill>
          </w14:textFill>
        </w:rPr>
        <w:t>46.2.8</w:t>
      </w:r>
      <w:r>
        <w:rPr>
          <w:rFonts w:hint="eastAsia" w:ascii="宋体" w:hAnsi="宋体" w:cs="宋体"/>
          <w:b/>
          <w:color w:val="000000" w:themeColor="text1"/>
          <w:sz w:val="24"/>
          <w:szCs w:val="24"/>
          <w:highlight w:val="none"/>
          <w:lang w:bidi="ar"/>
          <w14:textFill>
            <w14:solidFill>
              <w14:schemeClr w14:val="tx1"/>
            </w14:solidFill>
          </w14:textFill>
        </w:rPr>
        <w:t xml:space="preserve">                修改类型：修改</w:t>
      </w:r>
    </w:p>
    <w:p>
      <w:pPr>
        <w:pBdr>
          <w:bottom w:val="none" w:color="auto" w:sz="0" w:space="1"/>
        </w:pBdr>
        <w:spacing w:line="360" w:lineRule="auto"/>
        <w:ind w:firstLine="540" w:firstLineChars="224"/>
        <w:rPr>
          <w:rFonts w:ascii="宋体" w:hAnsi="宋体" w:cs="宋体"/>
          <w:color w:val="000000" w:themeColor="text1"/>
          <w:sz w:val="24"/>
          <w:szCs w:val="24"/>
          <w:highlight w:val="none"/>
          <w:lang w:bidi="ar"/>
          <w14:textFill>
            <w14:solidFill>
              <w14:schemeClr w14:val="tx1"/>
            </w14:solidFill>
          </w14:textFill>
        </w:rPr>
      </w:pPr>
      <w:r>
        <w:rPr>
          <w:rFonts w:hint="eastAsia" w:ascii="宋体" w:hAnsi="宋体" w:cs="宋体"/>
          <w:b/>
          <w:color w:val="000000" w:themeColor="text1"/>
          <w:kern w:val="0"/>
          <w:sz w:val="24"/>
          <w:szCs w:val="24"/>
          <w:highlight w:val="none"/>
          <w:lang w:bidi="ar"/>
          <w14:textFill>
            <w14:solidFill>
              <w14:schemeClr w14:val="tx1"/>
            </w14:solidFill>
          </w14:textFill>
        </w:rPr>
        <w:t>原文：</w:t>
      </w:r>
      <w:r>
        <w:rPr>
          <w:rFonts w:hint="eastAsia" w:ascii="宋体" w:hAnsi="宋体" w:cs="宋体"/>
          <w:color w:val="000000" w:themeColor="text1"/>
          <w:sz w:val="24"/>
          <w:szCs w:val="24"/>
          <w:highlight w:val="none"/>
          <w:lang w:bidi="ar"/>
          <w14:textFill>
            <w14:solidFill>
              <w14:schemeClr w14:val="tx1"/>
            </w14:solidFill>
          </w14:textFill>
        </w:rPr>
        <w:t>46.2.8</w:t>
      </w:r>
      <w:r>
        <w:rPr>
          <w:rFonts w:hint="eastAsia" w:ascii="宋体" w:hAnsi="宋体" w:cs="宋体"/>
          <w:b/>
          <w:color w:val="000000" w:themeColor="text1"/>
          <w:sz w:val="24"/>
          <w:szCs w:val="24"/>
          <w:highlight w:val="none"/>
          <w:lang w:bidi="ar"/>
          <w14:textFill>
            <w14:solidFill>
              <w14:schemeClr w14:val="tx1"/>
            </w14:solidFill>
          </w14:textFill>
        </w:rPr>
        <w:t xml:space="preserve"> </w:t>
      </w:r>
      <w:r>
        <w:rPr>
          <w:rFonts w:hint="eastAsia" w:ascii="宋体" w:hAnsi="宋体" w:cs="宋体"/>
          <w:color w:val="000000" w:themeColor="text1"/>
          <w:sz w:val="24"/>
          <w:szCs w:val="24"/>
          <w:highlight w:val="none"/>
          <w:lang w:bidi="ar"/>
          <w14:textFill>
            <w14:solidFill>
              <w14:schemeClr w14:val="tx1"/>
            </w14:solidFill>
          </w14:textFill>
        </w:rPr>
        <w:t>按上述修正错误的原则及方法调整或修正投标文件的投标报价，调整后的投标报价对投标人起约束作用。如果投标人不接受修正后的报价，则取消其投标资格，并且其投标保证金也将不予退还。</w:t>
      </w:r>
    </w:p>
    <w:p>
      <w:pPr>
        <w:pBdr>
          <w:bottom w:val="single" w:color="auto" w:sz="6" w:space="1"/>
        </w:pBdr>
        <w:spacing w:line="360" w:lineRule="auto"/>
        <w:ind w:firstLine="540" w:firstLineChars="224"/>
        <w:rPr>
          <w:rFonts w:ascii="宋体" w:hAnsi="宋体" w:cs="宋体"/>
          <w:color w:val="000000" w:themeColor="text1"/>
          <w:sz w:val="24"/>
          <w:szCs w:val="24"/>
          <w:highlight w:val="none"/>
          <w:lang w:bidi="ar"/>
          <w14:textFill>
            <w14:solidFill>
              <w14:schemeClr w14:val="tx1"/>
            </w14:solidFill>
          </w14:textFill>
        </w:rPr>
      </w:pPr>
      <w:r>
        <w:rPr>
          <w:rFonts w:ascii="宋体" w:hAnsi="宋体" w:cs="宋体"/>
          <w:b/>
          <w:bCs/>
          <w:color w:val="000000" w:themeColor="text1"/>
          <w:sz w:val="24"/>
          <w:szCs w:val="24"/>
          <w:highlight w:val="none"/>
          <w:lang w:bidi="ar"/>
          <w14:textFill>
            <w14:solidFill>
              <w14:schemeClr w14:val="tx1"/>
            </w14:solidFill>
          </w14:textFill>
        </w:rPr>
        <w:t>现文：</w:t>
      </w:r>
      <w:r>
        <w:rPr>
          <w:rFonts w:hint="eastAsia" w:ascii="宋体" w:hAnsi="宋体" w:cs="宋体"/>
          <w:color w:val="000000" w:themeColor="text1"/>
          <w:sz w:val="24"/>
          <w:szCs w:val="24"/>
          <w:highlight w:val="none"/>
          <w:lang w:bidi="ar"/>
          <w14:textFill>
            <w14:solidFill>
              <w14:schemeClr w14:val="tx1"/>
            </w14:solidFill>
          </w14:textFill>
        </w:rPr>
        <w:t>46.2.8</w:t>
      </w:r>
      <w:r>
        <w:rPr>
          <w:rFonts w:hint="eastAsia" w:ascii="宋体" w:hAnsi="宋体" w:cs="宋体"/>
          <w:b/>
          <w:color w:val="000000" w:themeColor="text1"/>
          <w:szCs w:val="21"/>
          <w:highlight w:val="none"/>
          <w:lang w:bidi="ar"/>
          <w14:textFill>
            <w14:solidFill>
              <w14:schemeClr w14:val="tx1"/>
            </w14:solidFill>
          </w14:textFill>
        </w:rPr>
        <w:t xml:space="preserve"> </w:t>
      </w:r>
      <w:r>
        <w:rPr>
          <w:rFonts w:hint="eastAsia" w:ascii="宋体" w:hAnsi="宋体" w:cs="宋体"/>
          <w:color w:val="000000" w:themeColor="text1"/>
          <w:sz w:val="24"/>
          <w:szCs w:val="24"/>
          <w:highlight w:val="none"/>
          <w:lang w:bidi="ar"/>
          <w14:textFill>
            <w14:solidFill>
              <w14:schemeClr w14:val="tx1"/>
            </w14:solidFill>
          </w14:textFill>
        </w:rPr>
        <w:t>按上述修正错误的原则及方法调整或修正投标文件的投标报价，调整后的投标报价对投标人起约束作用。如果投标人不接受修正后的报价，则取消其投标资格。</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w:t>
      </w:r>
      <w:r>
        <w:rPr>
          <w:rFonts w:ascii="Times New Roman" w:hAnsi="Times New Roman"/>
          <w:color w:val="000000" w:themeColor="text1"/>
          <w:sz w:val="24"/>
          <w:szCs w:val="24"/>
          <w:highlight w:val="none"/>
          <w14:textFill>
            <w14:solidFill>
              <w14:schemeClr w14:val="tx1"/>
            </w14:solidFill>
          </w14:textFill>
        </w:rPr>
        <w:t xml:space="preserve"> </w:t>
      </w:r>
      <w:r>
        <w:rPr>
          <w:rFonts w:hint="eastAsia" w:ascii="Times New Roman" w:hAnsi="Times New Roman"/>
          <w:color w:val="000000" w:themeColor="text1"/>
          <w:sz w:val="24"/>
          <w:szCs w:val="24"/>
          <w:highlight w:val="none"/>
          <w14:textFill>
            <w14:solidFill>
              <w14:schemeClr w14:val="tx1"/>
            </w14:solidFill>
          </w14:textFill>
        </w:rPr>
        <w:t xml:space="preserve">49  </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9</w:t>
      </w:r>
      <w:r>
        <w:rPr>
          <w:rFonts w:hint="default" w:ascii="宋体" w:hAnsi="宋体"/>
          <w:color w:val="000000" w:themeColor="text1"/>
          <w:sz w:val="24"/>
          <w:szCs w:val="24"/>
          <w:highlight w:val="none"/>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若通过经济标有效性审查的投标人不足三家，应当依法重新招标。（当N个标段同时招标且不允许兼中时，若有效投标人不足N+2家，应当依法重新招标）</w:t>
      </w:r>
    </w:p>
    <w:p>
      <w:pPr>
        <w:pBdr>
          <w:bottom w:val="single" w:color="auto" w:sz="12" w:space="1"/>
        </w:pBdr>
        <w:spacing w:line="360" w:lineRule="auto"/>
        <w:ind w:firstLine="482" w:firstLineChars="200"/>
        <w:rPr>
          <w:rFonts w:ascii="宋体" w:hAnsi="宋体"/>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9</w:t>
      </w:r>
      <w:r>
        <w:rPr>
          <w:rFonts w:hint="default" w:ascii="宋体" w:hAnsi="宋体"/>
          <w:color w:val="000000" w:themeColor="text1"/>
          <w:sz w:val="24"/>
          <w:szCs w:val="24"/>
          <w:highlight w:val="none"/>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若通过经济标有效性审查的投标人不足三家，应当依法重新招标。</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条款号：附表一</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《资格审查表》</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见范本</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见后附（现文：附表一《资格审查表》）</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 xml:space="preserve">条款号：附表二 《技术标有效性审查表》 </w:t>
      </w:r>
      <w:r>
        <w:rPr>
          <w:rFonts w:ascii="Times New Roman" w:hAnsi="Times New Roman"/>
          <w:b/>
          <w:color w:val="000000" w:themeColor="text1"/>
          <w:sz w:val="24"/>
          <w:szCs w:val="24"/>
          <w:highlight w:val="none"/>
          <w14:textFill>
            <w14:solidFill>
              <w14:schemeClr w14:val="tx1"/>
            </w14:solidFill>
          </w14:textFill>
        </w:rPr>
        <w:t xml:space="preserve">    </w:t>
      </w:r>
      <w:r>
        <w:rPr>
          <w:rFonts w:hint="eastAsia" w:ascii="Times New Roman" w:hAnsi="Times New Roman"/>
          <w:b/>
          <w:color w:val="000000" w:themeColor="text1"/>
          <w:sz w:val="24"/>
          <w:szCs w:val="24"/>
          <w:highlight w:val="none"/>
          <w14:textFill>
            <w14:solidFill>
              <w14:schemeClr w14:val="tx1"/>
            </w14:solidFill>
          </w14:textFill>
        </w:rPr>
        <w:t>修改类型：修改</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见范本</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见后附（现文：附表二《技术标有效性审查表》）</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条款号：附表四 《技术标详细审查评分标准》     修改类型：补充</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见范本</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见后附（现文：附表四《技术标详细审查评分标准》）</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条款号：附表五 《经济标评分表》     修改类型：修改</w:t>
      </w:r>
    </w:p>
    <w:p>
      <w:pPr>
        <w:spacing w:line="480" w:lineRule="auto"/>
        <w:ind w:firstLine="540" w:firstLineChars="224"/>
        <w:rPr>
          <w:rFonts w:ascii="Times New Roman" w:hAnsi="Times New Roman"/>
          <w:b/>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原文：</w:t>
      </w:r>
      <w:r>
        <w:rPr>
          <w:rFonts w:hint="eastAsia" w:ascii="宋体" w:hAnsi="宋体"/>
          <w:color w:val="000000" w:themeColor="text1"/>
          <w:sz w:val="24"/>
          <w:szCs w:val="24"/>
          <w:highlight w:val="none"/>
          <w14:textFill>
            <w14:solidFill>
              <w14:schemeClr w14:val="tx1"/>
            </w14:solidFill>
          </w14:textFill>
        </w:rPr>
        <w:t>见范本</w:t>
      </w:r>
    </w:p>
    <w:p>
      <w:pPr>
        <w:pBdr>
          <w:bottom w:val="single" w:color="auto" w:sz="6" w:space="1"/>
        </w:pBdr>
        <w:spacing w:line="360" w:lineRule="auto"/>
        <w:ind w:firstLine="602" w:firstLineChars="250"/>
        <w:rPr>
          <w:rFonts w:ascii="Times New Roman" w:hAnsi="Times New Roman"/>
          <w:color w:val="000000" w:themeColor="text1"/>
          <w:sz w:val="24"/>
          <w:szCs w:val="24"/>
          <w:highlight w:val="none"/>
          <w14:textFill>
            <w14:solidFill>
              <w14:schemeClr w14:val="tx1"/>
            </w14:solidFill>
          </w14:textFill>
        </w:rPr>
      </w:pPr>
      <w:r>
        <w:rPr>
          <w:rFonts w:hint="eastAsia" w:ascii="Times New Roman" w:hAnsi="Times New Roman"/>
          <w:b/>
          <w:color w:val="000000" w:themeColor="text1"/>
          <w:sz w:val="24"/>
          <w:szCs w:val="24"/>
          <w:highlight w:val="none"/>
          <w14:textFill>
            <w14:solidFill>
              <w14:schemeClr w14:val="tx1"/>
            </w14:solidFill>
          </w14:textFill>
        </w:rPr>
        <w:t>现文：</w:t>
      </w:r>
      <w:r>
        <w:rPr>
          <w:rFonts w:hint="eastAsia" w:ascii="宋体" w:hAnsi="宋体"/>
          <w:color w:val="000000" w:themeColor="text1"/>
          <w:sz w:val="24"/>
          <w:szCs w:val="24"/>
          <w:highlight w:val="none"/>
          <w14:textFill>
            <w14:solidFill>
              <w14:schemeClr w14:val="tx1"/>
            </w14:solidFill>
          </w14:textFill>
        </w:rPr>
        <w:t>见后附（现文：附表五《经济标评分表》）</w:t>
      </w:r>
    </w:p>
    <w:p>
      <w:pPr>
        <w:spacing w:line="360" w:lineRule="auto"/>
        <w:ind w:firstLine="211" w:firstLineChars="100"/>
        <w:rPr>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注</w:t>
      </w:r>
      <w:r>
        <w:rPr>
          <w:rFonts w:hint="eastAsia"/>
          <w:b/>
          <w:color w:val="000000" w:themeColor="text1"/>
          <w:szCs w:val="21"/>
          <w:highlight w:val="none"/>
          <w14:textFill>
            <w14:solidFill>
              <w14:schemeClr w14:val="tx1"/>
            </w14:solidFill>
          </w14:textFill>
        </w:rPr>
        <w:t>：以上修改，仅限于本范本中有可供选择条款的情形。</w:t>
      </w:r>
    </w:p>
    <w:p>
      <w:pPr>
        <w:spacing w:line="360" w:lineRule="auto"/>
        <w:rPr>
          <w:color w:val="000000" w:themeColor="text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（以下无正文）</w:t>
      </w:r>
    </w:p>
    <w:p>
      <w:pPr>
        <w:pStyle w:val="7"/>
        <w:spacing w:line="360" w:lineRule="auto"/>
        <w:ind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pPr>
        <w:pStyle w:val="4"/>
        <w:ind w:firstLine="525"/>
        <w:rPr>
          <w:color w:val="000000" w:themeColor="text1"/>
          <w:highlight w:val="none"/>
          <w14:textFill>
            <w14:solidFill>
              <w14:schemeClr w14:val="tx1"/>
            </w14:solidFill>
          </w14:textFill>
        </w:rPr>
      </w:pPr>
      <w:bookmarkStart w:id="22" w:name="_Toc2272556"/>
      <w:bookmarkStart w:id="23" w:name="_Toc21525500"/>
      <w:r>
        <w:rPr>
          <w:rFonts w:hint="eastAsia"/>
          <w:color w:val="000000" w:themeColor="text1"/>
          <w:highlight w:val="none"/>
          <w14:textFill>
            <w14:solidFill>
              <w14:schemeClr w14:val="tx1"/>
            </w14:solidFill>
          </w14:textFill>
        </w:rPr>
        <w:t>二、开标、评标及定标办法</w:t>
      </w:r>
      <w:r>
        <w:rPr>
          <w:rFonts w:hint="eastAsia"/>
          <w:color w:val="000000" w:themeColor="text1"/>
          <w:szCs w:val="30"/>
          <w:highlight w:val="none"/>
          <w14:textFill>
            <w14:solidFill>
              <w14:schemeClr w14:val="tx1"/>
            </w14:solidFill>
          </w14:textFill>
        </w:rPr>
        <w:t>通用条款</w:t>
      </w:r>
      <w:bookmarkEnd w:id="22"/>
      <w:bookmarkEnd w:id="23"/>
    </w:p>
    <w:p>
      <w:pPr>
        <w:pStyle w:val="6"/>
        <w:spacing w:before="156" w:after="156"/>
        <w:ind w:firstLine="540" w:firstLineChars="200"/>
        <w:rPr>
          <w:color w:val="000000" w:themeColor="text1"/>
          <w:highlight w:val="none"/>
          <w14:textFill>
            <w14:solidFill>
              <w14:schemeClr w14:val="tx1"/>
            </w14:solidFill>
          </w14:textFill>
        </w:rPr>
      </w:pPr>
      <w:bookmarkStart w:id="24" w:name="_Toc21525501"/>
      <w:bookmarkStart w:id="25" w:name="_Toc2272557"/>
      <w:r>
        <w:rPr>
          <w:rFonts w:hint="eastAsia"/>
          <w:color w:val="000000" w:themeColor="text1"/>
          <w:highlight w:val="none"/>
          <w14:textFill>
            <w14:solidFill>
              <w14:schemeClr w14:val="tx1"/>
            </w14:solidFill>
          </w14:textFill>
        </w:rPr>
        <w:t>（一）总则</w:t>
      </w:r>
      <w:bookmarkEnd w:id="24"/>
      <w:bookmarkEnd w:id="25"/>
    </w:p>
    <w:p>
      <w:pPr>
        <w:spacing w:line="360" w:lineRule="auto"/>
        <w:ind w:firstLine="480" w:firstLineChars="200"/>
        <w:rPr>
          <w:rFonts w:ascii="宋体" w:hAnsi="宋体"/>
          <w:b/>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35 </w:t>
      </w:r>
      <w:r>
        <w:rPr>
          <w:rFonts w:hint="eastAsia" w:ascii="宋体" w:hAnsi="宋体"/>
          <w:color w:val="000000" w:themeColor="text1"/>
          <w:sz w:val="24"/>
          <w:szCs w:val="24"/>
          <w:highlight w:val="none"/>
          <w14:textFill>
            <w14:solidFill>
              <w14:schemeClr w14:val="tx1"/>
            </w14:solidFill>
          </w14:textFill>
        </w:rPr>
        <w:t>开标、评标及定标所依据的规则</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35.1</w:t>
      </w:r>
      <w:r>
        <w:rPr>
          <w:rFonts w:hint="eastAsia" w:ascii="宋体" w:hAnsi="宋体"/>
          <w:color w:val="000000" w:themeColor="text1"/>
          <w:sz w:val="24"/>
          <w:szCs w:val="24"/>
          <w:highlight w:val="none"/>
          <w14:textFill>
            <w14:solidFill>
              <w14:schemeClr w14:val="tx1"/>
            </w14:solidFill>
          </w14:textFill>
        </w:rPr>
        <w:t>《中华人民共和国招标投标法》；</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35.2</w:t>
      </w:r>
      <w:r>
        <w:rPr>
          <w:rFonts w:hint="eastAsia" w:ascii="宋体" w:hAnsi="宋体"/>
          <w:color w:val="000000" w:themeColor="text1"/>
          <w:sz w:val="24"/>
          <w:szCs w:val="24"/>
          <w:highlight w:val="none"/>
          <w14:textFill>
            <w14:solidFill>
              <w14:schemeClr w14:val="tx1"/>
            </w14:solidFill>
          </w14:textFill>
        </w:rPr>
        <w:t>《中华人民共和国招标投标法实施条例》；</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35.3</w:t>
      </w:r>
      <w:r>
        <w:rPr>
          <w:rFonts w:hint="eastAsia" w:ascii="宋体" w:hAnsi="宋体"/>
          <w:color w:val="000000" w:themeColor="text1"/>
          <w:sz w:val="24"/>
          <w:szCs w:val="24"/>
          <w:highlight w:val="none"/>
          <w14:textFill>
            <w14:solidFill>
              <w14:schemeClr w14:val="tx1"/>
            </w14:solidFill>
          </w14:textFill>
        </w:rPr>
        <w:t>《评标委员会和评标方法暂行规定》（七部委第</w:t>
      </w:r>
      <w:r>
        <w:rPr>
          <w:rFonts w:ascii="宋体" w:hAnsi="宋体"/>
          <w:color w:val="000000" w:themeColor="text1"/>
          <w:sz w:val="24"/>
          <w:szCs w:val="24"/>
          <w:highlight w:val="none"/>
          <w14:textFill>
            <w14:solidFill>
              <w14:schemeClr w14:val="tx1"/>
            </w14:solidFill>
          </w14:textFill>
        </w:rPr>
        <w:t>12</w:t>
      </w:r>
      <w:r>
        <w:rPr>
          <w:rFonts w:hint="eastAsia" w:ascii="宋体" w:hAnsi="宋体"/>
          <w:color w:val="000000" w:themeColor="text1"/>
          <w:sz w:val="24"/>
          <w:szCs w:val="24"/>
          <w:highlight w:val="none"/>
          <w14:textFill>
            <w14:solidFill>
              <w14:schemeClr w14:val="tx1"/>
            </w14:solidFill>
          </w14:textFill>
        </w:rPr>
        <w:t>号令）；</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35.4</w:t>
      </w:r>
      <w:r>
        <w:rPr>
          <w:rFonts w:hint="eastAsia" w:ascii="宋体" w:hAnsi="宋体"/>
          <w:color w:val="000000" w:themeColor="text1"/>
          <w:sz w:val="24"/>
          <w:szCs w:val="24"/>
          <w:highlight w:val="none"/>
          <w14:textFill>
            <w14:solidFill>
              <w14:schemeClr w14:val="tx1"/>
            </w14:solidFill>
          </w14:textFill>
        </w:rPr>
        <w:t>《工程建设项目施工招标投标办法》（七部委</w:t>
      </w:r>
      <w:r>
        <w:rPr>
          <w:rFonts w:ascii="宋体" w:hAnsi="宋体"/>
          <w:color w:val="000000" w:themeColor="text1"/>
          <w:sz w:val="24"/>
          <w:szCs w:val="24"/>
          <w:highlight w:val="none"/>
          <w14:textFill>
            <w14:solidFill>
              <w14:schemeClr w14:val="tx1"/>
            </w14:solidFill>
          </w14:textFill>
        </w:rPr>
        <w:t>2003</w:t>
      </w:r>
      <w:r>
        <w:rPr>
          <w:rFonts w:hint="eastAsia" w:ascii="宋体" w:hAnsi="宋体"/>
          <w:color w:val="000000" w:themeColor="text1"/>
          <w:sz w:val="24"/>
          <w:szCs w:val="24"/>
          <w:highlight w:val="none"/>
          <w14:textFill>
            <w14:solidFill>
              <w14:schemeClr w14:val="tx1"/>
            </w14:solidFill>
          </w14:textFill>
        </w:rPr>
        <w:t>年第</w:t>
      </w:r>
      <w:r>
        <w:rPr>
          <w:rFonts w:ascii="宋体" w:hAnsi="宋体"/>
          <w:color w:val="000000" w:themeColor="text1"/>
          <w:sz w:val="24"/>
          <w:szCs w:val="24"/>
          <w:highlight w:val="none"/>
          <w14:textFill>
            <w14:solidFill>
              <w14:schemeClr w14:val="tx1"/>
            </w14:solidFill>
          </w14:textFill>
        </w:rPr>
        <w:t>30</w:t>
      </w:r>
      <w:r>
        <w:rPr>
          <w:rFonts w:hint="eastAsia" w:ascii="宋体" w:hAnsi="宋体"/>
          <w:color w:val="000000" w:themeColor="text1"/>
          <w:sz w:val="24"/>
          <w:szCs w:val="24"/>
          <w:highlight w:val="none"/>
          <w14:textFill>
            <w14:solidFill>
              <w14:schemeClr w14:val="tx1"/>
            </w14:solidFill>
          </w14:textFill>
        </w:rPr>
        <w:t>号令）；</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35.5</w:t>
      </w:r>
      <w:r>
        <w:rPr>
          <w:rFonts w:hint="eastAsia" w:ascii="宋体" w:hAnsi="宋体"/>
          <w:color w:val="000000" w:themeColor="text1"/>
          <w:sz w:val="24"/>
          <w:szCs w:val="24"/>
          <w:highlight w:val="none"/>
          <w14:textFill>
            <w14:solidFill>
              <w14:schemeClr w14:val="tx1"/>
            </w14:solidFill>
          </w14:textFill>
        </w:rPr>
        <w:t>《广东省实施〈中华人民共和国招标投标法〉办法》；</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35.6</w:t>
      </w:r>
      <w:r>
        <w:rPr>
          <w:rFonts w:hint="eastAsia" w:ascii="宋体" w:hAnsi="宋体"/>
          <w:color w:val="000000" w:themeColor="text1"/>
          <w:sz w:val="24"/>
          <w:szCs w:val="24"/>
          <w:highlight w:val="none"/>
          <w14:textFill>
            <w14:solidFill>
              <w14:schemeClr w14:val="tx1"/>
            </w14:solidFill>
          </w14:textFill>
        </w:rPr>
        <w:t>《房屋建筑和市政基础设施工程施工招标投标管理办法》（建设部令第</w:t>
      </w:r>
      <w:r>
        <w:rPr>
          <w:rFonts w:ascii="宋体" w:hAnsi="宋体"/>
          <w:color w:val="000000" w:themeColor="text1"/>
          <w:sz w:val="24"/>
          <w:szCs w:val="24"/>
          <w:highlight w:val="none"/>
          <w14:textFill>
            <w14:solidFill>
              <w14:schemeClr w14:val="tx1"/>
            </w14:solidFill>
          </w14:textFill>
        </w:rPr>
        <w:t>89</w:t>
      </w:r>
      <w:r>
        <w:rPr>
          <w:rFonts w:hint="eastAsia" w:ascii="宋体" w:hAnsi="宋体"/>
          <w:color w:val="000000" w:themeColor="text1"/>
          <w:sz w:val="24"/>
          <w:szCs w:val="24"/>
          <w:highlight w:val="none"/>
          <w14:textFill>
            <w14:solidFill>
              <w14:schemeClr w14:val="tx1"/>
            </w14:solidFill>
          </w14:textFill>
        </w:rPr>
        <w:t>号）；</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35.7</w:t>
      </w:r>
      <w:r>
        <w:rPr>
          <w:rFonts w:hint="eastAsia" w:ascii="宋体" w:hAnsi="宋体"/>
          <w:color w:val="000000" w:themeColor="text1"/>
          <w:sz w:val="24"/>
          <w:szCs w:val="24"/>
          <w:highlight w:val="none"/>
          <w14:textFill>
            <w14:solidFill>
              <w14:schemeClr w14:val="tx1"/>
            </w14:solidFill>
          </w14:textFill>
        </w:rPr>
        <w:t>《广东省加强建设工程招标投标监督管理的若干规定》（粤发</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2004</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4号）；</w:t>
      </w:r>
    </w:p>
    <w:p>
      <w:pPr>
        <w:keepNext w:val="0"/>
        <w:keepLines w:val="0"/>
        <w:widowControl w:val="0"/>
        <w:suppressLineNumbers w:val="0"/>
        <w:spacing w:before="0" w:beforeAutospacing="0" w:after="0" w:afterAutospacing="0" w:line="360" w:lineRule="auto"/>
        <w:ind w:left="0" w:right="0" w:firstLine="480" w:firstLineChars="200"/>
        <w:jc w:val="both"/>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35.</w:t>
      </w:r>
      <w:r>
        <w:rPr>
          <w:rFonts w:hint="eastAsia" w:ascii="宋体" w:hAnsi="宋体"/>
          <w:color w:val="000000" w:themeColor="text1"/>
          <w:sz w:val="24"/>
          <w:szCs w:val="24"/>
          <w:highlight w:val="none"/>
          <w14:textFill>
            <w14:solidFill>
              <w14:schemeClr w14:val="tx1"/>
            </w14:solidFill>
          </w14:textFill>
        </w:rPr>
        <w:t>8</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《广州市工程建设项目招标投标管理办法》（穗建规字〔2023〕12号）</w:t>
      </w:r>
      <w:r>
        <w:rPr>
          <w:rFonts w:hint="eastAsia" w:ascii="宋体" w:hAnsi="宋体"/>
          <w:color w:val="000000" w:themeColor="text1"/>
          <w:sz w:val="24"/>
          <w:szCs w:val="24"/>
          <w:highlight w:val="none"/>
          <w14:textFill>
            <w14:solidFill>
              <w14:schemeClr w14:val="tx1"/>
            </w14:solidFill>
          </w14:textFill>
        </w:rPr>
        <w:t>；</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35.9本项目招标文件。</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36</w:t>
      </w:r>
      <w:r>
        <w:rPr>
          <w:rFonts w:hint="eastAsia" w:ascii="宋体" w:hAnsi="宋体"/>
          <w:color w:val="000000" w:themeColor="text1"/>
          <w:sz w:val="24"/>
          <w:szCs w:val="24"/>
          <w:highlight w:val="none"/>
          <w14:textFill>
            <w14:solidFill>
              <w14:schemeClr w14:val="tx1"/>
            </w14:solidFill>
          </w14:textFill>
        </w:rPr>
        <w:t>．开标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36.1 </w:t>
      </w:r>
      <w:r>
        <w:rPr>
          <w:rFonts w:hint="eastAsia" w:ascii="宋体" w:hAnsi="宋体"/>
          <w:color w:val="000000" w:themeColor="text1"/>
          <w:sz w:val="24"/>
          <w:szCs w:val="24"/>
          <w:highlight w:val="none"/>
          <w14:textFill>
            <w14:solidFill>
              <w14:schemeClr w14:val="tx1"/>
            </w14:solidFill>
          </w14:textFill>
        </w:rPr>
        <w:t>招标人按投标须知前附表第18项所规定的时间和地点公开开标，并邀请所有投标人参加。截标后，开标开始时间因故推迟的，相关评标信息仍以原定的开标开始时间的信息为准。</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36.2</w:t>
      </w:r>
      <w:r>
        <w:rPr>
          <w:rFonts w:hint="eastAsia" w:ascii="宋体" w:hAnsi="宋体"/>
          <w:color w:val="000000" w:themeColor="text1"/>
          <w:sz w:val="24"/>
          <w:szCs w:val="24"/>
          <w:highlight w:val="none"/>
          <w14:textFill>
            <w14:solidFill>
              <w14:schemeClr w14:val="tx1"/>
            </w14:solidFill>
          </w14:textFill>
        </w:rPr>
        <w:t xml:space="preserve"> 招标人在招标文件要求提交投标文件的截止时间前收到的投标文件，开标时都当众予以解密、公布。</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36.3根据投标须知前附表第19项，如需抽取某一种评标办法供评标时使用的，应在开标前抽取。首先对招标文件中约定的若干种评标方法进行编号，再随机抽取某一编号，该编号所对应的评标办法供评标时使用。</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36.4若递交投标文件的投标人不足3家，则重新组织招标。（当</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个标段同时招标且不允许兼中时，若有效投标人不足</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2家，则重新组织招标）</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36.5按下列程序进行开标：</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36.5.1在投标截止时间后半小时内，投标人通过交易平台对已递交的电子投标文件进行解密。投标人完成解密后，再由招标人进行解密。解密完成后，公布招标项目名称、投标人名称、投标保证金的递交情况、投标报价、工期及其他内容；</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36.5.2备用光盘的读取按投标须知前附表第36项的规定执行；</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36.5.3投标人代表、招标人代表、监标人、记录人等有关人员在开标记录上签字确认；若有关人员不签字的，不影响开标程序；</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36.5.4开标结束。</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36.6投标截止时间前未完成投标文件传输的或因投标人之外的原因造成投标文件未解密且未按要求递交备用光盘的，视为投标人撤回投标文件。因投标人原因造成投标文件未解密或未在规定的时间内解密的，视为撤销其投标文件。</w:t>
      </w:r>
    </w:p>
    <w:p>
      <w:pPr>
        <w:spacing w:line="360" w:lineRule="auto"/>
        <w:ind w:firstLine="480" w:firstLineChars="200"/>
        <w:rPr>
          <w:rFonts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36.7开标时，两个（含两个）以上的投标人加密打包投标文件电脑机器特征码一致的，不参与下一程序，并由评标委员会否决其投标。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w:t>
      </w:r>
      <w:r>
        <w:rPr>
          <w:rFonts w:hint="eastAsia" w:ascii="宋体" w:hAnsi="宋体"/>
          <w:color w:val="000000" w:themeColor="text1"/>
          <w:sz w:val="24"/>
          <w:szCs w:val="24"/>
          <w:highlight w:val="none"/>
          <w14:textFill>
            <w14:solidFill>
              <w14:schemeClr w14:val="tx1"/>
            </w14:solidFill>
          </w14:textFill>
        </w:rPr>
        <w:t>．评标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37.1</w:t>
      </w:r>
      <w:r>
        <w:rPr>
          <w:rFonts w:hint="eastAsia" w:ascii="宋体" w:hAnsi="宋体"/>
          <w:color w:val="000000" w:themeColor="text1"/>
          <w:sz w:val="24"/>
          <w:szCs w:val="24"/>
          <w:highlight w:val="none"/>
          <w14:textFill>
            <w14:solidFill>
              <w14:schemeClr w14:val="tx1"/>
            </w14:solidFill>
          </w14:textFill>
        </w:rPr>
        <w:t>评标委员会由招标人依法组建。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37.2</w:t>
      </w:r>
      <w:r>
        <w:rPr>
          <w:rFonts w:hint="eastAsia" w:ascii="宋体" w:hAnsi="宋体"/>
          <w:color w:val="000000" w:themeColor="text1"/>
          <w:sz w:val="24"/>
          <w:szCs w:val="24"/>
          <w:highlight w:val="none"/>
          <w14:textFill>
            <w14:solidFill>
              <w14:schemeClr w14:val="tx1"/>
            </w14:solidFill>
          </w14:textFill>
        </w:rPr>
        <w:t>评标委员会的职责及守则：</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37.2.1</w:t>
      </w:r>
      <w:r>
        <w:rPr>
          <w:rFonts w:hint="eastAsia" w:ascii="宋体" w:hAnsi="宋体"/>
          <w:color w:val="000000" w:themeColor="text1"/>
          <w:sz w:val="24"/>
          <w:szCs w:val="24"/>
          <w:highlight w:val="none"/>
          <w14:textFill>
            <w14:solidFill>
              <w14:schemeClr w14:val="tx1"/>
            </w14:solidFill>
          </w14:textFill>
        </w:rPr>
        <w:t>根据评标细则，对</w:t>
      </w:r>
      <w:r>
        <w:rPr>
          <w:rFonts w:hint="eastAsia" w:ascii="宋体" w:hAnsi="宋体"/>
          <w:color w:val="000000" w:themeColor="text1"/>
          <w:sz w:val="24"/>
          <w:highlight w:val="none"/>
          <w14:textFill>
            <w14:solidFill>
              <w14:schemeClr w14:val="tx1"/>
            </w14:solidFill>
          </w14:textFill>
        </w:rPr>
        <w:t>投标文件</w:t>
      </w:r>
      <w:r>
        <w:rPr>
          <w:rFonts w:hint="eastAsia" w:ascii="宋体" w:hAnsi="宋体"/>
          <w:color w:val="000000" w:themeColor="text1"/>
          <w:sz w:val="24"/>
          <w:szCs w:val="24"/>
          <w:highlight w:val="none"/>
          <w14:textFill>
            <w14:solidFill>
              <w14:schemeClr w14:val="tx1"/>
            </w14:solidFill>
          </w14:textFill>
        </w:rPr>
        <w:t>进行认真评审，完成评审报告；</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37.2.2</w:t>
      </w:r>
      <w:r>
        <w:rPr>
          <w:rFonts w:hint="eastAsia" w:ascii="宋体" w:hAnsi="宋体"/>
          <w:color w:val="000000" w:themeColor="text1"/>
          <w:sz w:val="24"/>
          <w:szCs w:val="24"/>
          <w:highlight w:val="none"/>
          <w14:textFill>
            <w14:solidFill>
              <w14:schemeClr w14:val="tx1"/>
            </w14:solidFill>
          </w14:textFill>
        </w:rPr>
        <w:t>向招标人报告评审意见，推荐合格的中标候选人。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bCs/>
          <w:color w:val="000000" w:themeColor="text1"/>
          <w:sz w:val="24"/>
          <w:szCs w:val="24"/>
          <w:highlight w:val="none"/>
          <w14:textFill>
            <w14:solidFill>
              <w14:schemeClr w14:val="tx1"/>
            </w14:solidFill>
          </w14:textFill>
        </w:rPr>
        <w:t>37.2.3</w:t>
      </w:r>
      <w:r>
        <w:rPr>
          <w:rFonts w:ascii="宋体" w:hAnsi="宋体"/>
          <w:b/>
          <w:bCs/>
          <w:color w:val="000000" w:themeColor="text1"/>
          <w:sz w:val="24"/>
          <w:szCs w:val="24"/>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所有参加评标人员必须遵守国家、地方政府制定的有关工程招标投标的法则、规定，遵守有关工程招标投标的保密制度；如有违反者，给予行政处分；情节严重，构成犯罪的，由司法机关依法追究其刑事责任。</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37.2.4</w:t>
      </w:r>
      <w:r>
        <w:rPr>
          <w:rFonts w:hint="eastAsia" w:ascii="宋体" w:hAnsi="宋体"/>
          <w:color w:val="000000" w:themeColor="text1"/>
          <w:sz w:val="24"/>
          <w:szCs w:val="24"/>
          <w:highlight w:val="none"/>
          <w14:textFill>
            <w14:solidFill>
              <w14:schemeClr w14:val="tx1"/>
            </w14:solidFill>
          </w14:textFill>
        </w:rPr>
        <w:t>全体参与评标人员：</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37.2.4.1 </w:t>
      </w:r>
      <w:r>
        <w:rPr>
          <w:rFonts w:hint="eastAsia" w:ascii="宋体" w:hAnsi="宋体"/>
          <w:color w:val="000000" w:themeColor="text1"/>
          <w:sz w:val="24"/>
          <w:szCs w:val="24"/>
          <w:highlight w:val="none"/>
          <w14:textFill>
            <w14:solidFill>
              <w14:schemeClr w14:val="tx1"/>
            </w14:solidFill>
          </w14:textFill>
        </w:rPr>
        <w:t>必须遵守评标纪律、不得泄密；</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37.2.4.2 </w:t>
      </w:r>
      <w:r>
        <w:rPr>
          <w:rFonts w:hint="eastAsia" w:ascii="宋体" w:hAnsi="宋体"/>
          <w:color w:val="000000" w:themeColor="text1"/>
          <w:sz w:val="24"/>
          <w:szCs w:val="24"/>
          <w:highlight w:val="none"/>
          <w14:textFill>
            <w14:solidFill>
              <w14:schemeClr w14:val="tx1"/>
            </w14:solidFill>
          </w14:textFill>
        </w:rPr>
        <w:t>必须公正、不得循私；</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37.2.4.3 </w:t>
      </w:r>
      <w:r>
        <w:rPr>
          <w:rFonts w:hint="eastAsia" w:ascii="宋体" w:hAnsi="宋体"/>
          <w:color w:val="000000" w:themeColor="text1"/>
          <w:sz w:val="24"/>
          <w:szCs w:val="24"/>
          <w:highlight w:val="none"/>
          <w14:textFill>
            <w14:solidFill>
              <w14:schemeClr w14:val="tx1"/>
            </w14:solidFill>
          </w14:textFill>
        </w:rPr>
        <w:t>必须科学、不得草率；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37.2.4.4 </w:t>
      </w:r>
      <w:r>
        <w:rPr>
          <w:rFonts w:hint="eastAsia" w:ascii="宋体" w:hAnsi="宋体"/>
          <w:color w:val="000000" w:themeColor="text1"/>
          <w:sz w:val="24"/>
          <w:szCs w:val="24"/>
          <w:highlight w:val="none"/>
          <w14:textFill>
            <w14:solidFill>
              <w14:schemeClr w14:val="tx1"/>
            </w14:solidFill>
          </w14:textFill>
        </w:rPr>
        <w:t>必须客观、不得带有成见；</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37.2.4.5 </w:t>
      </w:r>
      <w:r>
        <w:rPr>
          <w:rFonts w:hint="eastAsia" w:ascii="宋体" w:hAnsi="宋体"/>
          <w:color w:val="000000" w:themeColor="text1"/>
          <w:sz w:val="24"/>
          <w:szCs w:val="24"/>
          <w:highlight w:val="none"/>
          <w14:textFill>
            <w14:solidFill>
              <w14:schemeClr w14:val="tx1"/>
            </w14:solidFill>
          </w14:textFill>
        </w:rPr>
        <w:t>必须平等、不得强加于人；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37.2.4.6 </w:t>
      </w:r>
      <w:r>
        <w:rPr>
          <w:rFonts w:hint="eastAsia" w:ascii="宋体" w:hAnsi="宋体"/>
          <w:color w:val="000000" w:themeColor="text1"/>
          <w:sz w:val="24"/>
          <w:szCs w:val="24"/>
          <w:highlight w:val="none"/>
          <w14:textFill>
            <w14:solidFill>
              <w14:schemeClr w14:val="tx1"/>
            </w14:solidFill>
          </w14:textFill>
        </w:rPr>
        <w:t>必须严谨、不得随意马虎。</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Times New Roman"/>
          <w:color w:val="000000" w:themeColor="text1"/>
          <w:kern w:val="2"/>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37.3 </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评标工作开始前，招标人应当向评标委员会提供评标所需的信息，包括招标项目的范围、性质、特殊性、需求目标和实施要点，以及招标文件规定的评标方法、评标因素及标准等，但不得明示或者暗示其倾向或者排斥特定投标人。</w:t>
      </w:r>
    </w:p>
    <w:p>
      <w:pPr>
        <w:spacing w:line="240" w:lineRule="auto"/>
        <w:ind w:firstLine="0" w:firstLineChars="0"/>
        <w:rPr>
          <w:rFonts w:ascii="宋体" w:hAnsi="宋体"/>
          <w:color w:val="000000" w:themeColor="text1"/>
          <w:sz w:val="24"/>
          <w:szCs w:val="24"/>
          <w:highlight w:val="none"/>
          <w14:textFill>
            <w14:solidFill>
              <w14:schemeClr w14:val="tx1"/>
            </w14:solidFill>
          </w14:textFill>
        </w:rPr>
      </w:pPr>
      <w:r>
        <w:rPr>
          <w:rFonts w:hint="default" w:ascii="宋体" w:hAnsi="宋体" w:eastAsia="宋体" w:cs="宋体"/>
          <w:color w:val="000000" w:themeColor="text1"/>
          <w:kern w:val="2"/>
          <w:sz w:val="24"/>
          <w:szCs w:val="24"/>
          <w:highlight w:val="none"/>
          <w:lang w:eastAsia="zh-CN" w:bidi="ar"/>
          <w14:textFill>
            <w14:solidFill>
              <w14:schemeClr w14:val="tx1"/>
            </w14:solidFill>
          </w14:textFill>
        </w:rPr>
        <w:t xml:space="preserve">    </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37.4评标结束后，评标委员会递交评标报告并依法推荐中标候选人。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38</w:t>
      </w:r>
      <w:r>
        <w:rPr>
          <w:rFonts w:hint="eastAsia" w:ascii="宋体" w:hAnsi="宋体"/>
          <w:color w:val="000000" w:themeColor="text1"/>
          <w:sz w:val="24"/>
          <w:szCs w:val="24"/>
          <w:highlight w:val="none"/>
          <w14:textFill>
            <w14:solidFill>
              <w14:schemeClr w14:val="tx1"/>
            </w14:solidFill>
          </w14:textFill>
        </w:rPr>
        <w:t>．投标文件的澄清</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38.1</w:t>
      </w:r>
      <w:r>
        <w:rPr>
          <w:rFonts w:hint="eastAsia" w:ascii="宋体" w:hAnsi="宋体"/>
          <w:color w:val="000000" w:themeColor="text1"/>
          <w:sz w:val="24"/>
          <w:szCs w:val="24"/>
          <w:highlight w:val="none"/>
          <w14:textFill>
            <w14:solidFill>
              <w14:schemeClr w14:val="tx1"/>
            </w14:solidFill>
          </w14:textFill>
        </w:rPr>
        <w:t>为有助于投标文件的审查、评价和比较，评标期间，经评标委员会或评标委员会专业评审组中两人以上（含两人）以书面形式提出动议，评标委员会或评标委员会专业评审组应当书面发出澄清通知，要求投标人对投标文件含义不明确的内容作出澄清。</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38.2 </w:t>
      </w:r>
      <w:r>
        <w:rPr>
          <w:rFonts w:hint="eastAsia" w:ascii="宋体" w:hAnsi="宋体"/>
          <w:color w:val="000000" w:themeColor="text1"/>
          <w:sz w:val="24"/>
          <w:szCs w:val="24"/>
          <w:highlight w:val="none"/>
          <w14:textFill>
            <w14:solidFill>
              <w14:schemeClr w14:val="tx1"/>
            </w14:solidFill>
          </w14:textFill>
        </w:rPr>
        <w:t>投标人应以书面形式进行澄清，澄清中的承诺性意思表示在投标文件有效期内均对投标人有约束力。除评标委员会对评标中发现算术错误进行修正后要求投标人以澄清形式进行的核实和确认外，澄清不得超出投标文件的范围或改变投标文件的实质性内容，超出部分不作为评标委员会评审的依据。</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38.3 </w:t>
      </w:r>
      <w:r>
        <w:rPr>
          <w:rFonts w:hint="eastAsia" w:ascii="宋体" w:hAnsi="宋体"/>
          <w:color w:val="000000" w:themeColor="text1"/>
          <w:sz w:val="24"/>
          <w:szCs w:val="24"/>
          <w:highlight w:val="none"/>
          <w14:textFill>
            <w14:solidFill>
              <w14:schemeClr w14:val="tx1"/>
            </w14:solidFill>
          </w14:textFill>
        </w:rPr>
        <w:t>评标委员会或评标委员会专业评审组成员均应当阅读投标人的澄清，但应独立参考澄清对投标文件进行评审。</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38.4</w:t>
      </w:r>
      <w:r>
        <w:rPr>
          <w:rFonts w:hint="eastAsia" w:ascii="宋体" w:hAnsi="宋体"/>
          <w:color w:val="000000" w:themeColor="text1"/>
          <w:sz w:val="24"/>
          <w:szCs w:val="24"/>
          <w:highlight w:val="none"/>
          <w14:textFill>
            <w14:solidFill>
              <w14:schemeClr w14:val="tx1"/>
            </w14:solidFill>
          </w14:textFill>
        </w:rPr>
        <w:t>如果投标文件实质上不响应招标文件的各项要求，评标委员会将按照符合性审查标准予以拒绝，不接受投标人通过修改或撤销其不符合要求的差异或保留，使之成为具有响应性的投标。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38.5投标人如在本项目中存在串通投标、弄虚作假、行贿情形且在评标过程中未被发现的，该投标不改变本项目评标结果排序，其中标无效。招标人按照《中华人民共和国招标投标法实施条例》第五十五条的规定依次确定中标人或重新招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39</w:t>
      </w:r>
      <w:r>
        <w:rPr>
          <w:rFonts w:hint="eastAsia" w:ascii="宋体" w:hAnsi="宋体"/>
          <w:color w:val="000000" w:themeColor="text1"/>
          <w:sz w:val="24"/>
          <w:szCs w:val="24"/>
          <w:highlight w:val="none"/>
          <w14:textFill>
            <w14:solidFill>
              <w14:schemeClr w14:val="tx1"/>
            </w14:solidFill>
          </w14:textFill>
        </w:rPr>
        <w:t>．定标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39.1 </w:t>
      </w:r>
      <w:r>
        <w:rPr>
          <w:rFonts w:hint="eastAsia" w:ascii="宋体" w:hAnsi="宋体"/>
          <w:color w:val="000000" w:themeColor="text1"/>
          <w:sz w:val="24"/>
          <w:szCs w:val="24"/>
          <w:highlight w:val="none"/>
          <w14:textFill>
            <w14:solidFill>
              <w14:schemeClr w14:val="tx1"/>
            </w14:solidFill>
          </w14:textFill>
        </w:rPr>
        <w:t>招标人根据评标委员会递交的评标报告，最终审定中标人。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 xml:space="preserve">39.2 </w:t>
      </w:r>
      <w:r>
        <w:rPr>
          <w:rFonts w:hint="eastAsia" w:ascii="宋体" w:hAnsi="宋体"/>
          <w:color w:val="000000" w:themeColor="text1"/>
          <w:sz w:val="24"/>
          <w:szCs w:val="24"/>
          <w:highlight w:val="none"/>
          <w14:textFill>
            <w14:solidFill>
              <w14:schemeClr w14:val="tx1"/>
            </w14:solidFill>
          </w14:textFill>
        </w:rPr>
        <w:t>依法必须进行公开招标的项目，招标人应当确定排名第一的中标候选人为中标人。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39.3</w:t>
      </w:r>
      <w:r>
        <w:rPr>
          <w:rFonts w:hint="eastAsia" w:ascii="宋体" w:hAnsi="宋体"/>
          <w:color w:val="000000" w:themeColor="text1"/>
          <w:sz w:val="24"/>
          <w:szCs w:val="24"/>
          <w:highlight w:val="none"/>
          <w14:textFill>
            <w14:solidFill>
              <w14:schemeClr w14:val="tx1"/>
            </w14:solidFill>
          </w14:textFill>
        </w:rPr>
        <w:t>排名第一的中标候选人放弃中标、或因不可抗力提出不能履行合同，或者招标文件规定应当提交履约担保而在规定的期限内未能提交的，招标人可以确定排名第二的中标候选人为中标人。</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39.4</w:t>
      </w:r>
      <w:r>
        <w:rPr>
          <w:rFonts w:hint="eastAsia" w:ascii="宋体" w:hAnsi="宋体"/>
          <w:color w:val="000000" w:themeColor="text1"/>
          <w:sz w:val="24"/>
          <w:szCs w:val="24"/>
          <w:highlight w:val="none"/>
          <w14:textFill>
            <w14:solidFill>
              <w14:schemeClr w14:val="tx1"/>
            </w14:solidFill>
          </w14:textFill>
        </w:rPr>
        <w:t>排名第二的中标候选人出现前款所列的情形的，招标人可以确定排名第三的中标候选人为中标人。以此类推，如所有中标候选人均出现前款所列的情形，为招标失败，招标人依法重新招标。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39.5 重新评标的，评标信息（含业绩、奖项等）仍以投标截止时投标人的信息为准。因特殊原因需要延长投标有效期，投标人拒绝延长投标有效期的，仍参与评标，但不被推荐为中标候选人。</w:t>
      </w:r>
    </w:p>
    <w:p>
      <w:pPr>
        <w:pStyle w:val="6"/>
        <w:spacing w:before="156" w:after="156"/>
        <w:ind w:firstLine="540" w:firstLineChars="200"/>
        <w:rPr>
          <w:color w:val="000000" w:themeColor="text1"/>
          <w:highlight w:val="none"/>
          <w14:textFill>
            <w14:solidFill>
              <w14:schemeClr w14:val="tx1"/>
            </w14:solidFill>
          </w14:textFill>
        </w:rPr>
      </w:pPr>
      <w:bookmarkStart w:id="26" w:name="_Toc21525502"/>
      <w:bookmarkStart w:id="27" w:name="_Toc2272558"/>
      <w:r>
        <w:rPr>
          <w:rFonts w:hint="eastAsia"/>
          <w:color w:val="000000" w:themeColor="text1"/>
          <w:highlight w:val="none"/>
          <w14:textFill>
            <w14:solidFill>
              <w14:schemeClr w14:val="tx1"/>
            </w14:solidFill>
          </w14:textFill>
        </w:rPr>
        <w:t>（二）开标评标办法程序和细则</w:t>
      </w:r>
      <w:bookmarkEnd w:id="26"/>
      <w:bookmarkEnd w:id="27"/>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注：以下八种评标办法所述企业综合诚信评价分数即投标截止当日广州市工程招标代理行业协会网站上公布的企业综合诚信评价</w:t>
      </w:r>
      <w:r>
        <w:rPr>
          <w:rFonts w:ascii="宋体" w:hAnsi="宋体"/>
          <w:color w:val="000000" w:themeColor="text1"/>
          <w:sz w:val="24"/>
          <w:szCs w:val="24"/>
          <w:highlight w:val="none"/>
          <w14:textFill>
            <w14:solidFill>
              <w14:schemeClr w14:val="tx1"/>
            </w14:solidFill>
          </w14:textFill>
        </w:rPr>
        <w:t>60</w:t>
      </w:r>
      <w:r>
        <w:rPr>
          <w:rFonts w:hint="eastAsia" w:ascii="宋体" w:hAnsi="宋体"/>
          <w:color w:val="000000" w:themeColor="text1"/>
          <w:sz w:val="24"/>
          <w:szCs w:val="24"/>
          <w:highlight w:val="none"/>
          <w14:textFill>
            <w14:solidFill>
              <w14:schemeClr w14:val="tx1"/>
            </w14:solidFill>
          </w14:textFill>
        </w:rPr>
        <w:t>日诚信分。</w:t>
      </w:r>
    </w:p>
    <w:p>
      <w:pPr>
        <w:pStyle w:val="6"/>
        <w:spacing w:before="156" w:after="156"/>
        <w:ind w:firstLine="542" w:firstLineChars="200"/>
        <w:rPr>
          <w:color w:val="000000" w:themeColor="text1"/>
          <w:highlight w:val="none"/>
          <w14:textFill>
            <w14:solidFill>
              <w14:schemeClr w14:val="tx1"/>
            </w14:solidFill>
          </w14:textFill>
        </w:rPr>
      </w:pPr>
      <w:bookmarkStart w:id="28" w:name="_Toc2272564"/>
      <w:bookmarkStart w:id="29" w:name="_Toc21525509"/>
      <w:bookmarkStart w:id="30" w:name="_Toc2272563"/>
      <w:bookmarkStart w:id="31" w:name="_Toc21525508"/>
      <w:r>
        <w:rPr>
          <w:rFonts w:hint="eastAsia"/>
          <w:b/>
          <w:bCs/>
          <w:color w:val="000000" w:themeColor="text1"/>
          <w:highlight w:val="none"/>
          <w14:textFill>
            <w14:solidFill>
              <w14:schemeClr w14:val="tx1"/>
            </w14:solidFill>
          </w14:textFill>
        </w:rPr>
        <w:t>可选办法七（适合综合评分法四，技术标与经济标同时开启）</w:t>
      </w:r>
      <w:bookmarkEnd w:id="28"/>
      <w:bookmarkEnd w:id="29"/>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40．开标和评标程序</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40.1技术标（含资格审查文件）与经济标投标文件同时公开开标；</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40.2由评标委员会对所有已公开开标的投标人进行资格审查；</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40.3技术标投标文件有效性审查；</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40.4技术标详细审查评分；</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40.5经济标详细审查评分；</w:t>
      </w:r>
      <w:r>
        <w:rPr>
          <w:rFonts w:ascii="宋体"/>
          <w:color w:val="000000" w:themeColor="text1"/>
          <w:sz w:val="24"/>
          <w:szCs w:val="24"/>
          <w:highlight w:val="none"/>
          <w14:textFill>
            <w14:solidFill>
              <w14:schemeClr w14:val="tx1"/>
            </w14:solidFill>
          </w14:textFill>
        </w:rPr>
        <w:t xml:space="preserve"> </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40.6评标委员会按照投标人总得分由高至低排序；</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40.7经济标投标文件有效性审查；</w:t>
      </w:r>
    </w:p>
    <w:p>
      <w:pPr>
        <w:snapToGrid w:val="0"/>
        <w:spacing w:line="360" w:lineRule="auto"/>
        <w:ind w:firstLine="480" w:firstLineChars="200"/>
        <w:rPr>
          <w:rFonts w:ascii="宋体"/>
          <w:color w:val="000000" w:themeColor="text1"/>
          <w:szCs w:val="21"/>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40.8评标委员会按排序向招标人推荐中标候选人名单，并递交资格审查报告及评标报告。</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41．开标细则</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41.1开标由招标人主持；</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41.2 细则</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41.2.1投标截止期前，各投标人递交投标文件（包括技术标投标文件、经济标投标文件）至</w:t>
      </w:r>
      <w:r>
        <w:rPr>
          <w:rFonts w:hint="eastAsia" w:ascii="宋体"/>
          <w:color w:val="000000" w:themeColor="text1"/>
          <w:sz w:val="24"/>
          <w:szCs w:val="24"/>
          <w:highlight w:val="none"/>
          <w:u w:val="single"/>
          <w14:textFill>
            <w14:solidFill>
              <w14:schemeClr w14:val="tx1"/>
            </w14:solidFill>
          </w14:textFill>
        </w:rPr>
        <w:t xml:space="preserve">        </w:t>
      </w:r>
      <w:r>
        <w:rPr>
          <w:rFonts w:hint="eastAsia" w:ascii="宋体"/>
          <w:color w:val="000000" w:themeColor="text1"/>
          <w:sz w:val="24"/>
          <w:szCs w:val="24"/>
          <w:highlight w:val="none"/>
          <w14:textFill>
            <w14:solidFill>
              <w14:schemeClr w14:val="tx1"/>
            </w14:solidFill>
          </w14:textFill>
        </w:rPr>
        <w:t xml:space="preserve">交易平台。有关投标文件提交的事项详见第一章投标须知。 </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41.2.2开标前，首先由招标人随机抽取确定该工程计算评标参考价的等分点值X。</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41.2.3</w:t>
      </w:r>
      <w:r>
        <w:rPr>
          <w:rFonts w:hint="eastAsia" w:ascii="宋体" w:hAnsi="宋体"/>
          <w:color w:val="000000" w:themeColor="text1"/>
          <w:sz w:val="24"/>
          <w:szCs w:val="24"/>
          <w:highlight w:val="none"/>
          <w14:textFill>
            <w14:solidFill>
              <w14:schemeClr w14:val="tx1"/>
            </w14:solidFill>
          </w14:textFill>
        </w:rPr>
        <w:t>开标时，投标人代表有权参加现场开标或在线开标，也可以自主决定不参加开标，若投标人代表对开标过程有异议的，参加现场开标的应当在开标现场提出，同时出示本人身份证原件，招标人应当当场作出答复，并制作记录；参加在线开标的，投标人应通过交易平台在线提出，招标人应通过交易平台答复，答复后方可结束开标。</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 xml:space="preserve">41.2.4按36.5.1的规定完成解密后，公布下列内容，并予以记录，记录提交评标委员会评审： </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41.2.4.1开标时，公布：a、投标人名称；b、</w:t>
      </w:r>
      <w:r>
        <w:rPr>
          <w:rFonts w:hint="eastAsia" w:ascii="宋体" w:hAnsi="宋体"/>
          <w:color w:val="000000" w:themeColor="text1"/>
          <w:sz w:val="24"/>
          <w:highlight w:val="none"/>
          <w14:textFill>
            <w14:solidFill>
              <w14:schemeClr w14:val="tx1"/>
            </w14:solidFill>
          </w14:textFill>
        </w:rPr>
        <w:t>投标文件</w:t>
      </w:r>
      <w:r>
        <w:rPr>
          <w:rFonts w:hint="eastAsia" w:ascii="宋体"/>
          <w:color w:val="000000" w:themeColor="text1"/>
          <w:sz w:val="24"/>
          <w:szCs w:val="24"/>
          <w:highlight w:val="none"/>
          <w14:textFill>
            <w14:solidFill>
              <w14:schemeClr w14:val="tx1"/>
            </w14:solidFill>
          </w14:textFill>
        </w:rPr>
        <w:t>密封情况；c、投标报价；d、投标保证金；e、项目经理（负责人）名称；f、法定代表人证明及授权委托等主要内容及开标记录表中的其他必要内容。投标报价以数字和文字两种方式表述的，应公布文字表述的投标报价。</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41.3招标人对开标过程进行记录，并存档备查，投标人在技术标开标记录上签字。</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41.4 招标人将上述符合要求的投标文件，送至评标委员会进行评审。</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42. 资格审查及评标细则</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42.1资格审查及评标均由招标人依法组建的评标委员会负责。</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42.2评标委员会的组成：方式</w:t>
      </w:r>
      <w:r>
        <w:rPr>
          <w:rFonts w:hint="eastAsia" w:ascii="宋体"/>
          <w:color w:val="000000" w:themeColor="text1"/>
          <w:sz w:val="24"/>
          <w:szCs w:val="24"/>
          <w:highlight w:val="none"/>
          <w:u w:val="single"/>
          <w14:textFill>
            <w14:solidFill>
              <w14:schemeClr w14:val="tx1"/>
            </w14:solidFill>
          </w14:textFill>
        </w:rPr>
        <w:t xml:space="preserve">   </w:t>
      </w:r>
      <w:r>
        <w:rPr>
          <w:rFonts w:hint="eastAsia" w:ascii="宋体"/>
          <w:color w:val="000000" w:themeColor="text1"/>
          <w:sz w:val="24"/>
          <w:szCs w:val="24"/>
          <w:highlight w:val="none"/>
          <w14:textFill>
            <w14:solidFill>
              <w14:schemeClr w14:val="tx1"/>
            </w14:solidFill>
          </w14:textFill>
        </w:rPr>
        <w:t>。</w:t>
      </w:r>
    </w:p>
    <w:p>
      <w:pPr>
        <w:snapToGrid w:val="0"/>
        <w:spacing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方式一：评标委员会为综合评标委员会，负责资格审查及评标工作。</w:t>
      </w:r>
    </w:p>
    <w:p>
      <w:pPr>
        <w:pStyle w:val="17"/>
        <w:tabs>
          <w:tab w:val="left" w:pos="7380"/>
        </w:tabs>
        <w:snapToGrid w:val="0"/>
        <w:spacing w:after="0" w:line="360" w:lineRule="auto"/>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方式二：评标委员会由技术评审组和经济评审组组成。其中：资格审查及技术评审由技术评标组负责，经济评审由经济评审组负责。</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43．投标人资格审查</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43.1资格审查文件中全部符合附表一《资格审查表》中情形的，为资格审查合格；否则为资格审查不合格。如评标委员会成员的评审意见不一致时，以评标委员会过半数成员的意见作为评标委员会对该情形的认定结论。评委发现资格审查文件中含义不明确、对同类问题表述不一致、有明显文字和计算错误的，应当要求投标人作必要的澄清、说明后再判定投标人是否通过资格审查，不得直接认定其不通过资格审查。</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43.2汇总资格审查情况，编写资格审查报告。</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43.3资格审查不合格的投标文件不参加下一阶段的评标，不参与评标参考价的计算。</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43.4资格审查时，投标企业名称已经工商变更的，但企业及个人的资质证书未完成企业名称变更，仍然承认其有效。资质证书、安全生产许可证之间登记的信息不一致，应当允许投标人澄清，不得直接否决其投标。</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43.5资审合格后，投标人的资格发生变化而不满足投标人合格条件，在发出中标通知书前，资格问题仍未解决的，招标人将取消其中标资格。</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43.6资格审查合格的投标人少于3名的（当N个标段同时招标且不允许兼中时，资格审查合格的投标人少于N+2名），则本项目招标失败。</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44．技术标评审</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44.1</w:t>
      </w:r>
      <w:r>
        <w:rPr>
          <w:rFonts w:hint="eastAsia" w:ascii="宋体" w:hAnsi="宋体"/>
          <w:color w:val="000000" w:themeColor="text1"/>
          <w:sz w:val="24"/>
          <w:szCs w:val="24"/>
          <w:highlight w:val="none"/>
          <w14:textFill>
            <w14:solidFill>
              <w14:schemeClr w14:val="tx1"/>
            </w14:solidFill>
          </w14:textFill>
        </w:rPr>
        <w:t>技术标的有效性审查：投标文件中没有任一种列于本办法附表二《技术标有效性审查表》中情形的，为有效投标文件。否则其投标文件将被否决。被否决的投标人不参与下一阶段评审，不参与评标参考价的计算。如评标委员会成员的评审意见不一致时，以评标委员会过半数成员的意见作为评标委员会对该情形的认定结论。若通过技术标有效性审查的投标人不足三家，则重新招标。（当N个标段同时招标且不允许兼中时，若通过技术标有效性审查投标人不足N+2家，则重新招标）。评委发现投标文件中含义不明确、对同类问题表述不一致、有明显文字和计算错误的，应当要求投标人作必要的澄清、说明后再判定投标人是否通过有效性审查，不得直接否决投标。</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44.2技术标详细审查评分：评标委员会按照附表四《技术标详细审查评分表》的标准，对通过技术标有效性审查的投标文件技术标进行详细审查，评出技术分，得分四舍五入精确到小数点后两位。</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color w:val="000000" w:themeColor="text1"/>
          <w:sz w:val="24"/>
          <w:szCs w:val="24"/>
          <w:highlight w:val="none"/>
          <w14:textFill>
            <w14:solidFill>
              <w14:schemeClr w14:val="tx1"/>
            </w14:solidFill>
          </w14:textFill>
        </w:rPr>
        <w:t>45．经济标评审和得分汇总</w:t>
      </w:r>
    </w:p>
    <w:p>
      <w:pPr>
        <w:keepNext w:val="0"/>
        <w:keepLines w:val="0"/>
        <w:widowControl w:val="0"/>
        <w:suppressLineNumbers w:val="0"/>
        <w:tabs>
          <w:tab w:val="left" w:pos="7380"/>
        </w:tabs>
        <w:snapToGrid w:val="0"/>
        <w:spacing w:before="0" w:beforeAutospacing="0" w:after="0" w:afterAutospacing="0" w:line="360" w:lineRule="auto"/>
        <w:ind w:left="0" w:right="0" w:firstLine="480" w:firstLineChars="200"/>
        <w:jc w:val="both"/>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45.1</w:t>
      </w: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若通过技术标有效性审查的投标人中所有投标报价均大于等于最高投标限价，则本项目招标失败，由招标人依法重新招标</w:t>
      </w:r>
      <w:r>
        <w:rPr>
          <w:rFonts w:hint="eastAsia" w:ascii="宋体" w:hAnsi="宋体"/>
          <w:color w:val="000000" w:themeColor="text1"/>
          <w:sz w:val="24"/>
          <w:szCs w:val="24"/>
          <w:highlight w:val="none"/>
          <w14:textFill>
            <w14:solidFill>
              <w14:schemeClr w14:val="tx1"/>
            </w14:solidFill>
          </w14:textFill>
        </w:rPr>
        <w:t>。</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45.2按方法</w:t>
      </w:r>
      <w:r>
        <w:rPr>
          <w:rFonts w:hint="eastAsia" w:ascii="宋体" w:hAnsi="宋体"/>
          <w:color w:val="000000" w:themeColor="text1"/>
          <w:sz w:val="24"/>
          <w:szCs w:val="24"/>
          <w:highlight w:val="none"/>
          <w:u w:val="singl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计算评标参考价：</w:t>
      </w:r>
    </w:p>
    <w:p>
      <w:pPr>
        <w:widowControl/>
        <w:spacing w:line="360" w:lineRule="auto"/>
        <w:ind w:firstLine="482" w:firstLineChars="200"/>
        <w:rPr>
          <w:rFonts w:ascii="宋体" w:hAnsi="宋体"/>
          <w:b/>
          <w:bCs/>
          <w:color w:val="000000" w:themeColor="text1"/>
          <w:kern w:val="0"/>
          <w:sz w:val="24"/>
          <w:szCs w:val="24"/>
          <w:highlight w:val="none"/>
          <w14:textFill>
            <w14:solidFill>
              <w14:schemeClr w14:val="tx1"/>
            </w14:solidFill>
          </w14:textFill>
        </w:rPr>
      </w:pPr>
      <w:r>
        <w:rPr>
          <w:rFonts w:hint="eastAsia" w:ascii="宋体" w:hAnsi="宋体" w:cs="仿宋"/>
          <w:b/>
          <w:bCs/>
          <w:color w:val="000000" w:themeColor="text1"/>
          <w:kern w:val="0"/>
          <w:sz w:val="24"/>
          <w:szCs w:val="24"/>
          <w:highlight w:val="none"/>
          <w14:textFill>
            <w14:solidFill>
              <w14:schemeClr w14:val="tx1"/>
            </w14:solidFill>
          </w14:textFill>
        </w:rPr>
        <w:t>方法一：加权平均法</w:t>
      </w:r>
    </w:p>
    <w:p>
      <w:pPr>
        <w:spacing w:line="360" w:lineRule="auto"/>
        <w:ind w:firstLine="480" w:firstLineChars="200"/>
        <w:rPr>
          <w:rFonts w:ascii="宋体" w:hAnsi="宋体" w:cs="仿宋"/>
          <w:color w:val="000000" w:themeColor="text1"/>
          <w:sz w:val="24"/>
          <w:szCs w:val="24"/>
          <w:highlight w:val="none"/>
          <w14:textFill>
            <w14:solidFill>
              <w14:schemeClr w14:val="tx1"/>
            </w14:solidFill>
          </w14:textFill>
        </w:rPr>
      </w:pPr>
      <w:r>
        <w:rPr>
          <w:rFonts w:hint="eastAsia" w:ascii="宋体" w:hAnsi="宋体" w:cs="仿宋"/>
          <w:color w:val="000000" w:themeColor="text1"/>
          <w:sz w:val="24"/>
          <w:szCs w:val="24"/>
          <w:highlight w:val="none"/>
          <w14:textFill>
            <w14:solidFill>
              <w14:schemeClr w14:val="tx1"/>
            </w14:solidFill>
          </w14:textFill>
        </w:rPr>
        <w:t>技术标或技术标加诚信得分（具体由招标人自定）前</w:t>
      </w:r>
      <w:r>
        <w:rPr>
          <w:rFonts w:ascii="宋体" w:hAnsi="宋体" w:cs="仿宋"/>
          <w:color w:val="000000" w:themeColor="text1"/>
          <w:sz w:val="24"/>
          <w:szCs w:val="24"/>
          <w:highlight w:val="none"/>
          <w14:textFill>
            <w14:solidFill>
              <w14:schemeClr w14:val="tx1"/>
            </w14:solidFill>
          </w14:textFill>
        </w:rPr>
        <w:t>N</w:t>
      </w:r>
      <w:r>
        <w:rPr>
          <w:rFonts w:hint="eastAsia" w:ascii="宋体" w:hAnsi="宋体" w:cs="仿宋"/>
          <w:color w:val="000000" w:themeColor="text1"/>
          <w:sz w:val="24"/>
          <w:szCs w:val="24"/>
          <w:highlight w:val="none"/>
          <w14:textFill>
            <w14:solidFill>
              <w14:schemeClr w14:val="tx1"/>
            </w14:solidFill>
          </w14:textFill>
        </w:rPr>
        <w:t>名（N≥5，具体由招标人自定）的经济报价加权平均，计算评标参考价。公式如下：</w:t>
      </w:r>
    </w:p>
    <w:p>
      <w:pPr>
        <w:spacing w:line="360" w:lineRule="auto"/>
        <w:ind w:firstLine="480" w:firstLineChars="200"/>
        <w:rPr>
          <w:rFonts w:ascii="宋体" w:hAnsi="宋体" w:cs="仿宋"/>
          <w:color w:val="000000" w:themeColor="text1"/>
          <w:sz w:val="24"/>
          <w:szCs w:val="24"/>
          <w:highlight w:val="none"/>
          <w14:textFill>
            <w14:solidFill>
              <w14:schemeClr w14:val="tx1"/>
            </w14:solidFill>
          </w14:textFill>
        </w:rPr>
      </w:pPr>
      <w:r>
        <w:rPr>
          <w:rFonts w:hint="eastAsia" w:ascii="宋体" w:hAnsi="宋体" w:cs="仿宋"/>
          <w:color w:val="000000" w:themeColor="text1"/>
          <w:sz w:val="24"/>
          <w:szCs w:val="24"/>
          <w:highlight w:val="none"/>
          <w14:textFill>
            <w14:solidFill>
              <w14:schemeClr w14:val="tx1"/>
            </w14:solidFill>
          </w14:textFill>
        </w:rPr>
        <w:t>评标参考价</w:t>
      </w:r>
      <w:r>
        <w:rPr>
          <w:rFonts w:ascii="宋体" w:hAnsi="宋体" w:cs="仿宋"/>
          <w:color w:val="000000" w:themeColor="text1"/>
          <w:sz w:val="24"/>
          <w:szCs w:val="24"/>
          <w:highlight w:val="none"/>
          <w14:textFill>
            <w14:solidFill>
              <w14:schemeClr w14:val="tx1"/>
            </w14:solidFill>
          </w14:textFill>
        </w:rPr>
        <w:t>=</w:t>
      </w:r>
      <w:r>
        <w:rPr>
          <w:rFonts w:hint="eastAsia" w:ascii="宋体" w:hAnsi="宋体" w:cs="仿宋"/>
          <w:color w:val="000000" w:themeColor="text1"/>
          <w:sz w:val="24"/>
          <w:szCs w:val="24"/>
          <w:highlight w:val="none"/>
          <w14:textFill>
            <w14:solidFill>
              <w14:schemeClr w14:val="tx1"/>
            </w14:solidFill>
          </w14:textFill>
        </w:rPr>
        <w:t>Σ（投标人的投标报价</w:t>
      </w:r>
      <w:r>
        <w:rPr>
          <w:rFonts w:ascii="宋体" w:hAnsi="宋体" w:cs="仿宋"/>
          <w:color w:val="000000" w:themeColor="text1"/>
          <w:sz w:val="24"/>
          <w:szCs w:val="24"/>
          <w:highlight w:val="none"/>
          <w14:textFill>
            <w14:solidFill>
              <w14:schemeClr w14:val="tx1"/>
            </w14:solidFill>
          </w14:textFill>
        </w:rPr>
        <w:t>*</w:t>
      </w:r>
      <w:r>
        <w:rPr>
          <w:rFonts w:hint="eastAsia" w:ascii="宋体" w:hAnsi="宋体" w:cs="仿宋"/>
          <w:color w:val="000000" w:themeColor="text1"/>
          <w:sz w:val="24"/>
          <w:szCs w:val="24"/>
          <w:highlight w:val="none"/>
          <w14:textFill>
            <w14:solidFill>
              <w14:schemeClr w14:val="tx1"/>
            </w14:solidFill>
          </w14:textFill>
        </w:rPr>
        <w:t>报价权重）。</w:t>
      </w:r>
    </w:p>
    <w:p>
      <w:pPr>
        <w:spacing w:line="360" w:lineRule="auto"/>
        <w:ind w:firstLine="480" w:firstLineChars="200"/>
        <w:rPr>
          <w:rFonts w:ascii="宋体" w:hAnsi="宋体" w:cs="仿宋"/>
          <w:color w:val="000000" w:themeColor="text1"/>
          <w:sz w:val="24"/>
          <w:szCs w:val="24"/>
          <w:highlight w:val="none"/>
          <w14:textFill>
            <w14:solidFill>
              <w14:schemeClr w14:val="tx1"/>
            </w14:solidFill>
          </w14:textFill>
        </w:rPr>
      </w:pPr>
      <w:r>
        <w:rPr>
          <w:rFonts w:hint="eastAsia" w:ascii="宋体" w:hAnsi="宋体" w:cs="仿宋"/>
          <w:color w:val="000000" w:themeColor="text1"/>
          <w:sz w:val="24"/>
          <w:szCs w:val="24"/>
          <w:highlight w:val="none"/>
          <w14:textFill>
            <w14:solidFill>
              <w14:schemeClr w14:val="tx1"/>
            </w14:solidFill>
          </w14:textFill>
        </w:rPr>
        <w:t>其中：报价权重的计算方法为：将</w:t>
      </w:r>
      <w:r>
        <w:rPr>
          <w:rFonts w:ascii="宋体" w:hAnsi="宋体" w:cs="仿宋"/>
          <w:color w:val="000000" w:themeColor="text1"/>
          <w:sz w:val="24"/>
          <w:szCs w:val="24"/>
          <w:highlight w:val="none"/>
          <w14:textFill>
            <w14:solidFill>
              <w14:schemeClr w14:val="tx1"/>
            </w14:solidFill>
          </w14:textFill>
        </w:rPr>
        <w:t>N</w:t>
      </w:r>
      <w:r>
        <w:rPr>
          <w:rFonts w:hint="eastAsia" w:ascii="宋体" w:hAnsi="宋体" w:cs="仿宋"/>
          <w:color w:val="000000" w:themeColor="text1"/>
          <w:sz w:val="24"/>
          <w:szCs w:val="24"/>
          <w:highlight w:val="none"/>
          <w14:textFill>
            <w14:solidFill>
              <w14:schemeClr w14:val="tx1"/>
            </w14:solidFill>
          </w14:textFill>
        </w:rPr>
        <w:t>名投标人按技术分由高至低进行排序，第一名投标人的权重为（</w:t>
      </w:r>
      <w:r>
        <w:rPr>
          <w:rFonts w:ascii="宋体" w:hAnsi="宋体" w:cs="仿宋"/>
          <w:color w:val="000000" w:themeColor="text1"/>
          <w:sz w:val="24"/>
          <w:szCs w:val="24"/>
          <w:highlight w:val="none"/>
          <w14:textFill>
            <w14:solidFill>
              <w14:schemeClr w14:val="tx1"/>
            </w14:solidFill>
          </w14:textFill>
        </w:rPr>
        <w:fldChar w:fldCharType="begin"/>
      </w:r>
      <w:r>
        <w:rPr>
          <w:rFonts w:ascii="宋体" w:hAnsi="宋体" w:cs="仿宋"/>
          <w:color w:val="000000" w:themeColor="text1"/>
          <w:sz w:val="24"/>
          <w:szCs w:val="24"/>
          <w:highlight w:val="none"/>
          <w14:textFill>
            <w14:solidFill>
              <w14:schemeClr w14:val="tx1"/>
            </w14:solidFill>
          </w14:textFill>
        </w:rPr>
        <w:instrText xml:space="preserve"> QUOTE </w:instrText>
      </w:r>
      <w:r>
        <w:rPr>
          <w:rFonts w:ascii="宋体" w:hAnsi="宋体"/>
          <w:color w:val="000000" w:themeColor="text1"/>
          <w:sz w:val="24"/>
          <w:szCs w:val="24"/>
          <w:highlight w:val="none"/>
          <w14:textFill>
            <w14:solidFill>
              <w14:schemeClr w14:val="tx1"/>
            </w14:solidFill>
          </w14:textFill>
        </w:rPr>
        <w:drawing>
          <wp:inline distT="0" distB="0" distL="0" distR="0">
            <wp:extent cx="381000" cy="447675"/>
            <wp:effectExtent l="0" t="0" r="0" b="952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81000" cy="447675"/>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separate"/>
      </w:r>
      <w:r>
        <w:rPr>
          <w:rFonts w:ascii="宋体" w:hAnsi="宋体"/>
          <w:color w:val="000000" w:themeColor="text1"/>
          <w:sz w:val="24"/>
          <w:szCs w:val="24"/>
          <w:highlight w:val="none"/>
          <w14:textFill>
            <w14:solidFill>
              <w14:schemeClr w14:val="tx1"/>
            </w14:solidFill>
          </w14:textFill>
        </w:rPr>
        <w:drawing>
          <wp:inline distT="0" distB="0" distL="0" distR="0">
            <wp:extent cx="381000" cy="447675"/>
            <wp:effectExtent l="0" t="0" r="0" b="952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81000" cy="447675"/>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end"/>
      </w:r>
      <w:r>
        <w:rPr>
          <w:rFonts w:hint="eastAsia" w:ascii="宋体" w:hAnsi="宋体" w:cs="仿宋"/>
          <w:color w:val="000000" w:themeColor="text1"/>
          <w:sz w:val="24"/>
          <w:szCs w:val="24"/>
          <w:highlight w:val="none"/>
          <w14:textFill>
            <w14:solidFill>
              <w14:schemeClr w14:val="tx1"/>
            </w14:solidFill>
          </w14:textFill>
        </w:rPr>
        <w:t>），第二名投标人的权重为（</w:t>
      </w:r>
      <w:r>
        <w:rPr>
          <w:rFonts w:ascii="宋体" w:hAnsi="宋体" w:cs="仿宋"/>
          <w:color w:val="000000" w:themeColor="text1"/>
          <w:sz w:val="24"/>
          <w:szCs w:val="24"/>
          <w:highlight w:val="none"/>
          <w14:textFill>
            <w14:solidFill>
              <w14:schemeClr w14:val="tx1"/>
            </w14:solidFill>
          </w14:textFill>
        </w:rPr>
        <w:fldChar w:fldCharType="begin"/>
      </w:r>
      <w:r>
        <w:rPr>
          <w:rFonts w:ascii="宋体" w:hAnsi="宋体" w:cs="仿宋"/>
          <w:color w:val="000000" w:themeColor="text1"/>
          <w:sz w:val="24"/>
          <w:szCs w:val="24"/>
          <w:highlight w:val="none"/>
          <w14:textFill>
            <w14:solidFill>
              <w14:schemeClr w14:val="tx1"/>
            </w14:solidFill>
          </w14:textFill>
        </w:rPr>
        <w:instrText xml:space="preserve"> QUOTE </w:instrText>
      </w:r>
      <w:r>
        <w:rPr>
          <w:rFonts w:ascii="宋体" w:hAnsi="宋体"/>
          <w:color w:val="000000" w:themeColor="text1"/>
          <w:position w:val="-23"/>
          <w:sz w:val="24"/>
          <w:szCs w:val="24"/>
          <w:highlight w:val="none"/>
          <w14:textFill>
            <w14:solidFill>
              <w14:schemeClr w14:val="tx1"/>
            </w14:solidFill>
          </w14:textFill>
        </w:rPr>
        <w:drawing>
          <wp:inline distT="0" distB="0" distL="0" distR="0">
            <wp:extent cx="323850" cy="400050"/>
            <wp:effectExtent l="0" t="0" r="11430" b="1143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23850" cy="400050"/>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separate"/>
      </w:r>
      <w:r>
        <w:rPr>
          <w:rFonts w:ascii="宋体" w:hAnsi="宋体"/>
          <w:color w:val="000000" w:themeColor="text1"/>
          <w:position w:val="-23"/>
          <w:sz w:val="24"/>
          <w:szCs w:val="24"/>
          <w:highlight w:val="none"/>
          <w14:textFill>
            <w14:solidFill>
              <w14:schemeClr w14:val="tx1"/>
            </w14:solidFill>
          </w14:textFill>
        </w:rPr>
        <w:drawing>
          <wp:inline distT="0" distB="0" distL="0" distR="0">
            <wp:extent cx="323850" cy="400050"/>
            <wp:effectExtent l="0" t="0" r="6350" b="571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23850" cy="400050"/>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end"/>
      </w:r>
      <w:r>
        <w:rPr>
          <w:rFonts w:hint="eastAsia" w:ascii="宋体" w:hAnsi="宋体" w:cs="仿宋"/>
          <w:color w:val="000000" w:themeColor="text1"/>
          <w:sz w:val="24"/>
          <w:szCs w:val="24"/>
          <w:highlight w:val="none"/>
          <w14:textFill>
            <w14:solidFill>
              <w14:schemeClr w14:val="tx1"/>
            </w14:solidFill>
          </w14:textFill>
        </w:rPr>
        <w:t>），以此类推，最后一名投标人的权重为（</w:t>
      </w:r>
      <w:r>
        <w:rPr>
          <w:rFonts w:ascii="宋体" w:hAnsi="宋体" w:cs="仿宋"/>
          <w:color w:val="000000" w:themeColor="text1"/>
          <w:sz w:val="24"/>
          <w:szCs w:val="24"/>
          <w:highlight w:val="none"/>
          <w14:textFill>
            <w14:solidFill>
              <w14:schemeClr w14:val="tx1"/>
            </w14:solidFill>
          </w14:textFill>
        </w:rPr>
        <w:fldChar w:fldCharType="begin"/>
      </w:r>
      <w:r>
        <w:rPr>
          <w:rFonts w:ascii="宋体" w:hAnsi="宋体" w:cs="仿宋"/>
          <w:color w:val="000000" w:themeColor="text1"/>
          <w:sz w:val="24"/>
          <w:szCs w:val="24"/>
          <w:highlight w:val="none"/>
          <w14:textFill>
            <w14:solidFill>
              <w14:schemeClr w14:val="tx1"/>
            </w14:solidFill>
          </w14:textFill>
        </w:rPr>
        <w:instrText xml:space="preserve"> QUOTE </w:instrText>
      </w:r>
      <w:r>
        <w:rPr>
          <w:rFonts w:ascii="宋体" w:hAnsi="宋体"/>
          <w:color w:val="000000" w:themeColor="text1"/>
          <w:position w:val="-23"/>
          <w:sz w:val="24"/>
          <w:szCs w:val="24"/>
          <w:highlight w:val="none"/>
          <w14:textFill>
            <w14:solidFill>
              <w14:schemeClr w14:val="tx1"/>
            </w14:solidFill>
          </w14:textFill>
        </w:rPr>
        <w:drawing>
          <wp:inline distT="0" distB="0" distL="0" distR="0">
            <wp:extent cx="323850" cy="400050"/>
            <wp:effectExtent l="0" t="0" r="11430" b="1143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23850" cy="400050"/>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separate"/>
      </w:r>
      <w:r>
        <w:rPr>
          <w:rFonts w:ascii="宋体" w:hAnsi="宋体"/>
          <w:color w:val="000000" w:themeColor="text1"/>
          <w:position w:val="-23"/>
          <w:sz w:val="24"/>
          <w:szCs w:val="24"/>
          <w:highlight w:val="none"/>
          <w14:textFill>
            <w14:solidFill>
              <w14:schemeClr w14:val="tx1"/>
            </w14:solidFill>
          </w14:textFill>
        </w:rPr>
        <w:drawing>
          <wp:inline distT="0" distB="0" distL="0" distR="0">
            <wp:extent cx="323850" cy="400050"/>
            <wp:effectExtent l="0" t="0" r="6350" b="57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23850" cy="400050"/>
                    </a:xfrm>
                    <a:prstGeom prst="rect">
                      <a:avLst/>
                    </a:prstGeom>
                    <a:noFill/>
                    <a:ln>
                      <a:noFill/>
                    </a:ln>
                  </pic:spPr>
                </pic:pic>
              </a:graphicData>
            </a:graphic>
          </wp:inline>
        </w:drawing>
      </w:r>
      <w:r>
        <w:rPr>
          <w:rFonts w:ascii="宋体" w:hAnsi="宋体" w:cs="仿宋"/>
          <w:color w:val="000000" w:themeColor="text1"/>
          <w:sz w:val="24"/>
          <w:szCs w:val="24"/>
          <w:highlight w:val="none"/>
          <w14:textFill>
            <w14:solidFill>
              <w14:schemeClr w14:val="tx1"/>
            </w14:solidFill>
          </w14:textFill>
        </w:rPr>
        <w:fldChar w:fldCharType="end"/>
      </w:r>
      <w:r>
        <w:rPr>
          <w:rFonts w:hint="eastAsia" w:ascii="宋体" w:hAnsi="宋体" w:cs="仿宋"/>
          <w:color w:val="000000" w:themeColor="text1"/>
          <w:sz w:val="24"/>
          <w:szCs w:val="24"/>
          <w:highlight w:val="none"/>
          <w14:textFill>
            <w14:solidFill>
              <w14:schemeClr w14:val="tx1"/>
            </w14:solidFill>
          </w14:textFill>
        </w:rPr>
        <w:t>）。</w:t>
      </w:r>
    </w:p>
    <w:p>
      <w:pPr>
        <w:widowControl/>
        <w:spacing w:line="360" w:lineRule="auto"/>
        <w:ind w:firstLine="482" w:firstLineChars="200"/>
        <w:rPr>
          <w:rFonts w:ascii="宋体" w:hAnsi="宋体"/>
          <w:b/>
          <w:bCs/>
          <w:color w:val="000000" w:themeColor="text1"/>
          <w:kern w:val="0"/>
          <w:sz w:val="24"/>
          <w:szCs w:val="24"/>
          <w:highlight w:val="none"/>
          <w14:textFill>
            <w14:solidFill>
              <w14:schemeClr w14:val="tx1"/>
            </w14:solidFill>
          </w14:textFill>
        </w:rPr>
      </w:pPr>
      <w:r>
        <w:rPr>
          <w:rFonts w:hint="eastAsia" w:ascii="宋体" w:hAnsi="宋体" w:cs="仿宋"/>
          <w:b/>
          <w:bCs/>
          <w:color w:val="000000" w:themeColor="text1"/>
          <w:kern w:val="0"/>
          <w:sz w:val="24"/>
          <w:szCs w:val="24"/>
          <w:highlight w:val="none"/>
          <w14:textFill>
            <w14:solidFill>
              <w14:schemeClr w14:val="tx1"/>
            </w14:solidFill>
          </w14:textFill>
        </w:rPr>
        <w:t>方法二：区间抽取法</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设立入围合格分数线（技术标或技术标加诚信得分或第一阶段入围得分，具体数值由招标人在招标文件中确定），达到或超过及格线的投标人的报价方能参与评标参考价的计算。将达到或超过技术标及格分数线的投标报价由低至高进行排列，按以下公式计算评标参考价，计算公式如下：</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评标参考价=（Q高-Q低）/100*Ｘ+Q低</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Q低：为达到或超过技术标及格分数线的投标人最低报价与工程成本警示价两者中的较高值；</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000000" w:themeColor="text1"/>
          <w:kern w:val="0"/>
          <w:sz w:val="24"/>
          <w:szCs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Q高：为最高投标限价</w:t>
      </w:r>
    </w:p>
    <w:p>
      <w:pPr>
        <w:keepNext w:val="0"/>
        <w:keepLines w:val="0"/>
        <w:widowControl w:val="0"/>
        <w:suppressLineNumbers w:val="0"/>
        <w:spacing w:before="0" w:beforeAutospacing="0" w:after="0" w:afterAutospacing="0"/>
        <w:ind w:left="0" w:right="0"/>
        <w:jc w:val="both"/>
        <w:rPr>
          <w:color w:val="000000" w:themeColor="text1"/>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 xml:space="preserve">    X:为等分点值，在开标前从[0,100]整数中随机抽取</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s="宋体"/>
          <w:color w:val="000000" w:themeColor="text1"/>
          <w:kern w:val="0"/>
          <w:sz w:val="24"/>
          <w:szCs w:val="24"/>
          <w:highlight w:val="none"/>
          <w14:textFill>
            <w14:solidFill>
              <w14:schemeClr w14:val="tx1"/>
            </w14:solidFill>
          </w14:textFill>
        </w:rPr>
        <w:t>45.3</w:t>
      </w:r>
      <w:r>
        <w:rPr>
          <w:rFonts w:hint="eastAsia" w:ascii="宋体" w:hAnsi="宋体"/>
          <w:color w:val="000000" w:themeColor="text1"/>
          <w:sz w:val="24"/>
          <w:szCs w:val="24"/>
          <w:highlight w:val="none"/>
          <w14:textFill>
            <w14:solidFill>
              <w14:schemeClr w14:val="tx1"/>
            </w14:solidFill>
          </w14:textFill>
        </w:rPr>
        <w:t>当标价等于评标参考价时得</w:t>
      </w:r>
      <w:r>
        <w:rPr>
          <w:rFonts w:ascii="宋体" w:hAnsi="宋体"/>
          <w:color w:val="000000" w:themeColor="text1"/>
          <w:sz w:val="24"/>
          <w:szCs w:val="24"/>
          <w:highlight w:val="none"/>
          <w14:textFill>
            <w14:solidFill>
              <w14:schemeClr w14:val="tx1"/>
            </w14:solidFill>
          </w14:textFill>
        </w:rPr>
        <w:t>100</w:t>
      </w:r>
      <w:r>
        <w:rPr>
          <w:rFonts w:hint="eastAsia" w:ascii="宋体" w:hAnsi="宋体"/>
          <w:color w:val="000000" w:themeColor="text1"/>
          <w:sz w:val="24"/>
          <w:szCs w:val="24"/>
          <w:highlight w:val="none"/>
          <w14:textFill>
            <w14:solidFill>
              <w14:schemeClr w14:val="tx1"/>
            </w14:solidFill>
          </w14:textFill>
        </w:rPr>
        <w:t>分，标价每高于评标参考价</w:t>
      </w:r>
      <w:r>
        <w:rPr>
          <w:rFonts w:ascii="宋体" w:hAnsi="宋体"/>
          <w:color w:val="000000" w:themeColor="text1"/>
          <w:sz w:val="24"/>
          <w:szCs w:val="24"/>
          <w:highlight w:val="none"/>
          <w14:textFill>
            <w14:solidFill>
              <w14:schemeClr w14:val="tx1"/>
            </w14:solidFill>
          </w14:textFill>
        </w:rPr>
        <w:t>1%</w:t>
      </w:r>
      <w:r>
        <w:rPr>
          <w:rFonts w:hint="eastAsia" w:ascii="宋体" w:hAnsi="宋体"/>
          <w:color w:val="000000" w:themeColor="text1"/>
          <w:sz w:val="24"/>
          <w:szCs w:val="24"/>
          <w:highlight w:val="none"/>
          <w14:textFill>
            <w14:solidFill>
              <w14:schemeClr w14:val="tx1"/>
            </w14:solidFill>
          </w14:textFill>
        </w:rPr>
        <w:t>，扣</w:t>
      </w:r>
      <w:r>
        <w:rPr>
          <w:rFonts w:ascii="宋体" w:hAnsi="宋体"/>
          <w:color w:val="000000" w:themeColor="text1"/>
          <w:sz w:val="24"/>
          <w:szCs w:val="24"/>
          <w:highlight w:val="none"/>
          <w14:textFill>
            <w14:solidFill>
              <w14:schemeClr w14:val="tx1"/>
            </w14:solidFill>
          </w14:textFill>
        </w:rPr>
        <w:t>1.5</w:t>
      </w:r>
      <w:r>
        <w:rPr>
          <w:rFonts w:hint="eastAsia" w:ascii="宋体" w:hAnsi="宋体"/>
          <w:color w:val="000000" w:themeColor="text1"/>
          <w:sz w:val="24"/>
          <w:szCs w:val="24"/>
          <w:highlight w:val="none"/>
          <w14:textFill>
            <w14:solidFill>
              <w14:schemeClr w14:val="tx1"/>
            </w14:solidFill>
          </w14:textFill>
        </w:rPr>
        <w:t>分，每低于评标参考价</w:t>
      </w:r>
      <w:r>
        <w:rPr>
          <w:rFonts w:ascii="宋体" w:hAnsi="宋体"/>
          <w:color w:val="000000" w:themeColor="text1"/>
          <w:sz w:val="24"/>
          <w:szCs w:val="24"/>
          <w:highlight w:val="none"/>
          <w14:textFill>
            <w14:solidFill>
              <w14:schemeClr w14:val="tx1"/>
            </w14:solidFill>
          </w14:textFill>
        </w:rPr>
        <w:t>1%</w:t>
      </w:r>
      <w:r>
        <w:rPr>
          <w:rFonts w:hint="eastAsia" w:ascii="宋体" w:hAnsi="宋体"/>
          <w:color w:val="000000" w:themeColor="text1"/>
          <w:sz w:val="24"/>
          <w:szCs w:val="24"/>
          <w:highlight w:val="none"/>
          <w14:textFill>
            <w14:solidFill>
              <w14:schemeClr w14:val="tx1"/>
            </w14:solidFill>
          </w14:textFill>
        </w:rPr>
        <w:t>，扣</w:t>
      </w:r>
      <w:r>
        <w:rPr>
          <w:rFonts w:ascii="宋体" w:hAnsi="宋体"/>
          <w:color w:val="000000" w:themeColor="text1"/>
          <w:sz w:val="24"/>
          <w:szCs w:val="24"/>
          <w:highlight w:val="none"/>
          <w14:textFill>
            <w14:solidFill>
              <w14:schemeClr w14:val="tx1"/>
            </w14:solidFill>
          </w14:textFill>
        </w:rPr>
        <w:t>1</w:t>
      </w:r>
      <w:r>
        <w:rPr>
          <w:rFonts w:hint="eastAsia" w:ascii="宋体" w:hAnsi="宋体"/>
          <w:color w:val="000000" w:themeColor="text1"/>
          <w:sz w:val="24"/>
          <w:szCs w:val="24"/>
          <w:highlight w:val="none"/>
          <w14:textFill>
            <w14:solidFill>
              <w14:schemeClr w14:val="tx1"/>
            </w14:solidFill>
          </w14:textFill>
        </w:rPr>
        <w:t>分，扣至</w:t>
      </w:r>
      <w:r>
        <w:rPr>
          <w:rFonts w:ascii="宋体" w:hAnsi="宋体"/>
          <w:color w:val="000000" w:themeColor="text1"/>
          <w:sz w:val="24"/>
          <w:szCs w:val="24"/>
          <w:highlight w:val="none"/>
          <w14:textFill>
            <w14:solidFill>
              <w14:schemeClr w14:val="tx1"/>
            </w14:solidFill>
          </w14:textFill>
        </w:rPr>
        <w:t>0</w:t>
      </w:r>
      <w:r>
        <w:rPr>
          <w:rFonts w:hint="eastAsia" w:ascii="宋体" w:hAnsi="宋体"/>
          <w:color w:val="000000" w:themeColor="text1"/>
          <w:sz w:val="24"/>
          <w:szCs w:val="24"/>
          <w:highlight w:val="none"/>
          <w14:textFill>
            <w14:solidFill>
              <w14:schemeClr w14:val="tx1"/>
            </w14:solidFill>
          </w14:textFill>
        </w:rPr>
        <w:t>分为止，得出经济分，精确到小数点后两位。</w:t>
      </w:r>
    </w:p>
    <w:p>
      <w:pPr>
        <w:pStyle w:val="17"/>
        <w:tabs>
          <w:tab w:val="left" w:pos="7380"/>
        </w:tabs>
        <w:snapToGrid w:val="0"/>
        <w:spacing w:after="0" w:line="360" w:lineRule="auto"/>
        <w:ind w:firstLine="480" w:firstLineChars="200"/>
        <w:rPr>
          <w:rFonts w:asci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45.4</w:t>
      </w:r>
      <w:r>
        <w:rPr>
          <w:rFonts w:hint="eastAsia" w:ascii="宋体"/>
          <w:color w:val="000000" w:themeColor="text1"/>
          <w:sz w:val="24"/>
          <w:szCs w:val="24"/>
          <w:highlight w:val="none"/>
          <w14:textFill>
            <w14:solidFill>
              <w14:schemeClr w14:val="tx1"/>
            </w14:solidFill>
          </w14:textFill>
        </w:rPr>
        <w:t>计算通过技术标有效性审查的投标人总得分。投标人总得分=（技术得分×技术得分权重</w:t>
      </w:r>
      <w:r>
        <w:rPr>
          <w:rFonts w:hint="eastAsia" w:ascii="宋体" w:cs="宋体"/>
          <w:color w:val="000000" w:themeColor="text1"/>
          <w:sz w:val="24"/>
          <w:szCs w:val="24"/>
          <w:highlight w:val="none"/>
          <w14:textFill>
            <w14:solidFill>
              <w14:schemeClr w14:val="tx1"/>
            </w14:solidFill>
          </w14:textFill>
        </w:rPr>
        <w:t>＋</w:t>
      </w:r>
      <w:r>
        <w:rPr>
          <w:rFonts w:hint="eastAsia" w:ascii="宋体"/>
          <w:color w:val="000000" w:themeColor="text1"/>
          <w:sz w:val="24"/>
          <w:szCs w:val="24"/>
          <w:highlight w:val="none"/>
          <w14:textFill>
            <w14:solidFill>
              <w14:schemeClr w14:val="tx1"/>
            </w14:solidFill>
          </w14:textFill>
        </w:rPr>
        <w:t>经济得分×经济得分权重）×（1-综合诚信评价分数权重）</w:t>
      </w:r>
      <w:r>
        <w:rPr>
          <w:rFonts w:hint="eastAsia" w:ascii="宋体" w:cs="宋体"/>
          <w:color w:val="000000" w:themeColor="text1"/>
          <w:sz w:val="24"/>
          <w:szCs w:val="24"/>
          <w:highlight w:val="none"/>
          <w14:textFill>
            <w14:solidFill>
              <w14:schemeClr w14:val="tx1"/>
            </w14:solidFill>
          </w14:textFill>
        </w:rPr>
        <w:t>＋</w:t>
      </w:r>
      <w:r>
        <w:rPr>
          <w:rFonts w:hint="eastAsia" w:ascii="宋体"/>
          <w:color w:val="000000" w:themeColor="text1"/>
          <w:sz w:val="24"/>
          <w:szCs w:val="24"/>
          <w:highlight w:val="none"/>
          <w14:textFill>
            <w14:solidFill>
              <w14:schemeClr w14:val="tx1"/>
            </w14:solidFill>
          </w14:textFill>
        </w:rPr>
        <w:t>综合诚信评价排名得分×综合诚信评价分数权重）。技术、经济得分权重按投标须知前附表的规定执行。总得分四舍五入保留两位小数。</w:t>
      </w:r>
    </w:p>
    <w:p>
      <w:pPr>
        <w:pStyle w:val="17"/>
        <w:tabs>
          <w:tab w:val="left" w:pos="7380"/>
        </w:tabs>
        <w:snapToGrid w:val="0"/>
        <w:spacing w:after="0"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46.经济标的有效性审查</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46.1经济标的有效性审查：按照投标人总得分排序，依次对投标文件进行经济标有效性审查，投标文件中没有任一种列于本办法附表三《经济标有效性审查表》中情形的，为有效投标文件，否则其投标文件将被否决。如评标委员会成员的评审意见不一致时，以评标委员会过半数成员的意见作为评标委员会对该情形的认定结论。评委发现投标文件中含义不明确、对同类问题表述不一致、有明显文字和计算错误、投标报价可能低于成本影响履约的，应当要求投标人作必要的澄清、说明后再判定投标人是否通过有效性审查，不得直接否决投标。</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6.2经济标的算术校核。评标委员会对进行经济标有效性审查的投标文件投标报价按照就低不就高的原则进行算术校核，具体标准如下：</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6.2.1如果数字表示的金额和用文字表示的金额不一致时，应以文字表示的金额为准；</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6.2.2经算术复核的投标人报价与其投标报价不一致时，按就低不就高原则确定其最终报价；</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6.2.3当单价与数量均符合招标文件要求时，若单价与数量的乘积与合价不一致时，按就低不就高原则确定修改单价或是合价。当单价与数量的乘积小于合价，以单价为准，修改合价，除非评标委员会认为单价有明显的小数点错误，此时应以标出的合价为准，并修改单价；当单价与数量的乘积大于合价，以合价为准，修改单价；</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当合价、金额累加错误时，按就低不就高原则，如果累加修正值小于原累加值，则按累加修正值；如果累加修正值大于原累加值，则按原累加值；</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w:t>
      </w: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w:t>
      </w:r>
      <w:r>
        <w:rPr>
          <w:rFonts w:ascii="宋体" w:hAnsi="宋体"/>
          <w:color w:val="000000" w:themeColor="text1"/>
          <w:sz w:val="24"/>
          <w:szCs w:val="24"/>
          <w:highlight w:val="none"/>
          <w14:textFill>
            <w14:solidFill>
              <w14:schemeClr w14:val="tx1"/>
            </w14:solidFill>
          </w14:textFill>
        </w:rPr>
        <w:t>5</w:t>
      </w:r>
      <w:r>
        <w:rPr>
          <w:rFonts w:hint="eastAsia" w:ascii="宋体" w:hAnsi="宋体"/>
          <w:color w:val="000000" w:themeColor="text1"/>
          <w:sz w:val="24"/>
          <w:szCs w:val="24"/>
          <w:highlight w:val="none"/>
          <w14:textFill>
            <w14:solidFill>
              <w14:schemeClr w14:val="tx1"/>
            </w14:solidFill>
          </w14:textFill>
        </w:rPr>
        <w:t>如果投标人的有关规费、暂列金额、暂估价、绿色施工安全防护措施费等未按招标文件规定的金额填写的，由评标委员会按照招标文件规定的金额进行修正；</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w:t>
      </w:r>
      <w:r>
        <w:rPr>
          <w:rFonts w:ascii="宋体" w:hAnsi="宋体"/>
          <w:color w:val="000000" w:themeColor="text1"/>
          <w:sz w:val="24"/>
          <w:szCs w:val="24"/>
          <w:highlight w:val="none"/>
          <w14:textFill>
            <w14:solidFill>
              <w14:schemeClr w14:val="tx1"/>
            </w14:solidFill>
          </w14:textFill>
        </w:rPr>
        <w:t>6</w:t>
      </w:r>
      <w:r>
        <w:rPr>
          <w:rFonts w:hint="eastAsia" w:ascii="宋体" w:hAnsi="宋体"/>
          <w:color w:val="000000" w:themeColor="text1"/>
          <w:sz w:val="24"/>
          <w:szCs w:val="24"/>
          <w:highlight w:val="none"/>
          <w14:textFill>
            <w14:solidFill>
              <w14:schemeClr w14:val="tx1"/>
            </w14:solidFill>
          </w14:textFill>
        </w:rPr>
        <w:t>①分部分项工程量比招标文件少、单位比招标文件小或错误时，以招标文件的工程量或单位为准，合价不变，修改综合单价。分部分项工程量比招标文件多或单位比招标文件大时，工程量、单位、综合单价及合价均不作修改；②分部分项项目对比招标文件（招标工程量清单）漏项的，则该漏项费用视为已分配在其他项目中，不再修改；③分部分项工程量清单中的综合单价与综合单价分析表中的综合单价不一致时，以价低者为准；④分部分项工程量计价表中的项目编码或项目名称或计量单位或工程数量缺省或不填时，由评委以招标文件中招标人工程量清单为准进行修正；若同时缺省或不填项目编码和项目名称，则该项按增项处理；⑤分部分项项目增项的，不予修改；⑥其它招标文件规定需要修改的，均以就低不就高原则进行修改；</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w:t>
      </w:r>
      <w:r>
        <w:rPr>
          <w:rFonts w:ascii="宋体" w:hAnsi="宋体"/>
          <w:color w:val="000000" w:themeColor="text1"/>
          <w:sz w:val="24"/>
          <w:szCs w:val="24"/>
          <w:highlight w:val="none"/>
          <w14:textFill>
            <w14:solidFill>
              <w14:schemeClr w14:val="tx1"/>
            </w14:solidFill>
          </w14:textFill>
        </w:rPr>
        <w:t>7</w:t>
      </w:r>
      <w:r>
        <w:rPr>
          <w:rFonts w:hint="eastAsia" w:ascii="宋体" w:hAnsi="宋体"/>
          <w:color w:val="000000" w:themeColor="text1"/>
          <w:sz w:val="24"/>
          <w:szCs w:val="24"/>
          <w:highlight w:val="none"/>
          <w14:textFill>
            <w14:solidFill>
              <w14:schemeClr w14:val="tx1"/>
            </w14:solidFill>
          </w14:textFill>
        </w:rPr>
        <w:t>按就低不就高原则，当修正后报价小于原报价，总价按修正后报价；当修正后报价大于原报价，总价按原报价，并在签订合同时载明在结算价中扣除修正报价与原报价的差额。</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6.2.</w:t>
      </w:r>
      <w:r>
        <w:rPr>
          <w:rFonts w:ascii="宋体" w:hAnsi="宋体"/>
          <w:color w:val="000000" w:themeColor="text1"/>
          <w:sz w:val="24"/>
          <w:szCs w:val="24"/>
          <w:highlight w:val="none"/>
          <w14:textFill>
            <w14:solidFill>
              <w14:schemeClr w14:val="tx1"/>
            </w14:solidFill>
          </w14:textFill>
        </w:rPr>
        <w:t>8</w:t>
      </w:r>
      <w:r>
        <w:rPr>
          <w:rFonts w:hint="eastAsia" w:ascii="宋体" w:hAnsi="宋体"/>
          <w:color w:val="000000" w:themeColor="text1"/>
          <w:sz w:val="24"/>
          <w:szCs w:val="24"/>
          <w:highlight w:val="none"/>
          <w14:textFill>
            <w14:solidFill>
              <w14:schemeClr w14:val="tx1"/>
            </w14:solidFill>
          </w14:textFill>
        </w:rPr>
        <w:t>按上述修正错误的原则及方法调整或修正投标文件的投标报价，调整后的投标报价对投标人起约束作用。如果投标人不接受修正后的报价，则取消其投标资格，并且其投标保证金也将不予退还。</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7.评标委员会按只有通过有效性审查的投标人的投标文件方可进入下一阶段评审的评审原则，根据有效性审查结果，取消被否决投标的投标人的排序，其余通过有效性审查的投标人的排序依次上升替补确定，以此类推。直至评审出3名投标人通过经济标有效性审查，经济标有效性审查结束。</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8.评标委员会应在通过投标文件经济标有效性审查的投标人中，按步骤45.4确定的投标人第二阶段排序，推荐前</w:t>
      </w:r>
      <w:r>
        <w:rPr>
          <w:rFonts w:ascii="宋体" w:hAnsi="宋体"/>
          <w:color w:val="000000" w:themeColor="text1"/>
          <w:sz w:val="24"/>
          <w:szCs w:val="24"/>
          <w:highlight w:val="none"/>
          <w14:textFill>
            <w14:solidFill>
              <w14:schemeClr w14:val="tx1"/>
            </w14:solidFill>
          </w14:textFill>
        </w:rPr>
        <w:t>3</w:t>
      </w:r>
      <w:r>
        <w:rPr>
          <w:rFonts w:hint="eastAsia" w:ascii="宋体" w:hAnsi="宋体"/>
          <w:color w:val="000000" w:themeColor="text1"/>
          <w:sz w:val="24"/>
          <w:szCs w:val="24"/>
          <w:highlight w:val="none"/>
          <w14:textFill>
            <w14:solidFill>
              <w14:schemeClr w14:val="tx1"/>
            </w14:solidFill>
          </w14:textFill>
        </w:rPr>
        <w:t>名依次为第一中标候选人至第三中标候选人</w:t>
      </w:r>
      <w:r>
        <w:rPr>
          <w:rFonts w:ascii="宋体" w:hAnsi="宋体"/>
          <w:color w:val="000000" w:themeColor="text1"/>
          <w:sz w:val="24"/>
          <w:szCs w:val="24"/>
          <w:highlight w:val="none"/>
          <w14:textFill>
            <w14:solidFill>
              <w14:schemeClr w14:val="tx1"/>
            </w14:solidFill>
          </w14:textFill>
        </w:rPr>
        <w:t>,</w:t>
      </w:r>
      <w:r>
        <w:rPr>
          <w:rFonts w:hint="eastAsia" w:ascii="宋体" w:hAnsi="宋体"/>
          <w:color w:val="000000" w:themeColor="text1"/>
          <w:sz w:val="24"/>
          <w:szCs w:val="24"/>
          <w:highlight w:val="none"/>
          <w14:textFill>
            <w14:solidFill>
              <w14:schemeClr w14:val="tx1"/>
            </w14:solidFill>
          </w14:textFill>
        </w:rPr>
        <w:t>并编制评标报告。</w:t>
      </w:r>
    </w:p>
    <w:p>
      <w:pPr>
        <w:spacing w:line="360" w:lineRule="auto"/>
        <w:ind w:firstLine="480" w:firstLineChars="200"/>
        <w:rPr>
          <w:rFonts w:ascii="宋体" w:hAnsi="宋体"/>
          <w:color w:val="000000" w:themeColor="text1"/>
          <w:sz w:val="24"/>
          <w:szCs w:val="24"/>
          <w:highlight w:val="none"/>
          <w14:textFill>
            <w14:solidFill>
              <w14:schemeClr w14:val="tx1"/>
            </w14:solidFill>
          </w14:textFill>
        </w:rPr>
      </w:pPr>
      <w:r>
        <w:rPr>
          <w:rFonts w:ascii="宋体" w:hAnsi="宋体"/>
          <w:color w:val="000000" w:themeColor="text1"/>
          <w:sz w:val="24"/>
          <w:szCs w:val="24"/>
          <w:highlight w:val="none"/>
          <w14:textFill>
            <w14:solidFill>
              <w14:schemeClr w14:val="tx1"/>
            </w14:solidFill>
          </w14:textFill>
        </w:rPr>
        <w:t>4</w:t>
      </w:r>
      <w:r>
        <w:rPr>
          <w:rFonts w:hint="eastAsia" w:ascii="宋体" w:hAnsi="宋体"/>
          <w:color w:val="000000" w:themeColor="text1"/>
          <w:sz w:val="24"/>
          <w:szCs w:val="24"/>
          <w:highlight w:val="none"/>
          <w14:textFill>
            <w14:solidFill>
              <w14:schemeClr w14:val="tx1"/>
            </w14:solidFill>
          </w14:textFill>
        </w:rPr>
        <w:t>9.若通过经济标有效性审查的投标人不足三家，应当依法重新招标。（当</w:t>
      </w:r>
      <w:r>
        <w:rPr>
          <w:rFonts w:ascii="宋体" w:hAnsi="宋体"/>
          <w:color w:val="000000" w:themeColor="text1"/>
          <w:sz w:val="24"/>
          <w:szCs w:val="24"/>
          <w:highlight w:val="none"/>
          <w14:textFill>
            <w14:solidFill>
              <w14:schemeClr w14:val="tx1"/>
            </w14:solidFill>
          </w14:textFill>
        </w:rPr>
        <w:t>N</w:t>
      </w:r>
      <w:r>
        <w:rPr>
          <w:rFonts w:hint="eastAsia" w:ascii="宋体" w:hAnsi="宋体"/>
          <w:color w:val="000000" w:themeColor="text1"/>
          <w:sz w:val="24"/>
          <w:szCs w:val="24"/>
          <w:highlight w:val="none"/>
          <w14:textFill>
            <w14:solidFill>
              <w14:schemeClr w14:val="tx1"/>
            </w14:solidFill>
          </w14:textFill>
        </w:rPr>
        <w:t>个标段同时招标且不允许兼中时，若有效投标人不足</w:t>
      </w:r>
      <w:r>
        <w:rPr>
          <w:rFonts w:ascii="宋体" w:hAnsi="宋体"/>
          <w:color w:val="000000" w:themeColor="text1"/>
          <w:sz w:val="24"/>
          <w:szCs w:val="24"/>
          <w:highlight w:val="none"/>
          <w14:textFill>
            <w14:solidFill>
              <w14:schemeClr w14:val="tx1"/>
            </w14:solidFill>
          </w14:textFill>
        </w:rPr>
        <w:t>N+2</w:t>
      </w:r>
      <w:r>
        <w:rPr>
          <w:rFonts w:hint="eastAsia" w:ascii="宋体" w:hAnsi="宋体"/>
          <w:color w:val="000000" w:themeColor="text1"/>
          <w:sz w:val="24"/>
          <w:szCs w:val="24"/>
          <w:highlight w:val="none"/>
          <w14:textFill>
            <w14:solidFill>
              <w14:schemeClr w14:val="tx1"/>
            </w14:solidFill>
          </w14:textFill>
        </w:rPr>
        <w:t>家，应当依法重新招标）</w:t>
      </w:r>
    </w:p>
    <w:bookmarkEnd w:id="30"/>
    <w:bookmarkEnd w:id="31"/>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rFonts w:ascii="宋体" w:hAnsi="宋体"/>
          <w:color w:val="000000" w:themeColor="text1"/>
          <w:sz w:val="24"/>
          <w:szCs w:val="24"/>
          <w:highlight w:val="none"/>
          <w14:textFill>
            <w14:solidFill>
              <w14:schemeClr w14:val="tx1"/>
            </w14:solidFill>
          </w14:textFill>
        </w:rPr>
      </w:pPr>
    </w:p>
    <w:p>
      <w:pPr>
        <w:pStyle w:val="10"/>
        <w:rPr>
          <w:rFonts w:hAnsi="宋体"/>
          <w:color w:val="000000" w:themeColor="text1"/>
          <w:sz w:val="24"/>
          <w:szCs w:val="24"/>
          <w:highlight w:val="none"/>
          <w14:textFill>
            <w14:solidFill>
              <w14:schemeClr w14:val="tx1"/>
            </w14:solidFill>
          </w14:textFill>
        </w:rPr>
      </w:pPr>
    </w:p>
    <w:p>
      <w:pPr>
        <w:rPr>
          <w:color w:val="000000" w:themeColor="text1"/>
          <w:highlight w:val="none"/>
          <w14:textFill>
            <w14:solidFill>
              <w14:schemeClr w14:val="tx1"/>
            </w14:solidFill>
          </w14:textFill>
        </w:rPr>
      </w:pPr>
    </w:p>
    <w:p>
      <w:pPr>
        <w:widowControl/>
        <w:snapToGrid w:val="0"/>
        <w:spacing w:line="360" w:lineRule="auto"/>
        <w:ind w:right="102"/>
        <w:jc w:val="left"/>
        <w:outlineLvl w:val="2"/>
        <w:rPr>
          <w:rFonts w:asci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附表一：</w:t>
      </w:r>
    </w:p>
    <w:p>
      <w:pPr>
        <w:jc w:val="center"/>
        <w:rPr>
          <w:b/>
          <w:color w:val="000000" w:themeColor="text1"/>
          <w:sz w:val="32"/>
          <w:szCs w:val="32"/>
          <w:highlight w:val="none"/>
          <w14:textFill>
            <w14:solidFill>
              <w14:schemeClr w14:val="tx1"/>
            </w14:solidFill>
          </w14:textFill>
        </w:rPr>
      </w:pPr>
      <w:r>
        <w:rPr>
          <w:rFonts w:hint="eastAsia"/>
          <w:b/>
          <w:color w:val="000000" w:themeColor="text1"/>
          <w:sz w:val="32"/>
          <w:szCs w:val="32"/>
          <w:highlight w:val="none"/>
          <w14:textFill>
            <w14:solidFill>
              <w14:schemeClr w14:val="tx1"/>
            </w14:solidFill>
          </w14:textFill>
        </w:rPr>
        <w:t>资格审查表</w:t>
      </w:r>
    </w:p>
    <w:p>
      <w:pPr>
        <w:spacing w:line="480" w:lineRule="auto"/>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工程名称：</w:t>
      </w:r>
      <w:r>
        <w:rPr>
          <w:rFonts w:hint="eastAsia"/>
          <w:color w:val="000000" w:themeColor="text1"/>
          <w:sz w:val="24"/>
          <w:szCs w:val="24"/>
          <w:highlight w:val="none"/>
          <w:lang w:eastAsia="zh-CN"/>
          <w14:textFill>
            <w14:solidFill>
              <w14:schemeClr w14:val="tx1"/>
            </w14:solidFill>
          </w14:textFill>
        </w:rPr>
        <w:t>广州市增城区教育城西消防救援站项目施工总承包</w:t>
      </w:r>
    </w:p>
    <w:p>
      <w:pPr>
        <w:spacing w:line="480" w:lineRule="auto"/>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投标人名称：</w:t>
      </w:r>
    </w:p>
    <w:tbl>
      <w:tblPr>
        <w:tblStyle w:val="18"/>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3780"/>
        <w:gridCol w:w="3420"/>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序号</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审查项目</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须审查的资料</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审查结果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投标人参加投标的意思表达清楚，投标人代表被授权有效</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投标人声明、法定代表人证明书；委托投标的还应提供法人授权委托证明书。</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投标人具有独立法人资格，按国家法律经营</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营业执照在广州市住建行业信用管理平台内上传件。</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eastAsia="宋体" w:cs="Times New Roman"/>
                <w:bCs w:val="0"/>
                <w:color w:val="000000" w:themeColor="text1"/>
                <w:kern w:val="2"/>
                <w:sz w:val="21"/>
                <w:szCs w:val="21"/>
                <w:highlight w:val="none"/>
                <w:lang w:val="en-US" w:eastAsia="zh-CN" w:bidi="ar"/>
                <w14:textFill>
                  <w14:solidFill>
                    <w14:schemeClr w14:val="tx1"/>
                  </w14:solidFill>
                </w14:textFill>
              </w:rPr>
              <w:t>投标人持有建设行政主管部门颁发的</w:t>
            </w:r>
            <w:r>
              <w:rPr>
                <w:rFonts w:hint="eastAsia" w:ascii="宋体" w:hAnsi="宋体" w:eastAsia="宋体" w:cs="Times New Roman"/>
                <w:b w:val="0"/>
                <w:color w:val="000000" w:themeColor="text1"/>
                <w:kern w:val="2"/>
                <w:sz w:val="21"/>
                <w:szCs w:val="21"/>
                <w:highlight w:val="none"/>
                <w:lang w:val="en-US" w:eastAsia="zh-CN" w:bidi="ar"/>
                <w14:textFill>
                  <w14:solidFill>
                    <w14:schemeClr w14:val="tx1"/>
                  </w14:solidFill>
                </w14:textFill>
              </w:rPr>
              <w:t>有效期内的</w:t>
            </w:r>
            <w:r>
              <w:rPr>
                <w:rFonts w:hint="eastAsia" w:ascii="宋体" w:hAnsi="宋体" w:eastAsia="宋体" w:cs="Times New Roman"/>
                <w:bCs w:val="0"/>
                <w:color w:val="000000" w:themeColor="text1"/>
                <w:kern w:val="2"/>
                <w:sz w:val="21"/>
                <w:szCs w:val="21"/>
                <w:highlight w:val="none"/>
                <w:lang w:val="en-US" w:eastAsia="zh-CN" w:bidi="ar"/>
                <w14:textFill>
                  <w14:solidFill>
                    <w14:schemeClr w14:val="tx1"/>
                  </w14:solidFill>
                </w14:textFill>
              </w:rPr>
              <w:t>企业资质证书及安全生产许可证</w:t>
            </w:r>
            <w:r>
              <w:rPr>
                <w:rFonts w:hint="eastAsia" w:ascii="宋体" w:hAnsi="宋体"/>
                <w:color w:val="000000" w:themeColor="text1"/>
                <w:szCs w:val="21"/>
                <w:highlight w:val="none"/>
                <w14:textFill>
                  <w14:solidFill>
                    <w14:schemeClr w14:val="tx1"/>
                  </w14:solidFill>
                </w14:textFill>
              </w:rPr>
              <w:t>；投标人资质符合公告要求</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资质证书及安全生产许可证在广州市住建行业信用管理平台内上传件。</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投标人拟担任本工程项目负责人符合公告要求</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有效期内的注册建造师注册证书在广州市住建行业信用平台内上传件。</w:t>
            </w:r>
          </w:p>
          <w:p>
            <w:pPr>
              <w:keepNext w:val="0"/>
              <w:keepLines w:val="0"/>
              <w:suppressLineNumbers w:val="0"/>
              <w:spacing w:before="120" w:beforeAutospacing="0" w:after="60" w:afterAutospacing="0"/>
              <w:ind w:left="0" w:right="0"/>
              <w:jc w:val="left"/>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（注：打印建造师电子证书后，在个人签名处手写本人签名再上传广州市住建行业信用平台。）</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持有项目负责人安全生产考核合格证（B类）或建筑施工企业项目负责人安全生产考核合格证</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项目负责人安全生产考核合格证（B类）或建筑施工企业项目负责人安全生产考核合格证在广州市住建行业信用管理平台内上传件。</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投标人拟担任本工程技术负责人符合公告要求</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拟委托技术负责人的相关证书、资料扫描件。</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专职安全员须具有安全生产考核合格证（C</w:t>
            </w:r>
            <w:r>
              <w:rPr>
                <w:rFonts w:hint="eastAsia" w:ascii="宋体" w:hAnsi="宋体"/>
                <w:color w:val="000000" w:themeColor="text1"/>
                <w:szCs w:val="21"/>
                <w:highlight w:val="none"/>
                <w:lang w:eastAsia="zh-CN"/>
                <w14:textFill>
                  <w14:solidFill>
                    <w14:schemeClr w14:val="tx1"/>
                  </w14:solidFill>
                </w14:textFill>
              </w:rPr>
              <w:t>类</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u w:val="single"/>
                <w14:textFill>
                  <w14:solidFill>
                    <w14:schemeClr w14:val="tx1"/>
                  </w14:solidFill>
                </w14:textFill>
              </w:rPr>
              <w:t>或建筑施工企业专职安全生产管理人员安全生产考核合格证书（C3）</w:t>
            </w:r>
            <w:r>
              <w:rPr>
                <w:rFonts w:hint="eastAsia" w:ascii="Times New Roman" w:hAnsi="Times New Roman"/>
                <w:color w:val="000000" w:themeColor="text1"/>
                <w:szCs w:val="21"/>
                <w:highlight w:val="none"/>
                <w:u w:val="single"/>
                <w14:textFill>
                  <w14:solidFill>
                    <w14:schemeClr w14:val="tx1"/>
                  </w14:solidFill>
                </w14:textFill>
              </w:rPr>
              <w:t>，</w:t>
            </w:r>
            <w:r>
              <w:rPr>
                <w:rFonts w:hint="eastAsia" w:ascii="Times New Roman" w:hAnsi="Times New Roman"/>
                <w:b/>
                <w:color w:val="000000" w:themeColor="text1"/>
                <w:szCs w:val="21"/>
                <w:highlight w:val="none"/>
                <w:u w:val="single"/>
                <w14:textFill>
                  <w14:solidFill>
                    <w14:schemeClr w14:val="tx1"/>
                  </w14:solidFill>
                </w14:textFill>
              </w:rPr>
              <w:t>项目负责人和</w:t>
            </w:r>
            <w:r>
              <w:rPr>
                <w:rFonts w:hint="eastAsia" w:ascii="Times New Roman" w:hAnsi="Times New Roman"/>
                <w:b/>
                <w:color w:val="000000" w:themeColor="text1"/>
                <w:szCs w:val="21"/>
                <w:highlight w:val="none"/>
                <w:u w:val="single"/>
                <w:lang w:eastAsia="zh-CN"/>
                <w14:textFill>
                  <w14:solidFill>
                    <w14:schemeClr w14:val="tx1"/>
                  </w14:solidFill>
                </w14:textFill>
              </w:rPr>
              <w:t>专职</w:t>
            </w:r>
            <w:r>
              <w:rPr>
                <w:rFonts w:hint="eastAsia" w:ascii="Times New Roman" w:hAnsi="Times New Roman"/>
                <w:b/>
                <w:color w:val="000000" w:themeColor="text1"/>
                <w:szCs w:val="21"/>
                <w:highlight w:val="none"/>
                <w:u w:val="single"/>
                <w14:textFill>
                  <w14:solidFill>
                    <w14:schemeClr w14:val="tx1"/>
                  </w14:solidFill>
                </w14:textFill>
              </w:rPr>
              <w:t>安全员不为同一人</w:t>
            </w:r>
            <w:r>
              <w:rPr>
                <w:rFonts w:hint="eastAsia" w:ascii="Times New Roman" w:hAnsi="Times New Roman"/>
                <w:color w:val="000000" w:themeColor="text1"/>
                <w:szCs w:val="21"/>
                <w:highlight w:val="none"/>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专职安全员的安全生产考核合格证（C</w:t>
            </w:r>
            <w:r>
              <w:rPr>
                <w:rFonts w:hint="eastAsia" w:ascii="宋体" w:hAnsi="宋体"/>
                <w:color w:val="000000" w:themeColor="text1"/>
                <w:szCs w:val="21"/>
                <w:highlight w:val="none"/>
                <w:lang w:eastAsia="zh-CN"/>
                <w14:textFill>
                  <w14:solidFill>
                    <w14:schemeClr w14:val="tx1"/>
                  </w14:solidFill>
                </w14:textFill>
              </w:rPr>
              <w:t>类</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u w:val="single"/>
                <w14:textFill>
                  <w14:solidFill>
                    <w14:schemeClr w14:val="tx1"/>
                  </w14:solidFill>
                </w14:textFill>
              </w:rPr>
              <w:t>或建筑施工企业专职安全生产管理人员安全生产考核合格证书（C3）</w:t>
            </w:r>
            <w:r>
              <w:rPr>
                <w:rFonts w:hint="eastAsia" w:ascii="宋体" w:hAnsi="宋体"/>
                <w:color w:val="000000" w:themeColor="text1"/>
                <w:szCs w:val="21"/>
                <w:highlight w:val="none"/>
                <w14:textFill>
                  <w14:solidFill>
                    <w14:schemeClr w14:val="tx1"/>
                  </w14:solidFill>
                </w14:textFill>
              </w:rPr>
              <w:t>在广州市住建行业信用管理平台内上传件</w:t>
            </w:r>
            <w:r>
              <w:rPr>
                <w:rFonts w:hint="eastAsia" w:ascii="Times New Roman" w:hAnsi="Times New Roman"/>
                <w:color w:val="000000" w:themeColor="text1"/>
                <w:szCs w:val="21"/>
                <w:highlight w:val="none"/>
                <w14:textFill>
                  <w14:solidFill>
                    <w14:schemeClr w14:val="tx1"/>
                  </w14:solidFill>
                </w14:textFill>
              </w:rPr>
              <w:t>，</w:t>
            </w:r>
            <w:r>
              <w:rPr>
                <w:rFonts w:hint="eastAsia" w:ascii="Times New Roman" w:hAnsi="Times New Roman"/>
                <w:b/>
                <w:color w:val="000000" w:themeColor="text1"/>
                <w:szCs w:val="21"/>
                <w:highlight w:val="none"/>
                <w:u w:val="single"/>
                <w14:textFill>
                  <w14:solidFill>
                    <w14:schemeClr w14:val="tx1"/>
                  </w14:solidFill>
                </w14:textFill>
              </w:rPr>
              <w:t>项目负责人和</w:t>
            </w:r>
            <w:r>
              <w:rPr>
                <w:rFonts w:hint="eastAsia" w:ascii="Times New Roman" w:hAnsi="Times New Roman"/>
                <w:b/>
                <w:color w:val="000000" w:themeColor="text1"/>
                <w:szCs w:val="21"/>
                <w:highlight w:val="none"/>
                <w:u w:val="single"/>
                <w:lang w:eastAsia="zh-CN"/>
                <w14:textFill>
                  <w14:solidFill>
                    <w14:schemeClr w14:val="tx1"/>
                  </w14:solidFill>
                </w14:textFill>
              </w:rPr>
              <w:t>专职</w:t>
            </w:r>
            <w:r>
              <w:rPr>
                <w:rFonts w:hint="eastAsia" w:ascii="Times New Roman" w:hAnsi="Times New Roman"/>
                <w:b/>
                <w:color w:val="000000" w:themeColor="text1"/>
                <w:szCs w:val="21"/>
                <w:highlight w:val="none"/>
                <w:u w:val="single"/>
                <w14:textFill>
                  <w14:solidFill>
                    <w14:schemeClr w14:val="tx1"/>
                  </w14:solidFill>
                </w14:textFill>
              </w:rPr>
              <w:t>安全员不为同一人</w:t>
            </w:r>
            <w:r>
              <w:rPr>
                <w:rFonts w:hint="eastAsia" w:ascii="Times New Roman" w:hAnsi="Times New Roman"/>
                <w:color w:val="000000" w:themeColor="text1"/>
                <w:szCs w:val="21"/>
                <w:highlight w:val="none"/>
                <w14:textFill>
                  <w14:solidFill>
                    <w14:schemeClr w14:val="tx1"/>
                  </w14:solidFill>
                </w14:textFill>
              </w:rPr>
              <w:t>。</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8</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投标人完成过的类似工程业绩符合公告要求</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业绩在广州市住建行业信用管理平台内的相关上传件。</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9</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投标人提供的投标人声明符合公告要求</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投标人声明</w:t>
            </w:r>
            <w:r>
              <w:rPr>
                <w:rFonts w:hint="eastAsia" w:ascii="宋体" w:hAnsi="宋体"/>
                <w:color w:val="000000" w:themeColor="text1"/>
                <w:szCs w:val="21"/>
                <w:highlight w:val="none"/>
                <w:lang w:eastAsia="zh-CN"/>
                <w14:textFill>
                  <w14:solidFill>
                    <w14:schemeClr w14:val="tx1"/>
                  </w14:solidFill>
                </w14:textFill>
              </w:rPr>
              <w:t>。</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10</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投标人声明中签字的项目负责人和技术负责人与本项目拟派的项目负责人和技术负责人一致</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网上投标时选择拟投标的项目负责人、资格审查文件中拟委派的技术负责人及投标人声明。</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11</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关于联合体投标：本项目不接受联合体投标</w:t>
            </w:r>
            <w:r>
              <w:rPr>
                <w:rFonts w:hint="eastAsia" w:ascii="宋体" w:hAnsi="宋体" w:cs="宋体"/>
                <w:color w:val="000000" w:themeColor="text1"/>
                <w:szCs w:val="21"/>
                <w:highlight w:val="none"/>
                <w:u w:val="singl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未以联合体进行投标</w:t>
            </w:r>
            <w:r>
              <w:rPr>
                <w:rFonts w:hint="eastAsia" w:ascii="宋体" w:hAnsi="宋体" w:cs="宋体"/>
                <w:color w:val="000000" w:themeColor="text1"/>
                <w:szCs w:val="21"/>
                <w:highlight w:val="none"/>
                <w:u w:val="single"/>
                <w:lang w:eastAsia="zh-CN"/>
                <w14:textFill>
                  <w14:solidFill>
                    <w14:schemeClr w14:val="tx1"/>
                  </w14:solidFill>
                </w14:textFill>
              </w:rPr>
              <w:t>。</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12</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资格审查前，投标人须在广州市住房和城乡建设局建立企业信用档案及拟担任本工程项目负责人、专职安全员须是本企业中的在册人员</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投标人在广州市住建行业信用管理平台内企业信用档案的企业和人员信息。</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13</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未在以往工程中因不充分履约行为被本项目招标人书面拒绝投标的</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详见</w:t>
            </w:r>
            <w:r>
              <w:rPr>
                <w:rFonts w:hint="eastAsia" w:ascii="宋体" w:hAnsi="宋体"/>
                <w:color w:val="000000" w:themeColor="text1"/>
                <w:szCs w:val="21"/>
                <w:highlight w:val="none"/>
                <w:u w:val="single"/>
                <w:lang w:eastAsia="zh-CN"/>
                <w14:textFill>
                  <w14:solidFill>
                    <w14:schemeClr w14:val="tx1"/>
                  </w14:solidFill>
                </w14:textFill>
              </w:rPr>
              <w:t>招标公告</w:t>
            </w:r>
            <w:r>
              <w:rPr>
                <w:rFonts w:hint="eastAsia" w:ascii="宋体" w:hAnsi="宋体"/>
                <w:color w:val="000000" w:themeColor="text1"/>
                <w:szCs w:val="21"/>
                <w:highlight w:val="none"/>
                <w:u w:val="single"/>
                <w14:textFill>
                  <w14:solidFill>
                    <w14:schemeClr w14:val="tx1"/>
                  </w14:solidFill>
                </w14:textFill>
              </w:rPr>
              <w:t>附件三《被招标人拒绝投标的企业名单》。</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14</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投标人未出现以下情形：与其它投标人的单位负责人为同一人或者存在控股、管理关系的（按投标人提供的《投标人声明》第八条内容进行评审）。</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投标人声明</w:t>
            </w:r>
            <w:r>
              <w:rPr>
                <w:rFonts w:hint="eastAsia" w:ascii="宋体" w:hAnsi="宋体"/>
                <w:color w:val="000000" w:themeColor="text1"/>
                <w:szCs w:val="21"/>
                <w:highlight w:val="none"/>
                <w:lang w:eastAsia="zh-CN"/>
                <w14:textFill>
                  <w14:solidFill>
                    <w14:schemeClr w14:val="tx1"/>
                  </w14:solidFill>
                </w14:textFill>
              </w:rPr>
              <w:t>。</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15</w:t>
            </w:r>
          </w:p>
        </w:tc>
        <w:tc>
          <w:tcPr>
            <w:tcW w:w="378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未被列入拖欠农民工工资失信联合惩戒对象名单</w:t>
            </w:r>
            <w:r>
              <w:rPr>
                <w:rFonts w:hint="eastAsia" w:ascii="宋体" w:hAnsi="宋体"/>
                <w:color w:val="000000" w:themeColor="text1"/>
                <w:szCs w:val="21"/>
                <w:highlight w:val="none"/>
                <w:lang w:eastAsia="zh-CN"/>
                <w14:textFill>
                  <w14:solidFill>
                    <w14:schemeClr w14:val="tx1"/>
                  </w14:solidFill>
                </w14:textFill>
              </w:rPr>
              <w:t>。</w:t>
            </w:r>
          </w:p>
        </w:tc>
        <w:tc>
          <w:tcPr>
            <w:tcW w:w="34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投标人无需提供资料，按交易系统比对的结果进行评审</w:t>
            </w:r>
            <w:r>
              <w:rPr>
                <w:rFonts w:hint="eastAsia" w:ascii="宋体" w:hAnsi="宋体"/>
                <w:color w:val="000000" w:themeColor="text1"/>
                <w:szCs w:val="21"/>
                <w:highlight w:val="none"/>
                <w:lang w:eastAsia="zh-CN"/>
                <w14:textFill>
                  <w14:solidFill>
                    <w14:schemeClr w14:val="tx1"/>
                  </w14:solidFill>
                </w14:textFill>
              </w:rPr>
              <w:t>。</w:t>
            </w:r>
          </w:p>
        </w:tc>
        <w:tc>
          <w:tcPr>
            <w:tcW w:w="72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120" w:beforeAutospacing="0" w:after="60" w:afterAutospacing="0"/>
              <w:ind w:left="0" w:right="0"/>
              <w:jc w:val="center"/>
              <w:rPr>
                <w:rFonts w:hint="default" w:ascii="宋体" w:hAnsi="宋体"/>
                <w:color w:val="000000" w:themeColor="text1"/>
                <w:szCs w:val="21"/>
                <w:highlight w:val="none"/>
                <w14:textFill>
                  <w14:solidFill>
                    <w14:schemeClr w14:val="tx1"/>
                  </w14:solidFill>
                </w14:textFill>
              </w:rPr>
            </w:pPr>
          </w:p>
        </w:tc>
      </w:tr>
    </w:tbl>
    <w:p>
      <w:pPr>
        <w:spacing w:line="480" w:lineRule="auto"/>
        <w:ind w:firstLine="470" w:firstLineChars="22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备注：</w:t>
      </w:r>
    </w:p>
    <w:p>
      <w:pPr>
        <w:spacing w:line="360" w:lineRule="auto"/>
        <w:ind w:firstLine="470" w:firstLineChars="22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1、每一项目符合的打“○”，不符合的打“×”； </w:t>
      </w:r>
    </w:p>
    <w:p>
      <w:pPr>
        <w:spacing w:line="360" w:lineRule="auto"/>
        <w:ind w:firstLine="470" w:firstLineChars="22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2、若评委意见不一致时，则按少数服从多数的原则，作出评审结论。汇总后，出现一个“×”的结论为“不通过”。</w:t>
      </w:r>
    </w:p>
    <w:p>
      <w:pPr>
        <w:spacing w:line="360" w:lineRule="auto"/>
        <w:ind w:firstLine="470" w:firstLineChars="224"/>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不得将文件顺序、明显的文字错误等列为否决投标的情形。评委发现资格审查文件中含义不明确、对同类问题表述不一致、有明显文字和计算错误的，应当要求投标人作必要的澄清、说明后再判定投标人是否通过资格审查，不得直接认定其不通过资格审查。</w:t>
      </w:r>
    </w:p>
    <w:p>
      <w:pPr>
        <w:rPr>
          <w:color w:val="000000" w:themeColor="text1"/>
          <w:highlight w:val="none"/>
          <w14:textFill>
            <w14:solidFill>
              <w14:schemeClr w14:val="tx1"/>
            </w14:solidFill>
          </w14:textFill>
        </w:rPr>
        <w:sectPr>
          <w:footerReference r:id="rId7" w:type="default"/>
          <w:endnotePr>
            <w:numFmt w:val="decimal"/>
          </w:endnotePr>
          <w:pgSz w:w="11906" w:h="16838"/>
          <w:pgMar w:top="1134" w:right="1418" w:bottom="1247" w:left="1418" w:header="851" w:footer="907" w:gutter="0"/>
          <w:pgNumType w:fmt="decimal"/>
          <w:cols w:space="425" w:num="1"/>
          <w:docGrid w:type="lines" w:linePitch="312" w:charSpace="0"/>
        </w:sectPr>
      </w:pPr>
    </w:p>
    <w:p>
      <w:pPr>
        <w:outlineLvl w:val="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附表二</w:t>
      </w:r>
    </w:p>
    <w:p>
      <w:pPr>
        <w:jc w:val="center"/>
        <w:rPr>
          <w:b/>
          <w:color w:val="000000" w:themeColor="text1"/>
          <w:sz w:val="36"/>
          <w:szCs w:val="36"/>
          <w:highlight w:val="none"/>
          <w14:textFill>
            <w14:solidFill>
              <w14:schemeClr w14:val="tx1"/>
            </w14:solidFill>
          </w14:textFill>
        </w:rPr>
      </w:pPr>
      <w:r>
        <w:rPr>
          <w:rFonts w:hint="eastAsia"/>
          <w:b/>
          <w:color w:val="000000" w:themeColor="text1"/>
          <w:sz w:val="36"/>
          <w:szCs w:val="36"/>
          <w:highlight w:val="none"/>
          <w14:textFill>
            <w14:solidFill>
              <w14:schemeClr w14:val="tx1"/>
            </w14:solidFill>
          </w14:textFill>
        </w:rPr>
        <w:t>技术标有效性审查表</w:t>
      </w:r>
    </w:p>
    <w:p>
      <w:pP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工程名称：</w:t>
      </w:r>
      <w:r>
        <w:rPr>
          <w:rFonts w:hint="eastAsia"/>
          <w:color w:val="000000" w:themeColor="text1"/>
          <w:szCs w:val="21"/>
          <w:highlight w:val="none"/>
          <w:lang w:eastAsia="zh-CN"/>
          <w14:textFill>
            <w14:solidFill>
              <w14:schemeClr w14:val="tx1"/>
            </w14:solidFill>
          </w14:textFill>
        </w:rPr>
        <w:t>广州市增城区教育城西消防救援站项目施工总承包</w:t>
      </w:r>
    </w:p>
    <w:tbl>
      <w:tblPr>
        <w:tblStyle w:val="18"/>
        <w:tblW w:w="144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6665"/>
        <w:gridCol w:w="1208"/>
        <w:gridCol w:w="1209"/>
        <w:gridCol w:w="1208"/>
        <w:gridCol w:w="1209"/>
        <w:gridCol w:w="1208"/>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序号</w:t>
            </w:r>
          </w:p>
        </w:tc>
        <w:tc>
          <w:tcPr>
            <w:tcW w:w="6665" w:type="dxa"/>
            <w:tcBorders>
              <w:top w:val="single" w:color="auto" w:sz="4" w:space="0"/>
              <w:left w:val="single" w:color="auto" w:sz="4" w:space="0"/>
              <w:bottom w:val="single" w:color="auto" w:sz="4" w:space="0"/>
              <w:right w:val="single" w:color="auto" w:sz="4" w:space="0"/>
              <w:tl2br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投标人</w:t>
            </w:r>
          </w:p>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评审内容</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《广州建设工程施工招标投标书》中工期</w:t>
            </w:r>
            <w:r>
              <w:rPr>
                <w:rFonts w:hint="eastAsia" w:ascii="宋体" w:hAnsi="宋体"/>
                <w:color w:val="000000" w:themeColor="text1"/>
                <w:szCs w:val="21"/>
                <w:highlight w:val="none"/>
                <w14:textFill>
                  <w14:solidFill>
                    <w14:schemeClr w14:val="tx1"/>
                  </w14:solidFill>
                </w14:textFill>
              </w:rPr>
              <w:t>不能满足完成投标项目工期的；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u w:val="single"/>
                <w14:textFill>
                  <w14:solidFill>
                    <w14:schemeClr w14:val="tx1"/>
                  </w14:solidFill>
                </w14:textFill>
              </w:rPr>
              <w:t>《广州建设工程施工招标投标书》中质量标准</w:t>
            </w:r>
            <w:r>
              <w:rPr>
                <w:rFonts w:hint="eastAsia" w:ascii="宋体" w:hAnsi="宋体"/>
                <w:color w:val="000000" w:themeColor="text1"/>
                <w:szCs w:val="21"/>
                <w:highlight w:val="none"/>
                <w14:textFill>
                  <w14:solidFill>
                    <w14:schemeClr w14:val="tx1"/>
                  </w14:solidFill>
                </w14:textFill>
              </w:rPr>
              <w:t>不符合招标文件</w:t>
            </w:r>
            <w:r>
              <w:rPr>
                <w:rFonts w:hint="eastAsia" w:ascii="宋体" w:hAnsi="宋体"/>
                <w:color w:val="000000" w:themeColor="text1"/>
                <w:szCs w:val="21"/>
                <w:highlight w:val="none"/>
                <w:u w:val="single"/>
                <w14:textFill>
                  <w14:solidFill>
                    <w14:schemeClr w14:val="tx1"/>
                  </w14:solidFill>
                </w14:textFill>
              </w:rPr>
              <w:t>要求</w:t>
            </w:r>
            <w:r>
              <w:rPr>
                <w:rFonts w:hint="eastAsia" w:ascii="宋体" w:hAnsi="宋体"/>
                <w:color w:val="000000" w:themeColor="text1"/>
                <w:szCs w:val="21"/>
                <w:highlight w:val="none"/>
                <w14:textFill>
                  <w14:solidFill>
                    <w14:schemeClr w14:val="tx1"/>
                  </w14:solidFill>
                </w14:textFill>
              </w:rPr>
              <w:t>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投标文件中没有有效的法定代表人证明书，或由委托代理人签署或盖章的投标文件中没有法定代表人授权书；</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投标文件未按规定的格式</w:t>
            </w:r>
            <w:r>
              <w:rPr>
                <w:rFonts w:hint="eastAsia" w:ascii="宋体" w:hAnsi="宋体"/>
                <w:color w:val="000000" w:themeColor="text1"/>
                <w:szCs w:val="21"/>
                <w:highlight w:val="none"/>
                <w:u w:val="single"/>
                <w14:textFill>
                  <w14:solidFill>
                    <w14:schemeClr w14:val="tx1"/>
                  </w14:solidFill>
                </w14:textFill>
              </w:rPr>
              <w:t>（指技术标格式二、格式三、</w:t>
            </w:r>
            <w:r>
              <w:rPr>
                <w:rFonts w:hint="eastAsia" w:ascii="宋体" w:hAnsi="宋体"/>
                <w:color w:val="000000" w:themeColor="text1"/>
                <w:szCs w:val="21"/>
                <w:highlight w:val="none"/>
                <w:u w:val="single"/>
                <w:lang w:eastAsia="zh-CN"/>
                <w14:textFill>
                  <w14:solidFill>
                    <w14:schemeClr w14:val="tx1"/>
                  </w14:solidFill>
                </w14:textFill>
              </w:rPr>
              <w:t>格式十一、</w:t>
            </w:r>
            <w:r>
              <w:rPr>
                <w:rFonts w:hint="eastAsia" w:ascii="宋体" w:hAnsi="宋体"/>
                <w:color w:val="000000" w:themeColor="text1"/>
                <w:szCs w:val="21"/>
                <w:highlight w:val="none"/>
                <w:u w:val="single"/>
                <w14:textFill>
                  <w14:solidFill>
                    <w14:schemeClr w14:val="tx1"/>
                  </w14:solidFill>
                </w14:textFill>
              </w:rPr>
              <w:t>格式十二、格式十三、格式十四）</w:t>
            </w:r>
            <w:r>
              <w:rPr>
                <w:rFonts w:hint="eastAsia" w:ascii="宋体" w:hAnsi="宋体"/>
                <w:color w:val="000000" w:themeColor="text1"/>
                <w:szCs w:val="21"/>
                <w:highlight w:val="none"/>
                <w14:textFill>
                  <w14:solidFill>
                    <w14:schemeClr w14:val="tx1"/>
                  </w14:solidFill>
                </w14:textFill>
              </w:rPr>
              <w:t>填写，或关键字迹模糊、无法辨认的；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投标人之间存在《广东省实施&lt;中华人民共和国招标投标法&gt;》第十六条所禁止的情形的；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shd w:val="pct10"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无《参与编制技术标投标文件人员名单》的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w:t>
            </w:r>
          </w:p>
        </w:tc>
        <w:tc>
          <w:tcPr>
            <w:tcW w:w="66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投标人与</w:t>
            </w:r>
            <w:r>
              <w:rPr>
                <w:rFonts w:hint="eastAsia" w:ascii="宋体" w:hAnsi="宋体" w:cs="宋体"/>
                <w:b/>
                <w:bCs/>
                <w:color w:val="000000" w:themeColor="text1"/>
                <w:kern w:val="0"/>
                <w:szCs w:val="21"/>
                <w:highlight w:val="none"/>
                <w14:textFill>
                  <w14:solidFill>
                    <w14:schemeClr w14:val="tx1"/>
                  </w14:solidFill>
                </w14:textFill>
              </w:rPr>
              <w:t>本项目</w:t>
            </w:r>
            <w:r>
              <w:rPr>
                <w:rFonts w:hint="eastAsia" w:ascii="宋体" w:hAnsi="宋体" w:cs="宋体"/>
                <w:color w:val="000000" w:themeColor="text1"/>
                <w:kern w:val="0"/>
                <w:szCs w:val="21"/>
                <w:highlight w:val="none"/>
                <w14:textFill>
                  <w14:solidFill>
                    <w14:schemeClr w14:val="tx1"/>
                  </w14:solidFill>
                </w14:textFill>
              </w:rPr>
              <w:t>其他投标人加密打包投标文件电脑机器特征码一致的(以</w:t>
            </w:r>
            <w:r>
              <w:rPr>
                <w:rFonts w:hint="eastAsia" w:ascii="宋体" w:hAnsi="宋体"/>
                <w:color w:val="000000" w:themeColor="text1"/>
                <w:szCs w:val="21"/>
                <w:highlight w:val="none"/>
                <w:u w:val="single"/>
                <w14:textFill>
                  <w14:solidFill>
                    <w14:schemeClr w14:val="tx1"/>
                  </w14:solidFill>
                </w14:textFill>
              </w:rPr>
              <w:t>广州公共资源交易中心</w:t>
            </w:r>
            <w:r>
              <w:rPr>
                <w:rFonts w:hint="eastAsia" w:ascii="宋体" w:hAnsi="宋体" w:cs="宋体"/>
                <w:color w:val="000000" w:themeColor="text1"/>
                <w:kern w:val="0"/>
                <w:szCs w:val="21"/>
                <w:highlight w:val="none"/>
                <w14:textFill>
                  <w14:solidFill>
                    <w14:schemeClr w14:val="tx1"/>
                  </w14:solidFill>
                </w14:textFill>
              </w:rPr>
              <w:t>交易平台评标系统的检索信息为准)</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adjustRightInd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bl>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注：1.本表使用GZZB2018-3招标文件范本，与范本内容不同之处均以下划线标明。技术标评审中，响应性、承诺性内容不应作为评分因素，可在该表中对上述内容进行符合性审查。审查标准须具备可操作性。</w:t>
      </w:r>
    </w:p>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不得将文件顺序、明显的文字错误等列为否决投标的情形。评委发现投标文件中含义不明确、对同类问题表述不一致、有明显文字和计算错误的，应当要求投标人作必要的澄清、说明后再判定投标人是否通过有效性审查，不得直接否决投标，若出现评标委员会否决投标的，应在评标报告中载明否决投标的具体情形、原因；</w:t>
      </w:r>
    </w:p>
    <w:p>
      <w:pPr>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3.凡出现以上任何一项情形，结论均为无效，否则就为有效。</w:t>
      </w:r>
    </w:p>
    <w:p>
      <w:pPr>
        <w:rPr>
          <w:color w:val="000000" w:themeColor="text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4.如对本表中某种情形的评审意见不一致时，以评标委员会过半数成员的意见作为评标委员会对该情形的认定结论。</w:t>
      </w:r>
      <w:r>
        <w:rPr>
          <w:color w:val="000000" w:themeColor="text1"/>
          <w:highlight w:val="none"/>
          <w14:textFill>
            <w14:solidFill>
              <w14:schemeClr w14:val="tx1"/>
            </w14:solidFill>
          </w14:textFill>
        </w:rPr>
        <w:br w:type="page"/>
      </w:r>
    </w:p>
    <w:p>
      <w:pPr>
        <w:outlineLvl w:val="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附表三</w:t>
      </w:r>
    </w:p>
    <w:p>
      <w:pPr>
        <w:jc w:val="center"/>
        <w:rPr>
          <w:b/>
          <w:color w:val="000000" w:themeColor="text1"/>
          <w:sz w:val="36"/>
          <w:szCs w:val="36"/>
          <w:highlight w:val="none"/>
          <w14:textFill>
            <w14:solidFill>
              <w14:schemeClr w14:val="tx1"/>
            </w14:solidFill>
          </w14:textFill>
        </w:rPr>
      </w:pPr>
      <w:r>
        <w:rPr>
          <w:rFonts w:hint="eastAsia"/>
          <w:b/>
          <w:color w:val="000000" w:themeColor="text1"/>
          <w:sz w:val="36"/>
          <w:szCs w:val="36"/>
          <w:highlight w:val="none"/>
          <w14:textFill>
            <w14:solidFill>
              <w14:schemeClr w14:val="tx1"/>
            </w14:solidFill>
          </w14:textFill>
        </w:rPr>
        <w:t>经济标有效性审查表</w:t>
      </w:r>
    </w:p>
    <w:p>
      <w:pP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工程名称：</w:t>
      </w:r>
    </w:p>
    <w:tbl>
      <w:tblPr>
        <w:tblStyle w:val="18"/>
        <w:tblW w:w="15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2"/>
        <w:gridCol w:w="7231"/>
        <w:gridCol w:w="1208"/>
        <w:gridCol w:w="1209"/>
        <w:gridCol w:w="1209"/>
        <w:gridCol w:w="1208"/>
        <w:gridCol w:w="1209"/>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序号</w:t>
            </w:r>
          </w:p>
        </w:tc>
        <w:tc>
          <w:tcPr>
            <w:tcW w:w="7231" w:type="dxa"/>
            <w:tcBorders>
              <w:top w:val="single" w:color="auto" w:sz="4" w:space="0"/>
              <w:left w:val="single" w:color="auto" w:sz="4" w:space="0"/>
              <w:bottom w:val="single" w:color="auto" w:sz="4" w:space="0"/>
              <w:right w:val="single" w:color="auto" w:sz="4" w:space="0"/>
              <w:tl2br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投标人</w:t>
            </w:r>
          </w:p>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评审内容</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对同一招标项目出现两个或以上的投标报价，且没有申明哪个有效；</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投标报价高于最高投标限价的</w:t>
            </w:r>
            <w:r>
              <w:rPr>
                <w:rFonts w:hint="eastAsia" w:ascii="宋体" w:hAnsi="宋体"/>
                <w:color w:val="000000" w:themeColor="text1"/>
                <w:szCs w:val="21"/>
                <w:highlight w:val="none"/>
                <w:u w:val="single"/>
                <w14:textFill>
                  <w14:solidFill>
                    <w14:schemeClr w14:val="tx1"/>
                  </w14:solidFill>
                </w14:textFill>
              </w:rPr>
              <w:t>（以最高投标限价公布函公布的各项控制数据为准）</w:t>
            </w:r>
            <w:r>
              <w:rPr>
                <w:rFonts w:hint="eastAsia" w:ascii="宋体" w:hAnsi="宋体"/>
                <w:color w:val="000000" w:themeColor="text1"/>
                <w:szCs w:val="21"/>
                <w:highlight w:val="none"/>
                <w14:textFill>
                  <w14:solidFill>
                    <w14:schemeClr w14:val="tx1"/>
                  </w14:solidFill>
                </w14:textFill>
              </w:rPr>
              <w:t>；</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2" w:leftChars="-1"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投标报价低于成本的；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算术复核后的投标报价与原投标报价相比存在1%或以上误差的；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5</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投标文件未按规定的格式</w:t>
            </w:r>
            <w:r>
              <w:rPr>
                <w:rFonts w:hint="eastAsia" w:ascii="宋体" w:hAnsi="宋体"/>
                <w:color w:val="000000" w:themeColor="text1"/>
                <w:szCs w:val="21"/>
                <w:highlight w:val="none"/>
                <w:u w:val="single"/>
                <w14:textFill>
                  <w14:solidFill>
                    <w14:schemeClr w14:val="tx1"/>
                  </w14:solidFill>
                </w14:textFill>
              </w:rPr>
              <w:t>（指经济标部分格式二、格式三、格式四）</w:t>
            </w:r>
            <w:r>
              <w:rPr>
                <w:rFonts w:hint="eastAsia" w:ascii="宋体" w:hAnsi="宋体"/>
                <w:color w:val="000000" w:themeColor="text1"/>
                <w:szCs w:val="21"/>
                <w:highlight w:val="none"/>
                <w14:textFill>
                  <w14:solidFill>
                    <w14:schemeClr w14:val="tx1"/>
                  </w14:solidFill>
                </w14:textFill>
              </w:rPr>
              <w:t>填写，或关键字迹模糊、无法辨认的；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6</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不同投标人的投标报价中分部分项工程量清单综合单价相似度达到80%及以上的(以</w:t>
            </w:r>
            <w:r>
              <w:rPr>
                <w:rFonts w:hint="eastAsia" w:ascii="宋体" w:hAnsi="宋体"/>
                <w:color w:val="000000" w:themeColor="text1"/>
                <w:szCs w:val="21"/>
                <w:highlight w:val="none"/>
                <w:u w:val="single"/>
                <w14:textFill>
                  <w14:solidFill>
                    <w14:schemeClr w14:val="tx1"/>
                  </w14:solidFill>
                </w14:textFill>
              </w:rPr>
              <w:t>广州公共资源交易中心</w:t>
            </w:r>
            <w:r>
              <w:rPr>
                <w:rFonts w:hint="eastAsia" w:ascii="宋体" w:hAnsi="宋体"/>
                <w:color w:val="000000" w:themeColor="text1"/>
                <w:szCs w:val="21"/>
                <w:highlight w:val="none"/>
                <w14:textFill>
                  <w14:solidFill>
                    <w14:schemeClr w14:val="tx1"/>
                  </w14:solidFill>
                </w14:textFill>
              </w:rPr>
              <w:t>交易平台评标系统的检索信息为准)</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7</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投标人之间存在《广东省实施&lt;中华人民共和国招标投标法&gt;》第十六条所禁止的情形的；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8</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无《参与编制经济标投标文件人员名单》的；</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9</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无《对投标文件编制的承诺》</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10</w:t>
            </w:r>
          </w:p>
        </w:tc>
        <w:tc>
          <w:tcPr>
            <w:tcW w:w="72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投标人与本项目其他投标人的投标文件工程量清单编制机器硬件信息一致的（以</w:t>
            </w:r>
            <w:r>
              <w:rPr>
                <w:rFonts w:hint="eastAsia" w:ascii="宋体" w:hAnsi="宋体"/>
                <w:color w:val="000000" w:themeColor="text1"/>
                <w:szCs w:val="21"/>
                <w:highlight w:val="none"/>
                <w:u w:val="single"/>
                <w14:textFill>
                  <w14:solidFill>
                    <w14:schemeClr w14:val="tx1"/>
                  </w14:solidFill>
                </w14:textFill>
              </w:rPr>
              <w:t>广州公共资源交易中心</w:t>
            </w:r>
            <w:r>
              <w:rPr>
                <w:rFonts w:hint="eastAsia" w:ascii="宋体" w:hAnsi="宋体"/>
                <w:color w:val="000000" w:themeColor="text1"/>
                <w:szCs w:val="21"/>
                <w:highlight w:val="none"/>
                <w14:textFill>
                  <w14:solidFill>
                    <w14:schemeClr w14:val="tx1"/>
                  </w14:solidFill>
                </w14:textFill>
              </w:rPr>
              <w:t>交易平台评标系统的检索信息为准）</w:t>
            </w: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8"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209"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bl>
    <w:p>
      <w:pPr>
        <w:ind w:firstLine="458"/>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注：1.本表使用GZZB2018-3招标文件范本，与范本内容不同之处均以下划线标明。</w:t>
      </w:r>
    </w:p>
    <w:p>
      <w:pPr>
        <w:ind w:firstLine="458"/>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2.凡出现以上任何一项情形，结论均为无效，否则就为有效。</w:t>
      </w:r>
    </w:p>
    <w:p>
      <w:pPr>
        <w:ind w:firstLine="458"/>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3.如对本表中某种情形的评审意见不一致时，以评标委员会过半数成员的意见作为评标委员会对该情形的认定结论。</w:t>
      </w:r>
    </w:p>
    <w:p>
      <w:pPr>
        <w:ind w:firstLine="458"/>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4.不得将文件顺序、明显的文字错误等列为否决投标的情形。评委发现投标文件中含义不明确、对同类问题表述不一致、有明显文字和计算错误、投标报价可能低于成本影响履约的，应当要求投标人作必要的澄清、说明后再判定投标人是否通过有效性审查，不得直接否决投标。</w:t>
      </w:r>
    </w:p>
    <w:p>
      <w:pPr>
        <w:pStyle w:val="17"/>
        <w:ind w:firstLine="458"/>
        <w:rPr>
          <w:rFonts w:ascii="宋体" w:hAnsi="宋体"/>
          <w:color w:val="000000" w:themeColor="text1"/>
          <w:szCs w:val="21"/>
          <w:highlight w:val="none"/>
          <w14:textFill>
            <w14:solidFill>
              <w14:schemeClr w14:val="tx1"/>
            </w14:solidFill>
          </w14:textFill>
        </w:rPr>
        <w:sectPr>
          <w:endnotePr>
            <w:numFmt w:val="decimal"/>
          </w:endnotePr>
          <w:pgSz w:w="16838" w:h="11906" w:orient="landscape"/>
          <w:pgMar w:top="1418" w:right="1247" w:bottom="1418" w:left="1134" w:header="851" w:footer="907" w:gutter="0"/>
          <w:pgNumType w:fmt="decimal"/>
          <w:cols w:space="425" w:num="1"/>
          <w:titlePg/>
          <w:docGrid w:type="lines" w:linePitch="312" w:charSpace="0"/>
        </w:sectPr>
      </w:pPr>
      <w:r>
        <w:rPr>
          <w:rFonts w:hint="eastAsia" w:ascii="宋体" w:hAnsi="宋体"/>
          <w:color w:val="000000" w:themeColor="text1"/>
          <w:szCs w:val="21"/>
          <w:highlight w:val="none"/>
          <w14:textFill>
            <w14:solidFill>
              <w14:schemeClr w14:val="tx1"/>
            </w14:solidFill>
          </w14:textFill>
        </w:rPr>
        <w:t>评委签名：</w:t>
      </w:r>
    </w:p>
    <w:p>
      <w:pPr>
        <w:outlineLvl w:val="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附表四</w:t>
      </w:r>
    </w:p>
    <w:p>
      <w:pPr>
        <w:keepNext w:val="0"/>
        <w:keepLines w:val="0"/>
        <w:widowControl w:val="0"/>
        <w:suppressLineNumbers w:val="0"/>
        <w:spacing w:before="0" w:beforeAutospacing="0" w:after="0" w:afterAutospacing="0"/>
        <w:ind w:left="0" w:right="0"/>
        <w:jc w:val="center"/>
        <w:rPr>
          <w:rFonts w:hint="eastAsia" w:ascii="宋体" w:hAnsi="Calibri" w:eastAsia="宋体" w:cs="宋体"/>
          <w:b/>
          <w:bCs w:val="0"/>
          <w:color w:val="000000" w:themeColor="text1"/>
          <w:kern w:val="2"/>
          <w:sz w:val="36"/>
          <w:szCs w:val="36"/>
          <w:highlight w:val="none"/>
          <w:u w:val="single"/>
          <w14:textFill>
            <w14:solidFill>
              <w14:schemeClr w14:val="tx1"/>
            </w14:solidFill>
          </w14:textFill>
        </w:rPr>
      </w:pPr>
      <w:r>
        <w:rPr>
          <w:rFonts w:hint="eastAsia" w:ascii="宋体" w:hAnsi="宋体" w:eastAsia="宋体" w:cs="宋体"/>
          <w:b/>
          <w:bCs w:val="0"/>
          <w:color w:val="000000" w:themeColor="text1"/>
          <w:kern w:val="2"/>
          <w:sz w:val="36"/>
          <w:szCs w:val="36"/>
          <w:highlight w:val="none"/>
          <w:lang w:val="en-US" w:eastAsia="zh-CN" w:bidi="ar"/>
          <w14:textFill>
            <w14:solidFill>
              <w14:schemeClr w14:val="tx1"/>
            </w14:solidFill>
          </w14:textFill>
        </w:rPr>
        <w:t>技术标详细审查评分表</w:t>
      </w:r>
    </w:p>
    <w:p>
      <w:pPr>
        <w:rPr>
          <w:color w:val="000000" w:themeColor="text1"/>
          <w:highlight w:val="none"/>
          <w14:textFill>
            <w14:solidFill>
              <w14:schemeClr w14:val="tx1"/>
            </w14:solidFill>
          </w14:textFill>
        </w:rPr>
      </w:pPr>
    </w:p>
    <w:tbl>
      <w:tblPr>
        <w:tblStyle w:val="18"/>
        <w:tblW w:w="153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2997"/>
        <w:gridCol w:w="581"/>
        <w:gridCol w:w="1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6"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b/>
                <w:bCs/>
                <w:color w:val="000000" w:themeColor="text1"/>
                <w:sz w:val="22"/>
                <w:highlight w:val="none"/>
                <w:shd w:val="clear" w:color="auto" w:fill="auto"/>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评分项目</w:t>
            </w:r>
          </w:p>
        </w:tc>
        <w:tc>
          <w:tcPr>
            <w:tcW w:w="2997"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b/>
                <w:bCs/>
                <w:color w:val="000000" w:themeColor="text1"/>
                <w:kern w:val="0"/>
                <w:sz w:val="22"/>
                <w:highlight w:val="none"/>
                <w:shd w:val="clear" w:color="auto" w:fill="auto"/>
                <w:lang w:bidi="ar"/>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评分内容</w:t>
            </w:r>
          </w:p>
        </w:tc>
        <w:tc>
          <w:tcPr>
            <w:tcW w:w="581"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b/>
                <w:bCs/>
                <w:color w:val="000000" w:themeColor="text1"/>
                <w:sz w:val="22"/>
                <w:highlight w:val="none"/>
                <w:shd w:val="clear" w:color="auto" w:fill="auto"/>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分值</w:t>
            </w:r>
          </w:p>
        </w:tc>
        <w:tc>
          <w:tcPr>
            <w:tcW w:w="11098"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b/>
                <w:bCs/>
                <w:color w:val="000000" w:themeColor="text1"/>
                <w:sz w:val="22"/>
                <w:highlight w:val="none"/>
                <w:shd w:val="clear" w:color="auto" w:fill="auto"/>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4" w:hRule="atLeast"/>
          <w:jc w:val="center"/>
        </w:trPr>
        <w:tc>
          <w:tcPr>
            <w:tcW w:w="696"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宋体" w:cs="宋体"/>
                <w:b/>
                <w:bCs/>
                <w:color w:val="000000" w:themeColor="text1"/>
                <w:kern w:val="0"/>
                <w:szCs w:val="21"/>
                <w:highlight w:val="none"/>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企业资信</w:t>
            </w:r>
          </w:p>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000000" w:themeColor="text1"/>
                <w:kern w:val="0"/>
                <w:sz w:val="22"/>
                <w:highlight w:val="none"/>
                <w:shd w:val="clear" w:color="auto" w:fill="auto"/>
                <w:lang w:val="en-US" w:eastAsia="zh-CN" w:bidi="ar"/>
                <w14:textFill>
                  <w14:solidFill>
                    <w14:schemeClr w14:val="tx1"/>
                  </w14:solidFill>
                </w14:textFill>
              </w:rPr>
            </w:pPr>
            <w:r>
              <w:rPr>
                <w:rFonts w:hint="default" w:ascii="宋体" w:hAnsi="宋体" w:cs="宋体"/>
                <w:b/>
                <w:bCs/>
                <w:color w:val="000000" w:themeColor="text1"/>
                <w:kern w:val="0"/>
                <w:szCs w:val="21"/>
                <w:highlight w:val="none"/>
                <w14:textFill>
                  <w14:solidFill>
                    <w14:schemeClr w14:val="tx1"/>
                  </w14:solidFill>
                </w14:textFill>
              </w:rPr>
              <w:t>(20</w:t>
            </w:r>
            <w:r>
              <w:rPr>
                <w:rFonts w:hint="eastAsia" w:ascii="宋体" w:hAnsi="宋体" w:cs="宋体"/>
                <w:b/>
                <w:bCs/>
                <w:color w:val="000000" w:themeColor="text1"/>
                <w:kern w:val="0"/>
                <w:szCs w:val="21"/>
                <w:highlight w:val="none"/>
                <w14:textFill>
                  <w14:solidFill>
                    <w14:schemeClr w14:val="tx1"/>
                  </w14:solidFill>
                </w14:textFill>
              </w:rPr>
              <w:t>分</w:t>
            </w:r>
            <w:r>
              <w:rPr>
                <w:rFonts w:hint="default" w:ascii="宋体" w:hAnsi="宋体" w:cs="宋体"/>
                <w:b/>
                <w:bCs/>
                <w:color w:val="000000" w:themeColor="text1"/>
                <w:kern w:val="0"/>
                <w:szCs w:val="21"/>
                <w:highlight w:val="none"/>
                <w14:textFill>
                  <w14:solidFill>
                    <w14:schemeClr w14:val="tx1"/>
                  </w14:solidFill>
                </w14:textFill>
              </w:rPr>
              <w:t>)</w:t>
            </w:r>
          </w:p>
        </w:tc>
        <w:tc>
          <w:tcPr>
            <w:tcW w:w="2997"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highlight w:val="none"/>
                <w:shd w:val="clear" w:color="auto" w:fill="auto"/>
                <w:lang w:bidi="ar"/>
                <w14:textFill>
                  <w14:solidFill>
                    <w14:schemeClr w14:val="tx1"/>
                  </w14:solidFill>
                </w14:textFill>
              </w:rPr>
            </w:pPr>
            <w:r>
              <w:rPr>
                <w:rFonts w:hint="eastAsia" w:ascii="宋体" w:hAnsi="宋体" w:eastAsia="宋体" w:cs="宋体"/>
                <w:b/>
                <w:color w:val="000000" w:themeColor="text1"/>
                <w:sz w:val="20"/>
                <w:szCs w:val="20"/>
                <w:highlight w:val="none"/>
                <w:lang w:bidi="ar"/>
                <w14:textFill>
                  <w14:solidFill>
                    <w14:schemeClr w14:val="tx1"/>
                  </w14:solidFill>
                </w14:textFill>
              </w:rPr>
              <w:t>类似</w:t>
            </w:r>
            <w:r>
              <w:rPr>
                <w:rFonts w:hint="eastAsia" w:ascii="宋体" w:hAnsi="宋体" w:eastAsia="宋体" w:cs="宋体"/>
                <w:b/>
                <w:color w:val="000000" w:themeColor="text1"/>
                <w:sz w:val="20"/>
                <w:szCs w:val="20"/>
                <w:highlight w:val="none"/>
                <w:lang w:val="en-US" w:eastAsia="zh-CN" w:bidi="ar"/>
                <w14:textFill>
                  <w14:solidFill>
                    <w14:schemeClr w14:val="tx1"/>
                  </w14:solidFill>
                </w14:textFill>
              </w:rPr>
              <w:t>工程</w:t>
            </w:r>
            <w:r>
              <w:rPr>
                <w:rFonts w:hint="eastAsia" w:ascii="宋体" w:hAnsi="宋体" w:eastAsia="宋体" w:cs="宋体"/>
                <w:b/>
                <w:color w:val="000000" w:themeColor="text1"/>
                <w:sz w:val="20"/>
                <w:szCs w:val="20"/>
                <w:highlight w:val="none"/>
                <w:lang w:bidi="ar"/>
                <w14:textFill>
                  <w14:solidFill>
                    <w14:schemeClr w14:val="tx1"/>
                  </w14:solidFill>
                </w14:textFill>
              </w:rPr>
              <w:t>业绩</w:t>
            </w:r>
          </w:p>
        </w:tc>
        <w:tc>
          <w:tcPr>
            <w:tcW w:w="58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eastAsiaTheme="minorEastAsia"/>
                <w:color w:val="000000" w:themeColor="text1"/>
                <w:sz w:val="22"/>
                <w:highlight w:val="none"/>
                <w:shd w:val="clear" w:color="auto" w:fill="auto"/>
                <w:lang w:val="en-US" w:eastAsia="zh-CN"/>
                <w14:textFill>
                  <w14:solidFill>
                    <w14:schemeClr w14:val="tx1"/>
                  </w14:solidFill>
                </w14:textFill>
              </w:rPr>
            </w:pPr>
            <w:r>
              <w:rPr>
                <w:rFonts w:hint="eastAsia" w:ascii="宋体" w:hAnsi="宋体" w:cs="宋体"/>
                <w:color w:val="000000" w:themeColor="text1"/>
                <w:sz w:val="22"/>
                <w:highlight w:val="none"/>
                <w:shd w:val="clear" w:color="auto" w:fill="auto"/>
                <w:lang w:val="en-US" w:eastAsia="zh-CN"/>
                <w14:textFill>
                  <w14:solidFill>
                    <w14:schemeClr w14:val="tx1"/>
                  </w14:solidFill>
                </w14:textFill>
              </w:rPr>
              <w:t>7</w:t>
            </w:r>
          </w:p>
        </w:tc>
        <w:tc>
          <w:tcPr>
            <w:tcW w:w="11098" w:type="dxa"/>
            <w:noWrap w:val="0"/>
            <w:vAlign w:val="center"/>
          </w:tcPr>
          <w:p>
            <w:pPr>
              <w:pStyle w:val="2"/>
              <w:suppressLineNumbers w:val="0"/>
              <w:spacing w:before="0" w:beforeAutospacing="0" w:after="0" w:afterAutospacing="0" w:line="240" w:lineRule="auto"/>
              <w:ind w:left="0" w:right="0"/>
              <w:rPr>
                <w:rFonts w:hint="default" w:cs="宋体"/>
                <w:color w:val="000000" w:themeColor="text1"/>
                <w:kern w:val="0"/>
                <w:sz w:val="21"/>
                <w:szCs w:val="21"/>
                <w:highlight w:val="none"/>
                <w14:textFill>
                  <w14:solidFill>
                    <w14:schemeClr w14:val="tx1"/>
                  </w14:solidFill>
                </w14:textFill>
              </w:rPr>
            </w:pPr>
            <w:r>
              <w:rPr>
                <w:rFonts w:hint="eastAsia" w:cs="宋体"/>
                <w:color w:val="000000" w:themeColor="text1"/>
                <w:kern w:val="0"/>
                <w:sz w:val="21"/>
                <w:szCs w:val="21"/>
                <w:highlight w:val="none"/>
                <w14:textFill>
                  <w14:solidFill>
                    <w14:schemeClr w14:val="tx1"/>
                  </w14:solidFill>
                </w14:textFill>
              </w:rPr>
              <w:t>投标人自2021年1月1日至</w:t>
            </w:r>
            <w:r>
              <w:rPr>
                <w:rFonts w:hint="eastAsia" w:cs="宋体"/>
                <w:color w:val="000000" w:themeColor="text1"/>
                <w:kern w:val="0"/>
                <w:sz w:val="21"/>
                <w:szCs w:val="21"/>
                <w:highlight w:val="none"/>
                <w:lang w:val="en-US" w:eastAsia="zh-CN"/>
                <w14:textFill>
                  <w14:solidFill>
                    <w14:schemeClr w14:val="tx1"/>
                  </w14:solidFill>
                </w14:textFill>
              </w:rPr>
              <w:t>投标截止时间</w:t>
            </w:r>
            <w:r>
              <w:rPr>
                <w:rFonts w:hint="default" w:cs="宋体"/>
                <w:color w:val="000000" w:themeColor="text1"/>
                <w:kern w:val="0"/>
                <w:sz w:val="21"/>
                <w:szCs w:val="21"/>
                <w:highlight w:val="none"/>
                <w:lang w:eastAsia="zh-CN"/>
                <w14:textFill>
                  <w14:solidFill>
                    <w14:schemeClr w14:val="tx1"/>
                  </w14:solidFill>
                </w14:textFill>
              </w:rPr>
              <w:t>止，</w:t>
            </w:r>
            <w:r>
              <w:rPr>
                <w:rFonts w:hint="eastAsia" w:cs="宋体"/>
                <w:color w:val="000000" w:themeColor="text1"/>
                <w:kern w:val="0"/>
                <w:sz w:val="21"/>
                <w:szCs w:val="21"/>
                <w:highlight w:val="none"/>
                <w14:textFill>
                  <w14:solidFill>
                    <w14:schemeClr w14:val="tx1"/>
                  </w14:solidFill>
                </w14:textFill>
              </w:rPr>
              <w:t>完成过质量合格且工程造价金额大于或等于</w:t>
            </w:r>
            <w:r>
              <w:rPr>
                <w:rFonts w:hint="eastAsia" w:cs="宋体"/>
                <w:color w:val="000000" w:themeColor="text1"/>
                <w:kern w:val="0"/>
                <w:sz w:val="21"/>
                <w:szCs w:val="21"/>
                <w:highlight w:val="none"/>
                <w:lang w:val="en-US" w:eastAsia="zh-CN"/>
                <w14:textFill>
                  <w14:solidFill>
                    <w14:schemeClr w14:val="tx1"/>
                  </w14:solidFill>
                </w14:textFill>
              </w:rPr>
              <w:t>1000</w:t>
            </w:r>
            <w:r>
              <w:rPr>
                <w:rFonts w:hint="eastAsia" w:cs="宋体"/>
                <w:color w:val="000000" w:themeColor="text1"/>
                <w:kern w:val="0"/>
                <w:sz w:val="21"/>
                <w:szCs w:val="21"/>
                <w:highlight w:val="none"/>
                <w14:textFill>
                  <w14:solidFill>
                    <w14:schemeClr w14:val="tx1"/>
                  </w14:solidFill>
                </w14:textFill>
              </w:rPr>
              <w:t>万元的建筑工程施工总承包</w:t>
            </w:r>
            <w:r>
              <w:rPr>
                <w:rFonts w:hint="eastAsia" w:cs="宋体"/>
                <w:color w:val="000000" w:themeColor="text1"/>
                <w:kern w:val="0"/>
                <w:sz w:val="21"/>
                <w:szCs w:val="21"/>
                <w:highlight w:val="none"/>
                <w:lang w:val="en-US" w:eastAsia="zh-CN"/>
                <w14:textFill>
                  <w14:solidFill>
                    <w14:schemeClr w14:val="tx1"/>
                  </w14:solidFill>
                </w14:textFill>
              </w:rPr>
              <w:t>类似项目</w:t>
            </w:r>
            <w:r>
              <w:rPr>
                <w:rFonts w:hint="eastAsia" w:cs="宋体"/>
                <w:color w:val="000000" w:themeColor="text1"/>
                <w:kern w:val="0"/>
                <w:sz w:val="21"/>
                <w:szCs w:val="21"/>
                <w:highlight w:val="none"/>
                <w14:textFill>
                  <w14:solidFill>
                    <w14:schemeClr w14:val="tx1"/>
                  </w14:solidFill>
                </w14:textFill>
              </w:rPr>
              <w:t>业绩</w:t>
            </w:r>
            <w:r>
              <w:rPr>
                <w:rFonts w:hint="eastAsia" w:cs="宋体"/>
                <w:color w:val="000000" w:themeColor="text1"/>
                <w:kern w:val="0"/>
                <w:sz w:val="21"/>
                <w:szCs w:val="21"/>
                <w:highlight w:val="none"/>
                <w:lang w:val="en-US" w:eastAsia="zh-CN"/>
                <w14:textFill>
                  <w14:solidFill>
                    <w14:schemeClr w14:val="tx1"/>
                  </w14:solidFill>
                </w14:textFill>
              </w:rPr>
              <w:t>数量</w:t>
            </w:r>
            <w:r>
              <w:rPr>
                <w:rFonts w:hint="eastAsia" w:cs="宋体"/>
                <w:color w:val="000000" w:themeColor="text1"/>
                <w:kern w:val="0"/>
                <w:sz w:val="21"/>
                <w:szCs w:val="21"/>
                <w:highlight w:val="none"/>
                <w14:textFill>
                  <w14:solidFill>
                    <w14:schemeClr w14:val="tx1"/>
                  </w14:solidFill>
                </w14:textFill>
              </w:rPr>
              <w:t>：</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项以上（不含</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项）的，得</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ascii="宋体" w:hAnsi="宋体" w:eastAsia="宋体" w:cs="宋体"/>
                <w:color w:val="000000" w:themeColor="text1"/>
                <w:sz w:val="21"/>
                <w:szCs w:val="2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至</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项的，得</w:t>
            </w: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至1</w:t>
            </w: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项的，得</w:t>
            </w:r>
            <w:r>
              <w:rPr>
                <w:rFonts w:hint="eastAsia" w:ascii="宋体" w:hAnsi="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（4）1至</w:t>
            </w:r>
            <w:r>
              <w:rPr>
                <w:rFonts w:hint="eastAsia"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项的，得</w:t>
            </w:r>
            <w:r>
              <w:rPr>
                <w:rFonts w:hint="eastAsia" w:hAnsi="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cs="宋体"/>
                <w:color w:val="000000" w:themeColor="text1"/>
                <w:kern w:val="0"/>
                <w:sz w:val="21"/>
                <w:szCs w:val="21"/>
                <w:highlight w:val="none"/>
                <w14:textFill>
                  <w14:solidFill>
                    <w14:schemeClr w14:val="tx1"/>
                  </w14:solidFill>
                </w14:textFill>
              </w:rPr>
              <w:t>不符合上述条件的不得分，本项最高得</w:t>
            </w:r>
            <w:r>
              <w:rPr>
                <w:rFonts w:hint="eastAsia" w:ascii="宋体" w:hAnsi="宋体" w:cs="宋体"/>
                <w:color w:val="000000" w:themeColor="text1"/>
                <w:sz w:val="21"/>
                <w:szCs w:val="21"/>
                <w:highlight w:val="none"/>
                <w:lang w:val="en-US" w:eastAsia="zh-CN"/>
                <w14:textFill>
                  <w14:solidFill>
                    <w14:schemeClr w14:val="tx1"/>
                  </w14:solidFill>
                </w14:textFill>
              </w:rPr>
              <w:t>7</w:t>
            </w:r>
            <w:r>
              <w:rPr>
                <w:rFonts w:hint="eastAsia" w:cs="宋体"/>
                <w:color w:val="000000" w:themeColor="text1"/>
                <w:kern w:val="0"/>
                <w:sz w:val="21"/>
                <w:szCs w:val="21"/>
                <w:highlight w:val="none"/>
                <w14:textFill>
                  <w14:solidFill>
                    <w14:schemeClr w14:val="tx1"/>
                  </w14:solidFill>
                </w14:textFill>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0" w:hRule="atLeas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000000" w:themeColor="text1"/>
                <w:sz w:val="22"/>
                <w:highlight w:val="none"/>
                <w:shd w:val="clear" w:color="auto" w:fill="auto"/>
                <w:lang w:val="en-US" w:eastAsia="zh-CN"/>
                <w14:textFill>
                  <w14:solidFill>
                    <w14:schemeClr w14:val="tx1"/>
                  </w14:solidFill>
                </w14:textFill>
              </w:rPr>
            </w:pPr>
          </w:p>
        </w:tc>
        <w:tc>
          <w:tcPr>
            <w:tcW w:w="2997"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highlight w:val="none"/>
                <w:shd w:val="clear" w:color="auto" w:fill="auto"/>
                <w:lang w:bidi="ar"/>
                <w14:textFill>
                  <w14:solidFill>
                    <w14:schemeClr w14:val="tx1"/>
                  </w14:solidFill>
                </w14:textFill>
              </w:rPr>
            </w:pPr>
            <w:r>
              <w:rPr>
                <w:rFonts w:hint="eastAsia" w:ascii="宋体" w:hAnsi="宋体" w:eastAsia="宋体" w:cs="宋体"/>
                <w:b/>
                <w:color w:val="000000" w:themeColor="text1"/>
                <w:sz w:val="20"/>
                <w:szCs w:val="20"/>
                <w:highlight w:val="none"/>
                <w:lang w:bidi="ar"/>
                <w14:textFill>
                  <w14:solidFill>
                    <w14:schemeClr w14:val="tx1"/>
                  </w14:solidFill>
                </w14:textFill>
              </w:rPr>
              <w:t>工程获奖</w:t>
            </w:r>
          </w:p>
        </w:tc>
        <w:tc>
          <w:tcPr>
            <w:tcW w:w="58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eastAsiaTheme="minorEastAsia"/>
                <w:color w:val="000000" w:themeColor="text1"/>
                <w:sz w:val="22"/>
                <w:highlight w:val="none"/>
                <w:shd w:val="clear" w:color="auto" w:fill="auto"/>
                <w:lang w:val="en-US" w:eastAsia="zh-CN"/>
                <w14:textFill>
                  <w14:solidFill>
                    <w14:schemeClr w14:val="tx1"/>
                  </w14:solidFill>
                </w14:textFill>
              </w:rPr>
            </w:pPr>
            <w:r>
              <w:rPr>
                <w:rFonts w:hint="eastAsia" w:ascii="宋体" w:hAnsi="宋体" w:cs="宋体"/>
                <w:color w:val="000000" w:themeColor="text1"/>
                <w:sz w:val="22"/>
                <w:highlight w:val="none"/>
                <w:shd w:val="clear" w:color="auto" w:fill="auto"/>
                <w:lang w:val="en-US" w:eastAsia="zh-CN"/>
                <w14:textFill>
                  <w14:solidFill>
                    <w14:schemeClr w14:val="tx1"/>
                  </w14:solidFill>
                </w14:textFill>
              </w:rPr>
              <w:t>5</w:t>
            </w:r>
          </w:p>
        </w:tc>
        <w:tc>
          <w:tcPr>
            <w:tcW w:w="11098" w:type="dxa"/>
            <w:noWrap w:val="0"/>
            <w:vAlign w:val="center"/>
          </w:tcPr>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投标人</w:t>
            </w:r>
            <w:r>
              <w:rPr>
                <w:rFonts w:hint="eastAsia" w:cs="宋体"/>
                <w:color w:val="000000" w:themeColor="text1"/>
                <w:kern w:val="0"/>
                <w:sz w:val="21"/>
                <w:szCs w:val="21"/>
                <w:highlight w:val="none"/>
                <w14:textFill>
                  <w14:solidFill>
                    <w14:schemeClr w14:val="tx1"/>
                  </w14:solidFill>
                </w14:textFill>
              </w:rPr>
              <w:t>自2021年1月1日至</w:t>
            </w:r>
            <w:r>
              <w:rPr>
                <w:rFonts w:hint="eastAsia" w:cs="宋体"/>
                <w:color w:val="000000" w:themeColor="text1"/>
                <w:kern w:val="0"/>
                <w:sz w:val="21"/>
                <w:szCs w:val="21"/>
                <w:highlight w:val="none"/>
                <w:lang w:val="en-US" w:eastAsia="zh-CN"/>
                <w14:textFill>
                  <w14:solidFill>
                    <w14:schemeClr w14:val="tx1"/>
                  </w14:solidFill>
                </w14:textFill>
              </w:rPr>
              <w:t>投标截止时间</w:t>
            </w:r>
            <w:r>
              <w:rPr>
                <w:rFonts w:hint="default" w:cs="宋体"/>
                <w:color w:val="000000" w:themeColor="text1"/>
                <w:kern w:val="0"/>
                <w:sz w:val="21"/>
                <w:szCs w:val="21"/>
                <w:highlight w:val="none"/>
                <w:lang w:eastAsia="zh-CN"/>
                <w14:textFill>
                  <w14:solidFill>
                    <w14:schemeClr w14:val="tx1"/>
                  </w14:solidFill>
                </w14:textFill>
              </w:rPr>
              <w:t>止</w:t>
            </w:r>
            <w:r>
              <w:rPr>
                <w:rFonts w:hint="eastAsia" w:cs="宋体"/>
                <w:color w:val="000000" w:themeColor="text1"/>
                <w:kern w:val="0"/>
                <w:sz w:val="21"/>
                <w:szCs w:val="21"/>
                <w:highlight w:val="none"/>
                <w:lang w:val="en-US"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完成</w:t>
            </w:r>
            <w:r>
              <w:rPr>
                <w:rFonts w:hint="eastAsia" w:ascii="宋体" w:hAnsi="宋体" w:eastAsia="宋体" w:cs="宋体"/>
                <w:color w:val="000000" w:themeColor="text1"/>
                <w:sz w:val="21"/>
                <w:szCs w:val="21"/>
                <w:highlight w:val="none"/>
                <w:lang w:val="en-US" w:eastAsia="zh-CN"/>
                <w14:textFill>
                  <w14:solidFill>
                    <w14:schemeClr w14:val="tx1"/>
                  </w14:solidFill>
                </w14:textFill>
              </w:rPr>
              <w:t>过</w:t>
            </w:r>
            <w:r>
              <w:rPr>
                <w:rFonts w:hint="eastAsia" w:ascii="宋体" w:hAnsi="宋体" w:eastAsia="宋体" w:cs="宋体"/>
                <w:color w:val="000000" w:themeColor="text1"/>
                <w:sz w:val="21"/>
                <w:szCs w:val="21"/>
                <w:highlight w:val="none"/>
                <w14:textFill>
                  <w14:solidFill>
                    <w14:schemeClr w14:val="tx1"/>
                  </w14:solidFill>
                </w14:textFill>
              </w:rPr>
              <w:t>的建筑工程施工总承包工程获得市级或以上质量</w:t>
            </w:r>
            <w:r>
              <w:rPr>
                <w:rFonts w:hint="eastAsia" w:ascii="宋体" w:hAnsi="宋体" w:eastAsia="宋体" w:cs="宋体"/>
                <w:color w:val="000000" w:themeColor="text1"/>
                <w:sz w:val="21"/>
                <w:szCs w:val="21"/>
                <w:highlight w:val="none"/>
                <w:lang w:val="en-US" w:eastAsia="zh-CN"/>
                <w14:textFill>
                  <w14:solidFill>
                    <w14:schemeClr w14:val="tx1"/>
                  </w14:solidFill>
                </w14:textFill>
              </w:rPr>
              <w:t>或安全</w:t>
            </w:r>
            <w:r>
              <w:rPr>
                <w:rFonts w:hint="eastAsia" w:ascii="宋体" w:hAnsi="宋体" w:eastAsia="宋体" w:cs="宋体"/>
                <w:color w:val="000000" w:themeColor="text1"/>
                <w:sz w:val="21"/>
                <w:szCs w:val="21"/>
                <w:highlight w:val="none"/>
                <w14:textFill>
                  <w14:solidFill>
                    <w14:schemeClr w14:val="tx1"/>
                  </w14:solidFill>
                </w14:textFill>
              </w:rPr>
              <w:t>奖：</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w:t>
            </w:r>
            <w:r>
              <w:rPr>
                <w:rFonts w:hint="eastAsia" w:ascii="宋体" w:hAnsi="宋体" w:eastAsia="宋体" w:cs="宋体"/>
                <w:color w:val="000000" w:themeColor="text1"/>
                <w:sz w:val="21"/>
                <w:szCs w:val="21"/>
                <w:highlight w:val="none"/>
                <w:lang w:val="en-US" w:eastAsia="zh-CN"/>
                <w14:textFill>
                  <w14:solidFill>
                    <w14:schemeClr w14:val="tx1"/>
                  </w14:solidFill>
                </w14:textFill>
              </w:rPr>
              <w:t>15</w:t>
            </w:r>
            <w:r>
              <w:rPr>
                <w:rFonts w:hint="eastAsia" w:ascii="宋体" w:hAnsi="宋体" w:eastAsia="宋体" w:cs="宋体"/>
                <w:color w:val="000000" w:themeColor="text1"/>
                <w:sz w:val="21"/>
                <w:szCs w:val="21"/>
                <w:highlight w:val="none"/>
                <w14:textFill>
                  <w14:solidFill>
                    <w14:schemeClr w14:val="tx1"/>
                  </w14:solidFill>
                </w14:textFill>
              </w:rPr>
              <w:t>项以上（不含</w:t>
            </w:r>
            <w:r>
              <w:rPr>
                <w:rFonts w:hint="eastAsia" w:ascii="宋体" w:hAnsi="宋体" w:eastAsia="宋体" w:cs="宋体"/>
                <w:color w:val="000000" w:themeColor="text1"/>
                <w:sz w:val="21"/>
                <w:szCs w:val="21"/>
                <w:highlight w:val="none"/>
                <w:lang w:val="en-US" w:eastAsia="zh-CN"/>
                <w14:textFill>
                  <w14:solidFill>
                    <w14:schemeClr w14:val="tx1"/>
                  </w14:solidFill>
                </w14:textFill>
              </w:rPr>
              <w:t>15</w:t>
            </w:r>
            <w:r>
              <w:rPr>
                <w:rFonts w:hint="eastAsia" w:ascii="宋体" w:hAnsi="宋体" w:eastAsia="宋体" w:cs="宋体"/>
                <w:color w:val="000000" w:themeColor="text1"/>
                <w:sz w:val="21"/>
                <w:szCs w:val="21"/>
                <w:highlight w:val="none"/>
                <w14:textFill>
                  <w14:solidFill>
                    <w14:schemeClr w14:val="tx1"/>
                  </w14:solidFill>
                </w14:textFill>
              </w:rPr>
              <w:t>项）的，得5分；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（2）1</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至</w:t>
            </w:r>
            <w:r>
              <w:rPr>
                <w:rFonts w:hint="eastAsia" w:ascii="宋体" w:hAnsi="宋体" w:eastAsia="宋体" w:cs="宋体"/>
                <w:color w:val="000000" w:themeColor="text1"/>
                <w:sz w:val="21"/>
                <w:szCs w:val="21"/>
                <w:highlight w:val="none"/>
                <w:lang w:val="en-US" w:eastAsia="zh-CN"/>
                <w14:textFill>
                  <w14:solidFill>
                    <w14:schemeClr w14:val="tx1"/>
                  </w14:solidFill>
                </w14:textFill>
              </w:rPr>
              <w:t>15</w:t>
            </w:r>
            <w:r>
              <w:rPr>
                <w:rFonts w:hint="eastAsia" w:ascii="宋体" w:hAnsi="宋体" w:eastAsia="宋体" w:cs="宋体"/>
                <w:color w:val="000000" w:themeColor="text1"/>
                <w:sz w:val="21"/>
                <w:szCs w:val="21"/>
                <w:highlight w:val="none"/>
                <w14:textFill>
                  <w14:solidFill>
                    <w14:schemeClr w14:val="tx1"/>
                  </w14:solidFill>
                </w14:textFill>
              </w:rPr>
              <w:t>项的，得</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6</w:t>
            </w:r>
            <w:r>
              <w:rPr>
                <w:rFonts w:hint="eastAsia" w:ascii="宋体" w:hAnsi="宋体" w:eastAsia="宋体" w:cs="宋体"/>
                <w:color w:val="000000" w:themeColor="text1"/>
                <w:sz w:val="21"/>
                <w:szCs w:val="21"/>
                <w:highlight w:val="none"/>
                <w14:textFill>
                  <w14:solidFill>
                    <w14:schemeClr w14:val="tx1"/>
                  </w14:solidFill>
                </w14:textFill>
              </w:rPr>
              <w:t>至1</w:t>
            </w:r>
            <w:r>
              <w:rPr>
                <w:rFonts w:hint="eastAsia" w:ascii="宋体" w:hAnsi="宋体" w:eastAsia="宋体" w:cs="宋体"/>
                <w:color w:val="000000" w:themeColor="text1"/>
                <w:sz w:val="21"/>
                <w:szCs w:val="21"/>
                <w:highlight w:val="none"/>
                <w:lang w:val="en-US" w:eastAsia="zh-CN"/>
                <w14:textFill>
                  <w14:solidFill>
                    <w14:schemeClr w14:val="tx1"/>
                  </w14:solidFill>
                </w14:textFill>
              </w:rPr>
              <w:t>0</w:t>
            </w:r>
            <w:r>
              <w:rPr>
                <w:rFonts w:hint="eastAsia" w:ascii="宋体" w:hAnsi="宋体" w:eastAsia="宋体" w:cs="宋体"/>
                <w:color w:val="000000" w:themeColor="text1"/>
                <w:sz w:val="21"/>
                <w:szCs w:val="21"/>
                <w:highlight w:val="none"/>
                <w14:textFill>
                  <w14:solidFill>
                    <w14:schemeClr w14:val="tx1"/>
                  </w14:solidFill>
                </w14:textFill>
              </w:rPr>
              <w:t>项的，得1分；</w:t>
            </w:r>
          </w:p>
          <w:p>
            <w:pPr>
              <w:pStyle w:val="10"/>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（4）1至</w:t>
            </w:r>
            <w:r>
              <w:rPr>
                <w:rFonts w:hint="eastAsia"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项的，得0.5分。</w:t>
            </w:r>
          </w:p>
          <w:p>
            <w:pPr>
              <w:keepNext w:val="0"/>
              <w:keepLines w:val="0"/>
              <w:suppressLineNumbers w:val="0"/>
              <w:spacing w:before="0" w:beforeAutospacing="0" w:after="0" w:afterAutospacing="0"/>
              <w:ind w:left="0" w:right="0"/>
              <w:rPr>
                <w:rFonts w:hint="default" w:cs="宋体"/>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不符合上述条件的不得分，本项最高得5分。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9" w:hRule="atLeas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000000" w:themeColor="text1"/>
                <w:sz w:val="22"/>
                <w:highlight w:val="none"/>
                <w:shd w:val="clear" w:color="auto" w:fill="auto"/>
                <w:lang w:val="en-US" w:eastAsia="zh-CN"/>
                <w14:textFill>
                  <w14:solidFill>
                    <w14:schemeClr w14:val="tx1"/>
                  </w14:solidFill>
                </w14:textFill>
              </w:rPr>
            </w:pPr>
          </w:p>
        </w:tc>
        <w:tc>
          <w:tcPr>
            <w:tcW w:w="2997" w:type="dxa"/>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kern w:val="0"/>
                <w:sz w:val="22"/>
                <w:highlight w:val="none"/>
                <w:shd w:val="clear" w:color="auto" w:fill="auto"/>
                <w:lang w:bidi="ar"/>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工程研发能力</w:t>
            </w:r>
          </w:p>
        </w:tc>
        <w:tc>
          <w:tcPr>
            <w:tcW w:w="581"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eastAsiaTheme="minorEastAsia"/>
                <w:color w:val="000000" w:themeColor="text1"/>
                <w:sz w:val="22"/>
                <w:highlight w:val="none"/>
                <w:shd w:val="clear" w:color="auto" w:fill="auto"/>
                <w:lang w:val="en-US" w:eastAsia="zh-CN"/>
                <w14:textFill>
                  <w14:solidFill>
                    <w14:schemeClr w14:val="tx1"/>
                  </w14:solidFill>
                </w14:textFill>
              </w:rPr>
            </w:pPr>
            <w:r>
              <w:rPr>
                <w:rFonts w:hint="eastAsia" w:ascii="宋体" w:hAnsi="宋体" w:cs="宋体"/>
                <w:color w:val="000000" w:themeColor="text1"/>
                <w:sz w:val="22"/>
                <w:highlight w:val="none"/>
                <w:shd w:val="clear" w:color="auto" w:fill="auto"/>
                <w:lang w:val="en-US" w:eastAsia="zh-CN"/>
                <w14:textFill>
                  <w14:solidFill>
                    <w14:schemeClr w14:val="tx1"/>
                  </w14:solidFill>
                </w14:textFill>
              </w:rPr>
              <w:t>4</w:t>
            </w:r>
          </w:p>
        </w:tc>
        <w:tc>
          <w:tcPr>
            <w:tcW w:w="11098" w:type="dxa"/>
            <w:noWrap w:val="0"/>
            <w:vAlign w:val="center"/>
          </w:tcPr>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投标人自2021年1月1日至投标截止时间止，获得过省级（或以上）房建类工法奖项的：</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1、获得过10个以上（不含10个）的，得4分；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2、获得过6～10个的，得2分；</w:t>
            </w:r>
          </w:p>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3、获得过1～5个的，得1分。</w:t>
            </w:r>
          </w:p>
          <w:p>
            <w:pPr>
              <w:keepNext w:val="0"/>
              <w:keepLines w:val="0"/>
              <w:suppressLineNumbers w:val="0"/>
              <w:spacing w:before="0" w:beforeAutospacing="0" w:after="0" w:afterAutospacing="0"/>
              <w:ind w:left="0" w:right="0"/>
              <w:rPr>
                <w:rFonts w:hint="default"/>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不符合上述条件的不得分，本项累计最高得4分。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96"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000000" w:themeColor="text1"/>
                <w:kern w:val="0"/>
                <w:sz w:val="22"/>
                <w:highlight w:val="none"/>
                <w:shd w:val="clear" w:color="auto" w:fill="auto"/>
                <w:lang w:val="en-US" w:eastAsia="zh-CN" w:bidi="ar"/>
                <w14:textFill>
                  <w14:solidFill>
                    <w14:schemeClr w14:val="tx1"/>
                  </w14:solidFill>
                </w14:textFill>
              </w:rPr>
            </w:pPr>
          </w:p>
        </w:tc>
        <w:tc>
          <w:tcPr>
            <w:tcW w:w="2997" w:type="dxa"/>
            <w:vMerge w:val="restart"/>
            <w:noWrap w:val="0"/>
            <w:vAlign w:val="center"/>
          </w:tcPr>
          <w:p>
            <w:pPr>
              <w:keepNext w:val="0"/>
              <w:keepLines w:val="0"/>
              <w:widowControl/>
              <w:suppressLineNumbers w:val="0"/>
              <w:spacing w:before="0" w:beforeAutospacing="0" w:after="0" w:afterAutospacing="0"/>
              <w:ind w:left="0" w:right="0"/>
              <w:jc w:val="center"/>
              <w:rPr>
                <w:rFonts w:hint="default" w:ascii="宋体" w:hAnsi="宋体" w:cs="宋体"/>
                <w:color w:val="000000" w:themeColor="text1"/>
                <w:sz w:val="22"/>
                <w:highlight w:val="none"/>
                <w:shd w:val="clear" w:color="auto" w:fill="auto"/>
                <w14:textFill>
                  <w14:solidFill>
                    <w14:schemeClr w14:val="tx1"/>
                  </w14:solidFill>
                </w14:textFill>
              </w:rPr>
            </w:pPr>
            <w:r>
              <w:rPr>
                <w:rFonts w:hint="eastAsia" w:ascii="宋体" w:hAnsi="宋体" w:cs="宋体"/>
                <w:b/>
                <w:bCs/>
                <w:color w:val="000000" w:themeColor="text1"/>
                <w:kern w:val="0"/>
                <w:szCs w:val="21"/>
                <w:highlight w:val="none"/>
                <w14:textFill>
                  <w14:solidFill>
                    <w14:schemeClr w14:val="tx1"/>
                  </w14:solidFill>
                </w14:textFill>
              </w:rPr>
              <w:t>第三方评价</w:t>
            </w:r>
          </w:p>
        </w:tc>
        <w:tc>
          <w:tcPr>
            <w:tcW w:w="581"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cs="宋体" w:eastAsiaTheme="minorEastAsia"/>
                <w:color w:val="000000" w:themeColor="text1"/>
                <w:sz w:val="22"/>
                <w:highlight w:val="none"/>
                <w:shd w:val="clear" w:color="auto" w:fill="auto"/>
                <w:lang w:val="en-US" w:eastAsia="zh-CN"/>
                <w14:textFill>
                  <w14:solidFill>
                    <w14:schemeClr w14:val="tx1"/>
                  </w14:solidFill>
                </w14:textFill>
              </w:rPr>
            </w:pPr>
            <w:r>
              <w:rPr>
                <w:rFonts w:hint="eastAsia" w:ascii="宋体" w:hAnsi="宋体" w:cs="宋体"/>
                <w:color w:val="000000" w:themeColor="text1"/>
                <w:sz w:val="22"/>
                <w:highlight w:val="none"/>
                <w:shd w:val="clear" w:color="auto" w:fill="auto"/>
                <w:lang w:val="en-US" w:eastAsia="zh-CN"/>
                <w14:textFill>
                  <w14:solidFill>
                    <w14:schemeClr w14:val="tx1"/>
                  </w14:solidFill>
                </w14:textFill>
              </w:rPr>
              <w:t>4</w:t>
            </w:r>
          </w:p>
        </w:tc>
        <w:tc>
          <w:tcPr>
            <w:tcW w:w="11098" w:type="dxa"/>
            <w:noWrap w:val="0"/>
            <w:vAlign w:val="center"/>
          </w:tcPr>
          <w:p>
            <w:pPr>
              <w:pStyle w:val="7"/>
              <w:keepNext w:val="0"/>
              <w:keepLines w:val="0"/>
              <w:suppressLineNumbers w:val="0"/>
              <w:spacing w:before="0" w:beforeAutospacing="0" w:after="0" w:afterAutospacing="0"/>
              <w:ind w:left="0" w:right="0" w:firstLine="0"/>
              <w:rPr>
                <w:rFonts w:hint="default" w:asci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投标人同时具有</w:t>
            </w:r>
            <w:r>
              <w:rPr>
                <w:rFonts w:hint="eastAsia" w:ascii="宋体" w:hAnsi="宋体" w:cs="宋体"/>
                <w:color w:val="000000" w:themeColor="text1"/>
                <w:highlight w:val="none"/>
                <w:lang w:val="en-US" w:eastAsia="zh-CN"/>
                <w14:textFill>
                  <w14:solidFill>
                    <w14:schemeClr w14:val="tx1"/>
                  </w14:solidFill>
                </w14:textFill>
              </w:rPr>
              <w:t>有效</w:t>
            </w:r>
            <w:r>
              <w:rPr>
                <w:rFonts w:hint="eastAsia" w:ascii="宋体" w:hAnsi="宋体" w:cs="宋体"/>
                <w:color w:val="000000" w:themeColor="text1"/>
                <w:highlight w:val="none"/>
                <w14:textFill>
                  <w14:solidFill>
                    <w14:schemeClr w14:val="tx1"/>
                  </w14:solidFill>
                </w14:textFill>
              </w:rPr>
              <w:t>的质量管理体系认证证书、环境管理体系认证证书、职业健康安全管理体系认证证书、工程施工安全标准化体系认证证书、工程绿色施工企业评价体系认证证书的，得</w:t>
            </w:r>
            <w:r>
              <w:rPr>
                <w:rFonts w:hint="eastAsia" w:ascii="宋体" w:hAnsi="宋体" w:cs="宋体"/>
                <w:color w:val="000000" w:themeColor="text1"/>
                <w:highlight w:val="none"/>
                <w:lang w:val="en-US" w:eastAsia="zh-CN"/>
                <w14:textFill>
                  <w14:solidFill>
                    <w14:schemeClr w14:val="tx1"/>
                  </w14:solidFill>
                </w14:textFill>
              </w:rPr>
              <w:t>2</w:t>
            </w:r>
            <w:r>
              <w:rPr>
                <w:rFonts w:hint="eastAsia" w:ascii="宋体" w:hAnsi="宋体" w:cs="宋体"/>
                <w:color w:val="000000" w:themeColor="text1"/>
                <w:highlight w:val="none"/>
                <w14:textFill>
                  <w14:solidFill>
                    <w14:schemeClr w14:val="tx1"/>
                  </w14:solidFill>
                </w14:textFill>
              </w:rPr>
              <w:t>分；同时具有以上任意四项认证证书的，得</w:t>
            </w:r>
            <w:r>
              <w:rPr>
                <w:rFonts w:hint="default" w:ascii="宋体" w:hAnsi="宋体" w:cs="宋体"/>
                <w:color w:val="000000" w:themeColor="text1"/>
                <w:highlight w:val="none"/>
                <w14:textFill>
                  <w14:solidFill>
                    <w14:schemeClr w14:val="tx1"/>
                  </w14:solidFill>
                </w14:textFill>
              </w:rPr>
              <w:t>1</w:t>
            </w:r>
            <w:r>
              <w:rPr>
                <w:rFonts w:hint="eastAsia" w:ascii="宋体" w:hAnsi="宋体" w:cs="宋体"/>
                <w:color w:val="000000" w:themeColor="text1"/>
                <w:highlight w:val="none"/>
                <w14:textFill>
                  <w14:solidFill>
                    <w14:schemeClr w14:val="tx1"/>
                  </w14:solidFill>
                </w14:textFill>
              </w:rPr>
              <w:t>分；同时具有以上任意三项认证证书的，得</w:t>
            </w:r>
            <w:r>
              <w:rPr>
                <w:rFonts w:hint="default" w:ascii="宋体" w:hAnsi="宋体" w:cs="宋体"/>
                <w:color w:val="000000" w:themeColor="text1"/>
                <w:highlight w:val="none"/>
                <w14:textFill>
                  <w14:solidFill>
                    <w14:schemeClr w14:val="tx1"/>
                  </w14:solidFill>
                </w14:textFill>
              </w:rPr>
              <w:t>0.5</w:t>
            </w:r>
            <w:r>
              <w:rPr>
                <w:rFonts w:hint="eastAsia" w:ascii="宋体" w:hAnsi="宋体" w:cs="宋体"/>
                <w:color w:val="000000" w:themeColor="text1"/>
                <w:highlight w:val="none"/>
                <w14:textFill>
                  <w14:solidFill>
                    <w14:schemeClr w14:val="tx1"/>
                  </w14:solidFill>
                </w14:textFill>
              </w:rPr>
              <w:t>分。</w:t>
            </w:r>
          </w:p>
          <w:p>
            <w:pPr>
              <w:keepNext w:val="0"/>
              <w:keepLines w:val="0"/>
              <w:suppressLineNumbers w:val="0"/>
              <w:spacing w:before="0" w:beforeAutospacing="0" w:after="0" w:afterAutospacing="0"/>
              <w:ind w:left="0" w:right="0"/>
              <w:rPr>
                <w:rFonts w:hint="default" w:eastAsia="宋体"/>
                <w:color w:val="000000" w:themeColor="text1"/>
                <w:highlight w:val="none"/>
                <w:lang w:val="en-US" w:eastAsia="zh-CN"/>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不符合上述条件的不得分，本项最高得</w:t>
            </w:r>
            <w:r>
              <w:rPr>
                <w:rFonts w:hint="eastAsia" w:ascii="宋体" w:hAnsi="宋体" w:cs="宋体"/>
                <w:color w:val="000000" w:themeColor="text1"/>
                <w:highlight w:val="none"/>
                <w:lang w:val="en-US" w:eastAsia="zh-CN"/>
                <w14:textFill>
                  <w14:solidFill>
                    <w14:schemeClr w14:val="tx1"/>
                  </w14:solidFill>
                </w14:textFill>
              </w:rPr>
              <w:t>2</w:t>
            </w:r>
            <w:r>
              <w:rPr>
                <w:rFonts w:hint="eastAsia" w:ascii="宋体" w:hAnsi="宋体" w:cs="宋体"/>
                <w:color w:val="000000" w:themeColor="text1"/>
                <w:highlight w:val="none"/>
                <w14:textFill>
                  <w14:solidFill>
                    <w14:schemeClr w14:val="tx1"/>
                  </w14:solidFill>
                </w14:textFill>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696" w:type="dxa"/>
            <w:vMerge w:val="continue"/>
            <w:noWrap w:val="0"/>
            <w:vAlign w:val="center"/>
          </w:tcPr>
          <w:p>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tc>
        <w:tc>
          <w:tcPr>
            <w:tcW w:w="2997" w:type="dxa"/>
            <w:vMerge w:val="continue"/>
            <w:noWrap w:val="0"/>
            <w:vAlign w:val="center"/>
          </w:tcPr>
          <w:p>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tc>
        <w:tc>
          <w:tcPr>
            <w:tcW w:w="581" w:type="dxa"/>
            <w:vMerge w:val="continue"/>
            <w:noWrap w:val="0"/>
            <w:vAlign w:val="center"/>
          </w:tcPr>
          <w:p>
            <w:pPr>
              <w:keepNext w:val="0"/>
              <w:keepLines w:val="0"/>
              <w:suppressLineNumbers w:val="0"/>
              <w:spacing w:before="0" w:beforeAutospacing="0" w:after="0" w:afterAutospacing="0"/>
              <w:ind w:left="0" w:right="0"/>
              <w:rPr>
                <w:rFonts w:hint="default"/>
                <w:color w:val="000000" w:themeColor="text1"/>
                <w:highlight w:val="none"/>
                <w14:textFill>
                  <w14:solidFill>
                    <w14:schemeClr w14:val="tx1"/>
                  </w14:solidFill>
                </w14:textFill>
              </w:rPr>
            </w:pPr>
          </w:p>
        </w:tc>
        <w:tc>
          <w:tcPr>
            <w:tcW w:w="11098" w:type="dxa"/>
            <w:noWrap w:val="0"/>
            <w:vAlign w:val="center"/>
          </w:tcPr>
          <w:p>
            <w:pPr>
              <w:keepNext w:val="0"/>
              <w:keepLines w:val="0"/>
              <w:suppressLineNumbers w:val="0"/>
              <w:spacing w:before="0" w:beforeAutospacing="0" w:after="0" w:afterAutospacing="0"/>
              <w:ind w:left="0" w:right="0"/>
              <w:rPr>
                <w:rFonts w:hint="default"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投标人自2021年1月1日至投标截止时间，曾获得过省级或以上建筑工程类科技创新企业类证书的，得2分，不符合上述条件的不得分，本项最高得2分。</w:t>
            </w:r>
          </w:p>
        </w:tc>
      </w:tr>
    </w:tbl>
    <w:p>
      <w:pPr>
        <w:rPr>
          <w:color w:val="000000" w:themeColor="text1"/>
          <w:highlight w:val="none"/>
          <w14:textFill>
            <w14:solidFill>
              <w14:schemeClr w14:val="tx1"/>
            </w14:solidFill>
          </w14:textFill>
        </w:rPr>
      </w:pPr>
    </w:p>
    <w:p>
      <w:pPr>
        <w:pStyle w:val="36"/>
        <w:tabs>
          <w:tab w:val="left" w:pos="6398"/>
        </w:tabs>
        <w:spacing w:after="80" w:line="288" w:lineRule="auto"/>
        <w:rPr>
          <w:rFonts w:hint="eastAsia" w:ascii="新宋体" w:hAnsi="新宋体" w:eastAsia="新宋体" w:cs="新宋体"/>
          <w:b/>
          <w:bCs/>
          <w:color w:val="000000" w:themeColor="text1"/>
          <w:sz w:val="21"/>
          <w:szCs w:val="21"/>
          <w:highlight w:val="none"/>
          <w:shd w:val="clear" w:color="auto" w:fill="auto"/>
          <w:lang w:val="en-US" w:eastAsia="zh-CN"/>
          <w14:textFill>
            <w14:solidFill>
              <w14:schemeClr w14:val="tx1"/>
            </w14:solidFill>
          </w14:textFill>
        </w:rPr>
      </w:pPr>
      <w:r>
        <w:rPr>
          <w:rFonts w:hint="eastAsia" w:ascii="新宋体" w:hAnsi="新宋体" w:eastAsia="新宋体" w:cs="新宋体"/>
          <w:b/>
          <w:bCs/>
          <w:color w:val="000000" w:themeColor="text1"/>
          <w:sz w:val="21"/>
          <w:szCs w:val="21"/>
          <w:highlight w:val="none"/>
          <w:shd w:val="clear" w:color="auto" w:fill="auto"/>
          <w:lang w:val="en-US" w:eastAsia="zh-CN"/>
          <w14:textFill>
            <w14:solidFill>
              <w14:schemeClr w14:val="tx1"/>
            </w14:solidFill>
          </w14:textFill>
        </w:rPr>
        <w:t>备注：</w:t>
      </w:r>
    </w:p>
    <w:p>
      <w:pPr>
        <w:pStyle w:val="36"/>
        <w:shd w:val="clear" w:color="auto" w:fill="auto"/>
        <w:tabs>
          <w:tab w:val="left" w:pos="6398"/>
        </w:tabs>
        <w:spacing w:after="80" w:line="288" w:lineRule="auto"/>
        <w:rPr>
          <w:rFonts w:hint="eastAsia"/>
          <w:b/>
          <w:bCs/>
          <w:color w:val="000000" w:themeColor="text1"/>
          <w:sz w:val="21"/>
          <w:szCs w:val="21"/>
          <w:highlight w:val="none"/>
          <w:shd w:val="clear" w:color="auto" w:fill="auto"/>
          <w:lang w:val="en-US" w:eastAsia="zh-CN" w:bidi="ar"/>
          <w14:textFill>
            <w14:solidFill>
              <w14:schemeClr w14:val="tx1"/>
            </w14:solidFill>
          </w14:textFill>
        </w:rPr>
      </w:pPr>
      <w:r>
        <w:rPr>
          <w:rFonts w:hint="eastAsia"/>
          <w:b/>
          <w:bCs/>
          <w:color w:val="000000" w:themeColor="text1"/>
          <w:sz w:val="21"/>
          <w:szCs w:val="21"/>
          <w:highlight w:val="none"/>
          <w:shd w:val="clear" w:color="auto" w:fill="auto"/>
          <w:lang w:val="en-US" w:eastAsia="zh-CN"/>
          <w14:textFill>
            <w14:solidFill>
              <w14:schemeClr w14:val="tx1"/>
            </w14:solidFill>
          </w14:textFill>
        </w:rPr>
        <w:t>1.</w:t>
      </w:r>
      <w:r>
        <w:rPr>
          <w:rFonts w:hint="eastAsia" w:ascii="宋体" w:hAnsi="宋体" w:eastAsia="宋体" w:cs="宋体"/>
          <w:b/>
          <w:color w:val="000000" w:themeColor="text1"/>
          <w:sz w:val="20"/>
          <w:szCs w:val="20"/>
          <w:highlight w:val="none"/>
          <w:lang w:bidi="ar"/>
          <w14:textFill>
            <w14:solidFill>
              <w14:schemeClr w14:val="tx1"/>
            </w14:solidFill>
          </w14:textFill>
        </w:rPr>
        <w:t>类似</w:t>
      </w:r>
      <w:r>
        <w:rPr>
          <w:rFonts w:hint="eastAsia" w:ascii="宋体" w:hAnsi="宋体" w:eastAsia="宋体" w:cs="宋体"/>
          <w:b/>
          <w:color w:val="000000" w:themeColor="text1"/>
          <w:sz w:val="20"/>
          <w:szCs w:val="20"/>
          <w:highlight w:val="none"/>
          <w:lang w:val="en-US" w:eastAsia="zh-CN" w:bidi="ar"/>
          <w14:textFill>
            <w14:solidFill>
              <w14:schemeClr w14:val="tx1"/>
            </w14:solidFill>
          </w14:textFill>
        </w:rPr>
        <w:t>工程</w:t>
      </w:r>
      <w:r>
        <w:rPr>
          <w:rFonts w:hint="eastAsia" w:ascii="宋体" w:hAnsi="宋体" w:eastAsia="宋体" w:cs="宋体"/>
          <w:b/>
          <w:color w:val="000000" w:themeColor="text1"/>
          <w:sz w:val="20"/>
          <w:szCs w:val="20"/>
          <w:highlight w:val="none"/>
          <w:lang w:bidi="ar"/>
          <w14:textFill>
            <w14:solidFill>
              <w14:schemeClr w14:val="tx1"/>
            </w14:solidFill>
          </w14:textFill>
        </w:rPr>
        <w:t>业绩</w:t>
      </w:r>
      <w:r>
        <w:rPr>
          <w:rFonts w:hint="eastAsia"/>
          <w:b/>
          <w:bCs/>
          <w:color w:val="000000" w:themeColor="text1"/>
          <w:sz w:val="21"/>
          <w:szCs w:val="21"/>
          <w:highlight w:val="none"/>
          <w:shd w:val="clear" w:color="auto" w:fill="auto"/>
          <w:lang w:val="en-US" w:eastAsia="zh-CN" w:bidi="ar"/>
          <w14:textFill>
            <w14:solidFill>
              <w14:schemeClr w14:val="tx1"/>
            </w14:solidFill>
          </w14:textFill>
        </w:rPr>
        <w:t>：</w:t>
      </w:r>
    </w:p>
    <w:p>
      <w:pPr>
        <w:spacing w:line="240" w:lineRule="auto"/>
        <w:rPr>
          <w:rFonts w:hint="eastAsia"/>
          <w:color w:val="000000" w:themeColor="text1"/>
          <w:kern w:val="0"/>
          <w:sz w:val="21"/>
          <w:szCs w:val="21"/>
          <w:highlight w:val="none"/>
          <w:shd w:val="clear" w:color="auto" w:fill="auto"/>
          <w:lang w:val="en-US" w:eastAsia="zh-CN" w:bidi="ar"/>
          <w14:textFill>
            <w14:solidFill>
              <w14:schemeClr w14:val="tx1"/>
            </w14:solidFill>
          </w14:textFill>
        </w:rPr>
      </w:pPr>
      <w:r>
        <w:rPr>
          <w:rFonts w:hint="eastAsia"/>
          <w:color w:val="000000" w:themeColor="text1"/>
          <w:kern w:val="0"/>
          <w:sz w:val="21"/>
          <w:szCs w:val="21"/>
          <w:highlight w:val="none"/>
          <w:shd w:val="clear" w:color="auto" w:fill="auto"/>
          <w:lang w:val="en-US" w:eastAsia="zh-CN" w:bidi="ar"/>
          <w14:textFill>
            <w14:solidFill>
              <w14:schemeClr w14:val="tx1"/>
            </w14:solidFill>
          </w14:textFill>
        </w:rPr>
        <w:t>类似业绩是指建筑工程施工总承包项目。业绩取自广州市住建行业信用管理平台。投标人须提供类似工程业绩的项目名称及业绩在广州市住建行业信用管理平台中项目编号、相应业绩在广州市住建行业信用管理平台的网页信息截图（网页信息截图须能清晰显示带有“住建行业信用管理平台”名称，并至少包含“项目基本信息”等信息，投标文件中可不需重复提交相关业绩上传件）。用于本项目投标的类似业绩，在平台中“工程对应的企业资质”栏中须登记有与本项目要求相对应的资质（具体资质要求：建筑工程施工总承包（原房屋建筑工程施工总承包）资质）。不提供项目名称及项目编号、网页信息截图的业绩不予评审。若投标人提供的项目名称与项目编号不一致：①项目名称和项目编号在平台内分别对应不同业绩的，以项目名称对应的业绩为准；②项目名称存在对应业绩的，项目编号在平台内不存在对应业绩，以项目名称对应的业绩为准；③项目名称在平台内不存在对应业绩，项目编号存在对应业绩的，以项目编号对应的业绩为准。评标委员会对业绩的评审以投标截止时间在平台内业绩上传件为依据。</w:t>
      </w:r>
    </w:p>
    <w:p>
      <w:pPr>
        <w:spacing w:line="240" w:lineRule="auto"/>
        <w:rPr>
          <w:rFonts w:hint="eastAsia"/>
          <w:color w:val="000000" w:themeColor="text1"/>
          <w:kern w:val="0"/>
          <w:sz w:val="21"/>
          <w:szCs w:val="21"/>
          <w:highlight w:val="none"/>
          <w:shd w:val="clear" w:color="auto" w:fill="auto"/>
          <w:lang w:val="en-US" w:eastAsia="zh-CN" w:bidi="ar"/>
          <w14:textFill>
            <w14:solidFill>
              <w14:schemeClr w14:val="tx1"/>
            </w14:solidFill>
          </w14:textFill>
        </w:rPr>
      </w:pPr>
      <w:r>
        <w:rPr>
          <w:rFonts w:hint="eastAsia"/>
          <w:color w:val="000000" w:themeColor="text1"/>
          <w:kern w:val="0"/>
          <w:sz w:val="21"/>
          <w:szCs w:val="21"/>
          <w:highlight w:val="none"/>
          <w:shd w:val="clear" w:color="auto" w:fill="auto"/>
          <w:lang w:val="en-US" w:eastAsia="zh-CN" w:bidi="ar"/>
          <w14:textFill>
            <w14:solidFill>
              <w14:schemeClr w14:val="tx1"/>
            </w14:solidFill>
          </w14:textFill>
        </w:rPr>
        <w:t>（1）金额以中标通知书载明的施工费用为准，中标通知书上没有金额或免招标的，以施工合同（不含补充合同）为准。</w:t>
      </w:r>
    </w:p>
    <w:p>
      <w:pPr>
        <w:spacing w:line="240" w:lineRule="auto"/>
        <w:rPr>
          <w:rFonts w:hint="eastAsia"/>
          <w:color w:val="000000" w:themeColor="text1"/>
          <w:kern w:val="0"/>
          <w:sz w:val="21"/>
          <w:szCs w:val="21"/>
          <w:highlight w:val="none"/>
          <w:shd w:val="clear" w:color="auto" w:fill="auto"/>
          <w:lang w:val="en-US" w:eastAsia="zh-CN" w:bidi="ar"/>
          <w14:textFill>
            <w14:solidFill>
              <w14:schemeClr w14:val="tx1"/>
            </w14:solidFill>
          </w14:textFill>
        </w:rPr>
      </w:pPr>
      <w:r>
        <w:rPr>
          <w:rFonts w:hint="eastAsia"/>
          <w:color w:val="000000" w:themeColor="text1"/>
          <w:kern w:val="0"/>
          <w:sz w:val="21"/>
          <w:szCs w:val="21"/>
          <w:highlight w:val="none"/>
          <w:shd w:val="clear" w:color="auto" w:fill="auto"/>
          <w:lang w:val="en-US" w:eastAsia="zh-CN" w:bidi="ar"/>
          <w14:textFill>
            <w14:solidFill>
              <w14:schemeClr w14:val="tx1"/>
            </w14:solidFill>
          </w14:textFill>
        </w:rPr>
        <w:t>（2）完成时间以竣工验收文件为准。验收文件至少具有建设单位、设计、施工和监理单位盖章。</w:t>
      </w:r>
    </w:p>
    <w:p>
      <w:pPr>
        <w:spacing w:line="240" w:lineRule="auto"/>
        <w:rPr>
          <w:rFonts w:hint="eastAsia"/>
          <w:color w:val="000000" w:themeColor="text1"/>
          <w:kern w:val="0"/>
          <w:sz w:val="21"/>
          <w:szCs w:val="21"/>
          <w:highlight w:val="none"/>
          <w:shd w:val="clear" w:color="auto" w:fill="auto"/>
          <w:lang w:val="en-US" w:eastAsia="zh-CN" w:bidi="ar"/>
          <w14:textFill>
            <w14:solidFill>
              <w14:schemeClr w14:val="tx1"/>
            </w14:solidFill>
          </w14:textFill>
        </w:rPr>
      </w:pPr>
      <w:r>
        <w:rPr>
          <w:rFonts w:hint="eastAsia"/>
          <w:color w:val="000000" w:themeColor="text1"/>
          <w:kern w:val="0"/>
          <w:sz w:val="21"/>
          <w:szCs w:val="21"/>
          <w:highlight w:val="none"/>
          <w:shd w:val="clear" w:color="auto" w:fill="auto"/>
          <w:lang w:val="en-US" w:eastAsia="zh-CN" w:bidi="ar"/>
          <w14:textFill>
            <w14:solidFill>
              <w14:schemeClr w14:val="tx1"/>
            </w14:solidFill>
          </w14:textFill>
        </w:rPr>
        <w:t>（3）平台内业绩上传件不符合上述要求的或登记的工程资质内容与施工合同等业绩证明资料不相符的，该项业绩不予认定。</w:t>
      </w:r>
    </w:p>
    <w:p>
      <w:pPr>
        <w:spacing w:line="288" w:lineRule="auto"/>
        <w:rPr>
          <w:rFonts w:hint="eastAsia" w:ascii="宋体" w:hAnsi="宋体" w:cs="宋体"/>
          <w:b/>
          <w:bCs/>
          <w:color w:val="000000" w:themeColor="text1"/>
          <w:kern w:val="0"/>
          <w:sz w:val="21"/>
          <w:szCs w:val="21"/>
          <w:highlight w:val="none"/>
          <w:shd w:val="clear" w:color="auto" w:fill="auto"/>
          <w:lang w:bidi="ar"/>
          <w14:textFill>
            <w14:solidFill>
              <w14:schemeClr w14:val="tx1"/>
            </w14:solidFill>
          </w14:textFill>
        </w:rPr>
      </w:pPr>
      <w:r>
        <w:rPr>
          <w:rFonts w:hint="eastAsia" w:ascii="宋体" w:hAnsi="宋体" w:cs="宋体"/>
          <w:b/>
          <w:bCs/>
          <w:color w:val="000000" w:themeColor="text1"/>
          <w:kern w:val="0"/>
          <w:sz w:val="21"/>
          <w:szCs w:val="21"/>
          <w:highlight w:val="none"/>
          <w:shd w:val="clear" w:color="auto" w:fill="auto"/>
          <w:lang w:val="en-US" w:eastAsia="zh-CN" w:bidi="ar"/>
          <w14:textFill>
            <w14:solidFill>
              <w14:schemeClr w14:val="tx1"/>
            </w14:solidFill>
          </w14:textFill>
        </w:rPr>
        <w:t>2</w:t>
      </w:r>
      <w:r>
        <w:rPr>
          <w:rFonts w:hint="eastAsia" w:ascii="宋体" w:hAnsi="宋体" w:cs="宋体"/>
          <w:b/>
          <w:bCs/>
          <w:color w:val="000000" w:themeColor="text1"/>
          <w:kern w:val="0"/>
          <w:sz w:val="21"/>
          <w:szCs w:val="21"/>
          <w:highlight w:val="none"/>
          <w:shd w:val="clear" w:color="auto" w:fill="auto"/>
          <w:lang w:bidi="ar"/>
          <w14:textFill>
            <w14:solidFill>
              <w14:schemeClr w14:val="tx1"/>
            </w14:solidFill>
          </w14:textFill>
        </w:rPr>
        <w:t>.工程获奖：</w:t>
      </w:r>
    </w:p>
    <w:p>
      <w:pPr>
        <w:keepNext w:val="0"/>
        <w:keepLines w:val="0"/>
        <w:widowControl w:val="0"/>
        <w:suppressLineNumbers w:val="0"/>
        <w:spacing w:before="0" w:beforeAutospacing="0" w:after="0" w:afterAutospacing="0"/>
        <w:ind w:left="0" w:right="0" w:firstLine="420" w:firstLineChars="200"/>
        <w:jc w:val="both"/>
        <w:rPr>
          <w:rFonts w:hint="eastAsia" w:ascii="Calibri" w:hAnsi="Calibri" w:eastAsia="宋体" w:cs="Times New Roman"/>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工程获奖可取自广州市住建行业信用管理平台或提供获奖证书扫描件。①国家级工程质量或安全奖指的是中国建设工程鲁班奖、国家优质工程金奖、国家优质工程奖、中国土木工程詹天佑奖、建设工程项目施工安全生产标准化诚信工地（原国家</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AAA</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级安全文明标准化诚信工地）；省或市级</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质</w:t>
      </w:r>
      <w:bookmarkStart w:id="551" w:name="_GoBack"/>
      <w:bookmarkEnd w:id="551"/>
      <w:r>
        <w:rPr>
          <w:rFonts w:hint="eastAsia" w:ascii="宋体" w:hAnsi="宋体" w:cs="宋体"/>
          <w:color w:val="000000" w:themeColor="text1"/>
          <w:kern w:val="0"/>
          <w:sz w:val="21"/>
          <w:szCs w:val="21"/>
          <w:highlight w:val="none"/>
          <w:lang w:val="en-US" w:eastAsia="zh-CN" w:bidi="ar"/>
          <w14:textFill>
            <w14:solidFill>
              <w14:schemeClr w14:val="tx1"/>
            </w14:solidFill>
          </w14:textFill>
        </w:rPr>
        <w:t>量</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或安全奖包括：由省、市级建设行政主管部门或行业协会（行业协会须在民政部门取得成立登记批准）颁发的质量或安全类工程奖项，其它如技术创新、</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QC</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成果、装修、机电安装、科技进步及技术应用类奖项不参与计分；②只计算房建类工程质量或安全奖项，其他非房建项目，如：路桥、铁路、水利、电力、化工、冶金、市政等获奖不参与计分。同一项目获得多个奖项的，该项目获奖只按其中一个奖项所在最高级别计算一次分数，不得重复计算。</w:t>
      </w:r>
    </w:p>
    <w:p>
      <w:pPr>
        <w:keepNext w:val="0"/>
        <w:keepLines w:val="0"/>
        <w:widowControl w:val="0"/>
        <w:suppressLineNumbers w:val="0"/>
        <w:spacing w:before="0" w:beforeAutospacing="0" w:after="0" w:afterAutospacing="0"/>
        <w:ind w:left="0" w:right="0" w:firstLine="420" w:firstLineChars="200"/>
        <w:jc w:val="both"/>
        <w:rPr>
          <w:rFonts w:hint="eastAsia" w:ascii="Calibri" w:hAnsi="Calibri" w:eastAsia="宋体" w:cs="Times New Roman"/>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投标人须提交获奖证书扫描件或广州市住建行业信用管理平台的网页信息截图（网页信息截图须能清晰显示带有“住建行业信用管理平台”名称，并至少包含“项目基本信息”、“奖项信息”等信息），时间以获奖证书颁发时间为准，并加盖投标人电子印章，不符合上述条件不予评审。</w:t>
      </w:r>
    </w:p>
    <w:p>
      <w:pPr>
        <w:keepNext w:val="0"/>
        <w:keepLines w:val="0"/>
        <w:widowControl w:val="0"/>
        <w:suppressLineNumbers w:val="0"/>
        <w:spacing w:before="0" w:beforeAutospacing="0" w:after="0" w:afterAutospacing="0"/>
        <w:ind w:left="0" w:right="0" w:firstLine="420" w:firstLineChars="200"/>
        <w:jc w:val="both"/>
        <w:rPr>
          <w:rFonts w:hint="eastAsia" w:ascii="Calibri" w:hAnsi="Calibri" w:eastAsia="宋体" w:cs="Times New Roman"/>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3</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）投标人须为该获奖项目的施工总承包单位，须提供相关证明材料（如施工合同</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或</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业主证明</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或</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评审申请材料</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或</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批复文件</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或</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竣工验收文件等）体现其为施工总承包单位身份，否则不予计分。</w:t>
      </w:r>
    </w:p>
    <w:p>
      <w:pPr>
        <w:keepNext w:val="0"/>
        <w:keepLines w:val="0"/>
        <w:widowControl w:val="0"/>
        <w:suppressLineNumbers w:val="0"/>
        <w:spacing w:before="0" w:beforeAutospacing="0" w:after="0" w:afterAutospacing="0"/>
        <w:ind w:left="0" w:right="0" w:firstLine="420" w:firstLineChars="200"/>
        <w:jc w:val="both"/>
        <w:rPr>
          <w:rFonts w:hint="eastAsia" w:ascii="Calibri" w:hAnsi="Calibri" w:eastAsia="宋体" w:cs="Times New Roman"/>
          <w:color w:val="000000" w:themeColor="text1"/>
          <w:kern w:val="0"/>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default" w:ascii="Calibri" w:hAnsi="Calibri" w:eastAsia="宋体" w:cs="Calibri"/>
          <w:color w:val="000000" w:themeColor="text1"/>
          <w:kern w:val="0"/>
          <w:sz w:val="21"/>
          <w:szCs w:val="21"/>
          <w:highlight w:val="none"/>
          <w:lang w:val="en-US" w:eastAsia="zh-CN" w:bidi="ar"/>
          <w14:textFill>
            <w14:solidFill>
              <w14:schemeClr w14:val="tx1"/>
            </w14:solidFill>
          </w14:textFill>
        </w:rPr>
        <w:t>4</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）不符合上述要求的不计分。</w:t>
      </w:r>
    </w:p>
    <w:p>
      <w:pPr>
        <w:spacing w:line="240" w:lineRule="auto"/>
        <w:ind w:firstLine="400" w:firstLineChars="200"/>
        <w:rPr>
          <w:rFonts w:hint="eastAsia" w:ascii="宋体" w:hAnsi="宋体" w:cs="宋体"/>
          <w:strike w:val="0"/>
          <w:color w:val="000000" w:themeColor="text1"/>
          <w:kern w:val="2"/>
          <w:sz w:val="20"/>
          <w:szCs w:val="20"/>
          <w:highlight w:val="none"/>
          <w:shd w:val="clear"/>
          <w:lang w:val="en-US" w:eastAsia="zh-CN" w:bidi="ar"/>
          <w14:textFill>
            <w14:solidFill>
              <w14:schemeClr w14:val="tx1"/>
            </w14:solidFill>
          </w14:textFill>
        </w:rPr>
      </w:pPr>
    </w:p>
    <w:p>
      <w:pPr>
        <w:spacing w:line="288" w:lineRule="auto"/>
        <w:rPr>
          <w:rFonts w:hint="eastAsia" w:ascii="宋体" w:hAnsi="宋体" w:eastAsia="宋体" w:cs="宋体"/>
          <w:b/>
          <w:bCs/>
          <w:color w:val="000000" w:themeColor="text1"/>
          <w:sz w:val="21"/>
          <w:szCs w:val="21"/>
          <w:highlight w:val="none"/>
          <w:shd w:val="clear" w:color="auto" w:fill="auto"/>
          <w:lang w:val="en-US" w:eastAsia="zh-CN" w:bidi="ar"/>
          <w14:textFill>
            <w14:solidFill>
              <w14:schemeClr w14:val="tx1"/>
            </w14:solidFill>
          </w14:textFill>
        </w:rPr>
      </w:pPr>
      <w:r>
        <w:rPr>
          <w:rFonts w:hint="eastAsia" w:ascii="宋体" w:hAnsi="宋体" w:eastAsia="宋体" w:cs="宋体"/>
          <w:b/>
          <w:bCs/>
          <w:color w:val="000000" w:themeColor="text1"/>
          <w:sz w:val="21"/>
          <w:szCs w:val="21"/>
          <w:highlight w:val="none"/>
          <w:shd w:val="clear" w:color="auto" w:fill="auto"/>
          <w:lang w:val="en-US" w:eastAsia="zh-CN" w:bidi="ar"/>
          <w14:textFill>
            <w14:solidFill>
              <w14:schemeClr w14:val="tx1"/>
            </w14:solidFill>
          </w14:textFill>
        </w:rPr>
        <w:t>3.工程研发能力</w:t>
      </w:r>
    </w:p>
    <w:p>
      <w:pPr>
        <w:pStyle w:val="36"/>
        <w:keepNext w:val="0"/>
        <w:keepLines w:val="0"/>
        <w:pageBreakBefore w:val="0"/>
        <w:widowControl w:val="0"/>
        <w:shd w:val="clear" w:color="auto" w:fill="auto"/>
        <w:tabs>
          <w:tab w:val="left" w:pos="6398"/>
        </w:tabs>
        <w:kinsoku/>
        <w:wordWrap w:val="0"/>
        <w:overflowPunct/>
        <w:topLinePunct w:val="0"/>
        <w:autoSpaceDE/>
        <w:autoSpaceDN/>
        <w:bidi w:val="0"/>
        <w:adjustRightInd/>
        <w:snapToGrid/>
        <w:spacing w:after="80" w:line="240" w:lineRule="auto"/>
        <w:ind w:firstLine="420" w:firstLineChars="200"/>
        <w:textAlignment w:val="auto"/>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工法奖项以投标人提供的工法证书等证明材料为准，时间以工法证书颁发时间为准。投标人所提供的工法科技成果须成功应用于投标人承建的房建项目，须同时提交由建设行政主管部门或行业协会（行业协会须在民政管理部门</w:t>
      </w:r>
      <w:r>
        <w:rPr>
          <w:rFonts w:hint="eastAsia" w:cs="宋体"/>
          <w:color w:val="000000" w:themeColor="text1"/>
          <w:kern w:val="0"/>
          <w:sz w:val="21"/>
          <w:szCs w:val="21"/>
          <w:highlight w:val="none"/>
          <w:lang w:val="en-US" w:eastAsia="zh-CN"/>
          <w14:textFill>
            <w14:solidFill>
              <w14:schemeClr w14:val="tx1"/>
            </w14:solidFill>
          </w14:textFill>
        </w:rPr>
        <w:t>取得成立</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登记）或其他工法主管部门颁发的工法证书扫描件及提供反映工法科技成果成功应用在具体房建项目的科学技术成果鉴定证书扫描件，以上扫描件均需加盖投标单位电子印章，以上要求提供的扫描件缺一不可，否则该工法不能计算有效工法。</w:t>
      </w:r>
      <w:r>
        <w:rPr>
          <w:rFonts w:hint="eastAsia"/>
          <w:color w:val="000000" w:themeColor="text1"/>
          <w:kern w:val="0"/>
          <w:sz w:val="21"/>
          <w:szCs w:val="21"/>
          <w:highlight w:val="none"/>
          <w:shd w:val="clear" w:color="auto" w:fill="auto"/>
          <w:lang w:val="en-US" w:eastAsia="zh-CN" w:bidi="ar"/>
          <w14:textFill>
            <w14:solidFill>
              <w14:schemeClr w14:val="tx1"/>
            </w14:solidFill>
          </w14:textFill>
        </w:rPr>
        <w:t>相同工法按最高级别奖项只计一次得分。</w:t>
      </w:r>
    </w:p>
    <w:p>
      <w:pPr>
        <w:pStyle w:val="36"/>
        <w:tabs>
          <w:tab w:val="left" w:pos="6398"/>
        </w:tabs>
        <w:spacing w:after="80" w:line="288" w:lineRule="auto"/>
        <w:rPr>
          <w:rFonts w:hint="eastAsia" w:ascii="宋体" w:hAnsi="宋体" w:eastAsia="宋体" w:cs="宋体"/>
          <w:b/>
          <w:bCs/>
          <w:color w:val="000000" w:themeColor="text1"/>
          <w:sz w:val="21"/>
          <w:szCs w:val="21"/>
          <w:highlight w:val="none"/>
          <w:shd w:val="clear" w:color="auto" w:fill="auto"/>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shd w:val="clear" w:color="auto" w:fill="auto"/>
          <w:lang w:val="en-US" w:eastAsia="zh-CN"/>
          <w14:textFill>
            <w14:solidFill>
              <w14:schemeClr w14:val="tx1"/>
            </w14:solidFill>
          </w14:textFill>
        </w:rPr>
        <w:t>4.第三方评价</w:t>
      </w:r>
    </w:p>
    <w:p>
      <w:pPr>
        <w:pStyle w:val="36"/>
        <w:keepNext w:val="0"/>
        <w:keepLines w:val="0"/>
        <w:pageBreakBefore w:val="0"/>
        <w:widowControl w:val="0"/>
        <w:shd w:val="clear" w:color="auto" w:fill="auto"/>
        <w:tabs>
          <w:tab w:val="left" w:pos="6398"/>
        </w:tabs>
        <w:kinsoku/>
        <w:wordWrap w:val="0"/>
        <w:overflowPunct/>
        <w:topLinePunct w:val="0"/>
        <w:autoSpaceDE/>
        <w:autoSpaceDN/>
        <w:bidi w:val="0"/>
        <w:adjustRightInd/>
        <w:snapToGrid/>
        <w:spacing w:after="80" w:line="240" w:lineRule="auto"/>
        <w:ind w:firstLine="420" w:firstLineChars="200"/>
        <w:textAlignment w:val="auto"/>
        <w:rPr>
          <w:rFonts w:hint="eastAsia" w:ascii="宋体" w:hAnsi="宋体" w:eastAsia="宋体" w:cs="宋体"/>
          <w:color w:val="000000" w:themeColor="text1"/>
          <w:kern w:val="0"/>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（1）</w:t>
      </w:r>
      <w:r>
        <w:rPr>
          <w:rFonts w:hint="eastAsia" w:cs="宋体"/>
          <w:color w:val="000000" w:themeColor="text1"/>
          <w:kern w:val="0"/>
          <w:sz w:val="21"/>
          <w:szCs w:val="21"/>
          <w:highlight w:val="none"/>
          <w:lang w:val="en-US" w:eastAsia="zh-CN"/>
          <w14:textFill>
            <w14:solidFill>
              <w14:schemeClr w14:val="tx1"/>
            </w14:solidFill>
          </w14:textFill>
        </w:rPr>
        <w:t>管理体系认证：</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须提供证书扫描件及在中国国家认证认可监督管理委员会认证认可业务信息统一查询平台（http://cx.cnca.cn/CertECloud/index/index/page）上查询结果的截图，证书状态必须为“有效”。上述资料显示的企业全称须与投标人单位全称一致，不符合上述条件或未提供上述资料的不得分。</w:t>
      </w:r>
    </w:p>
    <w:p>
      <w:pPr>
        <w:pStyle w:val="36"/>
        <w:keepNext w:val="0"/>
        <w:keepLines w:val="0"/>
        <w:pageBreakBefore w:val="0"/>
        <w:widowControl w:val="0"/>
        <w:shd w:val="clear" w:color="auto" w:fill="auto"/>
        <w:tabs>
          <w:tab w:val="left" w:pos="6398"/>
        </w:tabs>
        <w:kinsoku/>
        <w:wordWrap w:val="0"/>
        <w:overflowPunct/>
        <w:topLinePunct w:val="0"/>
        <w:autoSpaceDE/>
        <w:autoSpaceDN/>
        <w:bidi w:val="0"/>
        <w:adjustRightInd/>
        <w:snapToGrid/>
        <w:spacing w:after="80" w:line="240" w:lineRule="auto"/>
        <w:ind w:firstLine="420" w:firstLineChars="200"/>
        <w:textAlignment w:val="auto"/>
        <w:rPr>
          <w:rFonts w:hint="eastAsia" w:ascii="宋体" w:hAnsi="宋体" w:cs="宋体"/>
          <w:b/>
          <w:bCs/>
          <w:color w:val="000000" w:themeColor="text1"/>
          <w:sz w:val="21"/>
          <w:szCs w:val="21"/>
          <w:highlight w:val="none"/>
          <w:shd w:val="clear" w:color="auto" w:fill="auto"/>
          <w:lang w:val="en-US" w:eastAsia="zh-CN" w:bidi="zh-TW"/>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（2）</w:t>
      </w:r>
      <w:r>
        <w:rPr>
          <w:rFonts w:hint="eastAsia" w:hAnsi="宋体" w:cs="宋体"/>
          <w:bCs/>
          <w:color w:val="000000" w:themeColor="text1"/>
          <w:kern w:val="2"/>
          <w:sz w:val="21"/>
          <w:szCs w:val="21"/>
          <w:highlight w:val="none"/>
          <w14:textFill>
            <w14:solidFill>
              <w14:schemeClr w14:val="tx1"/>
            </w14:solidFill>
          </w14:textFill>
        </w:rPr>
        <w:t>科技创新企业</w:t>
      </w:r>
      <w:r>
        <w:rPr>
          <w:rFonts w:hAnsi="宋体" w:cs="宋体"/>
          <w:b w:val="0"/>
          <w:bCs w:val="0"/>
          <w:color w:val="000000" w:themeColor="text1"/>
          <w:kern w:val="2"/>
          <w:sz w:val="21"/>
          <w:szCs w:val="21"/>
          <w:highlight w:val="none"/>
          <w:u w:val="none"/>
          <w14:textFill>
            <w14:solidFill>
              <w14:schemeClr w14:val="tx1"/>
            </w14:solidFill>
          </w14:textFill>
        </w:rPr>
        <w:t>类</w:t>
      </w:r>
      <w:r>
        <w:rPr>
          <w:rFonts w:hint="eastAsia" w:hAnsi="宋体" w:cs="宋体"/>
          <w:bCs/>
          <w:color w:val="000000" w:themeColor="text1"/>
          <w:kern w:val="2"/>
          <w:sz w:val="21"/>
          <w:szCs w:val="21"/>
          <w:highlight w:val="none"/>
          <w14:textFill>
            <w14:solidFill>
              <w14:schemeClr w14:val="tx1"/>
            </w14:solidFill>
          </w14:textFill>
        </w:rPr>
        <w:t>证书须提供网上查询获奖名单公示或公布截图（须由建设行政主管部门或行业协会或学会颁发）以及获奖证书的扫描件（证书获奖单位必须与投标单位名称一致，不包含上级公司、子分公司及区域公司），时间以网上查询结果截图或证书载明的年度为准。若颁发单位是行业协会或学会，须同时提供该颁发单位在“中国社会组织公共服务平台”网站(https://chinanpo.mca.gov.cn)登记的查询结果截图，否则该获奖证书不予认定。不满足上述要求的或未提供相关证明材料的不计分</w:t>
      </w:r>
      <w:r>
        <w:rPr>
          <w:rFonts w:hint="eastAsia" w:ascii="宋体" w:hAnsi="宋体" w:eastAsia="宋体" w:cs="宋体"/>
          <w:color w:val="000000" w:themeColor="text1"/>
          <w:kern w:val="0"/>
          <w:sz w:val="21"/>
          <w:szCs w:val="21"/>
          <w:highlight w:val="none"/>
          <w:lang w:val="en-US" w:eastAsia="zh-CN"/>
          <w14:textFill>
            <w14:solidFill>
              <w14:schemeClr w14:val="tx1"/>
            </w14:solidFill>
          </w14:textFill>
        </w:rPr>
        <w:t>。</w:t>
      </w:r>
    </w:p>
    <w:p>
      <w:pPr>
        <w:rPr>
          <w:rFonts w:hint="eastAsia" w:ascii="宋体" w:hAnsi="宋体" w:cs="宋体"/>
          <w:b w:val="0"/>
          <w:bCs w:val="0"/>
          <w:color w:val="000000" w:themeColor="text1"/>
          <w:sz w:val="21"/>
          <w:szCs w:val="21"/>
          <w:highlight w:val="none"/>
          <w:shd w:val="clear" w:color="auto" w:fill="auto"/>
          <w:lang w:bidi="zh-TW"/>
          <w14:textFill>
            <w14:solidFill>
              <w14:schemeClr w14:val="tx1"/>
            </w14:solidFill>
          </w14:textFill>
        </w:rPr>
      </w:pPr>
      <w:r>
        <w:rPr>
          <w:rFonts w:hint="eastAsia" w:ascii="宋体" w:hAnsi="宋体" w:cs="宋体"/>
          <w:b w:val="0"/>
          <w:bCs w:val="0"/>
          <w:color w:val="000000" w:themeColor="text1"/>
          <w:sz w:val="21"/>
          <w:szCs w:val="21"/>
          <w:highlight w:val="none"/>
          <w:shd w:val="clear" w:color="auto" w:fill="auto"/>
          <w:lang w:val="en-US" w:eastAsia="zh-CN" w:bidi="zh-TW"/>
          <w14:textFill>
            <w14:solidFill>
              <w14:schemeClr w14:val="tx1"/>
            </w14:solidFill>
          </w14:textFill>
        </w:rPr>
        <w:t>5</w:t>
      </w:r>
      <w:r>
        <w:rPr>
          <w:rFonts w:hint="eastAsia" w:ascii="宋体" w:hAnsi="宋体" w:cs="宋体"/>
          <w:b w:val="0"/>
          <w:bCs w:val="0"/>
          <w:color w:val="000000" w:themeColor="text1"/>
          <w:sz w:val="21"/>
          <w:szCs w:val="21"/>
          <w:highlight w:val="none"/>
          <w:shd w:val="clear" w:color="auto" w:fill="auto"/>
          <w:lang w:bidi="zh-TW"/>
          <w14:textFill>
            <w14:solidFill>
              <w14:schemeClr w14:val="tx1"/>
            </w14:solidFill>
          </w14:textFill>
        </w:rPr>
        <w:t>.本表按百分制评分，所有评委每个分项的分数汇总后去掉一个最高分和一个最低分的算术平均值为投标人的最终得分。分数出现小数点，保留小数点后二位小数，第三位小数四舍五入。</w:t>
      </w:r>
    </w:p>
    <w:p>
      <w:pPr>
        <w:rPr>
          <w:rFonts w:hint="eastAsia" w:ascii="宋体" w:hAnsi="宋体" w:eastAsia="宋体" w:cs="宋体"/>
          <w:color w:val="000000" w:themeColor="text1"/>
          <w:sz w:val="20"/>
          <w:szCs w:val="20"/>
          <w:highlight w:val="none"/>
          <w14:textFill>
            <w14:solidFill>
              <w14:schemeClr w14:val="tx1"/>
            </w14:solidFill>
          </w14:textFill>
        </w:rPr>
      </w:pPr>
    </w:p>
    <w:p>
      <w:pPr>
        <w:rPr>
          <w:rFonts w:hint="eastAsia" w:ascii="宋体" w:hAnsi="宋体" w:eastAsia="宋体" w:cs="宋体"/>
          <w:color w:val="000000" w:themeColor="text1"/>
          <w:highlight w:val="none"/>
          <w14:textFill>
            <w14:solidFill>
              <w14:schemeClr w14:val="tx1"/>
            </w14:solidFill>
          </w14:textFill>
        </w:rPr>
      </w:pPr>
    </w:p>
    <w:p>
      <w:pPr>
        <w:widowControl/>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br w:type="page"/>
      </w:r>
    </w:p>
    <w:p>
      <w:pP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附表五（适用于加权平均法）</w:t>
      </w:r>
    </w:p>
    <w:p>
      <w:pPr>
        <w:jc w:val="center"/>
        <w:rPr>
          <w:b/>
          <w:color w:val="000000" w:themeColor="text1"/>
          <w:sz w:val="36"/>
          <w:szCs w:val="36"/>
          <w:highlight w:val="none"/>
          <w14:textFill>
            <w14:solidFill>
              <w14:schemeClr w14:val="tx1"/>
            </w14:solidFill>
          </w14:textFill>
        </w:rPr>
      </w:pPr>
      <w:r>
        <w:rPr>
          <w:rFonts w:hint="eastAsia"/>
          <w:b/>
          <w:color w:val="000000" w:themeColor="text1"/>
          <w:sz w:val="36"/>
          <w:szCs w:val="36"/>
          <w:highlight w:val="none"/>
          <w14:textFill>
            <w14:solidFill>
              <w14:schemeClr w14:val="tx1"/>
            </w14:solidFill>
          </w14:textFill>
        </w:rPr>
        <w:t>经济标评分表</w:t>
      </w:r>
    </w:p>
    <w:p>
      <w:pP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工程名称：</w:t>
      </w:r>
    </w:p>
    <w:tbl>
      <w:tblPr>
        <w:tblStyle w:val="18"/>
        <w:tblW w:w="144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3"/>
        <w:gridCol w:w="1009"/>
        <w:gridCol w:w="12"/>
        <w:gridCol w:w="1034"/>
        <w:gridCol w:w="1033"/>
        <w:gridCol w:w="1033"/>
        <w:gridCol w:w="1033"/>
        <w:gridCol w:w="1033"/>
        <w:gridCol w:w="1033"/>
        <w:gridCol w:w="1033"/>
        <w:gridCol w:w="1033"/>
        <w:gridCol w:w="1033"/>
        <w:gridCol w:w="1033"/>
        <w:gridCol w:w="1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投标人名称</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投标报价PT（元）</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报价权重</w:t>
            </w:r>
          </w:p>
        </w:tc>
        <w:tc>
          <w:tcPr>
            <w:tcW w:w="100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4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评标参考价PC（元）</w:t>
            </w:r>
          </w:p>
        </w:tc>
        <w:tc>
          <w:tcPr>
            <w:tcW w:w="12384" w:type="dxa"/>
            <w:gridSpan w:val="13"/>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偏差（（PT-PC）/PC）（%）</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减分（A）</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得分(I=100-A)</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2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得分排名次序</w:t>
            </w:r>
          </w:p>
        </w:tc>
        <w:tc>
          <w:tcPr>
            <w:tcW w:w="10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c>
          <w:tcPr>
            <w:tcW w:w="103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szCs w:val="21"/>
                <w:highlight w:val="none"/>
                <w14:textFill>
                  <w14:solidFill>
                    <w14:schemeClr w14:val="tx1"/>
                  </w14:solidFill>
                </w14:textFill>
              </w:rPr>
            </w:pPr>
          </w:p>
        </w:tc>
      </w:tr>
    </w:tbl>
    <w:p>
      <w:pPr>
        <w:rPr>
          <w:b/>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评委签名：</w:t>
      </w:r>
      <w:r>
        <w:rPr>
          <w:b/>
          <w:color w:val="000000" w:themeColor="text1"/>
          <w:sz w:val="36"/>
          <w:szCs w:val="36"/>
          <w:highlight w:val="none"/>
          <w14:textFill>
            <w14:solidFill>
              <w14:schemeClr w14:val="tx1"/>
            </w14:solidFill>
          </w14:textFill>
        </w:rPr>
        <w:br w:type="page"/>
      </w:r>
      <w:r>
        <w:rPr>
          <w:rFonts w:hint="eastAsia"/>
          <w:color w:val="000000" w:themeColor="text1"/>
          <w:szCs w:val="21"/>
          <w:highlight w:val="none"/>
          <w14:textFill>
            <w14:solidFill>
              <w14:schemeClr w14:val="tx1"/>
            </w14:solidFill>
          </w14:textFill>
        </w:rPr>
        <w:t>附表六</w:t>
      </w:r>
    </w:p>
    <w:p>
      <w:pPr>
        <w:jc w:val="center"/>
        <w:rPr>
          <w:b/>
          <w:color w:val="000000" w:themeColor="text1"/>
          <w:sz w:val="36"/>
          <w:szCs w:val="36"/>
          <w:highlight w:val="none"/>
          <w14:textFill>
            <w14:solidFill>
              <w14:schemeClr w14:val="tx1"/>
            </w14:solidFill>
          </w14:textFill>
        </w:rPr>
      </w:pPr>
      <w:r>
        <w:rPr>
          <w:rFonts w:hint="eastAsia"/>
          <w:b/>
          <w:color w:val="000000" w:themeColor="text1"/>
          <w:sz w:val="36"/>
          <w:szCs w:val="36"/>
          <w:highlight w:val="none"/>
          <w14:textFill>
            <w14:solidFill>
              <w14:schemeClr w14:val="tx1"/>
            </w14:solidFill>
          </w14:textFill>
        </w:rPr>
        <w:t>算术复核表</w:t>
      </w:r>
    </w:p>
    <w:p>
      <w:pPr>
        <w:rPr>
          <w:rFonts w:ascii="宋体" w:hAnsi="宋体"/>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工程名称：</w:t>
      </w:r>
      <w:r>
        <w:rPr>
          <w:color w:val="000000" w:themeColor="text1"/>
          <w:kern w:val="0"/>
          <w:szCs w:val="21"/>
          <w:highlight w:val="none"/>
          <w14:textFill>
            <w14:solidFill>
              <w14:schemeClr w14:val="tx1"/>
            </w14:solidFill>
          </w14:textFill>
        </w:rPr>
        <w:t xml:space="preserve">                                          </w:t>
      </w:r>
      <w:r>
        <w:rPr>
          <w:rFonts w:ascii="宋体" w:hAnsi="宋体"/>
          <w:color w:val="000000" w:themeColor="text1"/>
          <w:kern w:val="0"/>
          <w:szCs w:val="21"/>
          <w:highlight w:val="none"/>
          <w14:textFill>
            <w14:solidFill>
              <w14:schemeClr w14:val="tx1"/>
            </w14:solidFill>
          </w14:textFill>
        </w:rPr>
        <w:t xml:space="preserve"> </w:t>
      </w:r>
      <w:r>
        <w:rPr>
          <w:rFonts w:hint="eastAsia" w:ascii="宋体" w:hAnsi="宋体"/>
          <w:color w:val="000000" w:themeColor="text1"/>
          <w:kern w:val="0"/>
          <w:szCs w:val="21"/>
          <w:highlight w:val="none"/>
          <w14:textFill>
            <w14:solidFill>
              <w14:schemeClr w14:val="tx1"/>
            </w14:solidFill>
          </w14:textFill>
        </w:rPr>
        <w:t>投标人</w:t>
      </w:r>
      <w:r>
        <w:rPr>
          <w:rFonts w:ascii="宋体" w:hAnsi="宋体"/>
          <w:color w:val="000000" w:themeColor="text1"/>
          <w:kern w:val="0"/>
          <w:szCs w:val="21"/>
          <w:highlight w:val="none"/>
          <w14:textFill>
            <w14:solidFill>
              <w14:schemeClr w14:val="tx1"/>
            </w14:solidFill>
          </w14:textFill>
        </w:rPr>
        <w:t xml:space="preserve">:                                                  </w:t>
      </w:r>
      <w:r>
        <w:rPr>
          <w:rFonts w:hint="eastAsia" w:ascii="宋体" w:hAnsi="宋体"/>
          <w:color w:val="000000" w:themeColor="text1"/>
          <w:kern w:val="0"/>
          <w:szCs w:val="21"/>
          <w:highlight w:val="none"/>
          <w14:textFill>
            <w14:solidFill>
              <w14:schemeClr w14:val="tx1"/>
            </w14:solidFill>
          </w14:textFill>
        </w:rPr>
        <w:t>单位：元</w:t>
      </w:r>
    </w:p>
    <w:tbl>
      <w:tblPr>
        <w:tblStyle w:val="18"/>
        <w:tblW w:w="14820" w:type="dxa"/>
        <w:tblInd w:w="0" w:type="dxa"/>
        <w:tblLayout w:type="fixed"/>
        <w:tblCellMar>
          <w:top w:w="0" w:type="dxa"/>
          <w:left w:w="108" w:type="dxa"/>
          <w:bottom w:w="0" w:type="dxa"/>
          <w:right w:w="108" w:type="dxa"/>
        </w:tblCellMar>
      </w:tblPr>
      <w:tblGrid>
        <w:gridCol w:w="645"/>
        <w:gridCol w:w="4488"/>
        <w:gridCol w:w="1602"/>
        <w:gridCol w:w="1575"/>
        <w:gridCol w:w="1575"/>
        <w:gridCol w:w="1470"/>
        <w:gridCol w:w="3465"/>
      </w:tblGrid>
      <w:tr>
        <w:tblPrEx>
          <w:tblCellMar>
            <w:top w:w="0" w:type="dxa"/>
            <w:left w:w="108" w:type="dxa"/>
            <w:bottom w:w="0" w:type="dxa"/>
            <w:right w:w="108" w:type="dxa"/>
          </w:tblCellMar>
        </w:tblPrEx>
        <w:trPr>
          <w:trHeight w:val="705" w:hRule="atLeast"/>
        </w:trPr>
        <w:tc>
          <w:tcPr>
            <w:tcW w:w="64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编号</w:t>
            </w:r>
          </w:p>
        </w:tc>
        <w:tc>
          <w:tcPr>
            <w:tcW w:w="4488"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算术校核项目</w:t>
            </w:r>
          </w:p>
        </w:tc>
        <w:tc>
          <w:tcPr>
            <w:tcW w:w="1602"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修正前投标</w:t>
            </w:r>
          </w:p>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报价A</w:t>
            </w:r>
          </w:p>
        </w:tc>
        <w:tc>
          <w:tcPr>
            <w:tcW w:w="157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修正后投标</w:t>
            </w:r>
          </w:p>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报价B</w:t>
            </w:r>
          </w:p>
        </w:tc>
        <w:tc>
          <w:tcPr>
            <w:tcW w:w="157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修正率</w:t>
            </w:r>
            <w:r>
              <w:rPr>
                <w:rFonts w:hint="eastAsia" w:ascii="宋体" w:hAnsi="宋体"/>
                <w:color w:val="000000" w:themeColor="text1"/>
                <w:kern w:val="0"/>
                <w:szCs w:val="21"/>
                <w:highlight w:val="none"/>
                <w14:textFill>
                  <w14:solidFill>
                    <w14:schemeClr w14:val="tx1"/>
                  </w14:solidFill>
                </w14:textFill>
              </w:rPr>
              <w:br w:type="textWrapping"/>
            </w:r>
            <w:r>
              <w:rPr>
                <w:rFonts w:hint="eastAsia" w:ascii="宋体" w:hAnsi="宋体"/>
                <w:color w:val="000000" w:themeColor="text1"/>
                <w:kern w:val="0"/>
                <w:szCs w:val="21"/>
                <w:highlight w:val="none"/>
                <w14:textFill>
                  <w14:solidFill>
                    <w14:schemeClr w14:val="tx1"/>
                  </w14:solidFill>
                </w14:textFill>
              </w:rPr>
              <w:t>r=|A-B|/A*100%</w:t>
            </w:r>
          </w:p>
        </w:tc>
        <w:tc>
          <w:tcPr>
            <w:tcW w:w="1470"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经评审的最终投标报价</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当B&gt;A时，修正后报价与原报价的差额；当B≤A时,R=0</w:t>
            </w: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1</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[单位工程1]</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2</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[单位工程2]</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n</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[单位工程n]</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p>
        </w:tc>
      </w:tr>
      <w:tr>
        <w:tblPrEx>
          <w:tblCellMar>
            <w:top w:w="0" w:type="dxa"/>
            <w:left w:w="108" w:type="dxa"/>
            <w:bottom w:w="0" w:type="dxa"/>
            <w:right w:w="108" w:type="dxa"/>
          </w:tblCellMar>
        </w:tblPrEx>
        <w:trPr>
          <w:trHeight w:val="600" w:hRule="atLeast"/>
        </w:trPr>
        <w:tc>
          <w:tcPr>
            <w:tcW w:w="645" w:type="dxa"/>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w:t>
            </w:r>
          </w:p>
        </w:tc>
        <w:tc>
          <w:tcPr>
            <w:tcW w:w="4488"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投标总报价</w:t>
            </w:r>
          </w:p>
        </w:tc>
        <w:tc>
          <w:tcPr>
            <w:tcW w:w="1602"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575" w:type="dxa"/>
            <w:tcBorders>
              <w:top w:val="nil"/>
              <w:left w:val="nil"/>
              <w:bottom w:val="single" w:color="auto" w:sz="4" w:space="0"/>
              <w:right w:val="single" w:color="auto" w:sz="4" w:space="0"/>
              <w:tr2bl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1470" w:type="dxa"/>
            <w:tcBorders>
              <w:top w:val="nil"/>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　</w:t>
            </w:r>
          </w:p>
        </w:tc>
        <w:tc>
          <w:tcPr>
            <w:tcW w:w="3465" w:type="dxa"/>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宋体" w:hAnsi="宋体"/>
                <w:color w:val="000000" w:themeColor="text1"/>
                <w:kern w:val="0"/>
                <w:szCs w:val="21"/>
                <w:highlight w:val="none"/>
                <w14:textFill>
                  <w14:solidFill>
                    <w14:schemeClr w14:val="tx1"/>
                  </w14:solidFill>
                </w14:textFill>
              </w:rPr>
            </w:pPr>
            <w:r>
              <w:rPr>
                <w:rFonts w:hint="eastAsia" w:ascii="宋体" w:hAnsi="宋体"/>
                <w:color w:val="000000" w:themeColor="text1"/>
                <w:kern w:val="0"/>
                <w:szCs w:val="21"/>
                <w:highlight w:val="none"/>
                <w14:textFill>
                  <w14:solidFill>
                    <w14:schemeClr w14:val="tx1"/>
                  </w14:solidFill>
                </w14:textFill>
              </w:rPr>
              <w:t>∑A=A</w:t>
            </w:r>
            <w:r>
              <w:rPr>
                <w:rFonts w:hint="eastAsia" w:ascii="宋体" w:hAnsi="宋体"/>
                <w:color w:val="000000" w:themeColor="text1"/>
                <w:kern w:val="0"/>
                <w:szCs w:val="21"/>
                <w:highlight w:val="none"/>
                <w:vertAlign w:val="subscript"/>
                <w14:textFill>
                  <w14:solidFill>
                    <w14:schemeClr w14:val="tx1"/>
                  </w14:solidFill>
                </w14:textFill>
              </w:rPr>
              <w:t>1</w:t>
            </w:r>
            <w:r>
              <w:rPr>
                <w:rFonts w:hint="eastAsia" w:ascii="宋体" w:hAnsi="宋体"/>
                <w:color w:val="000000" w:themeColor="text1"/>
                <w:kern w:val="0"/>
                <w:szCs w:val="21"/>
                <w:highlight w:val="none"/>
                <w14:textFill>
                  <w14:solidFill>
                    <w14:schemeClr w14:val="tx1"/>
                  </w14:solidFill>
                </w14:textFill>
              </w:rPr>
              <w:t>+A</w:t>
            </w:r>
            <w:r>
              <w:rPr>
                <w:rFonts w:hint="eastAsia" w:ascii="宋体" w:hAnsi="宋体"/>
                <w:color w:val="000000" w:themeColor="text1"/>
                <w:kern w:val="0"/>
                <w:szCs w:val="21"/>
                <w:highlight w:val="none"/>
                <w:vertAlign w:val="subscript"/>
                <w14:textFill>
                  <w14:solidFill>
                    <w14:schemeClr w14:val="tx1"/>
                  </w14:solidFill>
                </w14:textFill>
              </w:rPr>
              <w:t>2</w:t>
            </w:r>
            <w:r>
              <w:rPr>
                <w:rFonts w:hint="eastAsia" w:ascii="宋体" w:hAnsi="宋体"/>
                <w:color w:val="000000" w:themeColor="text1"/>
                <w:kern w:val="0"/>
                <w:szCs w:val="21"/>
                <w:highlight w:val="none"/>
                <w14:textFill>
                  <w14:solidFill>
                    <w14:schemeClr w14:val="tx1"/>
                  </w14:solidFill>
                </w14:textFill>
              </w:rPr>
              <w:t>+…An；∑B=B</w:t>
            </w:r>
            <w:r>
              <w:rPr>
                <w:rFonts w:hint="eastAsia" w:ascii="宋体" w:hAnsi="宋体"/>
                <w:color w:val="000000" w:themeColor="text1"/>
                <w:kern w:val="0"/>
                <w:szCs w:val="21"/>
                <w:highlight w:val="none"/>
                <w:vertAlign w:val="subscript"/>
                <w14:textFill>
                  <w14:solidFill>
                    <w14:schemeClr w14:val="tx1"/>
                  </w14:solidFill>
                </w14:textFill>
              </w:rPr>
              <w:t>1</w:t>
            </w:r>
            <w:r>
              <w:rPr>
                <w:rFonts w:hint="eastAsia" w:ascii="宋体" w:hAnsi="宋体"/>
                <w:color w:val="000000" w:themeColor="text1"/>
                <w:kern w:val="0"/>
                <w:szCs w:val="21"/>
                <w:highlight w:val="none"/>
                <w14:textFill>
                  <w14:solidFill>
                    <w14:schemeClr w14:val="tx1"/>
                  </w14:solidFill>
                </w14:textFill>
              </w:rPr>
              <w:t>+B</w:t>
            </w:r>
            <w:r>
              <w:rPr>
                <w:rFonts w:hint="eastAsia" w:ascii="宋体" w:hAnsi="宋体"/>
                <w:color w:val="000000" w:themeColor="text1"/>
                <w:kern w:val="0"/>
                <w:szCs w:val="21"/>
                <w:highlight w:val="none"/>
                <w:vertAlign w:val="subscript"/>
                <w14:textFill>
                  <w14:solidFill>
                    <w14:schemeClr w14:val="tx1"/>
                  </w14:solidFill>
                </w14:textFill>
              </w:rPr>
              <w:t>2</w:t>
            </w:r>
            <w:r>
              <w:rPr>
                <w:rFonts w:hint="eastAsia" w:ascii="宋体" w:hAnsi="宋体"/>
                <w:color w:val="000000" w:themeColor="text1"/>
                <w:kern w:val="0"/>
                <w:szCs w:val="21"/>
                <w:highlight w:val="none"/>
                <w14:textFill>
                  <w14:solidFill>
                    <w14:schemeClr w14:val="tx1"/>
                  </w14:solidFill>
                </w14:textFill>
              </w:rPr>
              <w:t>+…Bn</w:t>
            </w:r>
          </w:p>
        </w:tc>
      </w:tr>
    </w:tbl>
    <w:p>
      <w:pPr>
        <w:rPr>
          <w:rFonts w:cs="宋体"/>
          <w:color w:val="000000" w:themeColor="text1"/>
          <w:kern w:val="0"/>
          <w:szCs w:val="21"/>
          <w:highlight w:val="none"/>
          <w14:textFill>
            <w14:solidFill>
              <w14:schemeClr w14:val="tx1"/>
            </w14:solidFill>
          </w14:textFill>
        </w:rPr>
      </w:pPr>
      <w:r>
        <w:rPr>
          <w:rFonts w:hint="eastAsia" w:cs="宋体"/>
          <w:color w:val="000000" w:themeColor="text1"/>
          <w:kern w:val="0"/>
          <w:szCs w:val="21"/>
          <w:highlight w:val="none"/>
          <w14:textFill>
            <w14:solidFill>
              <w14:schemeClr w14:val="tx1"/>
            </w14:solidFill>
          </w14:textFill>
        </w:rPr>
        <w:t>修正原则：</w:t>
      </w:r>
      <w:r>
        <w:rPr>
          <w:rFonts w:hint="eastAsia"/>
          <w:color w:val="000000" w:themeColor="text1"/>
          <w:szCs w:val="21"/>
          <w:highlight w:val="none"/>
          <w14:textFill>
            <w14:solidFill>
              <w14:schemeClr w14:val="tx1"/>
            </w14:solidFill>
          </w14:textFill>
        </w:rPr>
        <w:t>按就低不就高原则，当修正后报价小于原报价，总价按修正后报价；当修正后报价大于原报价，总价按原报价，并在签订合同时载明在结算价中扣除修正报价与原报价的差额。</w:t>
      </w:r>
      <w:r>
        <w:rPr>
          <w:rFonts w:cs="宋体"/>
          <w:color w:val="000000" w:themeColor="text1"/>
          <w:kern w:val="0"/>
          <w:szCs w:val="21"/>
          <w:highlight w:val="none"/>
          <w14:textFill>
            <w14:solidFill>
              <w14:schemeClr w14:val="tx1"/>
            </w14:solidFill>
          </w14:textFill>
        </w:rPr>
        <w:tab/>
      </w:r>
    </w:p>
    <w:p>
      <w:pP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评委签名：</w:t>
      </w:r>
      <w:r>
        <w:rPr>
          <w:color w:val="000000" w:themeColor="text1"/>
          <w:kern w:val="0"/>
          <w:szCs w:val="21"/>
          <w:highlight w:val="none"/>
          <w14:textFill>
            <w14:solidFill>
              <w14:schemeClr w14:val="tx1"/>
            </w14:solidFill>
          </w14:textFill>
        </w:rPr>
        <w:tab/>
      </w:r>
      <w:r>
        <w:rPr>
          <w:color w:val="000000" w:themeColor="text1"/>
          <w:kern w:val="0"/>
          <w:szCs w:val="21"/>
          <w:highlight w:val="none"/>
          <w14:textFill>
            <w14:solidFill>
              <w14:schemeClr w14:val="tx1"/>
            </w14:solidFill>
          </w14:textFill>
        </w:rPr>
        <w:tab/>
      </w:r>
      <w:r>
        <w:rPr>
          <w:color w:val="000000" w:themeColor="text1"/>
          <w:kern w:val="0"/>
          <w:szCs w:val="21"/>
          <w:highlight w:val="none"/>
          <w14:textFill>
            <w14:solidFill>
              <w14:schemeClr w14:val="tx1"/>
            </w14:solidFill>
          </w14:textFill>
        </w:rPr>
        <w:tab/>
      </w:r>
      <w:r>
        <w:rPr>
          <w:color w:val="000000" w:themeColor="text1"/>
          <w:kern w:val="0"/>
          <w:szCs w:val="21"/>
          <w:highlight w:val="none"/>
          <w14:textFill>
            <w14:solidFill>
              <w14:schemeClr w14:val="tx1"/>
            </w14:solidFill>
          </w14:textFill>
        </w:rPr>
        <w:tab/>
      </w:r>
      <w:r>
        <w:rPr>
          <w:color w:val="000000" w:themeColor="text1"/>
          <w:kern w:val="0"/>
          <w:szCs w:val="21"/>
          <w:highlight w:val="none"/>
          <w14:textFill>
            <w14:solidFill>
              <w14:schemeClr w14:val="tx1"/>
            </w14:solidFill>
          </w14:textFill>
        </w:rPr>
        <w:tab/>
      </w:r>
      <w:r>
        <w:rPr>
          <w:rFonts w:hint="eastAsia"/>
          <w:color w:val="000000" w:themeColor="text1"/>
          <w:kern w:val="0"/>
          <w:szCs w:val="21"/>
          <w:highlight w:val="none"/>
          <w14:textFill>
            <w14:solidFill>
              <w14:schemeClr w14:val="tx1"/>
            </w14:solidFill>
          </w14:textFill>
        </w:rPr>
        <w:t>日期：</w:t>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pPr>
        <w:jc w:val="center"/>
        <w:rPr>
          <w:b/>
          <w:color w:val="000000" w:themeColor="text1"/>
          <w:sz w:val="36"/>
          <w:szCs w:val="36"/>
          <w:highlight w:val="none"/>
          <w14:textFill>
            <w14:solidFill>
              <w14:schemeClr w14:val="tx1"/>
            </w14:solidFill>
          </w14:textFill>
        </w:rPr>
      </w:pPr>
      <w:r>
        <w:rPr>
          <w:rFonts w:hint="eastAsia"/>
          <w:b/>
          <w:color w:val="000000" w:themeColor="text1"/>
          <w:sz w:val="36"/>
          <w:szCs w:val="36"/>
          <w:highlight w:val="none"/>
          <w14:textFill>
            <w14:solidFill>
              <w14:schemeClr w14:val="tx1"/>
            </w14:solidFill>
          </w14:textFill>
        </w:rPr>
        <w:t>算术复核表</w:t>
      </w:r>
    </w:p>
    <w:p>
      <w:pP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工程名称：</w:t>
      </w:r>
    </w:p>
    <w:tbl>
      <w:tblPr>
        <w:tblStyle w:val="18"/>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4297"/>
        <w:gridCol w:w="2330"/>
        <w:gridCol w:w="3101"/>
        <w:gridCol w:w="3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编号</w:t>
            </w: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投标人名称</w:t>
            </w: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原投标报价（A）</w:t>
            </w: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算数复核后投标报价（B）</w:t>
            </w: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b/>
                <w:color w:val="000000" w:themeColor="text1"/>
                <w:sz w:val="28"/>
                <w:szCs w:val="28"/>
                <w:highlight w:val="none"/>
                <w14:textFill>
                  <w14:solidFill>
                    <w14:schemeClr w14:val="tx1"/>
                  </w14:solidFill>
                </w14:textFill>
              </w:rPr>
            </w:pPr>
            <w:r>
              <w:rPr>
                <w:rFonts w:hint="eastAsia"/>
                <w:b/>
                <w:color w:val="000000" w:themeColor="text1"/>
                <w:sz w:val="28"/>
                <w:szCs w:val="28"/>
                <w:highlight w:val="none"/>
                <w14:textFill>
                  <w14:solidFill>
                    <w14:schemeClr w14:val="tx1"/>
                  </w14:solidFill>
                </w14:textFill>
              </w:rPr>
              <w:t>误差率（r=|A-B|/A*100%）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4297"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2330"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10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c>
          <w:tcPr>
            <w:tcW w:w="3423"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rPr>
                <w:rFonts w:hint="default"/>
                <w:color w:val="000000" w:themeColor="text1"/>
                <w:sz w:val="36"/>
                <w:szCs w:val="36"/>
                <w:highlight w:val="none"/>
                <w14:textFill>
                  <w14:solidFill>
                    <w14:schemeClr w14:val="tx1"/>
                  </w14:solidFill>
                </w14:textFill>
              </w:rPr>
            </w:pPr>
          </w:p>
        </w:tc>
      </w:tr>
    </w:tbl>
    <w:p>
      <w:pP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评委签名：</w:t>
      </w:r>
    </w:p>
    <w:p>
      <w:pPr>
        <w:spacing w:line="360" w:lineRule="auto"/>
        <w:jc w:val="center"/>
        <w:rPr>
          <w:rFonts w:ascii="仿宋_GB2312" w:hAnsi="宋体" w:eastAsia="仿宋_GB2312"/>
          <w:color w:val="000000" w:themeColor="text1"/>
          <w:szCs w:val="21"/>
          <w:highlight w:val="none"/>
          <w14:textFill>
            <w14:solidFill>
              <w14:schemeClr w14:val="tx1"/>
            </w14:solidFill>
          </w14:textFill>
        </w:rPr>
        <w:sectPr>
          <w:headerReference r:id="rId10" w:type="first"/>
          <w:footerReference r:id="rId13" w:type="first"/>
          <w:headerReference r:id="rId8" w:type="default"/>
          <w:footerReference r:id="rId11" w:type="default"/>
          <w:headerReference r:id="rId9" w:type="even"/>
          <w:footerReference r:id="rId12" w:type="even"/>
          <w:endnotePr>
            <w:numFmt w:val="decimal"/>
          </w:endnotePr>
          <w:pgSz w:w="16838" w:h="11906" w:orient="landscape"/>
          <w:pgMar w:top="1418" w:right="1247" w:bottom="1418" w:left="1134" w:header="851" w:footer="907" w:gutter="0"/>
          <w:pgNumType w:fmt="decimal"/>
          <w:cols w:space="425" w:num="1"/>
          <w:titlePg/>
          <w:docGrid w:type="lines" w:linePitch="312" w:charSpace="0"/>
        </w:sectPr>
      </w:pPr>
    </w:p>
    <w:p>
      <w:pPr>
        <w:pStyle w:val="2"/>
        <w:rPr>
          <w:color w:val="000000" w:themeColor="text1"/>
          <w:highlight w:val="none"/>
          <w14:textFill>
            <w14:solidFill>
              <w14:schemeClr w14:val="tx1"/>
            </w14:solidFill>
          </w14:textFill>
        </w:rPr>
      </w:pPr>
      <w:bookmarkStart w:id="32" w:name="_Toc21525511"/>
      <w:bookmarkStart w:id="33" w:name="_Toc2272566"/>
      <w:r>
        <w:rPr>
          <w:rFonts w:hint="eastAsia"/>
          <w:color w:val="000000" w:themeColor="text1"/>
          <w:highlight w:val="none"/>
          <w14:textFill>
            <w14:solidFill>
              <w14:schemeClr w14:val="tx1"/>
            </w14:solidFill>
          </w14:textFill>
        </w:rPr>
        <w:t>第三章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合同条款</w:t>
      </w:r>
      <w:bookmarkEnd w:id="32"/>
      <w:bookmarkEnd w:id="33"/>
    </w:p>
    <w:p>
      <w:pPr>
        <w:jc w:val="center"/>
        <w:rPr>
          <w:rFonts w:ascii="宋体"/>
          <w:b/>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注：</w:t>
      </w:r>
      <w:r>
        <w:rPr>
          <w:rFonts w:hint="eastAsia" w:ascii="宋体" w:hAnsi="宋体"/>
          <w:color w:val="000000" w:themeColor="text1"/>
          <w:sz w:val="24"/>
          <w:szCs w:val="24"/>
          <w:highlight w:val="none"/>
          <w14:textFill>
            <w14:solidFill>
              <w14:schemeClr w14:val="tx1"/>
            </w14:solidFill>
          </w14:textFill>
        </w:rPr>
        <w:t>另册。</w:t>
      </w:r>
    </w:p>
    <w:p>
      <w:pPr>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7"/>
        <w:spacing w:line="360" w:lineRule="auto"/>
        <w:rPr>
          <w:color w:val="000000" w:themeColor="text1"/>
          <w:sz w:val="24"/>
          <w:szCs w:val="24"/>
          <w:highlight w:val="none"/>
          <w14:textFill>
            <w14:solidFill>
              <w14:schemeClr w14:val="tx1"/>
            </w14:solidFill>
          </w14:textFill>
        </w:rPr>
      </w:pPr>
    </w:p>
    <w:p>
      <w:pPr>
        <w:pStyle w:val="10"/>
        <w:spacing w:line="360" w:lineRule="auto"/>
        <w:rPr>
          <w:color w:val="000000" w:themeColor="text1"/>
          <w:sz w:val="24"/>
          <w:szCs w:val="24"/>
          <w:highlight w:val="none"/>
          <w14:textFill>
            <w14:solidFill>
              <w14:schemeClr w14:val="tx1"/>
            </w14:solidFill>
          </w14:textFill>
        </w:rPr>
      </w:pPr>
    </w:p>
    <w:p>
      <w:pPr>
        <w:pStyle w:val="1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br w:type="page"/>
      </w:r>
    </w:p>
    <w:p>
      <w:pPr>
        <w:pStyle w:val="2"/>
        <w:rPr>
          <w:color w:val="000000" w:themeColor="text1"/>
          <w:highlight w:val="none"/>
          <w14:textFill>
            <w14:solidFill>
              <w14:schemeClr w14:val="tx1"/>
            </w14:solidFill>
          </w14:textFill>
        </w:rPr>
      </w:pPr>
      <w:bookmarkStart w:id="34" w:name="_Toc2272567"/>
      <w:bookmarkStart w:id="35" w:name="_Toc21525512"/>
      <w:r>
        <w:rPr>
          <w:rFonts w:hint="eastAsia"/>
          <w:color w:val="000000" w:themeColor="text1"/>
          <w:highlight w:val="none"/>
          <w14:textFill>
            <w14:solidFill>
              <w14:schemeClr w14:val="tx1"/>
            </w14:solidFill>
          </w14:textFill>
        </w:rPr>
        <w:t>第四章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投标文件格式</w:t>
      </w:r>
      <w:bookmarkEnd w:id="34"/>
      <w:bookmarkEnd w:id="35"/>
    </w:p>
    <w:p>
      <w:pPr>
        <w:topLinePunct/>
        <w:adjustRightInd w:val="0"/>
        <w:snapToGrid w:val="0"/>
        <w:spacing w:line="360" w:lineRule="auto"/>
        <w:jc w:val="left"/>
        <w:outlineLvl w:val="0"/>
        <w:rPr>
          <w:rFonts w:ascii="宋体" w:hAnsi="宋体"/>
          <w:b/>
          <w:snapToGrid w:val="0"/>
          <w:color w:val="000000" w:themeColor="text1"/>
          <w:spacing w:val="4"/>
          <w:kern w:val="0"/>
          <w:sz w:val="30"/>
          <w:szCs w:val="30"/>
          <w:highlight w:val="none"/>
          <w14:textFill>
            <w14:solidFill>
              <w14:schemeClr w14:val="tx1"/>
            </w14:solidFill>
          </w14:textFill>
        </w:rPr>
      </w:pPr>
      <w:bookmarkStart w:id="36" w:name="_Toc8084"/>
      <w:bookmarkStart w:id="37" w:name="_Toc7019446"/>
      <w:bookmarkStart w:id="38" w:name="_Toc22928"/>
      <w:bookmarkStart w:id="39" w:name="_Toc14697646"/>
      <w:r>
        <w:rPr>
          <w:rFonts w:hint="eastAsia" w:ascii="宋体" w:hAnsi="宋体"/>
          <w:b/>
          <w:snapToGrid w:val="0"/>
          <w:color w:val="000000" w:themeColor="text1"/>
          <w:spacing w:val="4"/>
          <w:kern w:val="0"/>
          <w:sz w:val="30"/>
          <w:szCs w:val="30"/>
          <w:highlight w:val="none"/>
          <w14:textFill>
            <w14:solidFill>
              <w14:schemeClr w14:val="tx1"/>
            </w14:solidFill>
          </w14:textFill>
        </w:rPr>
        <w:t>一、技术标投标文件格式</w:t>
      </w:r>
      <w:bookmarkEnd w:id="36"/>
      <w:bookmarkEnd w:id="37"/>
      <w:bookmarkEnd w:id="38"/>
      <w:bookmarkEnd w:id="39"/>
    </w:p>
    <w:p>
      <w:pPr>
        <w:widowControl/>
        <w:spacing w:before="100" w:beforeAutospacing="1" w:after="100" w:afterAutospacing="1"/>
        <w:jc w:val="left"/>
        <w:outlineLvl w:val="2"/>
        <w:rPr>
          <w:rFonts w:ascii="宋体" w:hAnsi="宋体"/>
          <w:b/>
          <w:color w:val="000000" w:themeColor="text1"/>
          <w:kern w:val="0"/>
          <w:sz w:val="24"/>
          <w:szCs w:val="24"/>
          <w:highlight w:val="none"/>
          <w14:textFill>
            <w14:solidFill>
              <w14:schemeClr w14:val="tx1"/>
            </w14:solidFill>
          </w14:textFill>
        </w:rPr>
      </w:pPr>
      <w:r>
        <w:rPr>
          <w:color w:val="000000" w:themeColor="text1"/>
          <w:highlight w:val="none"/>
          <w14:textFill>
            <w14:solidFill>
              <w14:schemeClr w14:val="tx1"/>
            </w14:solidFill>
          </w14:textFill>
        </w:rPr>
        <w:br w:type="page"/>
      </w:r>
      <w:bookmarkStart w:id="40" w:name="_Toc17751"/>
      <w:bookmarkStart w:id="41" w:name="_Toc14697647"/>
      <w:r>
        <w:rPr>
          <w:rFonts w:hint="eastAsia" w:ascii="宋体" w:hAnsi="宋体"/>
          <w:b/>
          <w:color w:val="000000" w:themeColor="text1"/>
          <w:kern w:val="0"/>
          <w:sz w:val="24"/>
          <w:szCs w:val="24"/>
          <w:highlight w:val="none"/>
          <w14:textFill>
            <w14:solidFill>
              <w14:schemeClr w14:val="tx1"/>
            </w14:solidFill>
          </w14:textFill>
        </w:rPr>
        <w:t>格式一：技术标封面</w:t>
      </w:r>
      <w:bookmarkEnd w:id="40"/>
      <w:bookmarkEnd w:id="41"/>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jc w:val="center"/>
        <w:rPr>
          <w:rFonts w:ascii="宋体" w:hAnsi="宋体"/>
          <w:snapToGrid w:val="0"/>
          <w:color w:val="000000" w:themeColor="text1"/>
          <w:spacing w:val="4"/>
          <w:kern w:val="0"/>
          <w:sz w:val="36"/>
          <w:szCs w:val="36"/>
          <w:highlight w:val="none"/>
          <w:u w:val="single"/>
          <w14:textFill>
            <w14:solidFill>
              <w14:schemeClr w14:val="tx1"/>
            </w14:solidFill>
          </w14:textFill>
        </w:rPr>
      </w:pPr>
      <w:r>
        <w:rPr>
          <w:rFonts w:hint="eastAsia" w:ascii="宋体" w:hAnsi="宋体"/>
          <w:snapToGrid w:val="0"/>
          <w:color w:val="000000" w:themeColor="text1"/>
          <w:spacing w:val="4"/>
          <w:kern w:val="0"/>
          <w:sz w:val="36"/>
          <w:szCs w:val="36"/>
          <w:highlight w:val="none"/>
          <w:u w:val="single"/>
          <w14:textFill>
            <w14:solidFill>
              <w14:schemeClr w14:val="tx1"/>
            </w14:solidFill>
          </w14:textFill>
        </w:rPr>
        <w:t xml:space="preserve">[工程名称] </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jc w:val="center"/>
        <w:rPr>
          <w:rFonts w:ascii="宋体" w:hAnsi="宋体"/>
          <w:snapToGrid w:val="0"/>
          <w:color w:val="000000" w:themeColor="text1"/>
          <w:spacing w:val="4"/>
          <w:kern w:val="0"/>
          <w:sz w:val="84"/>
          <w:szCs w:val="84"/>
          <w:highlight w:val="none"/>
          <w14:textFill>
            <w14:solidFill>
              <w14:schemeClr w14:val="tx1"/>
            </w14:solidFill>
          </w14:textFill>
        </w:rPr>
      </w:pPr>
      <w:r>
        <w:rPr>
          <w:rFonts w:hint="eastAsia" w:ascii="宋体" w:hAnsi="宋体"/>
          <w:snapToGrid w:val="0"/>
          <w:color w:val="000000" w:themeColor="text1"/>
          <w:spacing w:val="4"/>
          <w:kern w:val="0"/>
          <w:sz w:val="84"/>
          <w:szCs w:val="84"/>
          <w:highlight w:val="none"/>
          <w14:textFill>
            <w14:solidFill>
              <w14:schemeClr w14:val="tx1"/>
            </w14:solidFill>
          </w14:textFill>
        </w:rPr>
        <w:t>投标文件</w:t>
      </w:r>
    </w:p>
    <w:p>
      <w:pPr>
        <w:topLinePunct/>
        <w:adjustRightInd w:val="0"/>
        <w:snapToGrid w:val="0"/>
        <w:spacing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第一册  【技术投标文件（含资格审查文件）】</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576" w:firstLineChars="200"/>
        <w:rPr>
          <w:rFonts w:ascii="宋体" w:hAnsi="宋体"/>
          <w:snapToGrid w:val="0"/>
          <w:color w:val="000000" w:themeColor="text1"/>
          <w:spacing w:val="4"/>
          <w:kern w:val="0"/>
          <w:sz w:val="28"/>
          <w:szCs w:val="28"/>
          <w:highlight w:val="none"/>
          <w14:textFill>
            <w14:solidFill>
              <w14:schemeClr w14:val="tx1"/>
            </w14:solidFill>
          </w14:textFill>
        </w:rPr>
      </w:pPr>
    </w:p>
    <w:p>
      <w:pPr>
        <w:topLinePunct/>
        <w:adjustRightInd w:val="0"/>
        <w:snapToGrid w:val="0"/>
        <w:spacing w:line="360" w:lineRule="auto"/>
        <w:ind w:firstLine="576" w:firstLineChars="200"/>
        <w:jc w:val="left"/>
        <w:rPr>
          <w:rFonts w:ascii="宋体" w:hAnsi="宋体"/>
          <w:snapToGrid w:val="0"/>
          <w:color w:val="000000" w:themeColor="text1"/>
          <w:spacing w:val="4"/>
          <w:kern w:val="0"/>
          <w:sz w:val="28"/>
          <w:szCs w:val="28"/>
          <w:highlight w:val="none"/>
          <w14:textFill>
            <w14:solidFill>
              <w14:schemeClr w14:val="tx1"/>
            </w14:solidFill>
          </w14:textFill>
        </w:rPr>
      </w:pPr>
      <w:r>
        <w:rPr>
          <w:rFonts w:hint="eastAsia" w:ascii="宋体" w:hAnsi="宋体"/>
          <w:snapToGrid w:val="0"/>
          <w:color w:val="000000" w:themeColor="text1"/>
          <w:spacing w:val="4"/>
          <w:kern w:val="0"/>
          <w:sz w:val="28"/>
          <w:szCs w:val="28"/>
          <w:highlight w:val="none"/>
          <w14:textFill>
            <w14:solidFill>
              <w14:schemeClr w14:val="tx1"/>
            </w14:solidFill>
          </w14:textFill>
        </w:rPr>
        <w:t>投标人：</w:t>
      </w:r>
      <w:r>
        <w:rPr>
          <w:rFonts w:hint="eastAsia" w:ascii="宋体" w:hAnsi="宋体"/>
          <w:snapToGrid w:val="0"/>
          <w:color w:val="000000" w:themeColor="text1"/>
          <w:spacing w:val="4"/>
          <w:kern w:val="0"/>
          <w:sz w:val="28"/>
          <w:szCs w:val="28"/>
          <w:highlight w:val="none"/>
          <w:u w:val="single"/>
          <w14:textFill>
            <w14:solidFill>
              <w14:schemeClr w14:val="tx1"/>
            </w14:solidFill>
          </w14:textFill>
        </w:rPr>
        <w:t xml:space="preserve">           （填写投标人单位名称）    （盖章）</w:t>
      </w:r>
    </w:p>
    <w:p>
      <w:pPr>
        <w:topLinePunct/>
        <w:adjustRightInd w:val="0"/>
        <w:snapToGrid w:val="0"/>
        <w:spacing w:line="360" w:lineRule="auto"/>
        <w:ind w:firstLine="576" w:firstLineChars="200"/>
        <w:jc w:val="left"/>
        <w:rPr>
          <w:rFonts w:ascii="宋体" w:hAnsi="宋体"/>
          <w:snapToGrid w:val="0"/>
          <w:color w:val="000000" w:themeColor="text1"/>
          <w:spacing w:val="4"/>
          <w:kern w:val="0"/>
          <w:sz w:val="28"/>
          <w:szCs w:val="28"/>
          <w:highlight w:val="none"/>
          <w14:textFill>
            <w14:solidFill>
              <w14:schemeClr w14:val="tx1"/>
            </w14:solidFill>
          </w14:textFill>
        </w:rPr>
      </w:pPr>
    </w:p>
    <w:p>
      <w:pPr>
        <w:topLinePunct/>
        <w:adjustRightInd w:val="0"/>
        <w:snapToGrid w:val="0"/>
        <w:spacing w:line="360" w:lineRule="auto"/>
        <w:ind w:firstLine="576" w:firstLineChars="200"/>
        <w:jc w:val="left"/>
        <w:rPr>
          <w:rFonts w:ascii="宋体" w:hAnsi="宋体"/>
          <w:snapToGrid w:val="0"/>
          <w:color w:val="000000" w:themeColor="text1"/>
          <w:spacing w:val="4"/>
          <w:kern w:val="0"/>
          <w:sz w:val="28"/>
          <w:szCs w:val="28"/>
          <w:highlight w:val="none"/>
          <w14:textFill>
            <w14:solidFill>
              <w14:schemeClr w14:val="tx1"/>
            </w14:solidFill>
          </w14:textFill>
        </w:rPr>
      </w:pPr>
      <w:r>
        <w:rPr>
          <w:rFonts w:hint="eastAsia" w:ascii="宋体" w:hAnsi="宋体"/>
          <w:snapToGrid w:val="0"/>
          <w:color w:val="000000" w:themeColor="text1"/>
          <w:spacing w:val="4"/>
          <w:kern w:val="0"/>
          <w:sz w:val="28"/>
          <w:szCs w:val="28"/>
          <w:highlight w:val="none"/>
          <w14:textFill>
            <w14:solidFill>
              <w14:schemeClr w14:val="tx1"/>
            </w14:solidFill>
          </w14:textFill>
        </w:rPr>
        <w:t>法定代表人或</w:t>
      </w:r>
    </w:p>
    <w:p>
      <w:pPr>
        <w:topLinePunct/>
        <w:adjustRightInd w:val="0"/>
        <w:snapToGrid w:val="0"/>
        <w:spacing w:line="360" w:lineRule="auto"/>
        <w:ind w:firstLine="576" w:firstLineChars="200"/>
        <w:jc w:val="left"/>
        <w:rPr>
          <w:rFonts w:ascii="宋体" w:hAnsi="宋体"/>
          <w:snapToGrid w:val="0"/>
          <w:color w:val="000000" w:themeColor="text1"/>
          <w:spacing w:val="4"/>
          <w:kern w:val="0"/>
          <w:sz w:val="28"/>
          <w:szCs w:val="28"/>
          <w:highlight w:val="none"/>
          <w14:textFill>
            <w14:solidFill>
              <w14:schemeClr w14:val="tx1"/>
            </w14:solidFill>
          </w14:textFill>
        </w:rPr>
      </w:pPr>
      <w:r>
        <w:rPr>
          <w:rFonts w:hint="eastAsia" w:ascii="宋体" w:hAnsi="宋体"/>
          <w:snapToGrid w:val="0"/>
          <w:color w:val="000000" w:themeColor="text1"/>
          <w:spacing w:val="4"/>
          <w:kern w:val="0"/>
          <w:sz w:val="28"/>
          <w:szCs w:val="28"/>
          <w:highlight w:val="none"/>
          <w14:textFill>
            <w14:solidFill>
              <w14:schemeClr w14:val="tx1"/>
            </w14:solidFill>
          </w14:textFill>
        </w:rPr>
        <w:t>其委托代理人：</w:t>
      </w:r>
      <w:r>
        <w:rPr>
          <w:rFonts w:hint="eastAsia" w:ascii="宋体" w:hAnsi="宋体"/>
          <w:snapToGrid w:val="0"/>
          <w:color w:val="000000" w:themeColor="text1"/>
          <w:spacing w:val="4"/>
          <w:kern w:val="0"/>
          <w:sz w:val="28"/>
          <w:szCs w:val="28"/>
          <w:highlight w:val="none"/>
          <w:u w:val="single"/>
          <w14:textFill>
            <w14:solidFill>
              <w14:schemeClr w14:val="tx1"/>
            </w14:solidFill>
          </w14:textFill>
        </w:rPr>
        <w:t xml:space="preserve">                         （签名或盖章）</w:t>
      </w:r>
    </w:p>
    <w:p>
      <w:pPr>
        <w:topLinePunct/>
        <w:adjustRightInd w:val="0"/>
        <w:snapToGrid w:val="0"/>
        <w:spacing w:line="360" w:lineRule="auto"/>
        <w:ind w:firstLine="576" w:firstLineChars="200"/>
        <w:jc w:val="left"/>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8"/>
          <w:szCs w:val="28"/>
          <w:highlight w:val="none"/>
          <w14:textFill>
            <w14:solidFill>
              <w14:schemeClr w14:val="tx1"/>
            </w14:solidFill>
          </w14:textFill>
        </w:rPr>
        <w:t>日  期：</w:t>
      </w:r>
      <w:r>
        <w:rPr>
          <w:rFonts w:hint="eastAsia" w:ascii="宋体" w:hAnsi="宋体"/>
          <w:snapToGrid w:val="0"/>
          <w:color w:val="000000" w:themeColor="text1"/>
          <w:spacing w:val="4"/>
          <w:kern w:val="0"/>
          <w:sz w:val="28"/>
          <w:szCs w:val="28"/>
          <w:highlight w:val="none"/>
          <w:u w:val="single"/>
          <w14:textFill>
            <w14:solidFill>
              <w14:schemeClr w14:val="tx1"/>
            </w14:solidFill>
          </w14:textFill>
        </w:rPr>
        <w:t xml:space="preserve">                                           </w:t>
      </w:r>
      <w:r>
        <w:rPr>
          <w:rFonts w:hint="eastAsia" w:ascii="宋体" w:hAnsi="宋体"/>
          <w:snapToGrid w:val="0"/>
          <w:color w:val="000000" w:themeColor="text1"/>
          <w:spacing w:val="4"/>
          <w:kern w:val="0"/>
          <w:sz w:val="30"/>
          <w:szCs w:val="30"/>
          <w:highlight w:val="none"/>
          <w:u w:val="single"/>
          <w14:textFill>
            <w14:solidFill>
              <w14:schemeClr w14:val="tx1"/>
            </w14:solidFill>
          </w14:textFill>
        </w:rPr>
        <w:t xml:space="preserve"> </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pStyle w:val="7"/>
        <w:rPr>
          <w:rFonts w:ascii="宋体" w:hAnsi="宋体"/>
          <w:snapToGrid w:val="0"/>
          <w:color w:val="000000" w:themeColor="text1"/>
          <w:spacing w:val="4"/>
          <w:kern w:val="0"/>
          <w:sz w:val="24"/>
          <w:szCs w:val="24"/>
          <w:highlight w:val="none"/>
          <w14:textFill>
            <w14:solidFill>
              <w14:schemeClr w14:val="tx1"/>
            </w14:solidFill>
          </w14:textFill>
        </w:rPr>
      </w:pPr>
    </w:p>
    <w:p>
      <w:pPr>
        <w:rPr>
          <w:color w:val="000000" w:themeColor="text1"/>
          <w:highlight w:val="none"/>
          <w14:textFill>
            <w14:solidFill>
              <w14:schemeClr w14:val="tx1"/>
            </w14:solidFill>
          </w14:textFill>
        </w:rPr>
      </w:pPr>
    </w:p>
    <w:p>
      <w:pPr>
        <w:autoSpaceDE w:val="0"/>
        <w:autoSpaceDN w:val="0"/>
        <w:adjustRightInd w:val="0"/>
        <w:outlineLvl w:val="2"/>
        <w:rPr>
          <w:rFonts w:ascii="宋体" w:cs="宋体"/>
          <w:b/>
          <w:bCs/>
          <w:color w:val="000000" w:themeColor="text1"/>
          <w:szCs w:val="21"/>
          <w:highlight w:val="none"/>
          <w:lang w:val="zh-CN"/>
          <w14:textFill>
            <w14:solidFill>
              <w14:schemeClr w14:val="tx1"/>
            </w14:solidFill>
          </w14:textFill>
        </w:rPr>
      </w:pPr>
      <w:bookmarkStart w:id="42" w:name="_Toc14697648"/>
      <w:bookmarkStart w:id="43" w:name="_Toc23471"/>
      <w:r>
        <w:rPr>
          <w:rFonts w:hint="eastAsia"/>
          <w:bCs/>
          <w:color w:val="000000" w:themeColor="text1"/>
          <w:szCs w:val="21"/>
          <w:highlight w:val="none"/>
          <w14:textFill>
            <w14:solidFill>
              <w14:schemeClr w14:val="tx1"/>
            </w14:solidFill>
          </w14:textFill>
        </w:rPr>
        <w:t>格式二：广州建设工程施工招标投标书</w:t>
      </w:r>
      <w:bookmarkEnd w:id="42"/>
      <w:bookmarkEnd w:id="43"/>
    </w:p>
    <w:p>
      <w:pPr>
        <w:autoSpaceDE w:val="0"/>
        <w:autoSpaceDN w:val="0"/>
        <w:adjustRightInd w:val="0"/>
        <w:ind w:left="-540" w:leftChars="-257" w:firstLine="1135" w:firstLineChars="257"/>
        <w:jc w:val="center"/>
        <w:rPr>
          <w:rFonts w:ascii="宋体" w:hAnsi="宋体" w:cs="宋体"/>
          <w:b/>
          <w:bCs/>
          <w:color w:val="000000" w:themeColor="text1"/>
          <w:sz w:val="44"/>
          <w:szCs w:val="44"/>
          <w:highlight w:val="none"/>
          <w:lang w:val="zh-CN"/>
          <w14:textFill>
            <w14:solidFill>
              <w14:schemeClr w14:val="tx1"/>
            </w14:solidFill>
          </w14:textFill>
        </w:rPr>
      </w:pPr>
    </w:p>
    <w:p>
      <w:pPr>
        <w:autoSpaceDE w:val="0"/>
        <w:autoSpaceDN w:val="0"/>
        <w:adjustRightInd w:val="0"/>
        <w:ind w:left="-540" w:leftChars="-257" w:firstLine="1135" w:firstLineChars="257"/>
        <w:jc w:val="center"/>
        <w:rPr>
          <w:rFonts w:ascii="宋体"/>
          <w:b/>
          <w:bCs/>
          <w:color w:val="000000" w:themeColor="text1"/>
          <w:sz w:val="52"/>
          <w:szCs w:val="52"/>
          <w:highlight w:val="none"/>
          <w14:textFill>
            <w14:solidFill>
              <w14:schemeClr w14:val="tx1"/>
            </w14:solidFill>
          </w14:textFill>
        </w:rPr>
      </w:pPr>
      <w:r>
        <w:rPr>
          <w:rFonts w:hint="eastAsia" w:ascii="宋体" w:hAnsi="宋体" w:cs="宋体"/>
          <w:b/>
          <w:bCs/>
          <w:color w:val="000000" w:themeColor="text1"/>
          <w:sz w:val="44"/>
          <w:szCs w:val="44"/>
          <w:highlight w:val="none"/>
          <w:lang w:val="zh-CN"/>
          <w14:textFill>
            <w14:solidFill>
              <w14:schemeClr w14:val="tx1"/>
            </w14:solidFill>
          </w14:textFill>
        </w:rPr>
        <w:t>广州建设工程施工招标投标书</w:t>
      </w:r>
    </w:p>
    <w:tbl>
      <w:tblPr>
        <w:tblStyle w:val="18"/>
        <w:tblpPr w:leftFromText="180" w:rightFromText="180" w:vertAnchor="text" w:horzAnchor="margin" w:tblpXSpec="center" w:tblpY="275"/>
        <w:tblW w:w="9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5"/>
        <w:gridCol w:w="3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宋体" w:cs="宋体"/>
                <w:b/>
                <w:bCs/>
                <w:color w:val="000000" w:themeColor="text1"/>
                <w:sz w:val="24"/>
                <w:szCs w:val="24"/>
                <w:highlight w:val="none"/>
                <w:lang w:val="zh-CN"/>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工程名称</w:t>
            </w:r>
          </w:p>
        </w:tc>
        <w:tc>
          <w:tcPr>
            <w:tcW w:w="3574" w:type="dxa"/>
            <w:tcBorders>
              <w:top w:val="single" w:color="auto" w:sz="4" w:space="0"/>
              <w:left w:val="single" w:color="auto" w:sz="4" w:space="0"/>
              <w:bottom w:val="single" w:color="auto" w:sz="4" w:space="0"/>
              <w:right w:val="single" w:color="auto" w:sz="4" w:space="0"/>
            </w:tcBorders>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宋体" w:cs="宋体"/>
                <w:b/>
                <w:bCs/>
                <w:color w:val="000000" w:themeColor="text1"/>
                <w:sz w:val="24"/>
                <w:szCs w:val="24"/>
                <w:highlight w:val="none"/>
                <w:lang w:val="zh-CN"/>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投标总报价（元）</w:t>
            </w:r>
          </w:p>
        </w:tc>
        <w:tc>
          <w:tcPr>
            <w:tcW w:w="357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宋体" w:cs="宋体"/>
                <w:b/>
                <w:bCs/>
                <w:color w:val="000000" w:themeColor="text1"/>
                <w:sz w:val="24"/>
                <w:szCs w:val="24"/>
                <w:highlight w:val="none"/>
                <w:lang w:val="zh-CN"/>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其中：</w:t>
            </w:r>
            <w:r>
              <w:rPr>
                <w:rFonts w:hint="eastAsia" w:ascii="宋体" w:hAnsi="宋体" w:cs="宋体"/>
                <w:b/>
                <w:bCs/>
                <w:color w:val="000000" w:themeColor="text1"/>
                <w:sz w:val="24"/>
                <w:szCs w:val="24"/>
                <w:highlight w:val="none"/>
                <w:lang w:val="zh-CN"/>
                <w14:textFill>
                  <w14:solidFill>
                    <w14:schemeClr w14:val="tx1"/>
                  </w14:solidFill>
                </w14:textFill>
              </w:rPr>
              <w:t>人工费</w:t>
            </w:r>
            <w:r>
              <w:rPr>
                <w:rFonts w:hint="eastAsia" w:ascii="宋体" w:hAnsi="宋体" w:cs="宋体"/>
                <w:b/>
                <w:color w:val="000000" w:themeColor="text1"/>
                <w:sz w:val="24"/>
                <w:szCs w:val="24"/>
                <w:highlight w:val="none"/>
                <w:lang w:val="zh-CN"/>
                <w14:textFill>
                  <w14:solidFill>
                    <w14:schemeClr w14:val="tx1"/>
                  </w14:solidFill>
                </w14:textFill>
              </w:rPr>
              <w:t>（元）</w:t>
            </w:r>
          </w:p>
        </w:tc>
        <w:tc>
          <w:tcPr>
            <w:tcW w:w="357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cs="宋体"/>
                <w:b/>
                <w:bCs/>
                <w:color w:val="000000" w:themeColor="text1"/>
                <w:sz w:val="24"/>
                <w:szCs w:val="24"/>
                <w:highlight w:val="none"/>
                <w:lang w:val="zh-CN"/>
                <w14:textFill>
                  <w14:solidFill>
                    <w14:schemeClr w14:val="tx1"/>
                  </w14:solidFill>
                </w14:textFill>
              </w:rPr>
            </w:pPr>
            <w:r>
              <w:rPr>
                <w:rFonts w:hint="eastAsia" w:ascii="宋体" w:hAnsi="宋体" w:cs="宋体"/>
                <w:b/>
                <w:bCs/>
                <w:color w:val="000000" w:themeColor="text1"/>
                <w:sz w:val="24"/>
                <w:szCs w:val="24"/>
                <w:highlight w:val="none"/>
                <w:lang w:val="zh-CN"/>
                <w14:textFill>
                  <w14:solidFill>
                    <w14:schemeClr w14:val="tx1"/>
                  </w14:solidFill>
                </w14:textFill>
              </w:rPr>
              <w:t>其中：</w:t>
            </w:r>
            <w:r>
              <w:rPr>
                <w:rFonts w:hint="eastAsia" w:ascii="宋体" w:hAnsi="宋体" w:cs="宋体"/>
                <w:b/>
                <w:color w:val="000000" w:themeColor="text1"/>
                <w:sz w:val="24"/>
                <w:szCs w:val="24"/>
                <w:highlight w:val="none"/>
                <w:lang w:val="zh-CN"/>
                <w14:textFill>
                  <w14:solidFill>
                    <w14:schemeClr w14:val="tx1"/>
                  </w14:solidFill>
                </w14:textFill>
              </w:rPr>
              <w:t>绿色施工安全防护措施费（元）</w:t>
            </w:r>
          </w:p>
        </w:tc>
        <w:tc>
          <w:tcPr>
            <w:tcW w:w="357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cs="宋体"/>
                <w:b/>
                <w:color w:val="000000" w:themeColor="text1"/>
                <w:sz w:val="24"/>
                <w:szCs w:val="24"/>
                <w:highlight w:val="none"/>
                <w:lang w:val="zh-CN"/>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投标总工期</w:t>
            </w:r>
          </w:p>
        </w:tc>
        <w:tc>
          <w:tcPr>
            <w:tcW w:w="3574" w:type="dxa"/>
            <w:tcBorders>
              <w:top w:val="single" w:color="auto" w:sz="4" w:space="0"/>
              <w:left w:val="single" w:color="auto" w:sz="4" w:space="0"/>
              <w:bottom w:val="single" w:color="auto" w:sz="4" w:space="0"/>
              <w:right w:val="single" w:color="auto" w:sz="4" w:space="0"/>
            </w:tcBorders>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工程质量标准</w:t>
            </w:r>
          </w:p>
        </w:tc>
        <w:tc>
          <w:tcPr>
            <w:tcW w:w="3574" w:type="dxa"/>
            <w:tcBorders>
              <w:top w:val="single" w:color="auto" w:sz="4" w:space="0"/>
              <w:left w:val="single" w:color="auto" w:sz="4" w:space="0"/>
              <w:bottom w:val="single" w:color="auto" w:sz="4" w:space="0"/>
              <w:right w:val="single" w:color="auto" w:sz="4" w:space="0"/>
            </w:tcBorders>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580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宋体" w:cs="宋体"/>
                <w:b/>
                <w:bCs/>
                <w:color w:val="000000" w:themeColor="text1"/>
                <w:sz w:val="24"/>
                <w:szCs w:val="24"/>
                <w:highlight w:val="none"/>
                <w:lang w:val="zh-CN"/>
                <w14:textFill>
                  <w14:solidFill>
                    <w14:schemeClr w14:val="tx1"/>
                  </w14:solidFill>
                </w14:textFill>
              </w:rPr>
            </w:pPr>
            <w:r>
              <w:rPr>
                <w:rFonts w:hint="eastAsia" w:ascii="宋体" w:hAnsi="宋体" w:cs="宋体"/>
                <w:b/>
                <w:color w:val="000000" w:themeColor="text1"/>
                <w:sz w:val="24"/>
                <w:szCs w:val="24"/>
                <w:highlight w:val="none"/>
                <w:lang w:val="zh-CN"/>
                <w14:textFill>
                  <w14:solidFill>
                    <w14:schemeClr w14:val="tx1"/>
                  </w14:solidFill>
                </w14:textFill>
              </w:rPr>
              <w:t>保修期限</w:t>
            </w:r>
          </w:p>
        </w:tc>
        <w:tc>
          <w:tcPr>
            <w:tcW w:w="3574" w:type="dxa"/>
            <w:tcBorders>
              <w:top w:val="single" w:color="auto" w:sz="4" w:space="0"/>
              <w:left w:val="single" w:color="auto" w:sz="4" w:space="0"/>
              <w:bottom w:val="single" w:color="auto" w:sz="4" w:space="0"/>
              <w:right w:val="single" w:color="auto" w:sz="4" w:space="0"/>
            </w:tcBorders>
          </w:tcPr>
          <w:p>
            <w:pPr>
              <w:keepNext w:val="0"/>
              <w:keepLines w:val="0"/>
              <w:suppressLineNumbers w:val="0"/>
              <w:autoSpaceDE w:val="0"/>
              <w:autoSpaceDN w:val="0"/>
              <w:adjustRightInd w:val="0"/>
              <w:spacing w:before="0" w:beforeAutospacing="0" w:after="0" w:afterAutospacing="0"/>
              <w:ind w:left="0" w:right="0"/>
              <w:rPr>
                <w:rFonts w:hint="default" w:ascii="宋体" w:cs="宋体"/>
                <w:b/>
                <w:bCs/>
                <w:color w:val="000000" w:themeColor="text1"/>
                <w:sz w:val="24"/>
                <w:szCs w:val="24"/>
                <w:highlight w:val="none"/>
                <w:lang w:val="zh-CN"/>
                <w14:textFill>
                  <w14:solidFill>
                    <w14:schemeClr w14:val="tx1"/>
                  </w14:solidFill>
                </w14:textFill>
              </w:rPr>
            </w:pPr>
          </w:p>
        </w:tc>
      </w:tr>
    </w:tbl>
    <w:p>
      <w:pPr>
        <w:tabs>
          <w:tab w:val="left" w:pos="720"/>
        </w:tabs>
        <w:snapToGrid w:val="0"/>
        <w:spacing w:line="360" w:lineRule="auto"/>
        <w:rPr>
          <w:color w:val="000000" w:themeColor="text1"/>
          <w:sz w:val="24"/>
          <w:szCs w:val="24"/>
          <w:highlight w:val="none"/>
          <w14:textFill>
            <w14:solidFill>
              <w14:schemeClr w14:val="tx1"/>
            </w14:solidFill>
          </w14:textFill>
        </w:rPr>
      </w:pPr>
    </w:p>
    <w:p>
      <w:pPr>
        <w:topLinePunct/>
        <w:adjustRightInd w:val="0"/>
        <w:snapToGrid w:val="0"/>
        <w:jc w:val="left"/>
        <w:outlineLvl w:val="2"/>
        <w:rPr>
          <w:rFonts w:ascii="宋体" w:hAnsi="宋体"/>
          <w:snapToGrid w:val="0"/>
          <w:color w:val="000000" w:themeColor="text1"/>
          <w:spacing w:val="4"/>
          <w:kern w:val="0"/>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br w:type="page"/>
      </w:r>
      <w:bookmarkStart w:id="44" w:name="_Toc4489937"/>
      <w:bookmarkStart w:id="45" w:name="_Toc27343"/>
      <w:bookmarkStart w:id="46" w:name="_Toc504722505"/>
      <w:bookmarkStart w:id="47" w:name="_Toc14697649"/>
      <w:bookmarkStart w:id="48" w:name="_Toc22278"/>
      <w:r>
        <w:rPr>
          <w:rFonts w:hint="eastAsia" w:ascii="宋体" w:hAnsi="宋体"/>
          <w:snapToGrid w:val="0"/>
          <w:color w:val="000000" w:themeColor="text1"/>
          <w:spacing w:val="4"/>
          <w:kern w:val="0"/>
          <w:sz w:val="24"/>
          <w:szCs w:val="24"/>
          <w:highlight w:val="none"/>
          <w14:textFill>
            <w14:solidFill>
              <w14:schemeClr w14:val="tx1"/>
            </w14:solidFill>
          </w14:textFill>
        </w:rPr>
        <w:t>格式三：投标函</w:t>
      </w:r>
      <w:bookmarkEnd w:id="44"/>
      <w:bookmarkEnd w:id="45"/>
      <w:bookmarkEnd w:id="46"/>
      <w:bookmarkEnd w:id="47"/>
      <w:bookmarkEnd w:id="48"/>
    </w:p>
    <w:p>
      <w:pPr>
        <w:topLinePunct/>
        <w:adjustRightInd w:val="0"/>
        <w:snapToGrid w:val="0"/>
        <w:spacing w:before="0" w:beforeLines="0" w:after="156" w:line="360" w:lineRule="auto"/>
        <w:jc w:val="center"/>
        <w:rPr>
          <w:rFonts w:ascii="宋体" w:hAnsi="宋体"/>
          <w:b/>
          <w:snapToGrid w:val="0"/>
          <w:color w:val="000000" w:themeColor="text1"/>
          <w:spacing w:val="4"/>
          <w:kern w:val="0"/>
          <w:sz w:val="36"/>
          <w:szCs w:val="36"/>
          <w:highlight w:val="none"/>
          <w14:textFill>
            <w14:solidFill>
              <w14:schemeClr w14:val="tx1"/>
            </w14:solidFill>
          </w14:textFill>
        </w:rPr>
      </w:pPr>
      <w:r>
        <w:rPr>
          <w:rFonts w:hint="eastAsia" w:ascii="宋体" w:hAnsi="宋体"/>
          <w:b/>
          <w:snapToGrid w:val="0"/>
          <w:color w:val="000000" w:themeColor="text1"/>
          <w:spacing w:val="4"/>
          <w:kern w:val="0"/>
          <w:sz w:val="36"/>
          <w:szCs w:val="36"/>
          <w:highlight w:val="none"/>
          <w14:textFill>
            <w14:solidFill>
              <w14:schemeClr w14:val="tx1"/>
            </w14:solidFill>
          </w14:textFill>
        </w:rPr>
        <w:t>投 标 函</w:t>
      </w:r>
    </w:p>
    <w:p>
      <w:pPr>
        <w:topLinePunct/>
        <w:adjustRightInd w:val="0"/>
        <w:snapToGrid w:val="0"/>
        <w:spacing w:beforeLines="0"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致：</w:t>
      </w:r>
      <w:r>
        <w:rPr>
          <w:rFonts w:hint="eastAsia" w:ascii="宋体" w:hAnsi="宋体"/>
          <w:snapToGrid w:val="0"/>
          <w:color w:val="000000" w:themeColor="text1"/>
          <w:spacing w:val="4"/>
          <w:kern w:val="0"/>
          <w:sz w:val="24"/>
          <w:szCs w:val="24"/>
          <w:highlight w:val="none"/>
          <w:u w:val="single"/>
          <w14:textFill>
            <w14:solidFill>
              <w14:schemeClr w14:val="tx1"/>
            </w14:solidFill>
          </w14:textFill>
        </w:rPr>
        <w:t xml:space="preserve"> （招标人名称） </w:t>
      </w:r>
    </w:p>
    <w:p>
      <w:pPr>
        <w:topLinePunct/>
        <w:adjustRightInd w:val="0"/>
        <w:snapToGrid w:val="0"/>
        <w:spacing w:beforeLines="0"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1.根据招标人</w:t>
      </w:r>
      <w:r>
        <w:rPr>
          <w:rFonts w:hint="eastAsia" w:ascii="宋体" w:hAnsi="宋体"/>
          <w:snapToGrid w:val="0"/>
          <w:color w:val="000000" w:themeColor="text1"/>
          <w:spacing w:val="4"/>
          <w:kern w:val="0"/>
          <w:sz w:val="24"/>
          <w:szCs w:val="24"/>
          <w:highlight w:val="none"/>
          <w:u w:val="single"/>
          <w14:textFill>
            <w14:solidFill>
              <w14:schemeClr w14:val="tx1"/>
            </w14:solidFill>
          </w14:textFill>
        </w:rPr>
        <w:t xml:space="preserve"> （工程项目名称） </w:t>
      </w:r>
      <w:r>
        <w:rPr>
          <w:rFonts w:hint="eastAsia" w:ascii="宋体" w:hAnsi="宋体"/>
          <w:snapToGrid w:val="0"/>
          <w:color w:val="000000" w:themeColor="text1"/>
          <w:spacing w:val="4"/>
          <w:kern w:val="0"/>
          <w:sz w:val="24"/>
          <w:szCs w:val="24"/>
          <w:highlight w:val="none"/>
          <w14:textFill>
            <w14:solidFill>
              <w14:schemeClr w14:val="tx1"/>
            </w14:solidFill>
          </w14:textFill>
        </w:rPr>
        <w:t>招标文件，遵照《中华人民共和国招标投标法》等有关规定，经踏勘项目现场和研究上述招标文件、相关招标资料及其他有关文件后，我方愿按我方投标总价并遵照上述文件要求承包上述工程的施工、竣工，并承担任何质量缺陷保修责任。</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2.我方已详细审核全部招标文件，包括修改文件（如有时）及有关附件。</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3.如果我方中标，我方保证按照合同文件中规定的开工日期开始施工，并按规定的预计竣工日期完成和交付全部工程。</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4.如果我方中标，我方承诺在充分考虑场地环境变化及政策性调整等风险因素的前提下，继续补充完善施工组织设计，直至招标人满意为止并加以实施，由此产生的费用已包含在投标报价中。</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u w:val="single"/>
          <w14:textFill>
            <w14:solidFill>
              <w14:schemeClr w14:val="tx1"/>
            </w14:solidFill>
          </w14:textFill>
        </w:rPr>
      </w:pPr>
      <w:r>
        <w:rPr>
          <w:rFonts w:hint="eastAsia" w:ascii="宋体" w:hAnsi="宋体"/>
          <w:snapToGrid w:val="0"/>
          <w:color w:val="000000" w:themeColor="text1"/>
          <w:spacing w:val="4"/>
          <w:kern w:val="0"/>
          <w:sz w:val="24"/>
          <w:szCs w:val="24"/>
          <w:highlight w:val="none"/>
          <w:u w:val="single"/>
          <w14:textFill>
            <w14:solidFill>
              <w14:schemeClr w14:val="tx1"/>
            </w14:solidFill>
          </w14:textFill>
        </w:rPr>
        <w:t>5.如果我方中标，我方承诺按《建设工程质量管理条例》（中华人民共和国国务院令第279号）、《建设工程安全生产管理条例》（中华人民共和国国务院令第393号）的规定对承包工程的全部建设工程质量和施工现场的安全生产负责。</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6.如果我方中标，我方将按照招标文件的规定，按时提交履约担保，以保障本项目优质、优价、按期、顺利完成。</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7.我方同意所提交的投标文件在招标文件投标须知中第13条规定的投标有效期内有效，在此期限届满之前，本投标书始终将对我方具有约束力，并随时接受中标。</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8.在合同协议书正式签署生效之前，本投标书连同你单位的中标通知书将构成我们双方之间共同遵守的文件，对双方具有约束力。</w:t>
      </w:r>
    </w:p>
    <w:p>
      <w:pPr>
        <w:keepNext w:val="0"/>
        <w:keepLines w:val="0"/>
        <w:widowControl/>
        <w:suppressLineNumbers w:val="0"/>
        <w:topLinePunct/>
        <w:adjustRightInd w:val="0"/>
        <w:snapToGrid w:val="0"/>
        <w:spacing w:before="0" w:beforeAutospacing="0" w:after="0" w:afterLines="0" w:afterAutospacing="0" w:line="420" w:lineRule="exact"/>
        <w:ind w:left="0" w:right="0" w:firstLine="496" w:firstLineChars="200"/>
        <w:jc w:val="left"/>
        <w:rPr>
          <w:rFonts w:hint="default" w:ascii="Times New Roman" w:hAnsi="Times New Roman" w:cs="Times New Roman"/>
          <w:color w:val="000000" w:themeColor="text1"/>
          <w:spacing w:val="4"/>
          <w:kern w:val="0"/>
          <w:sz w:val="24"/>
          <w:szCs w:val="24"/>
          <w:highlight w:val="none"/>
          <w:u w:val="single"/>
          <w14:textFill>
            <w14:solidFill>
              <w14:schemeClr w14:val="tx1"/>
            </w14:solidFill>
          </w14:textFill>
        </w:rPr>
      </w:pPr>
      <w:r>
        <w:rPr>
          <w:rFonts w:hint="eastAsia" w:ascii="宋体" w:hAnsi="宋体" w:eastAsia="宋体" w:cs="Times New Roman"/>
          <w:snapToGrid w:val="0"/>
          <w:color w:val="000000" w:themeColor="text1"/>
          <w:spacing w:val="4"/>
          <w:kern w:val="0"/>
          <w:sz w:val="24"/>
          <w:szCs w:val="24"/>
          <w:highlight w:val="none"/>
          <w:u w:val="single"/>
          <w:lang w:val="en-US" w:eastAsia="zh-CN" w:bidi="ar"/>
          <w14:textFill>
            <w14:solidFill>
              <w14:schemeClr w14:val="tx1"/>
            </w14:solidFill>
          </w14:textFill>
        </w:rPr>
        <w:t>9.</w:t>
      </w:r>
      <w:r>
        <w:rPr>
          <w:rFonts w:hint="eastAsia" w:ascii="宋体" w:hAnsi="宋体" w:eastAsia="宋体" w:cs="宋体"/>
          <w:color w:val="000000" w:themeColor="text1"/>
          <w:spacing w:val="4"/>
          <w:kern w:val="0"/>
          <w:sz w:val="24"/>
          <w:szCs w:val="24"/>
          <w:highlight w:val="none"/>
          <w:u w:val="single"/>
          <w:lang w:val="en-US" w:eastAsia="zh-CN" w:bidi="ar"/>
          <w14:textFill>
            <w14:solidFill>
              <w14:schemeClr w14:val="tx1"/>
            </w14:solidFill>
          </w14:textFill>
        </w:rPr>
        <w:t>随同本投标文件，如果我方在投标文件有效期内撤回投标文件；或在接到中标通知书后</w:t>
      </w:r>
      <w:r>
        <w:rPr>
          <w:rFonts w:hint="default" w:ascii="Times New Roman" w:hAnsi="Times New Roman" w:eastAsia="宋体" w:cs="Times New Roman"/>
          <w:color w:val="000000" w:themeColor="text1"/>
          <w:spacing w:val="4"/>
          <w:kern w:val="0"/>
          <w:sz w:val="24"/>
          <w:szCs w:val="24"/>
          <w:highlight w:val="none"/>
          <w:u w:val="single"/>
          <w:lang w:val="en-US" w:eastAsia="zh-CN" w:bidi="ar"/>
          <w14:textFill>
            <w14:solidFill>
              <w14:schemeClr w14:val="tx1"/>
            </w14:solidFill>
          </w14:textFill>
        </w:rPr>
        <w:t>28</w:t>
      </w:r>
      <w:r>
        <w:rPr>
          <w:rFonts w:hint="eastAsia" w:ascii="宋体" w:hAnsi="宋体" w:eastAsia="宋体" w:cs="宋体"/>
          <w:color w:val="000000" w:themeColor="text1"/>
          <w:spacing w:val="4"/>
          <w:kern w:val="0"/>
          <w:sz w:val="24"/>
          <w:szCs w:val="24"/>
          <w:highlight w:val="none"/>
          <w:u w:val="single"/>
          <w:lang w:val="en-US" w:eastAsia="zh-CN" w:bidi="ar"/>
          <w14:textFill>
            <w14:solidFill>
              <w14:schemeClr w14:val="tx1"/>
            </w14:solidFill>
          </w14:textFill>
        </w:rPr>
        <w:t>天内未能或拒绝签订合同协议书；或未能按招标文件要求提交履约担保，你单位有权另选中标单位。</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default" w:ascii="宋体" w:hAnsi="宋体"/>
          <w:snapToGrid w:val="0"/>
          <w:color w:val="000000" w:themeColor="text1"/>
          <w:spacing w:val="4"/>
          <w:kern w:val="0"/>
          <w:sz w:val="24"/>
          <w:szCs w:val="24"/>
          <w:highlight w:val="none"/>
          <w14:textFill>
            <w14:solidFill>
              <w14:schemeClr w14:val="tx1"/>
            </w14:solidFill>
          </w14:textFill>
        </w:rPr>
        <w:t>10</w:t>
      </w:r>
      <w:r>
        <w:rPr>
          <w:rFonts w:hint="eastAsia" w:ascii="宋体" w:hAnsi="宋体"/>
          <w:snapToGrid w:val="0"/>
          <w:color w:val="000000" w:themeColor="text1"/>
          <w:spacing w:val="4"/>
          <w:kern w:val="0"/>
          <w:sz w:val="24"/>
          <w:szCs w:val="24"/>
          <w:highlight w:val="none"/>
          <w14:textFill>
            <w14:solidFill>
              <w14:schemeClr w14:val="tx1"/>
            </w14:solidFill>
          </w14:textFill>
        </w:rPr>
        <w:t>.</w:t>
      </w:r>
      <w:bookmarkStart w:id="49" w:name="_Toc484958693"/>
      <w:r>
        <w:rPr>
          <w:rFonts w:hint="eastAsia" w:ascii="宋体" w:hAnsi="宋体"/>
          <w:snapToGrid w:val="0"/>
          <w:color w:val="000000" w:themeColor="text1"/>
          <w:spacing w:val="4"/>
          <w:kern w:val="0"/>
          <w:sz w:val="24"/>
          <w:szCs w:val="24"/>
          <w:highlight w:val="none"/>
          <w14:textFill>
            <w14:solidFill>
              <w14:schemeClr w14:val="tx1"/>
            </w14:solidFill>
          </w14:textFill>
        </w:rPr>
        <w:t>我方</w:t>
      </w:r>
      <w:bookmarkEnd w:id="49"/>
      <w:r>
        <w:rPr>
          <w:rFonts w:hint="eastAsia" w:ascii="宋体" w:hAnsi="宋体"/>
          <w:snapToGrid w:val="0"/>
          <w:color w:val="000000" w:themeColor="text1"/>
          <w:spacing w:val="4"/>
          <w:kern w:val="0"/>
          <w:sz w:val="24"/>
          <w:szCs w:val="24"/>
          <w:highlight w:val="none"/>
          <w14:textFill>
            <w14:solidFill>
              <w14:schemeClr w14:val="tx1"/>
            </w14:solidFill>
          </w14:textFill>
        </w:rPr>
        <w:t>理解</w:t>
      </w:r>
      <w:bookmarkStart w:id="50" w:name="_Toc484958694"/>
      <w:r>
        <w:rPr>
          <w:rFonts w:hint="eastAsia" w:ascii="宋体" w:hAnsi="宋体"/>
          <w:snapToGrid w:val="0"/>
          <w:color w:val="000000" w:themeColor="text1"/>
          <w:spacing w:val="4"/>
          <w:kern w:val="0"/>
          <w:sz w:val="24"/>
          <w:szCs w:val="24"/>
          <w:highlight w:val="none"/>
          <w14:textFill>
            <w14:solidFill>
              <w14:schemeClr w14:val="tx1"/>
            </w14:solidFill>
          </w14:textFill>
        </w:rPr>
        <w:t>，你单位不一</w:t>
      </w:r>
      <w:bookmarkEnd w:id="50"/>
      <w:r>
        <w:rPr>
          <w:rFonts w:hint="eastAsia" w:ascii="宋体" w:hAnsi="宋体"/>
          <w:snapToGrid w:val="0"/>
          <w:color w:val="000000" w:themeColor="text1"/>
          <w:spacing w:val="4"/>
          <w:kern w:val="0"/>
          <w:sz w:val="24"/>
          <w:szCs w:val="24"/>
          <w:highlight w:val="none"/>
          <w14:textFill>
            <w14:solidFill>
              <w14:schemeClr w14:val="tx1"/>
            </w14:solidFill>
          </w14:textFill>
        </w:rPr>
        <w:t>定</w:t>
      </w:r>
      <w:bookmarkStart w:id="51" w:name="_Toc484958695"/>
      <w:r>
        <w:rPr>
          <w:rFonts w:hint="eastAsia" w:ascii="宋体" w:hAnsi="宋体"/>
          <w:snapToGrid w:val="0"/>
          <w:color w:val="000000" w:themeColor="text1"/>
          <w:spacing w:val="4"/>
          <w:kern w:val="0"/>
          <w:sz w:val="24"/>
          <w:szCs w:val="24"/>
          <w:highlight w:val="none"/>
          <w14:textFill>
            <w14:solidFill>
              <w14:schemeClr w14:val="tx1"/>
            </w14:solidFill>
          </w14:textFill>
        </w:rPr>
        <w:t>接受最低</w:t>
      </w:r>
      <w:bookmarkEnd w:id="51"/>
      <w:r>
        <w:rPr>
          <w:rFonts w:hint="eastAsia" w:ascii="宋体" w:hAnsi="宋体"/>
          <w:snapToGrid w:val="0"/>
          <w:color w:val="000000" w:themeColor="text1"/>
          <w:spacing w:val="4"/>
          <w:kern w:val="0"/>
          <w:sz w:val="24"/>
          <w:szCs w:val="24"/>
          <w:highlight w:val="none"/>
          <w14:textFill>
            <w14:solidFill>
              <w14:schemeClr w14:val="tx1"/>
            </w14:solidFill>
          </w14:textFill>
        </w:rPr>
        <w:t>标</w:t>
      </w:r>
      <w:bookmarkStart w:id="52" w:name="_Toc484958696"/>
      <w:r>
        <w:rPr>
          <w:rFonts w:hint="eastAsia" w:ascii="宋体" w:hAnsi="宋体"/>
          <w:snapToGrid w:val="0"/>
          <w:color w:val="000000" w:themeColor="text1"/>
          <w:spacing w:val="4"/>
          <w:kern w:val="0"/>
          <w:sz w:val="24"/>
          <w:szCs w:val="24"/>
          <w:highlight w:val="none"/>
          <w14:textFill>
            <w14:solidFill>
              <w14:schemeClr w14:val="tx1"/>
            </w14:solidFill>
          </w14:textFill>
        </w:rPr>
        <w:t>价的</w:t>
      </w:r>
      <w:bookmarkEnd w:id="52"/>
      <w:r>
        <w:rPr>
          <w:rFonts w:hint="eastAsia" w:ascii="宋体" w:hAnsi="宋体"/>
          <w:snapToGrid w:val="0"/>
          <w:color w:val="000000" w:themeColor="text1"/>
          <w:spacing w:val="4"/>
          <w:kern w:val="0"/>
          <w:sz w:val="24"/>
          <w:szCs w:val="24"/>
          <w:highlight w:val="none"/>
          <w14:textFill>
            <w14:solidFill>
              <w14:schemeClr w14:val="tx1"/>
            </w14:solidFill>
          </w14:textFill>
        </w:rPr>
        <w:t>投</w:t>
      </w:r>
      <w:bookmarkStart w:id="53" w:name="_Toc484958697"/>
      <w:r>
        <w:rPr>
          <w:rFonts w:hint="eastAsia" w:ascii="宋体" w:hAnsi="宋体"/>
          <w:snapToGrid w:val="0"/>
          <w:color w:val="000000" w:themeColor="text1"/>
          <w:spacing w:val="4"/>
          <w:kern w:val="0"/>
          <w:sz w:val="24"/>
          <w:szCs w:val="24"/>
          <w:highlight w:val="none"/>
          <w14:textFill>
            <w14:solidFill>
              <w14:schemeClr w14:val="tx1"/>
            </w14:solidFill>
          </w14:textFill>
        </w:rPr>
        <w:t>标或你单位接到的其它任何投标。同</w:t>
      </w:r>
      <w:bookmarkEnd w:id="53"/>
      <w:r>
        <w:rPr>
          <w:rFonts w:hint="eastAsia" w:ascii="宋体" w:hAnsi="宋体"/>
          <w:snapToGrid w:val="0"/>
          <w:color w:val="000000" w:themeColor="text1"/>
          <w:spacing w:val="4"/>
          <w:kern w:val="0"/>
          <w:sz w:val="24"/>
          <w:szCs w:val="24"/>
          <w:highlight w:val="none"/>
          <w14:textFill>
            <w14:solidFill>
              <w14:schemeClr w14:val="tx1"/>
            </w14:solidFill>
          </w14:textFill>
        </w:rPr>
        <w:t>时</w:t>
      </w:r>
      <w:bookmarkStart w:id="54" w:name="_Toc484958698"/>
      <w:r>
        <w:rPr>
          <w:rFonts w:hint="eastAsia" w:ascii="宋体" w:hAnsi="宋体"/>
          <w:snapToGrid w:val="0"/>
          <w:color w:val="000000" w:themeColor="text1"/>
          <w:spacing w:val="4"/>
          <w:kern w:val="0"/>
          <w:sz w:val="24"/>
          <w:szCs w:val="24"/>
          <w:highlight w:val="none"/>
          <w14:textFill>
            <w14:solidFill>
              <w14:schemeClr w14:val="tx1"/>
            </w14:solidFill>
          </w14:textFill>
        </w:rPr>
        <w:t>也理解，你单位不负担我方的任何投</w:t>
      </w:r>
      <w:bookmarkEnd w:id="54"/>
      <w:r>
        <w:rPr>
          <w:rFonts w:hint="eastAsia" w:ascii="宋体" w:hAnsi="宋体"/>
          <w:snapToGrid w:val="0"/>
          <w:color w:val="000000" w:themeColor="text1"/>
          <w:spacing w:val="4"/>
          <w:kern w:val="0"/>
          <w:sz w:val="24"/>
          <w:szCs w:val="24"/>
          <w:highlight w:val="none"/>
          <w14:textFill>
            <w14:solidFill>
              <w14:schemeClr w14:val="tx1"/>
            </w14:solidFill>
          </w14:textFill>
        </w:rPr>
        <w:t>标</w:t>
      </w:r>
      <w:bookmarkStart w:id="55" w:name="_Toc484958699"/>
      <w:r>
        <w:rPr>
          <w:rFonts w:hint="eastAsia" w:ascii="宋体" w:hAnsi="宋体"/>
          <w:snapToGrid w:val="0"/>
          <w:color w:val="000000" w:themeColor="text1"/>
          <w:spacing w:val="4"/>
          <w:kern w:val="0"/>
          <w:sz w:val="24"/>
          <w:szCs w:val="24"/>
          <w:highlight w:val="none"/>
          <w14:textFill>
            <w14:solidFill>
              <w14:schemeClr w14:val="tx1"/>
            </w14:solidFill>
          </w14:textFill>
        </w:rPr>
        <w:t>费用</w:t>
      </w:r>
      <w:bookmarkEnd w:id="55"/>
      <w:bookmarkStart w:id="56" w:name="_Toc484958700"/>
      <w:r>
        <w:rPr>
          <w:rFonts w:hint="eastAsia" w:ascii="宋体" w:hAnsi="宋体"/>
          <w:snapToGrid w:val="0"/>
          <w:color w:val="000000" w:themeColor="text1"/>
          <w:spacing w:val="4"/>
          <w:kern w:val="0"/>
          <w:sz w:val="24"/>
          <w:szCs w:val="24"/>
          <w:highlight w:val="none"/>
          <w14:textFill>
            <w14:solidFill>
              <w14:schemeClr w14:val="tx1"/>
            </w14:solidFill>
          </w14:textFill>
        </w:rPr>
        <w:t>。</w:t>
      </w: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afterLines="0" w:line="420" w:lineRule="exact"/>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afterLines="0" w:line="420" w:lineRule="exact"/>
        <w:ind w:firstLine="691" w:firstLineChars="279"/>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 标 人：（盖章</w:t>
      </w:r>
      <w:bookmarkEnd w:id="56"/>
      <w:r>
        <w:rPr>
          <w:rFonts w:hint="eastAsia" w:ascii="宋体" w:hAnsi="宋体"/>
          <w:snapToGrid w:val="0"/>
          <w:color w:val="000000" w:themeColor="text1"/>
          <w:spacing w:val="4"/>
          <w:kern w:val="0"/>
          <w:sz w:val="24"/>
          <w:szCs w:val="24"/>
          <w:highlight w:val="none"/>
          <w14:textFill>
            <w14:solidFill>
              <w14:schemeClr w14:val="tx1"/>
            </w14:solidFill>
          </w14:textFill>
        </w:rPr>
        <w:t>）</w:t>
      </w:r>
    </w:p>
    <w:p>
      <w:pPr>
        <w:topLinePunct/>
        <w:adjustRightInd w:val="0"/>
        <w:snapToGrid w:val="0"/>
        <w:spacing w:afterLines="0" w:line="420" w:lineRule="exact"/>
        <w:ind w:firstLine="691" w:firstLineChars="279"/>
        <w:rPr>
          <w:rFonts w:ascii="宋体" w:hAnsi="宋体"/>
          <w:snapToGrid w:val="0"/>
          <w:color w:val="000000" w:themeColor="text1"/>
          <w:spacing w:val="4"/>
          <w:kern w:val="0"/>
          <w:sz w:val="24"/>
          <w:szCs w:val="24"/>
          <w:highlight w:val="none"/>
          <w14:textFill>
            <w14:solidFill>
              <w14:schemeClr w14:val="tx1"/>
            </w14:solidFill>
          </w14:textFill>
        </w:rPr>
      </w:pPr>
      <w:bookmarkStart w:id="57" w:name="_Toc484958701"/>
      <w:r>
        <w:rPr>
          <w:rFonts w:hint="eastAsia" w:ascii="宋体" w:hAnsi="宋体"/>
          <w:snapToGrid w:val="0"/>
          <w:color w:val="000000" w:themeColor="text1"/>
          <w:spacing w:val="4"/>
          <w:kern w:val="0"/>
          <w:sz w:val="24"/>
          <w:szCs w:val="24"/>
          <w:highlight w:val="none"/>
          <w14:textFill>
            <w14:solidFill>
              <w14:schemeClr w14:val="tx1"/>
            </w14:solidFill>
          </w14:textFill>
        </w:rPr>
        <w:t>法定代表人或授权代理人（签字或盖章）</w:t>
      </w:r>
      <w:bookmarkEnd w:id="57"/>
      <w:r>
        <w:rPr>
          <w:rFonts w:hint="eastAsia" w:ascii="宋体" w:hAnsi="宋体"/>
          <w:snapToGrid w:val="0"/>
          <w:color w:val="000000" w:themeColor="text1"/>
          <w:spacing w:val="4"/>
          <w:kern w:val="0"/>
          <w:sz w:val="24"/>
          <w:szCs w:val="24"/>
          <w:highlight w:val="none"/>
          <w14:textFill>
            <w14:solidFill>
              <w14:schemeClr w14:val="tx1"/>
            </w14:solidFill>
          </w14:textFill>
        </w:rPr>
        <w:t>：</w:t>
      </w:r>
    </w:p>
    <w:p>
      <w:pPr>
        <w:topLinePunct/>
        <w:adjustRightInd w:val="0"/>
        <w:snapToGrid w:val="0"/>
        <w:spacing w:line="360" w:lineRule="auto"/>
        <w:ind w:firstLine="691" w:firstLineChars="279"/>
        <w:rPr>
          <w:rFonts w:hint="eastAsia"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日    期：   年    月    日 </w:t>
      </w:r>
    </w:p>
    <w:p>
      <w:pPr>
        <w:topLinePunct/>
        <w:adjustRightInd w:val="0"/>
        <w:snapToGrid w:val="0"/>
        <w:spacing w:line="360" w:lineRule="auto"/>
        <w:ind w:firstLine="691" w:firstLineChars="279"/>
        <w:rPr>
          <w:rFonts w:hint="eastAsia"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691" w:firstLineChars="279"/>
        <w:rPr>
          <w:rFonts w:hint="eastAsia"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jc w:val="left"/>
        <w:outlineLvl w:val="2"/>
        <w:rPr>
          <w:rFonts w:ascii="宋体" w:hAnsi="宋体"/>
          <w:snapToGrid w:val="0"/>
          <w:color w:val="000000" w:themeColor="text1"/>
          <w:spacing w:val="4"/>
          <w:kern w:val="0"/>
          <w:sz w:val="24"/>
          <w:szCs w:val="24"/>
          <w:highlight w:val="none"/>
          <w14:textFill>
            <w14:solidFill>
              <w14:schemeClr w14:val="tx1"/>
            </w14:solidFill>
          </w14:textFill>
        </w:rPr>
      </w:pPr>
      <w:bookmarkStart w:id="58" w:name="_Toc20655"/>
      <w:bookmarkStart w:id="59" w:name="_Toc4489938"/>
      <w:bookmarkStart w:id="60" w:name="_Toc504722506"/>
      <w:bookmarkStart w:id="61" w:name="_Toc26989"/>
      <w:bookmarkStart w:id="62" w:name="_Toc14697650"/>
      <w:r>
        <w:rPr>
          <w:rFonts w:hint="eastAsia" w:ascii="宋体" w:hAnsi="宋体"/>
          <w:snapToGrid w:val="0"/>
          <w:color w:val="000000" w:themeColor="text1"/>
          <w:spacing w:val="4"/>
          <w:kern w:val="0"/>
          <w:sz w:val="24"/>
          <w:szCs w:val="24"/>
          <w:highlight w:val="none"/>
          <w14:textFill>
            <w14:solidFill>
              <w14:schemeClr w14:val="tx1"/>
            </w14:solidFill>
          </w14:textFill>
        </w:rPr>
        <w:t>格式四：企业相关资料</w:t>
      </w:r>
      <w:bookmarkEnd w:id="58"/>
      <w:bookmarkEnd w:id="59"/>
      <w:bookmarkEnd w:id="60"/>
      <w:bookmarkEnd w:id="61"/>
      <w:bookmarkEnd w:id="62"/>
    </w:p>
    <w:p>
      <w:pPr>
        <w:topLinePunct/>
        <w:adjustRightInd w:val="0"/>
        <w:snapToGrid w:val="0"/>
        <w:spacing w:before="156" w:beforeLines="50" w:after="156" w:afterLines="50"/>
        <w:jc w:val="left"/>
        <w:rPr>
          <w:rFonts w:ascii="宋体" w:hAnsi="宋体"/>
          <w:b/>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before="156" w:beforeLines="50" w:after="156" w:afterLines="50"/>
        <w:jc w:val="center"/>
        <w:rPr>
          <w:rFonts w:ascii="宋体" w:hAnsi="宋体"/>
          <w:b/>
          <w:snapToGrid w:val="0"/>
          <w:color w:val="000000" w:themeColor="text1"/>
          <w:spacing w:val="4"/>
          <w:kern w:val="0"/>
          <w:sz w:val="36"/>
          <w:szCs w:val="24"/>
          <w:highlight w:val="none"/>
          <w14:textFill>
            <w14:solidFill>
              <w14:schemeClr w14:val="tx1"/>
            </w14:solidFill>
          </w14:textFill>
        </w:rPr>
      </w:pPr>
      <w:bookmarkStart w:id="63" w:name="_Toc14697651"/>
      <w:bookmarkStart w:id="64" w:name="_Toc5083"/>
      <w:bookmarkStart w:id="65" w:name="_Toc4339790"/>
      <w:bookmarkStart w:id="66" w:name="_Toc4489939"/>
      <w:bookmarkStart w:id="67" w:name="_Toc4486071"/>
      <w:bookmarkStart w:id="68" w:name="_Toc4340128"/>
      <w:bookmarkStart w:id="69" w:name="_Toc504722507"/>
      <w:r>
        <w:rPr>
          <w:rFonts w:hint="eastAsia" w:ascii="宋体" w:hAnsi="宋体"/>
          <w:b/>
          <w:snapToGrid w:val="0"/>
          <w:color w:val="000000" w:themeColor="text1"/>
          <w:spacing w:val="4"/>
          <w:kern w:val="0"/>
          <w:sz w:val="36"/>
          <w:szCs w:val="24"/>
          <w:highlight w:val="none"/>
          <w14:textFill>
            <w14:solidFill>
              <w14:schemeClr w14:val="tx1"/>
            </w14:solidFill>
          </w14:textFill>
        </w:rPr>
        <w:t>企业相关资料</w:t>
      </w:r>
      <w:bookmarkEnd w:id="63"/>
      <w:bookmarkEnd w:id="64"/>
      <w:bookmarkEnd w:id="65"/>
      <w:bookmarkEnd w:id="66"/>
      <w:bookmarkEnd w:id="67"/>
      <w:bookmarkEnd w:id="68"/>
      <w:bookmarkEnd w:id="69"/>
    </w:p>
    <w:p>
      <w:pPr>
        <w:topLinePunct/>
        <w:adjustRightInd w:val="0"/>
        <w:snapToGrid w:val="0"/>
        <w:spacing w:before="156" w:beforeLines="50" w:after="156" w:afterLines="50"/>
        <w:jc w:val="center"/>
        <w:rPr>
          <w:rFonts w:ascii="宋体" w:hAnsi="宋体"/>
          <w:b/>
          <w:snapToGrid w:val="0"/>
          <w:color w:val="000000" w:themeColor="text1"/>
          <w:spacing w:val="4"/>
          <w:kern w:val="0"/>
          <w:sz w:val="24"/>
          <w:szCs w:val="24"/>
          <w:highlight w:val="none"/>
          <w14:textFill>
            <w14:solidFill>
              <w14:schemeClr w14:val="tx1"/>
            </w14:solidFill>
          </w14:textFill>
        </w:rPr>
      </w:pPr>
      <w:bookmarkStart w:id="70" w:name="_Toc504722508"/>
      <w:bookmarkStart w:id="71" w:name="_Toc4489940"/>
      <w:bookmarkStart w:id="72" w:name="_Toc14697652"/>
      <w:bookmarkStart w:id="73" w:name="_Toc913"/>
      <w:bookmarkStart w:id="74" w:name="_Toc4339791"/>
      <w:bookmarkStart w:id="75" w:name="_Toc4486072"/>
      <w:bookmarkStart w:id="76" w:name="_Toc4340129"/>
      <w:r>
        <w:rPr>
          <w:rFonts w:hint="eastAsia" w:ascii="宋体" w:hAnsi="宋体"/>
          <w:b/>
          <w:snapToGrid w:val="0"/>
          <w:color w:val="000000" w:themeColor="text1"/>
          <w:spacing w:val="4"/>
          <w:kern w:val="0"/>
          <w:sz w:val="24"/>
          <w:szCs w:val="24"/>
          <w:highlight w:val="none"/>
          <w14:textFill>
            <w14:solidFill>
              <w14:schemeClr w14:val="tx1"/>
            </w14:solidFill>
          </w14:textFill>
        </w:rPr>
        <w:t>(如有)</w:t>
      </w:r>
      <w:bookmarkEnd w:id="70"/>
      <w:bookmarkEnd w:id="71"/>
      <w:bookmarkEnd w:id="72"/>
      <w:bookmarkEnd w:id="73"/>
      <w:bookmarkEnd w:id="74"/>
      <w:bookmarkEnd w:id="75"/>
      <w:bookmarkEnd w:id="76"/>
    </w:p>
    <w:p>
      <w:pPr>
        <w:topLinePunct/>
        <w:adjustRightInd w:val="0"/>
        <w:snapToGrid w:val="0"/>
        <w:spacing w:before="156" w:beforeLines="50" w:after="156" w:afterLines="50"/>
        <w:jc w:val="left"/>
        <w:rPr>
          <w:rFonts w:ascii="宋体" w:hAnsi="宋体"/>
          <w:snapToGrid w:val="0"/>
          <w:color w:val="000000" w:themeColor="text1"/>
          <w:spacing w:val="4"/>
          <w:kern w:val="0"/>
          <w:sz w:val="24"/>
          <w:szCs w:val="24"/>
          <w:highlight w:val="none"/>
          <w14:textFill>
            <w14:solidFill>
              <w14:schemeClr w14:val="tx1"/>
            </w14:solidFill>
          </w14:textFill>
        </w:rPr>
      </w:pPr>
      <w:bookmarkStart w:id="77" w:name="_Toc4489941"/>
      <w:bookmarkStart w:id="78" w:name="_Toc4486073"/>
      <w:bookmarkStart w:id="79" w:name="_Toc27564"/>
      <w:bookmarkStart w:id="80" w:name="_Toc4340130"/>
      <w:bookmarkStart w:id="81" w:name="_Toc4339792"/>
      <w:bookmarkStart w:id="82" w:name="_Toc14697653"/>
      <w:bookmarkStart w:id="83" w:name="_Toc504722509"/>
      <w:r>
        <w:rPr>
          <w:rFonts w:hint="eastAsia" w:ascii="宋体" w:hAnsi="宋体"/>
          <w:snapToGrid w:val="0"/>
          <w:color w:val="000000" w:themeColor="text1"/>
          <w:spacing w:val="4"/>
          <w:kern w:val="0"/>
          <w:sz w:val="24"/>
          <w:szCs w:val="24"/>
          <w:highlight w:val="none"/>
          <w14:textFill>
            <w14:solidFill>
              <w14:schemeClr w14:val="tx1"/>
            </w14:solidFill>
          </w14:textFill>
        </w:rPr>
        <w:t>注：</w:t>
      </w:r>
      <w:bookmarkEnd w:id="77"/>
      <w:bookmarkEnd w:id="78"/>
      <w:bookmarkEnd w:id="79"/>
      <w:bookmarkEnd w:id="80"/>
      <w:bookmarkEnd w:id="81"/>
      <w:bookmarkEnd w:id="82"/>
      <w:bookmarkEnd w:id="83"/>
    </w:p>
    <w:p>
      <w:pPr>
        <w:spacing w:line="360" w:lineRule="auto"/>
        <w:rPr>
          <w:color w:val="000000" w:themeColor="text1"/>
          <w:sz w:val="24"/>
          <w:highlight w:val="none"/>
          <w14:textFill>
            <w14:solidFill>
              <w14:schemeClr w14:val="tx1"/>
            </w14:solidFill>
          </w14:textFill>
        </w:rPr>
      </w:pPr>
      <w:bookmarkStart w:id="84" w:name="_Toc4340131"/>
      <w:bookmarkStart w:id="85" w:name="_Toc9431"/>
      <w:bookmarkStart w:id="86" w:name="_Toc4339793"/>
      <w:bookmarkStart w:id="87" w:name="_Toc504722510"/>
      <w:bookmarkStart w:id="88" w:name="_Toc4486074"/>
      <w:bookmarkStart w:id="89" w:name="_Toc4489942"/>
      <w:r>
        <w:rPr>
          <w:rFonts w:hint="eastAsia"/>
          <w:color w:val="000000" w:themeColor="text1"/>
          <w:sz w:val="24"/>
          <w:highlight w:val="none"/>
          <w14:textFill>
            <w14:solidFill>
              <w14:schemeClr w14:val="tx1"/>
            </w14:solidFill>
          </w14:textFill>
        </w:rPr>
        <w:t>1.</w:t>
      </w:r>
      <w:bookmarkEnd w:id="84"/>
      <w:bookmarkEnd w:id="85"/>
      <w:bookmarkEnd w:id="86"/>
      <w:bookmarkEnd w:id="87"/>
      <w:bookmarkEnd w:id="88"/>
      <w:bookmarkEnd w:id="89"/>
      <w:r>
        <w:rPr>
          <w:rFonts w:hint="eastAsia"/>
          <w:color w:val="000000" w:themeColor="text1"/>
          <w:sz w:val="24"/>
          <w:highlight w:val="none"/>
          <w14:textFill>
            <w14:solidFill>
              <w14:schemeClr w14:val="tx1"/>
            </w14:solidFill>
          </w14:textFill>
        </w:rPr>
        <w:t xml:space="preserve"> 按《技术标详细审查评分表》中的评分要求进行提供；</w:t>
      </w:r>
    </w:p>
    <w:p>
      <w:pPr>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 其他投标人认为须提交的资料。</w:t>
      </w:r>
    </w:p>
    <w:p>
      <w:pPr>
        <w:jc w:val="center"/>
        <w:rPr>
          <w:rFonts w:ascii="Times New Roman" w:hAnsi="Times New Roman"/>
          <w:b/>
          <w:color w:val="000000" w:themeColor="text1"/>
          <w:szCs w:val="20"/>
          <w:highlight w:val="none"/>
          <w14:textFill>
            <w14:solidFill>
              <w14:schemeClr w14:val="tx1"/>
            </w14:solidFill>
          </w14:textFill>
        </w:rPr>
      </w:pPr>
    </w:p>
    <w:p>
      <w:pPr>
        <w:jc w:val="center"/>
        <w:rPr>
          <w:rFonts w:ascii="Times New Roman" w:hAnsi="Times New Roman"/>
          <w:b/>
          <w:color w:val="000000" w:themeColor="text1"/>
          <w:szCs w:val="20"/>
          <w:highlight w:val="none"/>
          <w14:textFill>
            <w14:solidFill>
              <w14:schemeClr w14:val="tx1"/>
            </w14:solidFill>
          </w14:textFill>
        </w:rPr>
      </w:pPr>
    </w:p>
    <w:p>
      <w:pPr>
        <w:topLinePunct/>
        <w:adjustRightInd w:val="0"/>
        <w:snapToGrid w:val="0"/>
        <w:spacing w:line="360" w:lineRule="auto"/>
        <w:outlineLvl w:val="2"/>
        <w:rPr>
          <w:b/>
          <w:snapToGrid w:val="0"/>
          <w:color w:val="000000" w:themeColor="text1"/>
          <w:spacing w:val="4"/>
          <w:kern w:val="0"/>
          <w:sz w:val="24"/>
          <w:szCs w:val="24"/>
          <w:highlight w:val="none"/>
          <w14:textFill>
            <w14:solidFill>
              <w14:schemeClr w14:val="tx1"/>
            </w14:solidFill>
          </w14:textFill>
        </w:rPr>
      </w:pPr>
      <w:r>
        <w:rPr>
          <w:rFonts w:ascii="宋体" w:hAnsi="宋体"/>
          <w:snapToGrid w:val="0"/>
          <w:color w:val="000000" w:themeColor="text1"/>
          <w:spacing w:val="4"/>
          <w:kern w:val="0"/>
          <w:sz w:val="24"/>
          <w:szCs w:val="24"/>
          <w:highlight w:val="none"/>
          <w14:textFill>
            <w14:solidFill>
              <w14:schemeClr w14:val="tx1"/>
            </w14:solidFill>
          </w14:textFill>
        </w:rPr>
        <w:br w:type="page"/>
      </w:r>
      <w:bookmarkStart w:id="90" w:name="_Toc14697659"/>
      <w:bookmarkStart w:id="91" w:name="_Toc16968"/>
      <w:r>
        <w:rPr>
          <w:rFonts w:hint="eastAsia"/>
          <w:b/>
          <w:snapToGrid w:val="0"/>
          <w:color w:val="000000" w:themeColor="text1"/>
          <w:spacing w:val="4"/>
          <w:kern w:val="0"/>
          <w:sz w:val="24"/>
          <w:szCs w:val="24"/>
          <w:highlight w:val="none"/>
          <w14:textFill>
            <w14:solidFill>
              <w14:schemeClr w14:val="tx1"/>
            </w14:solidFill>
          </w14:textFill>
        </w:rPr>
        <w:t>格式五：法定代表人证明书、授权委托书</w:t>
      </w:r>
      <w:bookmarkEnd w:id="90"/>
      <w:bookmarkEnd w:id="91"/>
    </w:p>
    <w:p>
      <w:pPr>
        <w:topLinePunct/>
        <w:adjustRightInd w:val="0"/>
        <w:snapToGrid w:val="0"/>
        <w:spacing w:before="156" w:after="156"/>
        <w:jc w:val="center"/>
        <w:rPr>
          <w:rFonts w:ascii="宋体" w:hAnsi="宋体"/>
          <w:snapToGrid w:val="0"/>
          <w:color w:val="000000" w:themeColor="text1"/>
          <w:spacing w:val="4"/>
          <w:kern w:val="0"/>
          <w:sz w:val="32"/>
          <w:szCs w:val="32"/>
          <w:highlight w:val="none"/>
          <w14:textFill>
            <w14:solidFill>
              <w14:schemeClr w14:val="tx1"/>
            </w14:solidFill>
          </w14:textFill>
        </w:rPr>
      </w:pPr>
      <w:r>
        <w:rPr>
          <w:rFonts w:hint="eastAsia" w:ascii="宋体" w:hAnsi="宋体"/>
          <w:snapToGrid w:val="0"/>
          <w:color w:val="000000" w:themeColor="text1"/>
          <w:spacing w:val="4"/>
          <w:kern w:val="0"/>
          <w:sz w:val="32"/>
          <w:szCs w:val="32"/>
          <w:highlight w:val="none"/>
          <w14:textFill>
            <w14:solidFill>
              <w14:schemeClr w14:val="tx1"/>
            </w14:solidFill>
          </w14:textFill>
        </w:rPr>
        <w:t>法定代表人证明书、授权委托书</w:t>
      </w:r>
    </w:p>
    <w:p>
      <w:pPr>
        <w:topLinePunct/>
        <w:adjustRightInd w:val="0"/>
        <w:snapToGrid w:val="0"/>
        <w:spacing w:line="240" w:lineRule="exact"/>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（1）法定代表人证明书</w:t>
      </w:r>
    </w:p>
    <w:p>
      <w:pPr>
        <w:topLinePunct/>
        <w:adjustRightInd w:val="0"/>
        <w:snapToGrid w:val="0"/>
        <w:spacing w:line="240" w:lineRule="exact"/>
        <w:ind w:right="248"/>
        <w:jc w:val="right"/>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　 ）第　号</w:t>
      </w:r>
    </w:p>
    <w:p>
      <w:pPr>
        <w:topLinePunct/>
        <w:adjustRightInd w:val="0"/>
        <w:snapToGrid w:val="0"/>
        <w:spacing w:line="240" w:lineRule="exact"/>
        <w:ind w:right="248"/>
        <w:jc w:val="left"/>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20" w:firstLineChars="200"/>
        <w:rPr>
          <w:snapToGrid w:val="0"/>
          <w:color w:val="000000" w:themeColor="text1"/>
          <w:spacing w:val="4"/>
          <w:sz w:val="24"/>
          <w:szCs w:val="24"/>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27305</wp:posOffset>
                </wp:positionH>
                <wp:positionV relativeFrom="paragraph">
                  <wp:posOffset>95250</wp:posOffset>
                </wp:positionV>
                <wp:extent cx="5791200" cy="2809875"/>
                <wp:effectExtent l="4445" t="4445" r="8255" b="5080"/>
                <wp:wrapNone/>
                <wp:docPr id="40" name="文本框 40"/>
                <wp:cNvGraphicFramePr/>
                <a:graphic xmlns:a="http://schemas.openxmlformats.org/drawingml/2006/main">
                  <a:graphicData uri="http://schemas.microsoft.com/office/word/2010/wordprocessingShape">
                    <wps:wsp>
                      <wps:cNvSpPr txBox="1">
                        <a:spLocks noChangeArrowheads="1"/>
                      </wps:cNvSpPr>
                      <wps:spPr bwMode="auto">
                        <a:xfrm>
                          <a:off x="0" y="0"/>
                          <a:ext cx="5791200" cy="2809875"/>
                        </a:xfrm>
                        <a:prstGeom prst="rect">
                          <a:avLst/>
                        </a:prstGeom>
                        <a:solidFill>
                          <a:srgbClr val="FFFFFF"/>
                        </a:solidFill>
                        <a:ln w="9525">
                          <a:solidFill>
                            <a:srgbClr val="000000"/>
                          </a:solidFill>
                          <a:miter lim="800000"/>
                        </a:ln>
                        <a:effectLst/>
                      </wps:spPr>
                      <wps:txbx>
                        <w:txbxContent>
                          <w:p>
                            <w:pPr>
                              <w:pStyle w:val="29"/>
                              <w:ind w:firstLine="0" w:firstLineChars="0"/>
                              <w:rPr>
                                <w:rFonts w:ascii="宋体" w:hAnsi="宋体"/>
                                <w:szCs w:val="28"/>
                              </w:rPr>
                            </w:pPr>
                            <w:r>
                              <w:rPr>
                                <w:rFonts w:hint="eastAsia"/>
                                <w:szCs w:val="28"/>
                              </w:rPr>
                              <w:t>　　</w:t>
                            </w:r>
                            <w:r>
                              <w:rPr>
                                <w:rFonts w:hint="eastAsia" w:ascii="宋体" w:hAnsi="宋体"/>
                                <w:szCs w:val="28"/>
                                <w:u w:val="single"/>
                              </w:rPr>
                              <w:t>　　　　　　</w:t>
                            </w:r>
                            <w:r>
                              <w:rPr>
                                <w:rFonts w:hint="eastAsia" w:ascii="宋体" w:hAnsi="宋体"/>
                                <w:szCs w:val="28"/>
                              </w:rPr>
                              <w:t>现任我单位</w:t>
                            </w:r>
                            <w:r>
                              <w:rPr>
                                <w:rFonts w:hint="eastAsia" w:ascii="宋体" w:hAnsi="宋体"/>
                                <w:szCs w:val="28"/>
                                <w:u w:val="single"/>
                              </w:rPr>
                              <w:t>　　　　　</w:t>
                            </w:r>
                            <w:r>
                              <w:rPr>
                                <w:rFonts w:hint="eastAsia" w:ascii="宋体" w:hAnsi="宋体"/>
                                <w:szCs w:val="28"/>
                              </w:rPr>
                              <w:t>职务，为法定代表人（负责人），</w:t>
                            </w:r>
                          </w:p>
                          <w:p>
                            <w:pPr>
                              <w:pStyle w:val="29"/>
                              <w:spacing w:line="240" w:lineRule="auto"/>
                              <w:ind w:firstLine="0" w:firstLineChars="0"/>
                              <w:rPr>
                                <w:rFonts w:ascii="宋体" w:hAnsi="宋体"/>
                                <w:szCs w:val="28"/>
                              </w:rPr>
                            </w:pPr>
                            <w:r>
                              <w:rPr>
                                <w:rFonts w:hint="eastAsia" w:ascii="宋体" w:hAnsi="宋体"/>
                                <w:szCs w:val="28"/>
                              </w:rPr>
                              <w:t>特此证明。</w:t>
                            </w:r>
                          </w:p>
                          <w:p>
                            <w:pPr>
                              <w:pStyle w:val="29"/>
                              <w:spacing w:line="240" w:lineRule="auto"/>
                              <w:ind w:firstLine="0" w:firstLineChars="0"/>
                              <w:rPr>
                                <w:rFonts w:ascii="宋体" w:hAnsi="宋体"/>
                                <w:szCs w:val="28"/>
                              </w:rPr>
                            </w:pPr>
                            <w:r>
                              <w:rPr>
                                <w:rFonts w:hint="eastAsia" w:ascii="宋体" w:hAnsi="宋体"/>
                                <w:szCs w:val="28"/>
                              </w:rPr>
                              <w:t>有效期限：</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附：法定代表人（负责人）性别：</w:t>
                            </w:r>
                            <w:r>
                              <w:rPr>
                                <w:rFonts w:hint="eastAsia" w:ascii="宋体" w:hAnsi="宋体"/>
                                <w:szCs w:val="28"/>
                                <w:u w:val="single"/>
                              </w:rPr>
                              <w:t>　　</w:t>
                            </w:r>
                            <w:r>
                              <w:rPr>
                                <w:rFonts w:hint="eastAsia" w:ascii="宋体" w:hAnsi="宋体"/>
                                <w:szCs w:val="28"/>
                              </w:rPr>
                              <w:t>年龄：</w:t>
                            </w:r>
                            <w:r>
                              <w:rPr>
                                <w:rFonts w:hint="eastAsia" w:ascii="宋体" w:hAnsi="宋体"/>
                                <w:szCs w:val="28"/>
                                <w:u w:val="single"/>
                              </w:rPr>
                              <w:t>　　</w:t>
                            </w:r>
                            <w:r>
                              <w:rPr>
                                <w:rFonts w:hint="eastAsia" w:ascii="宋体" w:hAnsi="宋体"/>
                                <w:szCs w:val="28"/>
                              </w:rPr>
                              <w:t>身份证号码：</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注册号码：</w:t>
                            </w:r>
                            <w:r>
                              <w:rPr>
                                <w:rFonts w:hint="eastAsia" w:ascii="宋体" w:hAnsi="宋体"/>
                                <w:szCs w:val="28"/>
                                <w:u w:val="single"/>
                              </w:rPr>
                              <w:t>　　　　　　　　　　</w:t>
                            </w:r>
                            <w:r>
                              <w:rPr>
                                <w:rFonts w:hint="eastAsia" w:ascii="宋体" w:hAnsi="宋体"/>
                                <w:szCs w:val="28"/>
                              </w:rPr>
                              <w:t>企业类型：</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经营范围：</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　　　　　　　　　　单位：　　　　　　　　　　　（盖章）</w:t>
                            </w:r>
                          </w:p>
                          <w:p>
                            <w:pPr>
                              <w:pStyle w:val="29"/>
                              <w:spacing w:line="240" w:lineRule="auto"/>
                              <w:ind w:firstLine="0" w:firstLineChars="0"/>
                              <w:rPr>
                                <w:rFonts w:ascii="宋体" w:hAnsi="宋体"/>
                                <w:szCs w:val="28"/>
                              </w:rPr>
                            </w:pPr>
                            <w:r>
                              <w:rPr>
                                <w:rFonts w:hint="eastAsia" w:ascii="宋体" w:hAnsi="宋体"/>
                                <w:szCs w:val="28"/>
                              </w:rPr>
                              <w:t>　　　　　　　　　　　　　　　　　　　　　    年　月　　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5pt;margin-top:7.5pt;height:221.25pt;width:456pt;z-index:251659264;mso-width-relative:page;mso-height-relative:page;" fillcolor="#FFFFFF" filled="t" stroked="t" coordsize="21600,21600" o:gfxdata="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fzp37WAAAACAEAAA8AAAAAAAAAAQAg&#10;AAAAIgAAAGRycy9kb3ducmV2LnhtbFBLAQIUABQAAAAIAIdO4kA/BvJSSQIAAJgEAAAOAAAAAAAA&#10;AAEAIAAAACUBAABkcnMvZTJvRG9jLnhtbFBLBQYAAAAABgAGAFkBAADgBQAAAAA=&#10;">
                <v:fill on="t" focussize="0,0"/>
                <v:stroke color="#000000" miterlimit="8" joinstyle="miter"/>
                <v:imagedata o:title=""/>
                <o:lock v:ext="edit" aspectratio="f"/>
                <v:textbox>
                  <w:txbxContent>
                    <w:p>
                      <w:pPr>
                        <w:pStyle w:val="29"/>
                        <w:ind w:firstLine="0" w:firstLineChars="0"/>
                        <w:rPr>
                          <w:rFonts w:ascii="宋体" w:hAnsi="宋体"/>
                          <w:szCs w:val="28"/>
                        </w:rPr>
                      </w:pPr>
                      <w:r>
                        <w:rPr>
                          <w:rFonts w:hint="eastAsia"/>
                          <w:szCs w:val="28"/>
                        </w:rPr>
                        <w:t>　　</w:t>
                      </w:r>
                      <w:r>
                        <w:rPr>
                          <w:rFonts w:hint="eastAsia" w:ascii="宋体" w:hAnsi="宋体"/>
                          <w:szCs w:val="28"/>
                          <w:u w:val="single"/>
                        </w:rPr>
                        <w:t>　　　　　　</w:t>
                      </w:r>
                      <w:r>
                        <w:rPr>
                          <w:rFonts w:hint="eastAsia" w:ascii="宋体" w:hAnsi="宋体"/>
                          <w:szCs w:val="28"/>
                        </w:rPr>
                        <w:t>现任我单位</w:t>
                      </w:r>
                      <w:r>
                        <w:rPr>
                          <w:rFonts w:hint="eastAsia" w:ascii="宋体" w:hAnsi="宋体"/>
                          <w:szCs w:val="28"/>
                          <w:u w:val="single"/>
                        </w:rPr>
                        <w:t>　　　　　</w:t>
                      </w:r>
                      <w:r>
                        <w:rPr>
                          <w:rFonts w:hint="eastAsia" w:ascii="宋体" w:hAnsi="宋体"/>
                          <w:szCs w:val="28"/>
                        </w:rPr>
                        <w:t>职务，为法定代表人（负责人），</w:t>
                      </w:r>
                    </w:p>
                    <w:p>
                      <w:pPr>
                        <w:pStyle w:val="29"/>
                        <w:spacing w:line="240" w:lineRule="auto"/>
                        <w:ind w:firstLine="0" w:firstLineChars="0"/>
                        <w:rPr>
                          <w:rFonts w:ascii="宋体" w:hAnsi="宋体"/>
                          <w:szCs w:val="28"/>
                        </w:rPr>
                      </w:pPr>
                      <w:r>
                        <w:rPr>
                          <w:rFonts w:hint="eastAsia" w:ascii="宋体" w:hAnsi="宋体"/>
                          <w:szCs w:val="28"/>
                        </w:rPr>
                        <w:t>特此证明。</w:t>
                      </w:r>
                    </w:p>
                    <w:p>
                      <w:pPr>
                        <w:pStyle w:val="29"/>
                        <w:spacing w:line="240" w:lineRule="auto"/>
                        <w:ind w:firstLine="0" w:firstLineChars="0"/>
                        <w:rPr>
                          <w:rFonts w:ascii="宋体" w:hAnsi="宋体"/>
                          <w:szCs w:val="28"/>
                        </w:rPr>
                      </w:pPr>
                      <w:r>
                        <w:rPr>
                          <w:rFonts w:hint="eastAsia" w:ascii="宋体" w:hAnsi="宋体"/>
                          <w:szCs w:val="28"/>
                        </w:rPr>
                        <w:t>有效期限：</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附：法定代表人（负责人）性别：</w:t>
                      </w:r>
                      <w:r>
                        <w:rPr>
                          <w:rFonts w:hint="eastAsia" w:ascii="宋体" w:hAnsi="宋体"/>
                          <w:szCs w:val="28"/>
                          <w:u w:val="single"/>
                        </w:rPr>
                        <w:t>　　</w:t>
                      </w:r>
                      <w:r>
                        <w:rPr>
                          <w:rFonts w:hint="eastAsia" w:ascii="宋体" w:hAnsi="宋体"/>
                          <w:szCs w:val="28"/>
                        </w:rPr>
                        <w:t>年龄：</w:t>
                      </w:r>
                      <w:r>
                        <w:rPr>
                          <w:rFonts w:hint="eastAsia" w:ascii="宋体" w:hAnsi="宋体"/>
                          <w:szCs w:val="28"/>
                          <w:u w:val="single"/>
                        </w:rPr>
                        <w:t>　　</w:t>
                      </w:r>
                      <w:r>
                        <w:rPr>
                          <w:rFonts w:hint="eastAsia" w:ascii="宋体" w:hAnsi="宋体"/>
                          <w:szCs w:val="28"/>
                        </w:rPr>
                        <w:t>身份证号码：</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注册号码：</w:t>
                      </w:r>
                      <w:r>
                        <w:rPr>
                          <w:rFonts w:hint="eastAsia" w:ascii="宋体" w:hAnsi="宋体"/>
                          <w:szCs w:val="28"/>
                          <w:u w:val="single"/>
                        </w:rPr>
                        <w:t>　　　　　　　　　　</w:t>
                      </w:r>
                      <w:r>
                        <w:rPr>
                          <w:rFonts w:hint="eastAsia" w:ascii="宋体" w:hAnsi="宋体"/>
                          <w:szCs w:val="28"/>
                        </w:rPr>
                        <w:t>企业类型：</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经营范围：</w:t>
                      </w:r>
                      <w:r>
                        <w:rPr>
                          <w:rFonts w:hint="eastAsia" w:ascii="宋体" w:hAnsi="宋体"/>
                          <w:szCs w:val="28"/>
                          <w:u w:val="single"/>
                        </w:rPr>
                        <w:t xml:space="preserve">                                       </w:t>
                      </w:r>
                    </w:p>
                    <w:p>
                      <w:pPr>
                        <w:pStyle w:val="29"/>
                        <w:spacing w:line="240" w:lineRule="auto"/>
                        <w:ind w:firstLine="0" w:firstLineChars="0"/>
                        <w:rPr>
                          <w:rFonts w:ascii="宋体" w:hAnsi="宋体"/>
                          <w:szCs w:val="28"/>
                        </w:rPr>
                      </w:pPr>
                      <w:r>
                        <w:rPr>
                          <w:rFonts w:hint="eastAsia" w:ascii="宋体" w:hAnsi="宋体"/>
                          <w:szCs w:val="28"/>
                        </w:rPr>
                        <w:t>　　　　　　　　　　单位：　　　　　　　　　　　（盖章）</w:t>
                      </w:r>
                    </w:p>
                    <w:p>
                      <w:pPr>
                        <w:pStyle w:val="29"/>
                        <w:spacing w:line="240" w:lineRule="auto"/>
                        <w:ind w:firstLine="0" w:firstLineChars="0"/>
                        <w:rPr>
                          <w:rFonts w:ascii="宋体" w:hAnsi="宋体"/>
                          <w:szCs w:val="28"/>
                        </w:rPr>
                      </w:pPr>
                      <w:r>
                        <w:rPr>
                          <w:rFonts w:hint="eastAsia" w:ascii="宋体" w:hAnsi="宋体"/>
                          <w:szCs w:val="28"/>
                        </w:rPr>
                        <w:t>　　　　　　　　　　　　　　　　　　　　　    年　月　　日</w:t>
                      </w:r>
                    </w:p>
                  </w:txbxContent>
                </v:textbox>
              </v:shape>
            </w:pict>
          </mc:Fallback>
        </mc:AlternateContent>
      </w: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rPr>
          <w:snapToGrid w:val="0"/>
          <w:color w:val="000000" w:themeColor="text1"/>
          <w:spacing w:val="4"/>
          <w:sz w:val="24"/>
          <w:szCs w:val="24"/>
          <w:highlight w:val="none"/>
          <w14:textFill>
            <w14:solidFill>
              <w14:schemeClr w14:val="tx1"/>
            </w14:solidFill>
          </w14:textFill>
        </w:rPr>
      </w:pPr>
    </w:p>
    <w:p>
      <w:pPr>
        <w:topLinePunct/>
        <w:adjustRightInd w:val="0"/>
        <w:snapToGrid w:val="0"/>
        <w:ind w:firstLine="496" w:firstLineChars="20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（2）法定代表人授权委托书</w:t>
      </w:r>
    </w:p>
    <w:p>
      <w:pPr>
        <w:topLinePunct/>
        <w:adjustRightInd w:val="0"/>
        <w:snapToGrid w:val="0"/>
        <w:ind w:firstLine="496" w:firstLineChars="20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 xml:space="preserve">                                                 （   ）第  号</w:t>
      </w:r>
    </w:p>
    <w:p>
      <w:pPr>
        <w:topLinePunct/>
        <w:adjustRightInd w:val="0"/>
        <w:snapToGrid w:val="0"/>
        <w:spacing w:line="360" w:lineRule="auto"/>
        <w:ind w:firstLine="420" w:firstLineChars="200"/>
        <w:rPr>
          <w:snapToGrid w:val="0"/>
          <w:color w:val="000000" w:themeColor="text1"/>
          <w:spacing w:val="4"/>
          <w:sz w:val="24"/>
          <w:szCs w:val="24"/>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27305</wp:posOffset>
                </wp:positionH>
                <wp:positionV relativeFrom="paragraph">
                  <wp:posOffset>80645</wp:posOffset>
                </wp:positionV>
                <wp:extent cx="5791200" cy="2748915"/>
                <wp:effectExtent l="4445" t="4445" r="8255" b="15240"/>
                <wp:wrapNone/>
                <wp:docPr id="41" name="文本框 41"/>
                <wp:cNvGraphicFramePr/>
                <a:graphic xmlns:a="http://schemas.openxmlformats.org/drawingml/2006/main">
                  <a:graphicData uri="http://schemas.microsoft.com/office/word/2010/wordprocessingShape">
                    <wps:wsp>
                      <wps:cNvSpPr txBox="1">
                        <a:spLocks noChangeArrowheads="1"/>
                      </wps:cNvSpPr>
                      <wps:spPr bwMode="auto">
                        <a:xfrm>
                          <a:off x="0" y="0"/>
                          <a:ext cx="5791200" cy="2748915"/>
                        </a:xfrm>
                        <a:prstGeom prst="rect">
                          <a:avLst/>
                        </a:prstGeom>
                        <a:solidFill>
                          <a:srgbClr val="FFFFFF"/>
                        </a:solidFill>
                        <a:ln w="9525">
                          <a:solidFill>
                            <a:srgbClr val="000000"/>
                          </a:solidFill>
                          <a:miter lim="800000"/>
                        </a:ln>
                        <a:effectLst/>
                      </wps:spPr>
                      <wps:txbx>
                        <w:txbxContent>
                          <w:p>
                            <w:pPr>
                              <w:pStyle w:val="29"/>
                              <w:ind w:firstLine="0" w:firstLineChars="0"/>
                              <w:rPr>
                                <w:rFonts w:ascii="宋体" w:hAnsi="宋体"/>
                              </w:rPr>
                            </w:pPr>
                            <w:r>
                              <w:rPr>
                                <w:rFonts w:hint="eastAsia" w:ascii="宋体" w:hAnsi="宋体"/>
                              </w:rPr>
                              <w:t>兹授权</w:t>
                            </w:r>
                            <w:r>
                              <w:rPr>
                                <w:rFonts w:ascii="宋体" w:hAnsi="宋体"/>
                                <w:u w:val="single"/>
                              </w:rPr>
                              <w:t xml:space="preserve">                </w:t>
                            </w:r>
                            <w:r>
                              <w:rPr>
                                <w:rFonts w:hint="eastAsia" w:ascii="宋体" w:hAnsi="宋体"/>
                              </w:rPr>
                              <w:t>为我方委托代理人，其权限是：</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有效期限：</w:t>
                            </w:r>
                            <w:r>
                              <w:rPr>
                                <w:rFonts w:ascii="宋体" w:hAnsi="宋体"/>
                                <w:u w:val="single"/>
                              </w:rPr>
                              <w:t xml:space="preserve">                                                   </w:t>
                            </w:r>
                            <w:r>
                              <w:rPr>
                                <w:rFonts w:hint="eastAsia" w:ascii="宋体" w:hAnsi="宋体"/>
                                <w:u w:val="single"/>
                              </w:rPr>
                              <w:t xml:space="preserve">     </w:t>
                            </w:r>
                          </w:p>
                          <w:p>
                            <w:pPr>
                              <w:pStyle w:val="29"/>
                              <w:spacing w:line="240" w:lineRule="auto"/>
                              <w:ind w:firstLine="0" w:firstLineChars="0"/>
                              <w:rPr>
                                <w:rFonts w:ascii="宋体" w:hAnsi="宋体"/>
                              </w:rPr>
                            </w:pPr>
                            <w:r>
                              <w:rPr>
                                <w:rFonts w:hint="eastAsia" w:ascii="宋体" w:hAnsi="宋体"/>
                              </w:rPr>
                              <w:t>附：代理人性别：</w:t>
                            </w:r>
                            <w:r>
                              <w:rPr>
                                <w:rFonts w:ascii="宋体" w:hAnsi="宋体"/>
                                <w:u w:val="single"/>
                              </w:rPr>
                              <w:t xml:space="preserve">     </w:t>
                            </w:r>
                            <w:r>
                              <w:rPr>
                                <w:rFonts w:hint="eastAsia" w:ascii="宋体" w:hAnsi="宋体"/>
                              </w:rPr>
                              <w:t>年龄：</w:t>
                            </w:r>
                            <w:r>
                              <w:rPr>
                                <w:rFonts w:ascii="宋体" w:hAnsi="宋体"/>
                                <w:u w:val="single"/>
                              </w:rPr>
                              <w:t xml:space="preserve">     </w:t>
                            </w:r>
                            <w:r>
                              <w:rPr>
                                <w:rFonts w:hint="eastAsia" w:ascii="宋体" w:hAnsi="宋体"/>
                              </w:rPr>
                              <w:t>身份证号码：</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注册号码：</w:t>
                            </w:r>
                            <w:r>
                              <w:rPr>
                                <w:rFonts w:ascii="宋体" w:hAnsi="宋体"/>
                                <w:u w:val="single"/>
                              </w:rPr>
                              <w:t xml:space="preserve">                  </w:t>
                            </w:r>
                            <w:r>
                              <w:rPr>
                                <w:rFonts w:hint="eastAsia" w:ascii="宋体" w:hAnsi="宋体"/>
                              </w:rPr>
                              <w:t>企业类型：</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经营范围：</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法定代表人（负责人）：</w:t>
                            </w:r>
                            <w:r>
                              <w:rPr>
                                <w:rFonts w:ascii="宋体" w:hAnsi="宋体"/>
                                <w:u w:val="single"/>
                              </w:rPr>
                              <w:t xml:space="preserve">                 </w:t>
                            </w:r>
                            <w:r>
                              <w:rPr>
                                <w:rFonts w:hint="eastAsia" w:ascii="宋体" w:hAnsi="宋体"/>
                              </w:rPr>
                              <w:t>（签字或盖章）</w:t>
                            </w:r>
                          </w:p>
                          <w:p>
                            <w:pPr>
                              <w:pStyle w:val="29"/>
                              <w:spacing w:line="240" w:lineRule="auto"/>
                              <w:ind w:firstLine="0" w:firstLineChars="0"/>
                              <w:rPr>
                                <w:rFonts w:ascii="宋体" w:hAnsi="宋体"/>
                              </w:rPr>
                            </w:pPr>
                            <w:r>
                              <w:rPr>
                                <w:rFonts w:hint="eastAsia" w:ascii="宋体" w:hAnsi="宋体"/>
                              </w:rPr>
                              <w:t>授权单位：（盖章）</w:t>
                            </w:r>
                            <w:r>
                              <w:rPr>
                                <w:rFonts w:ascii="宋体" w:hAnsi="宋体"/>
                                <w:u w:val="single"/>
                              </w:rPr>
                              <w:t xml:space="preserve">                      </w:t>
                            </w:r>
                          </w:p>
                          <w:p>
                            <w:pPr>
                              <w:pStyle w:val="29"/>
                              <w:spacing w:line="240" w:lineRule="auto"/>
                              <w:ind w:firstLine="496"/>
                              <w:rPr>
                                <w:rFonts w:ascii="宋体" w:hAnsi="宋体"/>
                              </w:rPr>
                            </w:pPr>
                            <w:r>
                              <w:rPr>
                                <w:rFonts w:hint="eastAsia" w:ascii="宋体" w:hAnsi="宋体"/>
                              </w:rPr>
                              <w:t>年</w:t>
                            </w:r>
                            <w:r>
                              <w:rPr>
                                <w:rFonts w:ascii="宋体" w:hAnsi="宋体"/>
                              </w:rPr>
                              <w:t xml:space="preserve">  </w:t>
                            </w:r>
                            <w:r>
                              <w:rPr>
                                <w:rFonts w:hint="eastAsia" w:ascii="宋体" w:hAnsi="宋体"/>
                              </w:rPr>
                              <w:t>月</w:t>
                            </w:r>
                            <w:r>
                              <w:rPr>
                                <w:rFonts w:ascii="宋体" w:hAnsi="宋体"/>
                              </w:rPr>
                              <w:t xml:space="preserve">   </w:t>
                            </w:r>
                            <w:r>
                              <w:rPr>
                                <w:rFonts w:hint="eastAsia" w:ascii="宋体" w:hAnsi="宋体"/>
                              </w:rPr>
                              <w:t>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5pt;margin-top:6.35pt;height:216.45pt;width:456pt;z-index:251660288;mso-width-relative:page;mso-height-relative:page;" fillcolor="#FFFFFF" filled="t" stroked="t" coordsize="21600,21600" o:gfxdata="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FI+q1wAAAAgBAAAPAAAAAAAAAAEA&#10;IAAAACIAAABkcnMvZG93bnJldi54bWxQSwECFAAUAAAACACHTuJAnvaryUkCAACYBAAADgAAAAAA&#10;AAABACAAAAAmAQAAZHJzL2Uyb0RvYy54bWxQSwUGAAAAAAYABgBZAQAA4QUAAAAA&#10;">
                <v:fill on="t" focussize="0,0"/>
                <v:stroke color="#000000" miterlimit="8" joinstyle="miter"/>
                <v:imagedata o:title=""/>
                <o:lock v:ext="edit" aspectratio="f"/>
                <v:textbox>
                  <w:txbxContent>
                    <w:p>
                      <w:pPr>
                        <w:pStyle w:val="29"/>
                        <w:ind w:firstLine="0" w:firstLineChars="0"/>
                        <w:rPr>
                          <w:rFonts w:ascii="宋体" w:hAnsi="宋体"/>
                        </w:rPr>
                      </w:pPr>
                      <w:r>
                        <w:rPr>
                          <w:rFonts w:hint="eastAsia" w:ascii="宋体" w:hAnsi="宋体"/>
                        </w:rPr>
                        <w:t>兹授权</w:t>
                      </w:r>
                      <w:r>
                        <w:rPr>
                          <w:rFonts w:ascii="宋体" w:hAnsi="宋体"/>
                          <w:u w:val="single"/>
                        </w:rPr>
                        <w:t xml:space="preserve">                </w:t>
                      </w:r>
                      <w:r>
                        <w:rPr>
                          <w:rFonts w:hint="eastAsia" w:ascii="宋体" w:hAnsi="宋体"/>
                        </w:rPr>
                        <w:t>为我方委托代理人，其权限是：</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有效期限：</w:t>
                      </w:r>
                      <w:r>
                        <w:rPr>
                          <w:rFonts w:ascii="宋体" w:hAnsi="宋体"/>
                          <w:u w:val="single"/>
                        </w:rPr>
                        <w:t xml:space="preserve">                                                   </w:t>
                      </w:r>
                      <w:r>
                        <w:rPr>
                          <w:rFonts w:hint="eastAsia" w:ascii="宋体" w:hAnsi="宋体"/>
                          <w:u w:val="single"/>
                        </w:rPr>
                        <w:t xml:space="preserve">     </w:t>
                      </w:r>
                    </w:p>
                    <w:p>
                      <w:pPr>
                        <w:pStyle w:val="29"/>
                        <w:spacing w:line="240" w:lineRule="auto"/>
                        <w:ind w:firstLine="0" w:firstLineChars="0"/>
                        <w:rPr>
                          <w:rFonts w:ascii="宋体" w:hAnsi="宋体"/>
                        </w:rPr>
                      </w:pPr>
                      <w:r>
                        <w:rPr>
                          <w:rFonts w:hint="eastAsia" w:ascii="宋体" w:hAnsi="宋体"/>
                        </w:rPr>
                        <w:t>附：代理人性别：</w:t>
                      </w:r>
                      <w:r>
                        <w:rPr>
                          <w:rFonts w:ascii="宋体" w:hAnsi="宋体"/>
                          <w:u w:val="single"/>
                        </w:rPr>
                        <w:t xml:space="preserve">     </w:t>
                      </w:r>
                      <w:r>
                        <w:rPr>
                          <w:rFonts w:hint="eastAsia" w:ascii="宋体" w:hAnsi="宋体"/>
                        </w:rPr>
                        <w:t>年龄：</w:t>
                      </w:r>
                      <w:r>
                        <w:rPr>
                          <w:rFonts w:ascii="宋体" w:hAnsi="宋体"/>
                          <w:u w:val="single"/>
                        </w:rPr>
                        <w:t xml:space="preserve">     </w:t>
                      </w:r>
                      <w:r>
                        <w:rPr>
                          <w:rFonts w:hint="eastAsia" w:ascii="宋体" w:hAnsi="宋体"/>
                        </w:rPr>
                        <w:t>身份证号码：</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注册号码：</w:t>
                      </w:r>
                      <w:r>
                        <w:rPr>
                          <w:rFonts w:ascii="宋体" w:hAnsi="宋体"/>
                          <w:u w:val="single"/>
                        </w:rPr>
                        <w:t xml:space="preserve">                  </w:t>
                      </w:r>
                      <w:r>
                        <w:rPr>
                          <w:rFonts w:hint="eastAsia" w:ascii="宋体" w:hAnsi="宋体"/>
                        </w:rPr>
                        <w:t>企业类型：</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经营范围：</w:t>
                      </w:r>
                      <w:r>
                        <w:rPr>
                          <w:rFonts w:ascii="宋体" w:hAnsi="宋体"/>
                          <w:u w:val="single"/>
                        </w:rPr>
                        <w:t xml:space="preserve">                                                 </w:t>
                      </w:r>
                      <w:r>
                        <w:rPr>
                          <w:rFonts w:hint="eastAsia" w:ascii="宋体" w:hAnsi="宋体"/>
                          <w:u w:val="single"/>
                        </w:rPr>
                        <w:t xml:space="preserve">      </w:t>
                      </w:r>
                      <w:r>
                        <w:rPr>
                          <w:rFonts w:ascii="宋体" w:hAnsi="宋体"/>
                          <w:u w:val="single"/>
                        </w:rPr>
                        <w:t xml:space="preserve"> </w:t>
                      </w:r>
                    </w:p>
                    <w:p>
                      <w:pPr>
                        <w:pStyle w:val="29"/>
                        <w:spacing w:line="240" w:lineRule="auto"/>
                        <w:ind w:firstLine="0" w:firstLineChars="0"/>
                        <w:rPr>
                          <w:rFonts w:ascii="宋体" w:hAnsi="宋体"/>
                        </w:rPr>
                      </w:pPr>
                      <w:r>
                        <w:rPr>
                          <w:rFonts w:hint="eastAsia" w:ascii="宋体" w:hAnsi="宋体"/>
                        </w:rPr>
                        <w:t>法定代表人（负责人）：</w:t>
                      </w:r>
                      <w:r>
                        <w:rPr>
                          <w:rFonts w:ascii="宋体" w:hAnsi="宋体"/>
                          <w:u w:val="single"/>
                        </w:rPr>
                        <w:t xml:space="preserve">                 </w:t>
                      </w:r>
                      <w:r>
                        <w:rPr>
                          <w:rFonts w:hint="eastAsia" w:ascii="宋体" w:hAnsi="宋体"/>
                        </w:rPr>
                        <w:t>（签字或盖章）</w:t>
                      </w:r>
                    </w:p>
                    <w:p>
                      <w:pPr>
                        <w:pStyle w:val="29"/>
                        <w:spacing w:line="240" w:lineRule="auto"/>
                        <w:ind w:firstLine="0" w:firstLineChars="0"/>
                        <w:rPr>
                          <w:rFonts w:ascii="宋体" w:hAnsi="宋体"/>
                        </w:rPr>
                      </w:pPr>
                      <w:r>
                        <w:rPr>
                          <w:rFonts w:hint="eastAsia" w:ascii="宋体" w:hAnsi="宋体"/>
                        </w:rPr>
                        <w:t>授权单位：（盖章）</w:t>
                      </w:r>
                      <w:r>
                        <w:rPr>
                          <w:rFonts w:ascii="宋体" w:hAnsi="宋体"/>
                          <w:u w:val="single"/>
                        </w:rPr>
                        <w:t xml:space="preserve">                      </w:t>
                      </w:r>
                    </w:p>
                    <w:p>
                      <w:pPr>
                        <w:pStyle w:val="29"/>
                        <w:spacing w:line="240" w:lineRule="auto"/>
                        <w:ind w:firstLine="496"/>
                        <w:rPr>
                          <w:rFonts w:ascii="宋体" w:hAnsi="宋体"/>
                        </w:rPr>
                      </w:pPr>
                      <w:r>
                        <w:rPr>
                          <w:rFonts w:hint="eastAsia" w:ascii="宋体" w:hAnsi="宋体"/>
                        </w:rPr>
                        <w:t>年</w:t>
                      </w:r>
                      <w:r>
                        <w:rPr>
                          <w:rFonts w:ascii="宋体" w:hAnsi="宋体"/>
                        </w:rPr>
                        <w:t xml:space="preserve">  </w:t>
                      </w:r>
                      <w:r>
                        <w:rPr>
                          <w:rFonts w:hint="eastAsia" w:ascii="宋体" w:hAnsi="宋体"/>
                        </w:rPr>
                        <w:t>月</w:t>
                      </w:r>
                      <w:r>
                        <w:rPr>
                          <w:rFonts w:ascii="宋体" w:hAnsi="宋体"/>
                        </w:rPr>
                        <w:t xml:space="preserve">   </w:t>
                      </w:r>
                      <w:r>
                        <w:rPr>
                          <w:rFonts w:hint="eastAsia" w:ascii="宋体" w:hAnsi="宋体"/>
                        </w:rPr>
                        <w:t>日</w:t>
                      </w:r>
                    </w:p>
                  </w:txbxContent>
                </v:textbox>
              </v:shape>
            </w:pict>
          </mc:Fallback>
        </mc:AlternateContent>
      </w: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ind w:firstLine="496" w:firstLineChars="200"/>
        <w:rPr>
          <w:snapToGrid w:val="0"/>
          <w:color w:val="000000" w:themeColor="text1"/>
          <w:spacing w:val="4"/>
          <w:sz w:val="24"/>
          <w:szCs w:val="24"/>
          <w:highlight w:val="none"/>
          <w14:textFill>
            <w14:solidFill>
              <w14:schemeClr w14:val="tx1"/>
            </w14:solidFill>
          </w14:textFill>
        </w:rPr>
      </w:pPr>
    </w:p>
    <w:p>
      <w:pPr>
        <w:topLinePunct/>
        <w:adjustRightInd w:val="0"/>
        <w:snapToGrid w:val="0"/>
        <w:spacing w:line="360" w:lineRule="auto"/>
        <w:rPr>
          <w:snapToGrid w:val="0"/>
          <w:color w:val="000000" w:themeColor="text1"/>
          <w:spacing w:val="4"/>
          <w:sz w:val="24"/>
          <w:szCs w:val="24"/>
          <w:highlight w:val="none"/>
          <w14:textFill>
            <w14:solidFill>
              <w14:schemeClr w14:val="tx1"/>
            </w14:solidFill>
          </w14:textFill>
        </w:rPr>
      </w:pPr>
    </w:p>
    <w:p>
      <w:pPr>
        <w:topLinePunct/>
        <w:adjustRightInd w:val="0"/>
        <w:snapToGrid w:val="0"/>
        <w:spacing w:before="156" w:beforeLines="50" w:after="156" w:afterLines="50"/>
        <w:jc w:val="left"/>
        <w:rPr>
          <w:rFonts w:ascii="宋体" w:hAnsi="宋体"/>
          <w:snapToGrid w:val="0"/>
          <w:color w:val="000000" w:themeColor="text1"/>
          <w:spacing w:val="4"/>
          <w:kern w:val="0"/>
          <w:szCs w:val="21"/>
          <w:highlight w:val="none"/>
          <w14:textFill>
            <w14:solidFill>
              <w14:schemeClr w14:val="tx1"/>
            </w14:solidFill>
          </w14:textFill>
        </w:rPr>
      </w:pPr>
      <w:bookmarkStart w:id="92" w:name="_Toc4486079"/>
      <w:bookmarkStart w:id="93" w:name="_Toc3736"/>
      <w:bookmarkStart w:id="94" w:name="_Toc4339798"/>
      <w:bookmarkStart w:id="95" w:name="_Toc4340136"/>
      <w:bookmarkStart w:id="96" w:name="_Toc14697660"/>
      <w:bookmarkStart w:id="97" w:name="_Toc4489947"/>
      <w:r>
        <w:rPr>
          <w:rFonts w:hint="eastAsia" w:ascii="宋体" w:hAnsi="宋体"/>
          <w:snapToGrid w:val="0"/>
          <w:color w:val="000000" w:themeColor="text1"/>
          <w:spacing w:val="4"/>
          <w:kern w:val="0"/>
          <w:szCs w:val="21"/>
          <w:highlight w:val="none"/>
          <w14:textFill>
            <w14:solidFill>
              <w14:schemeClr w14:val="tx1"/>
            </w14:solidFill>
          </w14:textFill>
        </w:rPr>
        <w:t>注：按提供的格式或使用从工商管理部门购买的格式填写。</w:t>
      </w:r>
      <w:bookmarkEnd w:id="92"/>
      <w:bookmarkEnd w:id="93"/>
      <w:bookmarkEnd w:id="94"/>
      <w:bookmarkEnd w:id="95"/>
      <w:bookmarkEnd w:id="96"/>
      <w:bookmarkEnd w:id="97"/>
    </w:p>
    <w:p>
      <w:pPr>
        <w:outlineLvl w:val="2"/>
        <w:rPr>
          <w:rFonts w:ascii="宋体" w:hAnsi="宋体" w:cs="宋体"/>
          <w:b/>
          <w:color w:val="000000" w:themeColor="text1"/>
          <w:sz w:val="24"/>
          <w:szCs w:val="24"/>
          <w:highlight w:val="none"/>
          <w14:textFill>
            <w14:solidFill>
              <w14:schemeClr w14:val="tx1"/>
            </w14:solidFill>
          </w14:textFill>
        </w:rPr>
      </w:pPr>
      <w:bookmarkStart w:id="98" w:name="_Toc29321"/>
      <w:bookmarkStart w:id="99" w:name="_Toc504722514"/>
      <w:r>
        <w:rPr>
          <w:rFonts w:ascii="宋体" w:hAnsi="宋体"/>
          <w:snapToGrid w:val="0"/>
          <w:color w:val="000000" w:themeColor="text1"/>
          <w:spacing w:val="4"/>
          <w:kern w:val="0"/>
          <w:sz w:val="24"/>
          <w:szCs w:val="24"/>
          <w:highlight w:val="none"/>
          <w14:textFill>
            <w14:solidFill>
              <w14:schemeClr w14:val="tx1"/>
            </w14:solidFill>
          </w14:textFill>
        </w:rPr>
        <w:br w:type="page"/>
      </w:r>
      <w:bookmarkStart w:id="100" w:name="_Toc80952391"/>
      <w:bookmarkStart w:id="101" w:name="_Toc80701953"/>
      <w:bookmarkStart w:id="102" w:name="_Toc28552"/>
      <w:bookmarkStart w:id="103" w:name="_Toc83906646"/>
      <w:bookmarkStart w:id="104" w:name="_Toc4489948"/>
      <w:bookmarkStart w:id="105" w:name="_Toc14697661"/>
      <w:r>
        <w:rPr>
          <w:rFonts w:hint="eastAsia" w:ascii="宋体" w:hAnsi="宋体" w:cs="宋体"/>
          <w:b/>
          <w:color w:val="000000" w:themeColor="text1"/>
          <w:sz w:val="24"/>
          <w:szCs w:val="24"/>
          <w:highlight w:val="none"/>
          <w14:textFill>
            <w14:solidFill>
              <w14:schemeClr w14:val="tx1"/>
            </w14:solidFill>
          </w14:textFill>
        </w:rPr>
        <w:t>格式六：企业类似工程业绩信息表</w:t>
      </w:r>
      <w:r>
        <w:rPr>
          <w:rFonts w:hint="eastAsia" w:ascii="宋体" w:hAnsi="宋体" w:cs="宋体"/>
          <w:b/>
          <w:bCs/>
          <w:color w:val="000000" w:themeColor="text1"/>
          <w:sz w:val="24"/>
          <w:szCs w:val="24"/>
          <w:highlight w:val="none"/>
          <w14:textFill>
            <w14:solidFill>
              <w14:schemeClr w14:val="tx1"/>
            </w14:solidFill>
          </w14:textFill>
        </w:rPr>
        <w:t>（资格审查）</w:t>
      </w:r>
      <w:bookmarkEnd w:id="100"/>
      <w:bookmarkEnd w:id="101"/>
      <w:bookmarkEnd w:id="102"/>
      <w:bookmarkEnd w:id="103"/>
    </w:p>
    <w:p>
      <w:pPr>
        <w:topLinePunct/>
        <w:adjustRightInd w:val="0"/>
        <w:snapToGrid w:val="0"/>
        <w:spacing w:line="360" w:lineRule="auto"/>
        <w:ind w:firstLine="496" w:firstLineChars="200"/>
        <w:rPr>
          <w:rFonts w:ascii="宋体" w:hAnsi="宋体" w:cs="宋体"/>
          <w:color w:val="000000" w:themeColor="text1"/>
          <w:spacing w:val="4"/>
          <w:kern w:val="0"/>
          <w:sz w:val="24"/>
          <w:szCs w:val="24"/>
          <w:highlight w:val="none"/>
          <w14:textFill>
            <w14:solidFill>
              <w14:schemeClr w14:val="tx1"/>
            </w14:solidFill>
          </w14:textFill>
        </w:rPr>
      </w:pPr>
    </w:p>
    <w:p>
      <w:pPr>
        <w:jc w:val="center"/>
        <w:rPr>
          <w:rFonts w:ascii="宋体" w:hAnsi="宋体" w:cs="宋体"/>
          <w:b/>
          <w:color w:val="000000" w:themeColor="text1"/>
          <w:sz w:val="24"/>
          <w:szCs w:val="24"/>
          <w:highlight w:val="none"/>
          <w14:textFill>
            <w14:solidFill>
              <w14:schemeClr w14:val="tx1"/>
            </w14:solidFill>
          </w14:textFill>
        </w:rPr>
      </w:pPr>
    </w:p>
    <w:p>
      <w:pPr>
        <w:jc w:val="center"/>
        <w:rPr>
          <w:rFonts w:ascii="宋体" w:hAnsi="宋体"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14:textFill>
            <w14:solidFill>
              <w14:schemeClr w14:val="tx1"/>
            </w14:solidFill>
          </w14:textFill>
        </w:rPr>
        <w:t>企业类似工程业绩信息表</w:t>
      </w:r>
      <w:r>
        <w:rPr>
          <w:rFonts w:hint="eastAsia" w:ascii="宋体" w:hAnsi="宋体" w:cs="宋体"/>
          <w:b/>
          <w:bCs/>
          <w:color w:val="000000" w:themeColor="text1"/>
          <w:sz w:val="24"/>
          <w:szCs w:val="24"/>
          <w:highlight w:val="none"/>
          <w14:textFill>
            <w14:solidFill>
              <w14:schemeClr w14:val="tx1"/>
            </w14:solidFill>
          </w14:textFill>
        </w:rPr>
        <w:t>（资格审查）</w:t>
      </w:r>
    </w:p>
    <w:p>
      <w:pPr>
        <w:jc w:val="center"/>
        <w:rPr>
          <w:rFonts w:ascii="宋体" w:hAnsi="宋体" w:cs="宋体"/>
          <w:b/>
          <w:color w:val="000000" w:themeColor="text1"/>
          <w:sz w:val="24"/>
          <w:szCs w:val="24"/>
          <w:highlight w:val="none"/>
          <w14:textFill>
            <w14:solidFill>
              <w14:schemeClr w14:val="tx1"/>
            </w14:solidFill>
          </w14:textFill>
        </w:rPr>
      </w:pPr>
    </w:p>
    <w:tbl>
      <w:tblPr>
        <w:tblStyle w:val="18"/>
        <w:tblW w:w="78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3766"/>
        <w:gridCol w:w="2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52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序号</w:t>
            </w:r>
          </w:p>
        </w:tc>
        <w:tc>
          <w:tcPr>
            <w:tcW w:w="376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项目名称</w:t>
            </w:r>
          </w:p>
        </w:tc>
        <w:tc>
          <w:tcPr>
            <w:tcW w:w="25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项目编号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525"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c>
          <w:tcPr>
            <w:tcW w:w="376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c>
          <w:tcPr>
            <w:tcW w:w="259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525"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c>
          <w:tcPr>
            <w:tcW w:w="3766"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c>
          <w:tcPr>
            <w:tcW w:w="2591" w:type="dxa"/>
            <w:tcBorders>
              <w:top w:val="single" w:color="auto" w:sz="4" w:space="0"/>
              <w:left w:val="single" w:color="auto" w:sz="4" w:space="0"/>
              <w:bottom w:val="single" w:color="auto" w:sz="4" w:space="0"/>
              <w:right w:val="single" w:color="auto" w:sz="4" w:space="0"/>
            </w:tcBorders>
          </w:tcPr>
          <w:p>
            <w:pPr>
              <w:keepNext w:val="0"/>
              <w:keepLines w:val="0"/>
              <w:suppressLineNumbers w:val="0"/>
              <w:spacing w:before="0" w:beforeAutospacing="0" w:after="0" w:afterAutospacing="0"/>
              <w:ind w:left="0" w:right="0"/>
              <w:jc w:val="center"/>
              <w:rPr>
                <w:rFonts w:hint="default" w:ascii="宋体" w:hAnsi="宋体" w:cs="宋体"/>
                <w:b/>
                <w:color w:val="000000" w:themeColor="text1"/>
                <w:sz w:val="24"/>
                <w:szCs w:val="24"/>
                <w:highlight w:val="none"/>
                <w14:textFill>
                  <w14:solidFill>
                    <w14:schemeClr w14:val="tx1"/>
                  </w14:solidFill>
                </w14:textFill>
              </w:rPr>
            </w:pPr>
          </w:p>
        </w:tc>
      </w:tr>
    </w:tbl>
    <w:p>
      <w:pPr>
        <w:spacing w:line="273" w:lineRule="auto"/>
        <w:ind w:firstLine="424" w:firstLineChars="202"/>
        <w:jc w:val="left"/>
        <w:rPr>
          <w:rFonts w:ascii="Times New Roman" w:hAnsi="Times New Roman"/>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bidi="ar"/>
          <w14:textFill>
            <w14:solidFill>
              <w14:schemeClr w14:val="tx1"/>
            </w14:solidFill>
          </w14:textFill>
        </w:rPr>
        <w:t>注：按招标公告“九、投标人合格条件”中的业绩要求提供，如无已竣工验收的类似工程业绩的，在项目栏中填写“无”。</w:t>
      </w:r>
    </w:p>
    <w:p>
      <w:pPr>
        <w:topLinePunct/>
        <w:adjustRightInd w:val="0"/>
        <w:snapToGrid w:val="0"/>
        <w:spacing w:line="360" w:lineRule="auto"/>
        <w:ind w:firstLine="496" w:firstLineChars="200"/>
        <w:rPr>
          <w:rFonts w:ascii="宋体" w:hAnsi="宋体" w:cs="宋体"/>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投标人：　　（盖章）</w:t>
      </w: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法定代表人或授权代理人(签字或盖章)：</w:t>
      </w: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 xml:space="preserve">日   期：    年    月    日 </w:t>
      </w: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pStyle w:val="24"/>
        <w:rPr>
          <w:rFonts w:ascii="宋体" w:hAnsi="宋体"/>
          <w:b/>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before="156" w:beforeLines="50" w:after="156" w:afterLines="50"/>
        <w:jc w:val="left"/>
        <w:outlineLvl w:val="2"/>
        <w:rPr>
          <w:rFonts w:ascii="宋体" w:hAnsi="宋体"/>
          <w:b/>
          <w:snapToGrid w:val="0"/>
          <w:color w:val="000000" w:themeColor="text1"/>
          <w:spacing w:val="4"/>
          <w:kern w:val="0"/>
          <w:sz w:val="24"/>
          <w:szCs w:val="24"/>
          <w:highlight w:val="none"/>
          <w14:textFill>
            <w14:solidFill>
              <w14:schemeClr w14:val="tx1"/>
            </w14:solidFill>
          </w14:textFill>
        </w:rPr>
        <w:sectPr>
          <w:headerReference r:id="rId16" w:type="first"/>
          <w:footerReference r:id="rId19" w:type="first"/>
          <w:headerReference r:id="rId14" w:type="default"/>
          <w:footerReference r:id="rId17" w:type="default"/>
          <w:headerReference r:id="rId15" w:type="even"/>
          <w:footerReference r:id="rId18" w:type="even"/>
          <w:pgSz w:w="11907" w:h="16840"/>
          <w:pgMar w:top="1418" w:right="1418" w:bottom="1418" w:left="1418" w:header="851" w:footer="851" w:gutter="0"/>
          <w:pgNumType w:fmt="decimal"/>
          <w:cols w:space="720" w:num="1"/>
          <w:docGrid w:type="lines" w:linePitch="312" w:charSpace="0"/>
        </w:sectPr>
      </w:pPr>
      <w:bookmarkStart w:id="106" w:name="_Toc24195"/>
    </w:p>
    <w:p>
      <w:pPr>
        <w:topLinePunct/>
        <w:adjustRightInd w:val="0"/>
        <w:snapToGrid w:val="0"/>
        <w:spacing w:before="156" w:beforeLines="50" w:after="156" w:afterLines="50"/>
        <w:jc w:val="left"/>
        <w:outlineLvl w:val="2"/>
        <w:rPr>
          <w:rFonts w:ascii="宋体" w:hAnsi="宋体"/>
          <w:b/>
          <w:snapToGrid w:val="0"/>
          <w:color w:val="000000" w:themeColor="text1"/>
          <w:spacing w:val="4"/>
          <w:kern w:val="0"/>
          <w:sz w:val="24"/>
          <w:szCs w:val="24"/>
          <w:highlight w:val="none"/>
          <w14:textFill>
            <w14:solidFill>
              <w14:schemeClr w14:val="tx1"/>
            </w14:solidFill>
          </w14:textFill>
        </w:rPr>
      </w:pPr>
      <w:r>
        <w:rPr>
          <w:rFonts w:hint="eastAsia" w:ascii="宋体" w:hAnsi="宋体"/>
          <w:b/>
          <w:snapToGrid w:val="0"/>
          <w:color w:val="000000" w:themeColor="text1"/>
          <w:spacing w:val="4"/>
          <w:kern w:val="0"/>
          <w:sz w:val="24"/>
          <w:szCs w:val="24"/>
          <w:highlight w:val="none"/>
          <w14:textFill>
            <w14:solidFill>
              <w14:schemeClr w14:val="tx1"/>
            </w14:solidFill>
          </w14:textFill>
        </w:rPr>
        <w:t>格式七：施工组织架构图</w:t>
      </w:r>
      <w:bookmarkEnd w:id="98"/>
      <w:bookmarkEnd w:id="99"/>
      <w:bookmarkEnd w:id="104"/>
      <w:bookmarkEnd w:id="105"/>
      <w:bookmarkEnd w:id="106"/>
    </w:p>
    <w:p>
      <w:pPr>
        <w:topLinePunct/>
        <w:adjustRightInd w:val="0"/>
        <w:snapToGrid w:val="0"/>
        <w:spacing w:before="156" w:after="156"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施工组织架构图</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注：</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1、投标人应结合本工程的类型和特点，科学、合理地设置本项目的施工组织架构；</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bookmarkStart w:id="107" w:name="_Toc163337625"/>
      <w:bookmarkStart w:id="108" w:name="_Toc226209008"/>
      <w:bookmarkStart w:id="109" w:name="_Toc352623426"/>
      <w:bookmarkStart w:id="110" w:name="_Toc318924500"/>
      <w:bookmarkStart w:id="111" w:name="_Toc484958704"/>
      <w:bookmarkStart w:id="112" w:name="_Toc352240528"/>
      <w:bookmarkStart w:id="113" w:name="_Toc358370583"/>
      <w:bookmarkStart w:id="114" w:name="_Toc395261104"/>
      <w:bookmarkStart w:id="115" w:name="_Toc239216036"/>
      <w:bookmarkStart w:id="116" w:name="_Toc464131229"/>
      <w:bookmarkStart w:id="117" w:name="_Toc239311751"/>
      <w:bookmarkStart w:id="118" w:name="_Toc337720096"/>
      <w:bookmarkStart w:id="119" w:name="_Toc449308425"/>
      <w:bookmarkStart w:id="120" w:name="_Toc369536775"/>
      <w:r>
        <w:rPr>
          <w:rFonts w:hint="eastAsia" w:ascii="宋体" w:hAnsi="宋体"/>
          <w:snapToGrid w:val="0"/>
          <w:color w:val="000000" w:themeColor="text1"/>
          <w:spacing w:val="4"/>
          <w:kern w:val="0"/>
          <w:sz w:val="24"/>
          <w:szCs w:val="24"/>
          <w:highlight w:val="none"/>
          <w14:textFill>
            <w14:solidFill>
              <w14:schemeClr w14:val="tx1"/>
            </w14:solidFill>
          </w14:textFill>
        </w:rPr>
        <w:t>2、施工组织架构图由投标人</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Pr>
          <w:rFonts w:hint="eastAsia" w:ascii="宋体" w:hAnsi="宋体"/>
          <w:snapToGrid w:val="0"/>
          <w:color w:val="000000" w:themeColor="text1"/>
          <w:spacing w:val="4"/>
          <w:kern w:val="0"/>
          <w:sz w:val="24"/>
          <w:szCs w:val="24"/>
          <w:highlight w:val="none"/>
          <w14:textFill>
            <w14:solidFill>
              <w14:schemeClr w14:val="tx1"/>
            </w14:solidFill>
          </w14:textFill>
        </w:rPr>
        <w:t>结合招标人对本工程的具体要求自行设定；</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3、可结合自身情况附相关</w:t>
      </w:r>
      <w:r>
        <w:rPr>
          <w:rFonts w:ascii="宋体" w:hAnsi="宋体"/>
          <w:snapToGrid w:val="0"/>
          <w:color w:val="000000" w:themeColor="text1"/>
          <w:spacing w:val="4"/>
          <w:kern w:val="0"/>
          <w:sz w:val="24"/>
          <w:szCs w:val="24"/>
          <w:highlight w:val="none"/>
          <w14:textFill>
            <w14:solidFill>
              <w14:schemeClr w14:val="tx1"/>
            </w14:solidFill>
          </w14:textFill>
        </w:rPr>
        <w:t>辅助说明资料。</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投标人：　　（盖章）</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法定代表人或授权代理人(签字或盖章)：</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日   期：    年    月    日 </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sectPr>
          <w:pgSz w:w="11907" w:h="16840"/>
          <w:pgMar w:top="1418" w:right="1418" w:bottom="1418" w:left="1418" w:header="851" w:footer="851" w:gutter="0"/>
          <w:pgNumType w:fmt="decimal"/>
          <w:cols w:space="720" w:num="1"/>
          <w:docGrid w:type="lines" w:linePitch="312" w:charSpace="0"/>
        </w:sectPr>
      </w:pPr>
    </w:p>
    <w:p>
      <w:pPr>
        <w:topLinePunct/>
        <w:adjustRightInd w:val="0"/>
        <w:snapToGrid w:val="0"/>
        <w:spacing w:before="156" w:after="156" w:line="360" w:lineRule="auto"/>
        <w:outlineLvl w:val="2"/>
        <w:rPr>
          <w:rFonts w:ascii="宋体" w:hAnsi="宋体"/>
          <w:b/>
          <w:bCs/>
          <w:color w:val="000000" w:themeColor="text1"/>
          <w:kern w:val="0"/>
          <w:sz w:val="24"/>
          <w:szCs w:val="24"/>
          <w:highlight w:val="none"/>
          <w14:textFill>
            <w14:solidFill>
              <w14:schemeClr w14:val="tx1"/>
            </w14:solidFill>
          </w14:textFill>
        </w:rPr>
      </w:pPr>
      <w:bookmarkStart w:id="121" w:name="_Toc14697662"/>
      <w:bookmarkStart w:id="122" w:name="_Toc4818"/>
      <w:r>
        <w:rPr>
          <w:rFonts w:hint="eastAsia" w:ascii="宋体" w:hAnsi="宋体"/>
          <w:b/>
          <w:bCs/>
          <w:color w:val="000000" w:themeColor="text1"/>
          <w:kern w:val="0"/>
          <w:sz w:val="24"/>
          <w:szCs w:val="24"/>
          <w:highlight w:val="none"/>
          <w14:textFill>
            <w14:solidFill>
              <w14:schemeClr w14:val="tx1"/>
            </w14:solidFill>
          </w14:textFill>
        </w:rPr>
        <w:t>格式八：投入主要人员汇总表</w:t>
      </w:r>
      <w:bookmarkEnd w:id="121"/>
      <w:bookmarkEnd w:id="122"/>
    </w:p>
    <w:p>
      <w:pPr>
        <w:widowControl/>
        <w:topLinePunct/>
        <w:adjustRightInd w:val="0"/>
        <w:snapToGrid w:val="0"/>
        <w:spacing w:before="156" w:after="156" w:line="360" w:lineRule="auto"/>
        <w:jc w:val="center"/>
        <w:rPr>
          <w:rFonts w:ascii="宋体" w:hAnsi="宋体"/>
          <w:b/>
          <w:snapToGrid w:val="0"/>
          <w:color w:val="000000" w:themeColor="text1"/>
          <w:spacing w:val="4"/>
          <w:kern w:val="0"/>
          <w:sz w:val="32"/>
          <w:szCs w:val="32"/>
          <w:highlight w:val="none"/>
          <w14:textFill>
            <w14:solidFill>
              <w14:schemeClr w14:val="tx1"/>
            </w14:solidFill>
          </w14:textFill>
        </w:rPr>
      </w:pPr>
      <w:r>
        <w:rPr>
          <w:rFonts w:hint="eastAsia" w:ascii="宋体" w:hAnsi="宋体"/>
          <w:b/>
          <w:snapToGrid w:val="0"/>
          <w:color w:val="000000" w:themeColor="text1"/>
          <w:spacing w:val="4"/>
          <w:kern w:val="0"/>
          <w:sz w:val="32"/>
          <w:szCs w:val="32"/>
          <w:highlight w:val="none"/>
          <w14:textFill>
            <w14:solidFill>
              <w14:schemeClr w14:val="tx1"/>
            </w14:solidFill>
          </w14:textFill>
        </w:rPr>
        <w:t>投入主要人员汇总表</w:t>
      </w:r>
    </w:p>
    <w:tbl>
      <w:tblPr>
        <w:tblStyle w:val="18"/>
        <w:tblpPr w:leftFromText="180" w:rightFromText="180" w:vertAnchor="text" w:horzAnchor="margin" w:tblpX="-200" w:tblpY="44"/>
        <w:tblOverlap w:val="never"/>
        <w:tblW w:w="97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420"/>
        <w:gridCol w:w="458"/>
        <w:gridCol w:w="356"/>
        <w:gridCol w:w="644"/>
        <w:gridCol w:w="425"/>
        <w:gridCol w:w="446"/>
        <w:gridCol w:w="976"/>
        <w:gridCol w:w="573"/>
        <w:gridCol w:w="3456"/>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63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序号</w:t>
            </w:r>
          </w:p>
        </w:tc>
        <w:tc>
          <w:tcPr>
            <w:tcW w:w="420"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姓名</w:t>
            </w:r>
          </w:p>
        </w:tc>
        <w:tc>
          <w:tcPr>
            <w:tcW w:w="458"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年龄</w:t>
            </w:r>
          </w:p>
        </w:tc>
        <w:tc>
          <w:tcPr>
            <w:tcW w:w="356"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工作年限</w:t>
            </w:r>
          </w:p>
        </w:tc>
        <w:tc>
          <w:tcPr>
            <w:tcW w:w="644"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所学专业</w:t>
            </w: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职称、资格证书</w:t>
            </w:r>
          </w:p>
        </w:tc>
        <w:tc>
          <w:tcPr>
            <w:tcW w:w="446"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原任职务</w:t>
            </w:r>
          </w:p>
        </w:tc>
        <w:tc>
          <w:tcPr>
            <w:tcW w:w="976"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在本项目任职</w:t>
            </w:r>
          </w:p>
        </w:tc>
        <w:tc>
          <w:tcPr>
            <w:tcW w:w="573"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数量</w:t>
            </w:r>
          </w:p>
        </w:tc>
        <w:tc>
          <w:tcPr>
            <w:tcW w:w="3456"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基本要求</w:t>
            </w:r>
          </w:p>
        </w:tc>
        <w:tc>
          <w:tcPr>
            <w:tcW w:w="133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t>指挥长</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t>由投标人现任副总经理、总工程师或以上行政职务担任，且应已任该职满半年或以上的领导或招标人认可的人员担任。</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adjustRightInd w:val="0"/>
              <w:snapToGrid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项目</w:t>
            </w:r>
            <w:r>
              <w:rPr>
                <w:rFonts w:hint="eastAsia" w:ascii="宋体" w:hAnsi="宋体" w:eastAsia="宋体" w:cs="Times New Roman"/>
                <w:color w:val="000000" w:themeColor="text1"/>
                <w:sz w:val="21"/>
                <w:szCs w:val="21"/>
                <w:highlight w:val="none"/>
                <w:lang w:val="en-US" w:eastAsia="zh-CN"/>
                <w14:textFill>
                  <w14:solidFill>
                    <w14:schemeClr w14:val="tx1"/>
                  </w14:solidFill>
                </w14:textFill>
              </w:rPr>
              <w:t>负责人</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ind w:left="0" w:right="0"/>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t>满足招标公告要求</w:t>
            </w:r>
            <w:r>
              <w:rPr>
                <w:rFonts w:hint="eastAsia" w:ascii="宋体" w:hAnsi="宋体" w:cs="宋体"/>
                <w:color w:val="000000" w:themeColor="text1"/>
                <w:kern w:val="2"/>
                <w:sz w:val="21"/>
                <w:szCs w:val="21"/>
                <w:highlight w:val="none"/>
                <w:lang w:val="en-US" w:eastAsia="zh-CN" w:bidi="ar-SA"/>
                <w14:textFill>
                  <w14:solidFill>
                    <w14:schemeClr w14:val="tx1"/>
                  </w14:solidFill>
                </w14:textFill>
              </w:rPr>
              <w:t>。</w:t>
            </w:r>
          </w:p>
        </w:tc>
        <w:tc>
          <w:tcPr>
            <w:tcW w:w="1335" w:type="dxa"/>
            <w:noWrap w:val="0"/>
            <w:vAlign w:val="center"/>
          </w:tcPr>
          <w:p>
            <w:pPr>
              <w:keepNext w:val="0"/>
              <w:keepLines w:val="0"/>
              <w:suppressLineNumbers w:val="0"/>
              <w:spacing w:before="0" w:beforeAutospacing="0" w:after="0" w:afterAutospacing="0"/>
              <w:ind w:left="0" w:right="0"/>
              <w:jc w:val="left"/>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技术负责人</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t>满足招标公告要求</w:t>
            </w:r>
            <w:r>
              <w:rPr>
                <w:rFonts w:hint="eastAsia" w:ascii="宋体" w:hAnsi="宋体" w:cs="宋体"/>
                <w:color w:val="000000" w:themeColor="text1"/>
                <w:kern w:val="2"/>
                <w:sz w:val="21"/>
                <w:szCs w:val="21"/>
                <w:highlight w:val="none"/>
                <w:lang w:val="en-US" w:eastAsia="zh-CN" w:bidi="ar-SA"/>
                <w14:textFill>
                  <w14:solidFill>
                    <w14:schemeClr w14:val="tx1"/>
                  </w14:solidFill>
                </w14:textFill>
              </w:rPr>
              <w:t>。</w:t>
            </w:r>
          </w:p>
        </w:tc>
        <w:tc>
          <w:tcPr>
            <w:tcW w:w="1335" w:type="dxa"/>
            <w:noWrap w:val="0"/>
            <w:vAlign w:val="center"/>
          </w:tcPr>
          <w:p>
            <w:pPr>
              <w:keepNext w:val="0"/>
              <w:keepLines w:val="0"/>
              <w:suppressLineNumbers w:val="0"/>
              <w:spacing w:before="0" w:beforeAutospacing="0" w:after="0" w:afterAutospacing="0"/>
              <w:ind w:left="0" w:right="0"/>
              <w:jc w:val="left"/>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4</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土建工程师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strike w:val="0"/>
                <w:color w:val="000000" w:themeColor="text1"/>
                <w:sz w:val="21"/>
                <w:szCs w:val="21"/>
                <w:highlight w:val="none"/>
                <w14:textFill>
                  <w14:solidFill>
                    <w14:schemeClr w14:val="tx1"/>
                  </w14:solidFill>
                </w14:textFill>
              </w:rPr>
              <w:t>所学专业或职称为建筑工程类相关专业，</w:t>
            </w:r>
            <w:r>
              <w:rPr>
                <w:rFonts w:hint="eastAsia" w:ascii="宋体" w:hAnsi="宋体" w:eastAsia="宋体" w:cs="Times New Roman"/>
                <w:color w:val="000000" w:themeColor="text1"/>
                <w:sz w:val="21"/>
                <w:szCs w:val="21"/>
                <w:highlight w:val="none"/>
                <w14:textFill>
                  <w14:solidFill>
                    <w14:schemeClr w14:val="tx1"/>
                  </w14:solidFill>
                </w14:textFill>
              </w:rPr>
              <w:t>具备中级或以上技术职称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center"/>
          </w:tcPr>
          <w:p>
            <w:pPr>
              <w:keepNext w:val="0"/>
              <w:keepLines w:val="0"/>
              <w:suppressLineNumbers w:val="0"/>
              <w:spacing w:before="0" w:beforeAutospacing="0" w:after="0" w:afterAutospacing="0"/>
              <w:ind w:left="0" w:right="0"/>
              <w:jc w:val="left"/>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5</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电气工程师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strike w:val="0"/>
                <w:color w:val="000000" w:themeColor="text1"/>
                <w:sz w:val="21"/>
                <w:szCs w:val="21"/>
                <w:highlight w:val="none"/>
                <w14:textFill>
                  <w14:solidFill>
                    <w14:schemeClr w14:val="tx1"/>
                  </w14:solidFill>
                </w14:textFill>
              </w:rPr>
              <w:t>所学专业或职称为电气类相关专业，</w:t>
            </w:r>
            <w:r>
              <w:rPr>
                <w:rFonts w:hint="eastAsia" w:ascii="宋体" w:hAnsi="宋体" w:eastAsia="宋体" w:cs="Times New Roman"/>
                <w:color w:val="000000" w:themeColor="text1"/>
                <w:sz w:val="21"/>
                <w:szCs w:val="21"/>
                <w:highlight w:val="none"/>
                <w14:textFill>
                  <w14:solidFill>
                    <w14:schemeClr w14:val="tx1"/>
                  </w14:solidFill>
                </w14:textFill>
              </w:rPr>
              <w:t>具备中级或以上技术职称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6</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给排水工程师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top"/>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所学专业或职称为给排水类相关专业，具备中级或以上技术职称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7</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装饰装修工程师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所学专业或职称为装饰装修类相关专业，具备中级或以上技术职称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8</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造价工程师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widowControl w:val="0"/>
              <w:suppressLineNumbers w:val="0"/>
              <w:adjustRightInd w:val="0"/>
              <w:snapToGrid w:val="0"/>
              <w:spacing w:before="0" w:beforeAutospacing="0" w:after="0" w:afterAutospacing="0" w:line="360" w:lineRule="auto"/>
              <w:ind w:left="0" w:right="0"/>
              <w:jc w:val="both"/>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lang w:val="en-US" w:eastAsia="zh-CN"/>
                <w14:textFill>
                  <w14:solidFill>
                    <w14:schemeClr w14:val="tx1"/>
                  </w14:solidFill>
                </w14:textFill>
              </w:rPr>
              <w:t>具有一级注册造价工程师资格。</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default" w:ascii="宋体" w:hAnsi="宋体" w:cs="宋体"/>
                <w:color w:val="000000" w:themeColor="text1"/>
                <w:szCs w:val="21"/>
                <w:highlight w:val="none"/>
                <w14:textFill>
                  <w14:solidFill>
                    <w14:schemeClr w14:val="tx1"/>
                  </w14:solidFill>
                </w14:textFill>
              </w:rPr>
              <w:t>9</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测量工程师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bCs w:val="0"/>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所学专业或职称为测量类或建筑工程相关专业，中级或以上技术职称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w:t>
            </w:r>
            <w:r>
              <w:rPr>
                <w:rFonts w:hint="default" w:ascii="宋体" w:hAnsi="宋体" w:cs="宋体"/>
                <w:color w:val="000000" w:themeColor="text1"/>
                <w:szCs w:val="21"/>
                <w:highlight w:val="none"/>
                <w14:textFill>
                  <w14:solidFill>
                    <w14:schemeClr w14:val="tx1"/>
                  </w14:solidFill>
                </w14:textFill>
              </w:rPr>
              <w:t>0</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机械设备管理工程师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bCs/>
                <w:color w:val="000000" w:themeColor="text1"/>
                <w:kern w:val="44"/>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所学专业或职称为</w:t>
            </w:r>
            <w:r>
              <w:rPr>
                <w:rFonts w:hint="eastAsia" w:ascii="宋体" w:hAnsi="宋体" w:eastAsia="宋体" w:cs="Times New Roman"/>
                <w:color w:val="000000" w:themeColor="text1"/>
                <w:sz w:val="21"/>
                <w:szCs w:val="21"/>
                <w:highlight w:val="none"/>
                <w:lang w:val="en-US" w:eastAsia="zh-CN"/>
                <w14:textFill>
                  <w14:solidFill>
                    <w14:schemeClr w14:val="tx1"/>
                  </w14:solidFill>
                </w14:textFill>
              </w:rPr>
              <w:t>机电工程</w:t>
            </w:r>
            <w:r>
              <w:rPr>
                <w:rFonts w:hint="eastAsia" w:ascii="宋体" w:hAnsi="宋体" w:eastAsia="宋体" w:cs="Times New Roman"/>
                <w:color w:val="000000" w:themeColor="text1"/>
                <w:sz w:val="21"/>
                <w:szCs w:val="21"/>
                <w:highlight w:val="none"/>
                <w14:textFill>
                  <w14:solidFill>
                    <w14:schemeClr w14:val="tx1"/>
                  </w14:solidFill>
                </w14:textFill>
              </w:rPr>
              <w:t>类相关专业，具备中级或以上技术职称</w:t>
            </w:r>
            <w:r>
              <w:rPr>
                <w:rFonts w:hint="eastAsia" w:ascii="宋体" w:hAnsi="宋体" w:eastAsia="宋体" w:cs="Times New Roman"/>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w:t>
            </w:r>
            <w:r>
              <w:rPr>
                <w:rFonts w:hint="default" w:ascii="宋体" w:hAnsi="宋体" w:cs="宋体"/>
                <w:color w:val="000000" w:themeColor="text1"/>
                <w:szCs w:val="21"/>
                <w:highlight w:val="none"/>
                <w14:textFill>
                  <w14:solidFill>
                    <w14:schemeClr w14:val="tx1"/>
                  </w14:solidFill>
                </w14:textFill>
              </w:rPr>
              <w:t>1</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专职安全员</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bCs w:val="0"/>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满足招标公告要求。</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leftChars="0" w:right="0" w:rightChars="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w:t>
            </w:r>
            <w:r>
              <w:rPr>
                <w:rFonts w:hint="default" w:ascii="宋体" w:hAnsi="宋体" w:cs="宋体"/>
                <w:color w:val="000000" w:themeColor="text1"/>
                <w:szCs w:val="21"/>
                <w:highlight w:val="none"/>
                <w:lang w:eastAsia="zh-CN"/>
                <w14:textFill>
                  <w14:solidFill>
                    <w14:schemeClr w14:val="tx1"/>
                  </w14:solidFill>
                </w14:textFill>
              </w:rPr>
              <w:t>2</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资料员</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top"/>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lang w:eastAsia="zh-CN"/>
                <w14:textFill>
                  <w14:solidFill>
                    <w14:schemeClr w14:val="tx1"/>
                  </w14:solidFill>
                </w14:textFill>
              </w:rPr>
              <w:t>所学专业或职称为建筑工程相关专业，大专或以上学历。具有建设行政主管部门或其授权的机构或行业协会等颁发的资料员岗位证书或上岗证或培训证。</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leftChars="0" w:right="0" w:rightChars="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w:t>
            </w:r>
            <w:r>
              <w:rPr>
                <w:rFonts w:hint="default" w:ascii="宋体" w:hAnsi="宋体" w:cs="宋体"/>
                <w:color w:val="000000" w:themeColor="text1"/>
                <w:szCs w:val="21"/>
                <w:highlight w:val="none"/>
                <w:lang w:eastAsia="zh-CN"/>
                <w14:textFill>
                  <w14:solidFill>
                    <w14:schemeClr w14:val="tx1"/>
                  </w14:solidFill>
                </w14:textFill>
              </w:rPr>
              <w:t>3</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技术员</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top"/>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eastAsia="zh-CN" w:bidi="ar-SA"/>
                <w14:textFill>
                  <w14:solidFill>
                    <w14:schemeClr w14:val="tx1"/>
                  </w14:solidFill>
                </w14:textFill>
              </w:rPr>
            </w:pPr>
            <w:r>
              <w:rPr>
                <w:rFonts w:hint="eastAsia" w:ascii="宋体" w:hAnsi="宋体" w:eastAsia="宋体" w:cs="Times New Roman"/>
                <w:strike w:val="0"/>
                <w:color w:val="000000" w:themeColor="text1"/>
                <w:sz w:val="21"/>
                <w:szCs w:val="21"/>
                <w:highlight w:val="none"/>
                <w:lang w:val="en-US" w:eastAsia="zh-CN"/>
                <w14:textFill>
                  <w14:solidFill>
                    <w14:schemeClr w14:val="tx1"/>
                  </w14:solidFill>
                </w14:textFill>
              </w:rPr>
              <w:t>所学专业或职称为建筑工程类及机电工程类相关专业各一名，大学本科或以上学历。</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leftChars="0" w:right="0" w:rightChars="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w:t>
            </w:r>
            <w:r>
              <w:rPr>
                <w:rFonts w:hint="default" w:ascii="宋体" w:hAnsi="宋体" w:cs="宋体"/>
                <w:color w:val="000000" w:themeColor="text1"/>
                <w:szCs w:val="21"/>
                <w:highlight w:val="none"/>
                <w:lang w:eastAsia="zh-CN"/>
                <w14:textFill>
                  <w14:solidFill>
                    <w14:schemeClr w14:val="tx1"/>
                  </w14:solidFill>
                </w14:textFill>
              </w:rPr>
              <w:t>4</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施工员</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center"/>
          </w:tcPr>
          <w:p>
            <w:pPr>
              <w:keepNext w:val="0"/>
              <w:keepLines w:val="0"/>
              <w:widowControl w:val="0"/>
              <w:suppressLineNumbers w:val="0"/>
              <w:adjustRightInd w:val="0"/>
              <w:snapToGrid w:val="0"/>
              <w:spacing w:before="0" w:beforeAutospacing="0" w:after="0" w:afterAutospacing="0" w:line="360" w:lineRule="auto"/>
              <w:ind w:left="0" w:right="0"/>
              <w:jc w:val="both"/>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strike w:val="0"/>
                <w:color w:val="000000" w:themeColor="text1"/>
                <w:sz w:val="21"/>
                <w:szCs w:val="21"/>
                <w:highlight w:val="none"/>
                <w14:textFill>
                  <w14:solidFill>
                    <w14:schemeClr w14:val="tx1"/>
                  </w14:solidFill>
                </w14:textFill>
              </w:rPr>
              <w:t>大专或以上学历，具有建设行政主管部门或其授权的机构或行业协会等颁发的施工员岗位证书或上岗证或培训证。</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leftChars="0" w:right="0" w:rightChars="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w:t>
            </w:r>
            <w:r>
              <w:rPr>
                <w:rFonts w:hint="default" w:ascii="宋体" w:hAnsi="宋体" w:cs="宋体"/>
                <w:color w:val="000000" w:themeColor="text1"/>
                <w:szCs w:val="21"/>
                <w:highlight w:val="none"/>
                <w:lang w:eastAsia="zh-CN"/>
                <w14:textFill>
                  <w14:solidFill>
                    <w14:schemeClr w14:val="tx1"/>
                  </w14:solidFill>
                </w14:textFill>
              </w:rPr>
              <w:t>5</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材料</w:t>
            </w:r>
            <w:r>
              <w:rPr>
                <w:rFonts w:hint="eastAsia" w:ascii="宋体" w:hAnsi="宋体" w:eastAsia="宋体" w:cs="Times New Roman"/>
                <w:color w:val="000000" w:themeColor="text1"/>
                <w:sz w:val="21"/>
                <w:szCs w:val="21"/>
                <w:highlight w:val="none"/>
                <w:lang w:val="en-US" w:eastAsia="zh-CN"/>
                <w14:textFill>
                  <w14:solidFill>
                    <w14:schemeClr w14:val="tx1"/>
                  </w14:solidFill>
                </w14:textFill>
              </w:rPr>
              <w:t>管理工程师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top"/>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具备建筑工程类相关专业初级或以上技术职称。</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0"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leftChars="0" w:right="0" w:rightChars="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w:t>
            </w:r>
            <w:r>
              <w:rPr>
                <w:rFonts w:hint="default" w:ascii="宋体" w:hAnsi="宋体" w:cs="宋体"/>
                <w:color w:val="000000" w:themeColor="text1"/>
                <w:szCs w:val="21"/>
                <w:highlight w:val="none"/>
                <w:lang w:eastAsia="zh-CN"/>
                <w14:textFill>
                  <w14:solidFill>
                    <w14:schemeClr w14:val="tx1"/>
                  </w14:solidFill>
                </w14:textFill>
              </w:rPr>
              <w:t>6</w:t>
            </w: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color w:val="000000" w:themeColor="text1"/>
                <w:szCs w:val="21"/>
                <w:highlight w:val="none"/>
                <w14:textFill>
                  <w14:solidFill>
                    <w14:schemeClr w14:val="tx1"/>
                  </w14:solidFill>
                </w14:textFill>
              </w:rPr>
            </w:pPr>
          </w:p>
        </w:tc>
        <w:tc>
          <w:tcPr>
            <w:tcW w:w="446" w:type="dxa"/>
            <w:shd w:val="clear" w:color="auto" w:fill="auto"/>
            <w:noWrap w:val="0"/>
            <w:vAlign w:val="top"/>
          </w:tcPr>
          <w:p>
            <w:pPr>
              <w:keepNext w:val="0"/>
              <w:keepLines w:val="0"/>
              <w:suppressLineNumbers w:val="0"/>
              <w:spacing w:before="0" w:beforeAutospacing="0" w:after="0" w:afterAutospacing="0" w:line="240" w:lineRule="exact"/>
              <w:ind w:left="0" w:right="0"/>
              <w:rPr>
                <w:rFonts w:hint="default" w:ascii="宋体" w:hAnsi="宋体" w:cs="宋体"/>
                <w:color w:val="000000" w:themeColor="text1"/>
                <w:szCs w:val="21"/>
                <w:highlight w:val="none"/>
                <w14:textFill>
                  <w14:solidFill>
                    <w14:schemeClr w14:val="tx1"/>
                  </w14:solidFill>
                </w14:textFill>
              </w:rPr>
            </w:pPr>
          </w:p>
        </w:tc>
        <w:tc>
          <w:tcPr>
            <w:tcW w:w="976" w:type="dxa"/>
            <w:shd w:val="clear" w:color="auto" w:fill="auto"/>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sz w:val="21"/>
                <w:szCs w:val="21"/>
                <w:highlight w:val="none"/>
                <w14:textFill>
                  <w14:solidFill>
                    <w14:schemeClr w14:val="tx1"/>
                  </w14:solidFill>
                </w14:textFill>
              </w:rPr>
              <w:t>试验检测工程师</w:t>
            </w:r>
          </w:p>
        </w:tc>
        <w:tc>
          <w:tcPr>
            <w:tcW w:w="573" w:type="dxa"/>
            <w:shd w:val="clear" w:color="auto" w:fill="auto"/>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eastAsia="宋体" w:cs="宋体"/>
                <w:color w:val="000000" w:themeColor="text1"/>
                <w:kern w:val="2"/>
                <w:sz w:val="21"/>
                <w:szCs w:val="21"/>
                <w:highlight w:val="none"/>
                <w:lang w:val="en-US" w:eastAsia="zh-CN" w:bidi="ar-SA"/>
                <w14:textFill>
                  <w14:solidFill>
                    <w14:schemeClr w14:val="tx1"/>
                  </w14:solidFill>
                </w14:textFill>
              </w:rPr>
            </w:pPr>
          </w:p>
        </w:tc>
        <w:tc>
          <w:tcPr>
            <w:tcW w:w="3456" w:type="dxa"/>
            <w:shd w:val="clear" w:color="auto" w:fill="auto"/>
            <w:noWrap w:val="0"/>
            <w:vAlign w:val="top"/>
          </w:tcPr>
          <w:p>
            <w:pPr>
              <w:keepNext w:val="0"/>
              <w:keepLines w:val="0"/>
              <w:suppressLineNumbers w:val="0"/>
              <w:adjustRightInd w:val="0"/>
              <w:snapToGrid w:val="0"/>
              <w:spacing w:before="0" w:beforeAutospacing="0" w:after="0" w:afterAutospacing="0" w:line="360" w:lineRule="auto"/>
              <w:ind w:left="0" w:right="0"/>
              <w:jc w:val="left"/>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所学专业或职称为建筑工程类相关专业，具备初级或以上技术职称和试验检测资格证</w:t>
            </w:r>
            <w:r>
              <w:rPr>
                <w:rFonts w:hint="eastAsia" w:ascii="宋体" w:hAnsi="宋体" w:eastAsia="宋体" w:cs="宋体"/>
                <w:color w:val="000000" w:themeColor="text1"/>
                <w:sz w:val="21"/>
                <w:szCs w:val="21"/>
                <w:highlight w:val="none"/>
                <w:lang w:eastAsia="zh-CN"/>
                <w14:textFill>
                  <w14:solidFill>
                    <w14:schemeClr w14:val="tx1"/>
                  </w14:solidFill>
                </w14:textFill>
              </w:rPr>
              <w:t>。</w:t>
            </w: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35"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strike/>
                <w:color w:val="000000" w:themeColor="text1"/>
                <w:szCs w:val="21"/>
                <w:highlight w:val="none"/>
                <w14:textFill>
                  <w14:solidFill>
                    <w14:schemeClr w14:val="tx1"/>
                  </w14:solidFill>
                </w14:textFill>
              </w:rPr>
            </w:pPr>
          </w:p>
        </w:tc>
        <w:tc>
          <w:tcPr>
            <w:tcW w:w="420" w:type="dxa"/>
            <w:noWrap w:val="0"/>
            <w:vAlign w:val="center"/>
          </w:tcPr>
          <w:p>
            <w:pPr>
              <w:keepNext w:val="0"/>
              <w:keepLines w:val="0"/>
              <w:widowControl/>
              <w:suppressLineNumbers w:val="0"/>
              <w:spacing w:before="0" w:beforeAutospacing="0" w:after="0" w:afterAutospacing="0" w:line="240" w:lineRule="exact"/>
              <w:ind w:left="0" w:right="0"/>
              <w:jc w:val="center"/>
              <w:rPr>
                <w:rFonts w:hint="default" w:ascii="宋体" w:hAnsi="宋体" w:cs="宋体"/>
                <w:strike/>
                <w:color w:val="000000" w:themeColor="text1"/>
                <w:kern w:val="0"/>
                <w:szCs w:val="21"/>
                <w:highlight w:val="none"/>
                <w14:textFill>
                  <w14:solidFill>
                    <w14:schemeClr w14:val="tx1"/>
                  </w14:solidFill>
                </w14:textFill>
              </w:rPr>
            </w:pPr>
          </w:p>
        </w:tc>
        <w:tc>
          <w:tcPr>
            <w:tcW w:w="458"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strike/>
                <w:color w:val="000000" w:themeColor="text1"/>
                <w:szCs w:val="21"/>
                <w:highlight w:val="none"/>
                <w14:textFill>
                  <w14:solidFill>
                    <w14:schemeClr w14:val="tx1"/>
                  </w14:solidFill>
                </w14:textFill>
              </w:rPr>
            </w:pPr>
          </w:p>
        </w:tc>
        <w:tc>
          <w:tcPr>
            <w:tcW w:w="356"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strike/>
                <w:color w:val="000000" w:themeColor="text1"/>
                <w:szCs w:val="21"/>
                <w:highlight w:val="none"/>
                <w14:textFill>
                  <w14:solidFill>
                    <w14:schemeClr w14:val="tx1"/>
                  </w14:solidFill>
                </w14:textFill>
              </w:rPr>
            </w:pPr>
          </w:p>
        </w:tc>
        <w:tc>
          <w:tcPr>
            <w:tcW w:w="644" w:type="dxa"/>
            <w:noWrap w:val="0"/>
            <w:vAlign w:val="top"/>
          </w:tcPr>
          <w:p>
            <w:pPr>
              <w:keepNext w:val="0"/>
              <w:keepLines w:val="0"/>
              <w:suppressLineNumbers w:val="0"/>
              <w:spacing w:before="0" w:beforeAutospacing="0" w:after="0" w:afterAutospacing="0" w:line="240" w:lineRule="exact"/>
              <w:ind w:left="0" w:right="0"/>
              <w:jc w:val="center"/>
              <w:rPr>
                <w:rFonts w:hint="default" w:ascii="宋体" w:hAnsi="宋体" w:cs="宋体"/>
                <w:strike/>
                <w:color w:val="000000" w:themeColor="text1"/>
                <w:szCs w:val="21"/>
                <w:highlight w:val="none"/>
                <w14:textFill>
                  <w14:solidFill>
                    <w14:schemeClr w14:val="tx1"/>
                  </w14:solidFill>
                </w14:textFill>
              </w:rPr>
            </w:pPr>
          </w:p>
        </w:tc>
        <w:tc>
          <w:tcPr>
            <w:tcW w:w="425" w:type="dxa"/>
            <w:noWrap w:val="0"/>
            <w:vAlign w:val="center"/>
          </w:tcPr>
          <w:p>
            <w:pPr>
              <w:keepNext w:val="0"/>
              <w:keepLines w:val="0"/>
              <w:suppressLineNumbers w:val="0"/>
              <w:spacing w:before="0" w:beforeAutospacing="0" w:after="0" w:afterAutospacing="0" w:line="240" w:lineRule="exact"/>
              <w:ind w:left="0" w:right="0"/>
              <w:jc w:val="center"/>
              <w:rPr>
                <w:rFonts w:hint="default" w:ascii="宋体" w:hAnsi="宋体" w:cs="宋体"/>
                <w:strike/>
                <w:color w:val="000000" w:themeColor="text1"/>
                <w:szCs w:val="21"/>
                <w:highlight w:val="none"/>
                <w14:textFill>
                  <w14:solidFill>
                    <w14:schemeClr w14:val="tx1"/>
                  </w14:solidFill>
                </w14:textFill>
              </w:rPr>
            </w:pPr>
          </w:p>
        </w:tc>
        <w:tc>
          <w:tcPr>
            <w:tcW w:w="446" w:type="dxa"/>
            <w:noWrap w:val="0"/>
            <w:vAlign w:val="top"/>
          </w:tcPr>
          <w:p>
            <w:pPr>
              <w:keepNext w:val="0"/>
              <w:keepLines w:val="0"/>
              <w:suppressLineNumbers w:val="0"/>
              <w:spacing w:before="0" w:beforeAutospacing="0" w:after="0" w:afterAutospacing="0" w:line="240" w:lineRule="exact"/>
              <w:ind w:left="0" w:right="0"/>
              <w:rPr>
                <w:rFonts w:hint="default" w:ascii="宋体" w:hAnsi="宋体" w:cs="宋体"/>
                <w:strike/>
                <w:color w:val="000000" w:themeColor="text1"/>
                <w:szCs w:val="21"/>
                <w:highlight w:val="none"/>
                <w14:textFill>
                  <w14:solidFill>
                    <w14:schemeClr w14:val="tx1"/>
                  </w14:solidFill>
                </w14:textFill>
              </w:rPr>
            </w:pPr>
          </w:p>
        </w:tc>
        <w:tc>
          <w:tcPr>
            <w:tcW w:w="976"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w:t>
            </w:r>
          </w:p>
        </w:tc>
        <w:tc>
          <w:tcPr>
            <w:tcW w:w="573" w:type="dxa"/>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宋体" w:hAnsi="宋体" w:cs="宋体"/>
                <w:bCs/>
                <w:strike/>
                <w:color w:val="000000" w:themeColor="text1"/>
                <w:kern w:val="44"/>
                <w:szCs w:val="21"/>
                <w:highlight w:val="none"/>
                <w14:textFill>
                  <w14:solidFill>
                    <w14:schemeClr w14:val="tx1"/>
                  </w14:solidFill>
                </w14:textFill>
              </w:rPr>
            </w:pPr>
          </w:p>
        </w:tc>
        <w:tc>
          <w:tcPr>
            <w:tcW w:w="3456" w:type="dxa"/>
            <w:noWrap w:val="0"/>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cs="宋体"/>
                <w:strike/>
                <w:color w:val="000000" w:themeColor="text1"/>
                <w:szCs w:val="21"/>
                <w:highlight w:val="none"/>
                <w14:textFill>
                  <w14:solidFill>
                    <w14:schemeClr w14:val="tx1"/>
                  </w14:solidFill>
                </w14:textFill>
              </w:rPr>
            </w:pPr>
          </w:p>
        </w:tc>
        <w:tc>
          <w:tcPr>
            <w:tcW w:w="1335" w:type="dxa"/>
            <w:noWrap w:val="0"/>
            <w:vAlign w:val="top"/>
          </w:tcPr>
          <w:p>
            <w:pPr>
              <w:keepNext w:val="0"/>
              <w:keepLines w:val="0"/>
              <w:suppressLineNumbers w:val="0"/>
              <w:spacing w:before="0" w:beforeAutospacing="0" w:after="0" w:afterAutospacing="0"/>
              <w:ind w:left="0" w:right="0"/>
              <w:rPr>
                <w:rFonts w:hint="default" w:ascii="宋体" w:hAnsi="宋体" w:cs="宋体"/>
                <w:strike/>
                <w:color w:val="000000" w:themeColor="text1"/>
                <w:kern w:val="0"/>
                <w:sz w:val="21"/>
                <w:szCs w:val="21"/>
                <w:highlight w:val="none"/>
                <w14:textFill>
                  <w14:solidFill>
                    <w14:schemeClr w14:val="tx1"/>
                  </w14:solidFill>
                </w14:textFill>
              </w:rPr>
            </w:pPr>
          </w:p>
        </w:tc>
      </w:tr>
    </w:tbl>
    <w:p>
      <w:pPr>
        <w:pStyle w:val="10"/>
        <w:rPr>
          <w:color w:val="000000" w:themeColor="text1"/>
          <w:highlight w:val="none"/>
          <w14:textFill>
            <w14:solidFill>
              <w14:schemeClr w14:val="tx1"/>
            </w14:solidFill>
          </w14:textFill>
        </w:rPr>
      </w:pPr>
    </w:p>
    <w:p>
      <w:pPr>
        <w:widowControl/>
        <w:shd w:val="clear" w:color="auto" w:fill="FFFFFF"/>
        <w:adjustRightInd w:val="0"/>
        <w:ind w:firstLine="361" w:firstLineChars="200"/>
        <w:jc w:val="left"/>
        <w:rPr>
          <w:rFonts w:ascii="宋体" w:hAnsi="宋体"/>
          <w:color w:val="000000" w:themeColor="text1"/>
          <w:sz w:val="18"/>
          <w:szCs w:val="18"/>
          <w:highlight w:val="none"/>
          <w14:textFill>
            <w14:solidFill>
              <w14:schemeClr w14:val="tx1"/>
            </w14:solidFill>
          </w14:textFill>
        </w:rPr>
      </w:pPr>
      <w:r>
        <w:rPr>
          <w:rFonts w:ascii="宋体" w:hAnsi="宋体" w:cs="宋体"/>
          <w:b/>
          <w:color w:val="000000" w:themeColor="text1"/>
          <w:kern w:val="0"/>
          <w:sz w:val="18"/>
          <w:szCs w:val="18"/>
          <w:highlight w:val="none"/>
          <w14:textFill>
            <w14:solidFill>
              <w14:schemeClr w14:val="tx1"/>
            </w14:solidFill>
          </w14:textFill>
        </w:rPr>
        <w:t>备注</w:t>
      </w:r>
      <w:r>
        <w:rPr>
          <w:rFonts w:ascii="宋体" w:hAnsi="宋体" w:cs="宋体"/>
          <w:color w:val="000000" w:themeColor="text1"/>
          <w:kern w:val="0"/>
          <w:sz w:val="18"/>
          <w:szCs w:val="18"/>
          <w:highlight w:val="none"/>
          <w14:textFill>
            <w14:solidFill>
              <w14:schemeClr w14:val="tx1"/>
            </w14:solidFill>
          </w14:textFill>
        </w:rPr>
        <w:t>：1、本表为项目经理部主要人员的基本要求，投标单位可根据自身情况增加专业技术管理人员，</w:t>
      </w:r>
      <w:r>
        <w:rPr>
          <w:rFonts w:hint="eastAsia" w:ascii="宋体" w:hAnsi="宋体"/>
          <w:color w:val="000000" w:themeColor="text1"/>
          <w:sz w:val="18"/>
          <w:szCs w:val="18"/>
          <w:highlight w:val="none"/>
          <w14:textFill>
            <w14:solidFill>
              <w14:schemeClr w14:val="tx1"/>
            </w14:solidFill>
          </w14:textFill>
        </w:rPr>
        <w:t>各岗位人员不得相互兼职。</w:t>
      </w:r>
    </w:p>
    <w:p>
      <w:pPr>
        <w:widowControl/>
        <w:shd w:val="clear" w:color="auto" w:fill="FFFFFF"/>
        <w:adjustRightInd w:val="0"/>
        <w:ind w:firstLine="360" w:firstLineChars="200"/>
        <w:jc w:val="left"/>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lang w:val="en-US" w:eastAsia="zh-CN"/>
          <w14:textFill>
            <w14:solidFill>
              <w14:schemeClr w14:val="tx1"/>
            </w14:solidFill>
          </w14:textFill>
        </w:rPr>
        <w:t>2</w:t>
      </w:r>
      <w:r>
        <w:rPr>
          <w:rFonts w:ascii="宋体" w:hAnsi="宋体" w:cs="宋体"/>
          <w:color w:val="000000" w:themeColor="text1"/>
          <w:kern w:val="0"/>
          <w:sz w:val="18"/>
          <w:szCs w:val="18"/>
          <w:highlight w:val="none"/>
          <w14:textFill>
            <w14:solidFill>
              <w14:schemeClr w14:val="tx1"/>
            </w14:solidFill>
          </w14:textFill>
        </w:rPr>
        <w:t>、本表项目经理部主要人员需提供</w:t>
      </w:r>
      <w:r>
        <w:rPr>
          <w:rFonts w:ascii="宋体" w:hAnsi="宋体" w:cs="宋体"/>
          <w:color w:val="000000" w:themeColor="text1"/>
          <w:kern w:val="0"/>
          <w:sz w:val="18"/>
          <w:szCs w:val="18"/>
          <w:highlight w:val="none"/>
          <w:u w:val="single"/>
          <w14:textFill>
            <w14:solidFill>
              <w14:schemeClr w14:val="tx1"/>
            </w14:solidFill>
          </w14:textFill>
        </w:rPr>
        <w:t>20</w:t>
      </w:r>
      <w:r>
        <w:rPr>
          <w:rFonts w:hint="eastAsia" w:ascii="宋体" w:hAnsi="宋体" w:cs="宋体"/>
          <w:color w:val="000000" w:themeColor="text1"/>
          <w:kern w:val="0"/>
          <w:sz w:val="18"/>
          <w:szCs w:val="18"/>
          <w:highlight w:val="none"/>
          <w:u w:val="single"/>
          <w14:textFill>
            <w14:solidFill>
              <w14:schemeClr w14:val="tx1"/>
            </w14:solidFill>
          </w14:textFill>
        </w:rPr>
        <w:t>2</w:t>
      </w:r>
      <w:r>
        <w:rPr>
          <w:rFonts w:hint="default" w:ascii="宋体" w:hAnsi="宋体" w:cs="宋体"/>
          <w:color w:val="000000" w:themeColor="text1"/>
          <w:kern w:val="0"/>
          <w:sz w:val="18"/>
          <w:szCs w:val="18"/>
          <w:highlight w:val="none"/>
          <w:u w:val="single"/>
          <w14:textFill>
            <w14:solidFill>
              <w14:schemeClr w14:val="tx1"/>
            </w14:solidFill>
          </w14:textFill>
        </w:rPr>
        <w:t>4</w:t>
      </w:r>
      <w:r>
        <w:rPr>
          <w:rFonts w:ascii="宋体" w:hAnsi="宋体" w:cs="宋体"/>
          <w:color w:val="000000" w:themeColor="text1"/>
          <w:kern w:val="0"/>
          <w:sz w:val="18"/>
          <w:szCs w:val="18"/>
          <w:highlight w:val="none"/>
          <w:u w:val="single"/>
          <w14:textFill>
            <w14:solidFill>
              <w14:schemeClr w14:val="tx1"/>
            </w14:solidFill>
          </w14:textFill>
        </w:rPr>
        <w:t>年</w:t>
      </w:r>
      <w:r>
        <w:rPr>
          <w:rFonts w:hint="eastAsia" w:ascii="宋体" w:hAnsi="宋体" w:cs="宋体"/>
          <w:color w:val="000000" w:themeColor="text1"/>
          <w:kern w:val="0"/>
          <w:sz w:val="18"/>
          <w:szCs w:val="18"/>
          <w:highlight w:val="none"/>
          <w:u w:val="single"/>
          <w:lang w:val="en-US" w:eastAsia="zh-CN"/>
          <w14:textFill>
            <w14:solidFill>
              <w14:schemeClr w14:val="tx1"/>
            </w14:solidFill>
          </w14:textFill>
        </w:rPr>
        <w:t>4</w:t>
      </w:r>
      <w:r>
        <w:rPr>
          <w:rFonts w:hint="eastAsia" w:ascii="宋体" w:hAnsi="宋体" w:cs="宋体"/>
          <w:color w:val="000000" w:themeColor="text1"/>
          <w:kern w:val="0"/>
          <w:sz w:val="18"/>
          <w:szCs w:val="18"/>
          <w:highlight w:val="none"/>
          <w:u w:val="single"/>
          <w14:textFill>
            <w14:solidFill>
              <w14:schemeClr w14:val="tx1"/>
            </w14:solidFill>
          </w14:textFill>
        </w:rPr>
        <w:t>月</w:t>
      </w:r>
      <w:r>
        <w:rPr>
          <w:rFonts w:hint="eastAsia" w:ascii="宋体" w:hAnsi="宋体" w:cs="宋体"/>
          <w:color w:val="000000" w:themeColor="text1"/>
          <w:kern w:val="0"/>
          <w:sz w:val="18"/>
          <w:szCs w:val="18"/>
          <w:highlight w:val="none"/>
          <w14:textFill>
            <w14:solidFill>
              <w14:schemeClr w14:val="tx1"/>
            </w14:solidFill>
          </w14:textFill>
        </w:rPr>
        <w:t>的社保证明文件扫描件，项目经理部主要人员需提供的其他证明文件详见基本要求及备注。</w:t>
      </w:r>
    </w:p>
    <w:p>
      <w:pPr>
        <w:widowControl/>
        <w:shd w:val="clear" w:color="auto" w:fill="FFFFFF"/>
        <w:adjustRightInd w:val="0"/>
        <w:ind w:firstLine="360" w:firstLineChars="200"/>
        <w:jc w:val="left"/>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lang w:val="en-US" w:eastAsia="zh-CN"/>
          <w14:textFill>
            <w14:solidFill>
              <w14:schemeClr w14:val="tx1"/>
            </w14:solidFill>
          </w14:textFill>
        </w:rPr>
        <w:t>3</w:t>
      </w:r>
      <w:r>
        <w:rPr>
          <w:rFonts w:ascii="宋体" w:hAnsi="宋体" w:cs="宋体"/>
          <w:color w:val="000000" w:themeColor="text1"/>
          <w:kern w:val="0"/>
          <w:sz w:val="18"/>
          <w:szCs w:val="18"/>
          <w:highlight w:val="none"/>
          <w14:textFill>
            <w14:solidFill>
              <w14:schemeClr w14:val="tx1"/>
            </w14:solidFill>
          </w14:textFill>
        </w:rPr>
        <w:t>、</w:t>
      </w:r>
      <w:r>
        <w:rPr>
          <w:rFonts w:hint="eastAsia" w:ascii="宋体" w:hAnsi="宋体" w:cs="宋体"/>
          <w:color w:val="000000" w:themeColor="text1"/>
          <w:kern w:val="0"/>
          <w:sz w:val="18"/>
          <w:szCs w:val="18"/>
          <w:highlight w:val="none"/>
          <w14:textFill>
            <w14:solidFill>
              <w14:schemeClr w14:val="tx1"/>
            </w14:solidFill>
          </w14:textFill>
        </w:rPr>
        <w:t>人员仅指投标人自身人员，如投标申请人为集团公司，则不含集团下属具有独立法人的子公司的人员，但包含非独立法人的分公司人员；同样下属具有独立法人的子公司也不得使用集团公司的人员。</w:t>
      </w:r>
    </w:p>
    <w:p>
      <w:pPr>
        <w:widowControl/>
        <w:shd w:val="clear" w:color="auto" w:fill="FFFFFF"/>
        <w:adjustRightInd w:val="0"/>
        <w:ind w:firstLine="360" w:firstLineChars="200"/>
        <w:jc w:val="left"/>
        <w:rPr>
          <w:rFonts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lang w:val="en-US" w:eastAsia="zh-CN"/>
          <w14:textFill>
            <w14:solidFill>
              <w14:schemeClr w14:val="tx1"/>
            </w14:solidFill>
          </w14:textFill>
        </w:rPr>
        <w:t>4</w:t>
      </w:r>
      <w:r>
        <w:rPr>
          <w:rFonts w:ascii="宋体" w:hAnsi="宋体" w:cs="宋体"/>
          <w:color w:val="000000" w:themeColor="text1"/>
          <w:kern w:val="0"/>
          <w:sz w:val="18"/>
          <w:szCs w:val="18"/>
          <w:highlight w:val="none"/>
          <w14:textFill>
            <w14:solidFill>
              <w14:schemeClr w14:val="tx1"/>
            </w14:solidFill>
          </w14:textFill>
        </w:rPr>
        <w:t>、拟投入的项目部人员，未经招标人同意，中标后不得更换，否则按合同约定承担违约责任。</w:t>
      </w:r>
    </w:p>
    <w:p>
      <w:pPr>
        <w:widowControl/>
        <w:shd w:val="clear" w:color="auto" w:fill="FFFFFF"/>
        <w:adjustRightInd w:val="0"/>
        <w:ind w:firstLine="360" w:firstLineChars="200"/>
        <w:jc w:val="left"/>
        <w:rPr>
          <w:rFonts w:hint="eastAsia" w:ascii="宋体" w:hAnsi="宋体" w:cs="宋体"/>
          <w:color w:val="000000" w:themeColor="text1"/>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lang w:val="en-US" w:eastAsia="zh-CN"/>
          <w14:textFill>
            <w14:solidFill>
              <w14:schemeClr w14:val="tx1"/>
            </w14:solidFill>
          </w14:textFill>
        </w:rPr>
        <w:t>5</w:t>
      </w:r>
      <w:r>
        <w:rPr>
          <w:rFonts w:hint="eastAsia" w:ascii="宋体" w:hAnsi="宋体" w:cs="宋体"/>
          <w:color w:val="000000" w:themeColor="text1"/>
          <w:kern w:val="0"/>
          <w:sz w:val="18"/>
          <w:szCs w:val="18"/>
          <w:highlight w:val="none"/>
          <w14:textFill>
            <w14:solidFill>
              <w14:schemeClr w14:val="tx1"/>
            </w14:solidFill>
          </w14:textFill>
        </w:rPr>
        <w:t>、一级注册造价工程师是指根据住房城乡建设部、交通运输部、水利部、人力资源社会保障部发布的《造价工程师职业资格制度规定》、《造价工程师职业资格考试实施办法》（建人［2018］67号）取得的一级造价工程师职业资格，并经注册且在有效期内。根据原人事部、原建设部发布的《造价工程师执业资格制度暂行规定》（人发[1996]77号)取得的造价工程师执业资格，并经注册且在有效期内的，等同于一级注册造价工程师。</w:t>
      </w:r>
    </w:p>
    <w:p>
      <w:pPr>
        <w:widowControl/>
        <w:shd w:val="clear" w:color="auto" w:fill="FFFFFF"/>
        <w:topLinePunct w:val="0"/>
        <w:adjustRightInd w:val="0"/>
        <w:snapToGrid/>
        <w:spacing w:line="240" w:lineRule="auto"/>
        <w:ind w:firstLine="360" w:firstLineChars="200"/>
        <w:jc w:val="left"/>
        <w:rPr>
          <w:rFonts w:hint="eastAsia" w:ascii="宋体" w:hAnsi="宋体" w:cs="宋体"/>
          <w:snapToGrid/>
          <w:color w:val="000000" w:themeColor="text1"/>
          <w:spacing w:val="0"/>
          <w:kern w:val="0"/>
          <w:sz w:val="18"/>
          <w:szCs w:val="18"/>
          <w:highlight w:val="none"/>
          <w14:textFill>
            <w14:solidFill>
              <w14:schemeClr w14:val="tx1"/>
            </w14:solidFill>
          </w14:textFill>
        </w:rPr>
      </w:pPr>
      <w:r>
        <w:rPr>
          <w:rFonts w:hint="eastAsia" w:ascii="宋体" w:hAnsi="宋体" w:cs="宋体"/>
          <w:color w:val="000000" w:themeColor="text1"/>
          <w:kern w:val="0"/>
          <w:sz w:val="18"/>
          <w:szCs w:val="18"/>
          <w:highlight w:val="none"/>
          <w:lang w:val="en-US" w:eastAsia="zh-CN"/>
          <w14:textFill>
            <w14:solidFill>
              <w14:schemeClr w14:val="tx1"/>
            </w14:solidFill>
          </w14:textFill>
        </w:rPr>
        <w:t>6、</w:t>
      </w:r>
      <w:r>
        <w:rPr>
          <w:rFonts w:hint="eastAsia" w:ascii="宋体" w:hAnsi="宋体" w:cs="宋体"/>
          <w:snapToGrid/>
          <w:color w:val="000000" w:themeColor="text1"/>
          <w:spacing w:val="0"/>
          <w:kern w:val="0"/>
          <w:sz w:val="18"/>
          <w:szCs w:val="18"/>
          <w:highlight w:val="none"/>
          <w14:textFill>
            <w14:solidFill>
              <w14:schemeClr w14:val="tx1"/>
            </w14:solidFill>
          </w14:textFill>
        </w:rPr>
        <w:t>本表中投标人提供的“项目负责人、技术负责人、专职安全员”需满足招标公告要求，其余人员不全或未满足招标文件要求的，中标后须按招标文件的要求补充完善并报发包人审批同意；涉及违约的，还需按合同约定承担相应的违约责任</w:t>
      </w:r>
      <w:r>
        <w:rPr>
          <w:rFonts w:hint="eastAsia" w:ascii="宋体" w:hAnsi="宋体" w:eastAsia="宋体" w:cs="宋体"/>
          <w:snapToGrid/>
          <w:color w:val="000000" w:themeColor="text1"/>
          <w:spacing w:val="0"/>
          <w:kern w:val="0"/>
          <w:sz w:val="18"/>
          <w:szCs w:val="18"/>
          <w:highlight w:val="none"/>
          <w:lang w:eastAsia="zh-CN"/>
          <w14:textFill>
            <w14:solidFill>
              <w14:schemeClr w14:val="tx1"/>
            </w14:solidFill>
          </w14:textFill>
        </w:rPr>
        <w:t>。</w:t>
      </w:r>
    </w:p>
    <w:p>
      <w:pPr>
        <w:topLinePunct/>
        <w:adjustRightInd w:val="0"/>
        <w:snapToGrid w:val="0"/>
        <w:spacing w:line="360" w:lineRule="auto"/>
        <w:ind w:firstLine="3596" w:firstLineChars="1450"/>
        <w:rPr>
          <w:rFonts w:hint="eastAsia"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投标人：　　（盖章）</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法定代表人或授权代理人(签字或盖章)：</w:t>
      </w:r>
    </w:p>
    <w:p>
      <w:pPr>
        <w:ind w:firstLine="3600" w:firstLineChars="1500"/>
        <w:rPr>
          <w:rFonts w:ascii="宋体" w:hAnsi="宋体"/>
          <w:color w:val="000000" w:themeColor="text1"/>
          <w:sz w:val="24"/>
          <w:highlight w:val="none"/>
          <w14:textFill>
            <w14:solidFill>
              <w14:schemeClr w14:val="tx1"/>
            </w14:solidFill>
          </w14:textFill>
        </w:rPr>
        <w:sectPr>
          <w:pgSz w:w="11907" w:h="16840"/>
          <w:pgMar w:top="1418" w:right="1418" w:bottom="1418" w:left="1418" w:header="851" w:footer="851" w:gutter="0"/>
          <w:pgNumType w:fmt="decimal"/>
          <w:cols w:space="720" w:num="1"/>
          <w:docGrid w:type="lines" w:linePitch="312" w:charSpace="0"/>
        </w:sectPr>
      </w:pPr>
      <w:r>
        <w:rPr>
          <w:rFonts w:hint="eastAsia" w:ascii="宋体" w:hAnsi="宋体"/>
          <w:color w:val="000000" w:themeColor="text1"/>
          <w:sz w:val="24"/>
          <w:highlight w:val="none"/>
          <w14:textFill>
            <w14:solidFill>
              <w14:schemeClr w14:val="tx1"/>
            </w14:solidFill>
          </w14:textFill>
        </w:rPr>
        <w:t>日   期：    年    月    日</w:t>
      </w:r>
    </w:p>
    <w:p>
      <w:pPr>
        <w:widowControl/>
        <w:spacing w:before="100" w:beforeAutospacing="1" w:after="100" w:afterAutospacing="1"/>
        <w:jc w:val="left"/>
        <w:outlineLvl w:val="2"/>
        <w:rPr>
          <w:rFonts w:ascii="宋体" w:hAnsi="宋体"/>
          <w:b/>
          <w:bCs/>
          <w:color w:val="000000" w:themeColor="text1"/>
          <w:kern w:val="0"/>
          <w:sz w:val="24"/>
          <w:szCs w:val="24"/>
          <w:highlight w:val="none"/>
          <w14:textFill>
            <w14:solidFill>
              <w14:schemeClr w14:val="tx1"/>
            </w14:solidFill>
          </w14:textFill>
        </w:rPr>
      </w:pPr>
      <w:bookmarkStart w:id="123" w:name="_Toc469"/>
      <w:bookmarkStart w:id="124" w:name="_Toc14697663"/>
      <w:r>
        <w:rPr>
          <w:rFonts w:hint="eastAsia" w:ascii="宋体" w:hAnsi="宋体"/>
          <w:b/>
          <w:bCs/>
          <w:color w:val="000000" w:themeColor="text1"/>
          <w:kern w:val="0"/>
          <w:sz w:val="24"/>
          <w:szCs w:val="24"/>
          <w:highlight w:val="none"/>
          <w14:textFill>
            <w14:solidFill>
              <w14:schemeClr w14:val="tx1"/>
            </w14:solidFill>
          </w14:textFill>
        </w:rPr>
        <w:t>格式九：主要人员简历表</w:t>
      </w:r>
      <w:bookmarkEnd w:id="123"/>
      <w:bookmarkEnd w:id="124"/>
    </w:p>
    <w:p>
      <w:pPr>
        <w:topLinePunct/>
        <w:adjustRightInd w:val="0"/>
        <w:snapToGrid w:val="0"/>
        <w:spacing w:before="156" w:after="156" w:line="360" w:lineRule="auto"/>
        <w:jc w:val="center"/>
        <w:rPr>
          <w:rFonts w:ascii="宋体" w:hAnsi="宋体"/>
          <w:b/>
          <w:snapToGrid w:val="0"/>
          <w:color w:val="000000" w:themeColor="text1"/>
          <w:spacing w:val="4"/>
          <w:kern w:val="0"/>
          <w:sz w:val="32"/>
          <w:szCs w:val="32"/>
          <w:highlight w:val="none"/>
          <w14:textFill>
            <w14:solidFill>
              <w14:schemeClr w14:val="tx1"/>
            </w14:solidFill>
          </w14:textFill>
        </w:rPr>
      </w:pPr>
      <w:r>
        <w:rPr>
          <w:rFonts w:hint="eastAsia" w:ascii="宋体" w:hAnsi="宋体"/>
          <w:b/>
          <w:snapToGrid w:val="0"/>
          <w:color w:val="000000" w:themeColor="text1"/>
          <w:spacing w:val="4"/>
          <w:kern w:val="0"/>
          <w:sz w:val="32"/>
          <w:szCs w:val="32"/>
          <w:highlight w:val="none"/>
          <w14:textFill>
            <w14:solidFill>
              <w14:schemeClr w14:val="tx1"/>
            </w14:solidFill>
          </w14:textFill>
        </w:rPr>
        <w:t>主要人员简历表</w:t>
      </w:r>
    </w:p>
    <w:tbl>
      <w:tblPr>
        <w:tblStyle w:val="18"/>
        <w:tblpPr w:leftFromText="180" w:rightFromText="180" w:vertAnchor="text" w:tblpX="-356" w:tblpY="76"/>
        <w:tblW w:w="96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22"/>
        <w:gridCol w:w="1547"/>
        <w:gridCol w:w="557"/>
        <w:gridCol w:w="992"/>
        <w:gridCol w:w="378"/>
        <w:gridCol w:w="1405"/>
        <w:gridCol w:w="296"/>
        <w:gridCol w:w="1182"/>
        <w:gridCol w:w="69"/>
        <w:gridCol w:w="1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676"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姓名</w:t>
            </w:r>
          </w:p>
        </w:tc>
        <w:tc>
          <w:tcPr>
            <w:tcW w:w="2126" w:type="dxa"/>
            <w:gridSpan w:val="3"/>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370" w:type="dxa"/>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性别</w:t>
            </w:r>
          </w:p>
        </w:tc>
        <w:tc>
          <w:tcPr>
            <w:tcW w:w="1701" w:type="dxa"/>
            <w:gridSpan w:val="2"/>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182"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年龄</w:t>
            </w:r>
          </w:p>
        </w:tc>
        <w:tc>
          <w:tcPr>
            <w:tcW w:w="1620" w:type="dxa"/>
            <w:gridSpan w:val="2"/>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1676"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bCs/>
                <w:color w:val="000000" w:themeColor="text1"/>
                <w:sz w:val="24"/>
                <w:szCs w:val="24"/>
                <w:highlight w:val="none"/>
                <w14:textFill>
                  <w14:solidFill>
                    <w14:schemeClr w14:val="tx1"/>
                  </w14:solidFill>
                </w14:textFill>
              </w:rPr>
              <w:t>身份证号码</w:t>
            </w:r>
          </w:p>
        </w:tc>
        <w:tc>
          <w:tcPr>
            <w:tcW w:w="7999" w:type="dxa"/>
            <w:gridSpan w:val="10"/>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676"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在本项目任职</w:t>
            </w:r>
          </w:p>
        </w:tc>
        <w:tc>
          <w:tcPr>
            <w:tcW w:w="2126" w:type="dxa"/>
            <w:gridSpan w:val="3"/>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370" w:type="dxa"/>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职称</w:t>
            </w:r>
          </w:p>
        </w:tc>
        <w:tc>
          <w:tcPr>
            <w:tcW w:w="1701" w:type="dxa"/>
            <w:gridSpan w:val="2"/>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182"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学历</w:t>
            </w:r>
          </w:p>
        </w:tc>
        <w:tc>
          <w:tcPr>
            <w:tcW w:w="1620" w:type="dxa"/>
            <w:gridSpan w:val="2"/>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2" w:hRule="atLeast"/>
        </w:trPr>
        <w:tc>
          <w:tcPr>
            <w:tcW w:w="1676"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参加工作</w:t>
            </w:r>
          </w:p>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年限</w:t>
            </w:r>
          </w:p>
        </w:tc>
        <w:tc>
          <w:tcPr>
            <w:tcW w:w="2126" w:type="dxa"/>
            <w:gridSpan w:val="3"/>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370"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r>
              <w:rPr>
                <w:rFonts w:hint="eastAsia" w:ascii="宋体" w:hAnsi="宋体"/>
                <w:b/>
                <w:snapToGrid w:val="0"/>
                <w:color w:val="000000" w:themeColor="text1"/>
                <w:spacing w:val="4"/>
                <w:kern w:val="0"/>
                <w:sz w:val="24"/>
                <w:szCs w:val="24"/>
                <w:highlight w:val="none"/>
                <w14:textFill>
                  <w14:solidFill>
                    <w14:schemeClr w14:val="tx1"/>
                  </w14:solidFill>
                </w14:textFill>
              </w:rPr>
              <w:t>担任相应职务年限</w:t>
            </w:r>
          </w:p>
        </w:tc>
        <w:tc>
          <w:tcPr>
            <w:tcW w:w="4503" w:type="dxa"/>
            <w:gridSpan w:val="5"/>
            <w:vAlign w:val="center"/>
          </w:tcPr>
          <w:p>
            <w:pPr>
              <w:keepNext/>
              <w:keepLines/>
              <w:suppressLineNumbers w:val="0"/>
              <w:topLinePunct/>
              <w:adjustRightInd w:val="0"/>
              <w:snapToGrid w:val="0"/>
              <w:spacing w:before="120" w:beforeAutospacing="0" w:after="120" w:afterAutospacing="0" w:line="360" w:lineRule="auto"/>
              <w:ind w:left="0" w:right="0"/>
              <w:jc w:val="center"/>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676"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资格证书号</w:t>
            </w:r>
          </w:p>
        </w:tc>
        <w:tc>
          <w:tcPr>
            <w:tcW w:w="7999" w:type="dxa"/>
            <w:gridSpan w:val="10"/>
            <w:vAlign w:val="center"/>
          </w:tcPr>
          <w:p>
            <w:pPr>
              <w:keepNext/>
              <w:keepLines/>
              <w:suppressLineNumbers w:val="0"/>
              <w:topLinePunct/>
              <w:adjustRightInd w:val="0"/>
              <w:snapToGrid w:val="0"/>
              <w:spacing w:before="120" w:beforeAutospacing="0" w:after="120" w:afterAutospacing="0" w:line="360" w:lineRule="auto"/>
              <w:ind w:left="0" w:right="0"/>
              <w:jc w:val="left"/>
              <w:outlineLvl w:val="0"/>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9675" w:type="dxa"/>
            <w:gridSpan w:val="11"/>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r>
              <w:rPr>
                <w:rFonts w:hint="eastAsia" w:ascii="宋体" w:hAnsi="宋体"/>
                <w:b/>
                <w:snapToGrid w:val="0"/>
                <w:color w:val="000000" w:themeColor="text1"/>
                <w:spacing w:val="4"/>
                <w:kern w:val="0"/>
                <w:sz w:val="24"/>
                <w:szCs w:val="24"/>
                <w:highlight w:val="none"/>
                <w14:textFill>
                  <w14:solidFill>
                    <w14:schemeClr w14:val="tx1"/>
                  </w14:solidFill>
                </w14:textFill>
              </w:rPr>
              <w:t>业绩简介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1698" w:type="dxa"/>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建设单位</w:t>
            </w:r>
          </w:p>
        </w:tc>
        <w:tc>
          <w:tcPr>
            <w:tcW w:w="1547"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项目名称</w:t>
            </w:r>
          </w:p>
        </w:tc>
        <w:tc>
          <w:tcPr>
            <w:tcW w:w="1549" w:type="dxa"/>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建设规模</w:t>
            </w:r>
          </w:p>
        </w:tc>
        <w:tc>
          <w:tcPr>
            <w:tcW w:w="1783" w:type="dxa"/>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开、竣工日期</w:t>
            </w:r>
          </w:p>
        </w:tc>
        <w:tc>
          <w:tcPr>
            <w:tcW w:w="1547" w:type="dxa"/>
            <w:gridSpan w:val="3"/>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在建或已完</w:t>
            </w:r>
          </w:p>
        </w:tc>
        <w:tc>
          <w:tcPr>
            <w:tcW w:w="1551" w:type="dxa"/>
            <w:vAlign w:val="center"/>
          </w:tcPr>
          <w:p>
            <w:pPr>
              <w:keepNext w:val="0"/>
              <w:keepLines w:val="0"/>
              <w:suppressLineNumbers w:val="0"/>
              <w:spacing w:before="0" w:beforeAutospacing="0" w:after="0" w:afterAutospacing="0" w:line="360" w:lineRule="auto"/>
              <w:ind w:left="0" w:right="0"/>
              <w:jc w:val="center"/>
              <w:rPr>
                <w:rFonts w:hint="default" w:ascii="宋体" w:hAnsi="宋体"/>
                <w:b/>
                <w:color w:val="000000" w:themeColor="text1"/>
                <w:sz w:val="24"/>
                <w:szCs w:val="24"/>
                <w:highlight w:val="none"/>
                <w14:textFill>
                  <w14:solidFill>
                    <w14:schemeClr w14:val="tx1"/>
                  </w14:solidFill>
                </w14:textFill>
              </w:rPr>
            </w:pPr>
            <w:r>
              <w:rPr>
                <w:rFonts w:hint="eastAsia" w:ascii="宋体" w:hAnsi="宋体"/>
                <w:b/>
                <w:color w:val="000000" w:themeColor="text1"/>
                <w:sz w:val="24"/>
                <w:szCs w:val="24"/>
                <w:highlight w:val="none"/>
                <w14:textFill>
                  <w14:solidFill>
                    <w14:schemeClr w14:val="tx1"/>
                  </w14:solidFill>
                </w14:textFill>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698"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547"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549"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783"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547" w:type="dxa"/>
            <w:gridSpan w:val="3"/>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c>
          <w:tcPr>
            <w:tcW w:w="1551"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b/>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698"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7"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9"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783"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7" w:type="dxa"/>
            <w:gridSpan w:val="3"/>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51"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698"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7"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9"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783" w:type="dxa"/>
            <w:gridSpan w:val="2"/>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47" w:type="dxa"/>
            <w:gridSpan w:val="3"/>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c>
          <w:tcPr>
            <w:tcW w:w="1551" w:type="dxa"/>
            <w:vAlign w:val="center"/>
          </w:tcPr>
          <w:p>
            <w:pPr>
              <w:keepNext w:val="0"/>
              <w:keepLines w:val="0"/>
              <w:suppressLineNumbers w:val="0"/>
              <w:topLinePunct/>
              <w:adjustRightInd w:val="0"/>
              <w:snapToGrid w:val="0"/>
              <w:spacing w:before="0" w:beforeAutospacing="0" w:after="0" w:afterAutospacing="0" w:line="360" w:lineRule="auto"/>
              <w:ind w:left="0" w:right="0"/>
              <w:jc w:val="center"/>
              <w:rPr>
                <w:rFonts w:hint="default" w:ascii="宋体" w:hAnsi="宋体"/>
                <w:snapToGrid w:val="0"/>
                <w:color w:val="000000" w:themeColor="text1"/>
                <w:spacing w:val="4"/>
                <w:kern w:val="0"/>
                <w:sz w:val="24"/>
                <w:szCs w:val="24"/>
                <w:highlight w:val="none"/>
                <w14:textFill>
                  <w14:solidFill>
                    <w14:schemeClr w14:val="tx1"/>
                  </w14:solidFill>
                </w14:textFill>
              </w:rPr>
            </w:pPr>
          </w:p>
        </w:tc>
      </w:tr>
    </w:tbl>
    <w:p>
      <w:pPr>
        <w:topLinePunct/>
        <w:adjustRightInd w:val="0"/>
        <w:snapToGrid w:val="0"/>
        <w:spacing w:line="360" w:lineRule="auto"/>
        <w:ind w:firstLine="0" w:firstLineChars="0"/>
        <w:jc w:val="center"/>
        <w:rPr>
          <w:rFonts w:hint="eastAsia"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0" w:firstLineChars="0"/>
        <w:jc w:val="center"/>
        <w:rPr>
          <w:rFonts w:hint="eastAsia"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0" w:firstLineChars="0"/>
        <w:jc w:val="center"/>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 标 人：（盖章）</w:t>
      </w:r>
    </w:p>
    <w:p>
      <w:pPr>
        <w:topLinePunct/>
        <w:adjustRightInd w:val="0"/>
        <w:snapToGrid w:val="0"/>
        <w:spacing w:line="360" w:lineRule="auto"/>
        <w:ind w:firstLine="691" w:firstLineChars="279"/>
        <w:jc w:val="center"/>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                   法定代表人或授权代理人（签字或盖章）：</w:t>
      </w:r>
    </w:p>
    <w:p>
      <w:pPr>
        <w:topLinePunct/>
        <w:adjustRightInd w:val="0"/>
        <w:snapToGrid w:val="0"/>
        <w:spacing w:line="360" w:lineRule="auto"/>
        <w:ind w:firstLine="691" w:firstLineChars="279"/>
        <w:jc w:val="center"/>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          日    期：    年    月    日 </w:t>
      </w:r>
    </w:p>
    <w:p>
      <w:pPr>
        <w:topLinePunct/>
        <w:adjustRightInd w:val="0"/>
        <w:snapToGrid w:val="0"/>
        <w:spacing w:line="360" w:lineRule="auto"/>
        <w:ind w:firstLine="691" w:firstLineChars="279"/>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sectPr>
          <w:pgSz w:w="11907" w:h="16840"/>
          <w:pgMar w:top="1418" w:right="1418" w:bottom="1418" w:left="1418" w:header="851" w:footer="851" w:gutter="0"/>
          <w:pgNumType w:fmt="decimal"/>
          <w:cols w:space="720" w:num="1"/>
          <w:docGrid w:type="lines" w:linePitch="312" w:charSpace="0"/>
        </w:sectPr>
      </w:pPr>
    </w:p>
    <w:p>
      <w:pPr>
        <w:topLinePunct/>
        <w:adjustRightInd w:val="0"/>
        <w:snapToGrid w:val="0"/>
        <w:jc w:val="left"/>
        <w:outlineLvl w:val="2"/>
        <w:rPr>
          <w:rFonts w:ascii="宋体" w:hAnsi="宋体"/>
          <w:snapToGrid w:val="0"/>
          <w:color w:val="000000" w:themeColor="text1"/>
          <w:spacing w:val="4"/>
          <w:kern w:val="0"/>
          <w:sz w:val="24"/>
          <w:szCs w:val="24"/>
          <w:highlight w:val="none"/>
          <w14:textFill>
            <w14:solidFill>
              <w14:schemeClr w14:val="tx1"/>
            </w14:solidFill>
          </w14:textFill>
        </w:rPr>
      </w:pPr>
      <w:bookmarkStart w:id="125" w:name="_Toc8685"/>
      <w:bookmarkStart w:id="126" w:name="_Toc14697664"/>
      <w:r>
        <w:rPr>
          <w:rFonts w:hint="eastAsia" w:ascii="宋体" w:hAnsi="宋体"/>
          <w:snapToGrid w:val="0"/>
          <w:color w:val="000000" w:themeColor="text1"/>
          <w:spacing w:val="4"/>
          <w:kern w:val="0"/>
          <w:sz w:val="24"/>
          <w:szCs w:val="24"/>
          <w:highlight w:val="none"/>
          <w14:textFill>
            <w14:solidFill>
              <w14:schemeClr w14:val="tx1"/>
            </w14:solidFill>
          </w14:textFill>
        </w:rPr>
        <w:t>格式十：已竣工验收的类似工程业绩表</w:t>
      </w:r>
      <w:bookmarkEnd w:id="125"/>
      <w:bookmarkEnd w:id="126"/>
      <w:r>
        <w:rPr>
          <w:rFonts w:hint="eastAsia" w:ascii="宋体" w:hAnsi="宋体"/>
          <w:snapToGrid w:val="0"/>
          <w:color w:val="000000" w:themeColor="text1"/>
          <w:spacing w:val="4"/>
          <w:kern w:val="0"/>
          <w:sz w:val="24"/>
          <w:szCs w:val="24"/>
          <w:highlight w:val="none"/>
          <w14:textFill>
            <w14:solidFill>
              <w14:schemeClr w14:val="tx1"/>
            </w14:solidFill>
          </w14:textFill>
        </w:rPr>
        <w:t>、企业获奖业绩表</w:t>
      </w:r>
    </w:p>
    <w:p>
      <w:pPr>
        <w:topLinePunct/>
        <w:adjustRightInd w:val="0"/>
        <w:snapToGrid w:val="0"/>
        <w:spacing w:before="156" w:after="156"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已竣工验收的类似工程业绩表</w:t>
      </w:r>
    </w:p>
    <w:tbl>
      <w:tblPr>
        <w:tblStyle w:val="18"/>
        <w:tblW w:w="67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
        <w:gridCol w:w="2976"/>
        <w:gridCol w:w="2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337" w:type="dxa"/>
            <w:vAlign w:val="center"/>
          </w:tcPr>
          <w:p>
            <w:pPr>
              <w:keepNext w:val="0"/>
              <w:keepLines w:val="0"/>
              <w:suppressLineNumbers w:val="0"/>
              <w:spacing w:before="0" w:beforeAutospacing="0" w:after="0" w:afterAutospacing="0"/>
              <w:ind w:left="0" w:right="0"/>
              <w:jc w:val="center"/>
              <w:rPr>
                <w:rFonts w:hint="default"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序号</w:t>
            </w:r>
          </w:p>
        </w:tc>
        <w:tc>
          <w:tcPr>
            <w:tcW w:w="2976" w:type="dxa"/>
            <w:vAlign w:val="center"/>
          </w:tcPr>
          <w:p>
            <w:pPr>
              <w:keepNext w:val="0"/>
              <w:keepLines w:val="0"/>
              <w:suppressLineNumbers w:val="0"/>
              <w:spacing w:before="0" w:beforeAutospacing="0" w:after="0" w:afterAutospacing="0"/>
              <w:ind w:left="0" w:right="0"/>
              <w:jc w:val="center"/>
              <w:rPr>
                <w:rFonts w:hint="default"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项目名称</w:t>
            </w:r>
          </w:p>
        </w:tc>
        <w:tc>
          <w:tcPr>
            <w:tcW w:w="2430" w:type="dxa"/>
            <w:vAlign w:val="center"/>
          </w:tcPr>
          <w:p>
            <w:pPr>
              <w:keepNext w:val="0"/>
              <w:keepLines w:val="0"/>
              <w:suppressLineNumbers w:val="0"/>
              <w:spacing w:before="0" w:beforeAutospacing="0" w:after="0" w:afterAutospacing="0"/>
              <w:ind w:left="0" w:right="0"/>
              <w:jc w:val="center"/>
              <w:rPr>
                <w:rFonts w:hint="default"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项目编号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337"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c>
          <w:tcPr>
            <w:tcW w:w="2976"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c>
          <w:tcPr>
            <w:tcW w:w="2430"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337"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c>
          <w:tcPr>
            <w:tcW w:w="2976"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c>
          <w:tcPr>
            <w:tcW w:w="2430" w:type="dxa"/>
          </w:tcPr>
          <w:p>
            <w:pPr>
              <w:keepNext w:val="0"/>
              <w:keepLines w:val="0"/>
              <w:suppressLineNumbers w:val="0"/>
              <w:spacing w:before="0" w:beforeAutospacing="0" w:after="0" w:afterAutospacing="0"/>
              <w:ind w:left="0" w:right="0"/>
              <w:jc w:val="center"/>
              <w:rPr>
                <w:rFonts w:hint="default" w:ascii="宋体" w:hAnsi="宋体"/>
                <w:b/>
                <w:color w:val="000000" w:themeColor="text1"/>
                <w:sz w:val="24"/>
                <w:szCs w:val="24"/>
                <w:highlight w:val="none"/>
                <w14:textFill>
                  <w14:solidFill>
                    <w14:schemeClr w14:val="tx1"/>
                  </w14:solidFill>
                </w14:textFill>
              </w:rPr>
            </w:pPr>
          </w:p>
        </w:tc>
      </w:tr>
    </w:tbl>
    <w:p>
      <w:pPr>
        <w:rPr>
          <w:color w:val="000000" w:themeColor="text1"/>
          <w:highlight w:val="none"/>
          <w14:textFill>
            <w14:solidFill>
              <w14:schemeClr w14:val="tx1"/>
            </w14:solidFill>
          </w14:textFill>
        </w:rPr>
      </w:pPr>
    </w:p>
    <w:p>
      <w:pPr>
        <w:spacing w:line="273" w:lineRule="auto"/>
        <w:ind w:firstLine="424" w:firstLineChars="202"/>
        <w:jc w:val="left"/>
        <w:rPr>
          <w:rFonts w:ascii="Times New Roman" w:hAnsi="Times New Roman"/>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bidi="ar"/>
          <w14:textFill>
            <w14:solidFill>
              <w14:schemeClr w14:val="tx1"/>
            </w14:solidFill>
          </w14:textFill>
        </w:rPr>
        <w:t>注：按技术标详细审查的评审要求提供，如无已竣工验收的类似工程业绩的，在项目栏中填写“无”。</w:t>
      </w:r>
    </w:p>
    <w:p>
      <w:pPr>
        <w:jc w:val="left"/>
        <w:rPr>
          <w:rFonts w:ascii="宋体" w:hAnsi="宋体"/>
          <w:color w:val="000000" w:themeColor="text1"/>
          <w:szCs w:val="21"/>
          <w:highlight w:val="none"/>
          <w14:textFill>
            <w14:solidFill>
              <w14:schemeClr w14:val="tx1"/>
            </w14:solidFill>
          </w14:textFill>
        </w:rPr>
      </w:pP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投标人：　　（盖章）</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法定代表人或授权代理人(签字或盖章)：</w:t>
      </w:r>
    </w:p>
    <w:p>
      <w:pPr>
        <w:topLinePunct/>
        <w:adjustRightInd w:val="0"/>
        <w:snapToGrid w:val="0"/>
        <w:spacing w:line="360" w:lineRule="auto"/>
        <w:ind w:firstLine="3596" w:firstLineChars="145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日   期：    年    月    日 </w:t>
      </w:r>
    </w:p>
    <w:p>
      <w:pPr>
        <w:topLinePunct/>
        <w:adjustRightInd w:val="0"/>
        <w:snapToGrid w:val="0"/>
        <w:jc w:val="left"/>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before="156" w:beforeLines="50" w:after="156" w:afterLines="50"/>
        <w:jc w:val="left"/>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rFonts w:ascii="宋体" w:hAnsi="宋体"/>
          <w:b/>
          <w:snapToGrid w:val="0"/>
          <w:color w:val="000000" w:themeColor="text1"/>
          <w:spacing w:val="4"/>
          <w:kern w:val="0"/>
          <w:sz w:val="24"/>
          <w:szCs w:val="24"/>
          <w:highlight w:val="none"/>
          <w14:textFill>
            <w14:solidFill>
              <w14:schemeClr w14:val="tx1"/>
            </w14:solidFill>
          </w14:textFill>
        </w:rPr>
      </w:pPr>
    </w:p>
    <w:p>
      <w:pPr>
        <w:pStyle w:val="7"/>
        <w:rPr>
          <w:rFonts w:ascii="宋体" w:hAnsi="宋体"/>
          <w:b/>
          <w:snapToGrid w:val="0"/>
          <w:color w:val="000000" w:themeColor="text1"/>
          <w:spacing w:val="4"/>
          <w:kern w:val="0"/>
          <w:sz w:val="24"/>
          <w:szCs w:val="24"/>
          <w:highlight w:val="none"/>
          <w14:textFill>
            <w14:solidFill>
              <w14:schemeClr w14:val="tx1"/>
            </w14:solidFill>
          </w14:textFill>
        </w:rPr>
      </w:pPr>
    </w:p>
    <w:p>
      <w:pPr>
        <w:rPr>
          <w:color w:val="000000" w:themeColor="text1"/>
          <w:highlight w:val="none"/>
          <w14:textFill>
            <w14:solidFill>
              <w14:schemeClr w14:val="tx1"/>
            </w14:solidFill>
          </w14:textFill>
        </w:rPr>
      </w:pPr>
    </w:p>
    <w:p>
      <w:pPr>
        <w:pStyle w:val="10"/>
        <w:rPr>
          <w:color w:val="000000" w:themeColor="text1"/>
          <w:highlight w:val="none"/>
          <w14:textFill>
            <w14:solidFill>
              <w14:schemeClr w14:val="tx1"/>
            </w14:solidFill>
          </w14:textFill>
        </w:rPr>
      </w:pPr>
    </w:p>
    <w:p>
      <w:pPr>
        <w:spacing w:line="360" w:lineRule="auto"/>
        <w:jc w:val="center"/>
        <w:rPr>
          <w:rFonts w:ascii="黑体" w:hAnsi="宋体" w:eastAsia="黑体" w:cs="黑体"/>
          <w:color w:val="000000" w:themeColor="text1"/>
          <w:spacing w:val="4"/>
          <w:kern w:val="0"/>
          <w:sz w:val="36"/>
          <w:szCs w:val="36"/>
          <w:highlight w:val="none"/>
          <w:lang w:bidi="ar"/>
          <w14:textFill>
            <w14:solidFill>
              <w14:schemeClr w14:val="tx1"/>
            </w14:solidFill>
          </w14:textFill>
        </w:rPr>
      </w:pPr>
    </w:p>
    <w:p>
      <w:pPr>
        <w:spacing w:line="360" w:lineRule="auto"/>
        <w:jc w:val="center"/>
        <w:rPr>
          <w:rFonts w:ascii="Times New Roman" w:hAnsi="Times New Roman" w:eastAsia="黑体"/>
          <w:color w:val="000000" w:themeColor="text1"/>
          <w:spacing w:val="4"/>
          <w:kern w:val="0"/>
          <w:sz w:val="36"/>
          <w:szCs w:val="36"/>
          <w:highlight w:val="none"/>
          <w14:textFill>
            <w14:solidFill>
              <w14:schemeClr w14:val="tx1"/>
            </w14:solidFill>
          </w14:textFill>
        </w:rPr>
      </w:pPr>
      <w:r>
        <w:rPr>
          <w:rFonts w:ascii="黑体" w:hAnsi="宋体" w:eastAsia="黑体" w:cs="黑体"/>
          <w:color w:val="000000" w:themeColor="text1"/>
          <w:spacing w:val="4"/>
          <w:kern w:val="0"/>
          <w:sz w:val="36"/>
          <w:szCs w:val="36"/>
          <w:highlight w:val="none"/>
          <w:lang w:bidi="ar"/>
          <w14:textFill>
            <w14:solidFill>
              <w14:schemeClr w14:val="tx1"/>
            </w14:solidFill>
          </w14:textFill>
        </w:rPr>
        <w:t>二、企业获奖业绩表</w:t>
      </w:r>
    </w:p>
    <w:tbl>
      <w:tblPr>
        <w:tblStyle w:val="18"/>
        <w:tblW w:w="9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4681"/>
        <w:gridCol w:w="1502"/>
        <w:gridCol w:w="2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序号</w:t>
            </w:r>
          </w:p>
        </w:tc>
        <w:tc>
          <w:tcPr>
            <w:tcW w:w="4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项目名称</w:t>
            </w: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项目编号</w:t>
            </w:r>
          </w:p>
        </w:tc>
        <w:tc>
          <w:tcPr>
            <w:tcW w:w="222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宋体"/>
                <w:b/>
                <w:color w:val="000000" w:themeColor="text1"/>
                <w:sz w:val="24"/>
                <w:szCs w:val="24"/>
                <w:highlight w:val="none"/>
                <w14:textFill>
                  <w14:solidFill>
                    <w14:schemeClr w14:val="tx1"/>
                  </w14:solidFill>
                </w14:textFill>
              </w:rPr>
            </w:pPr>
            <w:r>
              <w:rPr>
                <w:rFonts w:hint="eastAsia" w:ascii="宋体" w:hAnsi="宋体" w:cs="宋体"/>
                <w:b/>
                <w:color w:val="000000" w:themeColor="text1"/>
                <w:sz w:val="24"/>
                <w:szCs w:val="24"/>
                <w:highlight w:val="none"/>
                <w:lang w:bidi="ar"/>
                <w14:textFill>
                  <w14:solidFill>
                    <w14:schemeClr w14:val="tx1"/>
                  </w14:solidFill>
                </w14:textFill>
              </w:rPr>
              <w:t>所获奖项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4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222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4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222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71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4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c>
          <w:tcPr>
            <w:tcW w:w="222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olor w:val="000000" w:themeColor="text1"/>
                <w:sz w:val="24"/>
                <w:szCs w:val="24"/>
                <w:highlight w:val="none"/>
                <w14:textFill>
                  <w14:solidFill>
                    <w14:schemeClr w14:val="tx1"/>
                  </w14:solidFill>
                </w14:textFill>
              </w:rPr>
            </w:pPr>
          </w:p>
        </w:tc>
      </w:tr>
    </w:tbl>
    <w:p>
      <w:pPr>
        <w:spacing w:line="273" w:lineRule="auto"/>
        <w:ind w:firstLine="424" w:firstLineChars="202"/>
        <w:jc w:val="left"/>
        <w:rPr>
          <w:rFonts w:ascii="Times New Roman" w:hAnsi="Times New Roman" w:cs="宋体"/>
          <w:color w:val="000000" w:themeColor="text1"/>
          <w:szCs w:val="21"/>
          <w:highlight w:val="none"/>
          <w14:textFill>
            <w14:solidFill>
              <w14:schemeClr w14:val="tx1"/>
            </w14:solidFill>
          </w14:textFill>
        </w:rPr>
      </w:pPr>
      <w:r>
        <w:rPr>
          <w:rFonts w:hint="eastAsia" w:ascii="Times New Roman" w:hAnsi="Times New Roman" w:cs="宋体"/>
          <w:color w:val="000000" w:themeColor="text1"/>
          <w:szCs w:val="21"/>
          <w:highlight w:val="none"/>
          <w:lang w:bidi="ar"/>
          <w14:textFill>
            <w14:solidFill>
              <w14:schemeClr w14:val="tx1"/>
            </w14:solidFill>
          </w14:textFill>
        </w:rPr>
        <w:t xml:space="preserve"> </w:t>
      </w:r>
    </w:p>
    <w:p>
      <w:pPr>
        <w:spacing w:line="273" w:lineRule="auto"/>
        <w:ind w:firstLine="424" w:firstLineChars="202"/>
        <w:jc w:val="left"/>
        <w:rPr>
          <w:rFonts w:hint="eastAsia" w:ascii="宋体" w:hAnsi="宋体" w:cs="宋体"/>
          <w:color w:val="000000" w:themeColor="text1"/>
          <w:szCs w:val="21"/>
          <w:highlight w:val="none"/>
          <w:lang w:eastAsia="zh-CN" w:bidi="ar"/>
          <w14:textFill>
            <w14:solidFill>
              <w14:schemeClr w14:val="tx1"/>
            </w14:solidFill>
          </w14:textFill>
        </w:rPr>
      </w:pPr>
      <w:r>
        <w:rPr>
          <w:rFonts w:hint="eastAsia" w:ascii="宋体" w:hAnsi="宋体" w:cs="宋体"/>
          <w:color w:val="000000" w:themeColor="text1"/>
          <w:szCs w:val="21"/>
          <w:highlight w:val="none"/>
          <w:lang w:bidi="ar"/>
          <w14:textFill>
            <w14:solidFill>
              <w14:schemeClr w14:val="tx1"/>
            </w14:solidFill>
          </w14:textFill>
        </w:rPr>
        <w:t>注：</w:t>
      </w:r>
      <w:r>
        <w:rPr>
          <w:rFonts w:hint="eastAsia" w:ascii="宋体" w:hAnsi="宋体" w:cs="宋体"/>
          <w:color w:val="000000" w:themeColor="text1"/>
          <w:szCs w:val="21"/>
          <w:highlight w:val="none"/>
          <w:lang w:eastAsia="zh-CN" w:bidi="ar"/>
          <w14:textFill>
            <w14:solidFill>
              <w14:schemeClr w14:val="tx1"/>
            </w14:solidFill>
          </w14:textFill>
        </w:rPr>
        <w:t>（</w:t>
      </w:r>
      <w:r>
        <w:rPr>
          <w:rFonts w:hint="eastAsia" w:ascii="宋体" w:hAnsi="宋体" w:cs="宋体"/>
          <w:color w:val="000000" w:themeColor="text1"/>
          <w:szCs w:val="21"/>
          <w:highlight w:val="none"/>
          <w:lang w:val="en-US" w:eastAsia="zh-CN" w:bidi="ar"/>
          <w14:textFill>
            <w14:solidFill>
              <w14:schemeClr w14:val="tx1"/>
            </w14:solidFill>
          </w14:textFill>
        </w:rPr>
        <w:t>1</w:t>
      </w:r>
      <w:r>
        <w:rPr>
          <w:rFonts w:hint="eastAsia" w:ascii="宋体" w:hAnsi="宋体" w:cs="宋体"/>
          <w:color w:val="000000" w:themeColor="text1"/>
          <w:szCs w:val="21"/>
          <w:highlight w:val="none"/>
          <w:lang w:eastAsia="zh-CN" w:bidi="ar"/>
          <w14:textFill>
            <w14:solidFill>
              <w14:schemeClr w14:val="tx1"/>
            </w14:solidFill>
          </w14:textFill>
        </w:rPr>
        <w:t>）企业获奖取自广州市住建行业信用管理平台的提供。</w:t>
      </w:r>
    </w:p>
    <w:p>
      <w:pPr>
        <w:spacing w:line="273" w:lineRule="auto"/>
        <w:ind w:firstLine="632" w:firstLineChars="301"/>
        <w:jc w:val="left"/>
        <w:rPr>
          <w:rFonts w:ascii="Times New Roman" w:hAnsi="Times New Roman"/>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lang w:eastAsia="zh-CN" w:bidi="ar"/>
          <w14:textFill>
            <w14:solidFill>
              <w14:schemeClr w14:val="tx1"/>
            </w14:solidFill>
          </w14:textFill>
        </w:rPr>
        <w:t>（</w:t>
      </w:r>
      <w:r>
        <w:rPr>
          <w:rFonts w:hint="eastAsia" w:ascii="宋体" w:hAnsi="宋体" w:cs="宋体"/>
          <w:color w:val="000000" w:themeColor="text1"/>
          <w:szCs w:val="21"/>
          <w:highlight w:val="none"/>
          <w:lang w:val="en-US" w:eastAsia="zh-CN" w:bidi="ar"/>
          <w14:textFill>
            <w14:solidFill>
              <w14:schemeClr w14:val="tx1"/>
            </w14:solidFill>
          </w14:textFill>
        </w:rPr>
        <w:t>2</w:t>
      </w:r>
      <w:r>
        <w:rPr>
          <w:rFonts w:hint="eastAsia" w:ascii="宋体" w:hAnsi="宋体" w:cs="宋体"/>
          <w:color w:val="000000" w:themeColor="text1"/>
          <w:szCs w:val="21"/>
          <w:highlight w:val="none"/>
          <w:lang w:eastAsia="zh-CN" w:bidi="ar"/>
          <w14:textFill>
            <w14:solidFill>
              <w14:schemeClr w14:val="tx1"/>
            </w14:solidFill>
          </w14:textFill>
        </w:rPr>
        <w:t>）</w:t>
      </w:r>
      <w:r>
        <w:rPr>
          <w:rFonts w:hint="eastAsia" w:ascii="宋体" w:hAnsi="宋体" w:cs="宋体"/>
          <w:color w:val="000000" w:themeColor="text1"/>
          <w:szCs w:val="21"/>
          <w:highlight w:val="none"/>
          <w:lang w:bidi="ar"/>
          <w14:textFill>
            <w14:solidFill>
              <w14:schemeClr w14:val="tx1"/>
            </w14:solidFill>
          </w14:textFill>
        </w:rPr>
        <w:t>按技术标详细审查的评审要求提供证明材料，如无符合要求的企业获奖业绩的，在项目栏中填写“无”。</w:t>
      </w:r>
    </w:p>
    <w:p>
      <w:pPr>
        <w:topLinePunct/>
        <w:adjustRightInd w:val="0"/>
        <w:snapToGrid w:val="0"/>
        <w:spacing w:line="360" w:lineRule="auto"/>
        <w:ind w:firstLine="496" w:firstLineChars="20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lang w:bidi="ar"/>
          <w14:textFill>
            <w14:solidFill>
              <w14:schemeClr w14:val="tx1"/>
            </w14:solidFill>
          </w14:textFill>
        </w:rPr>
        <w:t xml:space="preserve"> </w:t>
      </w: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lang w:bidi="ar"/>
          <w14:textFill>
            <w14:solidFill>
              <w14:schemeClr w14:val="tx1"/>
            </w14:solidFill>
          </w14:textFill>
        </w:rPr>
        <w:t>投标人：  （盖章）</w:t>
      </w: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lang w:bidi="ar"/>
          <w14:textFill>
            <w14:solidFill>
              <w14:schemeClr w14:val="tx1"/>
            </w14:solidFill>
          </w14:textFill>
        </w:rPr>
        <w:t>法定代表人或授权代理人(签字或盖章)：</w:t>
      </w:r>
    </w:p>
    <w:p>
      <w:pPr>
        <w:topLinePunct/>
        <w:adjustRightInd w:val="0"/>
        <w:snapToGrid w:val="0"/>
        <w:spacing w:line="360" w:lineRule="auto"/>
        <w:ind w:firstLine="3596" w:firstLineChars="145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lang w:bidi="ar"/>
          <w14:textFill>
            <w14:solidFill>
              <w14:schemeClr w14:val="tx1"/>
            </w14:solidFill>
          </w14:textFill>
        </w:rPr>
        <w:t>日   期：     年    月    日</w:t>
      </w:r>
    </w:p>
    <w:p>
      <w:pPr>
        <w:pStyle w:val="10"/>
        <w:rPr>
          <w:color w:val="000000" w:themeColor="text1"/>
          <w:highlight w:val="none"/>
          <w14:textFill>
            <w14:solidFill>
              <w14:schemeClr w14:val="tx1"/>
            </w14:solidFill>
          </w14:textFill>
        </w:rPr>
      </w:pPr>
    </w:p>
    <w:p>
      <w:pPr>
        <w:pStyle w:val="10"/>
        <w:rPr>
          <w:color w:val="000000" w:themeColor="text1"/>
          <w:highlight w:val="none"/>
          <w14:textFill>
            <w14:solidFill>
              <w14:schemeClr w14:val="tx1"/>
            </w14:solidFill>
          </w14:textFill>
        </w:rPr>
      </w:pPr>
    </w:p>
    <w:p>
      <w:pPr>
        <w:pStyle w:val="10"/>
        <w:rPr>
          <w:color w:val="000000" w:themeColor="text1"/>
          <w:highlight w:val="none"/>
          <w14:textFill>
            <w14:solidFill>
              <w14:schemeClr w14:val="tx1"/>
            </w14:solidFill>
          </w14:textFill>
        </w:rPr>
      </w:pPr>
    </w:p>
    <w:p>
      <w:pPr>
        <w:pStyle w:val="10"/>
        <w:rPr>
          <w:color w:val="000000" w:themeColor="text1"/>
          <w:highlight w:val="none"/>
          <w14:textFill>
            <w14:solidFill>
              <w14:schemeClr w14:val="tx1"/>
            </w14:solidFill>
          </w14:textFill>
        </w:rPr>
      </w:pPr>
    </w:p>
    <w:p>
      <w:pPr>
        <w:pStyle w:val="10"/>
        <w:rPr>
          <w:color w:val="000000" w:themeColor="text1"/>
          <w:highlight w:val="none"/>
          <w14:textFill>
            <w14:solidFill>
              <w14:schemeClr w14:val="tx1"/>
            </w14:solidFill>
          </w14:textFill>
        </w:rPr>
      </w:pPr>
    </w:p>
    <w:p>
      <w:pPr>
        <w:outlineLvl w:val="2"/>
        <w:rPr>
          <w:rFonts w:ascii="宋体" w:cs="宋体"/>
          <w:b/>
          <w:color w:val="000000" w:themeColor="text1"/>
          <w:sz w:val="24"/>
          <w:szCs w:val="24"/>
          <w:highlight w:val="none"/>
          <w14:textFill>
            <w14:solidFill>
              <w14:schemeClr w14:val="tx1"/>
            </w14:solidFill>
          </w14:textFill>
        </w:rPr>
      </w:pPr>
      <w:r>
        <w:rPr>
          <w:rFonts w:ascii="宋体" w:hAnsi="宋体" w:eastAsia="黑体"/>
          <w:b/>
          <w:snapToGrid w:val="0"/>
          <w:color w:val="000000" w:themeColor="text1"/>
          <w:spacing w:val="4"/>
          <w:kern w:val="0"/>
          <w:sz w:val="24"/>
          <w:szCs w:val="24"/>
          <w:highlight w:val="none"/>
          <w14:textFill>
            <w14:solidFill>
              <w14:schemeClr w14:val="tx1"/>
            </w14:solidFill>
          </w14:textFill>
        </w:rPr>
        <w:br w:type="page"/>
      </w:r>
      <w:bookmarkStart w:id="127" w:name="_Toc29476919"/>
      <w:bookmarkStart w:id="128" w:name="_Toc1902"/>
      <w:bookmarkStart w:id="129" w:name="_Toc40024393"/>
      <w:r>
        <w:rPr>
          <w:rFonts w:ascii="Times New Roman" w:hAnsi="Times New Roman" w:eastAsiaTheme="minorEastAsia"/>
          <w:color w:val="000000" w:themeColor="text1"/>
          <w:spacing w:val="4"/>
          <w:kern w:val="0"/>
          <w:sz w:val="24"/>
          <w:szCs w:val="24"/>
          <w:highlight w:val="none"/>
          <w:lang w:bidi="ar"/>
          <w14:textFill>
            <w14:solidFill>
              <w14:schemeClr w14:val="tx1"/>
            </w14:solidFill>
          </w14:textFill>
        </w:rPr>
        <w:t xml:space="preserve"> </w:t>
      </w:r>
      <w:r>
        <w:rPr>
          <w:rFonts w:hint="eastAsia"/>
          <w:color w:val="000000" w:themeColor="text1"/>
          <w:spacing w:val="4"/>
          <w:kern w:val="0"/>
          <w:sz w:val="24"/>
          <w:szCs w:val="24"/>
          <w:highlight w:val="none"/>
          <w14:textFill>
            <w14:solidFill>
              <w14:schemeClr w14:val="tx1"/>
            </w14:solidFill>
          </w14:textFill>
        </w:rPr>
        <w:t>格式十一：</w:t>
      </w:r>
      <w:r>
        <w:rPr>
          <w:rFonts w:hint="eastAsia" w:ascii="宋体" w:hAnsi="宋体" w:cs="宋体"/>
          <w:b w:val="0"/>
          <w:bCs/>
          <w:color w:val="000000" w:themeColor="text1"/>
          <w:sz w:val="24"/>
          <w:szCs w:val="24"/>
          <w:highlight w:val="none"/>
          <w14:textFill>
            <w14:solidFill>
              <w14:schemeClr w14:val="tx1"/>
            </w14:solidFill>
          </w14:textFill>
        </w:rPr>
        <w:t>响应招标文件所附施工组织设计要点的承诺书</w:t>
      </w:r>
    </w:p>
    <w:p>
      <w:pPr>
        <w:topLinePunct/>
        <w:adjustRightInd w:val="0"/>
        <w:snapToGrid w:val="0"/>
        <w:spacing w:line="360" w:lineRule="auto"/>
        <w:jc w:val="center"/>
        <w:rPr>
          <w:rFonts w:ascii="宋体" w:cs="宋体"/>
          <w:b/>
          <w:color w:val="000000" w:themeColor="text1"/>
          <w:sz w:val="36"/>
          <w:szCs w:val="36"/>
          <w:highlight w:val="none"/>
          <w14:textFill>
            <w14:solidFill>
              <w14:schemeClr w14:val="tx1"/>
            </w14:solidFill>
          </w14:textFill>
        </w:rPr>
      </w:pPr>
      <w:r>
        <w:rPr>
          <w:rFonts w:ascii="宋体" w:hAnsi="宋体" w:cs="宋体"/>
          <w:b/>
          <w:color w:val="000000" w:themeColor="text1"/>
          <w:sz w:val="36"/>
          <w:szCs w:val="36"/>
          <w:highlight w:val="none"/>
          <w14:textFill>
            <w14:solidFill>
              <w14:schemeClr w14:val="tx1"/>
            </w14:solidFill>
          </w14:textFill>
        </w:rPr>
        <w:t xml:space="preserve"> </w:t>
      </w:r>
    </w:p>
    <w:p>
      <w:pPr>
        <w:topLinePunct/>
        <w:adjustRightInd w:val="0"/>
        <w:snapToGrid w:val="0"/>
        <w:spacing w:line="360" w:lineRule="auto"/>
        <w:jc w:val="center"/>
        <w:rPr>
          <w:rFonts w:ascii="宋体" w:cs="宋体"/>
          <w:b/>
          <w:color w:val="000000" w:themeColor="text1"/>
          <w:spacing w:val="4"/>
          <w:kern w:val="0"/>
          <w:sz w:val="32"/>
          <w:szCs w:val="32"/>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响应招标文件所附施工组织设计要点的承诺书</w:t>
      </w:r>
    </w:p>
    <w:p>
      <w:pPr>
        <w:spacing w:before="312" w:beforeLines="100" w:after="156" w:afterLines="50" w:line="400" w:lineRule="exact"/>
        <w:rPr>
          <w:rFonts w:ascii="宋体" w:cs="宋体"/>
          <w:color w:val="000000" w:themeColor="text1"/>
          <w:sz w:val="24"/>
          <w:szCs w:val="24"/>
          <w:highlight w:val="none"/>
          <w:u w:val="single"/>
          <w14:textFill>
            <w14:solidFill>
              <w14:schemeClr w14:val="tx1"/>
            </w14:solidFill>
          </w14:textFill>
        </w:rPr>
      </w:pP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u w:val="single"/>
          <w14:textFill>
            <w14:solidFill>
              <w14:schemeClr w14:val="tx1"/>
            </w14:solidFill>
          </w14:textFill>
        </w:rPr>
        <w:t>（招标人）</w:t>
      </w:r>
      <w:r>
        <w:rPr>
          <w:rFonts w:hint="eastAsia" w:ascii="宋体" w:hAnsi="宋体" w:cs="宋体"/>
          <w:color w:val="000000" w:themeColor="text1"/>
          <w:sz w:val="24"/>
          <w:szCs w:val="24"/>
          <w:highlight w:val="none"/>
          <w14:textFill>
            <w14:solidFill>
              <w14:schemeClr w14:val="tx1"/>
            </w14:solidFill>
          </w14:textFill>
        </w:rPr>
        <w:t>：</w:t>
      </w:r>
    </w:p>
    <w:p>
      <w:pPr>
        <w:spacing w:line="400" w:lineRule="exact"/>
        <w:ind w:firstLine="480"/>
        <w:rPr>
          <w:rFonts w:asci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我方承诺，如中标承建</w:t>
      </w: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u w:val="single"/>
          <w14:textFill>
            <w14:solidFill>
              <w14:schemeClr w14:val="tx1"/>
            </w14:solidFill>
          </w14:textFill>
        </w:rPr>
        <w:t>项目名称</w:t>
      </w:r>
      <w:r>
        <w:rPr>
          <w:rFonts w:ascii="宋体" w:hAnsi="宋体" w:cs="宋体"/>
          <w:color w:val="000000" w:themeColor="text1"/>
          <w:sz w:val="24"/>
          <w:szCs w:val="24"/>
          <w:highlight w:val="none"/>
          <w:u w:val="single"/>
          <w14:textFill>
            <w14:solidFill>
              <w14:schemeClr w14:val="tx1"/>
            </w14:solidFill>
          </w14:textFill>
        </w:rPr>
        <w:t>)</w:t>
      </w:r>
      <w:r>
        <w:rPr>
          <w:rFonts w:hint="eastAsia" w:ascii="宋体" w:hAnsi="宋体" w:cs="宋体"/>
          <w:color w:val="000000" w:themeColor="text1"/>
          <w:sz w:val="24"/>
          <w:szCs w:val="24"/>
          <w:highlight w:val="none"/>
          <w14:textFill>
            <w14:solidFill>
              <w14:schemeClr w14:val="tx1"/>
            </w14:solidFill>
          </w14:textFill>
        </w:rPr>
        <w:t>，将按招标文件所附的本工程</w:t>
      </w: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u w:val="single"/>
          <w14:textFill>
            <w14:solidFill>
              <w14:schemeClr w14:val="tx1"/>
            </w14:solidFill>
          </w14:textFill>
        </w:rPr>
        <w:t>施工组织设计要点</w:t>
      </w: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14:textFill>
            <w14:solidFill>
              <w14:schemeClr w14:val="tx1"/>
            </w14:solidFill>
          </w14:textFill>
        </w:rPr>
        <w:t>进行响应的基础上自行组织施工。并承诺在中标后按招标文件所附的</w:t>
      </w: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u w:val="single"/>
          <w14:textFill>
            <w14:solidFill>
              <w14:schemeClr w14:val="tx1"/>
            </w14:solidFill>
          </w14:textFill>
        </w:rPr>
        <w:t>施工组织设计要点</w:t>
      </w:r>
      <w:r>
        <w:rPr>
          <w:rFonts w:ascii="宋体" w:hAnsi="宋体" w:cs="宋体"/>
          <w:color w:val="000000" w:themeColor="text1"/>
          <w:sz w:val="24"/>
          <w:szCs w:val="24"/>
          <w:highlight w:val="none"/>
          <w:u w:val="single"/>
          <w14:textFill>
            <w14:solidFill>
              <w14:schemeClr w14:val="tx1"/>
            </w14:solidFill>
          </w14:textFill>
        </w:rPr>
        <w:t xml:space="preserve"> </w:t>
      </w:r>
      <w:r>
        <w:rPr>
          <w:rFonts w:hint="eastAsia" w:ascii="宋体" w:hAnsi="宋体" w:cs="宋体"/>
          <w:color w:val="000000" w:themeColor="text1"/>
          <w:sz w:val="24"/>
          <w:szCs w:val="24"/>
          <w:highlight w:val="none"/>
          <w14:textFill>
            <w14:solidFill>
              <w14:schemeClr w14:val="tx1"/>
            </w14:solidFill>
          </w14:textFill>
        </w:rPr>
        <w:t>基础上编制详细的施工组织设计，并报经监理单位和建设单位审批后实施。</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spacing w:line="400" w:lineRule="exact"/>
        <w:rPr>
          <w:rFonts w:ascii="宋体" w:cs="宋体"/>
          <w:color w:val="000000" w:themeColor="text1"/>
          <w:sz w:val="24"/>
          <w:szCs w:val="24"/>
          <w:highlight w:val="none"/>
          <w14:textFill>
            <w14:solidFill>
              <w14:schemeClr w14:val="tx1"/>
            </w14:solidFill>
          </w14:textFill>
        </w:rPr>
      </w:pPr>
      <w:r>
        <w:rPr>
          <w:rFonts w:ascii="宋体" w:hAnsi="宋体" w:cs="宋体"/>
          <w:color w:val="000000" w:themeColor="text1"/>
          <w:sz w:val="24"/>
          <w:szCs w:val="24"/>
          <w:highlight w:val="none"/>
          <w14:textFill>
            <w14:solidFill>
              <w14:schemeClr w14:val="tx1"/>
            </w14:solidFill>
          </w14:textFill>
        </w:rPr>
        <w:t xml:space="preserve"> </w:t>
      </w:r>
    </w:p>
    <w:p>
      <w:pPr>
        <w:widowControl/>
        <w:topLinePunct/>
        <w:adjustRightInd w:val="0"/>
        <w:snapToGrid w:val="0"/>
        <w:spacing w:after="200" w:line="360" w:lineRule="auto"/>
        <w:ind w:firstLine="3596" w:firstLineChars="1450"/>
        <w:jc w:val="left"/>
        <w:rPr>
          <w:rFonts w:ascii="Times New Roman" w:hAnsi="Times New Roman"/>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投标人：</w:t>
      </w:r>
      <w:r>
        <w:rPr>
          <w:rFonts w:ascii="宋体" w:hAnsi="宋体" w:cs="宋体"/>
          <w:color w:val="000000" w:themeColor="text1"/>
          <w:spacing w:val="4"/>
          <w:kern w:val="0"/>
          <w:sz w:val="24"/>
          <w:szCs w:val="24"/>
          <w:highlight w:val="none"/>
          <w14:textFill>
            <w14:solidFill>
              <w14:schemeClr w14:val="tx1"/>
            </w14:solidFill>
          </w14:textFill>
        </w:rPr>
        <w:t xml:space="preserve">  </w:t>
      </w:r>
      <w:r>
        <w:rPr>
          <w:rFonts w:hint="eastAsia" w:ascii="宋体" w:hAnsi="宋体" w:cs="宋体"/>
          <w:color w:val="000000" w:themeColor="text1"/>
          <w:spacing w:val="4"/>
          <w:kern w:val="0"/>
          <w:sz w:val="24"/>
          <w:szCs w:val="24"/>
          <w:highlight w:val="none"/>
          <w14:textFill>
            <w14:solidFill>
              <w14:schemeClr w14:val="tx1"/>
            </w14:solidFill>
          </w14:textFill>
        </w:rPr>
        <w:t>（盖章）</w:t>
      </w:r>
    </w:p>
    <w:p>
      <w:pPr>
        <w:widowControl/>
        <w:topLinePunct/>
        <w:adjustRightInd w:val="0"/>
        <w:snapToGrid w:val="0"/>
        <w:spacing w:after="200" w:line="360" w:lineRule="auto"/>
        <w:ind w:firstLine="3596" w:firstLineChars="1450"/>
        <w:jc w:val="left"/>
        <w:rPr>
          <w:rFonts w:ascii="Times New Roman" w:hAnsi="Times New Roman"/>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法定代表人或授权代理人</w:t>
      </w:r>
      <w:r>
        <w:rPr>
          <w:rFonts w:ascii="Times New Roman" w:hAnsi="Times New Roman"/>
          <w:color w:val="000000" w:themeColor="text1"/>
          <w:spacing w:val="4"/>
          <w:kern w:val="0"/>
          <w:sz w:val="24"/>
          <w:szCs w:val="24"/>
          <w:highlight w:val="none"/>
          <w14:textFill>
            <w14:solidFill>
              <w14:schemeClr w14:val="tx1"/>
            </w14:solidFill>
          </w14:textFill>
        </w:rPr>
        <w:t>(</w:t>
      </w:r>
      <w:r>
        <w:rPr>
          <w:rFonts w:hint="eastAsia" w:ascii="宋体" w:hAnsi="宋体" w:cs="宋体"/>
          <w:color w:val="000000" w:themeColor="text1"/>
          <w:spacing w:val="4"/>
          <w:kern w:val="0"/>
          <w:sz w:val="24"/>
          <w:szCs w:val="24"/>
          <w:highlight w:val="none"/>
          <w14:textFill>
            <w14:solidFill>
              <w14:schemeClr w14:val="tx1"/>
            </w14:solidFill>
          </w14:textFill>
        </w:rPr>
        <w:t>签字或盖章</w:t>
      </w:r>
      <w:r>
        <w:rPr>
          <w:rFonts w:ascii="Times New Roman" w:hAnsi="Times New Roman"/>
          <w:color w:val="000000" w:themeColor="text1"/>
          <w:spacing w:val="4"/>
          <w:kern w:val="0"/>
          <w:sz w:val="24"/>
          <w:szCs w:val="24"/>
          <w:highlight w:val="none"/>
          <w14:textFill>
            <w14:solidFill>
              <w14:schemeClr w14:val="tx1"/>
            </w14:solidFill>
          </w14:textFill>
        </w:rPr>
        <w:t>)</w:t>
      </w:r>
      <w:r>
        <w:rPr>
          <w:rFonts w:hint="eastAsia" w:ascii="宋体" w:hAnsi="宋体" w:cs="宋体"/>
          <w:color w:val="000000" w:themeColor="text1"/>
          <w:spacing w:val="4"/>
          <w:kern w:val="0"/>
          <w:sz w:val="24"/>
          <w:szCs w:val="24"/>
          <w:highlight w:val="none"/>
          <w14:textFill>
            <w14:solidFill>
              <w14:schemeClr w14:val="tx1"/>
            </w14:solidFill>
          </w14:textFill>
        </w:rPr>
        <w:t>：</w:t>
      </w:r>
    </w:p>
    <w:p>
      <w:pPr>
        <w:widowControl/>
        <w:topLinePunct/>
        <w:adjustRightInd w:val="0"/>
        <w:snapToGrid w:val="0"/>
        <w:spacing w:after="200" w:line="360" w:lineRule="auto"/>
        <w:ind w:firstLine="3596" w:firstLineChars="1450"/>
        <w:jc w:val="left"/>
        <w:outlineLvl w:val="9"/>
        <w:rPr>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14:textFill>
            <w14:solidFill>
              <w14:schemeClr w14:val="tx1"/>
            </w14:solidFill>
          </w14:textFill>
        </w:rPr>
        <w:t>日</w:t>
      </w:r>
      <w:r>
        <w:rPr>
          <w:rFonts w:ascii="Times New Roman" w:hAnsi="Times New Roman"/>
          <w:color w:val="000000" w:themeColor="text1"/>
          <w:spacing w:val="4"/>
          <w:kern w:val="0"/>
          <w:sz w:val="24"/>
          <w:szCs w:val="24"/>
          <w:highlight w:val="none"/>
          <w14:textFill>
            <w14:solidFill>
              <w14:schemeClr w14:val="tx1"/>
            </w14:solidFill>
          </w14:textFill>
        </w:rPr>
        <w:t xml:space="preserve">   </w:t>
      </w:r>
      <w:r>
        <w:rPr>
          <w:rFonts w:hint="eastAsia" w:ascii="宋体" w:hAnsi="宋体" w:cs="宋体"/>
          <w:color w:val="000000" w:themeColor="text1"/>
          <w:spacing w:val="4"/>
          <w:kern w:val="0"/>
          <w:sz w:val="24"/>
          <w:szCs w:val="24"/>
          <w:highlight w:val="none"/>
          <w14:textFill>
            <w14:solidFill>
              <w14:schemeClr w14:val="tx1"/>
            </w14:solidFill>
          </w14:textFill>
        </w:rPr>
        <w:t>期：</w:t>
      </w:r>
      <w:r>
        <w:rPr>
          <w:rFonts w:ascii="Times New Roman" w:hAnsi="Times New Roman"/>
          <w:color w:val="000000" w:themeColor="text1"/>
          <w:spacing w:val="4"/>
          <w:kern w:val="0"/>
          <w:sz w:val="24"/>
          <w:szCs w:val="24"/>
          <w:highlight w:val="none"/>
          <w14:textFill>
            <w14:solidFill>
              <w14:schemeClr w14:val="tx1"/>
            </w14:solidFill>
          </w14:textFill>
        </w:rPr>
        <w:t xml:space="preserve">    </w:t>
      </w:r>
      <w:r>
        <w:rPr>
          <w:rFonts w:hint="eastAsia" w:ascii="宋体" w:hAnsi="宋体" w:cs="宋体"/>
          <w:color w:val="000000" w:themeColor="text1"/>
          <w:spacing w:val="4"/>
          <w:kern w:val="0"/>
          <w:sz w:val="24"/>
          <w:szCs w:val="24"/>
          <w:highlight w:val="none"/>
          <w14:textFill>
            <w14:solidFill>
              <w14:schemeClr w14:val="tx1"/>
            </w14:solidFill>
          </w14:textFill>
        </w:rPr>
        <w:t>年</w:t>
      </w:r>
      <w:r>
        <w:rPr>
          <w:rFonts w:ascii="Times New Roman" w:hAnsi="Times New Roman"/>
          <w:color w:val="000000" w:themeColor="text1"/>
          <w:spacing w:val="4"/>
          <w:kern w:val="0"/>
          <w:sz w:val="24"/>
          <w:szCs w:val="24"/>
          <w:highlight w:val="none"/>
          <w14:textFill>
            <w14:solidFill>
              <w14:schemeClr w14:val="tx1"/>
            </w14:solidFill>
          </w14:textFill>
        </w:rPr>
        <w:t xml:space="preserve">    </w:t>
      </w:r>
      <w:r>
        <w:rPr>
          <w:rFonts w:hint="eastAsia" w:ascii="宋体" w:hAnsi="宋体" w:cs="宋体"/>
          <w:color w:val="000000" w:themeColor="text1"/>
          <w:spacing w:val="4"/>
          <w:kern w:val="0"/>
          <w:sz w:val="24"/>
          <w:szCs w:val="24"/>
          <w:highlight w:val="none"/>
          <w14:textFill>
            <w14:solidFill>
              <w14:schemeClr w14:val="tx1"/>
            </w14:solidFill>
          </w14:textFill>
        </w:rPr>
        <w:t>月</w:t>
      </w:r>
      <w:r>
        <w:rPr>
          <w:rFonts w:ascii="Times New Roman" w:hAnsi="Times New Roman"/>
          <w:color w:val="000000" w:themeColor="text1"/>
          <w:spacing w:val="4"/>
          <w:kern w:val="0"/>
          <w:sz w:val="24"/>
          <w:szCs w:val="24"/>
          <w:highlight w:val="none"/>
          <w14:textFill>
            <w14:solidFill>
              <w14:schemeClr w14:val="tx1"/>
            </w14:solidFill>
          </w14:textFill>
        </w:rPr>
        <w:t xml:space="preserve">    </w:t>
      </w:r>
      <w:r>
        <w:rPr>
          <w:rFonts w:hint="eastAsia" w:ascii="宋体" w:hAnsi="宋体" w:cs="宋体"/>
          <w:color w:val="000000" w:themeColor="text1"/>
          <w:spacing w:val="4"/>
          <w:kern w:val="0"/>
          <w:sz w:val="24"/>
          <w:szCs w:val="24"/>
          <w:highlight w:val="none"/>
          <w14:textFill>
            <w14:solidFill>
              <w14:schemeClr w14:val="tx1"/>
            </w14:solidFill>
          </w14:textFill>
        </w:rPr>
        <w:t>日</w:t>
      </w:r>
      <w:r>
        <w:rPr>
          <w:rFonts w:ascii="Times New Roman" w:hAnsi="Times New Roman"/>
          <w:color w:val="000000" w:themeColor="text1"/>
          <w:spacing w:val="4"/>
          <w:kern w:val="0"/>
          <w:sz w:val="24"/>
          <w:szCs w:val="24"/>
          <w:highlight w:val="none"/>
          <w14:textFill>
            <w14:solidFill>
              <w14:schemeClr w14:val="tx1"/>
            </w14:solidFill>
          </w14:textFill>
        </w:rPr>
        <w:t xml:space="preserve"> </w:t>
      </w:r>
      <w:bookmarkEnd w:id="127"/>
      <w:bookmarkEnd w:id="128"/>
      <w:bookmarkEnd w:id="129"/>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topLinePunct/>
        <w:adjustRightInd w:val="0"/>
        <w:snapToGrid w:val="0"/>
        <w:spacing w:line="360" w:lineRule="auto"/>
        <w:jc w:val="center"/>
        <w:rPr>
          <w:rFonts w:eastAsia="黑体"/>
          <w:snapToGrid w:val="0"/>
          <w:color w:val="000000" w:themeColor="text1"/>
          <w:spacing w:val="4"/>
          <w:sz w:val="36"/>
          <w:szCs w:val="36"/>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topLinePunct/>
        <w:adjustRightInd w:val="0"/>
        <w:snapToGrid w:val="0"/>
        <w:spacing w:line="360" w:lineRule="auto"/>
        <w:ind w:firstLine="3596" w:firstLineChars="1450"/>
        <w:rPr>
          <w:rFonts w:ascii="宋体" w:cs="宋体"/>
          <w:color w:val="000000" w:themeColor="text1"/>
          <w:spacing w:val="4"/>
          <w:kern w:val="0"/>
          <w:sz w:val="24"/>
          <w:szCs w:val="24"/>
          <w:highlight w:val="none"/>
          <w14:textFill>
            <w14:solidFill>
              <w14:schemeClr w14:val="tx1"/>
            </w14:solidFill>
          </w14:textFill>
        </w:rPr>
      </w:pPr>
    </w:p>
    <w:p>
      <w:pPr>
        <w:topLinePunct/>
        <w:adjustRightInd w:val="0"/>
        <w:snapToGrid w:val="0"/>
        <w:jc w:val="left"/>
        <w:outlineLvl w:val="2"/>
        <w:rPr>
          <w:rFonts w:ascii="宋体" w:hAnsi="宋体"/>
          <w:b/>
          <w:snapToGrid w:val="0"/>
          <w:color w:val="000000" w:themeColor="text1"/>
          <w:spacing w:val="4"/>
          <w:kern w:val="0"/>
          <w:sz w:val="24"/>
          <w:szCs w:val="24"/>
          <w:highlight w:val="none"/>
          <w14:textFill>
            <w14:solidFill>
              <w14:schemeClr w14:val="tx1"/>
            </w14:solidFill>
          </w14:textFill>
        </w:rPr>
      </w:pPr>
      <w:bookmarkStart w:id="130" w:name="_Toc31709"/>
      <w:bookmarkStart w:id="131" w:name="_Toc4339797"/>
      <w:bookmarkStart w:id="132" w:name="_Toc8019"/>
      <w:bookmarkStart w:id="133" w:name="_Toc4489946"/>
      <w:bookmarkStart w:id="134" w:name="_Toc4340135"/>
      <w:r>
        <w:rPr>
          <w:rFonts w:hint="eastAsia" w:ascii="宋体" w:hAnsi="宋体"/>
          <w:b/>
          <w:snapToGrid w:val="0"/>
          <w:color w:val="000000" w:themeColor="text1"/>
          <w:spacing w:val="4"/>
          <w:kern w:val="0"/>
          <w:sz w:val="24"/>
          <w:szCs w:val="24"/>
          <w:highlight w:val="none"/>
          <w14:textFill>
            <w14:solidFill>
              <w14:schemeClr w14:val="tx1"/>
            </w14:solidFill>
          </w14:textFill>
        </w:rPr>
        <w:t>格式十二：承诺书</w:t>
      </w:r>
      <w:bookmarkEnd w:id="130"/>
    </w:p>
    <w:p>
      <w:pPr>
        <w:topLinePunct/>
        <w:adjustRightInd w:val="0"/>
        <w:snapToGrid w:val="0"/>
        <w:spacing w:before="156" w:after="156"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承  诺  书</w:t>
      </w:r>
    </w:p>
    <w:p>
      <w:pPr>
        <w:topLinePunct/>
        <w:adjustRightInd w:val="0"/>
        <w:snapToGrid w:val="0"/>
        <w:spacing w:line="360" w:lineRule="auto"/>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致：广州市重点公共建设项目管理中心：</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经详细阅读本工程招标文件、招标答疑纪要和踏勘现场，我司已理解招标人对本招标项目工程管理的高标准及严格要求，在此，我司郑重作出以下承诺：</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一、我司已按投标须知第5条的要求完成了对现场的踏勘工作，已充分了解施工现场的条件。如若中标，我司理解招标人向投标人提供的有关现场的数据和资料，是招标人现有的能被投标人利用的资料。招标人对投标人做出的任何推论、理解和结论均不需负任何的责任。我司承诺不会因施工期间现场条件发生的任何阻碍而向招标人索赔工期或费用，并保证不因</w:t>
      </w:r>
      <w:bookmarkStart w:id="135" w:name="_Toc444607390"/>
      <w:bookmarkStart w:id="136" w:name="_Toc24085"/>
      <w:bookmarkStart w:id="137" w:name="_Toc11044"/>
      <w:r>
        <w:rPr>
          <w:rFonts w:hint="eastAsia"/>
          <w:snapToGrid w:val="0"/>
          <w:color w:val="000000" w:themeColor="text1"/>
          <w:spacing w:val="4"/>
          <w:kern w:val="0"/>
          <w:sz w:val="24"/>
          <w:szCs w:val="24"/>
          <w:highlight w:val="none"/>
          <w14:textFill>
            <w14:solidFill>
              <w14:schemeClr w14:val="tx1"/>
            </w14:solidFill>
          </w14:textFill>
        </w:rPr>
        <w:t>施工期间现</w:t>
      </w:r>
      <w:bookmarkEnd w:id="135"/>
      <w:r>
        <w:rPr>
          <w:rFonts w:hint="eastAsia"/>
          <w:snapToGrid w:val="0"/>
          <w:color w:val="000000" w:themeColor="text1"/>
          <w:spacing w:val="4"/>
          <w:kern w:val="0"/>
          <w:sz w:val="24"/>
          <w:szCs w:val="24"/>
          <w:highlight w:val="none"/>
          <w14:textFill>
            <w14:solidFill>
              <w14:schemeClr w14:val="tx1"/>
            </w14:solidFill>
          </w14:textFill>
        </w:rPr>
        <w:t>场条件发生的任何阻碍而影响投标承诺的竣工日期。</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二、我司已全面细致熟悉、复核和理解本招标项目招标时的所有图纸、资料和设计文件，已完全理解本工程的特点和设计意图。经认真审查，我司认为本招标项目图纸、资料和设计文件完整，不存在错项、漏项的情况，满足和符合施工要求；如工程实施过程中发生因上述图纸、资料和设计文件不完整而导致的变更，我司承诺在不影响工程顺利推进的前提下，及时主动报招标人审批同意，其中因我司原因而发生的，我司承诺不要求增加任何费用。</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三、经认真审查，我司认为本招标项目图纸、资料和设计文件中不存在不能施工、不便于施工的技术问题；施工期间如仍需发生施工工艺、重大技术方案的调整，我司承诺在不影响工程顺利推进的前提下，及时主动报招标人审批同意，其中因我司原因而发生的，我司承诺不要求增加任何费用。</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四、经认真进行市场调查，我司承诺本招标项目材料、设备来源有保证，可按投标承诺及时组织到货，无需代换，图纸、资料和设计文件中所要求的条件我司全部能够满足。</w:t>
      </w:r>
    </w:p>
    <w:p>
      <w:pPr>
        <w:topLinePunct/>
        <w:adjustRightInd w:val="0"/>
        <w:snapToGrid w:val="0"/>
        <w:spacing w:line="360" w:lineRule="auto"/>
        <w:ind w:firstLine="496" w:firstLineChars="200"/>
        <w:rPr>
          <w:snapToGrid w:val="0"/>
          <w:color w:val="000000" w:themeColor="text1"/>
          <w:spacing w:val="2"/>
          <w:kern w:val="0"/>
          <w:position w:val="2"/>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五、</w:t>
      </w:r>
      <w:r>
        <w:rPr>
          <w:rFonts w:hint="eastAsia"/>
          <w:snapToGrid w:val="0"/>
          <w:color w:val="000000" w:themeColor="text1"/>
          <w:spacing w:val="2"/>
          <w:kern w:val="0"/>
          <w:position w:val="2"/>
          <w:sz w:val="24"/>
          <w:szCs w:val="24"/>
          <w:highlight w:val="none"/>
          <w14:textFill>
            <w14:solidFill>
              <w14:schemeClr w14:val="tx1"/>
            </w14:solidFill>
          </w14:textFill>
        </w:rPr>
        <w:t>鉴于本工程的重要性、复杂性和工期的紧迫性，为确保按时、按质完成本工程的施工任务，我司经慎重考虑，承诺按招标文件的要求投入人员。否则，按合同约定处理，并承担违约责任。</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六、我司已充分阅读并理解招标文件第三章合同格式的所有内容，且对合同条款相关疑问已在投标阶段时提出。如果我司的投标被接受，将保证按招标文件规定的时间及合同条款与贵局签订合同，且在办理合同签订手续时积极主动配合招标人，不提出任何违反招标文件合同条款精神的任何书面要求和疑问。</w:t>
      </w:r>
    </w:p>
    <w:p>
      <w:pPr>
        <w:topLinePunct/>
        <w:adjustRightInd w:val="0"/>
        <w:snapToGrid w:val="0"/>
        <w:spacing w:line="360" w:lineRule="auto"/>
        <w:ind w:firstLine="472" w:firstLineChars="200"/>
        <w:rPr>
          <w:snapToGrid w:val="0"/>
          <w:color w:val="000000" w:themeColor="text1"/>
          <w:spacing w:val="-2"/>
          <w:kern w:val="0"/>
          <w:sz w:val="24"/>
          <w:szCs w:val="24"/>
          <w:highlight w:val="none"/>
          <w14:textFill>
            <w14:solidFill>
              <w14:schemeClr w14:val="tx1"/>
            </w14:solidFill>
          </w14:textFill>
        </w:rPr>
      </w:pPr>
      <w:r>
        <w:rPr>
          <w:rFonts w:hint="eastAsia"/>
          <w:snapToGrid w:val="0"/>
          <w:color w:val="000000" w:themeColor="text1"/>
          <w:spacing w:val="-2"/>
          <w:kern w:val="0"/>
          <w:sz w:val="24"/>
          <w:szCs w:val="24"/>
          <w:highlight w:val="none"/>
          <w14:textFill>
            <w14:solidFill>
              <w14:schemeClr w14:val="tx1"/>
            </w14:solidFill>
          </w14:textFill>
        </w:rPr>
        <w:t>七、我司保证本工程文明施工和职业健康安全管理方案完全满足国家、省、市政府、主管部门颁布的安全生产规程与规定，完全满足《建筑施工安全检查标准》（JGJ59-2011）、《广州市建设工程现场文明施工管理办法》（穗建质</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2008</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937号）、《广州市城乡建设委员会关于印发广州市加强建筑工地环保管理工作方案的通知(穗建质〔2014〕754号)》、《广东省建设工程施工扬尘污染防治管理办法（试行）》（粤办函〔2017〕708号）、《广东省住房和城乡建设厅关于采取切实措施坚决遏制施工扬尘污染的紧急通知》（粤建电发</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2018</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20号）、《广东省房屋建筑和市政基础设施工程用工实名管理暂行办法》（粤建规范</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2018</w:t>
      </w:r>
      <w:r>
        <w:rPr>
          <w:rFonts w:hint="eastAsia" w:ascii="宋体" w:hAnsi="宋体"/>
          <w:snapToGrid w:val="0"/>
          <w:color w:val="000000" w:themeColor="text1"/>
          <w:spacing w:val="-2"/>
          <w:kern w:val="0"/>
          <w:sz w:val="24"/>
          <w:szCs w:val="24"/>
          <w:highlight w:val="none"/>
          <w14:textFill>
            <w14:solidFill>
              <w14:schemeClr w14:val="tx1"/>
            </w14:solidFill>
          </w14:textFill>
        </w:rPr>
        <w:t>〕</w:t>
      </w:r>
      <w:r>
        <w:rPr>
          <w:rFonts w:hint="eastAsia"/>
          <w:snapToGrid w:val="0"/>
          <w:color w:val="000000" w:themeColor="text1"/>
          <w:spacing w:val="-2"/>
          <w:kern w:val="0"/>
          <w:sz w:val="24"/>
          <w:szCs w:val="24"/>
          <w:highlight w:val="none"/>
          <w14:textFill>
            <w14:solidFill>
              <w14:schemeClr w14:val="tx1"/>
            </w14:solidFill>
          </w14:textFill>
        </w:rPr>
        <w:t>1号）、</w:t>
      </w:r>
      <w:bookmarkEnd w:id="136"/>
      <w:bookmarkEnd w:id="137"/>
      <w:r>
        <w:rPr>
          <w:rFonts w:hint="eastAsia" w:ascii="宋体" w:hAnsi="宋体" w:cs="宋体"/>
          <w:bCs/>
          <w:color w:val="000000" w:themeColor="text1"/>
          <w:kern w:val="0"/>
          <w:sz w:val="24"/>
          <w:szCs w:val="24"/>
          <w:highlight w:val="none"/>
          <w:u w:val="single"/>
          <w14:textFill>
            <w14:solidFill>
              <w14:schemeClr w14:val="tx1"/>
            </w14:solidFill>
          </w14:textFill>
        </w:rPr>
        <w:t>《广州市住房和城乡建设局等8部门关于印发广州市建设工程扬尘防治“6个100%”管理标准图集（V2.0版）的通知》、</w:t>
      </w:r>
      <w:r>
        <w:rPr>
          <w:rFonts w:hint="eastAsia" w:ascii="宋体" w:hAnsi="宋体" w:cs="宋体"/>
          <w:color w:val="000000" w:themeColor="text1"/>
          <w:sz w:val="24"/>
          <w:szCs w:val="24"/>
          <w:highlight w:val="none"/>
          <w:u w:val="single"/>
          <w14:textFill>
            <w14:solidFill>
              <w14:schemeClr w14:val="tx1"/>
            </w14:solidFill>
          </w14:textFill>
        </w:rPr>
        <w:t>《广州市住房和城乡建设局等9部门关于印发广州市建设工程绿色施工围蔽指导图集（V2.0版）的通知 》（穗建质〔2020〕1号）</w:t>
      </w:r>
      <w:r>
        <w:rPr>
          <w:rFonts w:hint="eastAsia"/>
          <w:snapToGrid w:val="0"/>
          <w:color w:val="000000" w:themeColor="text1"/>
          <w:spacing w:val="-2"/>
          <w:kern w:val="0"/>
          <w:sz w:val="24"/>
          <w:szCs w:val="24"/>
          <w:highlight w:val="none"/>
          <w:u w:val="single"/>
          <w14:textFill>
            <w14:solidFill>
              <w14:schemeClr w14:val="tx1"/>
            </w14:solidFill>
          </w14:textFill>
        </w:rPr>
        <w:t>、《广州市提</w:t>
      </w:r>
      <w:r>
        <w:rPr>
          <w:rFonts w:hint="eastAsia" w:ascii="宋体" w:hAnsi="宋体"/>
          <w:bCs/>
          <w:snapToGrid w:val="0"/>
          <w:color w:val="000000" w:themeColor="text1"/>
          <w:spacing w:val="4"/>
          <w:kern w:val="0"/>
          <w:sz w:val="24"/>
          <w:szCs w:val="24"/>
          <w:highlight w:val="none"/>
          <w:u w:val="single"/>
          <w14:textFill>
            <w14:solidFill>
              <w14:schemeClr w14:val="tx1"/>
            </w14:solidFill>
          </w14:textFill>
        </w:rPr>
        <w:t>升建设工程安全文明施工管理水平的工作指引》（穗建质</w:t>
      </w:r>
      <w:r>
        <w:rPr>
          <w:rFonts w:hint="eastAsia"/>
          <w:snapToGrid w:val="0"/>
          <w:color w:val="000000" w:themeColor="text1"/>
          <w:spacing w:val="-2"/>
          <w:kern w:val="0"/>
          <w:sz w:val="24"/>
          <w:szCs w:val="24"/>
          <w:highlight w:val="none"/>
          <w:u w:val="single"/>
          <w14:textFill>
            <w14:solidFill>
              <w14:schemeClr w14:val="tx1"/>
            </w14:solidFill>
          </w14:textFill>
        </w:rPr>
        <w:t>〔</w:t>
      </w:r>
      <w:r>
        <w:rPr>
          <w:rFonts w:hint="eastAsia" w:ascii="宋体" w:hAnsi="宋体"/>
          <w:bCs/>
          <w:snapToGrid w:val="0"/>
          <w:color w:val="000000" w:themeColor="text1"/>
          <w:spacing w:val="4"/>
          <w:kern w:val="0"/>
          <w:sz w:val="24"/>
          <w:szCs w:val="24"/>
          <w:highlight w:val="none"/>
          <w:u w:val="single"/>
          <w14:textFill>
            <w14:solidFill>
              <w14:schemeClr w14:val="tx1"/>
            </w14:solidFill>
          </w14:textFill>
        </w:rPr>
        <w:t>2017</w:t>
      </w:r>
      <w:r>
        <w:rPr>
          <w:rFonts w:hint="eastAsia"/>
          <w:snapToGrid w:val="0"/>
          <w:color w:val="000000" w:themeColor="text1"/>
          <w:spacing w:val="-2"/>
          <w:kern w:val="0"/>
          <w:sz w:val="24"/>
          <w:szCs w:val="24"/>
          <w:highlight w:val="none"/>
          <w:u w:val="single"/>
          <w14:textFill>
            <w14:solidFill>
              <w14:schemeClr w14:val="tx1"/>
            </w14:solidFill>
          </w14:textFill>
        </w:rPr>
        <w:t>〕</w:t>
      </w:r>
      <w:r>
        <w:rPr>
          <w:rFonts w:hint="eastAsia" w:ascii="宋体" w:hAnsi="宋体"/>
          <w:bCs/>
          <w:snapToGrid w:val="0"/>
          <w:color w:val="000000" w:themeColor="text1"/>
          <w:spacing w:val="4"/>
          <w:kern w:val="0"/>
          <w:sz w:val="24"/>
          <w:szCs w:val="24"/>
          <w:highlight w:val="none"/>
          <w:u w:val="single"/>
          <w14:textFill>
            <w14:solidFill>
              <w14:schemeClr w14:val="tx1"/>
            </w14:solidFill>
          </w14:textFill>
        </w:rPr>
        <w:t>815号）、</w:t>
      </w:r>
      <w:r>
        <w:rPr>
          <w:rFonts w:hint="eastAsia" w:ascii="宋体" w:hAnsi="宋体" w:cs="宋体"/>
          <w:color w:val="000000" w:themeColor="text1"/>
          <w:sz w:val="24"/>
          <w:szCs w:val="24"/>
          <w:highlight w:val="none"/>
          <w:u w:val="single"/>
          <w14:textFill>
            <w14:solidFill>
              <w14:schemeClr w14:val="tx1"/>
            </w14:solidFill>
          </w14:textFill>
        </w:rPr>
        <w:t>《广州市建设工程安全文明施工规程（试行版）》（穗建质〔</w:t>
      </w:r>
      <w:r>
        <w:rPr>
          <w:rFonts w:ascii="宋体" w:hAnsi="宋体" w:cs="宋体"/>
          <w:color w:val="000000" w:themeColor="text1"/>
          <w:sz w:val="24"/>
          <w:szCs w:val="24"/>
          <w:highlight w:val="none"/>
          <w:u w:val="single"/>
          <w14:textFill>
            <w14:solidFill>
              <w14:schemeClr w14:val="tx1"/>
            </w14:solidFill>
          </w14:textFill>
        </w:rPr>
        <w:t xml:space="preserve">2021) 316 </w:t>
      </w:r>
      <w:r>
        <w:rPr>
          <w:rFonts w:hint="eastAsia" w:ascii="宋体" w:hAnsi="宋体" w:cs="宋体"/>
          <w:color w:val="000000" w:themeColor="text1"/>
          <w:sz w:val="24"/>
          <w:szCs w:val="24"/>
          <w:highlight w:val="none"/>
          <w:u w:val="single"/>
          <w14:textFill>
            <w14:solidFill>
              <w14:schemeClr w14:val="tx1"/>
            </w14:solidFill>
          </w14:textFill>
        </w:rPr>
        <w:t>号）</w:t>
      </w:r>
      <w:r>
        <w:rPr>
          <w:rFonts w:hint="eastAsia" w:ascii="宋体" w:hAnsi="宋体" w:cs="宋体"/>
          <w:color w:val="000000" w:themeColor="text1"/>
          <w:sz w:val="24"/>
          <w:szCs w:val="24"/>
          <w:highlight w:val="none"/>
          <w:u w:val="single"/>
          <w:lang w:eastAsia="zh-CN"/>
          <w14:textFill>
            <w14:solidFill>
              <w14:schemeClr w14:val="tx1"/>
            </w14:solidFill>
          </w14:textFill>
        </w:rPr>
        <w:t>、《广东省建筑垃圾管理条例》（广东省第十三届人民代表大会常务委员会公告第126号）</w:t>
      </w:r>
      <w:r>
        <w:rPr>
          <w:rFonts w:hint="eastAsia"/>
          <w:snapToGrid w:val="0"/>
          <w:color w:val="000000" w:themeColor="text1"/>
          <w:spacing w:val="-2"/>
          <w:kern w:val="0"/>
          <w:sz w:val="24"/>
          <w:szCs w:val="24"/>
          <w:highlight w:val="none"/>
          <w14:textFill>
            <w14:solidFill>
              <w14:schemeClr w14:val="tx1"/>
            </w14:solidFill>
          </w14:textFill>
        </w:rPr>
        <w:t>和《广州市建筑工程安全生产措施费管理办法》（穗建筑</w:t>
      </w:r>
      <w:r>
        <w:rPr>
          <w:rFonts w:hint="default" w:ascii="宋体" w:hAnsi="宋体" w:cs="宋体"/>
          <w:snapToGrid/>
          <w:color w:val="000000" w:themeColor="text1"/>
          <w:spacing w:val="0"/>
          <w:kern w:val="2"/>
          <w:sz w:val="24"/>
          <w:szCs w:val="24"/>
          <w:highlight w:val="none"/>
          <w:u w:val="none"/>
          <w14:textFill>
            <w14:solidFill>
              <w14:schemeClr w14:val="tx1"/>
            </w14:solidFill>
          </w14:textFill>
        </w:rPr>
        <w:t>〔2003〕106号</w:t>
      </w:r>
      <w:r>
        <w:rPr>
          <w:rFonts w:hint="eastAsia"/>
          <w:snapToGrid w:val="0"/>
          <w:color w:val="000000" w:themeColor="text1"/>
          <w:spacing w:val="-2"/>
          <w:kern w:val="0"/>
          <w:sz w:val="24"/>
          <w:szCs w:val="24"/>
          <w:highlight w:val="none"/>
          <w14:textFill>
            <w14:solidFill>
              <w14:schemeClr w14:val="tx1"/>
            </w14:solidFill>
          </w14:textFill>
        </w:rPr>
        <w:t>）等各项规定和招标文件要求。否则，愿意无条件接受招标人的任何处罚，直至被清退出场，并为此承担相应的法律责任。</w:t>
      </w:r>
    </w:p>
    <w:p>
      <w:pPr>
        <w:topLinePunct/>
        <w:adjustRightInd w:val="0"/>
        <w:snapToGrid w:val="0"/>
        <w:spacing w:line="360" w:lineRule="auto"/>
        <w:ind w:firstLine="472" w:firstLineChars="200"/>
        <w:rPr>
          <w:rFonts w:ascii="宋体" w:hAnsi="宋体"/>
          <w:bCs/>
          <w:snapToGrid w:val="0"/>
          <w:color w:val="000000" w:themeColor="text1"/>
          <w:spacing w:val="-2"/>
          <w:kern w:val="0"/>
          <w:sz w:val="24"/>
          <w:szCs w:val="24"/>
          <w:highlight w:val="none"/>
          <w14:textFill>
            <w14:solidFill>
              <w14:schemeClr w14:val="tx1"/>
            </w14:solidFill>
          </w14:textFill>
        </w:rPr>
      </w:pPr>
      <w:r>
        <w:rPr>
          <w:rFonts w:hint="eastAsia" w:ascii="宋体" w:hAnsi="宋体"/>
          <w:bCs/>
          <w:snapToGrid w:val="0"/>
          <w:color w:val="000000" w:themeColor="text1"/>
          <w:spacing w:val="-2"/>
          <w:kern w:val="0"/>
          <w:sz w:val="24"/>
          <w:szCs w:val="24"/>
          <w:highlight w:val="none"/>
          <w14:textFill>
            <w14:solidFill>
              <w14:schemeClr w14:val="tx1"/>
            </w14:solidFill>
          </w14:textFill>
        </w:rPr>
        <w:t>八、</w:t>
      </w:r>
      <w:r>
        <w:rPr>
          <w:rFonts w:hint="eastAsia"/>
          <w:snapToGrid w:val="0"/>
          <w:color w:val="000000" w:themeColor="text1"/>
          <w:spacing w:val="-2"/>
          <w:kern w:val="0"/>
          <w:sz w:val="24"/>
          <w:szCs w:val="24"/>
          <w:highlight w:val="none"/>
          <w14:textFill>
            <w14:solidFill>
              <w14:schemeClr w14:val="tx1"/>
            </w14:solidFill>
          </w14:textFill>
        </w:rPr>
        <w:t>我司保证本工程竣工验收、竣</w:t>
      </w:r>
      <w:bookmarkStart w:id="138" w:name="_Toc12740"/>
      <w:bookmarkStart w:id="139" w:name="_Toc29194"/>
      <w:r>
        <w:rPr>
          <w:rFonts w:hint="eastAsia"/>
          <w:snapToGrid w:val="0"/>
          <w:color w:val="000000" w:themeColor="text1"/>
          <w:spacing w:val="-2"/>
          <w:kern w:val="0"/>
          <w:sz w:val="24"/>
          <w:szCs w:val="24"/>
          <w:highlight w:val="none"/>
          <w14:textFill>
            <w14:solidFill>
              <w14:schemeClr w14:val="tx1"/>
            </w14:solidFill>
          </w14:textFill>
        </w:rPr>
        <w:t>工资料和竣工备案管理完</w:t>
      </w:r>
      <w:bookmarkEnd w:id="138"/>
      <w:bookmarkEnd w:id="139"/>
      <w:r>
        <w:rPr>
          <w:rFonts w:hint="eastAsia"/>
          <w:snapToGrid w:val="0"/>
          <w:color w:val="000000" w:themeColor="text1"/>
          <w:spacing w:val="-2"/>
          <w:kern w:val="0"/>
          <w:sz w:val="24"/>
          <w:szCs w:val="24"/>
          <w:highlight w:val="none"/>
          <w14:textFill>
            <w14:solidFill>
              <w14:schemeClr w14:val="tx1"/>
            </w14:solidFill>
          </w14:textFill>
        </w:rPr>
        <w:t>全符合</w:t>
      </w:r>
      <w:bookmarkStart w:id="140" w:name="_Toc7603"/>
      <w:bookmarkStart w:id="141" w:name="_Toc1899"/>
      <w:r>
        <w:rPr>
          <w:rFonts w:hint="eastAsia"/>
          <w:snapToGrid w:val="0"/>
          <w:color w:val="000000" w:themeColor="text1"/>
          <w:spacing w:val="-2"/>
          <w:kern w:val="0"/>
          <w:sz w:val="24"/>
          <w:szCs w:val="24"/>
          <w:highlight w:val="none"/>
          <w14:textFill>
            <w14:solidFill>
              <w14:schemeClr w14:val="tx1"/>
            </w14:solidFill>
          </w14:textFill>
        </w:rPr>
        <w:t>国家、省、市政府、</w:t>
      </w:r>
      <w:bookmarkEnd w:id="140"/>
      <w:bookmarkEnd w:id="141"/>
      <w:r>
        <w:rPr>
          <w:rFonts w:hint="eastAsia"/>
          <w:snapToGrid w:val="0"/>
          <w:color w:val="000000" w:themeColor="text1"/>
          <w:spacing w:val="-2"/>
          <w:kern w:val="0"/>
          <w:sz w:val="24"/>
          <w:szCs w:val="24"/>
          <w:highlight w:val="none"/>
          <w14:textFill>
            <w14:solidFill>
              <w14:schemeClr w14:val="tx1"/>
            </w14:solidFill>
          </w14:textFill>
        </w:rPr>
        <w:t>主管部门颁布的竣工验收和档案管理各项规定及招标文件中提出的各项管理要求。</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九、我司保证在本项目投标中不存在围标、串标等违法、违规行为，如经招标监管部门查实存在上述行为，我司同意对由此造成的后果承担相应的法律责任。</w:t>
      </w:r>
    </w:p>
    <w:p>
      <w:pPr>
        <w:topLinePunct/>
        <w:adjustRightInd w:val="0"/>
        <w:snapToGrid w:val="0"/>
        <w:spacing w:line="360" w:lineRule="auto"/>
        <w:ind w:firstLine="496" w:firstLineChars="200"/>
        <w:rPr>
          <w:rFonts w:ascii="宋体"/>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十、如果我司中标</w:t>
      </w:r>
      <w:bookmarkStart w:id="142" w:name="_Toc12063"/>
      <w:bookmarkStart w:id="143" w:name="_Toc4034"/>
      <w:r>
        <w:rPr>
          <w:rFonts w:hint="eastAsia"/>
          <w:snapToGrid w:val="0"/>
          <w:color w:val="000000" w:themeColor="text1"/>
          <w:spacing w:val="4"/>
          <w:kern w:val="0"/>
          <w:sz w:val="24"/>
          <w:szCs w:val="24"/>
          <w:highlight w:val="none"/>
          <w14:textFill>
            <w14:solidFill>
              <w14:schemeClr w14:val="tx1"/>
            </w14:solidFill>
          </w14:textFill>
        </w:rPr>
        <w:t>，我司保证实际投入本项目的人员、材料、机</w:t>
      </w:r>
      <w:bookmarkEnd w:id="142"/>
      <w:bookmarkEnd w:id="143"/>
      <w:r>
        <w:rPr>
          <w:rFonts w:hint="eastAsia"/>
          <w:snapToGrid w:val="0"/>
          <w:color w:val="000000" w:themeColor="text1"/>
          <w:spacing w:val="4"/>
          <w:kern w:val="0"/>
          <w:sz w:val="24"/>
          <w:szCs w:val="24"/>
          <w:highlight w:val="none"/>
          <w14:textFill>
            <w14:solidFill>
              <w14:schemeClr w14:val="tx1"/>
            </w14:solidFill>
          </w14:textFill>
        </w:rPr>
        <w:t>械、设备与我司递交的投标文件一致，且不低于本项目招标文件的要求。否则我司将被视为</w:t>
      </w:r>
      <w:r>
        <w:rPr>
          <w:rFonts w:hint="eastAsia" w:ascii="宋体"/>
          <w:snapToGrid w:val="0"/>
          <w:color w:val="000000" w:themeColor="text1"/>
          <w:spacing w:val="4"/>
          <w:kern w:val="0"/>
          <w:sz w:val="24"/>
          <w:szCs w:val="24"/>
          <w:highlight w:val="none"/>
          <w14:textFill>
            <w14:solidFill>
              <w14:schemeClr w14:val="tx1"/>
            </w14:solidFill>
          </w14:textFill>
        </w:rPr>
        <w:t>存在弄虚作假骗取中标情形，贵局有权拒绝我司参与后续工程投标。</w:t>
      </w:r>
    </w:p>
    <w:p>
      <w:pPr>
        <w:topLinePunct/>
        <w:adjustRightInd w:val="0"/>
        <w:snapToGrid w:val="0"/>
        <w:spacing w:line="360" w:lineRule="auto"/>
        <w:ind w:firstLine="496" w:firstLineChars="200"/>
        <w:rPr>
          <w:rFonts w:ascii="宋体" w:hAnsi="宋体"/>
          <w:bCs/>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十一、如果我司中标，我司保证按招标文件第五章中“项目管理部组成人员配备要求表” 中的人员在进场前准时参加招标人组织的面试考核。若不满足招标文件要求或考核不通过，我司承诺无条件按招标人的要求进行更换，直至招标人满意为止。</w:t>
      </w:r>
      <w:r>
        <w:rPr>
          <w:rFonts w:hint="eastAsia" w:ascii="宋体" w:hAnsi="宋体"/>
          <w:bCs/>
          <w:snapToGrid w:val="0"/>
          <w:color w:val="000000" w:themeColor="text1"/>
          <w:spacing w:val="4"/>
          <w:kern w:val="0"/>
          <w:sz w:val="24"/>
          <w:szCs w:val="24"/>
          <w:highlight w:val="none"/>
          <w14:textFill>
            <w14:solidFill>
              <w14:schemeClr w14:val="tx1"/>
            </w14:solidFill>
          </w14:textFill>
        </w:rPr>
        <w:t>经招</w:t>
      </w:r>
      <w:bookmarkStart w:id="144" w:name="_Toc7328"/>
      <w:bookmarkStart w:id="145" w:name="_Toc18749"/>
      <w:r>
        <w:rPr>
          <w:rFonts w:hint="eastAsia" w:ascii="宋体" w:hAnsi="宋体"/>
          <w:bCs/>
          <w:snapToGrid w:val="0"/>
          <w:color w:val="000000" w:themeColor="text1"/>
          <w:spacing w:val="4"/>
          <w:kern w:val="0"/>
          <w:sz w:val="24"/>
          <w:szCs w:val="24"/>
          <w:highlight w:val="none"/>
          <w14:textFill>
            <w14:solidFill>
              <w14:schemeClr w14:val="tx1"/>
            </w14:solidFill>
          </w14:textFill>
        </w:rPr>
        <w:t>标人和总监理工程师考核，</w:t>
      </w:r>
      <w:bookmarkEnd w:id="144"/>
      <w:bookmarkEnd w:id="145"/>
      <w:r>
        <w:rPr>
          <w:rFonts w:hint="eastAsia" w:ascii="宋体" w:hAnsi="宋体"/>
          <w:bCs/>
          <w:snapToGrid w:val="0"/>
          <w:color w:val="000000" w:themeColor="text1"/>
          <w:spacing w:val="4"/>
          <w:kern w:val="0"/>
          <w:sz w:val="24"/>
          <w:szCs w:val="24"/>
          <w:highlight w:val="none"/>
          <w14:textFill>
            <w14:solidFill>
              <w14:schemeClr w14:val="tx1"/>
            </w14:solidFill>
          </w14:textFill>
        </w:rPr>
        <w:t>我司未按投标文件投入主要人员或经过更换后的人员不能满足本项目要求的，我</w:t>
      </w:r>
      <w:bookmarkStart w:id="146" w:name="_Toc19075"/>
      <w:bookmarkStart w:id="147" w:name="_Toc24951"/>
      <w:r>
        <w:rPr>
          <w:rFonts w:hint="eastAsia" w:ascii="宋体" w:hAnsi="宋体"/>
          <w:bCs/>
          <w:snapToGrid w:val="0"/>
          <w:color w:val="000000" w:themeColor="text1"/>
          <w:spacing w:val="4"/>
          <w:kern w:val="0"/>
          <w:sz w:val="24"/>
          <w:szCs w:val="24"/>
          <w:highlight w:val="none"/>
          <w14:textFill>
            <w14:solidFill>
              <w14:schemeClr w14:val="tx1"/>
            </w14:solidFill>
          </w14:textFill>
        </w:rPr>
        <w:t>司承诺除无条件按招标人的要求更换外，还</w:t>
      </w:r>
      <w:bookmarkEnd w:id="146"/>
      <w:bookmarkEnd w:id="147"/>
      <w:r>
        <w:rPr>
          <w:rFonts w:hint="eastAsia" w:ascii="宋体" w:hAnsi="宋体"/>
          <w:bCs/>
          <w:snapToGrid w:val="0"/>
          <w:color w:val="000000" w:themeColor="text1"/>
          <w:spacing w:val="4"/>
          <w:kern w:val="0"/>
          <w:sz w:val="24"/>
          <w:szCs w:val="24"/>
          <w:highlight w:val="none"/>
          <w14:textFill>
            <w14:solidFill>
              <w14:schemeClr w14:val="tx1"/>
            </w14:solidFill>
          </w14:textFill>
        </w:rPr>
        <w:t>应按合同约定的金额向招标人支付违约金。</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十二、如果我司中标，对招标人、监理人为确保工程质量管理和工程进度而下达的调整项目经理部组成人员的指令、通知，我司承诺无条件地在限期内执行并调整到位。</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十三、如果我司中标，我司承诺如出现施工进度、质量、投入不满足需要，</w:t>
      </w:r>
      <w:bookmarkStart w:id="148" w:name="_Toc437847563"/>
      <w:bookmarkStart w:id="149" w:name="_Toc437848141"/>
      <w:bookmarkStart w:id="150" w:name="_Toc443490944"/>
      <w:bookmarkStart w:id="151" w:name="_Toc443494113"/>
      <w:bookmarkStart w:id="152" w:name="_Toc437848353"/>
      <w:r>
        <w:rPr>
          <w:rFonts w:hint="eastAsia"/>
          <w:snapToGrid w:val="0"/>
          <w:color w:val="000000" w:themeColor="text1"/>
          <w:spacing w:val="4"/>
          <w:kern w:val="0"/>
          <w:sz w:val="24"/>
          <w:szCs w:val="24"/>
          <w:highlight w:val="none"/>
          <w14:textFill>
            <w14:solidFill>
              <w14:schemeClr w14:val="tx1"/>
            </w14:solidFill>
          </w14:textFill>
        </w:rPr>
        <w:t>严重影响施工现场推进或招标人认为必要的</w:t>
      </w:r>
      <w:bookmarkEnd w:id="148"/>
      <w:bookmarkEnd w:id="149"/>
      <w:bookmarkEnd w:id="150"/>
      <w:bookmarkEnd w:id="151"/>
      <w:bookmarkEnd w:id="152"/>
      <w:r>
        <w:rPr>
          <w:rFonts w:hint="eastAsia"/>
          <w:snapToGrid w:val="0"/>
          <w:color w:val="000000" w:themeColor="text1"/>
          <w:spacing w:val="4"/>
          <w:kern w:val="0"/>
          <w:sz w:val="24"/>
          <w:szCs w:val="24"/>
          <w:highlight w:val="none"/>
          <w14:textFill>
            <w14:solidFill>
              <w14:schemeClr w14:val="tx1"/>
            </w14:solidFill>
          </w14:textFill>
        </w:rPr>
        <w:t>其</w:t>
      </w:r>
      <w:bookmarkStart w:id="153" w:name="_Toc386995907"/>
      <w:bookmarkStart w:id="154" w:name="_Toc3873"/>
      <w:r>
        <w:rPr>
          <w:rFonts w:hint="eastAsia"/>
          <w:snapToGrid w:val="0"/>
          <w:color w:val="000000" w:themeColor="text1"/>
          <w:spacing w:val="4"/>
          <w:kern w:val="0"/>
          <w:sz w:val="24"/>
          <w:szCs w:val="24"/>
          <w:highlight w:val="none"/>
          <w14:textFill>
            <w14:solidFill>
              <w14:schemeClr w14:val="tx1"/>
            </w14:solidFill>
          </w14:textFill>
        </w:rPr>
        <w:t>他情形，招标人还有权视现场情况要求我司法定代表人驻场办公，直至招标人同意退场为止，否则我司愿承担有关违约责任。</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十四、如果我司中标，我司保证在规定时间内按招标人要求提交详细的施工组织设计并应用于实际施工过程中，且保证该施工组织设</w:t>
      </w:r>
      <w:bookmarkEnd w:id="153"/>
      <w:bookmarkEnd w:id="154"/>
      <w:r>
        <w:rPr>
          <w:rFonts w:hint="eastAsia"/>
          <w:snapToGrid w:val="0"/>
          <w:color w:val="000000" w:themeColor="text1"/>
          <w:spacing w:val="4"/>
          <w:kern w:val="0"/>
          <w:sz w:val="24"/>
          <w:szCs w:val="24"/>
          <w:highlight w:val="none"/>
          <w14:textFill>
            <w14:solidFill>
              <w14:schemeClr w14:val="tx1"/>
            </w14:solidFill>
          </w14:textFill>
        </w:rPr>
        <w:t>计</w:t>
      </w:r>
      <w:bookmarkStart w:id="155" w:name="_Toc405383088"/>
      <w:bookmarkStart w:id="156" w:name="_Toc426030442"/>
      <w:bookmarkStart w:id="157" w:name="_Toc464131244"/>
      <w:r>
        <w:rPr>
          <w:rFonts w:hint="eastAsia"/>
          <w:snapToGrid w:val="0"/>
          <w:color w:val="000000" w:themeColor="text1"/>
          <w:spacing w:val="4"/>
          <w:kern w:val="0"/>
          <w:sz w:val="24"/>
          <w:szCs w:val="24"/>
          <w:highlight w:val="none"/>
          <w14:textFill>
            <w14:solidFill>
              <w14:schemeClr w14:val="tx1"/>
            </w14:solidFill>
          </w14:textFill>
        </w:rPr>
        <w:t>不低于本投标</w:t>
      </w:r>
      <w:bookmarkEnd w:id="155"/>
      <w:bookmarkEnd w:id="156"/>
      <w:bookmarkEnd w:id="157"/>
      <w:r>
        <w:rPr>
          <w:rFonts w:hint="eastAsia"/>
          <w:snapToGrid w:val="0"/>
          <w:color w:val="000000" w:themeColor="text1"/>
          <w:spacing w:val="4"/>
          <w:kern w:val="0"/>
          <w:sz w:val="24"/>
          <w:szCs w:val="24"/>
          <w:highlight w:val="none"/>
          <w14:textFill>
            <w14:solidFill>
              <w14:schemeClr w14:val="tx1"/>
            </w14:solidFill>
          </w14:textFill>
        </w:rPr>
        <w:t>文件中施工组织设计</w:t>
      </w:r>
      <w:bookmarkStart w:id="158" w:name="_Toc420914100"/>
      <w:r>
        <w:rPr>
          <w:rFonts w:hint="eastAsia"/>
          <w:snapToGrid w:val="0"/>
          <w:color w:val="000000" w:themeColor="text1"/>
          <w:spacing w:val="4"/>
          <w:kern w:val="0"/>
          <w:sz w:val="24"/>
          <w:szCs w:val="24"/>
          <w:highlight w:val="none"/>
          <w14:textFill>
            <w14:solidFill>
              <w14:schemeClr w14:val="tx1"/>
            </w14:solidFill>
          </w14:textFill>
        </w:rPr>
        <w:t>所承诺的标准，并无条件根据招标人的要求修改完善。如违反上述承诺，由此引起的质量、工期、安全等相关责任完全由我司承担，愿意无条件接受招标人的任何处罚，直至被清退出场，并为此承担相应的法律责任。</w:t>
      </w:r>
    </w:p>
    <w:p>
      <w:pPr>
        <w:topLinePunct/>
        <w:adjustRightInd w:val="0"/>
        <w:snapToGrid w:val="0"/>
        <w:spacing w:line="360" w:lineRule="auto"/>
        <w:ind w:firstLine="496" w:firstLineChars="200"/>
        <w:rPr>
          <w:rFonts w:ascii="宋体" w:hAnsi="宋体" w:cs="EuroRoman"/>
          <w:snapToGrid w:val="0"/>
          <w:color w:val="000000" w:themeColor="text1"/>
          <w:spacing w:val="-4"/>
          <w:kern w:val="0"/>
          <w:sz w:val="24"/>
          <w:szCs w:val="21"/>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十五、</w:t>
      </w:r>
      <w:r>
        <w:rPr>
          <w:rFonts w:hint="eastAsia" w:ascii="宋体" w:hAnsi="宋体" w:cs="EuroRoman"/>
          <w:snapToGrid w:val="0"/>
          <w:color w:val="000000" w:themeColor="text1"/>
          <w:spacing w:val="-4"/>
          <w:kern w:val="0"/>
          <w:sz w:val="24"/>
          <w:szCs w:val="21"/>
          <w:highlight w:val="none"/>
          <w14:textFill>
            <w14:solidFill>
              <w14:schemeClr w14:val="tx1"/>
            </w14:solidFill>
          </w14:textFill>
        </w:rPr>
        <w:t>如我司中标，我司承诺本项目的主要材料设备的选用严格按照发包人看样定板的规定执行，选用的材料设备的品牌、档次、</w:t>
      </w:r>
      <w:bookmarkEnd w:id="158"/>
      <w:r>
        <w:rPr>
          <w:rFonts w:hint="eastAsia" w:ascii="宋体" w:hAnsi="宋体" w:cs="EuroRoman"/>
          <w:snapToGrid w:val="0"/>
          <w:color w:val="000000" w:themeColor="text1"/>
          <w:spacing w:val="-4"/>
          <w:kern w:val="0"/>
          <w:sz w:val="24"/>
          <w:szCs w:val="21"/>
          <w:highlight w:val="none"/>
          <w14:textFill>
            <w14:solidFill>
              <w14:schemeClr w14:val="tx1"/>
            </w14:solidFill>
          </w14:textFill>
        </w:rPr>
        <w:t>技术参数需满足或优于标文件要求，且不以任何理由调整中标的材料、设备价格。</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十六、我公司承诺选用绿色生产达标企业生产的混凝土。</w:t>
      </w:r>
    </w:p>
    <w:p>
      <w:pPr>
        <w:topLinePunct/>
        <w:adjustRightInd w:val="0"/>
        <w:snapToGrid w:val="0"/>
        <w:spacing w:line="360" w:lineRule="auto"/>
        <w:ind w:firstLine="496" w:firstLineChars="200"/>
        <w:rPr>
          <w:rFonts w:hint="eastAsia"/>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十七、如果我司中标，我司承诺严格按照合同和招投标文件规定履行义务，并同意招标人将其履行合同、招投标文件义务的履约情况和不诚信行为（包括但不限于由招标人作出的组织的考核、考评通报、违约责任处理决定等）在招标人网站和建设项目业主网站及其他媒体上公开披露，由此造成的一切损失和不利后果均由我司自行承担。</w:t>
      </w:r>
    </w:p>
    <w:p>
      <w:pPr>
        <w:topLinePunct/>
        <w:adjustRightInd w:val="0"/>
        <w:snapToGrid w:val="0"/>
        <w:spacing w:line="360" w:lineRule="auto"/>
        <w:rPr>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472" w:firstLineChars="14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472" w:firstLineChars="14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472" w:firstLineChars="14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投标人：　　（盖章）</w:t>
      </w:r>
    </w:p>
    <w:p>
      <w:pPr>
        <w:topLinePunct/>
        <w:adjustRightInd w:val="0"/>
        <w:snapToGrid w:val="0"/>
        <w:spacing w:line="360" w:lineRule="auto"/>
        <w:ind w:firstLine="3472" w:firstLineChars="14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法定代表人或授权代理人(签字或盖章)：</w:t>
      </w:r>
    </w:p>
    <w:p>
      <w:pPr>
        <w:topLinePunct/>
        <w:adjustRightInd w:val="0"/>
        <w:snapToGrid w:val="0"/>
        <w:spacing w:line="360" w:lineRule="auto"/>
        <w:ind w:firstLine="3472" w:firstLineChars="14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日期：    年    月    日</w:t>
      </w:r>
    </w:p>
    <w:p>
      <w:pPr>
        <w:widowControl/>
        <w:spacing w:before="100" w:beforeAutospacing="1" w:after="100" w:afterAutospacing="1"/>
        <w:jc w:val="left"/>
        <w:outlineLvl w:val="2"/>
        <w:rPr>
          <w:rFonts w:ascii="宋体" w:hAnsi="宋体"/>
          <w:b/>
          <w:color w:val="000000" w:themeColor="text1"/>
          <w:kern w:val="0"/>
          <w:sz w:val="27"/>
          <w:szCs w:val="27"/>
          <w:highlight w:val="none"/>
          <w14:textFill>
            <w14:solidFill>
              <w14:schemeClr w14:val="tx1"/>
            </w14:solidFill>
          </w14:textFill>
        </w:rPr>
      </w:pPr>
      <w:r>
        <w:rPr>
          <w:rFonts w:ascii="宋体" w:hAnsi="宋体"/>
          <w:color w:val="000000" w:themeColor="text1"/>
          <w:kern w:val="0"/>
          <w:sz w:val="27"/>
          <w:szCs w:val="27"/>
          <w:highlight w:val="none"/>
          <w14:textFill>
            <w14:solidFill>
              <w14:schemeClr w14:val="tx1"/>
            </w14:solidFill>
          </w14:textFill>
        </w:rPr>
        <w:br w:type="page"/>
      </w:r>
      <w:bookmarkStart w:id="159" w:name="_Toc14697667"/>
      <w:bookmarkStart w:id="160" w:name="_Toc22930"/>
      <w:r>
        <w:rPr>
          <w:rFonts w:hint="eastAsia" w:ascii="宋体" w:hAnsi="宋体"/>
          <w:b/>
          <w:color w:val="000000" w:themeColor="text1"/>
          <w:kern w:val="0"/>
          <w:sz w:val="27"/>
          <w:szCs w:val="27"/>
          <w:highlight w:val="none"/>
          <w14:textFill>
            <w14:solidFill>
              <w14:schemeClr w14:val="tx1"/>
            </w14:solidFill>
          </w14:textFill>
        </w:rPr>
        <w:t>格式十三：主要设备的质保和维护维修承诺书</w:t>
      </w:r>
      <w:bookmarkEnd w:id="159"/>
      <w:bookmarkEnd w:id="160"/>
    </w:p>
    <w:p>
      <w:pPr>
        <w:topLinePunct/>
        <w:adjustRightInd w:val="0"/>
        <w:snapToGrid w:val="0"/>
        <w:spacing w:before="156" w:beforeLines="50" w:after="156"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主要设备的质保和维护维修承诺书</w:t>
      </w:r>
    </w:p>
    <w:p>
      <w:pPr>
        <w:topLinePunct/>
        <w:adjustRightInd w:val="0"/>
        <w:snapToGrid w:val="0"/>
        <w:spacing w:line="360" w:lineRule="auto"/>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致：广州市重点公共建设项目管理中心：</w:t>
      </w:r>
    </w:p>
    <w:p>
      <w:pPr>
        <w:topLinePunct/>
        <w:adjustRightInd w:val="0"/>
        <w:snapToGrid w:val="0"/>
        <w:spacing w:line="360" w:lineRule="auto"/>
        <w:ind w:firstLine="496" w:firstLineChars="2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我司已充分阅读本项目招标文件并充分了解本项目对质量保证及售后服务的严格要求。如果我司的投标被接受，我司保证按以下服务计划和服务内容进行本项目的质量保证期内服务：</w:t>
      </w:r>
    </w:p>
    <w:p>
      <w:pPr>
        <w:spacing w:line="360" w:lineRule="auto"/>
        <w:ind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1.</w:t>
      </w:r>
      <w:r>
        <w:rPr>
          <w:snapToGrid w:val="0"/>
          <w:color w:val="000000" w:themeColor="text1"/>
          <w:spacing w:val="4"/>
          <w:sz w:val="24"/>
          <w:szCs w:val="24"/>
          <w:highlight w:val="none"/>
          <w14:textFill>
            <w14:solidFill>
              <w14:schemeClr w14:val="tx1"/>
            </w14:solidFill>
          </w14:textFill>
        </w:rPr>
        <w:t>我司</w:t>
      </w:r>
      <w:r>
        <w:rPr>
          <w:rFonts w:hint="eastAsia"/>
          <w:snapToGrid w:val="0"/>
          <w:color w:val="000000" w:themeColor="text1"/>
          <w:spacing w:val="4"/>
          <w:sz w:val="24"/>
          <w:szCs w:val="24"/>
          <w:highlight w:val="none"/>
          <w14:textFill>
            <w14:solidFill>
              <w14:schemeClr w14:val="tx1"/>
            </w14:solidFill>
          </w14:textFill>
        </w:rPr>
        <w:t>提供主要设备【包括电梯、配电箱及箱内核心元件、UPS电源、消防联动电源等】</w:t>
      </w:r>
      <w:r>
        <w:rPr>
          <w:rFonts w:hint="eastAsia" w:ascii="宋体" w:hAnsi="宋体"/>
          <w:color w:val="000000" w:themeColor="text1"/>
          <w:sz w:val="24"/>
          <w:highlight w:val="none"/>
          <w:u w:val="single"/>
          <w14:textFill>
            <w14:solidFill>
              <w14:schemeClr w14:val="tx1"/>
            </w14:solidFill>
          </w14:textFill>
        </w:rPr>
        <w:t xml:space="preserve">     </w:t>
      </w:r>
      <w:r>
        <w:rPr>
          <w:rFonts w:hint="eastAsia"/>
          <w:snapToGrid w:val="0"/>
          <w:color w:val="000000" w:themeColor="text1"/>
          <w:spacing w:val="4"/>
          <w:sz w:val="24"/>
          <w:szCs w:val="24"/>
          <w:highlight w:val="none"/>
          <w14:textFill>
            <w14:solidFill>
              <w14:schemeClr w14:val="tx1"/>
            </w14:solidFill>
          </w14:textFill>
        </w:rPr>
        <w:t>年（不少于2年）厂商免费质保和维护维修服务。</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2.竣工验收合格后三个月内，针对项目特点及实际情况编制使用手册、培训手册以及培训计划。</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3.质保期内免费提供设备的维修及保养服务，定期派工程师到现场巡查。</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4.</w:t>
      </w:r>
      <w:r>
        <w:rPr>
          <w:snapToGrid w:val="0"/>
          <w:color w:val="000000" w:themeColor="text1"/>
          <w:spacing w:val="4"/>
          <w:sz w:val="24"/>
          <w:szCs w:val="24"/>
          <w:highlight w:val="none"/>
          <w14:textFill>
            <w14:solidFill>
              <w14:schemeClr w14:val="tx1"/>
            </w14:solidFill>
          </w14:textFill>
        </w:rPr>
        <w:t>质保期内</w:t>
      </w:r>
      <w:r>
        <w:rPr>
          <w:rFonts w:hint="eastAsia"/>
          <w:snapToGrid w:val="0"/>
          <w:color w:val="000000" w:themeColor="text1"/>
          <w:spacing w:val="4"/>
          <w:sz w:val="24"/>
          <w:szCs w:val="24"/>
          <w:highlight w:val="none"/>
          <w14:textFill>
            <w14:solidFill>
              <w14:schemeClr w14:val="tx1"/>
            </w14:solidFill>
          </w14:textFill>
        </w:rPr>
        <w:t>设备</w:t>
      </w:r>
      <w:r>
        <w:rPr>
          <w:snapToGrid w:val="0"/>
          <w:color w:val="000000" w:themeColor="text1"/>
          <w:spacing w:val="4"/>
          <w:sz w:val="24"/>
          <w:szCs w:val="24"/>
          <w:highlight w:val="none"/>
          <w14:textFill>
            <w14:solidFill>
              <w14:schemeClr w14:val="tx1"/>
            </w14:solidFill>
          </w14:textFill>
        </w:rPr>
        <w:t>本身质量出现问题或由于</w:t>
      </w:r>
      <w:r>
        <w:rPr>
          <w:rFonts w:hint="eastAsia"/>
          <w:snapToGrid w:val="0"/>
          <w:color w:val="000000" w:themeColor="text1"/>
          <w:spacing w:val="4"/>
          <w:sz w:val="24"/>
          <w:szCs w:val="24"/>
          <w:highlight w:val="none"/>
          <w14:textFill>
            <w14:solidFill>
              <w14:schemeClr w14:val="tx1"/>
            </w14:solidFill>
          </w14:textFill>
        </w:rPr>
        <w:t>设备</w:t>
      </w:r>
      <w:r>
        <w:rPr>
          <w:snapToGrid w:val="0"/>
          <w:color w:val="000000" w:themeColor="text1"/>
          <w:spacing w:val="4"/>
          <w:sz w:val="24"/>
          <w:szCs w:val="24"/>
          <w:highlight w:val="none"/>
          <w14:textFill>
            <w14:solidFill>
              <w14:schemeClr w14:val="tx1"/>
            </w14:solidFill>
          </w14:textFill>
        </w:rPr>
        <w:t>本身质量原因造成的任何损伤或损坏，</w:t>
      </w:r>
      <w:r>
        <w:rPr>
          <w:rFonts w:hint="eastAsia"/>
          <w:snapToGrid w:val="0"/>
          <w:color w:val="000000" w:themeColor="text1"/>
          <w:spacing w:val="4"/>
          <w:sz w:val="24"/>
          <w:szCs w:val="24"/>
          <w:highlight w:val="none"/>
          <w14:textFill>
            <w14:solidFill>
              <w14:schemeClr w14:val="tx1"/>
            </w14:solidFill>
          </w14:textFill>
        </w:rPr>
        <w:t>我司承诺</w:t>
      </w:r>
      <w:r>
        <w:rPr>
          <w:snapToGrid w:val="0"/>
          <w:color w:val="000000" w:themeColor="text1"/>
          <w:spacing w:val="4"/>
          <w:sz w:val="24"/>
          <w:szCs w:val="24"/>
          <w:highlight w:val="none"/>
          <w14:textFill>
            <w14:solidFill>
              <w14:schemeClr w14:val="tx1"/>
            </w14:solidFill>
          </w14:textFill>
        </w:rPr>
        <w:t>及时给予免费维修或免费换，由此引起的施工费、人工费、材料费等其他一切费用由</w:t>
      </w:r>
      <w:r>
        <w:rPr>
          <w:rFonts w:hint="eastAsia"/>
          <w:snapToGrid w:val="0"/>
          <w:color w:val="000000" w:themeColor="text1"/>
          <w:spacing w:val="4"/>
          <w:sz w:val="24"/>
          <w:szCs w:val="24"/>
          <w:highlight w:val="none"/>
          <w14:textFill>
            <w14:solidFill>
              <w14:schemeClr w14:val="tx1"/>
            </w14:solidFill>
          </w14:textFill>
        </w:rPr>
        <w:t>我司</w:t>
      </w:r>
      <w:r>
        <w:rPr>
          <w:snapToGrid w:val="0"/>
          <w:color w:val="000000" w:themeColor="text1"/>
          <w:spacing w:val="4"/>
          <w:sz w:val="24"/>
          <w:szCs w:val="24"/>
          <w:highlight w:val="none"/>
          <w14:textFill>
            <w14:solidFill>
              <w14:schemeClr w14:val="tx1"/>
            </w14:solidFill>
          </w14:textFill>
        </w:rPr>
        <w:t>负责。新更换的零部件的质保期则从更换之日起计。</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5. 我司保证所选用厂家设有固定的售后服务机构，保证在收到业主维修通知后及时安排技术人员到现场进行维修，相关的维修必须连续进行，直至故障完全修复为止。若不能及时排除故障，我司立即采取切实有效的补救措施（包括免费提供应急设备），全力防止损失的扩大。</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6.</w:t>
      </w:r>
      <w:r>
        <w:rPr>
          <w:snapToGrid w:val="0"/>
          <w:color w:val="000000" w:themeColor="text1"/>
          <w:spacing w:val="4"/>
          <w:sz w:val="24"/>
          <w:szCs w:val="24"/>
          <w:highlight w:val="none"/>
          <w14:textFill>
            <w14:solidFill>
              <w14:schemeClr w14:val="tx1"/>
            </w14:solidFill>
          </w14:textFill>
        </w:rPr>
        <w:t>从</w:t>
      </w:r>
      <w:r>
        <w:rPr>
          <w:rFonts w:hint="eastAsia"/>
          <w:snapToGrid w:val="0"/>
          <w:color w:val="000000" w:themeColor="text1"/>
          <w:spacing w:val="4"/>
          <w:sz w:val="24"/>
          <w:szCs w:val="24"/>
          <w:highlight w:val="none"/>
          <w14:textFill>
            <w14:solidFill>
              <w14:schemeClr w14:val="tx1"/>
            </w14:solidFill>
          </w14:textFill>
        </w:rPr>
        <w:t>工程竣工</w:t>
      </w:r>
      <w:r>
        <w:rPr>
          <w:snapToGrid w:val="0"/>
          <w:color w:val="000000" w:themeColor="text1"/>
          <w:spacing w:val="4"/>
          <w:sz w:val="24"/>
          <w:szCs w:val="24"/>
          <w:highlight w:val="none"/>
          <w14:textFill>
            <w14:solidFill>
              <w14:schemeClr w14:val="tx1"/>
            </w14:solidFill>
          </w14:textFill>
        </w:rPr>
        <w:t>验收合格正式运行之日起的质量保证期（含潜在缺陷质量保证期）内，由于</w:t>
      </w:r>
      <w:r>
        <w:rPr>
          <w:rFonts w:hint="eastAsia"/>
          <w:snapToGrid w:val="0"/>
          <w:color w:val="000000" w:themeColor="text1"/>
          <w:spacing w:val="4"/>
          <w:sz w:val="24"/>
          <w:szCs w:val="24"/>
          <w:highlight w:val="none"/>
          <w14:textFill>
            <w14:solidFill>
              <w14:schemeClr w14:val="tx1"/>
            </w14:solidFill>
          </w14:textFill>
        </w:rPr>
        <w:t>设备材料</w:t>
      </w:r>
      <w:r>
        <w:rPr>
          <w:snapToGrid w:val="0"/>
          <w:color w:val="000000" w:themeColor="text1"/>
          <w:spacing w:val="4"/>
          <w:sz w:val="24"/>
          <w:szCs w:val="24"/>
          <w:highlight w:val="none"/>
          <w14:textFill>
            <w14:solidFill>
              <w14:schemeClr w14:val="tx1"/>
            </w14:solidFill>
          </w14:textFill>
        </w:rPr>
        <w:t>因素造成的损坏，均由</w:t>
      </w:r>
      <w:r>
        <w:rPr>
          <w:rFonts w:hint="eastAsia"/>
          <w:snapToGrid w:val="0"/>
          <w:color w:val="000000" w:themeColor="text1"/>
          <w:spacing w:val="4"/>
          <w:sz w:val="24"/>
          <w:szCs w:val="24"/>
          <w:highlight w:val="none"/>
          <w14:textFill>
            <w14:solidFill>
              <w14:schemeClr w14:val="tx1"/>
            </w14:solidFill>
          </w14:textFill>
        </w:rPr>
        <w:t>我司</w:t>
      </w:r>
      <w:r>
        <w:rPr>
          <w:snapToGrid w:val="0"/>
          <w:color w:val="000000" w:themeColor="text1"/>
          <w:spacing w:val="4"/>
          <w:sz w:val="24"/>
          <w:szCs w:val="24"/>
          <w:highlight w:val="none"/>
          <w14:textFill>
            <w14:solidFill>
              <w14:schemeClr w14:val="tx1"/>
            </w14:solidFill>
          </w14:textFill>
        </w:rPr>
        <w:t>免费维修、更换，由于人为（非</w:t>
      </w:r>
      <w:r>
        <w:rPr>
          <w:rFonts w:hint="eastAsia"/>
          <w:snapToGrid w:val="0"/>
          <w:color w:val="000000" w:themeColor="text1"/>
          <w:spacing w:val="4"/>
          <w:sz w:val="24"/>
          <w:szCs w:val="24"/>
          <w:highlight w:val="none"/>
          <w14:textFill>
            <w14:solidFill>
              <w14:schemeClr w14:val="tx1"/>
            </w14:solidFill>
          </w14:textFill>
        </w:rPr>
        <w:t>我司</w:t>
      </w:r>
      <w:r>
        <w:rPr>
          <w:snapToGrid w:val="0"/>
          <w:color w:val="000000" w:themeColor="text1"/>
          <w:spacing w:val="4"/>
          <w:sz w:val="24"/>
          <w:szCs w:val="24"/>
          <w:highlight w:val="none"/>
          <w14:textFill>
            <w14:solidFill>
              <w14:schemeClr w14:val="tx1"/>
            </w14:solidFill>
          </w14:textFill>
        </w:rPr>
        <w:t>人员）和自然灾害造成的损坏，收取成本费用。</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7.</w:t>
      </w:r>
      <w:r>
        <w:rPr>
          <w:snapToGrid w:val="0"/>
          <w:color w:val="000000" w:themeColor="text1"/>
          <w:spacing w:val="4"/>
          <w:sz w:val="24"/>
          <w:szCs w:val="24"/>
          <w:highlight w:val="none"/>
          <w14:textFill>
            <w14:solidFill>
              <w14:schemeClr w14:val="tx1"/>
            </w14:solidFill>
          </w14:textFill>
        </w:rPr>
        <w:t>在质量保证期结束前，</w:t>
      </w:r>
      <w:r>
        <w:rPr>
          <w:rFonts w:hint="eastAsia"/>
          <w:snapToGrid w:val="0"/>
          <w:color w:val="000000" w:themeColor="text1"/>
          <w:spacing w:val="4"/>
          <w:sz w:val="24"/>
          <w:szCs w:val="24"/>
          <w:highlight w:val="none"/>
          <w14:textFill>
            <w14:solidFill>
              <w14:schemeClr w14:val="tx1"/>
            </w14:solidFill>
          </w14:textFill>
        </w:rPr>
        <w:t>我司承诺与招标人</w:t>
      </w:r>
      <w:r>
        <w:rPr>
          <w:snapToGrid w:val="0"/>
          <w:color w:val="000000" w:themeColor="text1"/>
          <w:spacing w:val="4"/>
          <w:sz w:val="24"/>
          <w:szCs w:val="24"/>
          <w:highlight w:val="none"/>
          <w14:textFill>
            <w14:solidFill>
              <w14:schemeClr w14:val="tx1"/>
            </w14:solidFill>
          </w14:textFill>
        </w:rPr>
        <w:t>代表对合同项下</w:t>
      </w:r>
      <w:r>
        <w:rPr>
          <w:rFonts w:hint="eastAsia"/>
          <w:snapToGrid w:val="0"/>
          <w:color w:val="000000" w:themeColor="text1"/>
          <w:spacing w:val="4"/>
          <w:sz w:val="24"/>
          <w:szCs w:val="24"/>
          <w:highlight w:val="none"/>
          <w14:textFill>
            <w14:solidFill>
              <w14:schemeClr w14:val="tx1"/>
            </w14:solidFill>
          </w14:textFill>
        </w:rPr>
        <w:t>设备</w:t>
      </w:r>
      <w:r>
        <w:rPr>
          <w:snapToGrid w:val="0"/>
          <w:color w:val="000000" w:themeColor="text1"/>
          <w:spacing w:val="4"/>
          <w:sz w:val="24"/>
          <w:szCs w:val="24"/>
          <w:highlight w:val="none"/>
          <w14:textFill>
            <w14:solidFill>
              <w14:schemeClr w14:val="tx1"/>
            </w14:solidFill>
          </w14:textFill>
        </w:rPr>
        <w:t>进行全面的检查，对任何缺陷由</w:t>
      </w:r>
      <w:r>
        <w:rPr>
          <w:rFonts w:hint="eastAsia"/>
          <w:snapToGrid w:val="0"/>
          <w:color w:val="000000" w:themeColor="text1"/>
          <w:spacing w:val="4"/>
          <w:sz w:val="24"/>
          <w:szCs w:val="24"/>
          <w:highlight w:val="none"/>
          <w14:textFill>
            <w14:solidFill>
              <w14:schemeClr w14:val="tx1"/>
            </w14:solidFill>
          </w14:textFill>
        </w:rPr>
        <w:t>我司</w:t>
      </w:r>
      <w:r>
        <w:rPr>
          <w:snapToGrid w:val="0"/>
          <w:color w:val="000000" w:themeColor="text1"/>
          <w:spacing w:val="4"/>
          <w:sz w:val="24"/>
          <w:szCs w:val="24"/>
          <w:highlight w:val="none"/>
          <w14:textFill>
            <w14:solidFill>
              <w14:schemeClr w14:val="tx1"/>
            </w14:solidFill>
          </w14:textFill>
        </w:rPr>
        <w:t>负责修理。在修理之后，将缺陷原因、修理的内容、完成修理及恢复正常的时间和日期等情况报告给</w:t>
      </w:r>
      <w:r>
        <w:rPr>
          <w:rFonts w:hint="eastAsia"/>
          <w:snapToGrid w:val="0"/>
          <w:color w:val="000000" w:themeColor="text1"/>
          <w:spacing w:val="4"/>
          <w:sz w:val="24"/>
          <w:szCs w:val="24"/>
          <w:highlight w:val="none"/>
          <w14:textFill>
            <w14:solidFill>
              <w14:schemeClr w14:val="tx1"/>
            </w14:solidFill>
          </w14:textFill>
        </w:rPr>
        <w:t>招标人</w:t>
      </w:r>
      <w:r>
        <w:rPr>
          <w:snapToGrid w:val="0"/>
          <w:color w:val="000000" w:themeColor="text1"/>
          <w:spacing w:val="4"/>
          <w:sz w:val="24"/>
          <w:szCs w:val="24"/>
          <w:highlight w:val="none"/>
          <w14:textFill>
            <w14:solidFill>
              <w14:schemeClr w14:val="tx1"/>
            </w14:solidFill>
          </w14:textFill>
        </w:rPr>
        <w:t>。</w:t>
      </w:r>
    </w:p>
    <w:p>
      <w:pPr>
        <w:spacing w:line="360" w:lineRule="auto"/>
        <w:ind w:right="-53" w:firstLine="420"/>
        <w:rPr>
          <w:snapToGrid w:val="0"/>
          <w:color w:val="000000" w:themeColor="text1"/>
          <w:spacing w:val="4"/>
          <w:sz w:val="24"/>
          <w:szCs w:val="24"/>
          <w:highlight w:val="none"/>
          <w14:textFill>
            <w14:solidFill>
              <w14:schemeClr w14:val="tx1"/>
            </w14:solidFill>
          </w14:textFill>
        </w:rPr>
      </w:pPr>
      <w:r>
        <w:rPr>
          <w:rFonts w:hint="eastAsia"/>
          <w:snapToGrid w:val="0"/>
          <w:color w:val="000000" w:themeColor="text1"/>
          <w:spacing w:val="4"/>
          <w:sz w:val="24"/>
          <w:szCs w:val="24"/>
          <w:highlight w:val="none"/>
          <w14:textFill>
            <w14:solidFill>
              <w14:schemeClr w14:val="tx1"/>
            </w14:solidFill>
          </w14:textFill>
        </w:rPr>
        <w:t>8.在</w:t>
      </w:r>
      <w:r>
        <w:rPr>
          <w:snapToGrid w:val="0"/>
          <w:color w:val="000000" w:themeColor="text1"/>
          <w:spacing w:val="4"/>
          <w:sz w:val="24"/>
          <w:szCs w:val="24"/>
          <w:highlight w:val="none"/>
          <w14:textFill>
            <w14:solidFill>
              <w14:schemeClr w14:val="tx1"/>
            </w14:solidFill>
          </w14:textFill>
        </w:rPr>
        <w:t>质量保证期内</w:t>
      </w:r>
      <w:r>
        <w:rPr>
          <w:rFonts w:hint="eastAsia"/>
          <w:snapToGrid w:val="0"/>
          <w:color w:val="000000" w:themeColor="text1"/>
          <w:spacing w:val="4"/>
          <w:sz w:val="24"/>
          <w:szCs w:val="24"/>
          <w:highlight w:val="none"/>
          <w14:textFill>
            <w14:solidFill>
              <w14:schemeClr w14:val="tx1"/>
            </w14:solidFill>
          </w14:textFill>
        </w:rPr>
        <w:t>,我司承诺</w:t>
      </w:r>
      <w:r>
        <w:rPr>
          <w:snapToGrid w:val="0"/>
          <w:color w:val="000000" w:themeColor="text1"/>
          <w:spacing w:val="4"/>
          <w:sz w:val="24"/>
          <w:szCs w:val="24"/>
          <w:highlight w:val="none"/>
          <w14:textFill>
            <w14:solidFill>
              <w14:schemeClr w14:val="tx1"/>
            </w14:solidFill>
          </w14:textFill>
        </w:rPr>
        <w:t>在有足够的备品备件供应，并随时优惠提供易损，优惠提供产品更新、改造服务。</w:t>
      </w:r>
    </w:p>
    <w:p>
      <w:pPr>
        <w:topLinePunct/>
        <w:adjustRightInd w:val="0"/>
        <w:snapToGrid w:val="0"/>
        <w:spacing w:line="360" w:lineRule="auto"/>
        <w:ind w:firstLine="42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9.如我司未按承诺完成保修责任，招标人可另行聘请其他专业单位进行维修，其费用从质量保证金中扣取（不足部分由我司另行支</w:t>
      </w:r>
      <w:bookmarkStart w:id="161" w:name="_Toc426030445"/>
      <w:r>
        <w:rPr>
          <w:rFonts w:hint="eastAsia"/>
          <w:snapToGrid w:val="0"/>
          <w:color w:val="000000" w:themeColor="text1"/>
          <w:spacing w:val="4"/>
          <w:kern w:val="0"/>
          <w:sz w:val="24"/>
          <w:szCs w:val="24"/>
          <w:highlight w:val="none"/>
          <w14:textFill>
            <w14:solidFill>
              <w14:schemeClr w14:val="tx1"/>
            </w14:solidFill>
          </w14:textFill>
        </w:rPr>
        <w:t>付）。且同意招标人将我司不遵守承诺的行为在招标人网站和建设项目业主网站及其他媒体上公开披露，由此造成的一切损失和不利后果均由</w:t>
      </w:r>
      <w:r>
        <w:rPr>
          <w:snapToGrid w:val="0"/>
          <w:color w:val="000000" w:themeColor="text1"/>
          <w:spacing w:val="4"/>
          <w:kern w:val="0"/>
          <w:sz w:val="24"/>
          <w:szCs w:val="24"/>
          <w:highlight w:val="none"/>
          <w14:textFill>
            <w14:solidFill>
              <w14:schemeClr w14:val="tx1"/>
            </w14:solidFill>
          </w14:textFill>
        </w:rPr>
        <w:t>我司</w:t>
      </w:r>
      <w:r>
        <w:rPr>
          <w:rFonts w:hint="eastAsia"/>
          <w:snapToGrid w:val="0"/>
          <w:color w:val="000000" w:themeColor="text1"/>
          <w:spacing w:val="4"/>
          <w:kern w:val="0"/>
          <w:sz w:val="24"/>
          <w:szCs w:val="24"/>
          <w:highlight w:val="none"/>
          <w14:textFill>
            <w14:solidFill>
              <w14:schemeClr w14:val="tx1"/>
            </w14:solidFill>
          </w14:textFill>
        </w:rPr>
        <w:t>自行承担。</w:t>
      </w:r>
    </w:p>
    <w:p>
      <w:pPr>
        <w:pStyle w:val="10"/>
        <w:rPr>
          <w:color w:val="000000" w:themeColor="text1"/>
          <w:highlight w:val="none"/>
          <w14:textFill>
            <w14:solidFill>
              <w14:schemeClr w14:val="tx1"/>
            </w14:solidFill>
          </w14:textFill>
        </w:rPr>
      </w:pPr>
      <w:r>
        <w:rPr>
          <w:snapToGrid w:val="0"/>
          <w:color w:val="000000" w:themeColor="text1"/>
          <w:spacing w:val="4"/>
          <w:kern w:val="0"/>
          <w:sz w:val="24"/>
          <w:szCs w:val="24"/>
          <w:highlight w:val="none"/>
          <w14:textFill>
            <w14:solidFill>
              <w14:schemeClr w14:val="tx1"/>
            </w14:solidFill>
          </w14:textFill>
        </w:rPr>
        <w:t xml:space="preserve">  </w:t>
      </w:r>
    </w:p>
    <w:p>
      <w:pPr>
        <w:topLinePunct/>
        <w:adjustRightInd w:val="0"/>
        <w:snapToGrid w:val="0"/>
        <w:spacing w:line="360" w:lineRule="auto"/>
        <w:ind w:firstLine="620" w:firstLineChars="250"/>
        <w:rPr>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3472" w:firstLineChars="14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投标人：　　（</w:t>
      </w:r>
      <w:bookmarkEnd w:id="161"/>
      <w:r>
        <w:rPr>
          <w:rFonts w:hint="eastAsia"/>
          <w:snapToGrid w:val="0"/>
          <w:color w:val="000000" w:themeColor="text1"/>
          <w:spacing w:val="4"/>
          <w:kern w:val="0"/>
          <w:sz w:val="24"/>
          <w:szCs w:val="24"/>
          <w:highlight w:val="none"/>
          <w14:textFill>
            <w14:solidFill>
              <w14:schemeClr w14:val="tx1"/>
            </w14:solidFill>
          </w14:textFill>
        </w:rPr>
        <w:t>盖章）</w:t>
      </w:r>
    </w:p>
    <w:p>
      <w:pPr>
        <w:topLinePunct/>
        <w:adjustRightInd w:val="0"/>
        <w:snapToGrid w:val="0"/>
        <w:spacing w:line="360" w:lineRule="auto"/>
        <w:ind w:firstLine="3472" w:firstLineChars="14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法定代表人或授权代理人(签字或盖章)：</w:t>
      </w:r>
    </w:p>
    <w:p>
      <w:pPr>
        <w:topLinePunct/>
        <w:adjustRightInd w:val="0"/>
        <w:snapToGrid w:val="0"/>
        <w:spacing w:line="360" w:lineRule="auto"/>
        <w:ind w:firstLine="3472" w:firstLineChars="1400"/>
        <w:rPr>
          <w:snapToGrid w:val="0"/>
          <w:color w:val="000000" w:themeColor="text1"/>
          <w:spacing w:val="4"/>
          <w:kern w:val="0"/>
          <w:sz w:val="24"/>
          <w:szCs w:val="24"/>
          <w:highlight w:val="none"/>
          <w14:textFill>
            <w14:solidFill>
              <w14:schemeClr w14:val="tx1"/>
            </w14:solidFill>
          </w14:textFill>
        </w:rPr>
      </w:pPr>
      <w:r>
        <w:rPr>
          <w:rFonts w:hint="eastAsia"/>
          <w:snapToGrid w:val="0"/>
          <w:color w:val="000000" w:themeColor="text1"/>
          <w:spacing w:val="4"/>
          <w:kern w:val="0"/>
          <w:sz w:val="24"/>
          <w:szCs w:val="24"/>
          <w:highlight w:val="none"/>
          <w14:textFill>
            <w14:solidFill>
              <w14:schemeClr w14:val="tx1"/>
            </w14:solidFill>
          </w14:textFill>
        </w:rPr>
        <w:t>日期：    年    月    日</w:t>
      </w:r>
    </w:p>
    <w:p>
      <w:pPr>
        <w:widowControl/>
        <w:spacing w:before="100" w:beforeAutospacing="1" w:after="100" w:afterAutospacing="1"/>
        <w:jc w:val="left"/>
        <w:outlineLvl w:val="2"/>
        <w:rPr>
          <w:rFonts w:ascii="宋体" w:hAnsi="宋体"/>
          <w:color w:val="000000" w:themeColor="text1"/>
          <w:kern w:val="0"/>
          <w:sz w:val="24"/>
          <w:szCs w:val="24"/>
          <w:highlight w:val="none"/>
          <w14:textFill>
            <w14:solidFill>
              <w14:schemeClr w14:val="tx1"/>
            </w14:solidFill>
          </w14:textFill>
        </w:rPr>
      </w:pPr>
      <w:r>
        <w:rPr>
          <w:rFonts w:hint="eastAsia" w:ascii="宋体" w:hAnsi="宋体"/>
          <w:b/>
          <w:color w:val="000000" w:themeColor="text1"/>
          <w:kern w:val="0"/>
          <w:sz w:val="24"/>
          <w:szCs w:val="24"/>
          <w:highlight w:val="none"/>
          <w14:textFill>
            <w14:solidFill>
              <w14:schemeClr w14:val="tx1"/>
            </w14:solidFill>
          </w14:textFill>
        </w:rPr>
        <w:br w:type="page"/>
      </w:r>
      <w:bookmarkStart w:id="162" w:name="_Toc14697668"/>
      <w:bookmarkStart w:id="163" w:name="_Toc1675"/>
      <w:r>
        <w:rPr>
          <w:rFonts w:hint="eastAsia" w:ascii="宋体" w:hAnsi="宋体"/>
          <w:b/>
          <w:color w:val="000000" w:themeColor="text1"/>
          <w:kern w:val="0"/>
          <w:sz w:val="24"/>
          <w:szCs w:val="24"/>
          <w:highlight w:val="none"/>
          <w14:textFill>
            <w14:solidFill>
              <w14:schemeClr w14:val="tx1"/>
            </w14:solidFill>
          </w14:textFill>
        </w:rPr>
        <w:t>格式十四：参与编制技术标投标文件人员名单</w:t>
      </w:r>
      <w:bookmarkEnd w:id="162"/>
      <w:bookmarkEnd w:id="163"/>
    </w:p>
    <w:p>
      <w:pPr>
        <w:autoSpaceDE w:val="0"/>
        <w:autoSpaceDN w:val="0"/>
        <w:adjustRightInd w:val="0"/>
        <w:rPr>
          <w:color w:val="000000" w:themeColor="text1"/>
          <w:szCs w:val="21"/>
          <w:highlight w:val="none"/>
          <w14:textFill>
            <w14:solidFill>
              <w14:schemeClr w14:val="tx1"/>
            </w14:solidFill>
          </w14:textFill>
        </w:rPr>
      </w:pPr>
    </w:p>
    <w:p>
      <w:pPr>
        <w:tabs>
          <w:tab w:val="left" w:pos="720"/>
        </w:tabs>
        <w:snapToGrid w:val="0"/>
        <w:spacing w:line="360" w:lineRule="auto"/>
        <w:jc w:val="cente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参与编制技术标投标文件人员名单</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1"/>
        <w:gridCol w:w="1381"/>
        <w:gridCol w:w="2342"/>
        <w:gridCol w:w="2246"/>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8522"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投标人名称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姓名</w:t>
            </w: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职务</w:t>
            </w: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所承担工作</w:t>
            </w: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身份证号码</w:t>
            </w: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本人签名栏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9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8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34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224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c>
          <w:tcPr>
            <w:tcW w:w="13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Cs w:val="21"/>
                <w:highlight w:val="none"/>
                <w14:textFill>
                  <w14:solidFill>
                    <w14:schemeClr w14:val="tx1"/>
                  </w14:solidFill>
                </w14:textFill>
              </w:rPr>
            </w:pPr>
          </w:p>
        </w:tc>
      </w:tr>
    </w:tbl>
    <w:p>
      <w:pPr>
        <w:spacing w:line="360" w:lineRule="auto"/>
        <w:ind w:left="-2" w:leftChars="-1" w:firstLine="350" w:firstLineChars="175"/>
        <w:jc w:val="left"/>
        <w:rPr>
          <w:color w:val="000000" w:themeColor="text1"/>
          <w:kern w:val="0"/>
          <w:sz w:val="20"/>
          <w:szCs w:val="21"/>
          <w:highlight w:val="none"/>
          <w14:textFill>
            <w14:solidFill>
              <w14:schemeClr w14:val="tx1"/>
            </w14:solidFill>
          </w14:textFill>
        </w:rPr>
      </w:pPr>
      <w:r>
        <w:rPr>
          <w:rFonts w:hint="eastAsia"/>
          <w:color w:val="000000" w:themeColor="text1"/>
          <w:kern w:val="0"/>
          <w:sz w:val="20"/>
          <w:szCs w:val="21"/>
          <w:highlight w:val="none"/>
          <w14:textFill>
            <w14:solidFill>
              <w14:schemeClr w14:val="tx1"/>
            </w14:solidFill>
          </w14:textFill>
        </w:rPr>
        <w:t>注：参与编制技术标投标文件所有人员名单应包括如编制技术投标方案、负责清样校对、负责打印及扫描等所有人员在内的人员名单。</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rPr>
          <w:color w:val="000000" w:themeColor="text1"/>
          <w:highlight w:val="none"/>
          <w14:textFill>
            <w14:solidFill>
              <w14:schemeClr w14:val="tx1"/>
            </w14:solidFill>
          </w14:textFill>
        </w:rPr>
      </w:pPr>
      <w:r>
        <w:rPr>
          <w:rFonts w:ascii="宋体" w:hAnsi="宋体"/>
          <w:b/>
          <w:color w:val="000000" w:themeColor="text1"/>
          <w:highlight w:val="none"/>
          <w14:textFill>
            <w14:solidFill>
              <w14:schemeClr w14:val="tx1"/>
            </w14:solidFill>
          </w14:textFill>
        </w:rPr>
        <w:br w:type="page"/>
      </w:r>
    </w:p>
    <w:bookmarkEnd w:id="131"/>
    <w:bookmarkEnd w:id="132"/>
    <w:bookmarkEnd w:id="133"/>
    <w:bookmarkEnd w:id="134"/>
    <w:p>
      <w:pPr>
        <w:pStyle w:val="25"/>
        <w:spacing w:before="156" w:after="156"/>
        <w:jc w:val="both"/>
        <w:outlineLvl w:val="2"/>
        <w:rPr>
          <w:rFonts w:ascii="宋体" w:hAnsi="宋体" w:eastAsia="宋体"/>
          <w:color w:val="000000" w:themeColor="text1"/>
          <w:spacing w:val="0"/>
          <w:sz w:val="24"/>
          <w:szCs w:val="24"/>
          <w:highlight w:val="none"/>
          <w14:textFill>
            <w14:solidFill>
              <w14:schemeClr w14:val="tx1"/>
            </w14:solidFill>
          </w14:textFill>
        </w:rPr>
      </w:pPr>
      <w:r>
        <w:rPr>
          <w:rFonts w:hint="eastAsia" w:ascii="宋体" w:hAnsi="宋体" w:eastAsia="宋体"/>
          <w:color w:val="000000" w:themeColor="text1"/>
          <w:spacing w:val="0"/>
          <w:sz w:val="24"/>
          <w:szCs w:val="24"/>
          <w:highlight w:val="none"/>
          <w14:textFill>
            <w14:solidFill>
              <w14:schemeClr w14:val="tx1"/>
            </w14:solidFill>
          </w14:textFill>
        </w:rPr>
        <w:t>格式十五：危险性较大的分部分项工程清单及超过一定规模的危险性较大的分部分项工程清单</w:t>
      </w:r>
    </w:p>
    <w:p>
      <w:pPr>
        <w:pStyle w:val="25"/>
        <w:spacing w:before="156" w:beforeLines="50" w:after="156" w:line="240" w:lineRule="auto"/>
        <w:rPr>
          <w:rFonts w:ascii="宋体" w:hAnsi="宋体" w:eastAsia="宋体"/>
          <w:color w:val="000000" w:themeColor="text1"/>
          <w:sz w:val="32"/>
          <w:szCs w:val="32"/>
          <w:highlight w:val="none"/>
          <w14:textFill>
            <w14:solidFill>
              <w14:schemeClr w14:val="tx1"/>
            </w14:solidFill>
          </w14:textFill>
        </w:rPr>
      </w:pPr>
      <w:r>
        <w:rPr>
          <w:rFonts w:hint="eastAsia" w:ascii="宋体" w:hAnsi="宋体" w:eastAsia="宋体"/>
          <w:color w:val="000000" w:themeColor="text1"/>
          <w:sz w:val="32"/>
          <w:szCs w:val="32"/>
          <w:highlight w:val="none"/>
          <w14:textFill>
            <w14:solidFill>
              <w14:schemeClr w14:val="tx1"/>
            </w14:solidFill>
          </w14:textFill>
        </w:rPr>
        <w:t>危险性较大的分部分项工程清单及</w:t>
      </w:r>
    </w:p>
    <w:p>
      <w:pPr>
        <w:pStyle w:val="25"/>
        <w:spacing w:before="156" w:beforeLines="50" w:after="156" w:line="240" w:lineRule="auto"/>
        <w:rPr>
          <w:rFonts w:ascii="宋体" w:hAnsi="宋体" w:eastAsia="宋体"/>
          <w:color w:val="000000" w:themeColor="text1"/>
          <w:sz w:val="32"/>
          <w:szCs w:val="32"/>
          <w:highlight w:val="none"/>
          <w14:textFill>
            <w14:solidFill>
              <w14:schemeClr w14:val="tx1"/>
            </w14:solidFill>
          </w14:textFill>
        </w:rPr>
      </w:pPr>
      <w:r>
        <w:rPr>
          <w:rFonts w:hint="eastAsia" w:ascii="宋体" w:hAnsi="宋体" w:eastAsia="宋体"/>
          <w:color w:val="000000" w:themeColor="text1"/>
          <w:sz w:val="32"/>
          <w:szCs w:val="32"/>
          <w:highlight w:val="none"/>
          <w14:textFill>
            <w14:solidFill>
              <w14:schemeClr w14:val="tx1"/>
            </w14:solidFill>
          </w14:textFill>
        </w:rPr>
        <w:t>超过一定规模的危险性较大的分部分项工程清单</w:t>
      </w:r>
    </w:p>
    <w:p>
      <w:pPr>
        <w:pStyle w:val="26"/>
        <w:numPr>
          <w:ilvl w:val="0"/>
          <w:numId w:val="2"/>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根据中华人民共和国住房和城乡建设部令第37号《危险性较大的分部分项工程安全管理规定》（以下简称“37号文”），投标人在投标时须补充完善危大工程清单并明确相应的安全管理措施。</w:t>
      </w:r>
    </w:p>
    <w:p>
      <w:pPr>
        <w:pStyle w:val="26"/>
        <w:numPr>
          <w:ilvl w:val="0"/>
          <w:numId w:val="2"/>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招标人根据设计文件的要求及37号文的规定列出“危险性较大的分部分项工程清单及超过一定规模的危险性较大的分部分项工程清单”中与本招标项目相关的清单项，具体详第5点“打√”标识。</w:t>
      </w:r>
    </w:p>
    <w:p>
      <w:pPr>
        <w:pStyle w:val="26"/>
        <w:numPr>
          <w:ilvl w:val="0"/>
          <w:numId w:val="3"/>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投标单位同意建设单位在清单中标识的该项请在对应项打“√”标识，并与投标文件中提供相应的安全管理措施。</w:t>
      </w:r>
    </w:p>
    <w:p>
      <w:pPr>
        <w:pStyle w:val="26"/>
        <w:numPr>
          <w:ilvl w:val="0"/>
          <w:numId w:val="3"/>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投标单位对清单中认为需要补充的该项请在对应项打“√”标识，并与投标文件中提供相应的安全管理措施。</w:t>
      </w:r>
    </w:p>
    <w:p>
      <w:pPr>
        <w:pStyle w:val="26"/>
        <w:numPr>
          <w:ilvl w:val="0"/>
          <w:numId w:val="3"/>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投标单位不同意建设单位在清单中标识的该项请在对应项打“×”标识，并在备注栏填上相关说明。</w:t>
      </w:r>
    </w:p>
    <w:p>
      <w:pPr>
        <w:pStyle w:val="26"/>
        <w:numPr>
          <w:ilvl w:val="0"/>
          <w:numId w:val="2"/>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投标单位应当在投标时根据招标人提供的下述第5点清单，在投标施工组织中编制专项施工方案。</w:t>
      </w:r>
    </w:p>
    <w:p>
      <w:pPr>
        <w:pStyle w:val="26"/>
        <w:numPr>
          <w:ilvl w:val="0"/>
          <w:numId w:val="2"/>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对于超过一定规模的危大工程，中标单位应当组织召开专家论证会对专项施工方案进行论证。实行施工总承包的，由施工总承包单位组织召开专家论证会。专家论证前专项施工方案应当通过施工总承包单位审核和总监理工程师审查。</w:t>
      </w:r>
    </w:p>
    <w:p>
      <w:pPr>
        <w:pStyle w:val="26"/>
        <w:numPr>
          <w:ilvl w:val="0"/>
          <w:numId w:val="2"/>
        </w:numPr>
        <w:autoSpaceDE w:val="0"/>
        <w:autoSpaceDN w:val="0"/>
        <w:adjustRightInd w:val="0"/>
        <w:spacing w:line="276" w:lineRule="auto"/>
        <w:ind w:firstLineChars="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危险性较大的分部分项工程清单及超过一定规模的危险性较大的分部分项工程清单：</w:t>
      </w:r>
    </w:p>
    <w:tbl>
      <w:tblPr>
        <w:tblStyle w:val="18"/>
        <w:tblW w:w="8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6"/>
        <w:gridCol w:w="1361"/>
        <w:gridCol w:w="1361"/>
        <w:gridCol w:w="1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vAlign w:val="center"/>
          </w:tcPr>
          <w:p>
            <w:pPr>
              <w:keepNext w:val="0"/>
              <w:keepLines w:val="0"/>
              <w:suppressLineNumbers w:val="0"/>
              <w:spacing w:before="0" w:beforeAutospacing="0" w:after="0" w:afterAutospacing="0" w:line="276" w:lineRule="auto"/>
              <w:ind w:left="0" w:right="0"/>
              <w:jc w:val="center"/>
              <w:rPr>
                <w:rFonts w:hint="default" w:ascii="宋体" w:hAnsi="宋体"/>
                <w:b/>
                <w:color w:val="000000" w:themeColor="text1"/>
                <w:szCs w:val="21"/>
                <w:highlight w:val="none"/>
                <w14:textFill>
                  <w14:solidFill>
                    <w14:schemeClr w14:val="tx1"/>
                  </w14:solidFill>
                </w14:textFill>
              </w:rPr>
            </w:pPr>
            <w:r>
              <w:rPr>
                <w:rFonts w:hint="eastAsia" w:ascii="宋体" w:hAnsi="宋体"/>
                <w:b/>
                <w:color w:val="000000" w:themeColor="text1"/>
                <w:szCs w:val="21"/>
                <w:highlight w:val="none"/>
                <w14:textFill>
                  <w14:solidFill>
                    <w14:schemeClr w14:val="tx1"/>
                  </w14:solidFill>
                </w14:textFill>
              </w:rPr>
              <w:t>一、危险性较大的分部分项工程清单</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建设单位</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投标单位</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一、基坑支护</w:t>
            </w:r>
          </w:p>
        </w:tc>
        <w:tc>
          <w:tcPr>
            <w:tcW w:w="1361" w:type="dxa"/>
            <w:vAlign w:val="center"/>
          </w:tcPr>
          <w:p>
            <w:pPr>
              <w:keepNext w:val="0"/>
              <w:keepLines w:val="0"/>
              <w:suppressLineNumbers w:val="0"/>
              <w:spacing w:before="40" w:beforeAutospacing="0" w:after="40" w:afterAutospacing="0" w:line="300" w:lineRule="exact"/>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 xml:space="preserve"> </w:t>
            </w:r>
            <w:r>
              <w:rPr>
                <w:rFonts w:hint="default"/>
                <w:color w:val="000000" w:themeColor="text1"/>
                <w:szCs w:val="21"/>
                <w:highlight w:val="non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（一）开挖深度超过3m（含3m）的基坑（槽）的土方开挖、支护、降水工程。</w:t>
            </w:r>
          </w:p>
        </w:tc>
        <w:tc>
          <w:tcPr>
            <w:tcW w:w="1361" w:type="dxa"/>
            <w:vAlign w:val="center"/>
          </w:tcPr>
          <w:p>
            <w:pPr>
              <w:keepNext w:val="0"/>
              <w:keepLines w:val="0"/>
              <w:suppressLineNumbers w:val="0"/>
              <w:spacing w:before="40" w:beforeAutospacing="0" w:after="40" w:afterAutospacing="0" w:line="300" w:lineRule="exact"/>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lang w:val="en-US" w:eastAsia="zh-CN"/>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（二）开挖深度虽未超过3m，但地质条件、周围环境和地下管线复杂，或影响毗邻建、构筑物安全的基坑（槽）的土方开挖、支护、降水工程。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二、模板工程及支撑体系</w:t>
            </w:r>
          </w:p>
        </w:tc>
        <w:tc>
          <w:tcPr>
            <w:tcW w:w="1361" w:type="dxa"/>
            <w:vAlign w:val="center"/>
          </w:tcPr>
          <w:p>
            <w:pPr>
              <w:keepNext w:val="0"/>
              <w:keepLines w:val="0"/>
              <w:suppressLineNumbers w:val="0"/>
              <w:spacing w:before="40" w:beforeAutospacing="0" w:after="40" w:afterAutospacing="0" w:line="300" w:lineRule="exact"/>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（一）各类工具式模板工程：包括滑模、爬模、飞模、隧道模等工程。</w:t>
            </w:r>
          </w:p>
        </w:tc>
        <w:tc>
          <w:tcPr>
            <w:tcW w:w="1361" w:type="dxa"/>
            <w:vAlign w:val="center"/>
          </w:tcPr>
          <w:p>
            <w:pPr>
              <w:keepNext w:val="0"/>
              <w:keepLines w:val="0"/>
              <w:suppressLineNumbers w:val="0"/>
              <w:spacing w:before="40" w:beforeAutospacing="0" w:after="40" w:afterAutospacing="0" w:line="300" w:lineRule="exact"/>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混凝土模板支撑工程：搭设高度5m及以上，或搭设跨度10m及以上，或施工总荷载（荷载效应基本组合的设计值，以下简称设计值）10kN/m2及以上，或集中线荷载（设计值）15kN/m及以上，或高度大于支撑水平投影宽度且相对独立无联系构件的混凝土模板支撑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default" w:ascii="宋体" w:hAnsi="宋体"/>
                <w:color w:val="000000" w:themeColor="text1"/>
                <w:szCs w:val="21"/>
                <w:highlight w:val="none"/>
                <w14:textFill>
                  <w14:solidFill>
                    <w14:schemeClr w14:val="tx1"/>
                  </w14:solidFill>
                </w14:textFill>
              </w:rPr>
              <w:t xml:space="preserve">  √  </w:t>
            </w:r>
            <w:r>
              <w:rPr>
                <w:rFonts w:hint="eastAsia" w:ascii="宋体" w:hAnsi="宋体"/>
                <w:color w:val="000000" w:themeColor="text1"/>
                <w:szCs w:val="21"/>
                <w:highlight w:val="none"/>
                <w14:textFill>
                  <w14:solidFill>
                    <w14:schemeClr w14:val="tx1"/>
                  </w14:solidFill>
                </w14:textFill>
              </w:rPr>
              <w:t>)</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widowControl/>
              <w:suppressLineNumbers w:val="0"/>
              <w:spacing w:before="0" w:beforeAutospacing="0" w:after="0" w:afterAutospacing="0" w:line="276" w:lineRule="auto"/>
              <w:ind w:left="0" w:right="0"/>
              <w:jc w:val="left"/>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（三）承重支撑体系：用于钢结构安装等满堂支撑体系。</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widowControl/>
              <w:suppressLineNumbers w:val="0"/>
              <w:spacing w:before="0" w:beforeAutospacing="0" w:after="0" w:afterAutospacing="0" w:line="276" w:lineRule="auto"/>
              <w:ind w:left="0" w:right="0"/>
              <w:jc w:val="left"/>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三、起重吊装及起重机械安装拆卸工程</w:t>
            </w:r>
          </w:p>
        </w:tc>
        <w:tc>
          <w:tcPr>
            <w:tcW w:w="1361" w:type="dxa"/>
            <w:vAlign w:val="center"/>
          </w:tcPr>
          <w:p>
            <w:pPr>
              <w:keepNext w:val="0"/>
              <w:keepLines w:val="0"/>
              <w:widowControl w:val="0"/>
              <w:suppressLineNumbers w:val="0"/>
              <w:spacing w:before="0" w:beforeAutospacing="0" w:after="0" w:afterAutospacing="0" w:line="276" w:lineRule="auto"/>
              <w:ind w:left="0" w:right="0"/>
              <w:jc w:val="both"/>
              <w:rPr>
                <w:rFonts w:hint="default" w:ascii="宋体" w:hAnsi="宋体"/>
                <w:color w:val="000000" w:themeColor="text1"/>
                <w:szCs w:val="21"/>
                <w:highlight w:val="none"/>
                <w14:textFill>
                  <w14:solidFill>
                    <w14:schemeClr w14:val="tx1"/>
                  </w14:solidFill>
                </w14:textFill>
              </w:rPr>
            </w:pPr>
            <w:r>
              <w:rPr>
                <w:rFonts w:hint="default" w:ascii="宋体" w:hAnsi="宋体" w:eastAsia="宋体" w:cs="宋体"/>
                <w:color w:val="000000" w:themeColor="text1"/>
                <w:szCs w:val="21"/>
                <w:highlight w:val="none"/>
                <w:lang w:bidi="ar"/>
                <w14:textFill>
                  <w14:solidFill>
                    <w14:schemeClr w14:val="tx1"/>
                  </w14:solidFill>
                </w14:textFill>
              </w:rPr>
              <w:t xml:space="preserve">  </w:t>
            </w:r>
            <w:r>
              <w:rPr>
                <w:rFonts w:hint="eastAsia" w:ascii="宋体" w:hAnsi="宋体" w:eastAsia="宋体" w:cs="宋体"/>
                <w:color w:val="000000" w:themeColor="text1"/>
                <w:szCs w:val="21"/>
                <w:highlight w:val="none"/>
                <w:lang w:bidi="ar"/>
                <w14:textFill>
                  <w14:solidFill>
                    <w14:schemeClr w14:val="tx1"/>
                  </w14:solidFill>
                </w14:textFill>
              </w:rPr>
              <w:t xml:space="preserve">( </w:t>
            </w:r>
            <w:r>
              <w:rPr>
                <w:rFonts w:hint="eastAsia" w:ascii="宋体" w:hAnsi="宋体" w:cs="宋体"/>
                <w:color w:val="000000" w:themeColor="text1"/>
                <w:szCs w:val="21"/>
                <w:highlight w:val="none"/>
                <w:lang w:val="en-US" w:eastAsia="zh-CN" w:bidi="ar"/>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eastAsia="宋体" w:cs="宋体"/>
                <w:color w:val="000000" w:themeColor="text1"/>
                <w:szCs w:val="21"/>
                <w:highlight w:val="none"/>
                <w:lang w:bidi="ar"/>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widowControl/>
              <w:suppressLineNumbers w:val="0"/>
              <w:spacing w:before="0" w:beforeAutospacing="0" w:after="0" w:afterAutospacing="0" w:line="276" w:lineRule="auto"/>
              <w:ind w:left="0" w:right="0"/>
              <w:jc w:val="left"/>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（一）采用非常规起重设备、方法，且单件起吊重量在10kN及以上的起重吊装工程。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（二）采用起重机械进行安装的工程。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（三）起重机械安装和拆卸工程。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（一）搭设高度24m及以上的落地式钢管脚手架工程（包括采光井、电梯井脚手架）。</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（二）附着式升降脚手架工程。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（三）悬挑式脚手架工程。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（四）高处作业吊篮。</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（五）卸料平台、操作平台工程。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s="宋体"/>
                <w:color w:val="000000" w:themeColor="text1"/>
                <w:szCs w:val="21"/>
                <w:highlight w:val="none"/>
                <w:lang w:bidi="ar"/>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（六）异型脚手架工程。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s="宋体"/>
                <w:color w:val="000000" w:themeColor="text1"/>
                <w:szCs w:val="21"/>
                <w:highlight w:val="none"/>
                <w:lang w:bidi="ar"/>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五、拆除工程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s="宋体"/>
                <w:color w:val="000000" w:themeColor="text1"/>
                <w:szCs w:val="21"/>
                <w:highlight w:val="none"/>
                <w:lang w:bidi="ar"/>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可能影响行人、交通、电力设施、通讯设施或其它建、构筑物安全的拆除工程。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六、暗挖工程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采用矿山法、盾构法、顶管法施工的隧道、洞室工程。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七、其它</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（一）建筑幕墙安装工程。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default"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（二）钢结构、网架和索膜结构安装工程。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（三）人工挖孔桩工程。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（四）水下作业工程。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（五）装配式建筑混凝土预制构件安装工程。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（六）采用新技术、新工艺、新材料、新设备可能影响工程施工安全，尚无国家、行业及地方技术标准的分部分项工程。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vAlign w:val="center"/>
          </w:tcPr>
          <w:p>
            <w:pPr>
              <w:keepNext w:val="0"/>
              <w:keepLines w:val="0"/>
              <w:widowControl/>
              <w:suppressLineNumbers w:val="0"/>
              <w:spacing w:before="0" w:beforeAutospacing="0" w:after="0" w:afterAutospacing="0" w:line="276" w:lineRule="auto"/>
              <w:ind w:left="0" w:right="0"/>
              <w:rPr>
                <w:rFonts w:hint="default" w:ascii="宋体" w:hAnsi="宋体" w:cs="宋体"/>
                <w:b/>
                <w:color w:val="000000" w:themeColor="text1"/>
                <w:szCs w:val="21"/>
                <w:highlight w:val="none"/>
                <w14:textFill>
                  <w14:solidFill>
                    <w14:schemeClr w14:val="tx1"/>
                  </w14:solidFill>
                </w14:textFill>
              </w:rPr>
            </w:pPr>
            <w:r>
              <w:rPr>
                <w:rFonts w:hint="eastAsia" w:ascii="宋体" w:hAnsi="宋体" w:cs="宋体"/>
                <w:b/>
                <w:bCs/>
                <w:color w:val="000000" w:themeColor="text1"/>
                <w:szCs w:val="21"/>
                <w:highlight w:val="none"/>
                <w14:textFill>
                  <w14:solidFill>
                    <w14:schemeClr w14:val="tx1"/>
                  </w14:solidFill>
                </w14:textFill>
              </w:rPr>
              <w:t>二、超过一定规模的危险性较大的分部分项工程清单</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一、深基坑工程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firstLine="48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开挖深度超过5m（含5m）的基坑（槽）的土方开挖、支护、降水工程。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firstLine="48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二、模板工程及支撑体系</w:t>
            </w:r>
          </w:p>
        </w:tc>
        <w:tc>
          <w:tcPr>
            <w:tcW w:w="1361" w:type="dxa"/>
            <w:vAlign w:val="center"/>
          </w:tcPr>
          <w:p>
            <w:pPr>
              <w:keepNext w:val="0"/>
              <w:keepLines w:val="0"/>
              <w:suppressLineNumbers w:val="0"/>
              <w:spacing w:before="0" w:beforeAutospacing="0" w:after="0" w:afterAutospacing="0" w:line="276" w:lineRule="auto"/>
              <w:ind w:left="0" w:right="0" w:firstLine="315" w:firstLineChars="15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firstLine="48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（一）各类工具式模板工程：包括滑模、爬模、飞模、隧道模等工程。</w:t>
            </w:r>
          </w:p>
        </w:tc>
        <w:tc>
          <w:tcPr>
            <w:tcW w:w="1361" w:type="dxa"/>
            <w:vAlign w:val="center"/>
          </w:tcPr>
          <w:p>
            <w:pPr>
              <w:keepNext w:val="0"/>
              <w:keepLines w:val="0"/>
              <w:suppressLineNumbers w:val="0"/>
              <w:spacing w:before="0" w:beforeAutospacing="0" w:after="0" w:afterAutospacing="0" w:line="276" w:lineRule="auto"/>
              <w:ind w:left="0" w:right="0" w:firstLine="315" w:firstLineChars="150"/>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firstLine="48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firstLine="48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（二）混凝土模板支撑工程：搭设高度8m及以上，或搭设跨度18m及以上，或施工总荷载（设计值）15kN/m2及以上，或集中线荷载（设计值）20kN/m及以上。</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（三）承重支撑体系：用于钢结构安装等满堂支撑体系，承受单点集中荷载7kN及以上。</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三、起重吊装及起重机械安装拆卸工程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（一）采用非常规起重设备、方法，且单件起吊重量在100kN及以上的起重吊装工程。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（二）起重量300kN及以上，或搭设总高度200m及以上，或搭设基础标高在200m及以上的起重机械安装和拆卸工程。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（一）搭设高度50m及以上的落地式钢管脚手架工程。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（二）提升高度在150m及以上的附着式升降脚手架工程或附着式升降操作平台工程。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（三）分段架体搭设高度20m及以上的悬挑式脚手架工程。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五、拆除工程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（一）码头、桥梁、高架、烟囱、水塔或拆除中容易引起有毒有害气（液）体或粉尘扩散、易燃易爆事故发生的特殊建、构筑物的拆除工程。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（二）文物保护建筑、优秀历史建筑或历史文化风貌区影响范围内的拆除工程。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六、暗挖工程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采用矿山法、盾构法、顶管法施工的隧道、洞室工程。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七、其它</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（一）施工高度50m及以上的建筑幕墙安装工程。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lang w:val="en-US" w:eastAsia="zh-CN"/>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（二）跨度36m及以上的钢结构安装工程，或跨度60m及以上的网架和索膜结构安装工程。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lang w:val="en-US" w:eastAsia="zh-CN"/>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 xml:space="preserve">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（三）开挖深度16m及以上的人工挖孔桩工程。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（四）水下作业工程。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（五）重量1000kN及以上的大型结构整体顶升、平移、转体等施工工艺。</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6" w:type="dxa"/>
          </w:tcPr>
          <w:p>
            <w:pPr>
              <w:keepNext w:val="0"/>
              <w:keepLines w:val="0"/>
              <w:suppressLineNumbers w:val="0"/>
              <w:spacing w:before="0" w:beforeAutospacing="0" w:after="0" w:afterAutospacing="0" w:line="276" w:lineRule="auto"/>
              <w:ind w:left="0" w:right="0"/>
              <w:jc w:val="left"/>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（六）采用新技术、新工艺、新材料、新设备可能影响工程施工安全，尚无国家、行业及地方技术标准的分部分项工程。</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361"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    )</w:t>
            </w:r>
          </w:p>
        </w:tc>
        <w:tc>
          <w:tcPr>
            <w:tcW w:w="1063" w:type="dxa"/>
            <w:vAlign w:val="center"/>
          </w:tcPr>
          <w:p>
            <w:pPr>
              <w:keepNext w:val="0"/>
              <w:keepLines w:val="0"/>
              <w:suppressLineNumbers w:val="0"/>
              <w:spacing w:before="0" w:beforeAutospacing="0" w:after="0" w:afterAutospacing="0" w:line="276" w:lineRule="auto"/>
              <w:ind w:left="0" w:right="0"/>
              <w:jc w:val="center"/>
              <w:rPr>
                <w:rFonts w:hint="default" w:ascii="宋体" w:hAnsi="宋体"/>
                <w:color w:val="000000" w:themeColor="text1"/>
                <w:szCs w:val="21"/>
                <w:highlight w:val="none"/>
                <w14:textFill>
                  <w14:solidFill>
                    <w14:schemeClr w14:val="tx1"/>
                  </w14:solidFill>
                </w14:textFill>
              </w:rPr>
            </w:pPr>
          </w:p>
        </w:tc>
      </w:tr>
    </w:tbl>
    <w:p>
      <w:pPr>
        <w:spacing w:line="360" w:lineRule="auto"/>
        <w:ind w:firstLine="3000" w:firstLineChars="1250"/>
        <w:rPr>
          <w:rFonts w:ascii="宋体" w:hAnsi="宋体" w:cs="宋体"/>
          <w:color w:val="000000" w:themeColor="text1"/>
          <w:sz w:val="24"/>
          <w:szCs w:val="20"/>
          <w:highlight w:val="none"/>
          <w14:textFill>
            <w14:solidFill>
              <w14:schemeClr w14:val="tx1"/>
            </w14:solidFill>
          </w14:textFill>
        </w:rPr>
      </w:pPr>
    </w:p>
    <w:p>
      <w:pPr>
        <w:spacing w:line="360" w:lineRule="auto"/>
        <w:ind w:firstLine="3000" w:firstLineChars="1250"/>
        <w:rPr>
          <w:rFonts w:ascii="宋体" w:hAnsi="宋体" w:cs="宋体"/>
          <w:color w:val="000000" w:themeColor="text1"/>
          <w:sz w:val="24"/>
          <w:szCs w:val="20"/>
          <w:highlight w:val="none"/>
          <w:u w:val="single"/>
          <w14:textFill>
            <w14:solidFill>
              <w14:schemeClr w14:val="tx1"/>
            </w14:solidFill>
          </w14:textFill>
        </w:rPr>
      </w:pPr>
      <w:r>
        <w:rPr>
          <w:rFonts w:hint="eastAsia" w:ascii="宋体" w:hAnsi="宋体" w:cs="宋体"/>
          <w:color w:val="000000" w:themeColor="text1"/>
          <w:sz w:val="24"/>
          <w:szCs w:val="20"/>
          <w:highlight w:val="none"/>
          <w14:textFill>
            <w14:solidFill>
              <w14:schemeClr w14:val="tx1"/>
            </w14:solidFill>
          </w14:textFill>
        </w:rPr>
        <w:t>投标人名称（盖法人公章）：</w:t>
      </w:r>
    </w:p>
    <w:p>
      <w:pPr>
        <w:spacing w:line="360" w:lineRule="auto"/>
        <w:ind w:firstLine="3000" w:firstLineChars="1250"/>
        <w:rPr>
          <w:rFonts w:ascii="宋体" w:hAnsi="宋体" w:cs="宋体"/>
          <w:color w:val="000000" w:themeColor="text1"/>
          <w:sz w:val="24"/>
          <w:szCs w:val="20"/>
          <w:highlight w:val="none"/>
          <w:u w:val="single"/>
          <w14:textFill>
            <w14:solidFill>
              <w14:schemeClr w14:val="tx1"/>
            </w14:solidFill>
          </w14:textFill>
        </w:rPr>
      </w:pPr>
      <w:r>
        <w:rPr>
          <w:rFonts w:hint="eastAsia" w:ascii="宋体" w:hAnsi="宋体" w:cs="宋体"/>
          <w:color w:val="000000" w:themeColor="text1"/>
          <w:sz w:val="24"/>
          <w:szCs w:val="20"/>
          <w:highlight w:val="none"/>
          <w14:textFill>
            <w14:solidFill>
              <w14:schemeClr w14:val="tx1"/>
            </w14:solidFill>
          </w14:textFill>
        </w:rPr>
        <w:t>法定代表人或被授权人（签字或盖章）：</w:t>
      </w:r>
    </w:p>
    <w:p>
      <w:pPr>
        <w:spacing w:line="360" w:lineRule="auto"/>
        <w:ind w:firstLine="3120" w:firstLineChars="1300"/>
        <w:rPr>
          <w:color w:val="000000" w:themeColor="text1"/>
          <w:highlight w:val="none"/>
          <w14:textFill>
            <w14:solidFill>
              <w14:schemeClr w14:val="tx1"/>
            </w14:solidFill>
          </w14:textFill>
        </w:rPr>
      </w:pPr>
      <w:r>
        <w:rPr>
          <w:rFonts w:hint="eastAsia" w:ascii="宋体" w:hAnsi="宋体" w:cs="宋体"/>
          <w:color w:val="000000" w:themeColor="text1"/>
          <w:sz w:val="24"/>
          <w:szCs w:val="20"/>
          <w:highlight w:val="none"/>
          <w14:textFill>
            <w14:solidFill>
              <w14:schemeClr w14:val="tx1"/>
            </w14:solidFill>
          </w14:textFill>
        </w:rPr>
        <w:t>日  期：   年   月   日</w:t>
      </w:r>
    </w:p>
    <w:p>
      <w:pPr>
        <w:pStyle w:val="10"/>
        <w:spacing w:line="360" w:lineRule="auto"/>
        <w:rPr>
          <w:rFonts w:hAnsi="宋体"/>
          <w:strike/>
          <w:color w:val="000000" w:themeColor="text1"/>
          <w:sz w:val="24"/>
          <w:szCs w:val="24"/>
          <w:highlight w:val="none"/>
          <w14:textFill>
            <w14:solidFill>
              <w14:schemeClr w14:val="tx1"/>
            </w14:solidFill>
          </w14:textFill>
        </w:rPr>
      </w:pPr>
      <w:r>
        <w:rPr>
          <w:rStyle w:val="27"/>
          <w:color w:val="000000" w:themeColor="text1"/>
          <w:highlight w:val="none"/>
          <w14:textFill>
            <w14:solidFill>
              <w14:schemeClr w14:val="tx1"/>
            </w14:solidFill>
          </w14:textFill>
        </w:rPr>
        <w:br w:type="page"/>
      </w:r>
    </w:p>
    <w:p>
      <w:pPr>
        <w:pStyle w:val="7"/>
        <w:rPr>
          <w:rFonts w:ascii="宋体" w:hAnsi="宋体"/>
          <w:color w:val="000000" w:themeColor="text1"/>
          <w:highlight w:val="none"/>
          <w14:textFill>
            <w14:solidFill>
              <w14:schemeClr w14:val="tx1"/>
            </w14:solidFill>
          </w14:textFill>
        </w:rPr>
      </w:pPr>
    </w:p>
    <w:p>
      <w:pPr>
        <w:pStyle w:val="7"/>
        <w:rPr>
          <w:rFonts w:ascii="宋体" w:hAnsi="宋体"/>
          <w:color w:val="000000" w:themeColor="text1"/>
          <w:highlight w:val="none"/>
          <w14:textFill>
            <w14:solidFill>
              <w14:schemeClr w14:val="tx1"/>
            </w14:solidFill>
          </w14:textFill>
        </w:rPr>
      </w:pPr>
    </w:p>
    <w:p>
      <w:pPr>
        <w:pStyle w:val="7"/>
        <w:rPr>
          <w:rFonts w:ascii="宋体" w:hAnsi="宋体"/>
          <w:color w:val="000000" w:themeColor="text1"/>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jc w:val="center"/>
        <w:outlineLvl w:val="0"/>
        <w:rPr>
          <w:rFonts w:ascii="宋体" w:hAnsi="宋体"/>
          <w:b/>
          <w:snapToGrid w:val="0"/>
          <w:color w:val="000000" w:themeColor="text1"/>
          <w:spacing w:val="4"/>
          <w:kern w:val="0"/>
          <w:sz w:val="30"/>
          <w:szCs w:val="30"/>
          <w:highlight w:val="none"/>
          <w14:textFill>
            <w14:solidFill>
              <w14:schemeClr w14:val="tx1"/>
            </w14:solidFill>
          </w14:textFill>
        </w:rPr>
      </w:pPr>
      <w:bookmarkStart w:id="164" w:name="_Toc14697669"/>
      <w:bookmarkStart w:id="165" w:name="_Toc7019447"/>
      <w:bookmarkStart w:id="166" w:name="_Toc5194"/>
      <w:bookmarkStart w:id="167" w:name="_Toc21343"/>
      <w:r>
        <w:rPr>
          <w:rFonts w:hint="eastAsia" w:ascii="宋体" w:hAnsi="宋体"/>
          <w:b/>
          <w:snapToGrid w:val="0"/>
          <w:color w:val="000000" w:themeColor="text1"/>
          <w:spacing w:val="4"/>
          <w:kern w:val="0"/>
          <w:sz w:val="30"/>
          <w:szCs w:val="30"/>
          <w:highlight w:val="none"/>
          <w14:textFill>
            <w14:solidFill>
              <w14:schemeClr w14:val="tx1"/>
            </w14:solidFill>
          </w14:textFill>
        </w:rPr>
        <w:t>二、经济标投标文件格式</w:t>
      </w:r>
      <w:bookmarkEnd w:id="164"/>
      <w:bookmarkEnd w:id="165"/>
      <w:bookmarkEnd w:id="166"/>
      <w:bookmarkEnd w:id="167"/>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rPr>
          <w:rFonts w:ascii="宋体" w:hAnsi="宋体"/>
          <w:b/>
          <w:color w:val="000000" w:themeColor="text1"/>
          <w:sz w:val="24"/>
          <w:szCs w:val="24"/>
          <w:highlight w:val="none"/>
          <w14:textFill>
            <w14:solidFill>
              <w14:schemeClr w14:val="tx1"/>
            </w14:solidFill>
          </w14:textFill>
        </w:rPr>
      </w:pPr>
      <w:r>
        <w:rPr>
          <w:rFonts w:ascii="宋体" w:hAnsi="宋体"/>
          <w:b/>
          <w:color w:val="000000" w:themeColor="text1"/>
          <w:highlight w:val="none"/>
          <w14:textFill>
            <w14:solidFill>
              <w14:schemeClr w14:val="tx1"/>
            </w14:solidFill>
          </w14:textFill>
        </w:rPr>
        <w:br w:type="page"/>
      </w:r>
      <w:r>
        <w:rPr>
          <w:rFonts w:hint="eastAsia" w:ascii="宋体" w:hAnsi="宋体"/>
          <w:b/>
          <w:color w:val="000000" w:themeColor="text1"/>
          <w:sz w:val="24"/>
          <w:szCs w:val="24"/>
          <w:highlight w:val="none"/>
          <w14:textFill>
            <w14:solidFill>
              <w14:schemeClr w14:val="tx1"/>
            </w14:solidFill>
          </w14:textFill>
        </w:rPr>
        <w:t>格式一：经济标封面</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jc w:val="center"/>
        <w:rPr>
          <w:rFonts w:ascii="宋体" w:hAnsi="宋体"/>
          <w:snapToGrid w:val="0"/>
          <w:color w:val="000000" w:themeColor="text1"/>
          <w:spacing w:val="4"/>
          <w:kern w:val="0"/>
          <w:sz w:val="36"/>
          <w:szCs w:val="36"/>
          <w:highlight w:val="none"/>
          <w:u w:val="single"/>
          <w14:textFill>
            <w14:solidFill>
              <w14:schemeClr w14:val="tx1"/>
            </w14:solidFill>
          </w14:textFill>
        </w:rPr>
      </w:pPr>
      <w:r>
        <w:rPr>
          <w:rFonts w:hint="eastAsia" w:ascii="宋体" w:hAnsi="宋体"/>
          <w:snapToGrid w:val="0"/>
          <w:color w:val="000000" w:themeColor="text1"/>
          <w:spacing w:val="4"/>
          <w:kern w:val="0"/>
          <w:sz w:val="36"/>
          <w:szCs w:val="36"/>
          <w:highlight w:val="none"/>
          <w:u w:val="single"/>
          <w14:textFill>
            <w14:solidFill>
              <w14:schemeClr w14:val="tx1"/>
            </w14:solidFill>
          </w14:textFill>
        </w:rPr>
        <w:t xml:space="preserve">[工程名称] </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jc w:val="center"/>
        <w:rPr>
          <w:rFonts w:ascii="宋体" w:hAnsi="宋体"/>
          <w:snapToGrid w:val="0"/>
          <w:color w:val="000000" w:themeColor="text1"/>
          <w:spacing w:val="4"/>
          <w:kern w:val="0"/>
          <w:sz w:val="84"/>
          <w:szCs w:val="84"/>
          <w:highlight w:val="none"/>
          <w14:textFill>
            <w14:solidFill>
              <w14:schemeClr w14:val="tx1"/>
            </w14:solidFill>
          </w14:textFill>
        </w:rPr>
      </w:pPr>
      <w:r>
        <w:rPr>
          <w:rFonts w:hint="eastAsia" w:ascii="宋体" w:hAnsi="宋体"/>
          <w:snapToGrid w:val="0"/>
          <w:color w:val="000000" w:themeColor="text1"/>
          <w:spacing w:val="4"/>
          <w:kern w:val="0"/>
          <w:sz w:val="84"/>
          <w:szCs w:val="84"/>
          <w:highlight w:val="none"/>
          <w14:textFill>
            <w14:solidFill>
              <w14:schemeClr w14:val="tx1"/>
            </w14:solidFill>
          </w14:textFill>
        </w:rPr>
        <w:t>投标文件</w:t>
      </w:r>
    </w:p>
    <w:p>
      <w:pPr>
        <w:topLinePunct/>
        <w:adjustRightInd w:val="0"/>
        <w:snapToGrid w:val="0"/>
        <w:spacing w:line="360" w:lineRule="auto"/>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第二册 （经济标书）</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r>
        <w:rPr>
          <w:rFonts w:hint="eastAsia" w:ascii="宋体" w:hAnsi="宋体"/>
          <w:snapToGrid w:val="0"/>
          <w:color w:val="000000" w:themeColor="text1"/>
          <w:spacing w:val="4"/>
          <w:kern w:val="0"/>
          <w:sz w:val="24"/>
          <w:szCs w:val="24"/>
          <w:highlight w:val="none"/>
          <w14:textFill>
            <w14:solidFill>
              <w14:schemeClr w14:val="tx1"/>
            </w14:solidFill>
          </w14:textFill>
        </w:rPr>
        <w:t xml:space="preserve">   </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616" w:firstLineChars="200"/>
        <w:jc w:val="left"/>
        <w:rPr>
          <w:rFonts w:ascii="宋体" w:hAnsi="宋体"/>
          <w:snapToGrid w:val="0"/>
          <w:color w:val="000000" w:themeColor="text1"/>
          <w:spacing w:val="4"/>
          <w:kern w:val="0"/>
          <w:sz w:val="30"/>
          <w:szCs w:val="30"/>
          <w:highlight w:val="none"/>
          <w14:textFill>
            <w14:solidFill>
              <w14:schemeClr w14:val="tx1"/>
            </w14:solidFill>
          </w14:textFill>
        </w:rPr>
      </w:pPr>
      <w:r>
        <w:rPr>
          <w:rFonts w:hint="eastAsia" w:ascii="宋体" w:hAnsi="宋体"/>
          <w:snapToGrid w:val="0"/>
          <w:color w:val="000000" w:themeColor="text1"/>
          <w:spacing w:val="4"/>
          <w:kern w:val="0"/>
          <w:sz w:val="30"/>
          <w:szCs w:val="30"/>
          <w:highlight w:val="none"/>
          <w14:textFill>
            <w14:solidFill>
              <w14:schemeClr w14:val="tx1"/>
            </w14:solidFill>
          </w14:textFill>
        </w:rPr>
        <w:t>投标人：</w:t>
      </w:r>
      <w:r>
        <w:rPr>
          <w:rFonts w:hint="eastAsia" w:ascii="宋体" w:hAnsi="宋体"/>
          <w:snapToGrid w:val="0"/>
          <w:color w:val="000000" w:themeColor="text1"/>
          <w:spacing w:val="4"/>
          <w:kern w:val="0"/>
          <w:sz w:val="30"/>
          <w:szCs w:val="30"/>
          <w:highlight w:val="none"/>
          <w:u w:val="single"/>
          <w14:textFill>
            <w14:solidFill>
              <w14:schemeClr w14:val="tx1"/>
            </w14:solidFill>
          </w14:textFill>
        </w:rPr>
        <w:t xml:space="preserve">       （填写投标人单位名称）       （盖章）</w:t>
      </w:r>
    </w:p>
    <w:p>
      <w:pPr>
        <w:topLinePunct/>
        <w:adjustRightInd w:val="0"/>
        <w:snapToGrid w:val="0"/>
        <w:spacing w:line="360" w:lineRule="auto"/>
        <w:ind w:firstLine="616" w:firstLineChars="200"/>
        <w:jc w:val="left"/>
        <w:rPr>
          <w:rFonts w:ascii="宋体" w:hAnsi="宋体"/>
          <w:snapToGrid w:val="0"/>
          <w:color w:val="000000" w:themeColor="text1"/>
          <w:spacing w:val="4"/>
          <w:kern w:val="0"/>
          <w:sz w:val="30"/>
          <w:szCs w:val="30"/>
          <w:highlight w:val="none"/>
          <w14:textFill>
            <w14:solidFill>
              <w14:schemeClr w14:val="tx1"/>
            </w14:solidFill>
          </w14:textFill>
        </w:rPr>
      </w:pPr>
    </w:p>
    <w:p>
      <w:pPr>
        <w:topLinePunct/>
        <w:adjustRightInd w:val="0"/>
        <w:snapToGrid w:val="0"/>
        <w:spacing w:line="360" w:lineRule="auto"/>
        <w:ind w:firstLine="616" w:firstLineChars="200"/>
        <w:jc w:val="left"/>
        <w:rPr>
          <w:rFonts w:ascii="宋体" w:hAnsi="宋体"/>
          <w:snapToGrid w:val="0"/>
          <w:color w:val="000000" w:themeColor="text1"/>
          <w:spacing w:val="4"/>
          <w:kern w:val="0"/>
          <w:sz w:val="30"/>
          <w:szCs w:val="30"/>
          <w:highlight w:val="none"/>
          <w14:textFill>
            <w14:solidFill>
              <w14:schemeClr w14:val="tx1"/>
            </w14:solidFill>
          </w14:textFill>
        </w:rPr>
      </w:pPr>
      <w:r>
        <w:rPr>
          <w:rFonts w:hint="eastAsia" w:ascii="宋体" w:hAnsi="宋体"/>
          <w:snapToGrid w:val="0"/>
          <w:color w:val="000000" w:themeColor="text1"/>
          <w:spacing w:val="4"/>
          <w:kern w:val="0"/>
          <w:sz w:val="30"/>
          <w:szCs w:val="30"/>
          <w:highlight w:val="none"/>
          <w14:textFill>
            <w14:solidFill>
              <w14:schemeClr w14:val="tx1"/>
            </w14:solidFill>
          </w14:textFill>
        </w:rPr>
        <w:t>法定代表人或</w:t>
      </w:r>
    </w:p>
    <w:p>
      <w:pPr>
        <w:topLinePunct/>
        <w:adjustRightInd w:val="0"/>
        <w:snapToGrid w:val="0"/>
        <w:spacing w:line="360" w:lineRule="auto"/>
        <w:ind w:firstLine="616" w:firstLineChars="200"/>
        <w:jc w:val="left"/>
        <w:rPr>
          <w:rFonts w:ascii="宋体" w:hAnsi="宋体"/>
          <w:snapToGrid w:val="0"/>
          <w:color w:val="000000" w:themeColor="text1"/>
          <w:spacing w:val="4"/>
          <w:kern w:val="0"/>
          <w:sz w:val="30"/>
          <w:szCs w:val="30"/>
          <w:highlight w:val="none"/>
          <w14:textFill>
            <w14:solidFill>
              <w14:schemeClr w14:val="tx1"/>
            </w14:solidFill>
          </w14:textFill>
        </w:rPr>
      </w:pPr>
      <w:r>
        <w:rPr>
          <w:rFonts w:hint="eastAsia" w:ascii="宋体" w:hAnsi="宋体"/>
          <w:snapToGrid w:val="0"/>
          <w:color w:val="000000" w:themeColor="text1"/>
          <w:spacing w:val="4"/>
          <w:kern w:val="0"/>
          <w:sz w:val="30"/>
          <w:szCs w:val="30"/>
          <w:highlight w:val="none"/>
          <w14:textFill>
            <w14:solidFill>
              <w14:schemeClr w14:val="tx1"/>
            </w14:solidFill>
          </w14:textFill>
        </w:rPr>
        <w:t>其委托代理人：</w:t>
      </w:r>
      <w:r>
        <w:rPr>
          <w:rFonts w:hint="eastAsia" w:ascii="宋体" w:hAnsi="宋体"/>
          <w:snapToGrid w:val="0"/>
          <w:color w:val="000000" w:themeColor="text1"/>
          <w:spacing w:val="4"/>
          <w:kern w:val="0"/>
          <w:sz w:val="30"/>
          <w:szCs w:val="30"/>
          <w:highlight w:val="none"/>
          <w:u w:val="single"/>
          <w14:textFill>
            <w14:solidFill>
              <w14:schemeClr w14:val="tx1"/>
            </w14:solidFill>
          </w14:textFill>
        </w:rPr>
        <w:t xml:space="preserve">                        （签字或盖章）</w:t>
      </w:r>
    </w:p>
    <w:p>
      <w:pPr>
        <w:topLinePunct/>
        <w:adjustRightInd w:val="0"/>
        <w:snapToGrid w:val="0"/>
        <w:spacing w:line="360" w:lineRule="auto"/>
        <w:ind w:firstLine="616" w:firstLineChars="200"/>
        <w:jc w:val="left"/>
        <w:rPr>
          <w:rFonts w:ascii="宋体" w:hAnsi="宋体"/>
          <w:snapToGrid w:val="0"/>
          <w:color w:val="000000" w:themeColor="text1"/>
          <w:spacing w:val="4"/>
          <w:kern w:val="0"/>
          <w:sz w:val="30"/>
          <w:szCs w:val="30"/>
          <w:highlight w:val="none"/>
          <w14:textFill>
            <w14:solidFill>
              <w14:schemeClr w14:val="tx1"/>
            </w14:solidFill>
          </w14:textFill>
        </w:rPr>
      </w:pPr>
      <w:r>
        <w:rPr>
          <w:rFonts w:hint="eastAsia" w:ascii="宋体" w:hAnsi="宋体"/>
          <w:snapToGrid w:val="0"/>
          <w:color w:val="000000" w:themeColor="text1"/>
          <w:spacing w:val="4"/>
          <w:kern w:val="0"/>
          <w:sz w:val="30"/>
          <w:szCs w:val="30"/>
          <w:highlight w:val="none"/>
          <w14:textFill>
            <w14:solidFill>
              <w14:schemeClr w14:val="tx1"/>
            </w14:solidFill>
          </w14:textFill>
        </w:rPr>
        <w:t>日  期：</w:t>
      </w:r>
      <w:r>
        <w:rPr>
          <w:rFonts w:hint="eastAsia" w:ascii="宋体" w:hAnsi="宋体"/>
          <w:snapToGrid w:val="0"/>
          <w:color w:val="000000" w:themeColor="text1"/>
          <w:spacing w:val="4"/>
          <w:kern w:val="0"/>
          <w:sz w:val="30"/>
          <w:szCs w:val="30"/>
          <w:highlight w:val="none"/>
          <w:u w:val="single"/>
          <w14:textFill>
            <w14:solidFill>
              <w14:schemeClr w14:val="tx1"/>
            </w14:solidFill>
          </w14:textFill>
        </w:rPr>
        <w:t xml:space="preserve">                                        </w:t>
      </w:r>
      <w:r>
        <w:rPr>
          <w:rFonts w:ascii="宋体" w:hAnsi="宋体"/>
          <w:snapToGrid w:val="0"/>
          <w:color w:val="000000" w:themeColor="text1"/>
          <w:spacing w:val="4"/>
          <w:kern w:val="0"/>
          <w:sz w:val="30"/>
          <w:szCs w:val="30"/>
          <w:highlight w:val="none"/>
          <w14:textFill>
            <w14:solidFill>
              <w14:schemeClr w14:val="tx1"/>
            </w14:solidFill>
          </w14:textFill>
        </w:rPr>
        <w:t xml:space="preserve"> </w:t>
      </w:r>
    </w:p>
    <w:p>
      <w:pPr>
        <w:rPr>
          <w:rFonts w:ascii="宋体" w:hAnsi="宋体"/>
          <w:b/>
          <w:color w:val="000000" w:themeColor="text1"/>
          <w:sz w:val="24"/>
          <w:szCs w:val="24"/>
          <w:highlight w:val="none"/>
          <w14:textFill>
            <w14:solidFill>
              <w14:schemeClr w14:val="tx1"/>
            </w14:solidFill>
          </w14:textFill>
        </w:rPr>
      </w:pPr>
      <w:r>
        <w:rPr>
          <w:rFonts w:ascii="宋体" w:hAnsi="宋体"/>
          <w:color w:val="000000" w:themeColor="text1"/>
          <w:highlight w:val="none"/>
          <w14:textFill>
            <w14:solidFill>
              <w14:schemeClr w14:val="tx1"/>
            </w14:solidFill>
          </w14:textFill>
        </w:rPr>
        <w:br w:type="page"/>
      </w:r>
      <w:r>
        <w:rPr>
          <w:rFonts w:hint="eastAsia" w:ascii="宋体" w:hAnsi="宋体"/>
          <w:b/>
          <w:color w:val="000000" w:themeColor="text1"/>
          <w:sz w:val="24"/>
          <w:szCs w:val="24"/>
          <w:highlight w:val="none"/>
          <w14:textFill>
            <w14:solidFill>
              <w14:schemeClr w14:val="tx1"/>
            </w14:solidFill>
          </w14:textFill>
        </w:rPr>
        <w:t>格式二：工程量清单计价表</w:t>
      </w:r>
    </w:p>
    <w:p>
      <w:pPr>
        <w:topLinePunct/>
        <w:adjustRightInd w:val="0"/>
        <w:snapToGrid w:val="0"/>
        <w:spacing w:line="360" w:lineRule="auto"/>
        <w:ind w:firstLine="498" w:firstLineChars="200"/>
        <w:rPr>
          <w:rFonts w:ascii="宋体" w:hAnsi="宋体"/>
          <w:b/>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before="156" w:after="156" w:line="360" w:lineRule="auto"/>
        <w:ind w:firstLine="617"/>
        <w:jc w:val="center"/>
        <w:rPr>
          <w:rFonts w:ascii="宋体" w:hAnsi="宋体"/>
          <w:b/>
          <w:snapToGrid w:val="0"/>
          <w:color w:val="000000" w:themeColor="text1"/>
          <w:spacing w:val="4"/>
          <w:kern w:val="0"/>
          <w:sz w:val="36"/>
          <w:szCs w:val="36"/>
          <w:highlight w:val="none"/>
          <w14:textFill>
            <w14:solidFill>
              <w14:schemeClr w14:val="tx1"/>
            </w14:solidFill>
          </w14:textFill>
        </w:rPr>
      </w:pPr>
      <w:r>
        <w:rPr>
          <w:rFonts w:hint="eastAsia" w:ascii="宋体" w:hAnsi="宋体"/>
          <w:b/>
          <w:snapToGrid w:val="0"/>
          <w:color w:val="000000" w:themeColor="text1"/>
          <w:spacing w:val="4"/>
          <w:kern w:val="0"/>
          <w:sz w:val="36"/>
          <w:szCs w:val="36"/>
          <w:highlight w:val="none"/>
          <w14:textFill>
            <w14:solidFill>
              <w14:schemeClr w14:val="tx1"/>
            </w14:solidFill>
          </w14:textFill>
        </w:rPr>
        <w:t>工程量清单计价表</w:t>
      </w:r>
    </w:p>
    <w:p>
      <w:pPr>
        <w:topLinePunct/>
        <w:adjustRightInd w:val="0"/>
        <w:snapToGrid w:val="0"/>
        <w:spacing w:line="360" w:lineRule="auto"/>
        <w:ind w:firstLine="498" w:firstLineChars="200"/>
        <w:rPr>
          <w:rFonts w:ascii="宋体" w:hAnsi="宋体"/>
          <w:b/>
          <w:snapToGrid w:val="0"/>
          <w:color w:val="000000" w:themeColor="text1"/>
          <w:spacing w:val="4"/>
          <w:kern w:val="0"/>
          <w:sz w:val="24"/>
          <w:szCs w:val="24"/>
          <w:highlight w:val="none"/>
          <w14:textFill>
            <w14:solidFill>
              <w14:schemeClr w14:val="tx1"/>
            </w14:solidFill>
          </w14:textFill>
        </w:rPr>
      </w:pPr>
    </w:p>
    <w:p>
      <w:pPr>
        <w:topLinePunct/>
        <w:adjustRightInd w:val="0"/>
        <w:snapToGrid w:val="0"/>
        <w:spacing w:line="360" w:lineRule="auto"/>
        <w:ind w:firstLine="498" w:firstLineChars="200"/>
        <w:rPr>
          <w:rFonts w:ascii="宋体" w:hAnsi="宋体"/>
          <w:b/>
          <w:snapToGrid w:val="0"/>
          <w:color w:val="000000" w:themeColor="text1"/>
          <w:spacing w:val="4"/>
          <w:kern w:val="0"/>
          <w:sz w:val="24"/>
          <w:szCs w:val="24"/>
          <w:highlight w:val="none"/>
          <w14:textFill>
            <w14:solidFill>
              <w14:schemeClr w14:val="tx1"/>
            </w14:solidFill>
          </w14:textFill>
        </w:rPr>
      </w:pPr>
      <w:r>
        <w:rPr>
          <w:rFonts w:hint="eastAsia" w:ascii="宋体" w:hAnsi="宋体"/>
          <w:b/>
          <w:snapToGrid w:val="0"/>
          <w:color w:val="000000" w:themeColor="text1"/>
          <w:spacing w:val="4"/>
          <w:kern w:val="0"/>
          <w:sz w:val="24"/>
          <w:szCs w:val="24"/>
          <w:highlight w:val="none"/>
          <w14:textFill>
            <w14:solidFill>
              <w14:schemeClr w14:val="tx1"/>
            </w14:solidFill>
          </w14:textFill>
        </w:rPr>
        <w:t>本部分内容详见招标文件第七章工程量清单。</w:t>
      </w:r>
    </w:p>
    <w:p>
      <w:pPr>
        <w:topLinePunct/>
        <w:adjustRightInd w:val="0"/>
        <w:snapToGrid w:val="0"/>
        <w:spacing w:line="360" w:lineRule="auto"/>
        <w:ind w:firstLine="496" w:firstLineChars="200"/>
        <w:rPr>
          <w:rFonts w:ascii="宋体" w:hAnsi="宋体"/>
          <w:snapToGrid w:val="0"/>
          <w:color w:val="000000" w:themeColor="text1"/>
          <w:spacing w:val="4"/>
          <w:kern w:val="0"/>
          <w:sz w:val="24"/>
          <w:szCs w:val="24"/>
          <w:highlight w:val="none"/>
          <w14:textFill>
            <w14:solidFill>
              <w14:schemeClr w14:val="tx1"/>
            </w14:solidFill>
          </w14:textFill>
        </w:rPr>
      </w:pPr>
    </w:p>
    <w:p>
      <w:pPr>
        <w:rPr>
          <w:rFonts w:ascii="宋体" w:hAnsi="宋体"/>
          <w:b/>
          <w:color w:val="000000" w:themeColor="text1"/>
          <w:sz w:val="24"/>
          <w:szCs w:val="24"/>
          <w:highlight w:val="none"/>
          <w14:textFill>
            <w14:solidFill>
              <w14:schemeClr w14:val="tx1"/>
            </w14:solidFill>
          </w14:textFill>
        </w:rPr>
      </w:pPr>
      <w:r>
        <w:rPr>
          <w:rFonts w:ascii="宋体" w:hAnsi="宋体"/>
          <w:color w:val="000000" w:themeColor="text1"/>
          <w:highlight w:val="none"/>
          <w14:textFill>
            <w14:solidFill>
              <w14:schemeClr w14:val="tx1"/>
            </w14:solidFill>
          </w14:textFill>
        </w:rPr>
        <w:br w:type="page"/>
      </w:r>
      <w:r>
        <w:rPr>
          <w:rFonts w:hint="eastAsia" w:ascii="宋体" w:hAnsi="宋体"/>
          <w:b/>
          <w:color w:val="000000" w:themeColor="text1"/>
          <w:sz w:val="24"/>
          <w:szCs w:val="24"/>
          <w:highlight w:val="none"/>
          <w14:textFill>
            <w14:solidFill>
              <w14:schemeClr w14:val="tx1"/>
            </w14:solidFill>
          </w14:textFill>
        </w:rPr>
        <w:t>格式三：参与编制经济标投标文件人员名单</w:t>
      </w:r>
    </w:p>
    <w:p>
      <w:pPr>
        <w:tabs>
          <w:tab w:val="left" w:pos="720"/>
        </w:tabs>
        <w:snapToGrid w:val="0"/>
        <w:spacing w:line="360" w:lineRule="auto"/>
        <w:jc w:val="center"/>
        <w:rPr>
          <w:rFonts w:ascii="宋体" w:hAnsi="宋体"/>
          <w:color w:val="000000" w:themeColor="text1"/>
          <w:sz w:val="24"/>
          <w:highlight w:val="none"/>
          <w14:textFill>
            <w14:solidFill>
              <w14:schemeClr w14:val="tx1"/>
            </w14:solidFill>
          </w14:textFill>
        </w:rPr>
      </w:pPr>
    </w:p>
    <w:p>
      <w:pPr>
        <w:topLinePunct/>
        <w:adjustRightInd w:val="0"/>
        <w:snapToGrid w:val="0"/>
        <w:spacing w:before="156" w:after="156" w:line="360" w:lineRule="auto"/>
        <w:ind w:firstLine="617"/>
        <w:jc w:val="center"/>
        <w:rPr>
          <w:rFonts w:ascii="宋体" w:hAnsi="宋体"/>
          <w:snapToGrid w:val="0"/>
          <w:color w:val="000000" w:themeColor="text1"/>
          <w:spacing w:val="4"/>
          <w:kern w:val="0"/>
          <w:sz w:val="36"/>
          <w:szCs w:val="36"/>
          <w:highlight w:val="none"/>
          <w14:textFill>
            <w14:solidFill>
              <w14:schemeClr w14:val="tx1"/>
            </w14:solidFill>
          </w14:textFill>
        </w:rPr>
      </w:pPr>
      <w:r>
        <w:rPr>
          <w:rFonts w:hint="eastAsia" w:ascii="宋体" w:hAnsi="宋体"/>
          <w:snapToGrid w:val="0"/>
          <w:color w:val="000000" w:themeColor="text1"/>
          <w:spacing w:val="4"/>
          <w:kern w:val="0"/>
          <w:sz w:val="36"/>
          <w:szCs w:val="36"/>
          <w:highlight w:val="none"/>
          <w14:textFill>
            <w14:solidFill>
              <w14:schemeClr w14:val="tx1"/>
            </w14:solidFill>
          </w14:textFill>
        </w:rPr>
        <w:t>参与编制经济标投标文件人员名单</w:t>
      </w:r>
    </w:p>
    <w:tbl>
      <w:tblPr>
        <w:tblStyle w:val="18"/>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1382"/>
        <w:gridCol w:w="2341"/>
        <w:gridCol w:w="2245"/>
        <w:gridCol w:w="2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464" w:type="dxa"/>
            <w:gridSpan w:val="5"/>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投标单位名称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姓名</w:t>
            </w: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职务</w:t>
            </w: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所承担工作</w:t>
            </w: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身份证号码</w:t>
            </w: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本人签名栏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9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1382"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41"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245"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c>
          <w:tcPr>
            <w:tcW w:w="2304" w:type="dxa"/>
            <w:vAlign w:val="center"/>
          </w:tcPr>
          <w:p>
            <w:pPr>
              <w:keepNext w:val="0"/>
              <w:keepLines w:val="0"/>
              <w:suppressLineNumbers w:val="0"/>
              <w:tabs>
                <w:tab w:val="left" w:pos="720"/>
              </w:tabs>
              <w:snapToGrid w:val="0"/>
              <w:spacing w:before="0" w:beforeAutospacing="0" w:after="0" w:afterAutospacing="0" w:line="360" w:lineRule="auto"/>
              <w:ind w:left="0" w:right="0"/>
              <w:jc w:val="center"/>
              <w:rPr>
                <w:rFonts w:hint="default" w:ascii="宋体" w:hAnsi="宋体"/>
                <w:color w:val="000000" w:themeColor="text1"/>
                <w:sz w:val="24"/>
                <w:highlight w:val="none"/>
                <w14:textFill>
                  <w14:solidFill>
                    <w14:schemeClr w14:val="tx1"/>
                  </w14:solidFill>
                </w14:textFill>
              </w:rPr>
            </w:pPr>
          </w:p>
        </w:tc>
      </w:tr>
    </w:tbl>
    <w:p>
      <w:pPr>
        <w:tabs>
          <w:tab w:val="left" w:pos="720"/>
        </w:tabs>
        <w:snapToGrid w:val="0"/>
        <w:spacing w:line="360" w:lineRule="auto"/>
        <w:rPr>
          <w:rFonts w:ascii="宋体" w:hAnsi="宋体"/>
          <w:color w:val="000000" w:themeColor="text1"/>
          <w:sz w:val="24"/>
          <w:highlight w:val="none"/>
          <w14:textFill>
            <w14:solidFill>
              <w14:schemeClr w14:val="tx1"/>
            </w14:solidFill>
          </w14:textFill>
        </w:rPr>
      </w:pPr>
    </w:p>
    <w:p>
      <w:pPr>
        <w:autoSpaceDE w:val="0"/>
        <w:autoSpaceDN w:val="0"/>
        <w:adjustRightInd w:val="0"/>
        <w:spacing w:line="360" w:lineRule="auto"/>
        <w:ind w:firstLine="368"/>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highlight w:val="none"/>
          <w14:textFill>
            <w14:solidFill>
              <w14:schemeClr w14:val="tx1"/>
            </w14:solidFill>
          </w14:textFill>
        </w:rPr>
        <w:t>注：参与编制经济标书所有人员名单应包括如编制各种专业工程量清单投标报价、负责清样校对、负责打印及扫描等所有人员在内的人员名单。</w:t>
      </w:r>
      <w:r>
        <w:rPr>
          <w:rFonts w:ascii="宋体" w:hAnsi="宋体"/>
          <w:bCs/>
          <w:color w:val="000000" w:themeColor="text1"/>
          <w:sz w:val="24"/>
          <w:highlight w:val="none"/>
          <w14:textFill>
            <w14:solidFill>
              <w14:schemeClr w14:val="tx1"/>
            </w14:solidFill>
          </w14:textFill>
        </w:rPr>
        <w:t xml:space="preserve"> </w:t>
      </w:r>
    </w:p>
    <w:p>
      <w:pPr>
        <w:autoSpaceDE w:val="0"/>
        <w:autoSpaceDN w:val="0"/>
        <w:adjustRightInd w:val="0"/>
        <w:rPr>
          <w:rFonts w:ascii="宋体" w:hAnsi="宋体"/>
          <w:b/>
          <w:color w:val="000000" w:themeColor="text1"/>
          <w:sz w:val="24"/>
          <w:szCs w:val="24"/>
          <w:highlight w:val="none"/>
          <w14:textFill>
            <w14:solidFill>
              <w14:schemeClr w14:val="tx1"/>
            </w14:solidFill>
          </w14:textFill>
        </w:rPr>
      </w:pPr>
      <w:r>
        <w:rPr>
          <w:rFonts w:ascii="宋体" w:hAnsi="宋体"/>
          <w:color w:val="000000" w:themeColor="text1"/>
          <w:sz w:val="24"/>
          <w:highlight w:val="none"/>
          <w14:textFill>
            <w14:solidFill>
              <w14:schemeClr w14:val="tx1"/>
            </w14:solidFill>
          </w14:textFill>
        </w:rPr>
        <w:br w:type="page"/>
      </w:r>
      <w:r>
        <w:rPr>
          <w:rFonts w:hint="eastAsia" w:ascii="宋体" w:hAnsi="宋体"/>
          <w:b/>
          <w:color w:val="000000" w:themeColor="text1"/>
          <w:sz w:val="24"/>
          <w:szCs w:val="24"/>
          <w:highlight w:val="none"/>
          <w14:textFill>
            <w14:solidFill>
              <w14:schemeClr w14:val="tx1"/>
            </w14:solidFill>
          </w14:textFill>
        </w:rPr>
        <w:t>格式四：对投标文件编制的承诺</w:t>
      </w:r>
    </w:p>
    <w:p>
      <w:pPr>
        <w:autoSpaceDE w:val="0"/>
        <w:autoSpaceDN w:val="0"/>
        <w:adjustRightInd w:val="0"/>
        <w:rPr>
          <w:rFonts w:ascii="宋体" w:hAnsi="宋体"/>
          <w:color w:val="000000" w:themeColor="text1"/>
          <w:szCs w:val="21"/>
          <w:highlight w:val="none"/>
          <w14:textFill>
            <w14:solidFill>
              <w14:schemeClr w14:val="tx1"/>
            </w14:solidFill>
          </w14:textFill>
        </w:rPr>
      </w:pPr>
    </w:p>
    <w:p>
      <w:pPr>
        <w:spacing w:line="360" w:lineRule="auto"/>
        <w:jc w:val="center"/>
        <w:rPr>
          <w:rFonts w:ascii="宋体" w:hAnsi="宋体"/>
          <w:color w:val="000000" w:themeColor="text1"/>
          <w:kern w:val="0"/>
          <w:sz w:val="32"/>
          <w:szCs w:val="32"/>
          <w:highlight w:val="none"/>
          <w14:textFill>
            <w14:solidFill>
              <w14:schemeClr w14:val="tx1"/>
            </w14:solidFill>
          </w14:textFill>
        </w:rPr>
      </w:pPr>
      <w:r>
        <w:rPr>
          <w:rFonts w:hint="eastAsia" w:ascii="宋体" w:hAnsi="宋体"/>
          <w:b/>
          <w:color w:val="000000" w:themeColor="text1"/>
          <w:kern w:val="0"/>
          <w:sz w:val="32"/>
          <w:szCs w:val="32"/>
          <w:highlight w:val="none"/>
          <w14:textFill>
            <w14:solidFill>
              <w14:schemeClr w14:val="tx1"/>
            </w14:solidFill>
          </w14:textFill>
        </w:rPr>
        <w:t>对投标文件编制的承诺</w:t>
      </w:r>
    </w:p>
    <w:p>
      <w:pPr>
        <w:spacing w:line="360" w:lineRule="auto"/>
        <w:ind w:left="-2" w:leftChars="-1" w:firstLine="540" w:firstLineChars="225"/>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本公司授权</w:t>
      </w:r>
      <w:r>
        <w:rPr>
          <w:rFonts w:hint="eastAsia" w:ascii="宋体" w:hAnsi="宋体"/>
          <w:color w:val="000000" w:themeColor="text1"/>
          <w:kern w:val="0"/>
          <w:sz w:val="24"/>
          <w:szCs w:val="20"/>
          <w:highlight w:val="none"/>
          <w:u w:val="single"/>
          <w14:textFill>
            <w14:solidFill>
              <w14:schemeClr w14:val="tx1"/>
            </w14:solidFill>
          </w14:textFill>
        </w:rPr>
        <w:t xml:space="preserve">         （身份证号：               ）</w:t>
      </w:r>
      <w:r>
        <w:rPr>
          <w:rFonts w:hint="eastAsia" w:ascii="宋体" w:hAnsi="宋体"/>
          <w:color w:val="000000" w:themeColor="text1"/>
          <w:kern w:val="0"/>
          <w:sz w:val="24"/>
          <w:szCs w:val="20"/>
          <w:highlight w:val="none"/>
          <w14:textFill>
            <w14:solidFill>
              <w14:schemeClr w14:val="tx1"/>
            </w14:solidFill>
          </w14:textFill>
        </w:rPr>
        <w:t>负责对投标文件的编制及内容进行解释、说明，并承诺以下事项：</w:t>
      </w:r>
    </w:p>
    <w:p>
      <w:pPr>
        <w:spacing w:line="360" w:lineRule="auto"/>
        <w:ind w:left="-2" w:leftChars="-1" w:firstLine="540" w:firstLineChars="225"/>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1.被授权人清楚投标文件编制的具体情况，包括技术方案文件、工程量清单、以及投标文件的加密打包的理解；</w:t>
      </w:r>
    </w:p>
    <w:p>
      <w:pPr>
        <w:spacing w:line="360" w:lineRule="auto"/>
        <w:ind w:left="-2" w:leftChars="-1" w:firstLine="540" w:firstLineChars="225"/>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2.在本项目开标至评标结束前，努力确保被授权人在项目评标所在地附近；</w:t>
      </w:r>
    </w:p>
    <w:p>
      <w:pPr>
        <w:spacing w:line="360" w:lineRule="auto"/>
        <w:ind w:left="-2" w:leftChars="-1" w:firstLine="540" w:firstLineChars="225"/>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3.从评标委员会要求澄清起二小时内，被授权人应如实地书面澄清。</w:t>
      </w:r>
    </w:p>
    <w:p>
      <w:pPr>
        <w:spacing w:line="360" w:lineRule="auto"/>
        <w:ind w:left="-2" w:leftChars="-1" w:firstLine="540" w:firstLineChars="225"/>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 xml:space="preserve">如由于未遵守上述承诺内容之一导致无法进行澄清的，我公司认可和接受评标委员会作出的评审结论。                                 </w:t>
      </w:r>
    </w:p>
    <w:p>
      <w:pPr>
        <w:spacing w:line="360" w:lineRule="auto"/>
        <w:ind w:firstLine="360" w:firstLineChars="150"/>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 xml:space="preserve"> </w:t>
      </w:r>
    </w:p>
    <w:p>
      <w:pPr>
        <w:spacing w:line="360" w:lineRule="auto"/>
        <w:ind w:firstLine="480" w:firstLineChars="200"/>
        <w:rPr>
          <w:rFonts w:ascii="宋体" w:hAnsi="宋体"/>
          <w:color w:val="000000" w:themeColor="text1"/>
          <w:kern w:val="0"/>
          <w:sz w:val="24"/>
          <w:szCs w:val="20"/>
          <w:highlight w:val="none"/>
          <w14:textFill>
            <w14:solidFill>
              <w14:schemeClr w14:val="tx1"/>
            </w14:solidFill>
          </w14:textFill>
        </w:rPr>
      </w:pPr>
      <w:r>
        <w:rPr>
          <w:rFonts w:hint="eastAsia" w:ascii="宋体" w:hAnsi="宋体"/>
          <w:color w:val="000000" w:themeColor="text1"/>
          <w:kern w:val="0"/>
          <w:sz w:val="24"/>
          <w:szCs w:val="20"/>
          <w:highlight w:val="none"/>
          <w14:textFill>
            <w14:solidFill>
              <w14:schemeClr w14:val="tx1"/>
            </w14:solidFill>
          </w14:textFill>
        </w:rPr>
        <w:t>附件：《投标文件编制情况》</w:t>
      </w:r>
    </w:p>
    <w:p>
      <w:pPr>
        <w:spacing w:line="360" w:lineRule="auto"/>
        <w:ind w:right="90" w:firstLine="3240" w:firstLineChars="135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投标人名称（盖法人公章）：</w:t>
      </w:r>
      <w:r>
        <w:rPr>
          <w:rFonts w:hint="eastAsia" w:ascii="宋体" w:hAnsi="宋体"/>
          <w:color w:val="000000" w:themeColor="text1"/>
          <w:sz w:val="24"/>
          <w:szCs w:val="24"/>
          <w:highlight w:val="none"/>
          <w:u w:val="single"/>
          <w14:textFill>
            <w14:solidFill>
              <w14:schemeClr w14:val="tx1"/>
            </w14:solidFill>
          </w14:textFill>
        </w:rPr>
        <w:t xml:space="preserve">                  </w:t>
      </w:r>
    </w:p>
    <w:p>
      <w:pPr>
        <w:spacing w:line="360" w:lineRule="auto"/>
        <w:ind w:firstLine="2160" w:firstLineChars="900"/>
        <w:rPr>
          <w:rFonts w:ascii="宋体" w:hAnsi="宋体"/>
          <w:color w:val="000000" w:themeColor="text1"/>
          <w:sz w:val="24"/>
          <w:szCs w:val="24"/>
          <w:highlight w:val="none"/>
          <w:u w:val="singl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法定代表人或被授权人（签字或盖章）：</w:t>
      </w:r>
      <w:r>
        <w:rPr>
          <w:rFonts w:hint="eastAsia" w:ascii="宋体" w:hAnsi="宋体"/>
          <w:color w:val="000000" w:themeColor="text1"/>
          <w:sz w:val="24"/>
          <w:szCs w:val="24"/>
          <w:highlight w:val="none"/>
          <w:u w:val="single"/>
          <w14:textFill>
            <w14:solidFill>
              <w14:schemeClr w14:val="tx1"/>
            </w14:solidFill>
          </w14:textFill>
        </w:rPr>
        <w:t xml:space="preserve">                  </w:t>
      </w:r>
    </w:p>
    <w:p>
      <w:pPr>
        <w:spacing w:line="360" w:lineRule="auto"/>
        <w:ind w:firstLine="4440" w:firstLineChars="1850"/>
        <w:jc w:val="center"/>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 xml:space="preserve"> 日期：      年   月   日 </w:t>
      </w:r>
      <w:r>
        <w:rPr>
          <w:rFonts w:hint="eastAsia" w:ascii="宋体" w:hAnsi="宋体"/>
          <w:color w:val="000000" w:themeColor="text1"/>
          <w:sz w:val="18"/>
          <w:szCs w:val="18"/>
          <w:highlight w:val="none"/>
          <w14:textFill>
            <w14:solidFill>
              <w14:schemeClr w14:val="tx1"/>
            </w14:solidFill>
          </w14:textFill>
        </w:rPr>
        <w:t xml:space="preserve"> </w:t>
      </w:r>
      <w:r>
        <w:rPr>
          <w:rFonts w:hint="eastAsia" w:ascii="宋体" w:hAnsi="宋体"/>
          <w:color w:val="000000" w:themeColor="text1"/>
          <w:sz w:val="24"/>
          <w:szCs w:val="24"/>
          <w:highlight w:val="none"/>
          <w14:textFill>
            <w14:solidFill>
              <w14:schemeClr w14:val="tx1"/>
            </w14:solidFill>
          </w14:textFill>
        </w:rPr>
        <w:t xml:space="preserve">    </w:t>
      </w:r>
    </w:p>
    <w:p>
      <w:pPr>
        <w:spacing w:line="360" w:lineRule="auto"/>
        <w:rPr>
          <w:rFonts w:ascii="宋体" w:hAnsi="宋体"/>
          <w:b/>
          <w:color w:val="000000" w:themeColor="text1"/>
          <w:kern w:val="0"/>
          <w:sz w:val="32"/>
          <w:szCs w:val="32"/>
          <w:highlight w:val="none"/>
          <w14:textFill>
            <w14:solidFill>
              <w14:schemeClr w14:val="tx1"/>
            </w14:solidFill>
          </w14:textFill>
        </w:rPr>
      </w:pPr>
    </w:p>
    <w:p>
      <w:pPr>
        <w:spacing w:line="360" w:lineRule="auto"/>
        <w:ind w:firstLine="643" w:firstLineChars="200"/>
        <w:jc w:val="center"/>
        <w:rPr>
          <w:rFonts w:ascii="宋体" w:hAnsi="宋体"/>
          <w:color w:val="000000" w:themeColor="text1"/>
          <w:kern w:val="0"/>
          <w:sz w:val="18"/>
          <w:szCs w:val="18"/>
          <w:highlight w:val="none"/>
          <w14:textFill>
            <w14:solidFill>
              <w14:schemeClr w14:val="tx1"/>
            </w14:solidFill>
          </w14:textFill>
        </w:rPr>
      </w:pPr>
      <w:r>
        <w:rPr>
          <w:rFonts w:hint="eastAsia" w:ascii="宋体" w:hAnsi="宋体"/>
          <w:b/>
          <w:color w:val="000000" w:themeColor="text1"/>
          <w:kern w:val="0"/>
          <w:sz w:val="32"/>
          <w:szCs w:val="32"/>
          <w:highlight w:val="none"/>
          <w14:textFill>
            <w14:solidFill>
              <w14:schemeClr w14:val="tx1"/>
            </w14:solidFill>
          </w14:textFill>
        </w:rPr>
        <w:t>投标文件编制情况</w:t>
      </w:r>
    </w:p>
    <w:tbl>
      <w:tblPr>
        <w:tblStyle w:val="18"/>
        <w:tblW w:w="8522" w:type="dxa"/>
        <w:tblInd w:w="0" w:type="dxa"/>
        <w:tblLayout w:type="fixed"/>
        <w:tblCellMar>
          <w:top w:w="0" w:type="dxa"/>
          <w:left w:w="108" w:type="dxa"/>
          <w:bottom w:w="0" w:type="dxa"/>
          <w:right w:w="108" w:type="dxa"/>
        </w:tblCellMar>
      </w:tblPr>
      <w:tblGrid>
        <w:gridCol w:w="8522"/>
      </w:tblGrid>
      <w:tr>
        <w:tblPrEx>
          <w:tblCellMar>
            <w:top w:w="0" w:type="dxa"/>
            <w:left w:w="108" w:type="dxa"/>
            <w:bottom w:w="0" w:type="dxa"/>
            <w:right w:w="108" w:type="dxa"/>
          </w:tblCellMar>
        </w:tblPrEx>
        <w:trPr>
          <w:trHeight w:val="2819" w:hRule="atLeast"/>
        </w:trPr>
        <w:tc>
          <w:tcPr>
            <w:tcW w:w="8522" w:type="dxa"/>
          </w:tcPr>
          <w:p>
            <w:pPr>
              <w:keepNext w:val="0"/>
              <w:keepLines w:val="0"/>
              <w:suppressLineNumbers w:val="0"/>
              <w:spacing w:before="0" w:beforeAutospacing="0" w:after="0" w:afterAutospacing="0" w:line="360" w:lineRule="auto"/>
              <w:ind w:left="0" w:right="0" w:firstLine="480" w:firstLineChars="200"/>
              <w:rPr>
                <w:rFonts w:hint="default" w:ascii="宋体" w:hAnsi="宋体"/>
                <w:color w:val="000000" w:themeColor="text1"/>
                <w:sz w:val="24"/>
                <w:szCs w:val="20"/>
                <w:highlight w:val="none"/>
                <w14:textFill>
                  <w14:solidFill>
                    <w14:schemeClr w14:val="tx1"/>
                  </w14:solidFill>
                </w14:textFill>
              </w:rPr>
            </w:pPr>
            <w:r>
              <w:rPr>
                <w:rFonts w:hint="eastAsia" w:ascii="宋体" w:hAnsi="宋体"/>
                <w:color w:val="000000" w:themeColor="text1"/>
                <w:sz w:val="24"/>
                <w:szCs w:val="20"/>
                <w:highlight w:val="none"/>
                <w14:textFill>
                  <w14:solidFill>
                    <w14:schemeClr w14:val="tx1"/>
                  </w14:solidFill>
                </w14:textFill>
              </w:rPr>
              <w:t>1.投标文件报价编制方式: □自行编制的，编制的负责人：</w:t>
            </w:r>
            <w:r>
              <w:rPr>
                <w:rFonts w:hint="eastAsia" w:ascii="宋体" w:hAnsi="宋体"/>
                <w:color w:val="000000" w:themeColor="text1"/>
                <w:sz w:val="24"/>
                <w:szCs w:val="20"/>
                <w:highlight w:val="none"/>
                <w:u w:val="single"/>
                <w14:textFill>
                  <w14:solidFill>
                    <w14:schemeClr w14:val="tx1"/>
                  </w14:solidFill>
                </w14:textFill>
              </w:rPr>
              <w:t xml:space="preserve"> （盖造价工程师执业专用章或全国建设工程造价员章，执业单位应与投标人一致） </w:t>
            </w:r>
            <w:r>
              <w:rPr>
                <w:rFonts w:hint="eastAsia" w:ascii="宋体" w:hAnsi="宋体"/>
                <w:color w:val="000000" w:themeColor="text1"/>
                <w:sz w:val="24"/>
                <w:szCs w:val="20"/>
                <w:highlight w:val="none"/>
                <w14:textFill>
                  <w14:solidFill>
                    <w14:schemeClr w14:val="tx1"/>
                  </w14:solidFill>
                </w14:textFill>
              </w:rPr>
              <w:t>。□委托编制的，受委托单位</w:t>
            </w:r>
            <w:r>
              <w:rPr>
                <w:rFonts w:hint="eastAsia" w:ascii="宋体" w:hAnsi="宋体"/>
                <w:color w:val="000000" w:themeColor="text1"/>
                <w:sz w:val="24"/>
                <w:szCs w:val="20"/>
                <w:highlight w:val="none"/>
                <w:u w:val="single"/>
                <w14:textFill>
                  <w14:solidFill>
                    <w14:schemeClr w14:val="tx1"/>
                  </w14:solidFill>
                </w14:textFill>
              </w:rPr>
              <w:t xml:space="preserve">                    </w:t>
            </w:r>
            <w:r>
              <w:rPr>
                <w:rFonts w:hint="eastAsia" w:ascii="宋体" w:hAnsi="宋体"/>
                <w:color w:val="000000" w:themeColor="text1"/>
                <w:sz w:val="24"/>
                <w:szCs w:val="20"/>
                <w:highlight w:val="none"/>
                <w14:textFill>
                  <w14:solidFill>
                    <w14:schemeClr w14:val="tx1"/>
                  </w14:solidFill>
                </w14:textFill>
              </w:rPr>
              <w:t>，编制的负责人：</w:t>
            </w:r>
            <w:r>
              <w:rPr>
                <w:rFonts w:hint="eastAsia" w:ascii="宋体" w:hAnsi="宋体"/>
                <w:color w:val="000000" w:themeColor="text1"/>
                <w:sz w:val="24"/>
                <w:szCs w:val="20"/>
                <w:highlight w:val="none"/>
                <w:u w:val="single"/>
                <w14:textFill>
                  <w14:solidFill>
                    <w14:schemeClr w14:val="tx1"/>
                  </w14:solidFill>
                </w14:textFill>
              </w:rPr>
              <w:t xml:space="preserve"> （盖造价工程师执业专用章或全国建设工程造价员章，执业单位应与受委托单位一致） </w:t>
            </w:r>
            <w:r>
              <w:rPr>
                <w:rFonts w:hint="eastAsia" w:ascii="宋体" w:hAnsi="宋体"/>
                <w:color w:val="000000" w:themeColor="text1"/>
                <w:sz w:val="24"/>
                <w:szCs w:val="20"/>
                <w:highlight w:val="none"/>
                <w14:textFill>
                  <w14:solidFill>
                    <w14:schemeClr w14:val="tx1"/>
                  </w14:solidFill>
                </w14:textFill>
              </w:rPr>
              <w:t>。</w:t>
            </w:r>
          </w:p>
          <w:p>
            <w:pPr>
              <w:keepNext w:val="0"/>
              <w:keepLines w:val="0"/>
              <w:suppressLineNumbers w:val="0"/>
              <w:spacing w:before="0" w:beforeAutospacing="0" w:after="0" w:afterAutospacing="0" w:line="360" w:lineRule="auto"/>
              <w:ind w:left="0" w:right="0" w:firstLine="480" w:firstLineChars="200"/>
              <w:rPr>
                <w:rFonts w:hint="default" w:ascii="宋体" w:hAnsi="宋体"/>
                <w:color w:val="000000" w:themeColor="text1"/>
                <w:sz w:val="24"/>
                <w:szCs w:val="20"/>
                <w:highlight w:val="none"/>
                <w14:textFill>
                  <w14:solidFill>
                    <w14:schemeClr w14:val="tx1"/>
                  </w14:solidFill>
                </w14:textFill>
              </w:rPr>
            </w:pPr>
            <w:r>
              <w:rPr>
                <w:rFonts w:hint="eastAsia" w:ascii="宋体" w:hAnsi="宋体"/>
                <w:color w:val="000000" w:themeColor="text1"/>
                <w:sz w:val="24"/>
                <w:szCs w:val="20"/>
                <w:highlight w:val="none"/>
                <w14:textFill>
                  <w14:solidFill>
                    <w14:schemeClr w14:val="tx1"/>
                  </w14:solidFill>
                </w14:textFill>
              </w:rPr>
              <w:t>2.投标文件加密打包的电脑情况投标文件加密打包的电脑     自有    □      外包    □     其他    □</w:t>
            </w:r>
          </w:p>
          <w:p>
            <w:pPr>
              <w:keepNext w:val="0"/>
              <w:keepLines w:val="0"/>
              <w:suppressLineNumbers w:val="0"/>
              <w:spacing w:before="0" w:beforeAutospacing="0" w:after="0" w:afterAutospacing="0" w:line="360" w:lineRule="auto"/>
              <w:ind w:left="0" w:right="0"/>
              <w:rPr>
                <w:rFonts w:hint="default" w:ascii="宋体" w:hAnsi="宋体"/>
                <w:color w:val="000000" w:themeColor="text1"/>
                <w:sz w:val="24"/>
                <w:szCs w:val="20"/>
                <w:highlight w:val="none"/>
                <w14:textFill>
                  <w14:solidFill>
                    <w14:schemeClr w14:val="tx1"/>
                  </w14:solidFill>
                </w14:textFill>
              </w:rPr>
            </w:pPr>
            <w:r>
              <w:rPr>
                <w:rFonts w:hint="eastAsia" w:ascii="宋体" w:hAnsi="宋体"/>
                <w:color w:val="000000" w:themeColor="text1"/>
                <w:sz w:val="24"/>
                <w:szCs w:val="20"/>
                <w:highlight w:val="none"/>
                <w14:textFill>
                  <w14:solidFill>
                    <w14:schemeClr w14:val="tx1"/>
                  </w14:solidFill>
                </w14:textFill>
              </w:rPr>
              <w:t>电脑类型</w:t>
            </w:r>
          </w:p>
          <w:p>
            <w:pPr>
              <w:keepNext w:val="0"/>
              <w:keepLines w:val="0"/>
              <w:suppressLineNumbers w:val="0"/>
              <w:spacing w:before="0" w:beforeAutospacing="0" w:after="0" w:afterAutospacing="0" w:line="360" w:lineRule="auto"/>
              <w:ind w:left="0" w:right="0"/>
              <w:rPr>
                <w:rFonts w:hint="default" w:ascii="宋体" w:hAnsi="宋体"/>
                <w:color w:val="000000" w:themeColor="text1"/>
                <w:sz w:val="24"/>
                <w:szCs w:val="20"/>
                <w:highlight w:val="none"/>
                <w14:textFill>
                  <w14:solidFill>
                    <w14:schemeClr w14:val="tx1"/>
                  </w14:solidFill>
                </w14:textFill>
              </w:rPr>
            </w:pPr>
            <w:r>
              <w:rPr>
                <w:rFonts w:hint="eastAsia" w:ascii="宋体" w:hAnsi="宋体"/>
                <w:color w:val="000000" w:themeColor="text1"/>
                <w:sz w:val="24"/>
                <w:szCs w:val="20"/>
                <w:highlight w:val="none"/>
                <w14:textFill>
                  <w14:solidFill>
                    <w14:schemeClr w14:val="tx1"/>
                  </w14:solidFill>
                </w14:textFill>
              </w:rPr>
              <w:t>电脑所属单位</w:t>
            </w:r>
          </w:p>
          <w:p>
            <w:pPr>
              <w:keepNext w:val="0"/>
              <w:keepLines w:val="0"/>
              <w:suppressLineNumbers w:val="0"/>
              <w:spacing w:before="0" w:beforeAutospacing="0" w:after="0" w:afterAutospacing="0" w:line="360" w:lineRule="auto"/>
              <w:ind w:left="0" w:right="0"/>
              <w:rPr>
                <w:rFonts w:hint="default" w:ascii="宋体" w:hAnsi="宋体"/>
                <w:color w:val="000000" w:themeColor="text1"/>
                <w:sz w:val="24"/>
                <w:szCs w:val="20"/>
                <w:highlight w:val="none"/>
                <w14:textFill>
                  <w14:solidFill>
                    <w14:schemeClr w14:val="tx1"/>
                  </w14:solidFill>
                </w14:textFill>
              </w:rPr>
            </w:pPr>
            <w:r>
              <w:rPr>
                <w:rFonts w:hint="eastAsia" w:ascii="宋体" w:hAnsi="宋体"/>
                <w:color w:val="000000" w:themeColor="text1"/>
                <w:sz w:val="24"/>
                <w:szCs w:val="20"/>
                <w:highlight w:val="none"/>
                <w14:textFill>
                  <w14:solidFill>
                    <w14:schemeClr w14:val="tx1"/>
                  </w14:solidFill>
                </w14:textFill>
              </w:rPr>
              <w:t>电脑所在地址        （如××市××区(县) ××街（路）××号××大厦××房）</w:t>
            </w:r>
          </w:p>
        </w:tc>
      </w:tr>
    </w:tbl>
    <w:p>
      <w:pPr>
        <w:spacing w:line="320" w:lineRule="exact"/>
        <w:rPr>
          <w:rFonts w:ascii="仿宋_GB2312" w:hAnsi="楷体" w:eastAsia="仿宋_GB2312"/>
          <w:color w:val="000000" w:themeColor="text1"/>
          <w:szCs w:val="21"/>
          <w:highlight w:val="none"/>
          <w14:textFill>
            <w14:solidFill>
              <w14:schemeClr w14:val="tx1"/>
            </w14:solidFill>
          </w14:textFill>
        </w:rPr>
      </w:pPr>
    </w:p>
    <w:p>
      <w:pPr>
        <w:tabs>
          <w:tab w:val="left" w:pos="720"/>
        </w:tabs>
        <w:snapToGrid w:val="0"/>
        <w:spacing w:line="360" w:lineRule="auto"/>
        <w:jc w:val="center"/>
        <w:rPr>
          <w:rStyle w:val="28"/>
          <w:bCs/>
          <w:color w:val="000000" w:themeColor="text1"/>
          <w:sz w:val="36"/>
          <w:szCs w:val="36"/>
          <w:highlight w:val="none"/>
          <w14:textFill>
            <w14:solidFill>
              <w14:schemeClr w14:val="tx1"/>
            </w14:solidFill>
          </w14:textFill>
        </w:rPr>
      </w:pPr>
      <w:r>
        <w:rPr>
          <w:color w:val="000000" w:themeColor="text1"/>
          <w:sz w:val="24"/>
          <w:szCs w:val="24"/>
          <w:highlight w:val="none"/>
          <w14:textFill>
            <w14:solidFill>
              <w14:schemeClr w14:val="tx1"/>
            </w14:solidFill>
          </w14:textFill>
        </w:rPr>
        <w:br w:type="page"/>
      </w:r>
      <w:bookmarkStart w:id="168" w:name="_Toc21525513"/>
      <w:bookmarkStart w:id="169" w:name="_Toc2272568"/>
      <w:r>
        <w:rPr>
          <w:rStyle w:val="19"/>
          <w:rFonts w:hint="eastAsia"/>
          <w:b/>
          <w:bCs/>
          <w:color w:val="000000" w:themeColor="text1"/>
          <w:sz w:val="24"/>
          <w:szCs w:val="28"/>
          <w:highlight w:val="none"/>
          <w14:textFill>
            <w14:solidFill>
              <w14:schemeClr w14:val="tx1"/>
            </w14:solidFill>
          </w14:textFill>
        </w:rPr>
        <w:t>第五章  技术条件（工程建设标准）</w:t>
      </w:r>
      <w:bookmarkEnd w:id="168"/>
      <w:bookmarkEnd w:id="169"/>
    </w:p>
    <w:p>
      <w:pPr>
        <w:jc w:val="center"/>
        <w:rPr>
          <w:rFonts w:hint="eastAsia" w:ascii="宋体" w:hAnsi="宋体"/>
          <w:color w:val="000000" w:themeColor="text1"/>
          <w:sz w:val="24"/>
          <w:szCs w:val="24"/>
          <w:highlight w:val="none"/>
          <w14:textFill>
            <w14:solidFill>
              <w14:schemeClr w14:val="tx1"/>
            </w14:solidFill>
          </w14:textFill>
        </w:rPr>
      </w:pPr>
    </w:p>
    <w:p>
      <w:pPr>
        <w:pStyle w:val="29"/>
        <w:ind w:firstLine="0" w:firstLineChars="0"/>
        <w:jc w:val="center"/>
        <w:rPr>
          <w:rFonts w:hint="eastAsia"/>
          <w:b/>
          <w:bCs/>
          <w:color w:val="000000" w:themeColor="text1"/>
          <w:sz w:val="36"/>
          <w:szCs w:val="36"/>
          <w:highlight w:val="none"/>
          <w14:textFill>
            <w14:solidFill>
              <w14:schemeClr w14:val="tx1"/>
            </w14:solidFill>
          </w14:textFill>
        </w:rPr>
      </w:pPr>
    </w:p>
    <w:p>
      <w:pPr>
        <w:pStyle w:val="29"/>
        <w:ind w:firstLine="0" w:firstLineChars="0"/>
        <w:jc w:val="center"/>
        <w:rPr>
          <w:rFonts w:hint="eastAsia"/>
          <w:b/>
          <w:color w:val="000000" w:themeColor="text1"/>
          <w:szCs w:val="20"/>
          <w:highlight w:val="none"/>
          <w14:textFill>
            <w14:solidFill>
              <w14:schemeClr w14:val="tx1"/>
            </w14:solidFill>
          </w14:textFill>
        </w:rPr>
      </w:pPr>
      <w:r>
        <w:rPr>
          <w:rFonts w:hint="eastAsia"/>
          <w:b/>
          <w:bCs/>
          <w:color w:val="000000" w:themeColor="text1"/>
          <w:sz w:val="36"/>
          <w:szCs w:val="36"/>
          <w:highlight w:val="none"/>
          <w14:textFill>
            <w14:solidFill>
              <w14:schemeClr w14:val="tx1"/>
            </w14:solidFill>
          </w14:textFill>
        </w:rPr>
        <w:t>广州市增城区教育城西消防救援站</w:t>
      </w:r>
      <w:r>
        <w:rPr>
          <w:rFonts w:hint="eastAsia"/>
          <w:b/>
          <w:bCs/>
          <w:color w:val="000000" w:themeColor="text1"/>
          <w:sz w:val="36"/>
          <w:szCs w:val="36"/>
          <w:highlight w:val="none"/>
          <w:lang w:val="en-US" w:eastAsia="zh-CN"/>
          <w14:textFill>
            <w14:solidFill>
              <w14:schemeClr w14:val="tx1"/>
            </w14:solidFill>
          </w14:textFill>
        </w:rPr>
        <w:t>项目</w:t>
      </w:r>
      <w:r>
        <w:rPr>
          <w:rFonts w:hint="eastAsia"/>
          <w:b/>
          <w:bCs/>
          <w:color w:val="000000" w:themeColor="text1"/>
          <w:sz w:val="36"/>
          <w:szCs w:val="36"/>
          <w:highlight w:val="none"/>
          <w14:textFill>
            <w14:solidFill>
              <w14:schemeClr w14:val="tx1"/>
            </w14:solidFill>
          </w14:textFill>
        </w:rPr>
        <w:t xml:space="preserve">施工总承包 </w:t>
      </w:r>
      <w:r>
        <w:rPr>
          <w:rFonts w:hint="eastAsia"/>
          <w:b/>
          <w:bCs/>
          <w:color w:val="000000" w:themeColor="text1"/>
          <w:sz w:val="72"/>
          <w:szCs w:val="72"/>
          <w:highlight w:val="none"/>
          <w14:textFill>
            <w14:solidFill>
              <w14:schemeClr w14:val="tx1"/>
            </w14:solidFill>
          </w14:textFill>
        </w:rPr>
        <w:t>项目管理要求</w:t>
      </w:r>
    </w:p>
    <w:p>
      <w:pPr>
        <w:pStyle w:val="29"/>
        <w:ind w:firstLine="0" w:firstLineChars="0"/>
        <w:jc w:val="center"/>
        <w:rPr>
          <w:rFonts w:hint="eastAsia"/>
          <w:b/>
          <w:bCs/>
          <w:color w:val="000000" w:themeColor="text1"/>
          <w:sz w:val="44"/>
          <w:szCs w:val="44"/>
          <w:highlight w:val="none"/>
          <w14:textFill>
            <w14:solidFill>
              <w14:schemeClr w14:val="tx1"/>
            </w14:solidFill>
          </w14:textFill>
        </w:rPr>
      </w:pPr>
    </w:p>
    <w:p>
      <w:pPr>
        <w:rPr>
          <w:rFonts w:hint="eastAsia" w:ascii="仿宋_GB2312" w:eastAsia="仿宋_GB2312"/>
          <w:color w:val="000000" w:themeColor="text1"/>
          <w:sz w:val="32"/>
          <w:szCs w:val="32"/>
          <w:highlight w:val="none"/>
          <w14:textFill>
            <w14:solidFill>
              <w14:schemeClr w14:val="tx1"/>
            </w14:solidFill>
          </w14:textFill>
        </w:rPr>
      </w:pPr>
    </w:p>
    <w:p>
      <w:pPr>
        <w:pStyle w:val="7"/>
        <w:rPr>
          <w:rFonts w:hint="eastAsia" w:eastAsia="仿宋_GB2312"/>
          <w:color w:val="000000" w:themeColor="text1"/>
          <w:kern w:val="24"/>
          <w:sz w:val="24"/>
          <w:highlight w:val="none"/>
          <w:lang w:eastAsia="zh-CN"/>
          <w14:textFill>
            <w14:solidFill>
              <w14:schemeClr w14:val="tx1"/>
            </w14:solidFill>
          </w14:textFill>
        </w:rPr>
      </w:pPr>
      <w:r>
        <w:rPr>
          <w:rFonts w:hint="eastAsia" w:eastAsia="仿宋_GB2312"/>
          <w:color w:val="000000" w:themeColor="text1"/>
          <w:kern w:val="24"/>
          <w:sz w:val="24"/>
          <w:highlight w:val="none"/>
          <w:lang w:eastAsia="zh-CN"/>
          <w14:textFill>
            <w14:solidFill>
              <w14:schemeClr w14:val="tx1"/>
            </w14:solidFill>
          </w14:textFill>
        </w:rPr>
        <w:drawing>
          <wp:inline distT="0" distB="0" distL="114300" distR="114300">
            <wp:extent cx="5257800" cy="2921000"/>
            <wp:effectExtent l="0" t="0" r="0" b="0"/>
            <wp:docPr id="16" name="图片 1"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03"/>
                    <pic:cNvPicPr>
                      <a:picLocks noChangeAspect="1"/>
                    </pic:cNvPicPr>
                  </pic:nvPicPr>
                  <pic:blipFill>
                    <a:blip r:embed="rId30"/>
                    <a:stretch>
                      <a:fillRect/>
                    </a:stretch>
                  </pic:blipFill>
                  <pic:spPr>
                    <a:xfrm>
                      <a:off x="0" y="0"/>
                      <a:ext cx="5257800" cy="2921000"/>
                    </a:xfrm>
                    <a:prstGeom prst="rect">
                      <a:avLst/>
                    </a:prstGeom>
                    <a:noFill/>
                    <a:ln>
                      <a:noFill/>
                    </a:ln>
                  </pic:spPr>
                </pic:pic>
              </a:graphicData>
            </a:graphic>
          </wp:inline>
        </w:drawing>
      </w:r>
    </w:p>
    <w:p>
      <w:pPr>
        <w:pStyle w:val="7"/>
        <w:rPr>
          <w:rFonts w:hint="eastAsia" w:eastAsia="仿宋_GB2312"/>
          <w:color w:val="000000" w:themeColor="text1"/>
          <w:kern w:val="24"/>
          <w:sz w:val="24"/>
          <w:highlight w:val="none"/>
          <w14:textFill>
            <w14:solidFill>
              <w14:schemeClr w14:val="tx1"/>
            </w14:solidFill>
          </w14:textFill>
        </w:rPr>
      </w:pPr>
    </w:p>
    <w:p>
      <w:pPr>
        <w:pStyle w:val="7"/>
        <w:rPr>
          <w:rFonts w:hint="eastAsia" w:eastAsia="仿宋_GB2312"/>
          <w:color w:val="000000" w:themeColor="text1"/>
          <w:kern w:val="24"/>
          <w:sz w:val="24"/>
          <w:highlight w:val="none"/>
          <w14:textFill>
            <w14:solidFill>
              <w14:schemeClr w14:val="tx1"/>
            </w14:solidFill>
          </w14:textFill>
        </w:rPr>
      </w:pPr>
    </w:p>
    <w:p>
      <w:pPr>
        <w:pStyle w:val="7"/>
        <w:rPr>
          <w:rFonts w:hint="eastAsia" w:eastAsia="仿宋_GB2312"/>
          <w:color w:val="000000" w:themeColor="text1"/>
          <w:kern w:val="24"/>
          <w:sz w:val="24"/>
          <w:highlight w:val="none"/>
          <w14:textFill>
            <w14:solidFill>
              <w14:schemeClr w14:val="tx1"/>
            </w14:solidFill>
          </w14:textFill>
        </w:rPr>
      </w:pPr>
    </w:p>
    <w:p>
      <w:pPr>
        <w:pStyle w:val="7"/>
        <w:rPr>
          <w:rFonts w:hint="eastAsia" w:eastAsia="仿宋_GB2312"/>
          <w:color w:val="000000" w:themeColor="text1"/>
          <w:kern w:val="24"/>
          <w:sz w:val="24"/>
          <w:highlight w:val="none"/>
          <w14:textFill>
            <w14:solidFill>
              <w14:schemeClr w14:val="tx1"/>
            </w14:solidFill>
          </w14:textFill>
        </w:rPr>
      </w:pPr>
    </w:p>
    <w:p>
      <w:pPr>
        <w:pStyle w:val="7"/>
        <w:rPr>
          <w:rFonts w:hint="eastAsia" w:eastAsia="仿宋_GB2312"/>
          <w:color w:val="000000" w:themeColor="text1"/>
          <w:kern w:val="24"/>
          <w:sz w:val="24"/>
          <w:highlight w:val="none"/>
          <w14:textFill>
            <w14:solidFill>
              <w14:schemeClr w14:val="tx1"/>
            </w14:solidFill>
          </w14:textFill>
        </w:rPr>
      </w:pPr>
    </w:p>
    <w:p>
      <w:pPr>
        <w:ind w:firstLine="640" w:firstLineChars="200"/>
        <w:rPr>
          <w:rFonts w:hint="eastAsia" w:ascii="仿宋_GB2312" w:eastAsia="仿宋_GB2312"/>
          <w:color w:val="000000" w:themeColor="text1"/>
          <w:sz w:val="32"/>
          <w:szCs w:val="32"/>
          <w:highlight w:val="none"/>
          <w:u w:val="single"/>
          <w14:textFill>
            <w14:solidFill>
              <w14:schemeClr w14:val="tx1"/>
            </w14:solidFill>
          </w14:textFill>
        </w:rPr>
      </w:pPr>
      <w:r>
        <w:rPr>
          <w:rFonts w:hint="eastAsia" w:ascii="仿宋_GB2312" w:eastAsia="仿宋_GB2312"/>
          <w:color w:val="000000" w:themeColor="text1"/>
          <w:sz w:val="32"/>
          <w:szCs w:val="32"/>
          <w:highlight w:val="none"/>
          <w14:textFill>
            <w14:solidFill>
              <w14:schemeClr w14:val="tx1"/>
            </w14:solidFill>
          </w14:textFill>
        </w:rPr>
        <w:t xml:space="preserve">    </w:t>
      </w:r>
    </w:p>
    <w:p>
      <w:pPr>
        <w:spacing w:line="360" w:lineRule="auto"/>
        <w:jc w:val="center"/>
        <w:rPr>
          <w:color w:val="000000" w:themeColor="text1"/>
          <w:highlight w:val="none"/>
          <w14:textFill>
            <w14:solidFill>
              <w14:schemeClr w14:val="tx1"/>
            </w14:solidFill>
          </w14:textFill>
        </w:rPr>
      </w:pPr>
    </w:p>
    <w:p>
      <w:pPr>
        <w:spacing w:line="360" w:lineRule="auto"/>
        <w:jc w:val="center"/>
        <w:rPr>
          <w:color w:val="000000" w:themeColor="text1"/>
          <w:highlight w:val="none"/>
          <w14:textFill>
            <w14:solidFill>
              <w14:schemeClr w14:val="tx1"/>
            </w14:solidFill>
          </w14:textFill>
        </w:rPr>
      </w:pPr>
    </w:p>
    <w:p>
      <w:pPr>
        <w:spacing w:line="360" w:lineRule="auto"/>
        <w:rPr>
          <w:color w:val="000000" w:themeColor="text1"/>
          <w:highlight w:val="none"/>
          <w14:textFill>
            <w14:solidFill>
              <w14:schemeClr w14:val="tx1"/>
            </w14:solidFill>
          </w14:textFill>
        </w:rPr>
      </w:pPr>
    </w:p>
    <w:p>
      <w:pPr>
        <w:jc w:val="center"/>
        <w:rPr>
          <w:rFonts w:hint="eastAsia" w:ascii="宋体" w:hAnsi="宋体" w:cs="宋体"/>
          <w:b/>
          <w:bCs/>
          <w:color w:val="000000" w:themeColor="text1"/>
          <w:sz w:val="24"/>
          <w:highlight w:val="none"/>
          <w14:textFill>
            <w14:solidFill>
              <w14:schemeClr w14:val="tx1"/>
            </w14:solidFill>
          </w14:textFill>
        </w:rPr>
      </w:pPr>
      <w:bookmarkStart w:id="170" w:name="_Toc10556567"/>
      <w:bookmarkStart w:id="171" w:name="_Toc28053"/>
      <w:r>
        <w:rPr>
          <w:rFonts w:hint="eastAsia" w:ascii="宋体" w:hAnsi="宋体" w:cs="宋体"/>
          <w:b/>
          <w:bCs/>
          <w:color w:val="000000" w:themeColor="text1"/>
          <w:sz w:val="24"/>
          <w:highlight w:val="none"/>
          <w14:textFill>
            <w14:solidFill>
              <w14:schemeClr w14:val="tx1"/>
            </w14:solidFill>
          </w14:textFill>
        </w:rPr>
        <w:t>目   录</w:t>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TOC \o "1-2" \h \u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_Toc17409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一、项目特点描述</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_Toc31985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（一）项目现状概述</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_Toc1400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（三）项目实施内容及范围</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_Toc23438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（四）项目管理目标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_Toc11578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1、工期进度目标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_Toc5024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2、质量目标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_Toc2204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3、安全、文明施工目标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_Toc16850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4、投资控制（结算）目标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_Toc23455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（二）相关单位简介</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_Toc21528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（五）施工平面布置</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_Toc5757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1、施工总平面布置</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_Toc5011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2、围蔽及临时道路、出入口</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b/>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_Toc14447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3、施工围蔽及板房安排</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_Toc4635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4、临时排水及排污</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_Toc25490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5、视频监控系统安装工程</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_Toc21884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（六）需协调解决问题</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_Toc15296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bCs/>
          <w:color w:val="000000" w:themeColor="text1"/>
          <w:highlight w:val="none"/>
          <w14:textFill>
            <w14:solidFill>
              <w14:schemeClr w14:val="tx1"/>
            </w14:solidFill>
          </w14:textFill>
        </w:rPr>
        <w:t>（七）施工重点、难点分析</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_Toc18458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二、专业工程实施能力要求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_Toc19465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（一）需要具备特殊实施能力的专业工程范围</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_Toc20984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（二）专业工程实施能力规定</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_Toc9441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三、深化设计管理要求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_Toc28722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四、质量管理要求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_Toc11149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（一）质量管理体系</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_Toc9541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（二）质量通病防治</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_Toc27061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（三）材料、设备质量保证</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_Toc10449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（四）人员持证上岗</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_Toc8872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（五）按图施工</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_Toc14931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（六）检验与检查</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_Toc9139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（七）现场保护</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_Toc22171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（八）工程技术档案管理</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_Toc12345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（九）特殊管理措施</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_Toc19983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（十）专业工程质量管理要点</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_Toc12135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（十一）、技术管理管理要求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_Toc27137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五、工人工资及预付款支付管理要求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_Toc12479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六、进度管理要求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_Toc405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（一）进场前核实现场条件</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_Toc17873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（二）进度计划编制和资源投入</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_Toc8981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（三）工期计划</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_Toc25300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（四）进度计划修订与调整</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_Toc23713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（五）进度计划修订与调整</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_Toc17672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（六）进度月报</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_Toc18332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（七）非发包人原因工期延误的处理</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eastAsia="宋体" w:cs="宋体"/>
          <w:b/>
          <w:color w:val="000000" w:themeColor="text1"/>
          <w:highlight w:val="none"/>
          <w14:textFill>
            <w14:solidFill>
              <w14:schemeClr w14:val="tx1"/>
            </w14:solidFill>
          </w14:textFill>
        </w:rPr>
        <w:sectPr>
          <w:headerReference r:id="rId20" w:type="default"/>
          <w:footerReference r:id="rId21" w:type="default"/>
          <w:pgSz w:w="11906" w:h="16838"/>
          <w:pgMar w:top="1440" w:right="1800" w:bottom="1440" w:left="1800" w:header="851" w:footer="992" w:gutter="0"/>
          <w:pgNumType w:fmt="decimal"/>
          <w:cols w:space="720" w:num="1"/>
          <w:docGrid w:type="lines" w:linePitch="312" w:charSpace="0"/>
        </w:sectPr>
      </w:pP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_Toc5368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七、安全文明、职业健康与环境管理施工要求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_Toc21575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（一）总体目标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_Toc27682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（二）安全文明施工一般规定</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_Toc32613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（三）环境保护一般规定</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_Toc24720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（四）职业健康一般规定</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_Toc10725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（五）安全保证措施要求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_Toc3672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cs="宋体"/>
          <w:color w:val="000000" w:themeColor="text1"/>
          <w:highlight w:val="none"/>
          <w14:textFill>
            <w14:solidFill>
              <w14:schemeClr w14:val="tx1"/>
            </w14:solidFill>
          </w14:textFill>
        </w:rPr>
        <w:t>（六）安全文明施工要求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_Toc19162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八、投资控制要求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_Toc5678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1.承包人复核清单</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_Toc13909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2.进度款支付申请准确性要求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_Toc358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3.合同价款调整报告的时效性要求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_Toc18389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4.对承包人劳务工资、分包工程款、材料设备款支付的审核及限制</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default" w:ascii="宋体" w:hAnsi="宋体" w:eastAsia="宋体" w:cs="宋体"/>
          <w:b/>
          <w:color w:val="000000" w:themeColor="text1"/>
          <w:highlight w:val="none"/>
          <w14:textFill>
            <w14:solidFill>
              <w14:schemeClr w14:val="tx1"/>
            </w14:solidFill>
          </w14:textFill>
        </w:rPr>
        <w:t>九</w:t>
      </w: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_Toc16147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、项目部人员要求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_Toc30055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十、主要施工机械设备要求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_Toc19249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十</w:t>
      </w:r>
      <w:r>
        <w:rPr>
          <w:rFonts w:hint="default" w:ascii="宋体" w:hAnsi="宋体" w:eastAsia="宋体" w:cs="宋体"/>
          <w:b/>
          <w:color w:val="000000" w:themeColor="text1"/>
          <w:highlight w:val="none"/>
          <w14:textFill>
            <w14:solidFill>
              <w14:schemeClr w14:val="tx1"/>
            </w14:solidFill>
          </w14:textFill>
        </w:rPr>
        <w:t>一</w:t>
      </w:r>
      <w:r>
        <w:rPr>
          <w:rFonts w:hint="eastAsia" w:ascii="宋体" w:hAnsi="宋体" w:cs="宋体"/>
          <w:b/>
          <w:color w:val="000000" w:themeColor="text1"/>
          <w:highlight w:val="none"/>
          <w14:textFill>
            <w14:solidFill>
              <w14:schemeClr w14:val="tx1"/>
            </w14:solidFill>
          </w14:textFill>
        </w:rPr>
        <w:t>、材料设备管理要求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_Toc14517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十</w:t>
      </w:r>
      <w:r>
        <w:rPr>
          <w:rFonts w:hint="default" w:ascii="宋体" w:hAnsi="宋体" w:eastAsia="宋体" w:cs="宋体"/>
          <w:b/>
          <w:color w:val="000000" w:themeColor="text1"/>
          <w:highlight w:val="none"/>
          <w14:textFill>
            <w14:solidFill>
              <w14:schemeClr w14:val="tx1"/>
            </w14:solidFill>
          </w14:textFill>
        </w:rPr>
        <w:t>二</w:t>
      </w:r>
      <w:r>
        <w:rPr>
          <w:rFonts w:hint="eastAsia" w:ascii="宋体" w:hAnsi="宋体" w:cs="宋体"/>
          <w:b/>
          <w:color w:val="000000" w:themeColor="text1"/>
          <w:highlight w:val="none"/>
          <w14:textFill>
            <w14:solidFill>
              <w14:schemeClr w14:val="tx1"/>
            </w14:solidFill>
          </w14:textFill>
        </w:rPr>
        <w:t>、绿色施工管理要求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_Toc22515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1.项目绿色施工管理目标</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_Toc25998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2.绿色施工标准</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_Toc21164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3.现场绿色施工要求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_Toc432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十</w:t>
      </w:r>
      <w:r>
        <w:rPr>
          <w:rFonts w:hint="default" w:ascii="宋体" w:hAnsi="宋体" w:eastAsia="宋体" w:cs="宋体"/>
          <w:b/>
          <w:color w:val="000000" w:themeColor="text1"/>
          <w:highlight w:val="none"/>
          <w14:textFill>
            <w14:solidFill>
              <w14:schemeClr w14:val="tx1"/>
            </w14:solidFill>
          </w14:textFill>
        </w:rPr>
        <w:t>三</w:t>
      </w:r>
      <w:r>
        <w:rPr>
          <w:rFonts w:hint="eastAsia" w:ascii="宋体" w:hAnsi="宋体" w:cs="宋体"/>
          <w:b/>
          <w:color w:val="000000" w:themeColor="text1"/>
          <w:highlight w:val="none"/>
          <w14:textFill>
            <w14:solidFill>
              <w14:schemeClr w14:val="tx1"/>
            </w14:solidFill>
          </w14:textFill>
        </w:rPr>
        <w:t>、竣工移交前深度清洁工作要求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_Toc10488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highlight w:val="none"/>
          <w14:textFill>
            <w14:solidFill>
              <w14:schemeClr w14:val="tx1"/>
            </w14:solidFill>
          </w14:textFill>
        </w:rPr>
        <w:t>十四、验收、移交及结算管理要求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_Toc4057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1、工程验收管理要求：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_Toc6140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2、工程移交管理要求：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_Toc4203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kern w:val="2"/>
          <w:szCs w:val="32"/>
          <w:highlight w:val="none"/>
          <w14:textFill>
            <w14:solidFill>
              <w14:schemeClr w14:val="tx1"/>
            </w14:solidFill>
          </w14:textFill>
        </w:rPr>
        <w:t>3、工程造价（结算）管理要求：</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_Toc24329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十五、质保期服务管理要求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_Toc19493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1、培训工作</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8"/>
        <w:tabs>
          <w:tab w:val="right" w:leader="dot" w:pos="8306"/>
        </w:tabs>
        <w:ind w:left="420"/>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fldChar w:fldCharType="begin"/>
      </w:r>
      <w:r>
        <w:rPr>
          <w:rFonts w:hint="eastAsia" w:ascii="宋体" w:hAnsi="宋体" w:cs="宋体"/>
          <w:color w:val="000000" w:themeColor="text1"/>
          <w:highlight w:val="none"/>
          <w14:textFill>
            <w14:solidFill>
              <w14:schemeClr w14:val="tx1"/>
            </w14:solidFill>
          </w14:textFill>
        </w:rPr>
        <w:instrText xml:space="preserve"> HYPERLINK \l _Toc14299 </w:instrText>
      </w:r>
      <w:r>
        <w:rPr>
          <w:rFonts w:hint="eastAsia" w:ascii="宋体" w:hAnsi="宋体" w:cs="宋体"/>
          <w:color w:val="000000" w:themeColor="text1"/>
          <w:highlight w:val="none"/>
          <w14:textFill>
            <w14:solidFill>
              <w14:schemeClr w14:val="tx1"/>
            </w14:solidFill>
          </w14:textFill>
        </w:rPr>
        <w:fldChar w:fldCharType="separate"/>
      </w:r>
      <w:r>
        <w:rPr>
          <w:rFonts w:hint="eastAsia" w:ascii="宋体" w:hAnsi="宋体" w:eastAsia="宋体" w:cs="宋体"/>
          <w:color w:val="000000" w:themeColor="text1"/>
          <w:szCs w:val="32"/>
          <w:highlight w:val="none"/>
          <w14:textFill>
            <w14:solidFill>
              <w14:schemeClr w14:val="tx1"/>
            </w14:solidFill>
          </w14:textFill>
        </w:rPr>
        <w:t>2、质量保证期和售后服务</w:t>
      </w:r>
      <w:r>
        <w:rPr>
          <w:rFonts w:hint="eastAsia" w:ascii="宋体" w:hAnsi="宋体" w:cs="宋体"/>
          <w:color w:val="000000" w:themeColor="text1"/>
          <w:highlight w:val="none"/>
          <w14:textFill>
            <w14:solidFill>
              <w14:schemeClr w14:val="tx1"/>
            </w14:solidFill>
          </w14:textFill>
        </w:rPr>
        <w:tab/>
      </w:r>
      <w:r>
        <w:rPr>
          <w:rFonts w:hint="eastAsia" w:ascii="宋体" w:hAnsi="宋体" w:cs="宋体"/>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_Toc25031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十六、调价机制</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keepNext w:val="0"/>
        <w:keepLines w:val="0"/>
        <w:widowControl w:val="0"/>
        <w:suppressLineNumbers w:val="0"/>
        <w:tabs>
          <w:tab w:val="right" w:leader="dot" w:pos="8306"/>
        </w:tabs>
        <w:spacing w:before="0" w:beforeAutospacing="0" w:after="0" w:afterAutospacing="0"/>
        <w:ind w:left="0" w:right="0"/>
        <w:jc w:val="both"/>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_Toc19019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十七、</w:t>
      </w:r>
      <w:r>
        <w:rPr>
          <w:rFonts w:hint="eastAsia" w:ascii="宋体" w:hAnsi="宋体" w:eastAsia="宋体" w:cs="宋体"/>
          <w:b/>
          <w:color w:val="000000" w:themeColor="text1"/>
          <w:kern w:val="44"/>
          <w:highlight w:val="none"/>
          <w:lang w:val="en-US" w:eastAsia="zh-CN"/>
          <w14:textFill>
            <w14:solidFill>
              <w14:schemeClr w14:val="tx1"/>
            </w14:solidFill>
          </w14:textFill>
        </w:rPr>
        <w:t>施工现场建筑垃圾源头减量的具体要求和建筑垃圾综合利用产品的使用要求</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8"/>
        <w:tabs>
          <w:tab w:val="right" w:leader="dot" w:pos="8306"/>
        </w:tabs>
        <w:ind w:leftChars="0"/>
        <w:rPr>
          <w:rFonts w:hint="eastAsia" w:ascii="宋体" w:hAnsi="宋体" w:cs="宋体"/>
          <w:b/>
          <w:color w:val="000000" w:themeColor="text1"/>
          <w:kern w:val="44"/>
          <w:highlight w:val="none"/>
          <w14:textFill>
            <w14:solidFill>
              <w14:schemeClr w14:val="tx1"/>
            </w14:solidFill>
          </w14:textFill>
        </w:rPr>
      </w:pPr>
      <w:r>
        <w:rPr>
          <w:rFonts w:hint="eastAsia" w:ascii="宋体" w:hAnsi="宋体" w:cs="宋体"/>
          <w:b/>
          <w:color w:val="000000" w:themeColor="text1"/>
          <w:kern w:val="44"/>
          <w:highlight w:val="none"/>
          <w14:textFill>
            <w14:solidFill>
              <w14:schemeClr w14:val="tx1"/>
            </w14:solidFill>
          </w14:textFill>
        </w:rPr>
        <w:fldChar w:fldCharType="begin"/>
      </w:r>
      <w:r>
        <w:rPr>
          <w:rFonts w:hint="eastAsia" w:ascii="宋体" w:hAnsi="宋体" w:cs="宋体"/>
          <w:b/>
          <w:color w:val="000000" w:themeColor="text1"/>
          <w:kern w:val="44"/>
          <w:highlight w:val="none"/>
          <w14:textFill>
            <w14:solidFill>
              <w14:schemeClr w14:val="tx1"/>
            </w14:solidFill>
          </w14:textFill>
        </w:rPr>
        <w:instrText xml:space="preserve"> HYPERLINK \l _Toc5522 </w:instrText>
      </w:r>
      <w:r>
        <w:rPr>
          <w:rFonts w:hint="eastAsia" w:ascii="宋体" w:hAnsi="宋体" w:cs="宋体"/>
          <w:b/>
          <w:color w:val="000000" w:themeColor="text1"/>
          <w:kern w:val="44"/>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十八、</w:t>
      </w:r>
      <w:r>
        <w:rPr>
          <w:rFonts w:hint="eastAsia" w:ascii="宋体" w:hAnsi="宋体" w:eastAsia="宋体" w:cs="宋体"/>
          <w:b/>
          <w:color w:val="000000" w:themeColor="text1"/>
          <w:kern w:val="44"/>
          <w:highlight w:val="none"/>
          <w14:textFill>
            <w14:solidFill>
              <w14:schemeClr w14:val="tx1"/>
            </w14:solidFill>
          </w14:textFill>
        </w:rPr>
        <w:t>其它要求及相关提示</w:t>
      </w:r>
      <w:r>
        <w:rPr>
          <w:rFonts w:hint="eastAsia" w:ascii="宋体" w:hAnsi="宋体" w:cs="宋体"/>
          <w:b/>
          <w:color w:val="000000" w:themeColor="text1"/>
          <w:kern w:val="44"/>
          <w:highlight w:val="none"/>
          <w14:textFill>
            <w14:solidFill>
              <w14:schemeClr w14:val="tx1"/>
            </w14:solidFill>
          </w14:textFill>
        </w:rPr>
        <w:tab/>
      </w:r>
      <w:r>
        <w:rPr>
          <w:rFonts w:hint="eastAsia" w:ascii="宋体" w:hAnsi="宋体" w:cs="宋体"/>
          <w:b/>
          <w:color w:val="000000" w:themeColor="text1"/>
          <w:kern w:val="44"/>
          <w:highlight w:val="none"/>
          <w14:textFill>
            <w14:solidFill>
              <w14:schemeClr w14:val="tx1"/>
            </w14:solidFill>
          </w14:textFill>
        </w:rPr>
        <w:fldChar w:fldCharType="end"/>
      </w:r>
    </w:p>
    <w:p>
      <w:pPr>
        <w:pStyle w:val="38"/>
        <w:tabs>
          <w:tab w:val="right" w:leader="dot" w:pos="8306"/>
        </w:tabs>
        <w:ind w:leftChars="0"/>
        <w:rPr>
          <w:rFonts w:hint="eastAsia" w:ascii="宋体" w:hAnsi="宋体" w:cs="宋体"/>
          <w:b/>
          <w:color w:val="000000" w:themeColor="text1"/>
          <w:kern w:val="44"/>
          <w:highlight w:val="none"/>
          <w14:textFill>
            <w14:solidFill>
              <w14:schemeClr w14:val="tx1"/>
            </w14:solidFill>
          </w14:textFill>
        </w:rPr>
      </w:pPr>
      <w:r>
        <w:rPr>
          <w:rFonts w:hint="eastAsia" w:ascii="宋体" w:hAnsi="宋体" w:cs="宋体"/>
          <w:b/>
          <w:color w:val="000000" w:themeColor="text1"/>
          <w:kern w:val="44"/>
          <w:highlight w:val="none"/>
          <w14:textFill>
            <w14:solidFill>
              <w14:schemeClr w14:val="tx1"/>
            </w14:solidFill>
          </w14:textFill>
        </w:rPr>
        <w:fldChar w:fldCharType="begin"/>
      </w:r>
      <w:r>
        <w:rPr>
          <w:rFonts w:hint="eastAsia" w:ascii="宋体" w:hAnsi="宋体" w:cs="宋体"/>
          <w:b/>
          <w:color w:val="000000" w:themeColor="text1"/>
          <w:kern w:val="44"/>
          <w:highlight w:val="none"/>
          <w14:textFill>
            <w14:solidFill>
              <w14:schemeClr w14:val="tx1"/>
            </w14:solidFill>
          </w14:textFill>
        </w:rPr>
        <w:instrText xml:space="preserve"> HYPERLINK \l _Toc15930 </w:instrText>
      </w:r>
      <w:r>
        <w:rPr>
          <w:rFonts w:hint="eastAsia" w:ascii="宋体" w:hAnsi="宋体" w:cs="宋体"/>
          <w:b/>
          <w:color w:val="000000" w:themeColor="text1"/>
          <w:kern w:val="44"/>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十九、施工组织设计要点</w:t>
      </w:r>
      <w:r>
        <w:rPr>
          <w:rFonts w:hint="eastAsia" w:ascii="宋体" w:hAnsi="宋体" w:cs="宋体"/>
          <w:b/>
          <w:color w:val="000000" w:themeColor="text1"/>
          <w:kern w:val="44"/>
          <w:highlight w:val="none"/>
          <w14:textFill>
            <w14:solidFill>
              <w14:schemeClr w14:val="tx1"/>
            </w14:solidFill>
          </w14:textFill>
        </w:rPr>
        <w:tab/>
      </w:r>
      <w:r>
        <w:rPr>
          <w:rFonts w:hint="eastAsia" w:ascii="宋体" w:hAnsi="宋体" w:cs="宋体"/>
          <w:b/>
          <w:color w:val="000000" w:themeColor="text1"/>
          <w:kern w:val="44"/>
          <w:highlight w:val="none"/>
          <w14:textFill>
            <w14:solidFill>
              <w14:schemeClr w14:val="tx1"/>
            </w14:solidFill>
          </w14:textFill>
        </w:rPr>
        <w:fldChar w:fldCharType="end"/>
      </w:r>
    </w:p>
    <w:p>
      <w:pPr>
        <w:pStyle w:val="38"/>
        <w:tabs>
          <w:tab w:val="right" w:leader="dot" w:pos="8306"/>
        </w:tabs>
        <w:ind w:leftChars="0"/>
        <w:rPr>
          <w:rFonts w:hint="eastAsia" w:ascii="宋体" w:hAnsi="宋体" w:cs="宋体"/>
          <w:color w:val="000000" w:themeColor="text1"/>
          <w:highlight w:val="none"/>
          <w14:textFill>
            <w14:solidFill>
              <w14:schemeClr w14:val="tx1"/>
            </w14:solidFill>
          </w14:textFill>
        </w:rPr>
      </w:pPr>
      <w:r>
        <w:rPr>
          <w:rFonts w:hint="eastAsia" w:ascii="宋体" w:hAnsi="宋体" w:cs="宋体"/>
          <w:b/>
          <w:color w:val="000000" w:themeColor="text1"/>
          <w:kern w:val="44"/>
          <w:highlight w:val="none"/>
          <w14:textFill>
            <w14:solidFill>
              <w14:schemeClr w14:val="tx1"/>
            </w14:solidFill>
          </w14:textFill>
        </w:rPr>
        <w:fldChar w:fldCharType="begin"/>
      </w:r>
      <w:r>
        <w:rPr>
          <w:rFonts w:hint="eastAsia" w:ascii="宋体" w:hAnsi="宋体" w:cs="宋体"/>
          <w:b/>
          <w:color w:val="000000" w:themeColor="text1"/>
          <w:kern w:val="44"/>
          <w:highlight w:val="none"/>
          <w14:textFill>
            <w14:solidFill>
              <w14:schemeClr w14:val="tx1"/>
            </w14:solidFill>
          </w14:textFill>
        </w:rPr>
        <w:instrText xml:space="preserve"> HYPERLINK \l _Toc6654 </w:instrText>
      </w:r>
      <w:r>
        <w:rPr>
          <w:rFonts w:hint="eastAsia" w:ascii="宋体" w:hAnsi="宋体" w:cs="宋体"/>
          <w:b/>
          <w:color w:val="000000" w:themeColor="text1"/>
          <w:kern w:val="44"/>
          <w:highlight w:val="none"/>
          <w14:textFill>
            <w14:solidFill>
              <w14:schemeClr w14:val="tx1"/>
            </w14:solidFill>
          </w14:textFill>
        </w:rPr>
        <w:fldChar w:fldCharType="separate"/>
      </w:r>
      <w:r>
        <w:rPr>
          <w:rFonts w:hint="eastAsia" w:ascii="宋体" w:hAnsi="宋体" w:cs="宋体"/>
          <w:b/>
          <w:color w:val="000000" w:themeColor="text1"/>
          <w:kern w:val="44"/>
          <w:highlight w:val="none"/>
          <w14:textFill>
            <w14:solidFill>
              <w14:schemeClr w14:val="tx1"/>
            </w14:solidFill>
          </w14:textFill>
        </w:rPr>
        <w:t>二十、其他注意事项</w:t>
      </w:r>
      <w:r>
        <w:rPr>
          <w:rFonts w:hint="eastAsia" w:ascii="宋体" w:hAnsi="宋体" w:cs="宋体"/>
          <w:b/>
          <w:color w:val="000000" w:themeColor="text1"/>
          <w:kern w:val="44"/>
          <w:highlight w:val="none"/>
          <w14:textFill>
            <w14:solidFill>
              <w14:schemeClr w14:val="tx1"/>
            </w14:solidFill>
          </w14:textFill>
        </w:rPr>
        <w:tab/>
      </w:r>
      <w:r>
        <w:rPr>
          <w:rFonts w:hint="eastAsia" w:ascii="宋体" w:hAnsi="宋体" w:cs="宋体"/>
          <w:b/>
          <w:color w:val="000000" w:themeColor="text1"/>
          <w:kern w:val="44"/>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_Toc26088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eastAsia="宋体" w:cs="宋体"/>
          <w:b/>
          <w:color w:val="000000" w:themeColor="text1"/>
          <w:szCs w:val="32"/>
          <w:highlight w:val="none"/>
          <w14:textFill>
            <w14:solidFill>
              <w14:schemeClr w14:val="tx1"/>
            </w14:solidFill>
          </w14:textFill>
        </w:rPr>
        <w:t>附表1：施工进度计划表</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_Toc819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szCs w:val="28"/>
          <w:highlight w:val="none"/>
          <w14:textFill>
            <w14:solidFill>
              <w14:schemeClr w14:val="tx1"/>
            </w14:solidFill>
          </w14:textFill>
        </w:rPr>
        <w:t>附表2：投入劳动力计划表</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_Toc3114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szCs w:val="28"/>
          <w:highlight w:val="none"/>
          <w14:textFill>
            <w14:solidFill>
              <w14:schemeClr w14:val="tx1"/>
            </w14:solidFill>
          </w14:textFill>
        </w:rPr>
        <w:t>附表3：主要材料、设备采购计划表</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_Toc25328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szCs w:val="28"/>
          <w:highlight w:val="none"/>
          <w14:textFill>
            <w14:solidFill>
              <w14:schemeClr w14:val="tx1"/>
            </w14:solidFill>
          </w14:textFill>
        </w:rPr>
        <w:t>附表4：投入主要施工机械设备表</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37"/>
        <w:tabs>
          <w:tab w:val="right" w:leader="dot" w:pos="8306"/>
        </w:tabs>
        <w:rPr>
          <w:rFonts w:hint="eastAsia" w:ascii="宋体" w:hAnsi="宋体" w:cs="宋体"/>
          <w:b/>
          <w:color w:val="000000" w:themeColor="text1"/>
          <w:highlight w:val="none"/>
          <w14:textFill>
            <w14:solidFill>
              <w14:schemeClr w14:val="tx1"/>
            </w14:solidFill>
          </w14:textFill>
        </w:rPr>
      </w:pPr>
      <w:r>
        <w:rPr>
          <w:rFonts w:hint="eastAsia" w:ascii="宋体" w:hAnsi="宋体" w:cs="宋体"/>
          <w:b/>
          <w:color w:val="000000" w:themeColor="text1"/>
          <w:highlight w:val="none"/>
          <w14:textFill>
            <w14:solidFill>
              <w14:schemeClr w14:val="tx1"/>
            </w14:solidFill>
          </w14:textFill>
        </w:rPr>
        <w:fldChar w:fldCharType="begin"/>
      </w:r>
      <w:r>
        <w:rPr>
          <w:rFonts w:hint="eastAsia" w:ascii="宋体" w:hAnsi="宋体" w:cs="宋体"/>
          <w:b/>
          <w:color w:val="000000" w:themeColor="text1"/>
          <w:highlight w:val="none"/>
          <w14:textFill>
            <w14:solidFill>
              <w14:schemeClr w14:val="tx1"/>
            </w14:solidFill>
          </w14:textFill>
        </w:rPr>
        <w:instrText xml:space="preserve"> HYPERLINK \l _Toc3344 </w:instrText>
      </w:r>
      <w:r>
        <w:rPr>
          <w:rFonts w:hint="eastAsia" w:ascii="宋体" w:hAnsi="宋体" w:cs="宋体"/>
          <w:b/>
          <w:color w:val="000000" w:themeColor="text1"/>
          <w:highlight w:val="none"/>
          <w14:textFill>
            <w14:solidFill>
              <w14:schemeClr w14:val="tx1"/>
            </w14:solidFill>
          </w14:textFill>
        </w:rPr>
        <w:fldChar w:fldCharType="separate"/>
      </w:r>
      <w:r>
        <w:rPr>
          <w:rFonts w:hint="eastAsia" w:ascii="宋体" w:hAnsi="宋体" w:cs="宋体"/>
          <w:b/>
          <w:color w:val="000000" w:themeColor="text1"/>
          <w:szCs w:val="28"/>
          <w:highlight w:val="none"/>
          <w14:textFill>
            <w14:solidFill>
              <w14:schemeClr w14:val="tx1"/>
            </w14:solidFill>
          </w14:textFill>
        </w:rPr>
        <w:t>附表5：资金使用计划表</w:t>
      </w:r>
      <w:r>
        <w:rPr>
          <w:rFonts w:hint="eastAsia" w:ascii="宋体" w:hAnsi="宋体" w:cs="宋体"/>
          <w:b/>
          <w:color w:val="000000" w:themeColor="text1"/>
          <w:highlight w:val="none"/>
          <w14:textFill>
            <w14:solidFill>
              <w14:schemeClr w14:val="tx1"/>
            </w14:solidFill>
          </w14:textFill>
        </w:rPr>
        <w:tab/>
      </w:r>
      <w:r>
        <w:rPr>
          <w:rFonts w:hint="eastAsia" w:ascii="宋体" w:hAnsi="宋体" w:cs="宋体"/>
          <w:b/>
          <w:color w:val="000000" w:themeColor="text1"/>
          <w:highlight w:val="none"/>
          <w14:textFill>
            <w14:solidFill>
              <w14:schemeClr w14:val="tx1"/>
            </w14:solidFill>
          </w14:textFill>
        </w:rPr>
        <w:fldChar w:fldCharType="end"/>
      </w:r>
    </w:p>
    <w:p>
      <w:pPr>
        <w:pStyle w:val="2"/>
        <w:tabs>
          <w:tab w:val="left" w:pos="142"/>
        </w:tabs>
        <w:rPr>
          <w:rFonts w:hint="eastAsia"/>
          <w:color w:val="000000" w:themeColor="text1"/>
          <w:highlight w:val="none"/>
          <w14:textFill>
            <w14:solidFill>
              <w14:schemeClr w14:val="tx1"/>
            </w14:solidFill>
          </w14:textFill>
        </w:rPr>
        <w:sectPr>
          <w:footerReference r:id="rId22" w:type="default"/>
          <w:pgSz w:w="11906" w:h="16838"/>
          <w:pgMar w:top="1440" w:right="1800" w:bottom="1440" w:left="1800" w:header="851" w:footer="992" w:gutter="0"/>
          <w:pgNumType w:fmt="decimal"/>
          <w:cols w:space="720" w:num="1"/>
          <w:docGrid w:type="lines" w:linePitch="312" w:charSpace="0"/>
        </w:sectPr>
      </w:pPr>
      <w:r>
        <w:rPr>
          <w:rFonts w:hint="eastAsia" w:cs="宋体"/>
          <w:color w:val="000000" w:themeColor="text1"/>
          <w:highlight w:val="none"/>
          <w14:textFill>
            <w14:solidFill>
              <w14:schemeClr w14:val="tx1"/>
            </w14:solidFill>
          </w14:textFill>
        </w:rPr>
        <w:fldChar w:fldCharType="end"/>
      </w:r>
    </w:p>
    <w:p>
      <w:pPr>
        <w:pStyle w:val="2"/>
        <w:tabs>
          <w:tab w:val="left" w:pos="142"/>
        </w:tabs>
        <w:spacing w:line="240" w:lineRule="auto"/>
        <w:rPr>
          <w:rFonts w:hint="eastAsia"/>
          <w:b/>
          <w:bCs/>
          <w:color w:val="000000" w:themeColor="text1"/>
          <w:sz w:val="24"/>
          <w:highlight w:val="none"/>
          <w14:textFill>
            <w14:solidFill>
              <w14:schemeClr w14:val="tx1"/>
            </w14:solidFill>
          </w14:textFill>
        </w:rPr>
      </w:pPr>
      <w:bookmarkStart w:id="172" w:name="_Toc26655"/>
      <w:bookmarkStart w:id="173" w:name="_Toc17409"/>
      <w:r>
        <w:rPr>
          <w:rFonts w:hint="eastAsia"/>
          <w:b/>
          <w:bCs/>
          <w:color w:val="000000" w:themeColor="text1"/>
          <w:highlight w:val="none"/>
          <w14:textFill>
            <w14:solidFill>
              <w14:schemeClr w14:val="tx1"/>
            </w14:solidFill>
          </w14:textFill>
        </w:rPr>
        <w:t>一、项目特点描述</w:t>
      </w:r>
      <w:bookmarkEnd w:id="170"/>
      <w:bookmarkEnd w:id="171"/>
      <w:bookmarkEnd w:id="172"/>
      <w:bookmarkEnd w:id="173"/>
    </w:p>
    <w:p>
      <w:pPr>
        <w:pStyle w:val="4"/>
        <w:spacing w:before="156" w:after="156"/>
        <w:ind w:left="0" w:leftChars="0"/>
        <w:jc w:val="left"/>
        <w:rPr>
          <w:rFonts w:hint="eastAsia"/>
          <w:color w:val="000000" w:themeColor="text1"/>
          <w:highlight w:val="none"/>
          <w14:textFill>
            <w14:solidFill>
              <w14:schemeClr w14:val="tx1"/>
            </w14:solidFill>
          </w14:textFill>
        </w:rPr>
      </w:pPr>
      <w:bookmarkStart w:id="174" w:name="_Toc425263890"/>
      <w:bookmarkStart w:id="175" w:name="_Toc31985"/>
      <w:bookmarkStart w:id="176" w:name="_Toc28433"/>
      <w:bookmarkStart w:id="177" w:name="_Toc16332"/>
      <w:bookmarkStart w:id="178" w:name="_Toc10556568"/>
      <w:r>
        <w:rPr>
          <w:rFonts w:hint="eastAsia" w:ascii="仿宋" w:hAnsi="仿宋"/>
          <w:color w:val="000000" w:themeColor="text1"/>
          <w:highlight w:val="none"/>
          <w14:textFill>
            <w14:solidFill>
              <w14:schemeClr w14:val="tx1"/>
            </w14:solidFill>
          </w14:textFill>
        </w:rPr>
        <w:t>（一）</w:t>
      </w:r>
      <w:r>
        <w:rPr>
          <w:rFonts w:hint="eastAsia"/>
          <w:color w:val="000000" w:themeColor="text1"/>
          <w:highlight w:val="none"/>
          <w14:textFill>
            <w14:solidFill>
              <w14:schemeClr w14:val="tx1"/>
            </w14:solidFill>
          </w14:textFill>
        </w:rPr>
        <w:t>项目现状概述</w:t>
      </w:r>
      <w:bookmarkEnd w:id="174"/>
      <w:bookmarkEnd w:id="175"/>
      <w:bookmarkEnd w:id="176"/>
      <w:bookmarkEnd w:id="177"/>
      <w:bookmarkEnd w:id="178"/>
    </w:p>
    <w:p>
      <w:pPr>
        <w:spacing w:after="0" w:line="360" w:lineRule="auto"/>
        <w:ind w:firstLine="480" w:firstLineChars="200"/>
        <w:rPr>
          <w:rFonts w:hint="eastAsia" w:ascii="宋体" w:hAnsi="宋体" w:cs="宋体"/>
          <w:color w:val="000000" w:themeColor="text1"/>
          <w:sz w:val="24"/>
          <w:szCs w:val="24"/>
          <w:highlight w:val="none"/>
          <w14:textFill>
            <w14:solidFill>
              <w14:schemeClr w14:val="tx1"/>
            </w14:solidFill>
          </w14:textFill>
        </w:rPr>
      </w:pPr>
      <w:bookmarkStart w:id="179" w:name="_Toc10556569"/>
      <w:bookmarkStart w:id="180" w:name="_Toc425263891"/>
      <w:r>
        <w:rPr>
          <w:rFonts w:hint="eastAsia" w:ascii="宋体" w:hAnsi="宋体" w:eastAsia="宋体" w:cs="宋体"/>
          <w:color w:val="000000" w:themeColor="text1"/>
          <w:sz w:val="24"/>
          <w:szCs w:val="24"/>
          <w:highlight w:val="none"/>
          <w14:textFill>
            <w14:solidFill>
              <w14:schemeClr w14:val="tx1"/>
            </w14:solidFill>
          </w14:textFill>
        </w:rPr>
        <w:t>本项目位于</w:t>
      </w:r>
      <w:r>
        <w:rPr>
          <w:rFonts w:hint="eastAsia" w:ascii="宋体" w:hAnsi="宋体" w:eastAsia="宋体" w:cs="宋体"/>
          <w:color w:val="000000" w:themeColor="text1"/>
          <w:sz w:val="24"/>
          <w:szCs w:val="24"/>
          <w:highlight w:val="none"/>
          <w:lang w:eastAsia="zh-CN"/>
          <w14:textFill>
            <w14:solidFill>
              <w14:schemeClr w14:val="tx1"/>
            </w14:solidFill>
          </w14:textFill>
        </w:rPr>
        <w:t>广州市增城区朱村街秀山村</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lang w:eastAsia="zh-CN"/>
          <w14:textFill>
            <w14:solidFill>
              <w14:schemeClr w14:val="tx1"/>
            </w14:solidFill>
          </w14:textFill>
        </w:rPr>
        <w:t>北至力行路路、南至尚礼大道路、西至尚义大道路、东至敬学路。周边为平整土地及在建规划道路，基地南侧为施工中的广州铁路职业技术学院迁建工程。</w:t>
      </w:r>
    </w:p>
    <w:bookmarkEnd w:id="179"/>
    <w:bookmarkEnd w:id="180"/>
    <w:p>
      <w:pPr>
        <w:pStyle w:val="4"/>
        <w:spacing w:before="156" w:after="156"/>
        <w:ind w:left="0" w:leftChars="0"/>
        <w:jc w:val="left"/>
        <w:rPr>
          <w:rFonts w:hint="eastAsia" w:ascii="仿宋" w:hAnsi="仿宋"/>
          <w:color w:val="000000" w:themeColor="text1"/>
          <w:highlight w:val="none"/>
          <w14:textFill>
            <w14:solidFill>
              <w14:schemeClr w14:val="tx1"/>
            </w14:solidFill>
          </w14:textFill>
        </w:rPr>
      </w:pPr>
      <w:bookmarkStart w:id="181" w:name="_Toc13067"/>
      <w:bookmarkStart w:id="182" w:name="_Toc13600"/>
      <w:bookmarkStart w:id="183" w:name="_Toc1400"/>
      <w:bookmarkStart w:id="184" w:name="_Toc32045"/>
      <w:bookmarkStart w:id="185" w:name="_Toc11568"/>
      <w:bookmarkStart w:id="186" w:name="_Toc10556570"/>
      <w:r>
        <w:rPr>
          <w:rFonts w:hint="eastAsia" w:ascii="仿宋" w:hAnsi="仿宋"/>
          <w:color w:val="000000" w:themeColor="text1"/>
          <w:highlight w:val="none"/>
          <w14:textFill>
            <w14:solidFill>
              <w14:schemeClr w14:val="tx1"/>
            </w14:solidFill>
          </w14:textFill>
        </w:rPr>
        <w:t>（三）项目实施内容</w:t>
      </w:r>
      <w:bookmarkEnd w:id="181"/>
      <w:bookmarkEnd w:id="182"/>
      <w:r>
        <w:rPr>
          <w:rFonts w:hint="eastAsia" w:ascii="仿宋" w:hAnsi="仿宋"/>
          <w:color w:val="000000" w:themeColor="text1"/>
          <w:highlight w:val="none"/>
          <w14:textFill>
            <w14:solidFill>
              <w14:schemeClr w14:val="tx1"/>
            </w14:solidFill>
          </w14:textFill>
        </w:rPr>
        <w:t>及范围</w:t>
      </w:r>
      <w:bookmarkEnd w:id="183"/>
      <w:bookmarkEnd w:id="184"/>
      <w:bookmarkEnd w:id="185"/>
      <w:bookmarkEnd w:id="186"/>
    </w:p>
    <w:p>
      <w:pPr>
        <w:pStyle w:val="26"/>
        <w:spacing w:line="360" w:lineRule="auto"/>
        <w:ind w:firstLine="260" w:firstLineChars="100"/>
        <w:jc w:val="left"/>
        <w:rPr>
          <w:rFonts w:hint="eastAsia" w:ascii="宋体" w:hAnsi="宋体" w:eastAsia="宋体" w:cs="宋体"/>
          <w:color w:val="000000" w:themeColor="text1"/>
          <w:spacing w:val="10"/>
          <w:sz w:val="24"/>
          <w:szCs w:val="24"/>
          <w:highlight w:val="none"/>
          <w14:textFill>
            <w14:solidFill>
              <w14:schemeClr w14:val="tx1"/>
            </w14:solidFill>
          </w14:textFill>
        </w:rPr>
      </w:pPr>
      <w:r>
        <w:rPr>
          <w:rFonts w:hint="eastAsia" w:ascii="宋体" w:hAnsi="宋体" w:eastAsia="宋体" w:cs="宋体"/>
          <w:bCs/>
          <w:color w:val="000000" w:themeColor="text1"/>
          <w:spacing w:val="10"/>
          <w:sz w:val="24"/>
          <w:szCs w:val="24"/>
          <w:highlight w:val="none"/>
          <w:lang w:eastAsia="zh-CN"/>
          <w14:textFill>
            <w14:solidFill>
              <w14:schemeClr w14:val="tx1"/>
            </w14:solidFill>
          </w14:textFill>
        </w:rPr>
        <w:t>本</w:t>
      </w:r>
      <w:r>
        <w:rPr>
          <w:rFonts w:hint="eastAsia" w:ascii="宋体" w:hAnsi="宋体" w:eastAsia="宋体" w:cs="宋体"/>
          <w:bCs/>
          <w:color w:val="000000" w:themeColor="text1"/>
          <w:spacing w:val="10"/>
          <w:sz w:val="24"/>
          <w:szCs w:val="24"/>
          <w:highlight w:val="none"/>
          <w14:textFill>
            <w14:solidFill>
              <w14:schemeClr w14:val="tx1"/>
            </w14:solidFill>
          </w14:textFill>
        </w:rPr>
        <w:t>项目用地面积为</w:t>
      </w:r>
      <w:r>
        <w:rPr>
          <w:rFonts w:hint="eastAsia" w:ascii="宋体" w:hAnsi="宋体" w:eastAsia="宋体" w:cs="宋体"/>
          <w:bCs/>
          <w:color w:val="000000" w:themeColor="text1"/>
          <w:spacing w:val="10"/>
          <w:sz w:val="24"/>
          <w:szCs w:val="24"/>
          <w:highlight w:val="none"/>
          <w:lang w:val="en-US" w:eastAsia="zh-CN"/>
          <w14:textFill>
            <w14:solidFill>
              <w14:schemeClr w14:val="tx1"/>
            </w14:solidFill>
          </w14:textFill>
        </w:rPr>
        <w:t>5648.40</w:t>
      </w:r>
      <w:r>
        <w:rPr>
          <w:rFonts w:hint="eastAsia" w:ascii="宋体" w:hAnsi="宋体" w:eastAsia="宋体" w:cs="宋体"/>
          <w:bCs/>
          <w:color w:val="000000" w:themeColor="text1"/>
          <w:spacing w:val="10"/>
          <w:sz w:val="24"/>
          <w:szCs w:val="24"/>
          <w:highlight w:val="none"/>
          <w14:textFill>
            <w14:solidFill>
              <w14:schemeClr w14:val="tx1"/>
            </w14:solidFill>
          </w14:textFill>
        </w:rPr>
        <w:t>平方米；</w:t>
      </w:r>
      <w:r>
        <w:rPr>
          <w:rFonts w:hint="eastAsia" w:ascii="宋体" w:hAnsi="宋体" w:eastAsia="宋体" w:cs="宋体"/>
          <w:color w:val="000000" w:themeColor="text1"/>
          <w:sz w:val="24"/>
          <w:szCs w:val="24"/>
          <w:highlight w:val="none"/>
          <w14:textFill>
            <w14:solidFill>
              <w14:schemeClr w14:val="tx1"/>
            </w14:solidFill>
          </w14:textFill>
        </w:rPr>
        <w:t>规划可建设总用地面积为</w:t>
      </w:r>
      <w:r>
        <w:rPr>
          <w:rFonts w:hint="eastAsia" w:ascii="宋体" w:hAnsi="宋体" w:eastAsia="宋体" w:cs="宋体"/>
          <w:color w:val="000000" w:themeColor="text1"/>
          <w:sz w:val="24"/>
          <w:szCs w:val="24"/>
          <w:highlight w:val="none"/>
          <w:lang w:val="en-US" w:eastAsia="zh-CN"/>
          <w14:textFill>
            <w14:solidFill>
              <w14:schemeClr w14:val="tx1"/>
            </w14:solidFill>
          </w14:textFill>
        </w:rPr>
        <w:t>5351.34</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bCs/>
          <w:color w:val="000000" w:themeColor="text1"/>
          <w:spacing w:val="10"/>
          <w:sz w:val="24"/>
          <w:szCs w:val="24"/>
          <w:highlight w:val="none"/>
          <w:lang w:eastAsia="zh-CN"/>
          <w14:textFill>
            <w14:solidFill>
              <w14:schemeClr w14:val="tx1"/>
            </w14:solidFill>
          </w14:textFill>
        </w:rPr>
        <w:t>总建筑面积</w:t>
      </w:r>
      <w:r>
        <w:rPr>
          <w:rFonts w:hint="eastAsia" w:ascii="宋体" w:hAnsi="宋体" w:eastAsia="宋体" w:cs="宋体"/>
          <w:bCs/>
          <w:color w:val="000000" w:themeColor="text1"/>
          <w:spacing w:val="10"/>
          <w:sz w:val="24"/>
          <w:szCs w:val="24"/>
          <w:highlight w:val="none"/>
          <w:lang w:val="en-US" w:eastAsia="zh-CN"/>
          <w14:textFill>
            <w14:solidFill>
              <w14:schemeClr w14:val="tx1"/>
            </w14:solidFill>
          </w14:textFill>
        </w:rPr>
        <w:t>4189.36平方米，其中计容建筑面积3974.27平方米</w:t>
      </w:r>
      <w:r>
        <w:rPr>
          <w:rFonts w:hint="eastAsia" w:ascii="宋体" w:hAnsi="宋体" w:eastAsia="宋体" w:cs="宋体"/>
          <w:bCs/>
          <w:color w:val="000000" w:themeColor="text1"/>
          <w:spacing w:val="10"/>
          <w:sz w:val="24"/>
          <w:szCs w:val="24"/>
          <w:highlight w:val="none"/>
          <w:lang w:eastAsia="zh-CN"/>
          <w14:textFill>
            <w14:solidFill>
              <w14:schemeClr w14:val="tx1"/>
            </w14:solidFill>
          </w14:textFill>
        </w:rPr>
        <w:t>，</w:t>
      </w:r>
      <w:r>
        <w:rPr>
          <w:rFonts w:hint="eastAsia" w:ascii="宋体" w:hAnsi="宋体" w:eastAsia="宋体" w:cs="宋体"/>
          <w:bCs/>
          <w:color w:val="000000" w:themeColor="text1"/>
          <w:spacing w:val="10"/>
          <w:sz w:val="24"/>
          <w:szCs w:val="24"/>
          <w:highlight w:val="none"/>
          <w14:textFill>
            <w14:solidFill>
              <w14:schemeClr w14:val="tx1"/>
            </w14:solidFill>
          </w14:textFill>
        </w:rPr>
        <w:t>容积率0.</w:t>
      </w:r>
      <w:r>
        <w:rPr>
          <w:rFonts w:hint="eastAsia" w:ascii="宋体" w:hAnsi="宋体" w:eastAsia="宋体" w:cs="宋体"/>
          <w:bCs/>
          <w:color w:val="000000" w:themeColor="text1"/>
          <w:spacing w:val="10"/>
          <w:sz w:val="24"/>
          <w:szCs w:val="24"/>
          <w:highlight w:val="none"/>
          <w:lang w:val="en-US" w:eastAsia="zh-CN"/>
          <w14:textFill>
            <w14:solidFill>
              <w14:schemeClr w14:val="tx1"/>
            </w14:solidFill>
          </w14:textFill>
        </w:rPr>
        <w:t>74</w:t>
      </w:r>
      <w:r>
        <w:rPr>
          <w:rFonts w:hint="eastAsia" w:ascii="宋体" w:hAnsi="宋体" w:eastAsia="宋体" w:cs="宋体"/>
          <w:bCs/>
          <w:color w:val="000000" w:themeColor="text1"/>
          <w:spacing w:val="10"/>
          <w:sz w:val="24"/>
          <w:szCs w:val="24"/>
          <w:highlight w:val="none"/>
          <w14:textFill>
            <w14:solidFill>
              <w14:schemeClr w14:val="tx1"/>
            </w14:solidFill>
          </w14:textFill>
        </w:rPr>
        <w:t>，绿地率</w:t>
      </w:r>
      <w:r>
        <w:rPr>
          <w:rFonts w:hint="eastAsia" w:ascii="宋体" w:hAnsi="宋体" w:eastAsia="宋体" w:cs="宋体"/>
          <w:bCs/>
          <w:color w:val="000000" w:themeColor="text1"/>
          <w:spacing w:val="10"/>
          <w:sz w:val="24"/>
          <w:szCs w:val="24"/>
          <w:highlight w:val="none"/>
          <w:lang w:val="en-US" w:eastAsia="zh-CN"/>
          <w14:textFill>
            <w14:solidFill>
              <w14:schemeClr w14:val="tx1"/>
            </w14:solidFill>
          </w14:textFill>
        </w:rPr>
        <w:t>17.63</w:t>
      </w:r>
      <w:r>
        <w:rPr>
          <w:rFonts w:hint="eastAsia" w:ascii="宋体" w:hAnsi="宋体" w:eastAsia="宋体" w:cs="宋体"/>
          <w:bCs/>
          <w:color w:val="000000" w:themeColor="text1"/>
          <w:spacing w:val="10"/>
          <w:sz w:val="24"/>
          <w:szCs w:val="24"/>
          <w:highlight w:val="none"/>
          <w14:textFill>
            <w14:solidFill>
              <w14:schemeClr w14:val="tx1"/>
            </w14:solidFill>
          </w14:textFill>
        </w:rPr>
        <w:t>％，建筑密度</w:t>
      </w:r>
      <w:r>
        <w:rPr>
          <w:rFonts w:hint="eastAsia" w:ascii="宋体" w:hAnsi="宋体" w:eastAsia="宋体" w:cs="宋体"/>
          <w:bCs/>
          <w:color w:val="000000" w:themeColor="text1"/>
          <w:spacing w:val="10"/>
          <w:sz w:val="24"/>
          <w:szCs w:val="24"/>
          <w:highlight w:val="none"/>
          <w:lang w:val="en-US" w:eastAsia="zh-CN"/>
          <w14:textFill>
            <w14:solidFill>
              <w14:schemeClr w14:val="tx1"/>
            </w14:solidFill>
          </w14:textFill>
        </w:rPr>
        <w:t>24.26</w:t>
      </w:r>
      <w:r>
        <w:rPr>
          <w:rFonts w:hint="eastAsia" w:ascii="宋体" w:hAnsi="宋体" w:eastAsia="宋体" w:cs="宋体"/>
          <w:bCs/>
          <w:color w:val="000000" w:themeColor="text1"/>
          <w:spacing w:val="10"/>
          <w:sz w:val="24"/>
          <w:szCs w:val="24"/>
          <w:highlight w:val="none"/>
          <w14:textFill>
            <w14:solidFill>
              <w14:schemeClr w14:val="tx1"/>
            </w14:solidFill>
          </w14:textFill>
        </w:rPr>
        <w:t>％。</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本项目主要分为</w:t>
      </w:r>
      <w:r>
        <w:rPr>
          <w:rFonts w:hint="eastAsia" w:ascii="宋体" w:hAnsi="宋体" w:eastAsia="宋体" w:cs="宋体"/>
          <w:color w:val="000000" w:themeColor="text1"/>
          <w:sz w:val="24"/>
          <w:szCs w:val="24"/>
          <w:highlight w:val="none"/>
          <w:lang w:eastAsia="zh-CN"/>
          <w14:textFill>
            <w14:solidFill>
              <w14:schemeClr w14:val="tx1"/>
            </w14:solidFill>
          </w14:textFill>
        </w:rPr>
        <w:t>综合楼、训练塔、通信室门岗</w:t>
      </w:r>
      <w:r>
        <w:rPr>
          <w:rFonts w:hint="eastAsia" w:ascii="宋体" w:hAnsi="宋体" w:eastAsia="宋体" w:cs="宋体"/>
          <w:color w:val="000000" w:themeColor="text1"/>
          <w:sz w:val="24"/>
          <w:szCs w:val="24"/>
          <w:highlight w:val="none"/>
          <w14:textFill>
            <w14:solidFill>
              <w14:schemeClr w14:val="tx1"/>
            </w14:solidFill>
          </w14:textFill>
        </w:rPr>
        <w:t>及外围围墙，包括以及相应范围内的道路、给排水、供电、照明、空调、</w:t>
      </w:r>
      <w:r>
        <w:rPr>
          <w:rFonts w:hint="eastAsia" w:ascii="宋体" w:hAnsi="宋体" w:eastAsia="宋体" w:cs="宋体"/>
          <w:color w:val="000000" w:themeColor="text1"/>
          <w:sz w:val="24"/>
          <w:szCs w:val="24"/>
          <w:highlight w:val="none"/>
          <w:lang w:eastAsia="zh-CN"/>
          <w14:textFill>
            <w14:solidFill>
              <w14:schemeClr w14:val="tx1"/>
            </w14:solidFill>
          </w14:textFill>
        </w:rPr>
        <w:t>智能化</w:t>
      </w:r>
      <w:r>
        <w:rPr>
          <w:rFonts w:hint="eastAsia" w:ascii="宋体" w:hAnsi="宋体" w:eastAsia="宋体" w:cs="宋体"/>
          <w:color w:val="000000" w:themeColor="text1"/>
          <w:sz w:val="24"/>
          <w:szCs w:val="24"/>
          <w:highlight w:val="none"/>
          <w14:textFill>
            <w14:solidFill>
              <w14:schemeClr w14:val="tx1"/>
            </w14:solidFill>
          </w14:textFill>
        </w:rPr>
        <w:t>、环保、绿化等工程。</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具体包括：</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1）前期工程：临时道路、临时用水、临时用电、排水、排污、临时围蔽、板房、工地视频监控等。</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u w:val="singl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土建工程（土方平衡、桩基础与地基基础工程、主体结构、屋面工程）、装饰装修工程、机电安装工程（含动力配电及照明系统、建筑物防雷接地系统、给排水系统、消防系统、通风空调系统、弱电系统（光纤入户、综合布线、信息网络、视频安防监控、公共广播、智能化配电等系统以及五方通话对讲系统的管线）、</w:t>
      </w:r>
      <w:r>
        <w:rPr>
          <w:rFonts w:hint="eastAsia" w:ascii="宋体" w:hAnsi="宋体" w:eastAsia="宋体" w:cs="宋体"/>
          <w:color w:val="000000" w:themeColor="text1"/>
          <w:sz w:val="24"/>
          <w:szCs w:val="24"/>
          <w:highlight w:val="none"/>
          <w:lang w:eastAsia="zh-CN"/>
          <w14:textFill>
            <w14:solidFill>
              <w14:schemeClr w14:val="tx1"/>
            </w14:solidFill>
          </w14:textFill>
        </w:rPr>
        <w:t>消火栓手动启泵按钮</w:t>
      </w:r>
      <w:r>
        <w:rPr>
          <w:rFonts w:hint="eastAsia" w:ascii="宋体" w:hAnsi="宋体" w:eastAsia="宋体" w:cs="宋体"/>
          <w:color w:val="000000" w:themeColor="text1"/>
          <w:sz w:val="24"/>
          <w:szCs w:val="24"/>
          <w:highlight w:val="none"/>
          <w14:textFill>
            <w14:solidFill>
              <w14:schemeClr w14:val="tx1"/>
            </w14:solidFill>
          </w14:textFill>
        </w:rPr>
        <w:t>系统等，具体以设计图纸及可研批复建设内容为准）、电梯、绿色建筑、抗震工程等。</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3）消防系统与监控系统均属本合同范围。</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4</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红线内绿化工程属于本合同范围。</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5）</w:t>
      </w:r>
      <w:r>
        <w:rPr>
          <w:rFonts w:hint="eastAsia" w:ascii="宋体" w:hAnsi="宋体" w:eastAsia="宋体" w:cs="宋体"/>
          <w:color w:val="000000" w:themeColor="text1"/>
          <w:sz w:val="24"/>
          <w:szCs w:val="24"/>
          <w:highlight w:val="none"/>
          <w:lang w:eastAsia="zh-CN"/>
          <w14:textFill>
            <w14:solidFill>
              <w14:schemeClr w14:val="tx1"/>
            </w14:solidFill>
          </w14:textFill>
        </w:rPr>
        <w:t>用地</w:t>
      </w:r>
      <w:r>
        <w:rPr>
          <w:rFonts w:hint="eastAsia" w:ascii="宋体" w:hAnsi="宋体" w:eastAsia="宋体" w:cs="宋体"/>
          <w:color w:val="000000" w:themeColor="text1"/>
          <w:sz w:val="24"/>
          <w:szCs w:val="24"/>
          <w:highlight w:val="none"/>
          <w14:textFill>
            <w14:solidFill>
              <w14:schemeClr w14:val="tx1"/>
            </w14:solidFill>
          </w14:textFill>
        </w:rPr>
        <w:t>红线内给排水系统均属本合同范围，给水排水工程由室外</w:t>
      </w:r>
      <w:r>
        <w:rPr>
          <w:rFonts w:hint="eastAsia" w:ascii="宋体" w:hAnsi="宋体" w:eastAsia="宋体" w:cs="宋体"/>
          <w:color w:val="000000" w:themeColor="text1"/>
          <w:sz w:val="24"/>
          <w:szCs w:val="24"/>
          <w:highlight w:val="none"/>
          <w:lang w:eastAsia="zh-CN"/>
          <w14:textFill>
            <w14:solidFill>
              <w14:schemeClr w14:val="tx1"/>
            </w14:solidFill>
          </w14:textFill>
        </w:rPr>
        <w:t>水表组（</w:t>
      </w:r>
      <w:r>
        <w:rPr>
          <w:rFonts w:hint="eastAsia" w:ascii="宋体" w:hAnsi="宋体" w:eastAsia="宋体" w:cs="宋体"/>
          <w:color w:val="000000" w:themeColor="text1"/>
          <w:sz w:val="24"/>
          <w:szCs w:val="24"/>
          <w:highlight w:val="none"/>
          <w:lang w:val="en-US" w:eastAsia="zh-CN"/>
          <w14:textFill>
            <w14:solidFill>
              <w14:schemeClr w14:val="tx1"/>
            </w14:solidFill>
          </w14:textFill>
        </w:rPr>
        <w:t>不含表组</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计算至</w:t>
      </w:r>
      <w:r>
        <w:rPr>
          <w:rFonts w:hint="eastAsia" w:ascii="宋体" w:hAnsi="宋体" w:eastAsia="宋体" w:cs="宋体"/>
          <w:color w:val="000000" w:themeColor="text1"/>
          <w:sz w:val="24"/>
          <w:szCs w:val="24"/>
          <w:highlight w:val="none"/>
          <w:lang w:eastAsia="zh-CN"/>
          <w14:textFill>
            <w14:solidFill>
              <w14:schemeClr w14:val="tx1"/>
            </w14:solidFill>
          </w14:textFill>
        </w:rPr>
        <w:t>室内</w:t>
      </w:r>
      <w:r>
        <w:rPr>
          <w:rFonts w:hint="eastAsia" w:ascii="宋体" w:hAnsi="宋体" w:eastAsia="宋体" w:cs="宋体"/>
          <w:color w:val="000000" w:themeColor="text1"/>
          <w:sz w:val="24"/>
          <w:szCs w:val="24"/>
          <w:highlight w:val="none"/>
          <w14:textFill>
            <w14:solidFill>
              <w14:schemeClr w14:val="tx1"/>
            </w14:solidFill>
          </w14:textFill>
        </w:rPr>
        <w:t>末端用水设备，包括</w:t>
      </w:r>
      <w:r>
        <w:rPr>
          <w:rFonts w:hint="eastAsia" w:ascii="宋体" w:hAnsi="宋体" w:eastAsia="宋体" w:cs="宋体"/>
          <w:color w:val="000000" w:themeColor="text1"/>
          <w:sz w:val="24"/>
          <w:szCs w:val="24"/>
          <w:highlight w:val="none"/>
          <w:lang w:eastAsia="zh-CN"/>
          <w14:textFill>
            <w14:solidFill>
              <w14:schemeClr w14:val="tx1"/>
            </w14:solidFill>
          </w14:textFill>
        </w:rPr>
        <w:t>室内外</w:t>
      </w:r>
      <w:r>
        <w:rPr>
          <w:rFonts w:hint="eastAsia" w:ascii="宋体" w:hAnsi="宋体" w:eastAsia="宋体" w:cs="宋体"/>
          <w:color w:val="000000" w:themeColor="text1"/>
          <w:sz w:val="24"/>
          <w:szCs w:val="24"/>
          <w:highlight w:val="none"/>
          <w14:textFill>
            <w14:solidFill>
              <w14:schemeClr w14:val="tx1"/>
            </w14:solidFill>
          </w14:textFill>
        </w:rPr>
        <w:t>自来水、</w:t>
      </w:r>
      <w:r>
        <w:rPr>
          <w:rFonts w:hint="eastAsia" w:ascii="宋体" w:hAnsi="宋体" w:eastAsia="宋体" w:cs="宋体"/>
          <w:color w:val="000000" w:themeColor="text1"/>
          <w:sz w:val="24"/>
          <w:szCs w:val="24"/>
          <w:highlight w:val="none"/>
          <w:lang w:val="en-US" w:eastAsia="zh-CN"/>
          <w14:textFill>
            <w14:solidFill>
              <w14:schemeClr w14:val="tx1"/>
            </w14:solidFill>
          </w14:textFill>
        </w:rPr>
        <w:t>中水系统</w:t>
      </w:r>
      <w:r>
        <w:rPr>
          <w:rFonts w:hint="eastAsia" w:ascii="宋体" w:hAnsi="宋体" w:eastAsia="宋体" w:cs="宋体"/>
          <w:color w:val="000000" w:themeColor="text1"/>
          <w:sz w:val="24"/>
          <w:szCs w:val="24"/>
          <w:highlight w:val="none"/>
          <w14:textFill>
            <w14:solidFill>
              <w14:schemeClr w14:val="tx1"/>
            </w14:solidFill>
          </w14:textFill>
        </w:rPr>
        <w:t>等，排水工程由</w:t>
      </w:r>
      <w:r>
        <w:rPr>
          <w:rFonts w:hint="eastAsia" w:ascii="宋体" w:hAnsi="宋体" w:eastAsia="宋体" w:cs="宋体"/>
          <w:color w:val="000000" w:themeColor="text1"/>
          <w:sz w:val="24"/>
          <w:szCs w:val="24"/>
          <w:highlight w:val="none"/>
          <w:lang w:eastAsia="zh-CN"/>
          <w14:textFill>
            <w14:solidFill>
              <w14:schemeClr w14:val="tx1"/>
            </w14:solidFill>
          </w14:textFill>
        </w:rPr>
        <w:t>第一个市政接驳</w:t>
      </w:r>
      <w:r>
        <w:rPr>
          <w:rFonts w:hint="eastAsia" w:ascii="宋体" w:hAnsi="宋体" w:eastAsia="宋体" w:cs="宋体"/>
          <w:color w:val="000000" w:themeColor="text1"/>
          <w:sz w:val="24"/>
          <w:szCs w:val="24"/>
          <w:highlight w:val="none"/>
          <w14:textFill>
            <w14:solidFill>
              <w14:schemeClr w14:val="tx1"/>
            </w14:solidFill>
          </w14:textFill>
        </w:rPr>
        <w:t>检查井至室内各排水末端设备,包含</w:t>
      </w:r>
      <w:r>
        <w:rPr>
          <w:rFonts w:hint="eastAsia" w:ascii="宋体" w:hAnsi="宋体" w:eastAsia="宋体" w:cs="宋体"/>
          <w:color w:val="000000" w:themeColor="text1"/>
          <w:sz w:val="24"/>
          <w:szCs w:val="24"/>
          <w:highlight w:val="none"/>
          <w:lang w:eastAsia="zh-CN"/>
          <w14:textFill>
            <w14:solidFill>
              <w14:schemeClr w14:val="tx1"/>
            </w14:solidFill>
          </w14:textFill>
        </w:rPr>
        <w:t>室内外</w:t>
      </w:r>
      <w:r>
        <w:rPr>
          <w:rFonts w:hint="eastAsia" w:ascii="宋体" w:hAnsi="宋体" w:eastAsia="宋体" w:cs="宋体"/>
          <w:color w:val="000000" w:themeColor="text1"/>
          <w:sz w:val="24"/>
          <w:szCs w:val="24"/>
          <w:highlight w:val="none"/>
          <w14:textFill>
            <w14:solidFill>
              <w14:schemeClr w14:val="tx1"/>
            </w14:solidFill>
          </w14:textFill>
        </w:rPr>
        <w:t>污水、废水、冷凝水等系统的管道及设施</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目前红线外给水、排水管网已建设完成，给水系统配合自来水公司在水表组后接入，排水系统承包人需接入至已有的市政接驳井。</w:t>
      </w:r>
    </w:p>
    <w:p>
      <w:pPr>
        <w:pStyle w:val="7"/>
        <w:spacing w:line="360" w:lineRule="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6）本项目10KV高压系统采用一回路供电，并采用柴油发电机组为应急电源，不设置开关房；本合同范围包括10KV配电房的土建工程、高低压供配电设备安装、相关电缆安装及柴油发电机采购，具体以供电答复书为准，机电工程与动力配电及照明系统均属本合同范围，室外低压电缆走向详见电气总图内容。</w:t>
      </w:r>
    </w:p>
    <w:p>
      <w:pPr>
        <w:pStyle w:val="7"/>
        <w:spacing w:line="360" w:lineRule="auto"/>
        <w:rPr>
          <w:rFonts w:hint="eastAsia" w:ascii="宋体" w:hAnsi="宋体" w:eastAsia="宋体" w:cs="宋体"/>
          <w:b w:val="0"/>
          <w:bCs w:val="0"/>
          <w:color w:val="000000" w:themeColor="text1"/>
          <w:sz w:val="24"/>
          <w:szCs w:val="24"/>
          <w:highlight w:val="none"/>
          <w:lang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6</w:t>
      </w:r>
      <w:r>
        <w:rPr>
          <w:rFonts w:hint="eastAsia" w:ascii="宋体" w:hAnsi="宋体" w:eastAsia="宋体" w:cs="宋体"/>
          <w:b w:val="0"/>
          <w:bCs w:val="0"/>
          <w:color w:val="000000" w:themeColor="text1"/>
          <w:sz w:val="24"/>
          <w:szCs w:val="24"/>
          <w:highlight w:val="none"/>
          <w14:textFill>
            <w14:solidFill>
              <w14:schemeClr w14:val="tx1"/>
            </w14:solidFill>
          </w14:textFill>
        </w:rPr>
        <w:t>）目前现场施工场地</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暂</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未</w:t>
      </w:r>
      <w:r>
        <w:rPr>
          <w:rFonts w:hint="eastAsia" w:ascii="宋体" w:hAnsi="宋体" w:eastAsia="宋体" w:cs="宋体"/>
          <w:b w:val="0"/>
          <w:bCs w:val="0"/>
          <w:color w:val="000000" w:themeColor="text1"/>
          <w:sz w:val="24"/>
          <w:szCs w:val="24"/>
          <w:highlight w:val="none"/>
          <w14:textFill>
            <w14:solidFill>
              <w14:schemeClr w14:val="tx1"/>
            </w14:solidFill>
          </w14:textFill>
        </w:rPr>
        <w:t>进行初步平整，场地</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按现状移交，</w:t>
      </w:r>
      <w:r>
        <w:rPr>
          <w:rFonts w:hint="eastAsia" w:ascii="宋体" w:hAnsi="宋体" w:eastAsia="宋体" w:cs="宋体"/>
          <w:b w:val="0"/>
          <w:bCs w:val="0"/>
          <w:color w:val="000000" w:themeColor="text1"/>
          <w:sz w:val="24"/>
          <w:szCs w:val="24"/>
          <w:highlight w:val="none"/>
          <w14:textFill>
            <w14:solidFill>
              <w14:schemeClr w14:val="tx1"/>
            </w14:solidFill>
          </w14:textFill>
        </w:rPr>
        <w:t>总承包单位</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以业主</w:t>
      </w:r>
      <w:r>
        <w:rPr>
          <w:rFonts w:hint="default" w:ascii="宋体" w:hAnsi="宋体" w:cs="宋体"/>
          <w:b w:val="0"/>
          <w:bCs w:val="0"/>
          <w:color w:val="000000" w:themeColor="text1"/>
          <w:sz w:val="24"/>
          <w:szCs w:val="24"/>
          <w:highlight w:val="none"/>
          <w:lang w:eastAsia="zh-CN"/>
          <w14:textFill>
            <w14:solidFill>
              <w14:schemeClr w14:val="tx1"/>
            </w14:solidFill>
          </w14:textFill>
        </w:rPr>
        <w:t>委托的</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第三方测量队确认的</w:t>
      </w:r>
      <w:r>
        <w:rPr>
          <w:rFonts w:hint="eastAsia" w:ascii="宋体" w:hAnsi="宋体" w:eastAsia="宋体" w:cs="宋体"/>
          <w:b w:val="0"/>
          <w:bCs w:val="0"/>
          <w:color w:val="000000" w:themeColor="text1"/>
          <w:sz w:val="24"/>
          <w:szCs w:val="24"/>
          <w:highlight w:val="none"/>
          <w14:textFill>
            <w14:solidFill>
              <w14:schemeClr w14:val="tx1"/>
            </w14:solidFill>
          </w14:textFill>
        </w:rPr>
        <w:t>标高</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进行场地接收，并</w:t>
      </w:r>
      <w:r>
        <w:rPr>
          <w:rFonts w:hint="eastAsia" w:ascii="宋体" w:hAnsi="宋体" w:eastAsia="宋体" w:cs="宋体"/>
          <w:b w:val="0"/>
          <w:bCs w:val="0"/>
          <w:color w:val="000000" w:themeColor="text1"/>
          <w:sz w:val="24"/>
          <w:szCs w:val="24"/>
          <w:highlight w:val="none"/>
          <w14:textFill>
            <w14:solidFill>
              <w14:schemeClr w14:val="tx1"/>
            </w14:solidFill>
          </w14:textFill>
        </w:rPr>
        <w:t>负责</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场地平整</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，场地平整所需土石方，纳入科教城土石方工程统一调配</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w:t>
      </w:r>
    </w:p>
    <w:p>
      <w:pPr>
        <w:pStyle w:val="4"/>
        <w:spacing w:before="156" w:after="156"/>
        <w:ind w:left="0" w:leftChars="0"/>
        <w:jc w:val="left"/>
        <w:rPr>
          <w:rFonts w:hint="eastAsia" w:ascii="仿宋" w:hAnsi="仿宋"/>
          <w:color w:val="000000" w:themeColor="text1"/>
          <w:highlight w:val="none"/>
          <w14:textFill>
            <w14:solidFill>
              <w14:schemeClr w14:val="tx1"/>
            </w14:solidFill>
          </w14:textFill>
        </w:rPr>
      </w:pPr>
      <w:bookmarkStart w:id="187" w:name="_Toc23438"/>
      <w:bookmarkStart w:id="188" w:name="_Toc9627"/>
      <w:bookmarkStart w:id="189" w:name="_Toc10556571"/>
      <w:bookmarkStart w:id="190" w:name="_Toc7587"/>
      <w:r>
        <w:rPr>
          <w:rFonts w:hint="eastAsia" w:ascii="仿宋" w:hAnsi="仿宋"/>
          <w:color w:val="000000" w:themeColor="text1"/>
          <w:highlight w:val="none"/>
          <w14:textFill>
            <w14:solidFill>
              <w14:schemeClr w14:val="tx1"/>
            </w14:solidFill>
          </w14:textFill>
        </w:rPr>
        <w:t>（四）项目管理目标</w:t>
      </w:r>
      <w:bookmarkEnd w:id="187"/>
      <w:bookmarkEnd w:id="188"/>
      <w:bookmarkEnd w:id="189"/>
      <w:bookmarkEnd w:id="190"/>
    </w:p>
    <w:p>
      <w:pPr>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191" w:name="_Toc8392"/>
      <w:bookmarkStart w:id="192" w:name="_Toc125"/>
      <w:bookmarkStart w:id="193" w:name="_Toc11578"/>
      <w:r>
        <w:rPr>
          <w:rFonts w:hint="eastAsia" w:ascii="宋体" w:hAnsi="宋体" w:eastAsia="宋体" w:cs="宋体"/>
          <w:color w:val="000000" w:themeColor="text1"/>
          <w:sz w:val="24"/>
          <w:szCs w:val="24"/>
          <w:highlight w:val="none"/>
          <w14:textFill>
            <w14:solidFill>
              <w14:schemeClr w14:val="tx1"/>
            </w14:solidFill>
          </w14:textFill>
        </w:rPr>
        <w:t>1、工期进度目标</w:t>
      </w:r>
      <w:bookmarkEnd w:id="191"/>
      <w:bookmarkEnd w:id="192"/>
      <w:bookmarkEnd w:id="193"/>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b w:val="0"/>
          <w:bCs w:val="0"/>
          <w:color w:val="000000" w:themeColor="text1"/>
          <w:sz w:val="24"/>
          <w:szCs w:val="24"/>
          <w:highlight w:val="none"/>
          <w14:textFill>
            <w14:solidFill>
              <w14:schemeClr w14:val="tx1"/>
            </w14:solidFill>
          </w14:textFill>
        </w:rPr>
        <w:t>本项目的总工期目标暂定：自202</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4</w:t>
      </w:r>
      <w:r>
        <w:rPr>
          <w:rFonts w:hint="eastAsia" w:ascii="宋体" w:hAnsi="宋体" w:eastAsia="宋体" w:cs="宋体"/>
          <w:b w:val="0"/>
          <w:bCs w:val="0"/>
          <w:color w:val="000000" w:themeColor="text1"/>
          <w:sz w:val="24"/>
          <w:szCs w:val="24"/>
          <w:highlight w:val="none"/>
          <w14:textFill>
            <w14:solidFill>
              <w14:schemeClr w14:val="tx1"/>
            </w14:solidFill>
          </w14:textFill>
        </w:rPr>
        <w:t>年</w:t>
      </w:r>
      <w:r>
        <w:rPr>
          <w:rFonts w:hint="default" w:ascii="宋体" w:hAnsi="宋体" w:cs="宋体"/>
          <w:b w:val="0"/>
          <w:bCs w:val="0"/>
          <w:color w:val="000000" w:themeColor="text1"/>
          <w:sz w:val="24"/>
          <w:szCs w:val="24"/>
          <w:highlight w:val="none"/>
          <w14:textFill>
            <w14:solidFill>
              <w14:schemeClr w14:val="tx1"/>
            </w14:solidFill>
          </w14:textFill>
        </w:rPr>
        <w:t>7</w:t>
      </w:r>
      <w:r>
        <w:rPr>
          <w:rFonts w:hint="eastAsia" w:ascii="宋体" w:hAnsi="宋体" w:eastAsia="宋体" w:cs="宋体"/>
          <w:b w:val="0"/>
          <w:bCs w:val="0"/>
          <w:color w:val="000000" w:themeColor="text1"/>
          <w:sz w:val="24"/>
          <w:szCs w:val="24"/>
          <w:highlight w:val="none"/>
          <w14:textFill>
            <w14:solidFill>
              <w14:schemeClr w14:val="tx1"/>
            </w14:solidFill>
          </w14:textFill>
        </w:rPr>
        <w:t>月1日正式动工，至202</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5</w:t>
      </w:r>
      <w:r>
        <w:rPr>
          <w:rFonts w:hint="eastAsia" w:ascii="宋体" w:hAnsi="宋体" w:eastAsia="宋体" w:cs="宋体"/>
          <w:b w:val="0"/>
          <w:bCs w:val="0"/>
          <w:color w:val="000000" w:themeColor="text1"/>
          <w:sz w:val="24"/>
          <w:szCs w:val="24"/>
          <w:highlight w:val="none"/>
          <w14:textFill>
            <w14:solidFill>
              <w14:schemeClr w14:val="tx1"/>
            </w14:solidFill>
          </w14:textFill>
        </w:rPr>
        <w:t>年</w:t>
      </w:r>
      <w:r>
        <w:rPr>
          <w:rFonts w:hint="default" w:ascii="宋体" w:hAnsi="宋体" w:cs="宋体"/>
          <w:b w:val="0"/>
          <w:bCs w:val="0"/>
          <w:color w:val="000000" w:themeColor="text1"/>
          <w:sz w:val="24"/>
          <w:szCs w:val="24"/>
          <w:highlight w:val="none"/>
          <w14:textFill>
            <w14:solidFill>
              <w14:schemeClr w14:val="tx1"/>
            </w14:solidFill>
          </w14:textFill>
        </w:rPr>
        <w:t>3</w:t>
      </w:r>
      <w:r>
        <w:rPr>
          <w:rFonts w:hint="eastAsia" w:ascii="宋体" w:hAnsi="宋体" w:eastAsia="宋体" w:cs="宋体"/>
          <w:b w:val="0"/>
          <w:bCs w:val="0"/>
          <w:color w:val="000000" w:themeColor="text1"/>
          <w:sz w:val="24"/>
          <w:szCs w:val="24"/>
          <w:highlight w:val="none"/>
          <w14:textFill>
            <w14:solidFill>
              <w14:schemeClr w14:val="tx1"/>
            </w14:solidFill>
          </w14:textFill>
        </w:rPr>
        <w:t>月</w:t>
      </w:r>
      <w:r>
        <w:rPr>
          <w:rFonts w:hint="default" w:ascii="宋体" w:hAnsi="宋体" w:cs="宋体"/>
          <w:b w:val="0"/>
          <w:bCs w:val="0"/>
          <w:color w:val="000000" w:themeColor="text1"/>
          <w:sz w:val="24"/>
          <w:szCs w:val="24"/>
          <w:highlight w:val="none"/>
          <w14:textFill>
            <w14:solidFill>
              <w14:schemeClr w14:val="tx1"/>
            </w14:solidFill>
          </w14:textFill>
        </w:rPr>
        <w:t>3</w:t>
      </w:r>
      <w:r>
        <w:rPr>
          <w:rFonts w:hint="eastAsia" w:ascii="宋体" w:hAnsi="宋体" w:eastAsia="宋体" w:cs="宋体"/>
          <w:b w:val="0"/>
          <w:bCs w:val="0"/>
          <w:color w:val="000000" w:themeColor="text1"/>
          <w:sz w:val="24"/>
          <w:szCs w:val="24"/>
          <w:highlight w:val="none"/>
          <w14:textFill>
            <w14:solidFill>
              <w14:schemeClr w14:val="tx1"/>
            </w14:solidFill>
          </w14:textFill>
        </w:rPr>
        <w:t>日</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取得</w:t>
      </w:r>
      <w:r>
        <w:rPr>
          <w:rFonts w:hint="eastAsia" w:ascii="宋体" w:hAnsi="宋体" w:eastAsia="宋体" w:cs="宋体"/>
          <w:b w:val="0"/>
          <w:bCs w:val="0"/>
          <w:color w:val="000000" w:themeColor="text1"/>
          <w:sz w:val="24"/>
          <w:szCs w:val="24"/>
          <w:highlight w:val="none"/>
          <w14:textFill>
            <w14:solidFill>
              <w14:schemeClr w14:val="tx1"/>
            </w14:solidFill>
          </w14:textFill>
        </w:rPr>
        <w:t>竣工</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联合</w:t>
      </w:r>
      <w:r>
        <w:rPr>
          <w:rFonts w:hint="eastAsia" w:ascii="宋体" w:hAnsi="宋体" w:eastAsia="宋体" w:cs="宋体"/>
          <w:b w:val="0"/>
          <w:bCs w:val="0"/>
          <w:color w:val="000000" w:themeColor="text1"/>
          <w:sz w:val="24"/>
          <w:szCs w:val="24"/>
          <w:highlight w:val="none"/>
          <w14:textFill>
            <w14:solidFill>
              <w14:schemeClr w14:val="tx1"/>
            </w14:solidFill>
          </w14:textFill>
        </w:rPr>
        <w:t>验收</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意见书</w:t>
      </w:r>
      <w:r>
        <w:rPr>
          <w:rFonts w:hint="eastAsia" w:ascii="宋体" w:hAnsi="宋体" w:eastAsia="宋体" w:cs="宋体"/>
          <w:b w:val="0"/>
          <w:bCs w:val="0"/>
          <w:color w:val="000000" w:themeColor="text1"/>
          <w:sz w:val="24"/>
          <w:szCs w:val="24"/>
          <w:highlight w:val="none"/>
          <w14:textFill>
            <w14:solidFill>
              <w14:schemeClr w14:val="tx1"/>
            </w14:solidFill>
          </w14:textFill>
        </w:rPr>
        <w:t>,总工期</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245</w:t>
      </w:r>
      <w:r>
        <w:rPr>
          <w:rFonts w:hint="eastAsia" w:ascii="宋体" w:hAnsi="宋体" w:eastAsia="宋体" w:cs="宋体"/>
          <w:b w:val="0"/>
          <w:bCs w:val="0"/>
          <w:color w:val="000000" w:themeColor="text1"/>
          <w:sz w:val="24"/>
          <w:szCs w:val="24"/>
          <w:highlight w:val="none"/>
          <w14:textFill>
            <w14:solidFill>
              <w14:schemeClr w14:val="tx1"/>
            </w14:solidFill>
          </w14:textFill>
        </w:rPr>
        <w:t>天</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实际开工日期以总监理工程师签发的开工令为准</w:t>
      </w:r>
      <w:r>
        <w:rPr>
          <w:rFonts w:hint="eastAsia" w:ascii="宋体" w:hAnsi="宋体" w:eastAsia="宋体" w:cs="宋体"/>
          <w:b w:val="0"/>
          <w:bCs w:val="0"/>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各关键节点工期目标如下：</w:t>
      </w:r>
    </w:p>
    <w:tbl>
      <w:tblPr>
        <w:tblStyle w:val="18"/>
        <w:tblW w:w="9038" w:type="dxa"/>
        <w:jc w:val="center"/>
        <w:tblLayout w:type="fixed"/>
        <w:tblCellMar>
          <w:top w:w="0" w:type="dxa"/>
          <w:left w:w="108" w:type="dxa"/>
          <w:bottom w:w="0" w:type="dxa"/>
          <w:right w:w="108" w:type="dxa"/>
        </w:tblCellMar>
      </w:tblPr>
      <w:tblGrid>
        <w:gridCol w:w="2227"/>
        <w:gridCol w:w="1842"/>
        <w:gridCol w:w="1865"/>
        <w:gridCol w:w="3104"/>
      </w:tblGrid>
      <w:tr>
        <w:tblPrEx>
          <w:tblCellMar>
            <w:top w:w="0" w:type="dxa"/>
            <w:left w:w="108" w:type="dxa"/>
            <w:bottom w:w="0" w:type="dxa"/>
            <w:right w:w="108" w:type="dxa"/>
          </w:tblCellMar>
        </w:tblPrEx>
        <w:trPr>
          <w:trHeight w:val="435" w:hRule="atLeast"/>
          <w:jc w:val="center"/>
        </w:trPr>
        <w:tc>
          <w:tcPr>
            <w:tcW w:w="222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仿宋_GB2312" w:eastAsia="仿宋_GB2312"/>
                <w:b/>
                <w:color w:val="000000" w:themeColor="text1"/>
                <w:sz w:val="24"/>
                <w:highlight w:val="none"/>
                <w14:textFill>
                  <w14:solidFill>
                    <w14:schemeClr w14:val="tx1"/>
                  </w14:solidFill>
                </w14:textFill>
              </w:rPr>
            </w:pPr>
            <w:r>
              <w:rPr>
                <w:rFonts w:hint="eastAsia" w:ascii="仿宋_GB2312" w:eastAsia="仿宋_GB2312"/>
                <w:b/>
                <w:color w:val="000000" w:themeColor="text1"/>
                <w:sz w:val="24"/>
                <w:highlight w:val="none"/>
                <w14:textFill>
                  <w14:solidFill>
                    <w14:schemeClr w14:val="tx1"/>
                  </w14:solidFill>
                </w14:textFill>
              </w:rPr>
              <w:t>项目名称</w:t>
            </w:r>
          </w:p>
        </w:tc>
        <w:tc>
          <w:tcPr>
            <w:tcW w:w="1842"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仿宋_GB2312" w:eastAsia="仿宋_GB2312"/>
                <w:b/>
                <w:color w:val="000000" w:themeColor="text1"/>
                <w:sz w:val="24"/>
                <w:highlight w:val="none"/>
                <w14:textFill>
                  <w14:solidFill>
                    <w14:schemeClr w14:val="tx1"/>
                  </w14:solidFill>
                </w14:textFill>
              </w:rPr>
            </w:pPr>
            <w:r>
              <w:rPr>
                <w:rFonts w:hint="eastAsia" w:ascii="仿宋_GB2312" w:eastAsia="仿宋_GB2312"/>
                <w:b/>
                <w:color w:val="000000" w:themeColor="text1"/>
                <w:sz w:val="24"/>
                <w:highlight w:val="none"/>
                <w14:textFill>
                  <w14:solidFill>
                    <w14:schemeClr w14:val="tx1"/>
                  </w14:solidFill>
                </w14:textFill>
              </w:rPr>
              <w:t>计划开始时间</w:t>
            </w:r>
          </w:p>
        </w:tc>
        <w:tc>
          <w:tcPr>
            <w:tcW w:w="186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仿宋_GB2312" w:eastAsia="仿宋_GB2312"/>
                <w:b/>
                <w:color w:val="000000" w:themeColor="text1"/>
                <w:sz w:val="24"/>
                <w:highlight w:val="none"/>
                <w14:textFill>
                  <w14:solidFill>
                    <w14:schemeClr w14:val="tx1"/>
                  </w14:solidFill>
                </w14:textFill>
              </w:rPr>
            </w:pPr>
            <w:r>
              <w:rPr>
                <w:rFonts w:hint="eastAsia" w:ascii="仿宋_GB2312" w:eastAsia="仿宋_GB2312"/>
                <w:b/>
                <w:color w:val="000000" w:themeColor="text1"/>
                <w:sz w:val="24"/>
                <w:highlight w:val="none"/>
                <w14:textFill>
                  <w14:solidFill>
                    <w14:schemeClr w14:val="tx1"/>
                  </w14:solidFill>
                </w14:textFill>
              </w:rPr>
              <w:t>计划完成时间</w:t>
            </w:r>
          </w:p>
        </w:tc>
        <w:tc>
          <w:tcPr>
            <w:tcW w:w="310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jc w:val="center"/>
              <w:rPr>
                <w:rFonts w:hint="default" w:ascii="仿宋_GB2312" w:eastAsia="仿宋_GB2312"/>
                <w:b/>
                <w:color w:val="000000" w:themeColor="text1"/>
                <w:sz w:val="24"/>
                <w:highlight w:val="none"/>
                <w14:textFill>
                  <w14:solidFill>
                    <w14:schemeClr w14:val="tx1"/>
                  </w14:solidFill>
                </w14:textFill>
              </w:rPr>
            </w:pPr>
            <w:r>
              <w:rPr>
                <w:rFonts w:hint="eastAsia" w:ascii="仿宋_GB2312" w:eastAsia="仿宋_GB2312"/>
                <w:b/>
                <w:color w:val="000000" w:themeColor="text1"/>
                <w:sz w:val="24"/>
                <w:highlight w:val="none"/>
                <w14:textFill>
                  <w14:solidFill>
                    <w14:schemeClr w14:val="tx1"/>
                  </w14:solidFill>
                </w14:textFill>
              </w:rPr>
              <w:t>备注</w:t>
            </w:r>
          </w:p>
        </w:tc>
      </w:tr>
      <w:tr>
        <w:tblPrEx>
          <w:tblCellMar>
            <w:top w:w="0" w:type="dxa"/>
            <w:left w:w="108" w:type="dxa"/>
            <w:bottom w:w="0" w:type="dxa"/>
            <w:right w:w="108" w:type="dxa"/>
          </w:tblCellMar>
        </w:tblPrEx>
        <w:trPr>
          <w:trHeight w:val="402" w:hRule="atLeast"/>
          <w:jc w:val="center"/>
        </w:trPr>
        <w:tc>
          <w:tcPr>
            <w:tcW w:w="9038" w:type="dxa"/>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jc w:val="center"/>
              <w:rPr>
                <w:rFonts w:hint="default" w:ascii="仿宋_GB2312" w:eastAsia="仿宋_GB2312"/>
                <w:color w:val="000000" w:themeColor="text1"/>
                <w:sz w:val="24"/>
                <w:highlight w:val="none"/>
                <w14:textFill>
                  <w14:solidFill>
                    <w14:schemeClr w14:val="tx1"/>
                  </w14:solidFill>
                </w14:textFill>
              </w:rPr>
            </w:pPr>
            <w:r>
              <w:rPr>
                <w:rFonts w:hint="eastAsia" w:ascii="仿宋_GB2312" w:eastAsia="仿宋_GB2312"/>
                <w:strike/>
                <w:color w:val="000000" w:themeColor="text1"/>
                <w:sz w:val="24"/>
                <w:highlight w:val="none"/>
                <w14:textFill>
                  <w14:solidFill>
                    <w14:schemeClr w14:val="tx1"/>
                  </w14:solidFill>
                </w14:textFill>
              </w:rPr>
              <w:t>以202</w:t>
            </w:r>
            <w:r>
              <w:rPr>
                <w:rFonts w:hint="eastAsia" w:ascii="仿宋_GB2312" w:eastAsia="仿宋_GB2312"/>
                <w:strike/>
                <w:color w:val="000000" w:themeColor="text1"/>
                <w:sz w:val="24"/>
                <w:highlight w:val="none"/>
                <w:lang w:val="en-US" w:eastAsia="zh-CN"/>
                <w14:textFill>
                  <w14:solidFill>
                    <w14:schemeClr w14:val="tx1"/>
                  </w14:solidFill>
                </w14:textFill>
              </w:rPr>
              <w:t>4</w:t>
            </w:r>
            <w:r>
              <w:rPr>
                <w:rFonts w:hint="eastAsia" w:ascii="仿宋_GB2312" w:eastAsia="仿宋_GB2312"/>
                <w:strike/>
                <w:color w:val="000000" w:themeColor="text1"/>
                <w:sz w:val="24"/>
                <w:highlight w:val="none"/>
                <w14:textFill>
                  <w14:solidFill>
                    <w14:schemeClr w14:val="tx1"/>
                  </w14:solidFill>
                </w14:textFill>
              </w:rPr>
              <w:t>.</w:t>
            </w:r>
            <w:r>
              <w:rPr>
                <w:rFonts w:hint="eastAsia" w:ascii="仿宋_GB2312" w:eastAsia="仿宋_GB2312"/>
                <w:strike/>
                <w:color w:val="000000" w:themeColor="text1"/>
                <w:sz w:val="24"/>
                <w:highlight w:val="none"/>
                <w:lang w:val="en-US" w:eastAsia="zh-CN"/>
                <w14:textFill>
                  <w14:solidFill>
                    <w14:schemeClr w14:val="tx1"/>
                  </w14:solidFill>
                </w14:textFill>
              </w:rPr>
              <w:t>6</w:t>
            </w:r>
            <w:r>
              <w:rPr>
                <w:rFonts w:hint="eastAsia" w:ascii="仿宋_GB2312" w:eastAsia="仿宋_GB2312"/>
                <w:strike/>
                <w:color w:val="000000" w:themeColor="text1"/>
                <w:sz w:val="24"/>
                <w:highlight w:val="none"/>
                <w14:textFill>
                  <w14:solidFill>
                    <w14:schemeClr w14:val="tx1"/>
                  </w14:solidFill>
                </w14:textFill>
              </w:rPr>
              <w:t>.1开始计算，工期天，</w:t>
            </w:r>
            <w:r>
              <w:rPr>
                <w:rFonts w:hint="eastAsia" w:ascii="仿宋_GB2312" w:eastAsia="仿宋_GB2312"/>
                <w:strike/>
                <w:color w:val="000000" w:themeColor="text1"/>
                <w:sz w:val="24"/>
                <w:highlight w:val="none"/>
                <w:lang w:val="en-US" w:eastAsia="zh-CN"/>
                <w14:textFill>
                  <w14:solidFill>
                    <w14:schemeClr w14:val="tx1"/>
                  </w14:solidFill>
                </w14:textFill>
              </w:rPr>
              <w:t>8</w:t>
            </w:r>
            <w:r>
              <w:rPr>
                <w:rFonts w:hint="eastAsia" w:ascii="仿宋_GB2312" w:eastAsia="仿宋_GB2312"/>
                <w:strike/>
                <w:color w:val="000000" w:themeColor="text1"/>
                <w:sz w:val="24"/>
                <w:highlight w:val="none"/>
                <w14:textFill>
                  <w14:solidFill>
                    <w14:schemeClr w14:val="tx1"/>
                  </w14:solidFill>
                </w14:textFill>
              </w:rPr>
              <w:t>个月，预计202</w:t>
            </w:r>
            <w:r>
              <w:rPr>
                <w:rFonts w:hint="eastAsia" w:ascii="仿宋_GB2312" w:eastAsia="仿宋_GB2312"/>
                <w:strike/>
                <w:color w:val="000000" w:themeColor="text1"/>
                <w:sz w:val="24"/>
                <w:highlight w:val="none"/>
                <w:lang w:val="en-US" w:eastAsia="zh-CN"/>
                <w14:textFill>
                  <w14:solidFill>
                    <w14:schemeClr w14:val="tx1"/>
                  </w14:solidFill>
                </w14:textFill>
              </w:rPr>
              <w:t>5</w:t>
            </w:r>
            <w:r>
              <w:rPr>
                <w:rFonts w:hint="eastAsia" w:ascii="仿宋_GB2312" w:eastAsia="仿宋_GB2312"/>
                <w:strike/>
                <w:color w:val="000000" w:themeColor="text1"/>
                <w:sz w:val="24"/>
                <w:highlight w:val="none"/>
                <w14:textFill>
                  <w14:solidFill>
                    <w14:schemeClr w14:val="tx1"/>
                  </w14:solidFill>
                </w14:textFill>
              </w:rPr>
              <w:t>年</w:t>
            </w:r>
            <w:r>
              <w:rPr>
                <w:rFonts w:hint="eastAsia" w:ascii="仿宋_GB2312" w:eastAsia="仿宋_GB2312"/>
                <w:strike/>
                <w:color w:val="000000" w:themeColor="text1"/>
                <w:sz w:val="24"/>
                <w:highlight w:val="none"/>
                <w:lang w:val="en-US" w:eastAsia="zh-CN"/>
                <w14:textFill>
                  <w14:solidFill>
                    <w14:schemeClr w14:val="tx1"/>
                  </w14:solidFill>
                </w14:textFill>
              </w:rPr>
              <w:t>1</w:t>
            </w:r>
            <w:r>
              <w:rPr>
                <w:rFonts w:hint="eastAsia" w:ascii="仿宋_GB2312" w:eastAsia="仿宋_GB2312"/>
                <w:strike/>
                <w:color w:val="000000" w:themeColor="text1"/>
                <w:sz w:val="24"/>
                <w:highlight w:val="none"/>
                <w14:textFill>
                  <w14:solidFill>
                    <w14:schemeClr w14:val="tx1"/>
                  </w14:solidFill>
                </w14:textFill>
              </w:rPr>
              <w:t>月底竣工</w:t>
            </w:r>
          </w:p>
        </w:tc>
      </w:tr>
      <w:tr>
        <w:tblPrEx>
          <w:tblCellMar>
            <w:top w:w="0" w:type="dxa"/>
            <w:left w:w="108" w:type="dxa"/>
            <w:bottom w:w="0" w:type="dxa"/>
            <w:right w:w="108" w:type="dxa"/>
          </w:tblCellMar>
        </w:tblPrEx>
        <w:trPr>
          <w:trHeight w:val="402" w:hRule="atLeast"/>
          <w:jc w:val="center"/>
        </w:trPr>
        <w:tc>
          <w:tcPr>
            <w:tcW w:w="2227"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施工单位进场并办理施工许可证手续（1个月）</w:t>
            </w:r>
          </w:p>
        </w:tc>
        <w:tc>
          <w:tcPr>
            <w:tcW w:w="1842"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7</w:t>
            </w:r>
            <w:r>
              <w:rPr>
                <w:rFonts w:hint="eastAsia" w:ascii="仿宋_GB2312" w:eastAsia="仿宋_GB2312"/>
                <w:b/>
                <w:bCs/>
                <w:color w:val="000000" w:themeColor="text1"/>
                <w:highlight w:val="none"/>
                <w14:textFill>
                  <w14:solidFill>
                    <w14:schemeClr w14:val="tx1"/>
                  </w14:solidFill>
                </w14:textFill>
              </w:rPr>
              <w:t>-1</w:t>
            </w:r>
          </w:p>
        </w:tc>
        <w:tc>
          <w:tcPr>
            <w:tcW w:w="1865"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lang w:val="en-US" w:eastAsia="zh-CN"/>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7</w:t>
            </w:r>
            <w:r>
              <w:rPr>
                <w:rFonts w:hint="eastAsia" w:ascii="仿宋_GB2312" w:eastAsia="仿宋_GB2312"/>
                <w:b/>
                <w:bCs/>
                <w:color w:val="000000" w:themeColor="text1"/>
                <w:highlight w:val="none"/>
                <w14:textFill>
                  <w14:solidFill>
                    <w14:schemeClr w14:val="tx1"/>
                  </w14:solidFill>
                </w14:textFill>
              </w:rPr>
              <w:t>-</w:t>
            </w:r>
            <w:r>
              <w:rPr>
                <w:rFonts w:hint="eastAsia" w:ascii="仿宋_GB2312" w:eastAsia="仿宋_GB2312"/>
                <w:b/>
                <w:bCs/>
                <w:color w:val="000000" w:themeColor="text1"/>
                <w:highlight w:val="none"/>
                <w:lang w:val="en-US" w:eastAsia="zh-CN"/>
                <w14:textFill>
                  <w14:solidFill>
                    <w14:schemeClr w14:val="tx1"/>
                  </w14:solidFill>
                </w14:textFill>
              </w:rPr>
              <w:t>3</w:t>
            </w:r>
            <w:r>
              <w:rPr>
                <w:rFonts w:hint="default" w:ascii="仿宋_GB2312" w:eastAsia="仿宋_GB2312"/>
                <w:b/>
                <w:bCs/>
                <w:color w:val="000000" w:themeColor="text1"/>
                <w:highlight w:val="none"/>
                <w:lang w:eastAsia="zh-CN"/>
                <w14:textFill>
                  <w14:solidFill>
                    <w14:schemeClr w14:val="tx1"/>
                  </w14:solidFill>
                </w14:textFill>
              </w:rPr>
              <w:t>1</w:t>
            </w:r>
          </w:p>
        </w:tc>
        <w:tc>
          <w:tcPr>
            <w:tcW w:w="3104"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人员设备进场、临建施工、报建报监手续办理</w:t>
            </w:r>
          </w:p>
        </w:tc>
      </w:tr>
      <w:tr>
        <w:tblPrEx>
          <w:tblCellMar>
            <w:top w:w="0" w:type="dxa"/>
            <w:left w:w="108" w:type="dxa"/>
            <w:bottom w:w="0" w:type="dxa"/>
            <w:right w:w="108" w:type="dxa"/>
          </w:tblCellMar>
        </w:tblPrEx>
        <w:trPr>
          <w:trHeight w:val="540" w:hRule="atLeast"/>
          <w:jc w:val="center"/>
        </w:trPr>
        <w:tc>
          <w:tcPr>
            <w:tcW w:w="2227"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土方平整、基坑及基础工程（1个月）</w:t>
            </w:r>
          </w:p>
        </w:tc>
        <w:tc>
          <w:tcPr>
            <w:tcW w:w="1842"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8</w:t>
            </w:r>
            <w:r>
              <w:rPr>
                <w:rFonts w:hint="eastAsia" w:ascii="仿宋_GB2312" w:eastAsia="仿宋_GB2312"/>
                <w:b/>
                <w:bCs/>
                <w:color w:val="000000" w:themeColor="text1"/>
                <w:highlight w:val="none"/>
                <w14:textFill>
                  <w14:solidFill>
                    <w14:schemeClr w14:val="tx1"/>
                  </w14:solidFill>
                </w14:textFill>
              </w:rPr>
              <w:t>-1</w:t>
            </w:r>
          </w:p>
        </w:tc>
        <w:tc>
          <w:tcPr>
            <w:tcW w:w="1865" w:type="dxa"/>
            <w:tcBorders>
              <w:top w:val="nil"/>
              <w:left w:val="nil"/>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8</w:t>
            </w:r>
            <w:r>
              <w:rPr>
                <w:rFonts w:hint="eastAsia" w:ascii="仿宋_GB2312" w:eastAsia="仿宋_GB2312"/>
                <w:b/>
                <w:bCs/>
                <w:color w:val="000000" w:themeColor="text1"/>
                <w:highlight w:val="none"/>
                <w14:textFill>
                  <w14:solidFill>
                    <w14:schemeClr w14:val="tx1"/>
                  </w14:solidFill>
                </w14:textFill>
              </w:rPr>
              <w:t>-31</w:t>
            </w:r>
          </w:p>
        </w:tc>
        <w:tc>
          <w:tcPr>
            <w:tcW w:w="3104"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含土方平整、基坑开挖及支护、打桩及承台开挖</w:t>
            </w:r>
          </w:p>
        </w:tc>
      </w:tr>
      <w:tr>
        <w:tblPrEx>
          <w:tblCellMar>
            <w:top w:w="0" w:type="dxa"/>
            <w:left w:w="108" w:type="dxa"/>
            <w:bottom w:w="0" w:type="dxa"/>
            <w:right w:w="108" w:type="dxa"/>
          </w:tblCellMar>
        </w:tblPrEx>
        <w:trPr>
          <w:trHeight w:val="810" w:hRule="atLeast"/>
          <w:jc w:val="center"/>
        </w:trPr>
        <w:tc>
          <w:tcPr>
            <w:tcW w:w="2227" w:type="dxa"/>
            <w:tcBorders>
              <w:top w:val="nil"/>
              <w:left w:val="single" w:color="auto" w:sz="4" w:space="0"/>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主体结构及装饰装修、室外工程施工</w:t>
            </w:r>
          </w:p>
        </w:tc>
        <w:tc>
          <w:tcPr>
            <w:tcW w:w="1842" w:type="dxa"/>
            <w:tcBorders>
              <w:top w:val="nil"/>
              <w:left w:val="nil"/>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default" w:ascii="仿宋_GB2312" w:eastAsia="仿宋_GB2312"/>
                <w:b/>
                <w:bCs/>
                <w:color w:val="000000" w:themeColor="text1"/>
                <w:highlight w:val="none"/>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9</w:t>
            </w:r>
            <w:r>
              <w:rPr>
                <w:rFonts w:hint="eastAsia" w:ascii="仿宋_GB2312" w:eastAsia="仿宋_GB2312"/>
                <w:b/>
                <w:bCs/>
                <w:color w:val="000000" w:themeColor="text1"/>
                <w:highlight w:val="none"/>
                <w14:textFill>
                  <w14:solidFill>
                    <w14:schemeClr w14:val="tx1"/>
                  </w14:solidFill>
                </w14:textFill>
              </w:rPr>
              <w:t>-1</w:t>
            </w:r>
          </w:p>
        </w:tc>
        <w:tc>
          <w:tcPr>
            <w:tcW w:w="1865" w:type="dxa"/>
            <w:tcBorders>
              <w:top w:val="nil"/>
              <w:left w:val="nil"/>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jc w:val="center"/>
              <w:rPr>
                <w:rFonts w:hint="default" w:ascii="仿宋_GB2312" w:hAnsi="宋体" w:eastAsia="仿宋_GB2312" w:cs="宋体"/>
                <w:b/>
                <w:bCs/>
                <w:color w:val="000000" w:themeColor="text1"/>
                <w:sz w:val="24"/>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4</w:t>
            </w:r>
            <w:r>
              <w:rPr>
                <w:rFonts w:hint="eastAsia" w:ascii="仿宋_GB2312" w:eastAsia="仿宋_GB2312"/>
                <w:b/>
                <w:bCs/>
                <w:color w:val="000000" w:themeColor="text1"/>
                <w:highlight w:val="none"/>
                <w14:textFill>
                  <w14:solidFill>
                    <w14:schemeClr w14:val="tx1"/>
                  </w14:solidFill>
                </w14:textFill>
              </w:rPr>
              <w:t>-</w:t>
            </w:r>
            <w:r>
              <w:rPr>
                <w:rFonts w:hint="eastAsia" w:ascii="仿宋_GB2312" w:eastAsia="仿宋_GB2312"/>
                <w:b/>
                <w:bCs/>
                <w:color w:val="000000" w:themeColor="text1"/>
                <w:highlight w:val="none"/>
                <w:lang w:val="en-US" w:eastAsia="zh-CN"/>
                <w14:textFill>
                  <w14:solidFill>
                    <w14:schemeClr w14:val="tx1"/>
                  </w14:solidFill>
                </w14:textFill>
              </w:rPr>
              <w:t>12</w:t>
            </w:r>
            <w:r>
              <w:rPr>
                <w:rFonts w:hint="eastAsia" w:ascii="仿宋_GB2312" w:eastAsia="仿宋_GB2312"/>
                <w:b/>
                <w:bCs/>
                <w:color w:val="000000" w:themeColor="text1"/>
                <w:highlight w:val="none"/>
                <w14:textFill>
                  <w14:solidFill>
                    <w14:schemeClr w14:val="tx1"/>
                  </w14:solidFill>
                </w14:textFill>
              </w:rPr>
              <w:t>-31</w:t>
            </w:r>
          </w:p>
        </w:tc>
        <w:tc>
          <w:tcPr>
            <w:tcW w:w="3104"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含二次结构、装饰装修及机电工程、室外道路等工程实体完工</w:t>
            </w:r>
          </w:p>
        </w:tc>
      </w:tr>
      <w:tr>
        <w:tblPrEx>
          <w:tblCellMar>
            <w:top w:w="0" w:type="dxa"/>
            <w:left w:w="108" w:type="dxa"/>
            <w:bottom w:w="0" w:type="dxa"/>
            <w:right w:w="108" w:type="dxa"/>
          </w:tblCellMar>
        </w:tblPrEx>
        <w:trPr>
          <w:trHeight w:val="1254" w:hRule="atLeast"/>
          <w:jc w:val="center"/>
        </w:trPr>
        <w:tc>
          <w:tcPr>
            <w:tcW w:w="2227" w:type="dxa"/>
            <w:tcBorders>
              <w:top w:val="nil"/>
              <w:left w:val="single" w:color="auto" w:sz="4" w:space="0"/>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调试及竣工验收</w:t>
            </w:r>
          </w:p>
        </w:tc>
        <w:tc>
          <w:tcPr>
            <w:tcW w:w="1842" w:type="dxa"/>
            <w:tcBorders>
              <w:top w:val="nil"/>
              <w:left w:val="nil"/>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jc w:val="center"/>
              <w:rPr>
                <w:rFonts w:hint="default" w:ascii="仿宋_GB2312" w:eastAsia="仿宋_GB2312"/>
                <w:b/>
                <w:bCs/>
                <w:color w:val="000000" w:themeColor="text1"/>
                <w:highlight w:val="none"/>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5</w:t>
            </w:r>
            <w:r>
              <w:rPr>
                <w:rFonts w:hint="eastAsia" w:ascii="仿宋_GB2312" w:eastAsia="仿宋_GB2312"/>
                <w:b/>
                <w:bCs/>
                <w:color w:val="000000" w:themeColor="text1"/>
                <w:highlight w:val="none"/>
                <w14:textFill>
                  <w14:solidFill>
                    <w14:schemeClr w14:val="tx1"/>
                  </w14:solidFill>
                </w14:textFill>
              </w:rPr>
              <w:t>-</w:t>
            </w:r>
            <w:r>
              <w:rPr>
                <w:rFonts w:hint="eastAsia" w:ascii="仿宋_GB2312" w:eastAsia="仿宋_GB2312"/>
                <w:b/>
                <w:bCs/>
                <w:color w:val="000000" w:themeColor="text1"/>
                <w:highlight w:val="none"/>
                <w:lang w:val="en-US" w:eastAsia="zh-CN"/>
                <w14:textFill>
                  <w14:solidFill>
                    <w14:schemeClr w14:val="tx1"/>
                  </w14:solidFill>
                </w14:textFill>
              </w:rPr>
              <w:t>1</w:t>
            </w:r>
            <w:r>
              <w:rPr>
                <w:rFonts w:hint="eastAsia" w:ascii="仿宋_GB2312" w:eastAsia="仿宋_GB2312"/>
                <w:b/>
                <w:bCs/>
                <w:color w:val="000000" w:themeColor="text1"/>
                <w:highlight w:val="none"/>
                <w14:textFill>
                  <w14:solidFill>
                    <w14:schemeClr w14:val="tx1"/>
                  </w14:solidFill>
                </w14:textFill>
              </w:rPr>
              <w:t>-1</w:t>
            </w:r>
          </w:p>
        </w:tc>
        <w:tc>
          <w:tcPr>
            <w:tcW w:w="1865" w:type="dxa"/>
            <w:tcBorders>
              <w:top w:val="nil"/>
              <w:left w:val="nil"/>
              <w:bottom w:val="single" w:color="auto" w:sz="4" w:space="0"/>
              <w:right w:val="single" w:color="auto" w:sz="4" w:space="0"/>
            </w:tcBorders>
            <w:noWrap/>
            <w:vAlign w:val="center"/>
          </w:tcPr>
          <w:p>
            <w:pPr>
              <w:keepNext w:val="0"/>
              <w:keepLines w:val="0"/>
              <w:suppressLineNumbers w:val="0"/>
              <w:spacing w:before="0" w:beforeAutospacing="0" w:after="0" w:afterAutospacing="0"/>
              <w:ind w:left="0" w:right="0"/>
              <w:jc w:val="center"/>
              <w:rPr>
                <w:rFonts w:hint="default" w:ascii="仿宋_GB2312" w:eastAsia="仿宋_GB2312"/>
                <w:b/>
                <w:bCs/>
                <w:color w:val="000000" w:themeColor="text1"/>
                <w:highlight w:val="none"/>
                <w:lang w:val="en-US" w:eastAsia="zh-CN"/>
                <w14:textFill>
                  <w14:solidFill>
                    <w14:schemeClr w14:val="tx1"/>
                  </w14:solidFill>
                </w14:textFill>
              </w:rPr>
            </w:pPr>
            <w:r>
              <w:rPr>
                <w:rFonts w:hint="eastAsia" w:ascii="仿宋_GB2312" w:eastAsia="仿宋_GB2312"/>
                <w:b/>
                <w:bCs/>
                <w:color w:val="000000" w:themeColor="text1"/>
                <w:highlight w:val="none"/>
                <w14:textFill>
                  <w14:solidFill>
                    <w14:schemeClr w14:val="tx1"/>
                  </w14:solidFill>
                </w14:textFill>
              </w:rPr>
              <w:t>202</w:t>
            </w:r>
            <w:r>
              <w:rPr>
                <w:rFonts w:hint="eastAsia" w:ascii="仿宋_GB2312" w:eastAsia="仿宋_GB2312"/>
                <w:b/>
                <w:bCs/>
                <w:color w:val="000000" w:themeColor="text1"/>
                <w:highlight w:val="none"/>
                <w:lang w:val="en-US" w:eastAsia="zh-CN"/>
                <w14:textFill>
                  <w14:solidFill>
                    <w14:schemeClr w14:val="tx1"/>
                  </w14:solidFill>
                </w14:textFill>
              </w:rPr>
              <w:t>5</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2</w:t>
            </w:r>
            <w:r>
              <w:rPr>
                <w:rFonts w:hint="eastAsia" w:ascii="仿宋_GB2312" w:eastAsia="仿宋_GB2312"/>
                <w:b/>
                <w:bCs/>
                <w:color w:val="000000" w:themeColor="text1"/>
                <w:highlight w:val="none"/>
                <w14:textFill>
                  <w14:solidFill>
                    <w14:schemeClr w14:val="tx1"/>
                  </w14:solidFill>
                </w14:textFill>
              </w:rPr>
              <w:t>-</w:t>
            </w:r>
            <w:r>
              <w:rPr>
                <w:rFonts w:hint="default" w:ascii="仿宋_GB2312" w:eastAsia="仿宋_GB2312"/>
                <w:b/>
                <w:bCs/>
                <w:color w:val="000000" w:themeColor="text1"/>
                <w:highlight w:val="none"/>
                <w14:textFill>
                  <w14:solidFill>
                    <w14:schemeClr w14:val="tx1"/>
                  </w14:solidFill>
                </w14:textFill>
              </w:rPr>
              <w:t>28</w:t>
            </w:r>
          </w:p>
        </w:tc>
        <w:tc>
          <w:tcPr>
            <w:tcW w:w="3104" w:type="dxa"/>
            <w:tcBorders>
              <w:top w:val="nil"/>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rPr>
                <w:rFonts w:hint="default" w:ascii="仿宋_GB2312" w:hAnsi="Times New Roman" w:eastAsia="仿宋_GB2312" w:cs="Times New Roman"/>
                <w:color w:val="000000" w:themeColor="text1"/>
                <w:highlight w:val="none"/>
                <w14:textFill>
                  <w14:solidFill>
                    <w14:schemeClr w14:val="tx1"/>
                  </w14:solidFill>
                </w14:textFill>
              </w:rPr>
            </w:pPr>
            <w:r>
              <w:rPr>
                <w:rFonts w:hint="eastAsia" w:ascii="仿宋_GB2312" w:hAnsi="Times New Roman" w:eastAsia="仿宋_GB2312" w:cs="Times New Roman"/>
                <w:color w:val="000000" w:themeColor="text1"/>
                <w:highlight w:val="none"/>
                <w14:textFill>
                  <w14:solidFill>
                    <w14:schemeClr w14:val="tx1"/>
                  </w14:solidFill>
                </w14:textFill>
              </w:rPr>
              <w:t>竣工验收，交付使用</w:t>
            </w:r>
          </w:p>
        </w:tc>
      </w:tr>
    </w:tbl>
    <w:p>
      <w:pPr>
        <w:adjustRightInd w:val="0"/>
        <w:snapToGrid w:val="0"/>
        <w:spacing w:line="360" w:lineRule="auto"/>
        <w:ind w:firstLine="640" w:firstLineChars="200"/>
        <w:rPr>
          <w:rFonts w:hint="eastAsia" w:ascii="仿宋_GB2312" w:eastAsia="仿宋_GB2312"/>
          <w:color w:val="000000" w:themeColor="text1"/>
          <w:sz w:val="32"/>
          <w:szCs w:val="32"/>
          <w:highlight w:val="none"/>
          <w14:textFill>
            <w14:solidFill>
              <w14:schemeClr w14:val="tx1"/>
            </w14:solidFill>
          </w14:textFill>
        </w:rPr>
      </w:pPr>
      <w:bookmarkStart w:id="194" w:name="_Toc30409"/>
      <w:bookmarkStart w:id="195" w:name="_Toc5024"/>
    </w:p>
    <w:p>
      <w:pPr>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196" w:name="_Toc23309"/>
      <w:r>
        <w:rPr>
          <w:rFonts w:hint="eastAsia" w:ascii="宋体" w:hAnsi="宋体" w:eastAsia="宋体" w:cs="宋体"/>
          <w:color w:val="000000" w:themeColor="text1"/>
          <w:sz w:val="24"/>
          <w:szCs w:val="24"/>
          <w:highlight w:val="none"/>
          <w14:textFill>
            <w14:solidFill>
              <w14:schemeClr w14:val="tx1"/>
            </w14:solidFill>
          </w14:textFill>
        </w:rPr>
        <w:t>2、质量目标</w:t>
      </w:r>
      <w:bookmarkEnd w:id="194"/>
      <w:bookmarkEnd w:id="195"/>
      <w:bookmarkEnd w:id="196"/>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分部工程验收合格率100%，单位工程一次性通过工程竣工验收合格，</w:t>
      </w:r>
      <w:r>
        <w:rPr>
          <w:rFonts w:hint="eastAsia" w:ascii="宋体" w:hAnsi="宋体" w:eastAsia="宋体" w:cs="宋体"/>
          <w:color w:val="000000" w:themeColor="text1"/>
          <w:sz w:val="24"/>
          <w:szCs w:val="24"/>
          <w:highlight w:val="none"/>
          <w:lang w:val="en-US" w:eastAsia="zh-CN"/>
          <w14:textFill>
            <w14:solidFill>
              <w14:schemeClr w14:val="tx1"/>
            </w14:solidFill>
          </w14:textFill>
        </w:rPr>
        <w:t>争创</w:t>
      </w:r>
      <w:r>
        <w:rPr>
          <w:rFonts w:hint="eastAsia" w:ascii="宋体" w:hAnsi="宋体" w:eastAsia="宋体" w:cs="宋体"/>
          <w:color w:val="000000" w:themeColor="text1"/>
          <w:sz w:val="24"/>
          <w:szCs w:val="24"/>
          <w:highlight w:val="none"/>
          <w14:textFill>
            <w14:solidFill>
              <w14:schemeClr w14:val="tx1"/>
            </w14:solidFill>
          </w14:textFill>
        </w:rPr>
        <w:t>广州市建设工程优质奖。</w:t>
      </w:r>
    </w:p>
    <w:p>
      <w:pPr>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197" w:name="_Toc13503"/>
      <w:bookmarkStart w:id="198" w:name="_Toc2204"/>
      <w:bookmarkStart w:id="199" w:name="_Toc23954"/>
      <w:r>
        <w:rPr>
          <w:rFonts w:hint="eastAsia" w:ascii="宋体" w:hAnsi="宋体" w:eastAsia="宋体" w:cs="宋体"/>
          <w:color w:val="000000" w:themeColor="text1"/>
          <w:sz w:val="24"/>
          <w:szCs w:val="24"/>
          <w:highlight w:val="none"/>
          <w14:textFill>
            <w14:solidFill>
              <w14:schemeClr w14:val="tx1"/>
            </w14:solidFill>
          </w14:textFill>
        </w:rPr>
        <w:t>3、安全、文明施工目标</w:t>
      </w:r>
      <w:bookmarkEnd w:id="197"/>
      <w:bookmarkEnd w:id="198"/>
      <w:bookmarkEnd w:id="199"/>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杜绝一般事故等级以上的伤亡事故且工伤责任事故死亡人数为零，</w:t>
      </w:r>
      <w:r>
        <w:rPr>
          <w:rFonts w:hint="eastAsia" w:ascii="宋体" w:hAnsi="宋体" w:eastAsia="宋体" w:cs="宋体"/>
          <w:color w:val="000000" w:themeColor="text1"/>
          <w:sz w:val="24"/>
          <w:szCs w:val="24"/>
          <w:highlight w:val="none"/>
          <w:lang w:val="en-US" w:eastAsia="zh-CN"/>
          <w14:textFill>
            <w14:solidFill>
              <w14:schemeClr w14:val="tx1"/>
            </w14:solidFill>
          </w14:textFill>
        </w:rPr>
        <w:t>争创广州市</w:t>
      </w:r>
      <w:r>
        <w:rPr>
          <w:rFonts w:hint="eastAsia" w:ascii="宋体" w:hAnsi="宋体" w:eastAsia="宋体" w:cs="宋体"/>
          <w:color w:val="000000" w:themeColor="text1"/>
          <w:sz w:val="24"/>
          <w:szCs w:val="24"/>
          <w:highlight w:val="none"/>
          <w14:textFill>
            <w14:solidFill>
              <w14:schemeClr w14:val="tx1"/>
            </w14:solidFill>
          </w14:textFill>
        </w:rPr>
        <w:t>安全文明施工示范工地。</w:t>
      </w:r>
    </w:p>
    <w:p>
      <w:pPr>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200" w:name="_Toc16850"/>
      <w:bookmarkStart w:id="201" w:name="_Toc3257"/>
      <w:bookmarkStart w:id="202" w:name="_Toc14139"/>
      <w:r>
        <w:rPr>
          <w:rFonts w:hint="eastAsia" w:ascii="宋体" w:hAnsi="宋体" w:eastAsia="宋体" w:cs="宋体"/>
          <w:color w:val="000000" w:themeColor="text1"/>
          <w:sz w:val="24"/>
          <w:szCs w:val="24"/>
          <w:highlight w:val="none"/>
          <w14:textFill>
            <w14:solidFill>
              <w14:schemeClr w14:val="tx1"/>
            </w14:solidFill>
          </w14:textFill>
        </w:rPr>
        <w:t>4、投资控制（结算）目标</w:t>
      </w:r>
      <w:bookmarkEnd w:id="200"/>
      <w:bookmarkEnd w:id="201"/>
      <w:bookmarkEnd w:id="202"/>
    </w:p>
    <w:p>
      <w:pPr>
        <w:adjustRightInd w:val="0"/>
        <w:snapToGrid w:val="0"/>
        <w:spacing w:beforeLines="0" w:line="240" w:lineRule="auto"/>
        <w:ind w:firstLine="480" w:firstLineChars="200"/>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结算金额控制在合同价以内</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pPr>
        <w:adjustRightInd w:val="0"/>
        <w:snapToGrid w:val="0"/>
        <w:spacing w:beforeLines="0" w:line="24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203" w:name="_Toc22752"/>
      <w:bookmarkStart w:id="204" w:name="_Toc23455"/>
      <w:bookmarkStart w:id="205" w:name="_Toc15118"/>
      <w:bookmarkStart w:id="206" w:name="_Toc10556572"/>
      <w:bookmarkStart w:id="207" w:name="_Toc24028"/>
      <w:r>
        <w:rPr>
          <w:rFonts w:hint="eastAsia" w:ascii="宋体" w:hAnsi="宋体" w:eastAsia="宋体" w:cs="宋体"/>
          <w:color w:val="000000" w:themeColor="text1"/>
          <w:sz w:val="24"/>
          <w:szCs w:val="24"/>
          <w:highlight w:val="none"/>
          <w14:textFill>
            <w14:solidFill>
              <w14:schemeClr w14:val="tx1"/>
            </w14:solidFill>
          </w14:textFill>
        </w:rPr>
        <w:t>5、相关单位简介</w:t>
      </w:r>
      <w:bookmarkEnd w:id="203"/>
      <w:bookmarkEnd w:id="204"/>
      <w:bookmarkEnd w:id="205"/>
    </w:p>
    <w:p>
      <w:pPr>
        <w:adjustRightInd w:val="0"/>
        <w:snapToGrid w:val="0"/>
        <w:spacing w:beforeLines="0"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建设单位：广州市重点公共建设项目管理中心</w:t>
      </w:r>
    </w:p>
    <w:p>
      <w:pPr>
        <w:widowControl/>
        <w:spacing w:beforeLines="0" w:line="360" w:lineRule="auto"/>
        <w:jc w:val="left"/>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设计单位：</w:t>
      </w:r>
      <w:r>
        <w:rPr>
          <w:rFonts w:hint="eastAsia" w:ascii="宋体" w:hAnsi="宋体" w:eastAsia="宋体" w:cs="宋体"/>
          <w:color w:val="000000" w:themeColor="text1"/>
          <w:sz w:val="24"/>
          <w:szCs w:val="24"/>
          <w:highlight w:val="none"/>
          <w:lang w:eastAsia="zh-CN"/>
          <w14:textFill>
            <w14:solidFill>
              <w14:schemeClr w14:val="tx1"/>
            </w14:solidFill>
          </w14:textFill>
        </w:rPr>
        <w:t>广东省建筑设计研究院有限公司</w:t>
      </w:r>
    </w:p>
    <w:p>
      <w:pPr>
        <w:widowControl/>
        <w:spacing w:beforeLines="0" w:line="360" w:lineRule="auto"/>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监理单位：另行通知。</w:t>
      </w:r>
    </w:p>
    <w:p>
      <w:pPr>
        <w:pStyle w:val="4"/>
        <w:spacing w:before="0" w:beforeLines="0" w:after="156" w:line="360" w:lineRule="auto"/>
        <w:ind w:left="0" w:leftChars="0"/>
        <w:jc w:val="left"/>
        <w:rPr>
          <w:rFonts w:hint="eastAsia" w:ascii="仿宋" w:hAnsi="仿宋"/>
          <w:color w:val="000000" w:themeColor="text1"/>
          <w:highlight w:val="none"/>
          <w14:textFill>
            <w14:solidFill>
              <w14:schemeClr w14:val="tx1"/>
            </w14:solidFill>
          </w14:textFill>
        </w:rPr>
      </w:pPr>
      <w:bookmarkStart w:id="208" w:name="_Toc7391"/>
      <w:bookmarkStart w:id="209" w:name="_Toc21528"/>
      <w:r>
        <w:rPr>
          <w:rFonts w:hint="eastAsia" w:ascii="仿宋" w:hAnsi="仿宋"/>
          <w:color w:val="000000" w:themeColor="text1"/>
          <w:highlight w:val="none"/>
          <w14:textFill>
            <w14:solidFill>
              <w14:schemeClr w14:val="tx1"/>
            </w14:solidFill>
          </w14:textFill>
        </w:rPr>
        <w:t>（五）施工平面布置</w:t>
      </w:r>
      <w:bookmarkEnd w:id="206"/>
      <w:bookmarkEnd w:id="207"/>
      <w:bookmarkEnd w:id="208"/>
      <w:bookmarkEnd w:id="209"/>
    </w:p>
    <w:p>
      <w:pPr>
        <w:adjustRightInd w:val="0"/>
        <w:snapToGrid w:val="0"/>
        <w:spacing w:beforeLines="0"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210" w:name="_Toc4201"/>
      <w:bookmarkStart w:id="211" w:name="_Toc5757"/>
      <w:r>
        <w:rPr>
          <w:rFonts w:hint="eastAsia" w:ascii="宋体" w:hAnsi="宋体" w:eastAsia="宋体" w:cs="宋体"/>
          <w:color w:val="000000" w:themeColor="text1"/>
          <w:sz w:val="24"/>
          <w:szCs w:val="24"/>
          <w:highlight w:val="none"/>
          <w14:textFill>
            <w14:solidFill>
              <w14:schemeClr w14:val="tx1"/>
            </w14:solidFill>
          </w14:textFill>
        </w:rPr>
        <w:t>1、施工总平面布置</w:t>
      </w:r>
      <w:bookmarkEnd w:id="210"/>
      <w:bookmarkEnd w:id="211"/>
    </w:p>
    <w:p>
      <w:pPr>
        <w:adjustRightInd w:val="0"/>
        <w:snapToGrid w:val="0"/>
        <w:spacing w:beforeLines="0"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根据校区内各规划建设内容，由施工单位考虑本项目总平面策划布置，参考《广州职业技术院校迁建工程一期12所院校总平面策划施工布置方案》内容，并按广州市安全文明施工管理相关要求执行。若因影响后续施工而产生二次或多次临建设施搬迁，施工单位必须无条件服从施工安排，并恢复原状，由此引起的恢复费用，我中心不做任何补偿。</w:t>
      </w:r>
    </w:p>
    <w:p>
      <w:pPr>
        <w:adjustRightInd w:val="0"/>
        <w:snapToGrid w:val="0"/>
        <w:spacing w:beforeLines="0"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要求：</w:t>
      </w:r>
    </w:p>
    <w:p>
      <w:pPr>
        <w:adjustRightInd w:val="0"/>
        <w:snapToGrid w:val="0"/>
        <w:spacing w:beforeLines="0"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临水临电接驳</w:t>
      </w:r>
    </w:p>
    <w:p>
      <w:pPr>
        <w:adjustRightInd w:val="0"/>
        <w:snapToGrid w:val="0"/>
        <w:spacing w:beforeLines="0" w:line="360" w:lineRule="auto"/>
        <w:ind w:firstLine="480" w:firstLineChars="200"/>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临水依据</w:t>
      </w:r>
      <w:r>
        <w:rPr>
          <w:rFonts w:hint="eastAsia" w:ascii="宋体" w:hAnsi="宋体" w:eastAsia="宋体" w:cs="宋体"/>
          <w:color w:val="000000" w:themeColor="text1"/>
          <w:sz w:val="24"/>
          <w:szCs w:val="24"/>
          <w:highlight w:val="none"/>
          <w:lang w:eastAsia="zh-CN"/>
          <w14:textFill>
            <w14:solidFill>
              <w14:schemeClr w14:val="tx1"/>
            </w14:solidFill>
          </w14:textFill>
        </w:rPr>
        <w:t>广州市增城区教育城西消防站建设</w:t>
      </w:r>
      <w:r>
        <w:rPr>
          <w:rFonts w:hint="eastAsia" w:ascii="宋体" w:hAnsi="宋体" w:eastAsia="宋体" w:cs="宋体"/>
          <w:color w:val="000000" w:themeColor="text1"/>
          <w:sz w:val="24"/>
          <w:szCs w:val="24"/>
          <w:highlight w:val="none"/>
          <w14:textFill>
            <w14:solidFill>
              <w14:schemeClr w14:val="tx1"/>
            </w14:solidFill>
          </w14:textFill>
        </w:rPr>
        <w:t>方案，本项目</w:t>
      </w:r>
      <w:r>
        <w:rPr>
          <w:rFonts w:hint="eastAsia" w:ascii="宋体" w:hAnsi="宋体" w:eastAsia="宋体" w:cs="宋体"/>
          <w:color w:val="000000" w:themeColor="text1"/>
          <w:sz w:val="24"/>
          <w:szCs w:val="24"/>
          <w:highlight w:val="none"/>
          <w:lang w:eastAsia="zh-CN"/>
          <w14:textFill>
            <w14:solidFill>
              <w14:schemeClr w14:val="tx1"/>
            </w14:solidFill>
          </w14:textFill>
        </w:rPr>
        <w:t>在西侧的尚义大道</w:t>
      </w:r>
      <w:r>
        <w:rPr>
          <w:rFonts w:hint="eastAsia" w:ascii="宋体" w:hAnsi="宋体" w:eastAsia="宋体" w:cs="宋体"/>
          <w:color w:val="000000" w:themeColor="text1"/>
          <w:sz w:val="24"/>
          <w:szCs w:val="24"/>
          <w:highlight w:val="none"/>
          <w14:textFill>
            <w14:solidFill>
              <w14:schemeClr w14:val="tx1"/>
            </w14:solidFill>
          </w14:textFill>
        </w:rPr>
        <w:t>设有</w:t>
      </w:r>
      <w:r>
        <w:rPr>
          <w:rFonts w:hint="eastAsia" w:ascii="宋体" w:hAnsi="宋体" w:eastAsia="宋体" w:cs="宋体"/>
          <w:color w:val="000000" w:themeColor="text1"/>
          <w:sz w:val="24"/>
          <w:szCs w:val="24"/>
          <w:highlight w:val="none"/>
          <w:lang w:eastAsia="zh-CN"/>
          <w14:textFill>
            <w14:solidFill>
              <w14:schemeClr w14:val="tx1"/>
            </w14:solidFill>
          </w14:textFill>
        </w:rPr>
        <w:t>市政</w:t>
      </w:r>
      <w:r>
        <w:rPr>
          <w:rFonts w:hint="eastAsia" w:ascii="宋体" w:hAnsi="宋体" w:eastAsia="宋体" w:cs="宋体"/>
          <w:color w:val="000000" w:themeColor="text1"/>
          <w:sz w:val="24"/>
          <w:szCs w:val="24"/>
          <w:highlight w:val="none"/>
          <w14:textFill>
            <w14:solidFill>
              <w14:schemeClr w14:val="tx1"/>
            </w14:solidFill>
          </w14:textFill>
        </w:rPr>
        <w:t>给水管，预留有1处供</w:t>
      </w:r>
      <w:r>
        <w:rPr>
          <w:rFonts w:hint="eastAsia" w:ascii="宋体" w:hAnsi="宋体" w:eastAsia="宋体" w:cs="宋体"/>
          <w:color w:val="000000" w:themeColor="text1"/>
          <w:sz w:val="24"/>
          <w:szCs w:val="24"/>
          <w:highlight w:val="none"/>
          <w:lang w:eastAsia="zh-CN"/>
          <w14:textFill>
            <w14:solidFill>
              <w14:schemeClr w14:val="tx1"/>
            </w14:solidFill>
          </w14:textFill>
        </w:rPr>
        <w:t>本项目</w:t>
      </w:r>
      <w:r>
        <w:rPr>
          <w:rFonts w:hint="eastAsia" w:ascii="宋体" w:hAnsi="宋体" w:eastAsia="宋体" w:cs="宋体"/>
          <w:color w:val="000000" w:themeColor="text1"/>
          <w:sz w:val="24"/>
          <w:szCs w:val="24"/>
          <w:highlight w:val="none"/>
          <w14:textFill>
            <w14:solidFill>
              <w14:schemeClr w14:val="tx1"/>
            </w14:solidFill>
          </w14:textFill>
        </w:rPr>
        <w:t>内施工的DN</w:t>
      </w:r>
      <w:r>
        <w:rPr>
          <w:rFonts w:hint="eastAsia" w:ascii="宋体" w:hAnsi="宋体" w:eastAsia="宋体" w:cs="宋体"/>
          <w:color w:val="000000" w:themeColor="text1"/>
          <w:sz w:val="24"/>
          <w:szCs w:val="24"/>
          <w:highlight w:val="none"/>
          <w:lang w:val="en-US" w:eastAsia="zh-CN"/>
          <w14:textFill>
            <w14:solidFill>
              <w14:schemeClr w14:val="tx1"/>
            </w14:solidFill>
          </w14:textFill>
        </w:rPr>
        <w:t>100</w:t>
      </w:r>
      <w:r>
        <w:rPr>
          <w:rFonts w:hint="eastAsia" w:ascii="宋体" w:hAnsi="宋体" w:eastAsia="宋体" w:cs="宋体"/>
          <w:color w:val="000000" w:themeColor="text1"/>
          <w:sz w:val="24"/>
          <w:szCs w:val="24"/>
          <w:highlight w:val="none"/>
          <w14:textFill>
            <w14:solidFill>
              <w14:schemeClr w14:val="tx1"/>
            </w14:solidFill>
          </w14:textFill>
        </w:rPr>
        <w:t>接驳口，可从接驳口接入</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也可考虑临永结合</w:t>
      </w:r>
      <w:r>
        <w:rPr>
          <w:rFonts w:hint="eastAsia" w:ascii="宋体" w:hAnsi="宋体" w:eastAsia="宋体" w:cs="宋体"/>
          <w:b w:val="0"/>
          <w:bCs w:val="0"/>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临电</w:t>
      </w:r>
      <w:r>
        <w:rPr>
          <w:rFonts w:hint="eastAsia" w:ascii="宋体" w:hAnsi="宋体" w:eastAsia="宋体" w:cs="宋体"/>
          <w:color w:val="000000" w:themeColor="text1"/>
          <w:sz w:val="24"/>
          <w:szCs w:val="24"/>
          <w:highlight w:val="none"/>
          <w:lang w:val="en-US" w:eastAsia="zh-CN"/>
          <w14:textFill>
            <w14:solidFill>
              <w14:schemeClr w14:val="tx1"/>
            </w14:solidFill>
          </w14:textFill>
        </w:rPr>
        <w:t>基于本项目施工用电负荷情况考虑</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根据实际情况在就近箱变接入施工临电，</w:t>
      </w:r>
      <w:r>
        <w:rPr>
          <w:rFonts w:hint="eastAsia" w:ascii="宋体" w:hAnsi="宋体" w:eastAsia="宋体" w:cs="宋体"/>
          <w:color w:val="000000" w:themeColor="text1"/>
          <w:sz w:val="24"/>
          <w:szCs w:val="24"/>
          <w:highlight w:val="none"/>
          <w:lang w:eastAsia="zh-CN"/>
          <w14:textFill>
            <w14:solidFill>
              <w14:schemeClr w14:val="tx1"/>
            </w14:solidFill>
          </w14:textFill>
        </w:rPr>
        <w:t>总承包单位需负责</w:t>
      </w:r>
      <w:r>
        <w:rPr>
          <w:rFonts w:hint="eastAsia" w:ascii="宋体" w:hAnsi="宋体" w:eastAsia="宋体" w:cs="宋体"/>
          <w:color w:val="000000" w:themeColor="text1"/>
          <w:sz w:val="24"/>
          <w:szCs w:val="24"/>
          <w:highlight w:val="none"/>
          <w:lang w:val="en-US" w:eastAsia="zh-CN"/>
          <w14:textFill>
            <w14:solidFill>
              <w14:schemeClr w14:val="tx1"/>
            </w14:solidFill>
          </w14:textFill>
        </w:rPr>
        <w:t>取电点</w:t>
      </w:r>
      <w:r>
        <w:rPr>
          <w:rFonts w:hint="eastAsia" w:ascii="宋体" w:hAnsi="宋体" w:eastAsia="宋体" w:cs="宋体"/>
          <w:color w:val="000000" w:themeColor="text1"/>
          <w:sz w:val="24"/>
          <w:szCs w:val="24"/>
          <w:highlight w:val="none"/>
          <w:lang w:eastAsia="zh-CN"/>
          <w14:textFill>
            <w14:solidFill>
              <w14:schemeClr w14:val="tx1"/>
            </w14:solidFill>
          </w14:textFill>
        </w:rPr>
        <w:t>到地块的电缆</w:t>
      </w:r>
      <w:r>
        <w:rPr>
          <w:rFonts w:hint="eastAsia" w:ascii="宋体" w:hAnsi="宋体" w:eastAsia="宋体" w:cs="宋体"/>
          <w:color w:val="000000" w:themeColor="text1"/>
          <w:sz w:val="24"/>
          <w:szCs w:val="24"/>
          <w:highlight w:val="none"/>
          <w:lang w:val="en-US" w:eastAsia="zh-CN"/>
          <w14:textFill>
            <w14:solidFill>
              <w14:schemeClr w14:val="tx1"/>
            </w14:solidFill>
          </w14:textFill>
        </w:rPr>
        <w:t>拉设</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pPr>
        <w:adjustRightInd w:val="0"/>
        <w:snapToGrid w:val="0"/>
        <w:spacing w:beforeLines="0"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212" w:name="_Toc5011"/>
      <w:bookmarkStart w:id="213" w:name="_Toc3205"/>
      <w:r>
        <w:rPr>
          <w:rFonts w:hint="eastAsia" w:ascii="宋体" w:hAnsi="宋体" w:eastAsia="宋体" w:cs="宋体"/>
          <w:color w:val="000000" w:themeColor="text1"/>
          <w:sz w:val="24"/>
          <w:szCs w:val="24"/>
          <w:highlight w:val="none"/>
          <w14:textFill>
            <w14:solidFill>
              <w14:schemeClr w14:val="tx1"/>
            </w14:solidFill>
          </w14:textFill>
        </w:rPr>
        <w:t>2、</w:t>
      </w:r>
      <w:bookmarkEnd w:id="212"/>
      <w:r>
        <w:rPr>
          <w:rFonts w:hint="eastAsia" w:ascii="宋体" w:hAnsi="宋体" w:eastAsia="宋体" w:cs="宋体"/>
          <w:color w:val="000000" w:themeColor="text1"/>
          <w:sz w:val="24"/>
          <w:szCs w:val="24"/>
          <w:highlight w:val="none"/>
          <w14:textFill>
            <w14:solidFill>
              <w14:schemeClr w14:val="tx1"/>
            </w14:solidFill>
          </w14:textFill>
        </w:rPr>
        <w:t>项目出入口设置</w:t>
      </w:r>
      <w:bookmarkEnd w:id="213"/>
    </w:p>
    <w:p>
      <w:pPr>
        <w:adjustRightInd w:val="0"/>
        <w:snapToGrid w:val="0"/>
        <w:spacing w:beforeLines="0" w:line="360" w:lineRule="auto"/>
        <w:ind w:firstLine="480" w:firstLineChars="200"/>
        <w:rPr>
          <w:rFonts w:hint="eastAsia" w:ascii="仿宋_GB2312" w:eastAsia="仿宋_GB2312"/>
          <w:color w:val="000000" w:themeColor="text1"/>
          <w:sz w:val="32"/>
          <w:szCs w:val="32"/>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项目</w:t>
      </w:r>
      <w:r>
        <w:rPr>
          <w:rFonts w:hint="eastAsia" w:ascii="宋体" w:hAnsi="宋体" w:eastAsia="宋体" w:cs="宋体"/>
          <w:color w:val="000000" w:themeColor="text1"/>
          <w:sz w:val="24"/>
          <w:szCs w:val="24"/>
          <w:highlight w:val="none"/>
          <w:lang w:eastAsia="zh-CN"/>
          <w14:textFill>
            <w14:solidFill>
              <w14:schemeClr w14:val="tx1"/>
            </w14:solidFill>
          </w14:textFill>
        </w:rPr>
        <w:t>仅设置一个</w:t>
      </w:r>
      <w:r>
        <w:rPr>
          <w:rFonts w:hint="eastAsia" w:ascii="宋体" w:hAnsi="宋体" w:eastAsia="宋体" w:cs="宋体"/>
          <w:color w:val="000000" w:themeColor="text1"/>
          <w:sz w:val="24"/>
          <w:szCs w:val="24"/>
          <w:highlight w:val="none"/>
          <w14:textFill>
            <w14:solidFill>
              <w14:schemeClr w14:val="tx1"/>
            </w14:solidFill>
          </w14:textFill>
        </w:rPr>
        <w:t>出入口，</w:t>
      </w:r>
      <w:r>
        <w:rPr>
          <w:rFonts w:hint="eastAsia" w:ascii="宋体" w:hAnsi="宋体" w:eastAsia="宋体" w:cs="宋体"/>
          <w:color w:val="000000" w:themeColor="text1"/>
          <w:sz w:val="24"/>
          <w:szCs w:val="24"/>
          <w:highlight w:val="none"/>
          <w:lang w:eastAsia="zh-CN"/>
          <w14:textFill>
            <w14:solidFill>
              <w14:schemeClr w14:val="tx1"/>
            </w14:solidFill>
          </w14:textFill>
        </w:rPr>
        <w:t>位于尚义大道一侧</w:t>
      </w:r>
      <w:r>
        <w:rPr>
          <w:rFonts w:hint="eastAsia" w:ascii="宋体" w:hAnsi="宋体" w:eastAsia="宋体" w:cs="宋体"/>
          <w:color w:val="000000" w:themeColor="text1"/>
          <w:sz w:val="24"/>
          <w:szCs w:val="24"/>
          <w:highlight w:val="none"/>
          <w14:textFill>
            <w14:solidFill>
              <w14:schemeClr w14:val="tx1"/>
            </w14:solidFill>
          </w14:textFill>
        </w:rPr>
        <w:t>，满足施工、办公需求</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pPr>
        <w:adjustRightInd w:val="0"/>
        <w:snapToGrid w:val="0"/>
        <w:spacing w:line="360" w:lineRule="auto"/>
        <w:ind w:firstLine="420" w:firstLineChars="200"/>
        <w:rPr>
          <w:rFonts w:hint="eastAsia" w:ascii="仿宋_GB2312" w:eastAsia="仿宋_GB2312"/>
          <w:color w:val="000000" w:themeColor="text1"/>
          <w:sz w:val="32"/>
          <w:szCs w:val="32"/>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67960" cy="3933825"/>
            <wp:effectExtent l="0" t="0" r="2540" b="317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1"/>
                    <a:stretch>
                      <a:fillRect/>
                    </a:stretch>
                  </pic:blipFill>
                  <pic:spPr>
                    <a:xfrm>
                      <a:off x="0" y="0"/>
                      <a:ext cx="5267960" cy="3933825"/>
                    </a:xfrm>
                    <a:prstGeom prst="rect">
                      <a:avLst/>
                    </a:prstGeom>
                    <a:noFill/>
                    <a:ln>
                      <a:noFill/>
                    </a:ln>
                  </pic:spPr>
                </pic:pic>
              </a:graphicData>
            </a:graphic>
          </wp:inline>
        </w:drawing>
      </w:r>
    </w:p>
    <w:p>
      <w:pPr>
        <w:pStyle w:val="39"/>
        <w:numPr>
          <w:ilvl w:val="0"/>
          <w:numId w:val="0"/>
        </w:numPr>
        <w:spacing w:line="440" w:lineRule="exact"/>
        <w:ind w:firstLine="480" w:firstLineChars="200"/>
        <w:outlineLvl w:val="1"/>
        <w:rPr>
          <w:rFonts w:hint="eastAsia" w:ascii="宋体" w:hAnsi="宋体" w:eastAsia="宋体" w:cs="宋体"/>
          <w:b w:val="0"/>
          <w:bCs w:val="0"/>
          <w:color w:val="000000" w:themeColor="text1"/>
          <w:sz w:val="24"/>
          <w:szCs w:val="24"/>
          <w:highlight w:val="none"/>
          <w14:textFill>
            <w14:solidFill>
              <w14:schemeClr w14:val="tx1"/>
            </w14:solidFill>
          </w14:textFill>
        </w:rPr>
      </w:pPr>
      <w:bookmarkStart w:id="214" w:name="_Toc28404"/>
      <w:bookmarkStart w:id="215" w:name="_Toc31405"/>
      <w:r>
        <w:rPr>
          <w:rFonts w:hint="eastAsia" w:ascii="宋体" w:hAnsi="宋体" w:eastAsia="宋体" w:cs="宋体"/>
          <w:b w:val="0"/>
          <w:bCs w:val="0"/>
          <w:color w:val="000000" w:themeColor="text1"/>
          <w:sz w:val="24"/>
          <w:szCs w:val="24"/>
          <w:highlight w:val="none"/>
          <w14:textFill>
            <w14:solidFill>
              <w14:schemeClr w14:val="tx1"/>
            </w14:solidFill>
          </w14:textFill>
        </w:rPr>
        <w:t>3、项目围蔽</w:t>
      </w:r>
      <w:bookmarkEnd w:id="214"/>
    </w:p>
    <w:p>
      <w:pPr>
        <w:pStyle w:val="39"/>
        <w:numPr>
          <w:ilvl w:val="0"/>
          <w:numId w:val="0"/>
        </w:numPr>
        <w:spacing w:line="440" w:lineRule="exact"/>
        <w:ind w:firstLine="480" w:firstLineChars="200"/>
        <w:outlineLvl w:val="9"/>
        <w:rPr>
          <w:rFonts w:hint="eastAsia" w:ascii="宋体" w:hAnsi="宋体" w:eastAsia="宋体" w:cs="宋体"/>
          <w:b w:val="0"/>
          <w:bCs w:val="0"/>
          <w:color w:val="000000" w:themeColor="text1"/>
          <w:sz w:val="24"/>
          <w:szCs w:val="24"/>
          <w:highlight w:val="none"/>
          <w14:textFill>
            <w14:solidFill>
              <w14:schemeClr w14:val="tx1"/>
            </w14:solidFill>
          </w14:textFill>
        </w:rPr>
      </w:pPr>
      <w:bookmarkStart w:id="216" w:name="_Toc29330"/>
      <w:r>
        <w:rPr>
          <w:rFonts w:hint="eastAsia" w:ascii="宋体" w:hAnsi="宋体" w:eastAsia="宋体" w:cs="宋体"/>
          <w:b w:val="0"/>
          <w:bCs w:val="0"/>
          <w:color w:val="000000" w:themeColor="text1"/>
          <w:sz w:val="24"/>
          <w:szCs w:val="24"/>
          <w:highlight w:val="none"/>
          <w14:textFill>
            <w14:solidFill>
              <w14:schemeClr w14:val="tx1"/>
            </w14:solidFill>
          </w14:textFill>
        </w:rPr>
        <w:t>本施工标段围蔽处大门设置按施工企业CI及行政主管部门文件要求设计，并负责实施，四周围蔽统一采用装配式方钢结构围蔽（图一），围蔽上统一设置的宣传广告、灯具与喷淋系统必须符合广州市住建局文件要求，并由施工单位具体负责实施。办公生活区</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间</w:t>
      </w:r>
      <w:r>
        <w:rPr>
          <w:rFonts w:hint="eastAsia" w:ascii="宋体" w:hAnsi="宋体" w:eastAsia="宋体" w:cs="宋体"/>
          <w:b w:val="0"/>
          <w:bCs w:val="0"/>
          <w:color w:val="000000" w:themeColor="text1"/>
          <w:sz w:val="24"/>
          <w:szCs w:val="24"/>
          <w:highlight w:val="none"/>
          <w14:textFill>
            <w14:solidFill>
              <w14:schemeClr w14:val="tx1"/>
            </w14:solidFill>
          </w14:textFill>
        </w:rPr>
        <w:t>的围蔽统一采用成品绿色围蔽（图二），围墙宣传画由本标段施工单位具体实施。</w:t>
      </w:r>
      <w:bookmarkEnd w:id="215"/>
      <w:bookmarkEnd w:id="216"/>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p>
    <w:tbl>
      <w:tblPr>
        <w:tblStyle w:val="1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5"/>
        <w:gridCol w:w="4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45" w:type="dxa"/>
            <w:shd w:val="clear" w:color="auto" w:fill="DBE5F1"/>
            <w:noWrap w:val="0"/>
            <w:vAlign w:val="center"/>
          </w:tcPr>
          <w:p>
            <w:pPr>
              <w:keepNext w:val="0"/>
              <w:keepLines w:val="0"/>
              <w:suppressLineNumbers w:val="0"/>
              <w:spacing w:before="0" w:beforeAutospacing="0" w:after="0" w:afterAutospacing="0"/>
              <w:ind w:left="0" w:right="0"/>
              <w:jc w:val="center"/>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图一</w:t>
            </w:r>
          </w:p>
        </w:tc>
        <w:tc>
          <w:tcPr>
            <w:tcW w:w="4077" w:type="dxa"/>
            <w:shd w:val="clear" w:color="auto" w:fill="DBE5F1"/>
            <w:noWrap w:val="0"/>
            <w:vAlign w:val="center"/>
          </w:tcPr>
          <w:p>
            <w:pPr>
              <w:keepNext w:val="0"/>
              <w:keepLines w:val="0"/>
              <w:suppressLineNumbers w:val="0"/>
              <w:spacing w:before="0" w:beforeAutospacing="0" w:after="0" w:afterAutospacing="0"/>
              <w:ind w:left="0" w:right="0"/>
              <w:jc w:val="center"/>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图二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45" w:type="dxa"/>
            <w:noWrap w:val="0"/>
            <w:vAlign w:val="center"/>
          </w:tcPr>
          <w:p>
            <w:pPr>
              <w:keepNext w:val="0"/>
              <w:keepLines w:val="0"/>
              <w:suppressLineNumbers w:val="0"/>
              <w:spacing w:before="0" w:beforeAutospacing="0" w:after="0" w:afterAutospacing="0"/>
              <w:ind w:left="0" w:right="0"/>
              <w:jc w:val="center"/>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2571750" cy="1744345"/>
                  <wp:effectExtent l="0" t="0" r="0" b="825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32"/>
                          <a:stretch>
                            <a:fillRect/>
                          </a:stretch>
                        </pic:blipFill>
                        <pic:spPr>
                          <a:xfrm>
                            <a:off x="0" y="0"/>
                            <a:ext cx="2571750" cy="1744345"/>
                          </a:xfrm>
                          <a:prstGeom prst="rect">
                            <a:avLst/>
                          </a:prstGeom>
                          <a:noFill/>
                          <a:ln>
                            <a:noFill/>
                          </a:ln>
                        </pic:spPr>
                      </pic:pic>
                    </a:graphicData>
                  </a:graphic>
                </wp:inline>
              </w:drawing>
            </w:r>
          </w:p>
        </w:tc>
        <w:tc>
          <w:tcPr>
            <w:tcW w:w="4077" w:type="dxa"/>
            <w:noWrap w:val="0"/>
            <w:vAlign w:val="center"/>
          </w:tcPr>
          <w:p>
            <w:pPr>
              <w:keepNext w:val="0"/>
              <w:keepLines w:val="0"/>
              <w:suppressLineNumbers w:val="0"/>
              <w:spacing w:before="0" w:beforeAutospacing="0" w:after="0" w:afterAutospacing="0"/>
              <w:ind w:left="0" w:right="0"/>
              <w:jc w:val="center"/>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drawing>
                <wp:inline distT="0" distB="0" distL="114300" distR="114300">
                  <wp:extent cx="2335530" cy="1690370"/>
                  <wp:effectExtent l="0" t="0" r="7620" b="508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33"/>
                          <a:srcRect l="15594" r="29063" b="47862"/>
                          <a:stretch>
                            <a:fillRect/>
                          </a:stretch>
                        </pic:blipFill>
                        <pic:spPr>
                          <a:xfrm>
                            <a:off x="0" y="0"/>
                            <a:ext cx="2335530" cy="1690370"/>
                          </a:xfrm>
                          <a:prstGeom prst="rect">
                            <a:avLst/>
                          </a:prstGeom>
                          <a:noFill/>
                          <a:ln>
                            <a:noFill/>
                          </a:ln>
                        </pic:spPr>
                      </pic:pic>
                    </a:graphicData>
                  </a:graphic>
                </wp:inline>
              </w:drawing>
            </w:r>
          </w:p>
        </w:tc>
      </w:tr>
    </w:tbl>
    <w:p>
      <w:pPr>
        <w:pStyle w:val="39"/>
        <w:numPr>
          <w:ilvl w:val="0"/>
          <w:numId w:val="0"/>
        </w:numPr>
        <w:outlineLvl w:val="1"/>
        <w:rPr>
          <w:rFonts w:hint="eastAsia" w:ascii="Calibri" w:hAnsi="Calibri" w:eastAsia="仿宋_GB2312" w:cs="Calibri"/>
          <w:b w:val="0"/>
          <w:bCs w:val="0"/>
          <w:color w:val="000000" w:themeColor="text1"/>
          <w:sz w:val="32"/>
          <w:szCs w:val="32"/>
          <w:highlight w:val="none"/>
          <w14:textFill>
            <w14:solidFill>
              <w14:schemeClr w14:val="tx1"/>
            </w14:solidFill>
          </w14:textFill>
        </w:rPr>
      </w:pPr>
      <w:bookmarkStart w:id="217" w:name="_Toc20976"/>
      <w:bookmarkStart w:id="218" w:name="_Toc30256"/>
      <w:bookmarkStart w:id="219" w:name="_Toc6506"/>
      <w:r>
        <w:rPr>
          <w:color w:val="000000" w:themeColor="text1"/>
          <w:sz w:val="32"/>
          <w:szCs w:val="32"/>
          <w:highlight w:val="none"/>
          <w14:textFill>
            <w14:solidFill>
              <w14:schemeClr w14:val="tx1"/>
            </w14:solidFill>
          </w14:textFill>
        </w:rPr>
        <w:drawing>
          <wp:anchor distT="0" distB="0" distL="114300" distR="114300" simplePos="0" relativeHeight="251662336" behindDoc="1" locked="0" layoutInCell="1" allowOverlap="1">
            <wp:simplePos x="0" y="0"/>
            <wp:positionH relativeFrom="column">
              <wp:posOffset>15240</wp:posOffset>
            </wp:positionH>
            <wp:positionV relativeFrom="paragraph">
              <wp:posOffset>544830</wp:posOffset>
            </wp:positionV>
            <wp:extent cx="3656965" cy="2968625"/>
            <wp:effectExtent l="0" t="0" r="635" b="3175"/>
            <wp:wrapTight wrapText="bothSides">
              <wp:wrapPolygon>
                <wp:start x="0" y="0"/>
                <wp:lineTo x="0" y="21531"/>
                <wp:lineTo x="21529" y="21531"/>
                <wp:lineTo x="21529" y="0"/>
                <wp:lineTo x="0" y="0"/>
              </wp:wrapPolygon>
            </wp:wrapTight>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34"/>
                    <a:stretch>
                      <a:fillRect/>
                    </a:stretch>
                  </pic:blipFill>
                  <pic:spPr>
                    <a:xfrm>
                      <a:off x="0" y="0"/>
                      <a:ext cx="3656965" cy="2968625"/>
                    </a:xfrm>
                    <a:prstGeom prst="rect">
                      <a:avLst/>
                    </a:prstGeom>
                    <a:noFill/>
                    <a:ln>
                      <a:noFill/>
                    </a:ln>
                  </pic:spPr>
                </pic:pic>
              </a:graphicData>
            </a:graphic>
          </wp:anchor>
        </w:drawing>
      </w:r>
      <w:r>
        <w:rPr>
          <w:rFonts w:hint="eastAsia" w:ascii="宋体" w:hAnsi="宋体" w:eastAsia="宋体" w:cs="宋体"/>
          <w:b w:val="0"/>
          <w:bCs w:val="0"/>
          <w:color w:val="000000" w:themeColor="text1"/>
          <w:sz w:val="24"/>
          <w:szCs w:val="24"/>
          <w:highlight w:val="none"/>
          <w14:textFill>
            <w14:solidFill>
              <w14:schemeClr w14:val="tx1"/>
            </w14:solidFill>
          </w14:textFill>
        </w:rPr>
        <w:t>4、施工板房临设安排</w:t>
      </w:r>
      <w:bookmarkEnd w:id="217"/>
      <w:bookmarkEnd w:id="218"/>
      <w:bookmarkEnd w:id="219"/>
    </w:p>
    <w:p>
      <w:pPr>
        <w:pStyle w:val="39"/>
        <w:numPr>
          <w:ilvl w:val="0"/>
          <w:numId w:val="0"/>
        </w:numPr>
        <w:ind w:firstLine="880" w:firstLineChars="200"/>
        <w:outlineLvl w:val="1"/>
        <w:rPr>
          <w:rFonts w:hint="eastAsia" w:ascii="Calibri" w:hAnsi="Calibri" w:eastAsia="仿宋_GB2312" w:cs="Calibri"/>
          <w:b w:val="0"/>
          <w:bCs w:val="0"/>
          <w:color w:val="000000" w:themeColor="text1"/>
          <w:highlight w:val="none"/>
          <w14:textFill>
            <w14:solidFill>
              <w14:schemeClr w14:val="tx1"/>
            </w14:solidFill>
          </w14:textFill>
        </w:rPr>
      </w:pPr>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bookmarkStart w:id="220" w:name="_Toc1340"/>
      <w:bookmarkStart w:id="221" w:name="_Toc8419"/>
      <w:bookmarkStart w:id="222" w:name="_Toc14458"/>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p>
    <w:p>
      <w:pPr>
        <w:pStyle w:val="39"/>
        <w:numPr>
          <w:ilvl w:val="0"/>
          <w:numId w:val="0"/>
        </w:numPr>
        <w:ind w:firstLine="880" w:firstLineChars="200"/>
        <w:outlineLvl w:val="9"/>
        <w:rPr>
          <w:rFonts w:hint="eastAsia" w:ascii="Calibri" w:hAnsi="Calibri" w:eastAsia="仿宋_GB2312" w:cs="Calibri"/>
          <w:b w:val="0"/>
          <w:bCs w:val="0"/>
          <w:color w:val="000000" w:themeColor="text1"/>
          <w:highlight w:val="none"/>
          <w14:textFill>
            <w14:solidFill>
              <w14:schemeClr w14:val="tx1"/>
            </w14:solidFill>
          </w14:textFill>
        </w:rPr>
      </w:pPr>
    </w:p>
    <w:p>
      <w:pPr>
        <w:pStyle w:val="39"/>
        <w:numPr>
          <w:ilvl w:val="0"/>
          <w:numId w:val="0"/>
        </w:numPr>
        <w:ind w:firstLine="640" w:firstLineChars="200"/>
        <w:outlineLvl w:val="9"/>
        <w:rPr>
          <w:rFonts w:hint="eastAsia" w:ascii="Calibri" w:hAnsi="Calibri" w:eastAsia="仿宋_GB2312" w:cs="Calibri"/>
          <w:b w:val="0"/>
          <w:bCs w:val="0"/>
          <w:color w:val="000000" w:themeColor="text1"/>
          <w:sz w:val="32"/>
          <w:szCs w:val="32"/>
          <w:highlight w:val="none"/>
          <w14:textFill>
            <w14:solidFill>
              <w14:schemeClr w14:val="tx1"/>
            </w14:solidFill>
          </w14:textFill>
        </w:rPr>
      </w:pPr>
    </w:p>
    <w:p>
      <w:pPr>
        <w:pStyle w:val="39"/>
        <w:numPr>
          <w:ilvl w:val="0"/>
          <w:numId w:val="0"/>
        </w:numPr>
        <w:ind w:firstLine="640" w:firstLineChars="200"/>
        <w:outlineLvl w:val="9"/>
        <w:rPr>
          <w:rFonts w:hint="eastAsia" w:ascii="Calibri" w:hAnsi="Calibri" w:eastAsia="仿宋_GB2312" w:cs="Calibri"/>
          <w:b w:val="0"/>
          <w:bCs w:val="0"/>
          <w:color w:val="000000" w:themeColor="text1"/>
          <w:sz w:val="32"/>
          <w:szCs w:val="32"/>
          <w:highlight w:val="none"/>
          <w14:textFill>
            <w14:solidFill>
              <w14:schemeClr w14:val="tx1"/>
            </w14:solidFill>
          </w14:textFill>
        </w:rPr>
      </w:pPr>
      <w:r>
        <w:rPr>
          <w:rFonts w:hint="eastAsia" w:ascii="Calibri" w:hAnsi="Calibri" w:eastAsia="仿宋_GB2312" w:cs="Calibri"/>
          <w:b w:val="0"/>
          <w:bCs w:val="0"/>
          <w:color w:val="000000" w:themeColor="text1"/>
          <w:sz w:val="32"/>
          <w:szCs w:val="32"/>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4018280</wp:posOffset>
                </wp:positionH>
                <wp:positionV relativeFrom="paragraph">
                  <wp:posOffset>1440180</wp:posOffset>
                </wp:positionV>
                <wp:extent cx="523240" cy="4159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523240" cy="415925"/>
                        </a:xfrm>
                        <a:prstGeom prst="rect">
                          <a:avLst/>
                        </a:prstGeom>
                        <a:noFill/>
                        <a:ln w="15875">
                          <a:noFill/>
                        </a:ln>
                      </wps:spPr>
                      <wps:txbx>
                        <w:txbxContent>
                          <w:p>
                            <w:pPr>
                              <w:rPr>
                                <w:b/>
                                <w:bCs/>
                                <w:color w:val="FF0000"/>
                                <w:sz w:val="36"/>
                                <w:szCs w:val="36"/>
                              </w:rPr>
                            </w:pPr>
                          </w:p>
                        </w:txbxContent>
                      </wps:txbx>
                      <wps:bodyPr upright="1"/>
                    </wps:wsp>
                  </a:graphicData>
                </a:graphic>
              </wp:anchor>
            </w:drawing>
          </mc:Choice>
          <mc:Fallback>
            <w:pict>
              <v:shape id="_x0000_s1026" o:spid="_x0000_s1026" o:spt="202" type="#_x0000_t202" style="position:absolute;left:0pt;margin-left:316.4pt;margin-top:113.4pt;height:32.75pt;width:41.2pt;z-index:251661312;mso-width-relative:page;mso-height-relative:page;" filled="f" stroked="f" coordsize="21600,21600" o:gfxdata="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oygLo3QAAAAsBAAAPAAAAAAAAAAEAIAAAACIAAABkcnMvZG93bnJldi54bWxQSwEC&#10;FAAUAAAACACHTuJAwj9uZ7YBAABZAwAADgAAAAAAAAABACAAAAAsAQAAZHJzL2Uyb0RvYy54bWxQ&#10;SwUGAAAAAAYABgBZAQAAVAUAAAAA&#10;">
                <v:fill on="f" focussize="0,0"/>
                <v:stroke on="f" weight="1.25pt"/>
                <v:imagedata o:title=""/>
                <o:lock v:ext="edit" aspectratio="f"/>
                <v:textbox>
                  <w:txbxContent>
                    <w:p>
                      <w:pPr>
                        <w:rPr>
                          <w:b/>
                          <w:bCs/>
                          <w:color w:val="FF0000"/>
                          <w:sz w:val="36"/>
                          <w:szCs w:val="36"/>
                        </w:rPr>
                      </w:pPr>
                    </w:p>
                  </w:txbxContent>
                </v:textbox>
              </v:shape>
            </w:pict>
          </mc:Fallback>
        </mc:AlternateContent>
      </w:r>
      <w:bookmarkEnd w:id="220"/>
      <w:bookmarkEnd w:id="221"/>
      <w:bookmarkStart w:id="223" w:name="_Toc6635"/>
      <w:bookmarkStart w:id="224" w:name="_Toc27078"/>
    </w:p>
    <w:p>
      <w:pPr>
        <w:pStyle w:val="39"/>
        <w:numPr>
          <w:ilvl w:val="0"/>
          <w:numId w:val="0"/>
        </w:numPr>
        <w:ind w:firstLine="480" w:firstLineChars="200"/>
        <w:outlineLvl w:val="9"/>
        <w:rPr>
          <w:rFonts w:hint="eastAsia" w:ascii="宋体" w:hAnsi="宋体" w:eastAsia="宋体" w:cs="宋体"/>
          <w:b w:val="0"/>
          <w:bCs w:val="0"/>
          <w:color w:val="000000" w:themeColor="text1"/>
          <w:sz w:val="24"/>
          <w:szCs w:val="24"/>
          <w:highlight w:val="none"/>
          <w14:textFill>
            <w14:solidFill>
              <w14:schemeClr w14:val="tx1"/>
            </w14:solidFill>
          </w14:textFill>
        </w:rPr>
      </w:pPr>
      <w:r>
        <w:rPr>
          <w:rFonts w:hint="eastAsia" w:ascii="宋体" w:hAnsi="宋体" w:eastAsia="宋体" w:cs="宋体"/>
          <w:b w:val="0"/>
          <w:bCs w:val="0"/>
          <w:color w:val="000000" w:themeColor="text1"/>
          <w:sz w:val="24"/>
          <w:szCs w:val="24"/>
          <w:highlight w:val="none"/>
          <w14:textFill>
            <w14:solidFill>
              <w14:schemeClr w14:val="tx1"/>
            </w14:solidFill>
          </w14:textFill>
        </w:rPr>
        <w:t>本项目</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西侧绿地及篮球场可考虑做临时施工板房用地，</w:t>
      </w:r>
      <w:r>
        <w:rPr>
          <w:rFonts w:hint="eastAsia" w:ascii="宋体" w:hAnsi="宋体" w:eastAsia="宋体" w:cs="宋体"/>
          <w:b w:val="0"/>
          <w:bCs w:val="0"/>
          <w:color w:val="000000" w:themeColor="text1"/>
          <w:sz w:val="24"/>
          <w:szCs w:val="24"/>
          <w:highlight w:val="none"/>
          <w14:textFill>
            <w14:solidFill>
              <w14:schemeClr w14:val="tx1"/>
            </w14:solidFill>
          </w14:textFill>
        </w:rPr>
        <w:t>约</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3339.5</w:t>
      </w:r>
      <w:r>
        <w:rPr>
          <w:rFonts w:hint="eastAsia" w:ascii="宋体" w:hAnsi="宋体" w:eastAsia="宋体" w:cs="宋体"/>
          <w:b w:val="0"/>
          <w:bCs w:val="0"/>
          <w:color w:val="000000" w:themeColor="text1"/>
          <w:sz w:val="24"/>
          <w:szCs w:val="24"/>
          <w:highlight w:val="none"/>
          <w14:textFill>
            <w14:solidFill>
              <w14:schemeClr w14:val="tx1"/>
            </w14:solidFill>
          </w14:textFill>
        </w:rPr>
        <w:t>m2，</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如材料堆场、板房等位置不够时，需考虑向东侧借用部分用地临时使用，以</w:t>
      </w:r>
      <w:r>
        <w:rPr>
          <w:rFonts w:hint="eastAsia" w:ascii="宋体" w:hAnsi="宋体" w:eastAsia="宋体" w:cs="宋体"/>
          <w:b w:val="0"/>
          <w:bCs w:val="0"/>
          <w:color w:val="000000" w:themeColor="text1"/>
          <w:sz w:val="24"/>
          <w:szCs w:val="24"/>
          <w:highlight w:val="none"/>
          <w14:textFill>
            <w14:solidFill>
              <w14:schemeClr w14:val="tx1"/>
            </w14:solidFill>
          </w14:textFill>
        </w:rPr>
        <w:t>满足临时办公和生活要求，具体划分根据现场实施情况由监理协调确定</w:t>
      </w:r>
      <w:bookmarkEnd w:id="222"/>
      <w:bookmarkEnd w:id="223"/>
      <w:bookmarkEnd w:id="224"/>
      <w:r>
        <w:rPr>
          <w:rFonts w:hint="eastAsia" w:ascii="宋体" w:hAnsi="宋体" w:eastAsia="宋体" w:cs="宋体"/>
          <w:b w:val="0"/>
          <w:bCs w:val="0"/>
          <w:color w:val="000000" w:themeColor="text1"/>
          <w:sz w:val="24"/>
          <w:szCs w:val="24"/>
          <w:highlight w:val="none"/>
          <w14:textFill>
            <w14:solidFill>
              <w14:schemeClr w14:val="tx1"/>
            </w14:solidFill>
          </w14:textFill>
        </w:rPr>
        <w:t>。</w:t>
      </w:r>
    </w:p>
    <w:p>
      <w:pPr>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225" w:name="_Toc26224"/>
      <w:bookmarkStart w:id="226" w:name="_Toc4635"/>
      <w:r>
        <w:rPr>
          <w:rFonts w:hint="eastAsia" w:ascii="宋体" w:hAnsi="宋体" w:eastAsia="宋体" w:cs="宋体"/>
          <w:color w:val="000000" w:themeColor="text1"/>
          <w:sz w:val="24"/>
          <w:szCs w:val="24"/>
          <w:highlight w:val="none"/>
          <w14:textFill>
            <w14:solidFill>
              <w14:schemeClr w14:val="tx1"/>
            </w14:solidFill>
          </w14:textFill>
        </w:rPr>
        <w:t>5、临时排水及排污</w:t>
      </w:r>
      <w:bookmarkEnd w:id="225"/>
      <w:bookmarkEnd w:id="226"/>
    </w:p>
    <w:p>
      <w:pPr>
        <w:adjustRightInd w:val="0"/>
        <w:snapToGrid w:val="0"/>
        <w:spacing w:line="360" w:lineRule="auto"/>
        <w:ind w:firstLine="480" w:firstLineChars="200"/>
        <w:rPr>
          <w:rFonts w:hint="eastAsia" w:ascii="宋体" w:hAnsi="宋体" w:eastAsia="宋体" w:cs="宋体"/>
          <w:b w:val="0"/>
          <w:bCs w:val="0"/>
          <w:color w:val="000000" w:themeColor="text1"/>
          <w:sz w:val="24"/>
          <w:szCs w:val="24"/>
          <w:highlight w:val="none"/>
          <w:lang w:val="en-US"/>
          <w14:textFill>
            <w14:solidFill>
              <w14:schemeClr w14:val="tx1"/>
            </w14:solidFill>
          </w14:textFill>
        </w:rPr>
      </w:pPr>
      <w:r>
        <w:rPr>
          <w:rFonts w:hint="eastAsia" w:ascii="宋体" w:hAnsi="宋体" w:eastAsia="宋体" w:cs="宋体"/>
          <w:b w:val="0"/>
          <w:bCs w:val="0"/>
          <w:color w:val="000000" w:themeColor="text1"/>
          <w:sz w:val="24"/>
          <w:szCs w:val="24"/>
          <w:highlight w:val="none"/>
          <w14:textFill>
            <w14:solidFill>
              <w14:schemeClr w14:val="tx1"/>
            </w14:solidFill>
          </w14:textFill>
        </w:rPr>
        <w:t>现阶段临时</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雨水</w:t>
      </w:r>
      <w:r>
        <w:rPr>
          <w:rFonts w:hint="eastAsia" w:ascii="宋体" w:hAnsi="宋体" w:eastAsia="宋体" w:cs="宋体"/>
          <w:b w:val="0"/>
          <w:bCs w:val="0"/>
          <w:color w:val="000000" w:themeColor="text1"/>
          <w:sz w:val="24"/>
          <w:szCs w:val="24"/>
          <w:highlight w:val="none"/>
          <w14:textFill>
            <w14:solidFill>
              <w14:schemeClr w14:val="tx1"/>
            </w14:solidFill>
          </w14:textFill>
        </w:rPr>
        <w:t>排水</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排至西侧的尚义大道</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DN1000雨水管网</w:t>
      </w:r>
      <w:r>
        <w:rPr>
          <w:rFonts w:hint="eastAsia" w:ascii="宋体" w:hAnsi="宋体" w:eastAsia="宋体" w:cs="宋体"/>
          <w:b w:val="0"/>
          <w:bCs w:val="0"/>
          <w:color w:val="000000" w:themeColor="text1"/>
          <w:sz w:val="24"/>
          <w:szCs w:val="24"/>
          <w:highlight w:val="none"/>
          <w14:textFill>
            <w14:solidFill>
              <w14:schemeClr w14:val="tx1"/>
            </w14:solidFill>
          </w14:textFill>
        </w:rPr>
        <w:t>；场地内施工生活区废水设置隔油池、厕所设置化粪池</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接入市政管网，也可考虑永临结合方案处理，若需委托专业单位进行污水处理所产生的费用由施工单位自行负责。</w:t>
      </w:r>
    </w:p>
    <w:p>
      <w:pPr>
        <w:adjustRightInd w:val="0"/>
        <w:snapToGrid w:val="0"/>
        <w:spacing w:line="360" w:lineRule="auto"/>
        <w:ind w:firstLine="480" w:firstLineChars="200"/>
        <w:outlineLvl w:val="1"/>
        <w:rPr>
          <w:rFonts w:hint="eastAsia" w:ascii="宋体" w:hAnsi="宋体" w:cs="宋体"/>
          <w:color w:val="000000" w:themeColor="text1"/>
          <w:sz w:val="24"/>
          <w:szCs w:val="24"/>
          <w:highlight w:val="none"/>
          <w14:textFill>
            <w14:solidFill>
              <w14:schemeClr w14:val="tx1"/>
            </w14:solidFill>
          </w14:textFill>
        </w:rPr>
      </w:pPr>
      <w:bookmarkStart w:id="227" w:name="_Toc10574"/>
      <w:bookmarkStart w:id="228" w:name="_Toc25490"/>
      <w:r>
        <w:rPr>
          <w:rFonts w:hint="eastAsia" w:ascii="宋体" w:hAnsi="宋体" w:eastAsia="宋体" w:cs="宋体"/>
          <w:color w:val="000000" w:themeColor="text1"/>
          <w:sz w:val="24"/>
          <w:szCs w:val="24"/>
          <w:highlight w:val="none"/>
          <w14:textFill>
            <w14:solidFill>
              <w14:schemeClr w14:val="tx1"/>
            </w14:solidFill>
          </w14:textFill>
        </w:rPr>
        <w:t>6、视频监控系统安装工程</w:t>
      </w:r>
      <w:bookmarkEnd w:id="227"/>
      <w:bookmarkEnd w:id="228"/>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施工现场的视频监控系统应满足《广州市建委关于广州市建筑工地安装视频监控装置的通知》(穗建筑[2006]551号)、《关于全面启动广州市社会治安视频监控系统建设有关问题的通知》（穗视频建字【2006】1号）和《广州市住房和城乡建设委员会关于全市建设工地纳入视频监管的通知》（穗建质[2017]1166号）的要求，建立满足隐蔽工程和关键工序质量监控、安全文明施工监控、验收监控等需要的视频监控系统。施工现场视频监控的部位应当覆盖以下基本部位：大门及围墙、临时用电设施、高支摸体系、外用电梯、塔吊、物料提升机等。承包人应建立视频监控系统资料的收集、查阅、检索等档案系统，并安排专人负责。</w:t>
      </w:r>
    </w:p>
    <w:p>
      <w:pPr>
        <w:adjustRightInd w:val="0"/>
        <w:snapToGrid w:val="0"/>
        <w:spacing w:line="360" w:lineRule="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（六）由中心负责相关检测单位委托工作，检测单位进场计划如下：</w:t>
      </w:r>
    </w:p>
    <w:tbl>
      <w:tblPr>
        <w:tblStyle w:val="18"/>
        <w:tblW w:w="9640" w:type="dxa"/>
        <w:tblInd w:w="-176" w:type="dxa"/>
        <w:tblLayout w:type="fixed"/>
        <w:tblCellMar>
          <w:top w:w="0" w:type="dxa"/>
          <w:left w:w="108" w:type="dxa"/>
          <w:bottom w:w="0" w:type="dxa"/>
          <w:right w:w="108" w:type="dxa"/>
        </w:tblCellMar>
      </w:tblPr>
      <w:tblGrid>
        <w:gridCol w:w="987"/>
        <w:gridCol w:w="4684"/>
        <w:gridCol w:w="2126"/>
        <w:gridCol w:w="1843"/>
      </w:tblGrid>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序号</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检测类别</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最迟进场时间</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仿宋_GB2312" w:eastAsia="仿宋_GB2312"/>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备注</w:t>
            </w: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常规原材料检测（含</w:t>
            </w:r>
            <w:r>
              <w:rPr>
                <w:rFonts w:hint="eastAsia" w:ascii="宋体" w:hAnsi="宋体" w:eastAsia="宋体" w:cs="宋体"/>
                <w:color w:val="000000" w:themeColor="text1"/>
                <w:sz w:val="24"/>
                <w:szCs w:val="24"/>
                <w:highlight w:val="none"/>
                <w:lang w:val="en-US" w:eastAsia="zh-CN"/>
                <w14:textFill>
                  <w14:solidFill>
                    <w14:schemeClr w14:val="tx1"/>
                  </w14:solidFill>
                </w14:textFill>
              </w:rPr>
              <w:t>建筑原材、幕墙</w:t>
            </w:r>
            <w:r>
              <w:rPr>
                <w:rFonts w:hint="eastAsia" w:ascii="宋体" w:hAnsi="宋体" w:eastAsia="宋体" w:cs="宋体"/>
                <w:color w:val="000000" w:themeColor="text1"/>
                <w:sz w:val="24"/>
                <w:szCs w:val="24"/>
                <w:highlight w:val="none"/>
                <w14:textFill>
                  <w14:solidFill>
                    <w14:schemeClr w14:val="tx1"/>
                  </w14:solidFill>
                </w14:textFill>
              </w:rPr>
              <w:t>、市政类材料</w:t>
            </w:r>
            <w:r>
              <w:rPr>
                <w:rFonts w:hint="eastAsia" w:ascii="宋体" w:hAnsi="宋体" w:eastAsia="宋体" w:cs="宋体"/>
                <w:color w:val="000000" w:themeColor="text1"/>
                <w:sz w:val="24"/>
                <w:szCs w:val="24"/>
                <w:highlight w:val="none"/>
                <w:lang w:val="en-US" w:eastAsia="zh-CN"/>
                <w14:textFill>
                  <w14:solidFill>
                    <w14:schemeClr w14:val="tx1"/>
                  </w14:solidFill>
                </w14:textFill>
              </w:rPr>
              <w:t>等</w:t>
            </w:r>
            <w:r>
              <w:rPr>
                <w:rFonts w:hint="eastAsia" w:ascii="宋体" w:hAnsi="宋体" w:eastAsia="宋体" w:cs="宋体"/>
                <w:color w:val="000000" w:themeColor="text1"/>
                <w:sz w:val="24"/>
                <w:szCs w:val="24"/>
                <w:highlight w:val="none"/>
                <w14:textFill>
                  <w14:solidFill>
                    <w14:schemeClr w14:val="tx1"/>
                  </w14:solidFill>
                </w14:textFill>
              </w:rPr>
              <w:t>）</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796"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桩基础检测（低应变、静荷载抗压、压板试验、动力触探</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桩基础焊缝探伤检测）</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结构实体检测（</w:t>
            </w:r>
            <w:r>
              <w:rPr>
                <w:rFonts w:hint="eastAsia" w:ascii="宋体" w:hAnsi="宋体" w:eastAsia="宋体" w:cs="宋体"/>
                <w:color w:val="000000" w:themeColor="text1"/>
                <w:sz w:val="24"/>
                <w:szCs w:val="24"/>
                <w:highlight w:val="none"/>
                <w:lang w:val="en-US" w:eastAsia="zh-CN"/>
                <w14:textFill>
                  <w14:solidFill>
                    <w14:schemeClr w14:val="tx1"/>
                  </w14:solidFill>
                </w14:textFill>
              </w:rPr>
              <w:t>混凝土土体结构实体检测、幕墙后置件抗拔、拉结筋抗拔、混凝土氯离子实体检测</w:t>
            </w:r>
            <w:r>
              <w:rPr>
                <w:rFonts w:hint="eastAsia" w:ascii="宋体" w:hAnsi="宋体" w:eastAsia="宋体" w:cs="宋体"/>
                <w:color w:val="000000" w:themeColor="text1"/>
                <w:sz w:val="24"/>
                <w:szCs w:val="24"/>
                <w:highlight w:val="none"/>
                <w14:textFill>
                  <w14:solidFill>
                    <w14:schemeClr w14:val="tx1"/>
                  </w14:solidFill>
                </w14:textFill>
              </w:rPr>
              <w:t>）</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2024年8月1日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高支模观测、主体沉降观测</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防雷检测</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90"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建筑节能检测、室内环境空气检测</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智能化检测（含光纤入户）</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2024年9月1日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8</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发电机满负荷运转试验</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2024年10月1日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9</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白蚁防治</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2024年6月1日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w:t>
            </w:r>
            <w:r>
              <w:rPr>
                <w:rFonts w:hint="eastAsia" w:ascii="宋体" w:hAnsi="宋体" w:eastAsia="宋体" w:cs="宋体"/>
                <w:color w:val="000000" w:themeColor="text1"/>
                <w:sz w:val="24"/>
                <w:szCs w:val="24"/>
                <w:highlight w:val="none"/>
                <w:lang w:val="en-US" w:eastAsia="zh-CN"/>
                <w14:textFill>
                  <w14:solidFill>
                    <w14:schemeClr w14:val="tx1"/>
                  </w14:solidFill>
                </w14:textFill>
              </w:rPr>
              <w:t>0</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消防检测</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2024年10月1日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w:t>
            </w: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规划</w:t>
            </w:r>
            <w:r>
              <w:rPr>
                <w:rFonts w:hint="eastAsia" w:ascii="宋体" w:hAnsi="宋体" w:eastAsia="宋体" w:cs="宋体"/>
                <w:color w:val="000000" w:themeColor="text1"/>
                <w:sz w:val="24"/>
                <w:szCs w:val="24"/>
                <w:highlight w:val="none"/>
                <w:lang w:val="en-US" w:eastAsia="zh-CN"/>
                <w14:textFill>
                  <w14:solidFill>
                    <w14:schemeClr w14:val="tx1"/>
                  </w14:solidFill>
                </w14:textFill>
              </w:rPr>
              <w:t>验线</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2024年11月1日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229" w:name="_Toc30955"/>
            <w:bookmarkStart w:id="230" w:name="_Toc8160"/>
            <w:bookmarkStart w:id="231" w:name="_Toc10556574"/>
            <w:bookmarkStart w:id="232" w:name="_Toc15296"/>
            <w:r>
              <w:rPr>
                <w:rFonts w:hint="eastAsia" w:ascii="宋体" w:hAnsi="宋体" w:eastAsia="宋体" w:cs="宋体"/>
                <w:color w:val="000000" w:themeColor="text1"/>
                <w:sz w:val="24"/>
                <w:szCs w:val="24"/>
                <w:highlight w:val="none"/>
                <w:lang w:val="en-US" w:eastAsia="zh-CN"/>
                <w14:textFill>
                  <w14:solidFill>
                    <w14:schemeClr w14:val="tx1"/>
                  </w14:solidFill>
                </w14:textFill>
              </w:rPr>
              <w:t>12</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海绵城市第三方评估</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2024年11月1日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r>
        <w:tblPrEx>
          <w:tblCellMar>
            <w:top w:w="0" w:type="dxa"/>
            <w:left w:w="108" w:type="dxa"/>
            <w:bottom w:w="0" w:type="dxa"/>
            <w:right w:w="108" w:type="dxa"/>
          </w:tblCellMar>
        </w:tblPrEx>
        <w:trPr>
          <w:trHeight w:val="567" w:hRule="atLeast"/>
        </w:trPr>
        <w:tc>
          <w:tcPr>
            <w:tcW w:w="987" w:type="dxa"/>
            <w:tcBorders>
              <w:top w:val="single" w:color="auto" w:sz="4" w:space="0"/>
              <w:left w:val="single" w:color="auto" w:sz="4" w:space="0"/>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13</w:t>
            </w:r>
          </w:p>
        </w:tc>
        <w:tc>
          <w:tcPr>
            <w:tcW w:w="4684"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水土保持及验收</w:t>
            </w:r>
          </w:p>
        </w:tc>
        <w:tc>
          <w:tcPr>
            <w:tcW w:w="2126"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2024年7月1日</w:t>
            </w:r>
          </w:p>
        </w:tc>
        <w:tc>
          <w:tcPr>
            <w:tcW w:w="1843" w:type="dxa"/>
            <w:tcBorders>
              <w:top w:val="single" w:color="auto" w:sz="4" w:space="0"/>
              <w:left w:val="nil"/>
              <w:bottom w:val="single" w:color="auto" w:sz="4" w:space="0"/>
              <w:right w:val="single" w:color="auto" w:sz="4" w:space="0"/>
            </w:tcBorders>
            <w:noWrap/>
            <w:vAlign w:val="center"/>
          </w:tcPr>
          <w:p>
            <w:pPr>
              <w:keepNext w:val="0"/>
              <w:keepLines w:val="0"/>
              <w:suppressLineNumbers w:val="0"/>
              <w:adjustRightInd w:val="0"/>
              <w:snapToGrid w:val="0"/>
              <w:spacing w:before="0" w:beforeAutospacing="0" w:after="0" w:afterAutospacing="0" w:line="360" w:lineRule="auto"/>
              <w:ind w:left="0" w:right="0" w:firstLine="560" w:firstLineChars="200"/>
              <w:rPr>
                <w:rFonts w:hint="default" w:ascii="仿宋_GB2312" w:eastAsia="仿宋_GB2312"/>
                <w:color w:val="000000" w:themeColor="text1"/>
                <w:sz w:val="28"/>
                <w:szCs w:val="28"/>
                <w:highlight w:val="none"/>
                <w14:textFill>
                  <w14:solidFill>
                    <w14:schemeClr w14:val="tx1"/>
                  </w14:solidFill>
                </w14:textFill>
              </w:rPr>
            </w:pPr>
          </w:p>
        </w:tc>
      </w:tr>
    </w:tbl>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（七）施工重点、难点分析</w:t>
      </w:r>
      <w:bookmarkEnd w:id="229"/>
      <w:bookmarkEnd w:id="230"/>
      <w:bookmarkEnd w:id="231"/>
      <w:bookmarkEnd w:id="232"/>
    </w:p>
    <w:p>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材料管理是质量管理的重中之重。因此，严格按我中心相关管理办法要求实行材料看样定板制度，对进场材料严格按照定板标准组织监理验收并按相关规定进行材料检测，必须是百分百合格且与样板一致的材料才准进场使用。成套设备严格执行开箱验收制度，组织监理严格按照设计图纸和主要材料设备技术需求书列明的参数核对设备信息，确保进场设备符合设计要求。</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2）现场临设场地需统一规划，</w:t>
      </w:r>
      <w:r>
        <w:rPr>
          <w:rFonts w:hint="eastAsia" w:ascii="宋体" w:hAnsi="宋体" w:eastAsia="宋体" w:cs="宋体"/>
          <w:color w:val="000000" w:themeColor="text1"/>
          <w:sz w:val="24"/>
          <w:szCs w:val="24"/>
          <w:highlight w:val="none"/>
          <w:lang w:val="en-US" w:eastAsia="zh-CN"/>
          <w14:textFill>
            <w14:solidFill>
              <w14:schemeClr w14:val="tx1"/>
            </w14:solidFill>
          </w14:textFill>
        </w:rPr>
        <w:t>本项目施工场地较小且毗邻已开学的铁职学校</w:t>
      </w:r>
      <w:r>
        <w:rPr>
          <w:rFonts w:hint="eastAsia" w:ascii="宋体" w:hAnsi="宋体" w:eastAsia="宋体" w:cs="宋体"/>
          <w:color w:val="000000" w:themeColor="text1"/>
          <w:sz w:val="24"/>
          <w:szCs w:val="24"/>
          <w:highlight w:val="none"/>
          <w14:textFill>
            <w14:solidFill>
              <w14:schemeClr w14:val="tx1"/>
            </w14:solidFill>
          </w14:textFill>
        </w:rPr>
        <w:t>，因此，</w:t>
      </w:r>
      <w:r>
        <w:rPr>
          <w:rFonts w:hint="eastAsia" w:ascii="宋体" w:hAnsi="宋体" w:eastAsia="宋体" w:cs="宋体"/>
          <w:color w:val="000000" w:themeColor="text1"/>
          <w:sz w:val="24"/>
          <w:szCs w:val="24"/>
          <w:highlight w:val="none"/>
          <w:lang w:val="en-US" w:eastAsia="zh-CN"/>
          <w14:textFill>
            <w14:solidFill>
              <w14:schemeClr w14:val="tx1"/>
            </w14:solidFill>
          </w14:textFill>
        </w:rPr>
        <w:t>施工单位需做好</w:t>
      </w:r>
      <w:r>
        <w:rPr>
          <w:rFonts w:hint="eastAsia" w:ascii="宋体" w:hAnsi="宋体" w:eastAsia="宋体" w:cs="宋体"/>
          <w:color w:val="000000" w:themeColor="text1"/>
          <w:sz w:val="24"/>
          <w:szCs w:val="24"/>
          <w:highlight w:val="none"/>
          <w14:textFill>
            <w14:solidFill>
              <w14:schemeClr w14:val="tx1"/>
            </w14:solidFill>
          </w14:textFill>
        </w:rPr>
        <w:t>工序衔接、专业之间的配合垂直运输设备的使用统筹、现场材料进场堆放等诸多方面</w:t>
      </w:r>
      <w:r>
        <w:rPr>
          <w:rFonts w:hint="eastAsia" w:ascii="宋体" w:hAnsi="宋体" w:eastAsia="宋体" w:cs="宋体"/>
          <w:color w:val="000000" w:themeColor="text1"/>
          <w:sz w:val="24"/>
          <w:szCs w:val="24"/>
          <w:highlight w:val="none"/>
          <w:lang w:val="en-US" w:eastAsia="zh-CN"/>
          <w14:textFill>
            <w14:solidFill>
              <w14:schemeClr w14:val="tx1"/>
            </w14:solidFill>
          </w14:textFill>
        </w:rPr>
        <w:t>现场管理</w:t>
      </w:r>
      <w:r>
        <w:rPr>
          <w:rFonts w:hint="eastAsia" w:ascii="宋体" w:hAnsi="宋体" w:eastAsia="宋体" w:cs="宋体"/>
          <w:color w:val="000000" w:themeColor="text1"/>
          <w:sz w:val="24"/>
          <w:szCs w:val="24"/>
          <w:highlight w:val="none"/>
          <w14:textFill>
            <w14:solidFill>
              <w14:schemeClr w14:val="tx1"/>
            </w14:solidFill>
          </w14:textFill>
        </w:rPr>
        <w:t>。</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3</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安全文明及噪音扬尘管控，科教城目前已有多所学校开学，拟建工程毗邻已开学的铁职学校且位于主要干道边，往来社会车辆、学生出入较多，需重点做好围蔽、扬尘管控及施工噪音防治，避免施工噪音影响学校正常运行。</w:t>
      </w:r>
    </w:p>
    <w:p>
      <w:pPr>
        <w:pStyle w:val="7"/>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4</w:t>
      </w:r>
      <w:r>
        <w:rPr>
          <w:rFonts w:hint="eastAsia" w:ascii="宋体" w:hAnsi="宋体" w:eastAsia="宋体" w:cs="宋体"/>
          <w:color w:val="000000" w:themeColor="text1"/>
          <w:sz w:val="24"/>
          <w:szCs w:val="24"/>
          <w:highlight w:val="none"/>
          <w14:textFill>
            <w14:solidFill>
              <w14:schemeClr w14:val="tx1"/>
            </w14:solidFill>
          </w14:textFill>
        </w:rPr>
        <w:t xml:space="preserve">）、 </w:t>
      </w:r>
      <w:r>
        <w:rPr>
          <w:rFonts w:hint="eastAsia" w:ascii="宋体" w:hAnsi="宋体" w:eastAsia="宋体" w:cs="宋体"/>
          <w:color w:val="000000" w:themeColor="text1"/>
          <w:sz w:val="24"/>
          <w:szCs w:val="24"/>
          <w:highlight w:val="none"/>
          <w:lang w:val="en-US" w:eastAsia="zh-CN"/>
          <w14:textFill>
            <w14:solidFill>
              <w14:schemeClr w14:val="tx1"/>
            </w14:solidFill>
          </w14:textFill>
        </w:rPr>
        <w:t>幕墙工程</w:t>
      </w:r>
      <w:r>
        <w:rPr>
          <w:rFonts w:hint="eastAsia" w:ascii="宋体" w:hAnsi="宋体" w:eastAsia="宋体" w:cs="宋体"/>
          <w:color w:val="000000" w:themeColor="text1"/>
          <w:sz w:val="24"/>
          <w:szCs w:val="24"/>
          <w:highlight w:val="none"/>
          <w14:textFill>
            <w14:solidFill>
              <w14:schemeClr w14:val="tx1"/>
            </w14:solidFill>
          </w14:textFill>
        </w:rPr>
        <w:t>施工</w:t>
      </w:r>
      <w:r>
        <w:rPr>
          <w:rFonts w:hint="eastAsia" w:ascii="宋体" w:hAnsi="宋体" w:eastAsia="宋体" w:cs="宋体"/>
          <w:color w:val="000000" w:themeColor="text1"/>
          <w:sz w:val="24"/>
          <w:szCs w:val="24"/>
          <w:highlight w:val="none"/>
          <w:lang w:val="en-US" w:eastAsia="zh-CN"/>
          <w14:textFill>
            <w14:solidFill>
              <w14:schemeClr w14:val="tx1"/>
            </w14:solidFill>
          </w14:textFill>
        </w:rPr>
        <w:t>质量、安全控制</w:t>
      </w:r>
      <w:r>
        <w:rPr>
          <w:rFonts w:hint="eastAsia" w:ascii="宋体" w:hAnsi="宋体" w:eastAsia="宋体" w:cs="宋体"/>
          <w:color w:val="000000" w:themeColor="text1"/>
          <w:sz w:val="24"/>
          <w:szCs w:val="24"/>
          <w:highlight w:val="none"/>
          <w14:textFill>
            <w14:solidFill>
              <w14:schemeClr w14:val="tx1"/>
            </w14:solidFill>
          </w14:textFill>
        </w:rPr>
        <w:t>是本项目管控的重点和难点。</w:t>
      </w:r>
    </w:p>
    <w:p>
      <w:pPr>
        <w:pStyle w:val="7"/>
        <w:spacing w:line="360" w:lineRule="auto"/>
        <w:ind w:firstLine="0"/>
        <w:rPr>
          <w:rFonts w:hint="eastAsia" w:ascii="宋体" w:hAnsi="宋体" w:eastAsia="宋体" w:cs="宋体"/>
          <w:color w:val="000000" w:themeColor="text1"/>
          <w:sz w:val="24"/>
          <w:szCs w:val="24"/>
          <w:highlight w:val="none"/>
          <w:lang w:val="en-US"/>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w:t>
      </w:r>
      <w:r>
        <w:rPr>
          <w:rFonts w:hint="eastAsia" w:ascii="宋体" w:hAnsi="宋体" w:eastAsia="宋体" w:cs="宋体"/>
          <w:color w:val="000000" w:themeColor="text1"/>
          <w:sz w:val="24"/>
          <w:szCs w:val="24"/>
          <w:highlight w:val="none"/>
          <w:lang w:val="en-US" w:eastAsia="zh-CN"/>
          <w14:textFill>
            <w14:solidFill>
              <w14:schemeClr w14:val="tx1"/>
            </w14:solidFill>
          </w14:textFill>
        </w:rPr>
        <w:t>本项目主要综合楼外立面为金属幕墙架构，幕墙的施工质量好坏将直接影响到本项目整体观感及使用功能，施工单位需重点做好幕墙预埋件定位、骨架安装焊接、拼装打胶平整度、防水节点处理等工序，确保整体施工质量优良。</w:t>
      </w: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233" w:name="_Toc21460"/>
      <w:bookmarkStart w:id="234" w:name="_Toc418665201"/>
      <w:bookmarkStart w:id="235" w:name="_Toc18458"/>
      <w:bookmarkStart w:id="236" w:name="_Toc10556575"/>
      <w:bookmarkStart w:id="237" w:name="_Toc13536"/>
      <w:r>
        <w:rPr>
          <w:rFonts w:hint="eastAsia" w:cs="宋体"/>
          <w:b/>
          <w:bCs/>
          <w:color w:val="000000" w:themeColor="text1"/>
          <w:sz w:val="24"/>
          <w:szCs w:val="24"/>
          <w:highlight w:val="none"/>
          <w14:textFill>
            <w14:solidFill>
              <w14:schemeClr w14:val="tx1"/>
            </w14:solidFill>
          </w14:textFill>
        </w:rPr>
        <w:t>二、专业工程实施能力要求</w:t>
      </w:r>
      <w:bookmarkEnd w:id="233"/>
      <w:bookmarkEnd w:id="234"/>
      <w:bookmarkEnd w:id="235"/>
      <w:bookmarkEnd w:id="236"/>
      <w:bookmarkEnd w:id="237"/>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38" w:name="_Toc418665202"/>
      <w:bookmarkStart w:id="239" w:name="_Toc19465"/>
      <w:bookmarkStart w:id="240" w:name="_Toc10556576"/>
      <w:bookmarkStart w:id="241" w:name="_Toc8045"/>
      <w:bookmarkStart w:id="242" w:name="_Toc1181"/>
      <w:r>
        <w:rPr>
          <w:rFonts w:hint="eastAsia" w:ascii="宋体" w:hAnsi="宋体" w:cs="宋体"/>
          <w:color w:val="000000" w:themeColor="text1"/>
          <w:highlight w:val="none"/>
          <w14:textFill>
            <w14:solidFill>
              <w14:schemeClr w14:val="tx1"/>
            </w14:solidFill>
          </w14:textFill>
        </w:rPr>
        <w:t>（一）需要具备特殊实施能力的专业工程范围</w:t>
      </w:r>
      <w:bookmarkEnd w:id="238"/>
      <w:bookmarkEnd w:id="239"/>
      <w:bookmarkEnd w:id="240"/>
      <w:bookmarkEnd w:id="241"/>
      <w:bookmarkEnd w:id="242"/>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bookmarkStart w:id="243" w:name="_Toc418665203"/>
      <w:r>
        <w:rPr>
          <w:rFonts w:hint="eastAsia" w:ascii="宋体" w:hAnsi="宋体" w:eastAsia="宋体" w:cs="宋体"/>
          <w:color w:val="000000" w:themeColor="text1"/>
          <w:sz w:val="24"/>
          <w:szCs w:val="24"/>
          <w:highlight w:val="none"/>
          <w14:textFill>
            <w14:solidFill>
              <w14:schemeClr w14:val="tx1"/>
            </w14:solidFill>
          </w14:textFill>
        </w:rPr>
        <w:t>本项目包含地基与基础分部工程（包含基础</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土方</w:t>
      </w:r>
      <w:r>
        <w:rPr>
          <w:rFonts w:hint="eastAsia" w:ascii="宋体" w:hAnsi="宋体" w:eastAsia="宋体" w:cs="宋体"/>
          <w:color w:val="000000" w:themeColor="text1"/>
          <w:sz w:val="24"/>
          <w:szCs w:val="24"/>
          <w:highlight w:val="none"/>
          <w14:textFill>
            <w14:solidFill>
              <w14:schemeClr w14:val="tx1"/>
            </w14:solidFill>
          </w14:textFill>
        </w:rPr>
        <w:t>子分部工程）、主体结构分部工程（含混凝土</w:t>
      </w:r>
      <w:r>
        <w:rPr>
          <w:rFonts w:hint="eastAsia" w:ascii="宋体" w:hAnsi="宋体" w:eastAsia="宋体" w:cs="宋体"/>
          <w:color w:val="000000" w:themeColor="text1"/>
          <w:sz w:val="24"/>
          <w:szCs w:val="24"/>
          <w:highlight w:val="none"/>
          <w:lang w:val="en-US" w:eastAsia="zh-CN"/>
          <w14:textFill>
            <w14:solidFill>
              <w14:schemeClr w14:val="tx1"/>
            </w14:solidFill>
          </w14:textFill>
        </w:rPr>
        <w:t>结构</w:t>
      </w:r>
      <w:r>
        <w:rPr>
          <w:rFonts w:hint="eastAsia" w:ascii="宋体" w:hAnsi="宋体" w:eastAsia="宋体" w:cs="宋体"/>
          <w:color w:val="000000" w:themeColor="text1"/>
          <w:sz w:val="24"/>
          <w:szCs w:val="24"/>
          <w:highlight w:val="none"/>
          <w14:textFill>
            <w14:solidFill>
              <w14:schemeClr w14:val="tx1"/>
            </w14:solidFill>
          </w14:textFill>
        </w:rPr>
        <w:t>子分部工程、砌体结构子分部工程）、建筑装饰装修工程（包含</w:t>
      </w:r>
      <w:r>
        <w:rPr>
          <w:rFonts w:hint="eastAsia" w:ascii="宋体" w:hAnsi="宋体" w:eastAsia="宋体" w:cs="宋体"/>
          <w:color w:val="000000" w:themeColor="text1"/>
          <w:sz w:val="24"/>
          <w:szCs w:val="24"/>
          <w:highlight w:val="none"/>
          <w:lang w:val="en-US" w:eastAsia="zh-CN"/>
          <w14:textFill>
            <w14:solidFill>
              <w14:schemeClr w14:val="tx1"/>
            </w14:solidFill>
          </w14:textFill>
        </w:rPr>
        <w:t>建筑地面、抹灰、外墙防水、门窗、饰面砖、幕墙等</w:t>
      </w:r>
      <w:r>
        <w:rPr>
          <w:rFonts w:hint="eastAsia" w:ascii="宋体" w:hAnsi="宋体" w:eastAsia="宋体" w:cs="宋体"/>
          <w:color w:val="000000" w:themeColor="text1"/>
          <w:sz w:val="24"/>
          <w:szCs w:val="24"/>
          <w:highlight w:val="none"/>
          <w14:textFill>
            <w14:solidFill>
              <w14:schemeClr w14:val="tx1"/>
            </w14:solidFill>
          </w14:textFill>
        </w:rPr>
        <w:t>子分部工程）、屋面</w:t>
      </w:r>
      <w:r>
        <w:rPr>
          <w:rFonts w:hint="eastAsia" w:ascii="宋体" w:hAnsi="宋体" w:eastAsia="宋体" w:cs="宋体"/>
          <w:color w:val="000000" w:themeColor="text1"/>
          <w:sz w:val="24"/>
          <w:szCs w:val="24"/>
          <w:highlight w:val="none"/>
          <w:lang w:val="en-US" w:eastAsia="zh-CN"/>
          <w14:textFill>
            <w14:solidFill>
              <w14:schemeClr w14:val="tx1"/>
            </w14:solidFill>
          </w14:textFill>
        </w:rPr>
        <w:t>分部</w:t>
      </w:r>
      <w:r>
        <w:rPr>
          <w:rFonts w:hint="eastAsia" w:ascii="宋体" w:hAnsi="宋体" w:eastAsia="宋体" w:cs="宋体"/>
          <w:color w:val="000000" w:themeColor="text1"/>
          <w:sz w:val="24"/>
          <w:szCs w:val="24"/>
          <w:highlight w:val="none"/>
          <w14:textFill>
            <w14:solidFill>
              <w14:schemeClr w14:val="tx1"/>
            </w14:solidFill>
          </w14:textFill>
        </w:rPr>
        <w:t>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建筑给水排水及供暖分部</w:t>
      </w:r>
      <w:r>
        <w:rPr>
          <w:rFonts w:hint="eastAsia" w:ascii="宋体" w:hAnsi="宋体" w:eastAsia="宋体" w:cs="宋体"/>
          <w:color w:val="000000" w:themeColor="text1"/>
          <w:sz w:val="24"/>
          <w:szCs w:val="24"/>
          <w:highlight w:val="none"/>
          <w14:textFill>
            <w14:solidFill>
              <w14:schemeClr w14:val="tx1"/>
            </w14:solidFill>
          </w14:textFill>
        </w:rPr>
        <w:t>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、通风与空调分部</w:t>
      </w:r>
      <w:r>
        <w:rPr>
          <w:rFonts w:hint="eastAsia" w:ascii="宋体" w:hAnsi="宋体" w:eastAsia="宋体" w:cs="宋体"/>
          <w:color w:val="000000" w:themeColor="text1"/>
          <w:sz w:val="24"/>
          <w:szCs w:val="24"/>
          <w:highlight w:val="none"/>
          <w14:textFill>
            <w14:solidFill>
              <w14:schemeClr w14:val="tx1"/>
            </w14:solidFill>
          </w14:textFill>
        </w:rPr>
        <w:t>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电梯分部工程、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建筑电气</w:t>
      </w:r>
      <w:r>
        <w:rPr>
          <w:rFonts w:hint="eastAsia" w:ascii="宋体" w:hAnsi="宋体" w:eastAsia="宋体" w:cs="宋体"/>
          <w:color w:val="000000" w:themeColor="text1"/>
          <w:sz w:val="24"/>
          <w:szCs w:val="24"/>
          <w:highlight w:val="none"/>
          <w14:textFill>
            <w14:solidFill>
              <w14:schemeClr w14:val="tx1"/>
            </w14:solidFill>
          </w14:textFill>
        </w:rPr>
        <w:t>分部工程、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智能建筑</w:t>
      </w:r>
      <w:r>
        <w:rPr>
          <w:rFonts w:hint="eastAsia" w:ascii="宋体" w:hAnsi="宋体" w:eastAsia="宋体" w:cs="宋体"/>
          <w:color w:val="000000" w:themeColor="text1"/>
          <w:sz w:val="24"/>
          <w:szCs w:val="24"/>
          <w:highlight w:val="none"/>
          <w14:textFill>
            <w14:solidFill>
              <w14:schemeClr w14:val="tx1"/>
            </w14:solidFill>
          </w14:textFill>
        </w:rPr>
        <w:t>分部工程</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建筑节能分部工程及室外设施等</w:t>
      </w:r>
      <w:r>
        <w:rPr>
          <w:rFonts w:hint="eastAsia" w:ascii="宋体" w:hAnsi="宋体" w:eastAsia="宋体" w:cs="宋体"/>
          <w:color w:val="000000" w:themeColor="text1"/>
          <w:sz w:val="24"/>
          <w:szCs w:val="24"/>
          <w:highlight w:val="none"/>
          <w14:textFill>
            <w14:solidFill>
              <w14:schemeClr w14:val="tx1"/>
            </w14:solidFill>
          </w14:textFill>
        </w:rPr>
        <w:t>。由于上述专业工程较复杂、专业性较强，故要求中标人须具备完成上述专业工程的能力，对中标人资质覆盖范围以外的专业工程，中标人须根据国家、住房和城乡建设部和省市相关规定委托给具备相应专业承包能力且经招标人、监理单位共同认可的专业承包单位实施（主体结构分部工程除外），中标单位在选定专业分包单位时，应择优选择至少三家具有资质的专业分包单位供招标人、监理单位考察和评审</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并根据市重点项目管理中心专业分包管理办法规定经审批后方可委托专业分包</w:t>
      </w:r>
      <w:r>
        <w:rPr>
          <w:rFonts w:hint="eastAsia" w:ascii="宋体" w:hAnsi="宋体" w:eastAsia="宋体" w:cs="宋体"/>
          <w:color w:val="000000" w:themeColor="text1"/>
          <w:sz w:val="24"/>
          <w:szCs w:val="24"/>
          <w:highlight w:val="none"/>
          <w14:textFill>
            <w14:solidFill>
              <w14:schemeClr w14:val="tx1"/>
            </w14:solidFill>
          </w14:textFill>
        </w:rPr>
        <w:t>。</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44" w:name="_Toc6011"/>
      <w:bookmarkStart w:id="245" w:name="_Toc20984"/>
      <w:bookmarkStart w:id="246" w:name="_Toc26692"/>
      <w:bookmarkStart w:id="247" w:name="_Toc10556577"/>
      <w:r>
        <w:rPr>
          <w:rFonts w:hint="eastAsia" w:ascii="宋体" w:hAnsi="宋体" w:cs="宋体"/>
          <w:color w:val="000000" w:themeColor="text1"/>
          <w:highlight w:val="none"/>
          <w14:textFill>
            <w14:solidFill>
              <w14:schemeClr w14:val="tx1"/>
            </w14:solidFill>
          </w14:textFill>
        </w:rPr>
        <w:t>（二）专业工程实施能力规定</w:t>
      </w:r>
      <w:bookmarkEnd w:id="243"/>
      <w:bookmarkEnd w:id="244"/>
      <w:bookmarkEnd w:id="245"/>
      <w:bookmarkEnd w:id="246"/>
      <w:bookmarkEnd w:id="247"/>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由于上述专业工程较复杂、专业性较强，故要求承包人须具备完成上述专业工程的能力，若承包人不具备相应的专业工程实施能力，须根据国家相关规定委托给具备相应专业能力且获得项目业主与甲方共同认可的专业单位实施。</w:t>
      </w: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248" w:name="_Toc9441"/>
      <w:bookmarkStart w:id="249" w:name="_Toc10556578"/>
      <w:bookmarkStart w:id="250" w:name="_Toc27561"/>
      <w:bookmarkStart w:id="251" w:name="_Toc11063"/>
      <w:bookmarkStart w:id="252" w:name="_Toc418665204"/>
      <w:r>
        <w:rPr>
          <w:rFonts w:hint="eastAsia" w:cs="宋体"/>
          <w:b/>
          <w:bCs/>
          <w:color w:val="000000" w:themeColor="text1"/>
          <w:sz w:val="24"/>
          <w:szCs w:val="24"/>
          <w:highlight w:val="none"/>
          <w14:textFill>
            <w14:solidFill>
              <w14:schemeClr w14:val="tx1"/>
            </w14:solidFill>
          </w14:textFill>
        </w:rPr>
        <w:t>三、深化设计管理要求</w:t>
      </w:r>
      <w:bookmarkEnd w:id="248"/>
      <w:bookmarkEnd w:id="249"/>
      <w:bookmarkEnd w:id="250"/>
      <w:bookmarkEnd w:id="251"/>
      <w:bookmarkEnd w:id="252"/>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bookmarkStart w:id="253" w:name="_Toc10556579"/>
      <w:bookmarkStart w:id="254" w:name="_Toc418665205"/>
      <w:r>
        <w:rPr>
          <w:rFonts w:hint="eastAsia" w:ascii="宋体" w:hAnsi="宋体" w:eastAsia="宋体" w:cs="宋体"/>
          <w:color w:val="000000" w:themeColor="text1"/>
          <w:sz w:val="24"/>
          <w:szCs w:val="24"/>
          <w:highlight w:val="none"/>
          <w14:textFill>
            <w14:solidFill>
              <w14:schemeClr w14:val="tx1"/>
            </w14:solidFill>
          </w14:textFill>
        </w:rPr>
        <w:t>1、深化设计能力要求。承包人应具备相应的专业工程深化设计能力及深化设计业绩，如承包人不具备，则应经发包人同意依法委托给具有相应能力的单位实施。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2、深化设计工作要点</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①深化设计是在不改变原施工图设计功能、结构体系和设计意图的前提下，以提高施工图的可操作性和便于施工为目的，对施工图进行深化、优化和完善、力求节约投资的技术工作。有关费用已包含在合同总价中。</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②承包人进行深化设计时，应以设计院出的设计图纸为依据，如没有合理的原因，不能进行改动；深化设计图纸报经监理单位和发包人同意批准后，报经设计单位及施工图审查单位进行审核同意后方可实施，没有以上2个单位的盖章，所出深化设计图纸不能作为施工图纸。如承包人的深化设计图纸达不到要求，发包人有权要求承包人对深化设计人员进行调整更换或另委托深化设计单位。</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③深化设计选用的材料厂家及品牌应是承包人根据招标文件《主要设备材料品牌/生产厂家推荐表》规定提交的投标文件上列明的材料厂家及品牌。如经考察，投标人选用的材料不满足工程需要，发包人有权在《主要设备材料品牌/生产厂家推荐表》中选择其他满足规定的材料厂家及品牌，合同价款不作调整。</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④深化设计须结合施工工艺要求，与各相关专业工程充分沟通，不得影响其他专业或系统的结构体系和使用功能等。</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⑤除节点设计和装配损耗之外，任何影响主要材料用量的设计变更或深化设计，承包人只有建议权，承包人有责任提出包括安全性、稳定性、合理性的设计调整方案，报设计单位审核，最后报发包人批准后由设计单位出具正式的优化设计图纸和设计变更，否则由此引起的增加造价由承包人承担。为方便施工的节点设计和装配损耗等导致的材料用量增加等由承包人承担，发包人不另行增加费用。</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⑥深化设计的计量计价原则：在满足招标技术要求（包括强制性条款、推荐品牌要求）的前提下，深化设计引起的材质、参数（含规格、型号等)的调整均不作为调价的依据。</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3、深化设计工作流程</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①深化设计工作方案报审：中标后，深化设计工作开展前，承包人须报深化设计工作方案给监理单位、发包人审核，审核通过后方可正式开展深化设计工作。深化设计工作方案包括但不限于深化设计人员（含驻场设计人员）、深化设计的工作计划及具体的深化设计管理实施方案、工作流程。</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②专家评审会：进场2-3天内，组织一次专家评审会，对其所提交的投标文件（包括图纸、技术方案、设备清单等）进行认真、详细、严格的评审，作为深化设计的指导意见。</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③深化设计工作开展：深化设计须由承包人深化设计负责人统筹安排各项工作，并随时接受监理单位、设计单位及发包人的监督检查。</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④深化设计文件审核：深化设计图纸（含造价文件）完成后，报主体设计单位(原设计单位)、监理单位、发包人审核，并根据修改意见相应调整深化设计图纸。</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⑤施工图报审：经发包人同意后，按规定报施工图审查单位审查并办理施工图审查备案手续。</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⑥深化设计图纸审批：施工图审查合格并经发包人审批同意后，作为施工图实施。深化设计图纸份数为20份。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 ⑦技术交底及图纸会审：深化设计图纸和文件经过审核确认后，应进行相应技术交底及图纸会审。</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4、以上规定未尽事宜，参照《广州市重点公共建设项目管理办公室深化设计管理办法（试行）》规定执行。</w:t>
      </w:r>
    </w:p>
    <w:p>
      <w:pPr>
        <w:pStyle w:val="2"/>
        <w:tabs>
          <w:tab w:val="left" w:pos="142"/>
        </w:tabs>
        <w:rPr>
          <w:rFonts w:hint="eastAsia" w:cs="宋体"/>
          <w:color w:val="000000" w:themeColor="text1"/>
          <w:sz w:val="24"/>
          <w:szCs w:val="24"/>
          <w:highlight w:val="none"/>
          <w14:textFill>
            <w14:solidFill>
              <w14:schemeClr w14:val="tx1"/>
            </w14:solidFill>
          </w14:textFill>
        </w:rPr>
      </w:pPr>
      <w:bookmarkStart w:id="255" w:name="_Toc8608"/>
      <w:bookmarkStart w:id="256" w:name="_Toc28722"/>
      <w:bookmarkStart w:id="257" w:name="_Toc5884"/>
      <w:r>
        <w:rPr>
          <w:rFonts w:hint="eastAsia" w:cs="宋体"/>
          <w:color w:val="000000" w:themeColor="text1"/>
          <w:sz w:val="24"/>
          <w:szCs w:val="24"/>
          <w:highlight w:val="none"/>
          <w14:textFill>
            <w14:solidFill>
              <w14:schemeClr w14:val="tx1"/>
            </w14:solidFill>
          </w14:textFill>
        </w:rPr>
        <w:t>四、质量管理要求</w:t>
      </w:r>
      <w:bookmarkEnd w:id="253"/>
      <w:bookmarkEnd w:id="254"/>
      <w:bookmarkEnd w:id="255"/>
      <w:bookmarkEnd w:id="256"/>
      <w:bookmarkEnd w:id="257"/>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58" w:name="_Toc20139"/>
      <w:bookmarkStart w:id="259" w:name="_Toc10556581"/>
      <w:bookmarkStart w:id="260" w:name="_Toc7612"/>
      <w:bookmarkStart w:id="261" w:name="_Toc407099485"/>
      <w:bookmarkStart w:id="262" w:name="_Toc11149"/>
      <w:bookmarkStart w:id="263" w:name="_Toc418665207"/>
      <w:r>
        <w:rPr>
          <w:rFonts w:hint="eastAsia" w:ascii="宋体" w:hAnsi="宋体" w:cs="宋体"/>
          <w:color w:val="000000" w:themeColor="text1"/>
          <w:highlight w:val="none"/>
          <w14:textFill>
            <w14:solidFill>
              <w14:schemeClr w14:val="tx1"/>
            </w14:solidFill>
          </w14:textFill>
        </w:rPr>
        <w:t>（一）质量管理体系</w:t>
      </w:r>
      <w:bookmarkEnd w:id="258"/>
      <w:bookmarkEnd w:id="259"/>
      <w:bookmarkEnd w:id="260"/>
      <w:bookmarkEnd w:id="261"/>
      <w:bookmarkEnd w:id="262"/>
      <w:bookmarkEnd w:id="263"/>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当完善质量管理制度，建立质量控制流程，进行全面质量管理（TQC），以《质量管理体系标准要求》（GB/T19001-2016）为标准，建立并保持一个有效的工程质量管理体系。为此，承包人必须做到（不限于）：</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1、建立完整的质量保证体系，建立并完善各项目质量管理检查制度及企业质量管理文件等；</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2、承包人提交监理工程师批准的施工组织设计或者施工方案必须附有完备的工程质量保证措施；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3、单项工程开工前，承包人必须按要求进行三级技术交底，组织学习有关规程、标准、规范和工艺要求，在施工中必须按规程及工艺进行操作，并邀请监理人参加。承包人应将交底过程资料报监理人备案。</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4、在招标文件中明确总承包单位对我</w:t>
      </w:r>
      <w:r>
        <w:rPr>
          <w:rFonts w:hint="eastAsia" w:ascii="宋体" w:hAnsi="宋体" w:eastAsia="宋体" w:cs="宋体"/>
          <w:color w:val="000000" w:themeColor="text1"/>
          <w:sz w:val="24"/>
          <w:szCs w:val="24"/>
          <w:highlight w:val="none"/>
          <w:lang w:val="en-US" w:eastAsia="zh-CN"/>
          <w14:textFill>
            <w14:solidFill>
              <w14:schemeClr w14:val="tx1"/>
            </w14:solidFill>
          </w14:textFill>
        </w:rPr>
        <w:t>中心</w:t>
      </w:r>
      <w:r>
        <w:rPr>
          <w:rFonts w:hint="eastAsia" w:ascii="宋体" w:hAnsi="宋体" w:eastAsia="宋体" w:cs="宋体"/>
          <w:color w:val="000000" w:themeColor="text1"/>
          <w:sz w:val="24"/>
          <w:szCs w:val="24"/>
          <w:highlight w:val="none"/>
          <w14:textFill>
            <w14:solidFill>
              <w14:schemeClr w14:val="tx1"/>
            </w14:solidFill>
          </w14:textFill>
        </w:rPr>
        <w:t>独立发包的专业承包单位的总承包协调管理责任、工作面移交和协调管理责任、成品保护责任，质量、安全、进度、技术资料管理的管理责任，并按规定安排总承包管理费用，总包单位应提供水电、施工机具及临建等相关设备机具的配合。</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5、在招标文件中明确我</w:t>
      </w:r>
      <w:r>
        <w:rPr>
          <w:rFonts w:hint="eastAsia" w:ascii="宋体" w:hAnsi="宋体" w:eastAsia="宋体" w:cs="宋体"/>
          <w:color w:val="000000" w:themeColor="text1"/>
          <w:sz w:val="24"/>
          <w:szCs w:val="24"/>
          <w:highlight w:val="none"/>
          <w:lang w:val="en-US" w:eastAsia="zh-CN"/>
          <w14:textFill>
            <w14:solidFill>
              <w14:schemeClr w14:val="tx1"/>
            </w14:solidFill>
          </w14:textFill>
        </w:rPr>
        <w:t>中心</w:t>
      </w:r>
      <w:r>
        <w:rPr>
          <w:rFonts w:hint="eastAsia" w:ascii="宋体" w:hAnsi="宋体" w:eastAsia="宋体" w:cs="宋体"/>
          <w:color w:val="000000" w:themeColor="text1"/>
          <w:sz w:val="24"/>
          <w:szCs w:val="24"/>
          <w:highlight w:val="none"/>
          <w14:textFill>
            <w14:solidFill>
              <w14:schemeClr w14:val="tx1"/>
            </w14:solidFill>
          </w14:textFill>
        </w:rPr>
        <w:t>独立发包的专业承包单位对总承包单位管理的服从责任、工作面移交和成品保护责任，服从总承包质量、安全、进度、技术资料管理的责任。</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64" w:name="_Toc407099486"/>
      <w:bookmarkStart w:id="265" w:name="_Toc9541"/>
      <w:bookmarkStart w:id="266" w:name="_Toc9940"/>
      <w:bookmarkStart w:id="267" w:name="_Toc418665208"/>
      <w:bookmarkStart w:id="268" w:name="_Toc10556582"/>
      <w:bookmarkStart w:id="269" w:name="_Toc29713"/>
      <w:r>
        <w:rPr>
          <w:rFonts w:hint="eastAsia" w:ascii="宋体" w:hAnsi="宋体" w:cs="宋体"/>
          <w:color w:val="000000" w:themeColor="text1"/>
          <w:highlight w:val="none"/>
          <w14:textFill>
            <w14:solidFill>
              <w14:schemeClr w14:val="tx1"/>
            </w14:solidFill>
          </w14:textFill>
        </w:rPr>
        <w:t>（二）质量通病防治</w:t>
      </w:r>
      <w:bookmarkEnd w:id="264"/>
      <w:bookmarkEnd w:id="265"/>
      <w:bookmarkEnd w:id="266"/>
      <w:bookmarkEnd w:id="267"/>
      <w:bookmarkEnd w:id="268"/>
      <w:bookmarkEnd w:id="269"/>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承包人必须严格执行有关质量通病治理措施、工程建设强制性标准和有关节能、环境保护、绿色施工的规定。承包人须针对本项目制定工程质量通病防治措施方案。</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70" w:name="_Toc418665209"/>
      <w:bookmarkStart w:id="271" w:name="_Toc27061"/>
      <w:bookmarkStart w:id="272" w:name="_Toc4138"/>
      <w:bookmarkStart w:id="273" w:name="_Toc25343"/>
      <w:bookmarkStart w:id="274" w:name="_Toc10556583"/>
      <w:bookmarkStart w:id="275" w:name="_Toc407099487"/>
      <w:r>
        <w:rPr>
          <w:rFonts w:hint="eastAsia" w:ascii="宋体" w:hAnsi="宋体" w:cs="宋体"/>
          <w:color w:val="000000" w:themeColor="text1"/>
          <w:highlight w:val="none"/>
          <w14:textFill>
            <w14:solidFill>
              <w14:schemeClr w14:val="tx1"/>
            </w14:solidFill>
          </w14:textFill>
        </w:rPr>
        <w:t>（三）材料、设备质量保证</w:t>
      </w:r>
      <w:bookmarkEnd w:id="270"/>
      <w:bookmarkEnd w:id="271"/>
      <w:bookmarkEnd w:id="272"/>
      <w:bookmarkEnd w:id="273"/>
      <w:bookmarkEnd w:id="274"/>
      <w:bookmarkEnd w:id="275"/>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所用材料设备必须符合设计要求和国家有关规范与规定。承包人须确保使用的材料设备是合格的、全新的、未使用过的，凡材料设备质量不符合要求，承包人须停工和返工，返工费用由承包人承担，工期不予顺延，同时执行穗重建〔2020〕578号--关于印发《广州市重点公共建设项目管理中心建设项目乙供材料看样定板管理办法（修订）》的通知》的规定。</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76" w:name="_Toc2720"/>
      <w:bookmarkStart w:id="277" w:name="_Toc10449"/>
      <w:bookmarkStart w:id="278" w:name="_Toc10556584"/>
      <w:bookmarkStart w:id="279" w:name="_Toc28775"/>
      <w:bookmarkStart w:id="280" w:name="_Toc407099488"/>
      <w:bookmarkStart w:id="281" w:name="_Toc418665210"/>
      <w:r>
        <w:rPr>
          <w:rFonts w:hint="eastAsia" w:ascii="宋体" w:hAnsi="宋体" w:cs="宋体"/>
          <w:color w:val="000000" w:themeColor="text1"/>
          <w:highlight w:val="none"/>
          <w14:textFill>
            <w14:solidFill>
              <w14:schemeClr w14:val="tx1"/>
            </w14:solidFill>
          </w14:textFill>
        </w:rPr>
        <w:t>（四）人员持证上岗</w:t>
      </w:r>
      <w:bookmarkEnd w:id="276"/>
      <w:bookmarkEnd w:id="277"/>
      <w:bookmarkEnd w:id="278"/>
      <w:bookmarkEnd w:id="279"/>
      <w:bookmarkEnd w:id="280"/>
      <w:bookmarkEnd w:id="281"/>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承包人投入的施工作业人员必须具备相应的上岗证，如特种人员，还须具备特种人员作业证书，以确保施工质量。所有人员必须带证上岗，随时接受发包人、监理人检查，否则按合同约定承担违约责任。</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82" w:name="_Toc8872"/>
      <w:bookmarkStart w:id="283" w:name="_Toc10556585"/>
      <w:bookmarkStart w:id="284" w:name="_Toc26086"/>
      <w:bookmarkStart w:id="285" w:name="_Toc6128"/>
      <w:bookmarkStart w:id="286" w:name="_Toc418665211"/>
      <w:bookmarkStart w:id="287" w:name="_Toc407099489"/>
      <w:r>
        <w:rPr>
          <w:rFonts w:hint="eastAsia" w:ascii="宋体" w:hAnsi="宋体" w:cs="宋体"/>
          <w:color w:val="000000" w:themeColor="text1"/>
          <w:highlight w:val="none"/>
          <w14:textFill>
            <w14:solidFill>
              <w14:schemeClr w14:val="tx1"/>
            </w14:solidFill>
          </w14:textFill>
        </w:rPr>
        <w:t>（五）按图施工</w:t>
      </w:r>
      <w:bookmarkEnd w:id="282"/>
      <w:bookmarkEnd w:id="283"/>
      <w:bookmarkEnd w:id="284"/>
      <w:bookmarkEnd w:id="285"/>
      <w:bookmarkEnd w:id="286"/>
      <w:bookmarkEnd w:id="287"/>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承包人必须严格按审查批准的施工方案和设计图纸施工，不得擅自修改施工方案及设计图纸。</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88" w:name="_Toc32536"/>
      <w:bookmarkStart w:id="289" w:name="_Toc407099490"/>
      <w:bookmarkStart w:id="290" w:name="_Toc16887"/>
      <w:bookmarkStart w:id="291" w:name="_Toc10556586"/>
      <w:bookmarkStart w:id="292" w:name="_Toc14931"/>
      <w:bookmarkStart w:id="293" w:name="_Toc418665212"/>
      <w:r>
        <w:rPr>
          <w:rFonts w:hint="eastAsia" w:ascii="宋体" w:hAnsi="宋体" w:cs="宋体"/>
          <w:color w:val="000000" w:themeColor="text1"/>
          <w:highlight w:val="none"/>
          <w14:textFill>
            <w14:solidFill>
              <w14:schemeClr w14:val="tx1"/>
            </w14:solidFill>
          </w14:textFill>
        </w:rPr>
        <w:t>（六）检验与检查</w:t>
      </w:r>
      <w:bookmarkEnd w:id="288"/>
      <w:bookmarkEnd w:id="289"/>
      <w:bookmarkEnd w:id="290"/>
      <w:bookmarkEnd w:id="291"/>
      <w:bookmarkEnd w:id="292"/>
      <w:bookmarkEnd w:id="293"/>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必须加强质量自检，做好施工过程数据记录及隐蔽工程验收等工作。监理人、发包人、行政主管部门将严格按相关规范和规定对工程质量进行检查验收，未经验收的工程不得进入下一道工序。监理人、发包人、行政主管部门检查或检验不能免除或减轻承包人按照合同约定应当承担的责任。</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294" w:name="_Toc418665213"/>
      <w:bookmarkStart w:id="295" w:name="_Toc14984"/>
      <w:bookmarkStart w:id="296" w:name="_Toc9139"/>
      <w:bookmarkStart w:id="297" w:name="_Toc407099491"/>
      <w:bookmarkStart w:id="298" w:name="_Toc2380"/>
      <w:bookmarkStart w:id="299" w:name="_Toc10556587"/>
      <w:r>
        <w:rPr>
          <w:rFonts w:hint="eastAsia" w:ascii="宋体" w:hAnsi="宋体" w:cs="宋体"/>
          <w:color w:val="000000" w:themeColor="text1"/>
          <w:highlight w:val="none"/>
          <w14:textFill>
            <w14:solidFill>
              <w14:schemeClr w14:val="tx1"/>
            </w14:solidFill>
          </w14:textFill>
        </w:rPr>
        <w:t>（七）现场保护</w:t>
      </w:r>
      <w:bookmarkEnd w:id="294"/>
      <w:bookmarkEnd w:id="295"/>
      <w:bookmarkEnd w:id="296"/>
      <w:bookmarkEnd w:id="297"/>
      <w:bookmarkEnd w:id="298"/>
      <w:bookmarkEnd w:id="299"/>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承包人应加强工程材料、设备、半成品、成品的现场保护工作，项目移交之前造成的遗失或损坏由中标单位自行承担。</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00" w:name="_Toc407099492"/>
      <w:bookmarkStart w:id="301" w:name="_Toc22171"/>
      <w:bookmarkStart w:id="302" w:name="_Toc418665214"/>
      <w:bookmarkStart w:id="303" w:name="_Toc10556588"/>
      <w:bookmarkStart w:id="304" w:name="_Toc9433"/>
      <w:bookmarkStart w:id="305" w:name="_Toc9010"/>
      <w:r>
        <w:rPr>
          <w:rFonts w:hint="eastAsia" w:ascii="宋体" w:hAnsi="宋体" w:cs="宋体"/>
          <w:color w:val="000000" w:themeColor="text1"/>
          <w:highlight w:val="none"/>
          <w14:textFill>
            <w14:solidFill>
              <w14:schemeClr w14:val="tx1"/>
            </w14:solidFill>
          </w14:textFill>
        </w:rPr>
        <w:t>（八）工程技术档案管理</w:t>
      </w:r>
      <w:bookmarkEnd w:id="300"/>
      <w:bookmarkEnd w:id="301"/>
      <w:bookmarkEnd w:id="302"/>
      <w:bookmarkEnd w:id="303"/>
      <w:bookmarkEnd w:id="304"/>
      <w:bookmarkEnd w:id="305"/>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保证按照国家、地方、行业的有关规定，准确、及时做好日常工程技术资料的记录、整理和归档工作，保证记录中原始数据的真实性和及时性，监理单位或发包人有权抽查承包人日常工程技术资料的整理工作，若发现未按照规定及时做好资料整理工作或发现原始记录数据不存在、不真实、不完整，经监理单位确认，发包人有权拒绝相应部分工程的工程量计量与支付，并视情节轻重，由承包人按照合同专用条款的约定承担违约责任。</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06" w:name="_Toc18447"/>
      <w:bookmarkStart w:id="307" w:name="_Toc10556589"/>
      <w:bookmarkStart w:id="308" w:name="_Toc12345"/>
      <w:bookmarkStart w:id="309" w:name="_Toc30755"/>
      <w:bookmarkStart w:id="310" w:name="_Toc407099494"/>
      <w:bookmarkStart w:id="311" w:name="_Toc418665216"/>
      <w:r>
        <w:rPr>
          <w:rFonts w:hint="eastAsia" w:ascii="宋体" w:hAnsi="宋体" w:cs="宋体"/>
          <w:color w:val="000000" w:themeColor="text1"/>
          <w:highlight w:val="none"/>
          <w14:textFill>
            <w14:solidFill>
              <w14:schemeClr w14:val="tx1"/>
            </w14:solidFill>
          </w14:textFill>
        </w:rPr>
        <w:t>（九）特殊管理措施</w:t>
      </w:r>
      <w:bookmarkEnd w:id="306"/>
      <w:bookmarkEnd w:id="307"/>
      <w:bookmarkEnd w:id="308"/>
      <w:bookmarkEnd w:id="309"/>
      <w:bookmarkEnd w:id="310"/>
      <w:bookmarkEnd w:id="311"/>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为了确保工程质量，发包人有权在工程施工过程中实施包括但不限于以下特殊质量管理措施，承包人无条件执行，相关费用已包含在合同总价中，发包人不另行补偿：本工程按照发包人制定的《广州市重点公共建设项目管理办公室建设项目工程质量样板引路实施细则》，实行工程质量样板引路。</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12" w:name="_Toc31514"/>
      <w:bookmarkStart w:id="313" w:name="_Toc19983"/>
      <w:bookmarkStart w:id="314" w:name="_Toc407099495"/>
      <w:bookmarkStart w:id="315" w:name="_Toc20259"/>
      <w:bookmarkStart w:id="316" w:name="_Toc10556590"/>
      <w:r>
        <w:rPr>
          <w:rFonts w:hint="eastAsia" w:ascii="宋体" w:hAnsi="宋体" w:cs="宋体"/>
          <w:color w:val="000000" w:themeColor="text1"/>
          <w:highlight w:val="none"/>
          <w14:textFill>
            <w14:solidFill>
              <w14:schemeClr w14:val="tx1"/>
            </w14:solidFill>
          </w14:textFill>
        </w:rPr>
        <w:t>（十）专业工程质量管理要点</w:t>
      </w:r>
      <w:bookmarkEnd w:id="312"/>
      <w:bookmarkEnd w:id="313"/>
      <w:bookmarkEnd w:id="314"/>
      <w:bookmarkEnd w:id="315"/>
      <w:bookmarkEnd w:id="316"/>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各专业工程质量管理要点如下：</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1、土建工程</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1）、土石方工程及场地平整工程：按监理人批准的土方平衡图纸施工，按规范分层回填、压实。</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地基基础工程：通过试桩由设计单位给定收桩的相关数据，并按该规定执行；打（压）桩顺序、承台土方开挖顺序按监理人批准的施工方案实行；承台及地梁混凝土浇筑前，必须清理完毕内部的积水、杂物；大体积混凝土按规定配料、浇筑、养护；土方回填按规范分层回填、分层压实；实行旁站监理。</w:t>
      </w:r>
    </w:p>
    <w:p>
      <w:pPr>
        <w:adjustRightInd w:val="0"/>
        <w:snapToGrid w:val="0"/>
        <w:spacing w:line="360" w:lineRule="auto"/>
        <w:ind w:firstLine="480" w:firstLineChars="200"/>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3）、主体结构工程：实行样板先行；高支模、塔吊安装等安全专项施工必须完成方案审批方能施工；关键工序、关键部位按规定组织隐蔽工程验收；实行旁站监理。</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4）门窗工程：实行样板先行；门窗必须是在厂家车间生产以成品形式运抵施工现场；门窗预留洞口尺寸符合规范要求；门窗安装的固定方式及填缝符合规范要求。</w:t>
      </w:r>
    </w:p>
    <w:p>
      <w:pPr>
        <w:numPr>
          <w:ilvl w:val="0"/>
          <w:numId w:val="4"/>
        </w:num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防水工程：实行样板先行；实行全过程监理旁站；试水验收合格方能隐蔽。</w:t>
      </w:r>
    </w:p>
    <w:p>
      <w:pPr>
        <w:numPr>
          <w:ilvl w:val="0"/>
          <w:numId w:val="4"/>
        </w:num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保温隔热工程：按图纸及规范要求施工。</w:t>
      </w:r>
    </w:p>
    <w:p>
      <w:pPr>
        <w:numPr>
          <w:ilvl w:val="0"/>
          <w:numId w:val="4"/>
        </w:num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装饰装修：实行样板先行，严格执行隐蔽工序报验程序。</w:t>
      </w:r>
    </w:p>
    <w:p>
      <w:pPr>
        <w:numPr>
          <w:ilvl w:val="0"/>
          <w:numId w:val="4"/>
        </w:num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机电工程：实行样板先行，严格执行隐蔽工序报验程序及检验、调试监理旁站见证。</w:t>
      </w:r>
    </w:p>
    <w:p>
      <w:pPr>
        <w:numPr>
          <w:ilvl w:val="0"/>
          <w:numId w:val="4"/>
        </w:num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弱电智能化：实行样板先行</w:t>
      </w:r>
      <w:r>
        <w:rPr>
          <w:rFonts w:hint="eastAsia" w:ascii="宋体" w:hAnsi="宋体" w:eastAsia="宋体" w:cs="宋体"/>
          <w:color w:val="000000" w:themeColor="text1"/>
          <w:sz w:val="24"/>
          <w:szCs w:val="24"/>
          <w:highlight w:val="none"/>
          <w:lang w:eastAsia="zh-CN"/>
          <w14:textFill>
            <w14:solidFill>
              <w14:schemeClr w14:val="tx1"/>
            </w14:solidFill>
          </w14:textFill>
        </w:rPr>
        <w:t>，严</w:t>
      </w:r>
      <w:r>
        <w:rPr>
          <w:rFonts w:hint="eastAsia" w:ascii="宋体" w:hAnsi="宋体" w:eastAsia="宋体" w:cs="宋体"/>
          <w:color w:val="000000" w:themeColor="text1"/>
          <w:sz w:val="24"/>
          <w:szCs w:val="24"/>
          <w:highlight w:val="none"/>
          <w14:textFill>
            <w14:solidFill>
              <w14:schemeClr w14:val="tx1"/>
            </w14:solidFill>
          </w14:textFill>
        </w:rPr>
        <w:t>格执行隐蔽工序报验程序及检验、调试监理旁站见证。</w:t>
      </w:r>
    </w:p>
    <w:p>
      <w:pPr>
        <w:adjustRightInd w:val="0"/>
        <w:snapToGrid w:val="0"/>
        <w:spacing w:line="360" w:lineRule="auto"/>
        <w:outlineLvl w:val="1"/>
        <w:rPr>
          <w:rFonts w:hint="eastAsia" w:ascii="宋体" w:hAnsi="宋体" w:eastAsia="宋体" w:cs="宋体"/>
          <w:b/>
          <w:bCs/>
          <w:color w:val="000000" w:themeColor="text1"/>
          <w:sz w:val="24"/>
          <w:szCs w:val="24"/>
          <w:highlight w:val="none"/>
          <w14:textFill>
            <w14:solidFill>
              <w14:schemeClr w14:val="tx1"/>
            </w14:solidFill>
          </w14:textFill>
        </w:rPr>
      </w:pPr>
      <w:bookmarkStart w:id="317" w:name="_Toc12135"/>
      <w:bookmarkStart w:id="318" w:name="_Toc20347"/>
      <w:bookmarkStart w:id="319" w:name="_Toc643"/>
      <w:r>
        <w:rPr>
          <w:rFonts w:hint="eastAsia" w:ascii="宋体" w:hAnsi="宋体" w:eastAsia="宋体" w:cs="宋体"/>
          <w:b/>
          <w:bCs/>
          <w:color w:val="000000" w:themeColor="text1"/>
          <w:sz w:val="24"/>
          <w:szCs w:val="24"/>
          <w:highlight w:val="none"/>
          <w14:textFill>
            <w14:solidFill>
              <w14:schemeClr w14:val="tx1"/>
            </w14:solidFill>
          </w14:textFill>
        </w:rPr>
        <w:t>（十一）、技术管理管理要求</w:t>
      </w:r>
      <w:bookmarkEnd w:id="317"/>
      <w:bookmarkEnd w:id="318"/>
      <w:bookmarkEnd w:id="319"/>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（1）承包人在签订施工合同后需按《广州市重点公共建设项目管理中心建设工程合同依法分包操作细则》报批专业分包单位，并经招标人同意后在施工合同中明确相关单位名称、人员架构及相关职责。</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（2）承包人应具备相应的专业工程深化设计能力及深化设计业绩，如承包人不具备，则应经发包人同意依法委托给具有相应能力的单位实施。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（3）深化设计工作流程</w:t>
      </w:r>
      <w:bookmarkStart w:id="320" w:name="_Toc473013127"/>
      <w:r>
        <w:rPr>
          <w:rFonts w:hint="eastAsia" w:ascii="宋体" w:hAnsi="宋体" w:eastAsia="宋体" w:cs="宋体"/>
          <w:color w:val="000000" w:themeColor="text1"/>
          <w:sz w:val="24"/>
          <w:szCs w:val="24"/>
          <w:highlight w:val="none"/>
          <w14:textFill>
            <w14:solidFill>
              <w14:schemeClr w14:val="tx1"/>
            </w14:solidFill>
          </w14:textFill>
        </w:rPr>
        <w:t>按照《广州市重点公共建设项目管理办公室深化设计管理办法（试）》规定执行。</w:t>
      </w:r>
      <w:bookmarkEnd w:id="320"/>
    </w:p>
    <w:p>
      <w:pPr>
        <w:adjustRightInd w:val="0"/>
        <w:snapToGrid w:val="0"/>
        <w:spacing w:line="360" w:lineRule="auto"/>
        <w:rPr>
          <w:rFonts w:hint="eastAsia" w:ascii="宋体" w:hAnsi="宋体" w:cs="宋体"/>
          <w:color w:val="000000" w:themeColor="text1"/>
          <w:sz w:val="24"/>
          <w:szCs w:val="24"/>
          <w:highlight w:val="none"/>
          <w14:textFill>
            <w14:solidFill>
              <w14:schemeClr w14:val="tx1"/>
            </w14:solidFill>
          </w14:textFill>
        </w:rPr>
      </w:pP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321" w:name="_Toc14943"/>
      <w:bookmarkStart w:id="322" w:name="_Toc27137"/>
      <w:bookmarkStart w:id="323" w:name="_Toc5785"/>
      <w:r>
        <w:rPr>
          <w:rFonts w:hint="eastAsia" w:cs="宋体"/>
          <w:b/>
          <w:bCs/>
          <w:color w:val="000000" w:themeColor="text1"/>
          <w:sz w:val="24"/>
          <w:szCs w:val="24"/>
          <w:highlight w:val="none"/>
          <w14:textFill>
            <w14:solidFill>
              <w14:schemeClr w14:val="tx1"/>
            </w14:solidFill>
          </w14:textFill>
        </w:rPr>
        <w:t>五、工人工资及预付款支付管理要求</w:t>
      </w:r>
      <w:bookmarkEnd w:id="321"/>
      <w:bookmarkEnd w:id="322"/>
      <w:bookmarkEnd w:id="323"/>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中标后，承包人必须按建设主管部门要求设立工人工资支付专用账户，通过工人工资支付专用账户，依法按时足额将工人工资直接支付到工人的工资个人账户，并按月将工人工资支付明细表报发包人备案，作为次月工程进度款的支付条件之一。承包人应当建立用工管理台账，真实、准确记录工人名册、劳动合同、劳务合同、工程进度、工时、劳务承包款和工人工资支付情况等信息，并保存两年以上备查。</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2.本工程由广州市财政局分年度安排资金，资金支付金额以有权审批部门审批金额为准。</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在收到发包人工程预付款后，应及时向作业班组、分包单位、供应商支付备料款等相关费用。承包人如挪用预付款，或未及时向作业班组、分包单位、供应商支付备料款导致工期延误的，发包人一经查实，将对承包人按合同约定处严重违约责任。</w:t>
      </w:r>
    </w:p>
    <w:p>
      <w:pPr>
        <w:pStyle w:val="7"/>
        <w:spacing w:line="360" w:lineRule="auto"/>
        <w:ind w:firstLine="0"/>
        <w:rPr>
          <w:rFonts w:hint="eastAsia" w:ascii="宋体" w:hAnsi="宋体" w:cs="宋体"/>
          <w:color w:val="000000" w:themeColor="text1"/>
          <w:sz w:val="24"/>
          <w:szCs w:val="24"/>
          <w:highlight w:val="none"/>
          <w14:textFill>
            <w14:solidFill>
              <w14:schemeClr w14:val="tx1"/>
            </w14:solidFill>
          </w14:textFill>
        </w:rPr>
      </w:pP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324" w:name="_Toc8249"/>
      <w:bookmarkStart w:id="325" w:name="_Toc22901"/>
      <w:bookmarkStart w:id="326" w:name="_Toc418665217"/>
      <w:bookmarkStart w:id="327" w:name="_Toc12479"/>
      <w:bookmarkStart w:id="328" w:name="_Toc10556591"/>
      <w:r>
        <w:rPr>
          <w:rFonts w:hint="eastAsia" w:cs="宋体"/>
          <w:b/>
          <w:bCs/>
          <w:color w:val="000000" w:themeColor="text1"/>
          <w:sz w:val="24"/>
          <w:szCs w:val="24"/>
          <w:highlight w:val="none"/>
          <w14:textFill>
            <w14:solidFill>
              <w14:schemeClr w14:val="tx1"/>
            </w14:solidFill>
          </w14:textFill>
        </w:rPr>
        <w:t>六、进度管理要求</w:t>
      </w:r>
      <w:bookmarkEnd w:id="324"/>
      <w:bookmarkEnd w:id="325"/>
      <w:bookmarkEnd w:id="326"/>
      <w:bookmarkEnd w:id="327"/>
      <w:bookmarkEnd w:id="328"/>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29" w:name="_Toc405"/>
      <w:bookmarkStart w:id="330" w:name="_Toc26"/>
      <w:bookmarkStart w:id="331" w:name="_Toc21861"/>
      <w:bookmarkStart w:id="332" w:name="_Toc418665218"/>
      <w:bookmarkStart w:id="333" w:name="_Toc10556592"/>
      <w:bookmarkStart w:id="334" w:name="_Toc407099498"/>
      <w:r>
        <w:rPr>
          <w:rFonts w:hint="eastAsia" w:ascii="宋体" w:hAnsi="宋体" w:cs="宋体"/>
          <w:color w:val="000000" w:themeColor="text1"/>
          <w:highlight w:val="none"/>
          <w14:textFill>
            <w14:solidFill>
              <w14:schemeClr w14:val="tx1"/>
            </w14:solidFill>
          </w14:textFill>
        </w:rPr>
        <w:t>（一）进场前核实现场条件</w:t>
      </w:r>
      <w:bookmarkEnd w:id="329"/>
      <w:bookmarkEnd w:id="330"/>
      <w:bookmarkEnd w:id="331"/>
      <w:bookmarkEnd w:id="332"/>
      <w:bookmarkEnd w:id="333"/>
      <w:bookmarkEnd w:id="334"/>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必须在收到发包人进场通知后，对开工条件进行全面摸查、分析，作出全面开工、或局部开工、或不具备开工条件的判断，并书面向监理人、招标人报告。如工程具备开工条件，承包人应就全面开工或局部开工的实际条件，合理安排相匹配的人员、材料、机械设备进场，对于大型机械设备还须报监理人、发包人批准进场方案后方能进场；如工程不具备开工条件，承包人应在收到发包人进场通知后5天内以书面形式向发包人提出延期进场的要求并说明理由，报监理单位和发包人批准后方可延期进场，否则发包人不承担由此造成承包人的损失。</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35" w:name="_Toc3692"/>
      <w:bookmarkStart w:id="336" w:name="_Toc17873"/>
      <w:bookmarkStart w:id="337" w:name="_Toc23848"/>
      <w:bookmarkStart w:id="338" w:name="_Toc407099499"/>
      <w:bookmarkStart w:id="339" w:name="_Toc10556593"/>
      <w:bookmarkStart w:id="340" w:name="_Toc418665219"/>
      <w:r>
        <w:rPr>
          <w:rFonts w:hint="eastAsia" w:ascii="宋体" w:hAnsi="宋体" w:cs="宋体"/>
          <w:color w:val="000000" w:themeColor="text1"/>
          <w:highlight w:val="none"/>
          <w14:textFill>
            <w14:solidFill>
              <w14:schemeClr w14:val="tx1"/>
            </w14:solidFill>
          </w14:textFill>
        </w:rPr>
        <w:t>（二）进度计划编制和资源投入</w:t>
      </w:r>
      <w:bookmarkEnd w:id="335"/>
      <w:bookmarkEnd w:id="336"/>
      <w:bookmarkEnd w:id="337"/>
      <w:bookmarkEnd w:id="338"/>
      <w:bookmarkEnd w:id="339"/>
      <w:bookmarkEnd w:id="340"/>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进场后须根据项目实施总控计划、施工图纸和现场实际情况编制切实可行的实施进度计划，并按照监理工程师、甲方的要求随时修订和调整，采取一切可能的措施，确保按批准的进度计划实施工程。承包人作为总承包单位，应合理安排施工工作，统筹各专业单位的工作界面，不得影响施工进度。承包人应根据工作面的变化情况及工程进度要求，合理调配人员及施工机械设备。承包人如不根据工作面变化情况合理调整人员、施工机械设备，造成的人员、设备窝工费用发包人不予支付。</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41" w:name="_Toc2133"/>
      <w:bookmarkStart w:id="342" w:name="_Toc10556594"/>
      <w:bookmarkStart w:id="343" w:name="_Toc29572"/>
      <w:bookmarkStart w:id="344" w:name="_Toc17468"/>
      <w:bookmarkStart w:id="345" w:name="_Toc8981"/>
      <w:bookmarkStart w:id="346" w:name="_Toc14108"/>
      <w:r>
        <w:rPr>
          <w:rFonts w:hint="eastAsia" w:ascii="宋体" w:hAnsi="宋体" w:cs="宋体"/>
          <w:color w:val="000000" w:themeColor="text1"/>
          <w:highlight w:val="none"/>
          <w14:textFill>
            <w14:solidFill>
              <w14:schemeClr w14:val="tx1"/>
            </w14:solidFill>
          </w14:textFill>
        </w:rPr>
        <w:t>（三）工期计划</w:t>
      </w:r>
      <w:bookmarkEnd w:id="341"/>
      <w:bookmarkEnd w:id="342"/>
      <w:bookmarkEnd w:id="343"/>
      <w:bookmarkEnd w:id="344"/>
      <w:bookmarkEnd w:id="345"/>
      <w:bookmarkEnd w:id="346"/>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bookmarkStart w:id="347" w:name="_Toc418665220"/>
      <w:bookmarkStart w:id="348" w:name="_Toc407099500"/>
      <w:r>
        <w:rPr>
          <w:rFonts w:hint="eastAsia" w:ascii="宋体" w:hAnsi="宋体" w:eastAsia="宋体" w:cs="宋体"/>
          <w:color w:val="000000" w:themeColor="text1"/>
          <w:sz w:val="24"/>
          <w:szCs w:val="24"/>
          <w:highlight w:val="none"/>
          <w14:textFill>
            <w14:solidFill>
              <w14:schemeClr w14:val="tx1"/>
            </w14:solidFill>
          </w14:textFill>
        </w:rPr>
        <w:t>按照施工场地围闭→临时道路→桩基础工程→主体结构工程→机电安装工程→装饰装修工程的施工顺序，结合各专业大致施工工期，工期按</w:t>
      </w:r>
      <w:r>
        <w:rPr>
          <w:rFonts w:hint="eastAsia" w:ascii="宋体" w:hAnsi="宋体" w:eastAsia="宋体" w:cs="宋体"/>
          <w:color w:val="000000" w:themeColor="text1"/>
          <w:sz w:val="24"/>
          <w:szCs w:val="24"/>
          <w:highlight w:val="none"/>
          <w:lang w:val="en-US" w:eastAsia="zh-CN"/>
          <w14:textFill>
            <w14:solidFill>
              <w14:schemeClr w14:val="tx1"/>
            </w14:solidFill>
          </w14:textFill>
        </w:rPr>
        <w:t>245</w:t>
      </w:r>
      <w:r>
        <w:rPr>
          <w:rFonts w:hint="eastAsia" w:ascii="宋体" w:hAnsi="宋体" w:eastAsia="宋体" w:cs="宋体"/>
          <w:color w:val="000000" w:themeColor="text1"/>
          <w:sz w:val="24"/>
          <w:szCs w:val="24"/>
          <w:highlight w:val="none"/>
          <w14:textFill>
            <w14:solidFill>
              <w14:schemeClr w14:val="tx1"/>
            </w14:solidFill>
          </w14:textFill>
        </w:rPr>
        <w:t>天考虑。并在招标文件中明确承包商的工期管理责任和义务：</w:t>
      </w:r>
    </w:p>
    <w:p>
      <w:pPr>
        <w:numPr>
          <w:ilvl w:val="0"/>
          <w:numId w:val="5"/>
        </w:numPr>
        <w:tabs>
          <w:tab w:val="left" w:pos="900"/>
          <w:tab w:val="left" w:pos="1260"/>
        </w:tabs>
        <w:adjustRightInd w:val="0"/>
        <w:snapToGrid w:val="0"/>
        <w:spacing w:line="360" w:lineRule="auto"/>
        <w:ind w:firstLine="480" w:firstLineChars="200"/>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根据节点工期要求编制各节点机械设备、劳动力、材料投入计划并进行考核，对材料、机械设备、劳动力投入不足等情况追究施工方的违约责任。本项目工期较紧，必须考虑各单体同步施工，模板的搭设应综合考虑各单体工程的使用需求，按能周转一次，配备充足的钢管支架和模板，及时推进工程施工。</w:t>
      </w:r>
    </w:p>
    <w:p>
      <w:pPr>
        <w:numPr>
          <w:ilvl w:val="0"/>
          <w:numId w:val="5"/>
        </w:numPr>
        <w:tabs>
          <w:tab w:val="left" w:pos="900"/>
          <w:tab w:val="left" w:pos="1260"/>
        </w:tabs>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施工单位在施工过程中需要为政府部门、建设单位、监理单位、检测单位的检查、检测预留足够的时间，其时间相应计入总工期中，不作为工期调整的依据。</w:t>
      </w:r>
    </w:p>
    <w:p>
      <w:pPr>
        <w:numPr>
          <w:ilvl w:val="0"/>
          <w:numId w:val="5"/>
        </w:numPr>
        <w:tabs>
          <w:tab w:val="left" w:pos="900"/>
          <w:tab w:val="left" w:pos="1260"/>
        </w:tabs>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施工单位在施工过程中需要给各专业分包单位的施工及调试和成品保护预留足够的时间，其时间相应计入总工期中，不作为工期调整地依据。</w:t>
      </w:r>
    </w:p>
    <w:p>
      <w:pPr>
        <w:numPr>
          <w:ilvl w:val="0"/>
          <w:numId w:val="5"/>
        </w:numPr>
        <w:tabs>
          <w:tab w:val="left" w:pos="900"/>
          <w:tab w:val="left" w:pos="1260"/>
        </w:tabs>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招标图纸与施工图纸的局部差异、地质条件变化、地下障碍物等不作为工期调整的依据，对地质条件变化、地下障碍物的处理及排除风险作为施工风险由施工方承担。</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49" w:name="_Toc25300"/>
      <w:bookmarkStart w:id="350" w:name="_Toc4001"/>
      <w:bookmarkStart w:id="351" w:name="_Toc10556595"/>
      <w:bookmarkStart w:id="352" w:name="_Toc24657"/>
      <w:r>
        <w:rPr>
          <w:rFonts w:hint="eastAsia" w:ascii="宋体" w:hAnsi="宋体" w:cs="宋体"/>
          <w:color w:val="000000" w:themeColor="text1"/>
          <w:highlight w:val="none"/>
          <w14:textFill>
            <w14:solidFill>
              <w14:schemeClr w14:val="tx1"/>
            </w14:solidFill>
          </w14:textFill>
        </w:rPr>
        <w:t>（四）进度计划修订与调整</w:t>
      </w:r>
      <w:bookmarkEnd w:id="347"/>
      <w:bookmarkEnd w:id="348"/>
      <w:bookmarkEnd w:id="349"/>
      <w:bookmarkEnd w:id="350"/>
      <w:bookmarkEnd w:id="351"/>
      <w:bookmarkEnd w:id="352"/>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工程实施过程中，如因不可抗力、工程设计有重大变更等非承包人原因导致工期确需调整的，承包人应及时向监理单位和发包人提出工期调整及人员、机械设备投入调整的报告，经监理单位和发包人批准后方可执行，且承包人不得因此向发包人提出人员、机械设备等窝工费用的索赔。</w:t>
      </w:r>
      <w:bookmarkStart w:id="353" w:name="_Toc407099501"/>
      <w:bookmarkStart w:id="354" w:name="_Toc418665221"/>
      <w:bookmarkStart w:id="355" w:name="_Toc10556596"/>
    </w:p>
    <w:p>
      <w:pPr>
        <w:adjustRightInd w:val="0"/>
        <w:snapToGrid w:val="0"/>
        <w:spacing w:line="360" w:lineRule="auto"/>
        <w:outlineLvl w:val="1"/>
        <w:rPr>
          <w:rFonts w:hint="eastAsia" w:ascii="宋体" w:hAnsi="宋体" w:eastAsia="宋体" w:cs="宋体"/>
          <w:b/>
          <w:bCs/>
          <w:color w:val="000000" w:themeColor="text1"/>
          <w:sz w:val="24"/>
          <w:szCs w:val="24"/>
          <w:highlight w:val="none"/>
          <w14:textFill>
            <w14:solidFill>
              <w14:schemeClr w14:val="tx1"/>
            </w14:solidFill>
          </w14:textFill>
        </w:rPr>
      </w:pPr>
      <w:bookmarkStart w:id="356" w:name="_Toc9547"/>
      <w:bookmarkStart w:id="357" w:name="_Toc24625"/>
      <w:bookmarkStart w:id="358" w:name="_Toc23713"/>
      <w:r>
        <w:rPr>
          <w:rFonts w:hint="eastAsia" w:ascii="宋体" w:hAnsi="宋体" w:eastAsia="宋体" w:cs="宋体"/>
          <w:b/>
          <w:bCs/>
          <w:color w:val="000000" w:themeColor="text1"/>
          <w:sz w:val="24"/>
          <w:szCs w:val="24"/>
          <w:highlight w:val="none"/>
          <w14:textFill>
            <w14:solidFill>
              <w14:schemeClr w14:val="tx1"/>
            </w14:solidFill>
          </w14:textFill>
        </w:rPr>
        <w:t>（五）进度计划修订与调整</w:t>
      </w:r>
      <w:bookmarkEnd w:id="356"/>
      <w:bookmarkEnd w:id="357"/>
      <w:bookmarkEnd w:id="358"/>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工程实施过程中，如因不可抗力、工程设计有重大变更等非承包人原因导致工期确需调整的，承包人应及时向监理单位和发包人提出工期调整及人员、机械设备投入调整的报告，经监理单位和发包人批准后方可执行，且承包人不得因此向发包人提出人员、机械设备等窝工费用的索赔。</w:t>
      </w:r>
    </w:p>
    <w:p>
      <w:pPr>
        <w:adjustRightInd w:val="0"/>
        <w:snapToGrid w:val="0"/>
        <w:spacing w:line="360" w:lineRule="auto"/>
        <w:outlineLvl w:val="1"/>
        <w:rPr>
          <w:rFonts w:hint="eastAsia" w:ascii="宋体" w:hAnsi="宋体" w:eastAsia="宋体" w:cs="宋体"/>
          <w:b/>
          <w:bCs/>
          <w:color w:val="000000" w:themeColor="text1"/>
          <w:sz w:val="24"/>
          <w:szCs w:val="24"/>
          <w:highlight w:val="none"/>
          <w14:textFill>
            <w14:solidFill>
              <w14:schemeClr w14:val="tx1"/>
            </w14:solidFill>
          </w14:textFill>
        </w:rPr>
      </w:pPr>
      <w:bookmarkStart w:id="359" w:name="_Toc17672"/>
      <w:bookmarkStart w:id="360" w:name="_Toc19461"/>
      <w:bookmarkStart w:id="361" w:name="_Toc446"/>
      <w:r>
        <w:rPr>
          <w:rFonts w:hint="eastAsia" w:ascii="宋体" w:hAnsi="宋体" w:eastAsia="宋体" w:cs="宋体"/>
          <w:b/>
          <w:bCs/>
          <w:color w:val="000000" w:themeColor="text1"/>
          <w:sz w:val="24"/>
          <w:szCs w:val="24"/>
          <w:highlight w:val="none"/>
          <w14:textFill>
            <w14:solidFill>
              <w14:schemeClr w14:val="tx1"/>
            </w14:solidFill>
          </w14:textFill>
        </w:rPr>
        <w:t>（六）进度月报</w:t>
      </w:r>
      <w:bookmarkEnd w:id="353"/>
      <w:bookmarkEnd w:id="354"/>
      <w:bookmarkEnd w:id="355"/>
      <w:bookmarkEnd w:id="359"/>
      <w:bookmarkEnd w:id="360"/>
      <w:bookmarkEnd w:id="361"/>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 xml:space="preserve">承包人须于每月25日前向总监理工程师提供综合报表（内容包括但不限于如下计划、报表或报告），经总监理工程师审核，并报发包人批准后实施：  </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1、施工、安装、试验以及其他发包人工作等进展情况的图表和说明；</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2、材料、设备、货物的采购和制造商名称、地点以及进入现场情况；</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3、合同变更费用统计和安全统计；</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4、实际进度与计划进度的对比，以及为消除延误正在或准备采取的措施。</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62" w:name="_Toc407099502"/>
      <w:bookmarkStart w:id="363" w:name="_Toc16836"/>
      <w:bookmarkStart w:id="364" w:name="_Toc10556597"/>
      <w:bookmarkStart w:id="365" w:name="_Toc418665222"/>
      <w:bookmarkStart w:id="366" w:name="_Toc27741"/>
      <w:bookmarkStart w:id="367" w:name="_Toc18332"/>
      <w:r>
        <w:rPr>
          <w:rFonts w:hint="eastAsia" w:ascii="宋体" w:hAnsi="宋体" w:cs="宋体"/>
          <w:color w:val="000000" w:themeColor="text1"/>
          <w:highlight w:val="none"/>
          <w14:textFill>
            <w14:solidFill>
              <w14:schemeClr w14:val="tx1"/>
            </w14:solidFill>
          </w14:textFill>
        </w:rPr>
        <w:t>（七）非发包人原因工期延误的处理</w:t>
      </w:r>
      <w:bookmarkEnd w:id="362"/>
      <w:bookmarkEnd w:id="363"/>
      <w:bookmarkEnd w:id="364"/>
      <w:bookmarkEnd w:id="365"/>
      <w:bookmarkEnd w:id="366"/>
      <w:bookmarkEnd w:id="367"/>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非发包人延误工期的情况下，如果监理人或发包人书面指出承包人实施合同工程或其任何部分的进度过慢，迟于进度计划或不能按期竣工，则承包人应按照采取一切改进措施，加快工程进度。如果承包人在接到监理工程师或发包人通知后的14 天内，未能采取加快工程进度的措施，致使实际进度进一步延迟；或承包人虽然采取了改进措施，仍无法按期竣工，监理人应立即报告发包人，并抄送承包人。发包人可按照合同规定解除合同，也可将合同工程中的一部分工作交由第三方完成，由此增加的一切费用由承包人承担。即使承包人承担增加的费用，也不能免除其按照合同约定应承担的任何责任和应履行的任何义务。</w:t>
      </w:r>
    </w:p>
    <w:p>
      <w:pPr>
        <w:pStyle w:val="2"/>
        <w:tabs>
          <w:tab w:val="left" w:pos="142"/>
        </w:tabs>
        <w:rPr>
          <w:rFonts w:hint="eastAsia" w:ascii="宋体" w:hAnsi="宋体" w:eastAsia="宋体" w:cs="宋体"/>
          <w:b/>
          <w:bCs/>
          <w:color w:val="000000" w:themeColor="text1"/>
          <w:sz w:val="24"/>
          <w:szCs w:val="24"/>
          <w:highlight w:val="none"/>
          <w14:textFill>
            <w14:solidFill>
              <w14:schemeClr w14:val="tx1"/>
            </w14:solidFill>
          </w14:textFill>
        </w:rPr>
      </w:pPr>
      <w:bookmarkStart w:id="368" w:name="_Toc14462"/>
      <w:bookmarkStart w:id="369" w:name="_Toc5368"/>
      <w:bookmarkStart w:id="370" w:name="_Toc418665223"/>
      <w:bookmarkStart w:id="371" w:name="_Toc11592"/>
      <w:bookmarkStart w:id="372" w:name="_Toc10556598"/>
    </w:p>
    <w:p>
      <w:pPr>
        <w:pStyle w:val="2"/>
        <w:tabs>
          <w:tab w:val="left" w:pos="142"/>
        </w:tabs>
        <w:rPr>
          <w:rFonts w:hint="eastAsia"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七、安全文明、职业健康与环境管理施工要求</w:t>
      </w:r>
      <w:bookmarkEnd w:id="368"/>
      <w:bookmarkEnd w:id="369"/>
      <w:bookmarkEnd w:id="370"/>
      <w:bookmarkEnd w:id="371"/>
      <w:bookmarkEnd w:id="372"/>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73" w:name="_Toc10556599"/>
      <w:bookmarkStart w:id="374" w:name="_Toc418665224"/>
      <w:bookmarkStart w:id="375" w:name="_Toc407099504"/>
      <w:bookmarkStart w:id="376" w:name="_Toc19225"/>
      <w:bookmarkStart w:id="377" w:name="_Toc21575"/>
      <w:bookmarkStart w:id="378" w:name="_Toc23648"/>
      <w:r>
        <w:rPr>
          <w:rFonts w:hint="eastAsia" w:ascii="宋体" w:hAnsi="宋体" w:cs="宋体"/>
          <w:color w:val="000000" w:themeColor="text1"/>
          <w:highlight w:val="none"/>
          <w14:textFill>
            <w14:solidFill>
              <w14:schemeClr w14:val="tx1"/>
            </w14:solidFill>
          </w14:textFill>
        </w:rPr>
        <w:t>（一）总体目标</w:t>
      </w:r>
      <w:bookmarkEnd w:id="373"/>
      <w:bookmarkEnd w:id="374"/>
      <w:bookmarkEnd w:id="375"/>
      <w:bookmarkEnd w:id="376"/>
      <w:bookmarkEnd w:id="377"/>
      <w:bookmarkEnd w:id="378"/>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1、分部工程验收合格率100%，单位工程一次性通过工程竣工验收合格，</w:t>
      </w:r>
      <w:r>
        <w:rPr>
          <w:rFonts w:hint="eastAsia" w:ascii="宋体" w:hAnsi="宋体" w:eastAsia="宋体" w:cs="宋体"/>
          <w:color w:val="000000" w:themeColor="text1"/>
          <w:sz w:val="24"/>
          <w:szCs w:val="24"/>
          <w:highlight w:val="none"/>
          <w:lang w:val="en-US" w:eastAsia="zh-CN"/>
          <w14:textFill>
            <w14:solidFill>
              <w14:schemeClr w14:val="tx1"/>
            </w14:solidFill>
          </w14:textFill>
        </w:rPr>
        <w:t>争创</w:t>
      </w:r>
      <w:r>
        <w:rPr>
          <w:rFonts w:hint="eastAsia" w:ascii="宋体" w:hAnsi="宋体" w:eastAsia="宋体" w:cs="宋体"/>
          <w:color w:val="000000" w:themeColor="text1"/>
          <w:sz w:val="24"/>
          <w:szCs w:val="24"/>
          <w:highlight w:val="none"/>
          <w14:textFill>
            <w14:solidFill>
              <w14:schemeClr w14:val="tx1"/>
            </w14:solidFill>
          </w14:textFill>
        </w:rPr>
        <w:t>广州市建设工程优质奖。</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79" w:name="_Toc10556600"/>
      <w:bookmarkStart w:id="380" w:name="_Toc418665225"/>
      <w:bookmarkStart w:id="381" w:name="_Toc27682"/>
      <w:bookmarkStart w:id="382" w:name="_Toc407099505"/>
      <w:bookmarkStart w:id="383" w:name="_Toc12925"/>
      <w:bookmarkStart w:id="384" w:name="_Toc7518"/>
      <w:r>
        <w:rPr>
          <w:rFonts w:hint="eastAsia" w:ascii="宋体" w:hAnsi="宋体" w:cs="宋体"/>
          <w:color w:val="000000" w:themeColor="text1"/>
          <w:highlight w:val="none"/>
          <w14:textFill>
            <w14:solidFill>
              <w14:schemeClr w14:val="tx1"/>
            </w14:solidFill>
          </w14:textFill>
        </w:rPr>
        <w:t>（二）安全文明施工一般规定</w:t>
      </w:r>
      <w:bookmarkEnd w:id="379"/>
      <w:bookmarkEnd w:id="380"/>
      <w:bookmarkEnd w:id="381"/>
      <w:bookmarkEnd w:id="382"/>
      <w:bookmarkEnd w:id="383"/>
      <w:bookmarkEnd w:id="384"/>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bookmarkStart w:id="385" w:name="_Toc418665226"/>
      <w:bookmarkStart w:id="386" w:name="_Toc407099506"/>
      <w:r>
        <w:rPr>
          <w:rFonts w:hint="eastAsia" w:ascii="宋体" w:hAnsi="宋体" w:eastAsia="宋体" w:cs="宋体"/>
          <w:color w:val="000000" w:themeColor="text1"/>
          <w:sz w:val="24"/>
          <w:szCs w:val="24"/>
          <w:highlight w:val="none"/>
          <w14:textFill>
            <w14:solidFill>
              <w14:schemeClr w14:val="tx1"/>
            </w14:solidFill>
          </w14:textFill>
        </w:rPr>
        <w:t>1、根据广州市城乡建委《广州市住房和城乡建设委员会关于全市建设工地纳入视频监管的通知》（穗建质〔2017〕1166号）要求，建立并完善工地的视频监控系统。</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2、施工单位应按广州市住房和城乡建设局等9部门关于印发广州市建设工程绿色施工围蔽指导图集（V2.0版）的通知（穗建质〔2020〕1号）实施。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3、严格按照《广州市城乡建设委员会关于印发广州市建设工程绿色施工工作技术指引的通知》（穗建质〔2014〕914号）要求，对建设工程全过程实施绿色施工。</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4、严格按照《广州市住房和城乡建设委员会关于印发建设工程扬尘防治“6 个100%”管理标准细化措施的通知》（穗建质〔2018〕1394号）的要求，对建设工程全过程实施扬尘防治。</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5、符合我</w:t>
      </w:r>
      <w:r>
        <w:rPr>
          <w:rFonts w:hint="eastAsia" w:ascii="宋体" w:hAnsi="宋体" w:eastAsia="宋体" w:cs="宋体"/>
          <w:color w:val="000000" w:themeColor="text1"/>
          <w:sz w:val="24"/>
          <w:szCs w:val="24"/>
          <w:highlight w:val="none"/>
          <w:lang w:val="en-US" w:eastAsia="zh-CN"/>
          <w14:textFill>
            <w14:solidFill>
              <w14:schemeClr w14:val="tx1"/>
            </w14:solidFill>
          </w14:textFill>
        </w:rPr>
        <w:t>中心</w:t>
      </w:r>
      <w:r>
        <w:rPr>
          <w:rFonts w:hint="eastAsia" w:ascii="宋体" w:hAnsi="宋体" w:eastAsia="宋体" w:cs="宋体"/>
          <w:color w:val="000000" w:themeColor="text1"/>
          <w:sz w:val="24"/>
          <w:szCs w:val="24"/>
          <w:highlight w:val="none"/>
          <w14:textFill>
            <w14:solidFill>
              <w14:schemeClr w14:val="tx1"/>
            </w14:solidFill>
          </w14:textFill>
        </w:rPr>
        <w:t>关于安全文明施工管理的相关规定。</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87" w:name="_Toc32613"/>
      <w:bookmarkStart w:id="388" w:name="_Toc6955"/>
      <w:bookmarkStart w:id="389" w:name="_Toc31999"/>
      <w:bookmarkStart w:id="390" w:name="_Toc10556601"/>
      <w:r>
        <w:rPr>
          <w:rFonts w:hint="eastAsia" w:ascii="宋体" w:hAnsi="宋体" w:cs="宋体"/>
          <w:color w:val="000000" w:themeColor="text1"/>
          <w:highlight w:val="none"/>
          <w14:textFill>
            <w14:solidFill>
              <w14:schemeClr w14:val="tx1"/>
            </w14:solidFill>
          </w14:textFill>
        </w:rPr>
        <w:t>（三）环境保护一般规定</w:t>
      </w:r>
      <w:bookmarkEnd w:id="385"/>
      <w:bookmarkEnd w:id="386"/>
      <w:bookmarkEnd w:id="387"/>
      <w:bookmarkEnd w:id="388"/>
      <w:bookmarkEnd w:id="389"/>
      <w:bookmarkEnd w:id="390"/>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承包人应在进入现场前向监理单位提交施工期间的环境保护方案，经监理工程师批准后实施。在实施过程中所采用的材料、设备等应使监理工程师和发包人满意。</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91" w:name="_Toc24720"/>
      <w:bookmarkStart w:id="392" w:name="_Toc15550"/>
      <w:bookmarkStart w:id="393" w:name="_Toc418665227"/>
      <w:bookmarkStart w:id="394" w:name="_Toc407099507"/>
      <w:bookmarkStart w:id="395" w:name="_Toc8319"/>
      <w:bookmarkStart w:id="396" w:name="_Toc10556602"/>
      <w:r>
        <w:rPr>
          <w:rFonts w:hint="eastAsia" w:ascii="宋体" w:hAnsi="宋体" w:cs="宋体"/>
          <w:color w:val="000000" w:themeColor="text1"/>
          <w:highlight w:val="none"/>
          <w14:textFill>
            <w14:solidFill>
              <w14:schemeClr w14:val="tx1"/>
            </w14:solidFill>
          </w14:textFill>
        </w:rPr>
        <w:t>（四）职业健康一般规定</w:t>
      </w:r>
      <w:bookmarkEnd w:id="391"/>
      <w:bookmarkEnd w:id="392"/>
      <w:bookmarkEnd w:id="393"/>
      <w:bookmarkEnd w:id="394"/>
      <w:bookmarkEnd w:id="395"/>
      <w:bookmarkEnd w:id="396"/>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依法为其履行合同所雇用的人员办理必要的证件、许可、保险和注册等，按照法律规定保障现场施工人员的劳动安全，提供劳动保护,采取有效的防止粉尘、降低噪声、控制有害气体和保障高温、高寒、高空作业安全等劳动保护措施。承包人雇佣人员在施工中受到伤害的，承包人应立即采取有效措施进行抢救和治疗。承包人应为其履行合同所雇用的人员提供必要的膳宿条件和生活环境，采取有效措施预防传染病，保证施工人员的健康。</w:t>
      </w:r>
    </w:p>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397" w:name="_Toc418665228"/>
      <w:bookmarkStart w:id="398" w:name="_Toc4372"/>
      <w:bookmarkStart w:id="399" w:name="_Toc407099508"/>
      <w:bookmarkStart w:id="400" w:name="_Toc10556603"/>
      <w:bookmarkStart w:id="401" w:name="_Toc10725"/>
      <w:bookmarkStart w:id="402" w:name="_Toc31695"/>
      <w:bookmarkStart w:id="403" w:name="_Toc199728978"/>
      <w:bookmarkStart w:id="404" w:name="_Toc199663760"/>
      <w:bookmarkStart w:id="405" w:name="_Toc199661166"/>
      <w:bookmarkStart w:id="406" w:name="_Toc199485464"/>
      <w:bookmarkStart w:id="407" w:name="_Toc199731417"/>
      <w:bookmarkStart w:id="408" w:name="_Toc207691810"/>
      <w:bookmarkStart w:id="409" w:name="_Toc199729089"/>
      <w:bookmarkStart w:id="410" w:name="_Toc207167673"/>
      <w:r>
        <w:rPr>
          <w:rFonts w:hint="eastAsia" w:ascii="宋体" w:hAnsi="宋体" w:cs="宋体"/>
          <w:color w:val="000000" w:themeColor="text1"/>
          <w:highlight w:val="none"/>
          <w14:textFill>
            <w14:solidFill>
              <w14:schemeClr w14:val="tx1"/>
            </w14:solidFill>
          </w14:textFill>
        </w:rPr>
        <w:t>（五）安全保证措施要求</w:t>
      </w:r>
      <w:bookmarkEnd w:id="397"/>
      <w:bookmarkEnd w:id="398"/>
      <w:bookmarkEnd w:id="399"/>
      <w:bookmarkEnd w:id="400"/>
      <w:bookmarkEnd w:id="401"/>
      <w:bookmarkEnd w:id="402"/>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安全文明施工保证措施必须包括人员投入，安全措施费投入，安全教育培训，应急救援演练，安全检查及隐患排查整改，专项施工方案的编制、审批和实施措施，预防施工坍塌事故的措施，预防建筑起重机械伤害事故的措施等重点内容。措施项目的实施要求须满足《广州市重点公共建设项目管理办公室建设项目环境管理文明施工标准》、《建筑施工安全检查标准》（JGJ59-2018）、《建筑施工现场环境与卫生标准》（JGJ146-2013）、广东省建设厅转发建设部关于印发《建筑工程安全防护、文明施工措施费用及使用管理规定》的通知（粤建管字[2005]116号）、关于印发《广东省建设厅建筑工程安全防护、文明施工措施费用管理办法》的通知（粤建管字[2007]39号）、关于印发《广州市建设工程现场文明施工管理办法》的通知（穗建质[2008]937号）、关于施工单位应按广州市住房和城乡建设局等9部门关于印发广州市建设工程绿色施工围蔽指导图集（V2.0版）的通知（穗建质〔2020〕1号）、关于印发《广州市建设工程施工现场消防安全管理规定》的通知（穗建质[2011]617号）、《广州市建设工程文明施工管理规定》（广州市人民政府2011年第62号令）</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《广东省建筑垃圾管理条例》（广东省第十三届人民代表大会常务委员会公告第126号）及发包人制定的相关规定的要求。</w:t>
      </w:r>
    </w:p>
    <w:bookmarkEnd w:id="403"/>
    <w:bookmarkEnd w:id="404"/>
    <w:bookmarkEnd w:id="405"/>
    <w:bookmarkEnd w:id="406"/>
    <w:bookmarkEnd w:id="407"/>
    <w:bookmarkEnd w:id="408"/>
    <w:bookmarkEnd w:id="409"/>
    <w:bookmarkEnd w:id="410"/>
    <w:p>
      <w:pPr>
        <w:pStyle w:val="4"/>
        <w:spacing w:before="156" w:after="156" w:line="360" w:lineRule="auto"/>
        <w:ind w:left="0" w:leftChars="0"/>
        <w:jc w:val="left"/>
        <w:rPr>
          <w:rFonts w:hint="eastAsia" w:ascii="宋体" w:hAnsi="宋体" w:cs="宋体"/>
          <w:color w:val="000000" w:themeColor="text1"/>
          <w:highlight w:val="none"/>
          <w14:textFill>
            <w14:solidFill>
              <w14:schemeClr w14:val="tx1"/>
            </w14:solidFill>
          </w14:textFill>
        </w:rPr>
      </w:pPr>
      <w:bookmarkStart w:id="411" w:name="_Toc16791"/>
      <w:bookmarkStart w:id="412" w:name="_Toc13601"/>
      <w:bookmarkStart w:id="413" w:name="_Toc3672"/>
      <w:r>
        <w:rPr>
          <w:rFonts w:hint="eastAsia" w:ascii="宋体" w:hAnsi="宋体" w:cs="宋体"/>
          <w:color w:val="000000" w:themeColor="text1"/>
          <w:highlight w:val="none"/>
          <w14:textFill>
            <w14:solidFill>
              <w14:schemeClr w14:val="tx1"/>
            </w14:solidFill>
          </w14:textFill>
        </w:rPr>
        <w:t>（六）安全文明施工要求</w:t>
      </w:r>
      <w:bookmarkEnd w:id="411"/>
      <w:bookmarkEnd w:id="412"/>
      <w:bookmarkEnd w:id="413"/>
    </w:p>
    <w:p>
      <w:pPr>
        <w:spacing w:line="360" w:lineRule="auto"/>
        <w:ind w:firstLine="480" w:firstLineChars="200"/>
        <w:outlineLvl w:val="2"/>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安全文明施工管理须满足国家、省、市关于安全文明生产的相关规定和发包人对本工程安全文明施工的相关要求。承包人进场后必须编制安全文明施工方案，包括明确安全文明施工目标、树立全体现场管理人员和施工人员的安全文明施工思想意识、制定组织保证措施（包括配合各岗位专兼职安全人员、建立现场安全生产、文明施工责任体系等）和制度保证措施（包括实行新工人入场安全培训教育制、安全技术交底制、各层次定期和不定期的检查制度、建立健全的安全生产、文明施工岗位责任制等）。承包人有权拒绝发包人及监理人强令承包人违章作业、冒险施工的任何指示</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2、承包人按《建设项目创安全文明施工样板工地细则》的要求，在开工前制定《创双优工地实施方案》，并报审。</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3、承包人在地基基础施工时，须配备足够的、质量合格的排水设备，并安排专人负责排水工作。排水设备应充分考虑各种因素造成的停待工时期的需要。</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4、承包人进场后须严格遵守发包人的现场总平面管理，按经审批的总平面布置进行临时设施的施工。</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承包人在施工过程中必须严格执行安全文明施工方案，安全防护、文明施工的内容按承包人向发包人提交且经发包人批准的详细的施工组织设计实施，所有施工的安全设施、机具以及围网、护栏、临边防护、施工通道等全部按发包人的要求统一标准、统一标识。所需安全防护、文明施工措施费必须专款专用，严禁挪用。</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在工程实施期间，监理单位、发包人或监督部门在安全文明施工检查过程中，如发现施工现场不满足国家、省、市关于安全文明生产的相关规定和发包人对本工程安全文明施工的相关要求，且不按监理单位要求在限定时间内整改完毕的，发包人可以自行或委托其他单位实施整改，所发生的费用从安全防护、文明施工措施费款项中扣除，不足部分从承包人的合同价款中扣除。</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工程实施期间或缺陷责任期内发生危及工程安全的事件，监理人通知承包人进行抢救，承包人声明无能力或不愿立即执行的，发包人有权自行或委托其他单位其他单位进行抢救。此类抢救按合同约定属于承包人义务的，由此增加的费用和（或）延误的工期由承包人承担。</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7、承包人应在进入现场前向监理单位提交施工期间的环境保护方案，经监理工程师批准后实施。在实施过程中所采用的材料、设备等应使监理工程师和发包人满意。</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8、承包人必须严格按照省市相关规定和发包人要求，足额投入安全生产管理人员，其中：专职安全员必须持证上岗，特殊工种的人员也应受过专门的培训并已取得政府有关管理机构颁发的上岗证书。</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9、在工程实施期间，承包人对经发包人移交的施工场地负有全过程、全面的管理责任，必须对施工场地范围内的治安秩序、安全保卫、环境卫生以及周围房屋、市政设施等全面负责，对施工场地范围内的交通道路、用水、用电、场地内的施工协调负责，确保不对周边环境、道路、行人和相邻施工现场造成不利影响，不得干扰周围居民的正常生活。承包人应加强现场治安防卫工作。在工程开工后7天内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和财产损失。</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10、危险性较大的分部分项工程必须按照中华人民共和国住房和城乡建设部令第37号《危险性较大的分部分项工程安全管理规定》</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广东省住房和城乡建设厅关于广东省住房和城乡建设厅关于印发房屋市政工程危险性较大的分部分项工程安全管理实施细则的通知</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粤建规范〔2019〕2号文规定执行。需单独编制危险性较大分部分项专项工程施工方案的，及要求进行专家论证的超过一定规模的危险性较大的分部分项工程，承包人</w:t>
      </w:r>
      <w:r>
        <w:rPr>
          <w:rFonts w:hint="eastAsia" w:ascii="宋体" w:hAnsi="宋体" w:eastAsia="宋体" w:cs="宋体"/>
          <w:color w:val="000000" w:themeColor="text1"/>
          <w:sz w:val="24"/>
          <w:szCs w:val="24"/>
          <w:highlight w:val="none"/>
          <w:lang w:val="en-US" w:eastAsia="zh-CN"/>
          <w14:textFill>
            <w14:solidFill>
              <w14:schemeClr w14:val="tx1"/>
            </w14:solidFill>
          </w14:textFill>
        </w:rPr>
        <w:t>需</w:t>
      </w:r>
      <w:r>
        <w:rPr>
          <w:rFonts w:hint="eastAsia" w:ascii="宋体" w:hAnsi="宋体" w:eastAsia="宋体" w:cs="宋体"/>
          <w:color w:val="000000" w:themeColor="text1"/>
          <w:sz w:val="24"/>
          <w:szCs w:val="24"/>
          <w:highlight w:val="none"/>
          <w14:textFill>
            <w14:solidFill>
              <w14:schemeClr w14:val="tx1"/>
            </w14:solidFill>
          </w14:textFill>
        </w:rPr>
        <w:t xml:space="preserve">应及时编制和组织论证。承包人在动力设备、输电线路、地下管道、密封防震车间、易燃易爆地段以及临街交通要道附近施工时，施工开始前应向发包人和监理人提出安全防护措施，经发包人认可后实施。 </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实施爆破作业，在放射、毒害性环境中施工（含储存、运输、使用）及使用毒害性、腐蚀性物品施工时，承包人应在施工前7天以书面通知发包人和监理人，并报送相应的安全防护措施，经发包人认可后实施。依据住房城乡建设部办公厅关于实施《危险性较大的分部分项工程安全管理规定》建办质[2018]31号，现场施工的人工挖孔桩、钢结构吊装、塔吊安装拆卸、地下室吊模施工等涉及危险性较大工序均需进行相对应相关的报审，合格后方可进行下一道工序。</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11、在工程实施期间，如遇到突发的地质变动、事先未知的地下施工障碍等影响施工安全的紧急情况，承包人应及时报告监理人和发包人，发包人应当及时下令停工并报政府有关行政管理部门采取应急措施。</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12、承包人在施工过程中必须严格执行安全文明施工方案，安全防护、文明施工的内容按承包人向发包人提交且经发包人批准的详细的施工组织设计实施，所有施工的安全设施、机具以及围网、护栏、临边防护、施工通道等全部按发包人的要求统一标准、统一标识。所需安全防护、文明施工措施费必须专款专用，严禁挪用。</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13、在工程实施期间，监理单位、发包人或监督部门在安全文明施工检查过程中，如发现施工现场不满足国家、省、市关于安全文明生产的相关规定和发包人对本工程安全文明施工的相关要求，且不按监理单位要求在限定时间内整改完毕的，发包人可以自行或委托其他单位实施整改，所发生的费用从安全防护、文明施工措施费款项中扣除，不足部分从承包人的合同价款中扣除。</w:t>
      </w:r>
    </w:p>
    <w:p>
      <w:pPr>
        <w:spacing w:line="360" w:lineRule="auto"/>
        <w:ind w:firstLine="480" w:firstLineChars="20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工程实施期间或缺陷责任期内发生危及工程安全的事件，监理人通知承包人进行抢救，承包人声明无能力或不愿立即执行的，发包人有权自行或委托其他单位进行抢救。此类抢救按合同约定属于承包人义务的，由此增加的费用和（或）延误的工期由承包人承担。</w:t>
      </w:r>
    </w:p>
    <w:p>
      <w:pPr>
        <w:spacing w:line="360" w:lineRule="auto"/>
        <w:rPr>
          <w:rFonts w:hint="eastAsia" w:ascii="宋体" w:hAnsi="宋体" w:cs="宋体"/>
          <w:color w:val="000000" w:themeColor="text1"/>
          <w:sz w:val="24"/>
          <w:szCs w:val="24"/>
          <w:highlight w:val="none"/>
          <w14:textFill>
            <w14:solidFill>
              <w14:schemeClr w14:val="tx1"/>
            </w14:solidFill>
          </w14:textFill>
        </w:rPr>
      </w:pP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414" w:name="_Toc418665235"/>
      <w:bookmarkStart w:id="415" w:name="_Toc23935"/>
      <w:bookmarkStart w:id="416" w:name="_Toc4422"/>
      <w:bookmarkStart w:id="417" w:name="_Toc10556610"/>
      <w:bookmarkStart w:id="418" w:name="_Toc19162"/>
      <w:r>
        <w:rPr>
          <w:rFonts w:hint="eastAsia" w:cs="宋体"/>
          <w:b/>
          <w:bCs/>
          <w:color w:val="000000" w:themeColor="text1"/>
          <w:sz w:val="24"/>
          <w:szCs w:val="24"/>
          <w:highlight w:val="none"/>
          <w14:textFill>
            <w14:solidFill>
              <w14:schemeClr w14:val="tx1"/>
            </w14:solidFill>
          </w14:textFill>
        </w:rPr>
        <w:t>八、投资控制要求</w:t>
      </w:r>
      <w:bookmarkEnd w:id="414"/>
      <w:bookmarkEnd w:id="415"/>
      <w:bookmarkEnd w:id="416"/>
      <w:bookmarkEnd w:id="417"/>
      <w:bookmarkEnd w:id="418"/>
    </w:p>
    <w:p>
      <w:pPr>
        <w:pStyle w:val="29"/>
        <w:ind w:firstLine="0" w:firstLineChars="0"/>
        <w:outlineLvl w:val="1"/>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bookmarkStart w:id="419" w:name="_Toc9439"/>
      <w:bookmarkStart w:id="420" w:name="_Toc24952"/>
      <w:bookmarkStart w:id="421" w:name="_Toc5678"/>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1.承包人复核清单</w:t>
      </w:r>
      <w:bookmarkEnd w:id="419"/>
      <w:bookmarkEnd w:id="420"/>
      <w:bookmarkEnd w:id="421"/>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1）投标单位应在招标阶段核对招标清单及图纸，在招标答疑中提出问题，确保工程过程中不漏项、不少量。</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2）承包人须在中标后1个月内根据施工图纸编制施工图预算，提出施工图预算工程量与招标清单工程量之间的差异，并报监理单位和发包人审核备案，但不得因此而影响工程进度。</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3）承包人在施工过程中必须严格执行我中心有关变更和签证的管理规定，遵循先审批后执行的原则。</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4）我中心对使用方提出的变更需求按规定程序办理；</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5）在招标文件中列出属于中标单位承包范围内需要深化设计图纸的部位，要求中标单位委托有相关资质的设计单位进行深化设计，造价不因图纸深化情况而调整，图纸需经过主体设计单位确认，深化设计费已包含在投标报价中；</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6）在招标文件中约定中标单位需承担对于仿古建筑等的设计、选材、模型等方面的费用风险，有可能引起的特殊机具使用或重复施工等费用也包含在投标报价中；</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7）招标时明确对地质条件变化、地下障碍物的处理及排除风险作为施工风险由中标方承担。</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8）招标时明确投标单位需自行勘察现场，对施工现场与施工图纸的差异引起的工程量及施工技术措施承担风险。</w:t>
      </w:r>
    </w:p>
    <w:p>
      <w:pPr>
        <w:pStyle w:val="29"/>
        <w:ind w:firstLine="0" w:firstLineChars="0"/>
        <w:outlineLvl w:val="1"/>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bookmarkStart w:id="422" w:name="_Toc3120"/>
      <w:bookmarkStart w:id="423" w:name="_Toc21284"/>
      <w:bookmarkStart w:id="424" w:name="_Toc13909"/>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2.进度款支付申请准确性要求</w:t>
      </w:r>
      <w:bookmarkEnd w:id="422"/>
      <w:bookmarkEnd w:id="423"/>
      <w:bookmarkEnd w:id="424"/>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承包人须协助甲方加强投资控制，每期申请进度款的计量计价应准确，进度款的申请应与主要材料设备采购计划相匹配，严禁虚报计量（承包人申报的进度款金额超出经监理人、发包人核实金额的10%，视为承包人虚报计量）或超前计量，否则严格按合同约定承担违约责任。</w:t>
      </w:r>
    </w:p>
    <w:p>
      <w:pPr>
        <w:pStyle w:val="29"/>
        <w:ind w:firstLine="0" w:firstLineChars="0"/>
        <w:outlineLvl w:val="1"/>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bookmarkStart w:id="425" w:name="_Toc358"/>
      <w:bookmarkStart w:id="426" w:name="_Toc31260"/>
      <w:bookmarkStart w:id="427" w:name="_Toc7823"/>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3.合同价款调整报告的时效性要求</w:t>
      </w:r>
      <w:bookmarkEnd w:id="425"/>
      <w:bookmarkEnd w:id="426"/>
      <w:bookmarkEnd w:id="427"/>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在施工过程中发生的工程变更、工程签证等引起合同价款调整事件后的14 天内，承包人应向监理单位和发包人提交合同价款调整报告，并附上相关资料。如承包人在出现合同价款调整事件后的14 天内未提交合同价款调增报告的，则发包人有权根据实际情况决定是否调整合同价款以及调整的金额；如原合同追加金额超出原合同价10%的，则承包人无权获得超出部分或仅限于获得发包人审核确认的部分。</w:t>
      </w:r>
    </w:p>
    <w:p>
      <w:pPr>
        <w:pStyle w:val="29"/>
        <w:ind w:firstLine="0" w:firstLineChars="0"/>
        <w:outlineLvl w:val="1"/>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bookmarkStart w:id="428" w:name="_Toc18389"/>
      <w:bookmarkStart w:id="429" w:name="_Toc29453"/>
      <w:bookmarkStart w:id="430" w:name="_Toc17042"/>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4.对承包人劳务工资、分包工程款、材料设备款支付的审核及限制</w:t>
      </w:r>
      <w:bookmarkEnd w:id="428"/>
      <w:bookmarkEnd w:id="429"/>
      <w:bookmarkEnd w:id="430"/>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如果发包人有要求，承包人应向发包人提供其对雇员劳务工资、分包人已完工程款以及材料和工程设备供应商贷款的支付凭证。如果承包人未能提供上述凭证，视为承包人未向雇员、分包人、供应商支付相关款项。</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如果承包人未按照雇员劳务合同和政府有关规定支付雇员劳务工资，或未按照分包合同支付分包人工程款，或未按照购销合同支付材料和工程设备供应商货款，均视为承包人违约。若在发包人或监理人书面通知改正后的7 天内，承包人仍未采取措施补救的，发包人可实施下列工作：</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1）立即停止向承包人支付应付的款项；</w:t>
      </w:r>
    </w:p>
    <w:p>
      <w:pPr>
        <w:pStyle w:val="29"/>
        <w:ind w:firstLine="0" w:firstLineChars="0"/>
        <w:rPr>
          <w:rFonts w:hint="eastAsia" w:ascii="宋体" w:hAnsi="宋体" w:eastAsia="宋体" w:cs="宋体"/>
          <w:snapToGrid/>
          <w:color w:val="000000" w:themeColor="text1"/>
          <w:spacing w:val="0"/>
          <w:kern w:val="2"/>
          <w:sz w:val="24"/>
          <w:szCs w:val="24"/>
          <w:highlight w:val="none"/>
          <w14:textFill>
            <w14:solidFill>
              <w14:schemeClr w14:val="tx1"/>
            </w14:solidFill>
          </w14:textFill>
        </w:rPr>
      </w:pPr>
      <w:r>
        <w:rPr>
          <w:rFonts w:hint="eastAsia" w:ascii="宋体" w:hAnsi="宋体" w:eastAsia="宋体" w:cs="宋体"/>
          <w:snapToGrid/>
          <w:color w:val="000000" w:themeColor="text1"/>
          <w:spacing w:val="0"/>
          <w:kern w:val="2"/>
          <w:sz w:val="24"/>
          <w:szCs w:val="24"/>
          <w:highlight w:val="none"/>
          <w14:textFill>
            <w14:solidFill>
              <w14:schemeClr w14:val="tx1"/>
            </w14:solidFill>
          </w14:textFill>
        </w:rPr>
        <w:t>2）在相应支付期应付的工程款范围内，直接向雇员、分包人和材料设备供应商支付承包人应付的款项。发包人在实施上述工作后的 14 天内应以书面形式通知承包人，抄送监理人。监理人在签发下期进度款支付证书时，应扣除已由发包人直接支付的款项。由于上述工作原因发生的费用由承包人承担；给发包人造成损失的，承包人应予赔偿。</w:t>
      </w: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431" w:name="_Toc3405"/>
      <w:bookmarkStart w:id="432" w:name="_Toc24012"/>
      <w:bookmarkStart w:id="433" w:name="_Toc16147"/>
      <w:bookmarkStart w:id="434" w:name="_Toc10556622"/>
      <w:bookmarkStart w:id="435" w:name="_Toc29205"/>
      <w:bookmarkStart w:id="436" w:name="_Toc29978"/>
      <w:r>
        <w:rPr>
          <w:rFonts w:hint="default" w:ascii="宋体" w:hAnsi="宋体" w:eastAsia="宋体" w:cs="宋体"/>
          <w:b/>
          <w:bCs/>
          <w:color w:val="000000" w:themeColor="text1"/>
          <w:sz w:val="24"/>
          <w:szCs w:val="24"/>
          <w:highlight w:val="none"/>
          <w14:textFill>
            <w14:solidFill>
              <w14:schemeClr w14:val="tx1"/>
            </w14:solidFill>
          </w14:textFill>
        </w:rPr>
        <w:t>九</w:t>
      </w:r>
      <w:r>
        <w:rPr>
          <w:rFonts w:hint="eastAsia" w:cs="宋体"/>
          <w:b/>
          <w:bCs/>
          <w:color w:val="000000" w:themeColor="text1"/>
          <w:sz w:val="24"/>
          <w:szCs w:val="24"/>
          <w:highlight w:val="none"/>
          <w14:textFill>
            <w14:solidFill>
              <w14:schemeClr w14:val="tx1"/>
            </w14:solidFill>
          </w14:textFill>
        </w:rPr>
        <w:t>、</w:t>
      </w:r>
      <w:bookmarkEnd w:id="431"/>
      <w:bookmarkEnd w:id="432"/>
      <w:r>
        <w:rPr>
          <w:rFonts w:hint="eastAsia" w:cs="宋体"/>
          <w:b/>
          <w:bCs/>
          <w:color w:val="000000" w:themeColor="text1"/>
          <w:sz w:val="24"/>
          <w:szCs w:val="24"/>
          <w:highlight w:val="none"/>
          <w14:textFill>
            <w14:solidFill>
              <w14:schemeClr w14:val="tx1"/>
            </w14:solidFill>
          </w14:textFill>
        </w:rPr>
        <w:t>项目部人员要求</w:t>
      </w:r>
      <w:bookmarkEnd w:id="433"/>
      <w:bookmarkEnd w:id="434"/>
      <w:bookmarkEnd w:id="435"/>
      <w:bookmarkEnd w:id="436"/>
    </w:p>
    <w:tbl>
      <w:tblPr>
        <w:tblStyle w:val="18"/>
        <w:tblW w:w="96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1680"/>
        <w:gridCol w:w="653"/>
        <w:gridCol w:w="4780"/>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序号</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职务</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人员</w:t>
            </w:r>
          </w:p>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数量</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基本任职条件</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指挥长</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由投标人现任副总经理、总工程师或以上行政职务担任，且应已任该职满半年或以上的领导或招标人认可的人员担任。</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提供单位任职证明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2</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项目</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负责人</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满足招标公告要求。</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按招标公告要求</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提供证明材料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3</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技术负责人</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满足招标公告要求。</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按招标公告要求</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提供证明材料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4</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土建工程师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strike w:val="0"/>
                <w:color w:val="000000" w:themeColor="text1"/>
                <w:sz w:val="24"/>
                <w:szCs w:val="24"/>
                <w:highlight w:val="none"/>
                <w14:textFill>
                  <w14:solidFill>
                    <w14:schemeClr w14:val="tx1"/>
                  </w14:solidFill>
                </w14:textFill>
              </w:rPr>
              <w:t>所学专业或职称为建筑工程类相关专业，</w:t>
            </w:r>
            <w:r>
              <w:rPr>
                <w:rFonts w:hint="eastAsia" w:ascii="宋体" w:hAnsi="宋体" w:eastAsia="宋体" w:cs="Times New Roman"/>
                <w:color w:val="000000" w:themeColor="text1"/>
                <w:sz w:val="24"/>
                <w:szCs w:val="24"/>
                <w:highlight w:val="none"/>
                <w14:textFill>
                  <w14:solidFill>
                    <w14:schemeClr w14:val="tx1"/>
                  </w14:solidFill>
                </w14:textFill>
              </w:rPr>
              <w:t>具备中级或以上技术职称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5</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电气工程师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strike w:val="0"/>
                <w:color w:val="000000" w:themeColor="text1"/>
                <w:sz w:val="24"/>
                <w:szCs w:val="24"/>
                <w:highlight w:val="none"/>
                <w14:textFill>
                  <w14:solidFill>
                    <w14:schemeClr w14:val="tx1"/>
                  </w14:solidFill>
                </w14:textFill>
              </w:rPr>
              <w:t>所学专业或职称为电气类相关专业，</w:t>
            </w:r>
            <w:r>
              <w:rPr>
                <w:rFonts w:hint="eastAsia" w:ascii="宋体" w:hAnsi="宋体" w:eastAsia="宋体" w:cs="Times New Roman"/>
                <w:color w:val="000000" w:themeColor="text1"/>
                <w:sz w:val="24"/>
                <w:szCs w:val="24"/>
                <w:highlight w:val="none"/>
                <w14:textFill>
                  <w14:solidFill>
                    <w14:schemeClr w14:val="tx1"/>
                  </w14:solidFill>
                </w14:textFill>
              </w:rPr>
              <w:t>具备中级或以上技术职称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6</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给排水工程师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所学专业或职称为给排水类相关专业，具备中级或以上技术职称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7</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装饰装修工程师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所学专业或职称为装饰装修类相关专业，具备中级或以上技术职称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8</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造价工程师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具有一级注册造价工程师资格。</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提供注册证</w:t>
            </w:r>
            <w:r>
              <w:rPr>
                <w:rFonts w:hint="eastAsia" w:ascii="宋体" w:hAnsi="宋体" w:eastAsia="宋体" w:cs="Times New Roman"/>
                <w:color w:val="000000" w:themeColor="text1"/>
                <w:sz w:val="24"/>
                <w:szCs w:val="24"/>
                <w:highlight w:val="none"/>
                <w14:textFill>
                  <w14:solidFill>
                    <w14:schemeClr w14:val="tx1"/>
                  </w14:solidFill>
                </w14:textFill>
              </w:rPr>
              <w:t>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9</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测量工程师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2</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所学专业或职称为测量类或建筑工程相关专业，中级或以上技术职称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0</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机械设备管理工程师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所学专业或职称为</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机电工程</w:t>
            </w:r>
            <w:r>
              <w:rPr>
                <w:rFonts w:hint="eastAsia" w:ascii="宋体" w:hAnsi="宋体" w:eastAsia="宋体" w:cs="Times New Roman"/>
                <w:color w:val="000000" w:themeColor="text1"/>
                <w:sz w:val="24"/>
                <w:szCs w:val="24"/>
                <w:highlight w:val="none"/>
                <w14:textFill>
                  <w14:solidFill>
                    <w14:schemeClr w14:val="tx1"/>
                  </w14:solidFill>
                </w14:textFill>
              </w:rPr>
              <w:t>类相关专业，具备中级或以上技术职称</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632" w:type="dxa"/>
            <w:noWrap w:val="0"/>
            <w:vAlign w:val="center"/>
          </w:tcPr>
          <w:p>
            <w:pPr>
              <w:keepNext w:val="0"/>
              <w:keepLines w:val="0"/>
              <w:suppressLineNumbers w:val="0"/>
              <w:adjustRightInd/>
              <w:snapToGrid/>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专职安全员</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kern w:val="2"/>
                <w:sz w:val="24"/>
                <w:szCs w:val="24"/>
                <w:highlight w:val="none"/>
                <w14:textFill>
                  <w14:solidFill>
                    <w14:schemeClr w14:val="tx1"/>
                  </w14:solidFill>
                </w14:textFill>
              </w:rPr>
              <w:t>满足招标公告要求。</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按招标公告要求</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提供证明材料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2</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资料员</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lang w:eastAsia="zh-CN"/>
                <w14:textFill>
                  <w14:solidFill>
                    <w14:schemeClr w14:val="tx1"/>
                  </w14:solidFill>
                </w14:textFill>
              </w:rPr>
              <w:t>所学专业或职称为建筑工程相关专业，大专或以上学历。具有建设行政主管部门或其授权的机构或行业协会等颁发的资料员岗位证书或上岗证或培训证。</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职称证、</w:t>
            </w:r>
            <w:r>
              <w:rPr>
                <w:rFonts w:hint="eastAsia" w:ascii="宋体" w:hAnsi="宋体" w:eastAsia="宋体" w:cs="Times New Roman"/>
                <w:color w:val="000000" w:themeColor="text1"/>
                <w:sz w:val="24"/>
                <w:szCs w:val="24"/>
                <w:highlight w:val="none"/>
                <w14:textFill>
                  <w14:solidFill>
                    <w14:schemeClr w14:val="tx1"/>
                  </w14:solidFill>
                </w14:textFill>
              </w:rPr>
              <w:t>资料员岗位证书</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r>
              <w:rPr>
                <w:rFonts w:hint="eastAsia" w:ascii="宋体" w:hAnsi="宋体" w:eastAsia="宋体" w:cs="Times New Roman"/>
                <w:color w:val="000000" w:themeColor="text1"/>
                <w:sz w:val="24"/>
                <w:szCs w:val="24"/>
                <w:highlight w:val="none"/>
                <w14:textFill>
                  <w14:solidFill>
                    <w14:schemeClr w14:val="tx1"/>
                  </w14:solidFill>
                </w14:textFill>
              </w:rPr>
              <w:t>或上岗证或培训证</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r>
              <w:rPr>
                <w:rFonts w:hint="eastAsia" w:ascii="宋体" w:hAnsi="宋体" w:eastAsia="宋体" w:cs="Times New Roman"/>
                <w:color w:val="000000" w:themeColor="text1"/>
                <w:sz w:val="24"/>
                <w:szCs w:val="24"/>
                <w:highlight w:val="none"/>
                <w14:textFill>
                  <w14:solidFill>
                    <w14:schemeClr w14:val="tx1"/>
                  </w14:solidFill>
                </w14:textFill>
              </w:rPr>
              <w:t>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3</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技术员</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2</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both"/>
              <w:rPr>
                <w:rFonts w:hint="default" w:ascii="宋体" w:hAnsi="宋体" w:eastAsia="宋体" w:cs="Times New Roman"/>
                <w:strike/>
                <w:color w:val="000000" w:themeColor="text1"/>
                <w:sz w:val="24"/>
                <w:szCs w:val="24"/>
                <w:highlight w:val="none"/>
                <w14:textFill>
                  <w14:solidFill>
                    <w14:schemeClr w14:val="tx1"/>
                  </w14:solidFill>
                </w14:textFill>
              </w:rPr>
            </w:pPr>
            <w:r>
              <w:rPr>
                <w:rFonts w:hint="eastAsia" w:ascii="宋体" w:hAnsi="宋体" w:eastAsia="宋体" w:cs="Times New Roman"/>
                <w:strike w:val="0"/>
                <w:color w:val="000000" w:themeColor="text1"/>
                <w:sz w:val="24"/>
                <w:szCs w:val="24"/>
                <w:highlight w:val="none"/>
                <w:lang w:val="en-US" w:eastAsia="zh-CN"/>
                <w14:textFill>
                  <w14:solidFill>
                    <w14:schemeClr w14:val="tx1"/>
                  </w14:solidFill>
                </w14:textFill>
              </w:rPr>
              <w:t>所学专业或职称为建筑工程类及机电工程类相关专业各一名，大学本科或以上学历。</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4</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施工员</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2</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strike/>
                <w:color w:val="000000" w:themeColor="text1"/>
                <w:sz w:val="24"/>
                <w:szCs w:val="24"/>
                <w:highlight w:val="none"/>
                <w14:textFill>
                  <w14:solidFill>
                    <w14:schemeClr w14:val="tx1"/>
                  </w14:solidFill>
                </w14:textFill>
              </w:rPr>
            </w:pPr>
            <w:r>
              <w:rPr>
                <w:rFonts w:hint="eastAsia" w:ascii="宋体" w:hAnsi="宋体" w:eastAsia="宋体" w:cs="Times New Roman"/>
                <w:strike w:val="0"/>
                <w:color w:val="000000" w:themeColor="text1"/>
                <w:sz w:val="24"/>
                <w:szCs w:val="24"/>
                <w:highlight w:val="none"/>
                <w14:textFill>
                  <w14:solidFill>
                    <w14:schemeClr w14:val="tx1"/>
                  </w14:solidFill>
                </w14:textFill>
              </w:rPr>
              <w:t>大专或以上学历，具有建设行政主管部门或其授权的机构或行业协会等颁发的施工员岗位证书或上岗证或培训证。</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提供毕业证、资料员岗位证书</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r>
              <w:rPr>
                <w:rFonts w:hint="eastAsia" w:ascii="宋体" w:hAnsi="宋体" w:eastAsia="宋体" w:cs="Times New Roman"/>
                <w:color w:val="000000" w:themeColor="text1"/>
                <w:sz w:val="24"/>
                <w:szCs w:val="24"/>
                <w:highlight w:val="none"/>
                <w14:textFill>
                  <w14:solidFill>
                    <w14:schemeClr w14:val="tx1"/>
                  </w14:solidFill>
                </w14:textFill>
              </w:rPr>
              <w:t>或上岗证或培训证</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r>
              <w:rPr>
                <w:rFonts w:hint="eastAsia" w:ascii="宋体" w:hAnsi="宋体" w:eastAsia="宋体" w:cs="Times New Roman"/>
                <w:color w:val="000000" w:themeColor="text1"/>
                <w:sz w:val="24"/>
                <w:szCs w:val="24"/>
                <w:highlight w:val="none"/>
                <w14:textFill>
                  <w14:solidFill>
                    <w14:schemeClr w14:val="tx1"/>
                  </w14:solidFill>
                </w14:textFill>
              </w:rPr>
              <w:t>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5</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材料</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管理工程师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具备建筑工程类相关专业初级或以上技术职称。</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提供职称证扫描件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宋体" w:hAnsi="宋体"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16</w:t>
            </w: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试验检测工程师</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1</w:t>
            </w:r>
          </w:p>
        </w:tc>
        <w:tc>
          <w:tcPr>
            <w:tcW w:w="47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所学专业或职称为建筑工程类相关专业，具备初级或以上技术职称</w:t>
            </w:r>
            <w:r>
              <w:rPr>
                <w:rFonts w:hint="eastAsia" w:ascii="宋体" w:hAnsi="宋体" w:cs="宋体"/>
                <w:color w:val="000000" w:themeColor="text1"/>
                <w:sz w:val="24"/>
                <w:szCs w:val="24"/>
                <w:highlight w:val="none"/>
                <w:lang w:val="en-US" w:eastAsia="zh-CN"/>
                <w14:textFill>
                  <w14:solidFill>
                    <w14:schemeClr w14:val="tx1"/>
                  </w14:solidFill>
                </w14:textFill>
              </w:rPr>
              <w:t>和</w:t>
            </w:r>
            <w:r>
              <w:rPr>
                <w:rFonts w:hint="eastAsia" w:ascii="宋体" w:hAnsi="宋体" w:eastAsia="宋体" w:cs="宋体"/>
                <w:color w:val="000000" w:themeColor="text1"/>
                <w:sz w:val="24"/>
                <w:szCs w:val="24"/>
                <w:highlight w:val="none"/>
                <w14:textFill>
                  <w14:solidFill>
                    <w14:schemeClr w14:val="tx1"/>
                  </w14:solidFill>
                </w14:textFill>
              </w:rPr>
              <w:t>试验检测资格证</w:t>
            </w:r>
            <w:r>
              <w:rPr>
                <w:rFonts w:hint="eastAsia" w:ascii="宋体" w:hAnsi="宋体" w:cs="宋体"/>
                <w:color w:val="000000" w:themeColor="text1"/>
                <w:sz w:val="24"/>
                <w:szCs w:val="24"/>
                <w:highlight w:val="none"/>
                <w:lang w:eastAsia="zh-CN"/>
                <w14:textFill>
                  <w14:solidFill>
                    <w14:schemeClr w14:val="tx1"/>
                  </w14:solidFill>
                </w14:textFill>
              </w:rPr>
              <w:t>。</w:t>
            </w:r>
          </w:p>
        </w:tc>
        <w:tc>
          <w:tcPr>
            <w:tcW w:w="194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提供毕业证、</w:t>
            </w: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职称证、检测员证（或检测鉴定培训合格证</w:t>
            </w:r>
            <w:r>
              <w:rPr>
                <w:rFonts w:hint="eastAsia" w:ascii="宋体" w:hAnsi="宋体" w:eastAsia="宋体" w:cs="Times New Roman"/>
                <w:color w:val="000000" w:themeColor="text1"/>
                <w:sz w:val="24"/>
                <w:szCs w:val="24"/>
                <w:highlight w:val="none"/>
                <w:lang w:eastAsia="zh-CN"/>
                <w14:textFill>
                  <w14:solidFill>
                    <w14:schemeClr w14:val="tx1"/>
                  </w14:solidFill>
                </w14:textFill>
              </w:rPr>
              <w:t>）</w:t>
            </w:r>
            <w:r>
              <w:rPr>
                <w:rFonts w:hint="eastAsia" w:ascii="宋体" w:hAnsi="宋体" w:eastAsia="宋体" w:cs="Times New Roman"/>
                <w:color w:val="000000" w:themeColor="text1"/>
                <w:sz w:val="24"/>
                <w:szCs w:val="24"/>
                <w:highlight w:val="none"/>
                <w14:textFill>
                  <w14:solidFill>
                    <w14:schemeClr w14:val="tx1"/>
                  </w14:solidFill>
                </w14:textFill>
              </w:rPr>
              <w:t>扫描件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32"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p>
        </w:tc>
        <w:tc>
          <w:tcPr>
            <w:tcW w:w="168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r>
              <w:rPr>
                <w:rFonts w:hint="eastAsia" w:ascii="宋体" w:hAnsi="宋体" w:eastAsia="宋体" w:cs="Times New Roman"/>
                <w:color w:val="000000" w:themeColor="text1"/>
                <w:sz w:val="24"/>
                <w:szCs w:val="24"/>
                <w:highlight w:val="none"/>
                <w14:textFill>
                  <w14:solidFill>
                    <w14:schemeClr w14:val="tx1"/>
                  </w14:solidFill>
                </w14:textFill>
              </w:rPr>
              <w:t>小计</w:t>
            </w:r>
          </w:p>
        </w:tc>
        <w:tc>
          <w:tcPr>
            <w:tcW w:w="653"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eastAsia="宋体" w:cs="Times New Roman"/>
                <w:color w:val="000000" w:themeColor="text1"/>
                <w:sz w:val="24"/>
                <w:szCs w:val="24"/>
                <w:highlight w:val="none"/>
                <w:lang w:val="en-US" w:eastAsia="zh-CN"/>
                <w14:textFill>
                  <w14:solidFill>
                    <w14:schemeClr w14:val="tx1"/>
                  </w14:solidFill>
                </w14:textFill>
              </w:rPr>
              <w:t>19</w:t>
            </w:r>
          </w:p>
        </w:tc>
        <w:tc>
          <w:tcPr>
            <w:tcW w:w="478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p>
        </w:tc>
        <w:tc>
          <w:tcPr>
            <w:tcW w:w="1940" w:type="dxa"/>
            <w:noWrap w:val="0"/>
            <w:vAlign w:val="top"/>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宋体" w:hAnsi="宋体" w:eastAsia="宋体" w:cs="Times New Roman"/>
                <w:color w:val="000000" w:themeColor="text1"/>
                <w:sz w:val="24"/>
                <w:szCs w:val="24"/>
                <w:highlight w:val="none"/>
                <w14:textFill>
                  <w14:solidFill>
                    <w14:schemeClr w14:val="tx1"/>
                  </w14:solidFill>
                </w14:textFill>
              </w:rPr>
            </w:pPr>
          </w:p>
        </w:tc>
      </w:tr>
    </w:tbl>
    <w:p>
      <w:pPr>
        <w:tabs>
          <w:tab w:val="left" w:pos="108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bookmarkStart w:id="437" w:name="_Toc22020"/>
      <w:bookmarkStart w:id="438" w:name="_Toc10556623"/>
      <w:bookmarkStart w:id="439" w:name="_Toc27517"/>
      <w:r>
        <w:rPr>
          <w:rFonts w:hint="eastAsia" w:ascii="宋体" w:hAnsi="宋体" w:eastAsia="宋体" w:cs="宋体"/>
          <w:color w:val="000000" w:themeColor="text1"/>
          <w:sz w:val="24"/>
          <w:szCs w:val="24"/>
          <w:highlight w:val="none"/>
          <w14:textFill>
            <w14:solidFill>
              <w14:schemeClr w14:val="tx1"/>
            </w14:solidFill>
          </w14:textFill>
        </w:rPr>
        <w:t>注：本项目承包人进场后，根据前期准备阶段、地基与基础施工阶段、主体结构施工阶段、装修和机电安装阶段的实际情况，分阶段报审项目组织架构及项目管理人员组织实施计划，经业主和监理单位同意后实施。</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1、上表人员均要求为投标单位正式职工，即指在投标单位购买</w:t>
      </w:r>
      <w:r>
        <w:rPr>
          <w:rFonts w:hint="eastAsia" w:ascii="宋体" w:hAnsi="宋体" w:eastAsia="宋体" w:cs="宋体"/>
          <w:color w:val="000000" w:themeColor="text1"/>
          <w:sz w:val="24"/>
          <w:szCs w:val="24"/>
          <w:highlight w:val="none"/>
          <w:lang w:val="en-US" w:eastAsia="zh-CN"/>
          <w14:textFill>
            <w14:solidFill>
              <w14:schemeClr w14:val="tx1"/>
            </w14:solidFill>
          </w14:textFill>
        </w:rPr>
        <w:t>近一</w:t>
      </w:r>
      <w:r>
        <w:rPr>
          <w:rFonts w:hint="eastAsia" w:ascii="宋体" w:hAnsi="宋体" w:eastAsia="宋体" w:cs="宋体"/>
          <w:color w:val="000000" w:themeColor="text1"/>
          <w:sz w:val="24"/>
          <w:szCs w:val="24"/>
          <w:highlight w:val="none"/>
          <w14:textFill>
            <w14:solidFill>
              <w14:schemeClr w14:val="tx1"/>
            </w14:solidFill>
          </w14:textFill>
        </w:rPr>
        <w:t>个月（</w:t>
      </w:r>
      <w:r>
        <w:rPr>
          <w:rFonts w:hint="eastAsia" w:ascii="宋体" w:hAnsi="宋体" w:eastAsia="宋体" w:cs="宋体"/>
          <w:color w:val="000000" w:themeColor="text1"/>
          <w:sz w:val="24"/>
          <w:szCs w:val="24"/>
          <w:highlight w:val="none"/>
          <w:lang w:val="en-US" w:eastAsia="zh-CN"/>
          <w14:textFill>
            <w14:solidFill>
              <w14:schemeClr w14:val="tx1"/>
            </w14:solidFill>
          </w14:textFill>
        </w:rPr>
        <w:t>即</w:t>
      </w:r>
      <w:r>
        <w:rPr>
          <w:rFonts w:hint="eastAsia" w:ascii="宋体" w:hAnsi="宋体" w:eastAsia="宋体" w:cs="宋体"/>
          <w:color w:val="000000" w:themeColor="text1"/>
          <w:sz w:val="24"/>
          <w:szCs w:val="24"/>
          <w:highlight w:val="none"/>
          <w14:textFill>
            <w14:solidFill>
              <w14:schemeClr w14:val="tx1"/>
            </w14:solidFill>
          </w14:textFill>
        </w:rPr>
        <w:t>202</w:t>
      </w:r>
      <w:r>
        <w:rPr>
          <w:rFonts w:hint="eastAsia" w:ascii="宋体" w:hAnsi="宋体" w:eastAsia="宋体" w:cs="宋体"/>
          <w:color w:val="000000" w:themeColor="text1"/>
          <w:sz w:val="24"/>
          <w:szCs w:val="24"/>
          <w:highlight w:val="none"/>
          <w:lang w:val="en-US" w:eastAsia="zh-CN"/>
          <w14:textFill>
            <w14:solidFill>
              <w14:schemeClr w14:val="tx1"/>
            </w14:solidFill>
          </w14:textFill>
        </w:rPr>
        <w:t>4</w:t>
      </w:r>
      <w:r>
        <w:rPr>
          <w:rFonts w:hint="eastAsia" w:ascii="宋体" w:hAnsi="宋体" w:eastAsia="宋体" w:cs="宋体"/>
          <w:color w:val="000000" w:themeColor="text1"/>
          <w:sz w:val="24"/>
          <w:szCs w:val="24"/>
          <w:highlight w:val="none"/>
          <w14:textFill>
            <w14:solidFill>
              <w14:schemeClr w14:val="tx1"/>
            </w14:solidFill>
          </w14:textFill>
        </w:rPr>
        <w:t>年</w:t>
      </w:r>
      <w:r>
        <w:rPr>
          <w:rFonts w:hint="eastAsia" w:ascii="宋体" w:hAnsi="宋体" w:eastAsia="宋体" w:cs="宋体"/>
          <w:color w:val="000000" w:themeColor="text1"/>
          <w:sz w:val="24"/>
          <w:szCs w:val="24"/>
          <w:highlight w:val="none"/>
          <w:lang w:val="en-US" w:eastAsia="zh-CN"/>
          <w14:textFill>
            <w14:solidFill>
              <w14:schemeClr w14:val="tx1"/>
            </w14:solidFill>
          </w14:textFill>
        </w:rPr>
        <w:t>4</w:t>
      </w:r>
      <w:r>
        <w:rPr>
          <w:rFonts w:hint="eastAsia" w:ascii="宋体" w:hAnsi="宋体" w:eastAsia="宋体" w:cs="宋体"/>
          <w:color w:val="000000" w:themeColor="text1"/>
          <w:sz w:val="24"/>
          <w:szCs w:val="24"/>
          <w:highlight w:val="none"/>
          <w14:textFill>
            <w14:solidFill>
              <w14:schemeClr w14:val="tx1"/>
            </w14:solidFill>
          </w14:textFill>
        </w:rPr>
        <w:t>月）或以上社保的在职人员（若当地政府部门允许企业在疫情期间缓缴社会保险费且投标人未缴纳的，投标人可提供当地政府部门允许缓缴社保的相关文件作为缴纳社保的证明，确定中标人后，招标人将核实中标人拟派人员的社保补缴情况），须同时提供社保证明。各岗位人员不得相互兼职。施工单位必须满足或优于以上项目人员配备要求。</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2、承包人进场后1周之内，根据合同要求及现场实际情况，报审项目组织架构及项目人员组织实施计划。项目管理架构如需调整，需书面报监理单位及建设单位审核。</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3、承包人进场即成立项目管理部负责工程现场施工管理工作。同时</w:t>
      </w:r>
      <w:bookmarkStart w:id="440" w:name="_Toc436577361"/>
      <w:r>
        <w:rPr>
          <w:rFonts w:hint="eastAsia" w:ascii="宋体" w:hAnsi="宋体" w:eastAsia="宋体" w:cs="宋体"/>
          <w:color w:val="000000" w:themeColor="text1"/>
          <w:sz w:val="24"/>
          <w:szCs w:val="24"/>
          <w:highlight w:val="none"/>
          <w14:textFill>
            <w14:solidFill>
              <w14:schemeClr w14:val="tx1"/>
            </w14:solidFill>
          </w14:textFill>
        </w:rPr>
        <w:t>，为了确保在多单</w:t>
      </w:r>
      <w:bookmarkEnd w:id="440"/>
      <w:r>
        <w:rPr>
          <w:rFonts w:hint="eastAsia" w:ascii="宋体" w:hAnsi="宋体" w:eastAsia="宋体" w:cs="宋体"/>
          <w:color w:val="000000" w:themeColor="text1"/>
          <w:sz w:val="24"/>
          <w:szCs w:val="24"/>
          <w:highlight w:val="none"/>
          <w14:textFill>
            <w14:solidFill>
              <w14:schemeClr w14:val="tx1"/>
            </w14:solidFill>
          </w14:textFill>
        </w:rPr>
        <w:t>位交叉施工期间各专业施工队伍合理配合，有条不紊开展施工，承包人专门成立专职的团队负责履行施工总承包配合服务工作。</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4、承包人派驻现场的项目经理（项目负责人）的业务水平和技术水平必须通过发包人的面试考核。</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5、现场组织实施管理费以月为单位，进行计量支付。现场组织实施管理费的支付及费用标准按合同规定执行。</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6、指挥长现场开会要求：本项目</w:t>
      </w:r>
      <w:bookmarkStart w:id="441" w:name="_Toc436577362"/>
      <w:r>
        <w:rPr>
          <w:rFonts w:hint="eastAsia" w:ascii="宋体" w:hAnsi="宋体" w:eastAsia="宋体" w:cs="宋体"/>
          <w:color w:val="000000" w:themeColor="text1"/>
          <w:sz w:val="24"/>
          <w:szCs w:val="24"/>
          <w:highlight w:val="none"/>
          <w14:textFill>
            <w14:solidFill>
              <w14:schemeClr w14:val="tx1"/>
            </w14:solidFill>
          </w14:textFill>
        </w:rPr>
        <w:t>要求指挥长每月</w:t>
      </w:r>
      <w:bookmarkEnd w:id="441"/>
      <w:r>
        <w:rPr>
          <w:rFonts w:hint="eastAsia" w:ascii="宋体" w:hAnsi="宋体" w:eastAsia="宋体" w:cs="宋体"/>
          <w:color w:val="000000" w:themeColor="text1"/>
          <w:sz w:val="24"/>
          <w:szCs w:val="24"/>
          <w:highlight w:val="none"/>
          <w14:textFill>
            <w14:solidFill>
              <w14:schemeClr w14:val="tx1"/>
            </w14:solidFill>
          </w14:textFill>
        </w:rPr>
        <w:t>至少亲自组织</w:t>
      </w: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次工地现场例会，协调质量、进度、安全、文明施工等会议，并将相关会议纪要报监理单位和发包人备案。如果指挥长因故不能召开，</w:t>
      </w:r>
      <w:bookmarkStart w:id="442" w:name="_Toc436577363"/>
      <w:r>
        <w:rPr>
          <w:rFonts w:hint="eastAsia" w:ascii="宋体" w:hAnsi="宋体" w:eastAsia="宋体" w:cs="宋体"/>
          <w:color w:val="000000" w:themeColor="text1"/>
          <w:sz w:val="24"/>
          <w:szCs w:val="24"/>
          <w:highlight w:val="none"/>
          <w14:textFill>
            <w14:solidFill>
              <w14:schemeClr w14:val="tx1"/>
            </w14:solidFill>
          </w14:textFill>
        </w:rPr>
        <w:t>经发包人批准，</w:t>
      </w:r>
      <w:bookmarkEnd w:id="442"/>
      <w:r>
        <w:rPr>
          <w:rFonts w:hint="eastAsia" w:ascii="宋体" w:hAnsi="宋体" w:eastAsia="宋体" w:cs="宋体"/>
          <w:color w:val="000000" w:themeColor="text1"/>
          <w:sz w:val="24"/>
          <w:szCs w:val="24"/>
          <w:highlight w:val="none"/>
          <w14:textFill>
            <w14:solidFill>
              <w14:schemeClr w14:val="tx1"/>
            </w14:solidFill>
          </w14:textFill>
        </w:rPr>
        <w:t>可委托同级别或以上的单位领导组织会议。如果指挥长或其同级别或以上的单位领导不能按上述要求组织会议，每缺席一次，就按合同约定承担一次一般违约责任。</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7、承包人依法分包项目的分包负责人、材料设备供应商负责人应按监理人、发包人要求，参加工程例会。如无故缺席，应按合同约定承担违约责任。</w:t>
      </w:r>
    </w:p>
    <w:p>
      <w:pPr>
        <w:pStyle w:val="7"/>
        <w:spacing w:line="360" w:lineRule="auto"/>
        <w:rPr>
          <w:rFonts w:hint="eastAsia" w:ascii="宋体" w:hAnsi="宋体" w:cs="宋体"/>
          <w:color w:val="000000" w:themeColor="text1"/>
          <w:sz w:val="24"/>
          <w:szCs w:val="24"/>
          <w:highlight w:val="none"/>
          <w14:textFill>
            <w14:solidFill>
              <w14:schemeClr w14:val="tx1"/>
            </w14:solidFill>
          </w14:textFill>
        </w:rPr>
      </w:pPr>
    </w:p>
    <w:bookmarkEnd w:id="437"/>
    <w:bookmarkEnd w:id="438"/>
    <w:bookmarkEnd w:id="439"/>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443" w:name="_Toc19542"/>
      <w:bookmarkStart w:id="444" w:name="_Toc30055"/>
      <w:bookmarkStart w:id="445" w:name="_Toc418665254"/>
      <w:bookmarkStart w:id="446" w:name="_Toc31975"/>
      <w:bookmarkStart w:id="447" w:name="_Toc10556628"/>
      <w:bookmarkStart w:id="448" w:name="_Toc17670"/>
      <w:r>
        <w:rPr>
          <w:rFonts w:hint="eastAsia" w:cs="宋体"/>
          <w:b/>
          <w:bCs/>
          <w:color w:val="000000" w:themeColor="text1"/>
          <w:sz w:val="24"/>
          <w:szCs w:val="24"/>
          <w:highlight w:val="none"/>
          <w14:textFill>
            <w14:solidFill>
              <w14:schemeClr w14:val="tx1"/>
            </w14:solidFill>
          </w14:textFill>
        </w:rPr>
        <w:t>十、主要施工机械设备要求</w:t>
      </w:r>
      <w:bookmarkEnd w:id="443"/>
      <w:bookmarkEnd w:id="444"/>
      <w:bookmarkEnd w:id="445"/>
      <w:bookmarkEnd w:id="446"/>
      <w:bookmarkEnd w:id="447"/>
      <w:bookmarkEnd w:id="448"/>
    </w:p>
    <w:p>
      <w:pPr>
        <w:adjustRightInd w:val="0"/>
        <w:snapToGrid w:val="0"/>
        <w:spacing w:line="360" w:lineRule="auto"/>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1、本项目需投入的施工机械基本要求详见下表。投标人需根据本项目工程的特点，结合本企业的实力和资源情况配备：</w:t>
      </w:r>
      <w:bookmarkStart w:id="449" w:name="_Toc407099535"/>
      <w:bookmarkStart w:id="450" w:name="_Toc418665256"/>
      <w:bookmarkStart w:id="451" w:name="_Toc27312"/>
      <w:r>
        <w:rPr>
          <w:rFonts w:hint="eastAsia" w:ascii="宋体" w:hAnsi="宋体" w:eastAsia="宋体" w:cs="宋体"/>
          <w:color w:val="000000" w:themeColor="text1"/>
          <w:sz w:val="24"/>
          <w:szCs w:val="24"/>
          <w:highlight w:val="none"/>
          <w14:textFill>
            <w14:solidFill>
              <w14:schemeClr w14:val="tx1"/>
            </w14:solidFill>
          </w14:textFill>
        </w:rPr>
        <w:t>（部分设备根据标段划分及工程量调整）</w:t>
      </w:r>
    </w:p>
    <w:tbl>
      <w:tblPr>
        <w:tblStyle w:val="1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2552"/>
        <w:gridCol w:w="1437"/>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序号</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设备名称</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基本要求</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桩机</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台</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满足现场施工进度需求，及现场实际情况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塔吊</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台</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施工电梯</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满足现场施工进度需求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大型挖掘机</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台</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815"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w:t>
            </w:r>
          </w:p>
        </w:tc>
        <w:tc>
          <w:tcPr>
            <w:tcW w:w="2552"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其余机械设备</w:t>
            </w:r>
          </w:p>
        </w:tc>
        <w:tc>
          <w:tcPr>
            <w:tcW w:w="1437"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若干</w:t>
            </w:r>
          </w:p>
        </w:tc>
        <w:tc>
          <w:tcPr>
            <w:tcW w:w="3718" w:type="dxa"/>
            <w:noWrap w:val="0"/>
            <w:vAlign w:val="center"/>
          </w:tcPr>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满足现场施工进度需求</w:t>
            </w:r>
          </w:p>
        </w:tc>
      </w:tr>
    </w:tbl>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bookmarkStart w:id="452" w:name="_Toc10556630"/>
      <w:r>
        <w:rPr>
          <w:rFonts w:hint="eastAsia" w:ascii="宋体" w:hAnsi="宋体" w:eastAsia="宋体" w:cs="宋体"/>
          <w:color w:val="000000" w:themeColor="text1"/>
          <w:sz w:val="24"/>
          <w:szCs w:val="24"/>
          <w:highlight w:val="none"/>
          <w14:textFill>
            <w14:solidFill>
              <w14:schemeClr w14:val="tx1"/>
            </w14:solidFill>
          </w14:textFill>
        </w:rPr>
        <w:t>2、装修、机电、室外附属工程施工阶段投入的机械设备应满足进度的需要。</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3、对关键的机械设备须有备用量，确保设备检修维护不影响正常施工。</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承包人进场后必须按合同约定时间提交机械设备进场计划，确保机械设备来源可靠，按期进场。对于自有机械设备，承包人必须说明当前的使用情况及计划进场时间，必要时发包人有权组织现场核查；对于租凭机械设备，承包人必须随机械设备进场计划提供租凭合同报发包人备案；对于新购机械设备，承包人必须随机械设备进场计划提供订购或采购合同报发包人备案。</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承包人必须确保机械设备的性能良好，可正常使用。对于影响工程进度较大的主要机械设备，必须有一定备用量，确保在机械设备检修或维护期间，现场仍能正常施工，主要机械设备退场必须经监理工程师及业主同意方可退场，确保进度。</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6、为确保工程进度，承包人必须无条件增加机械设备的投入，除合同约定有赶工措施费外，发包人不另行增加相关费用。</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7、根据市住建局等相关行政主管部门要求，工地扬尘及噪音控制必须配备相应的设备措施，承包人应根据具体施工组织方案确保投入。</w:t>
      </w:r>
    </w:p>
    <w:bookmarkEnd w:id="449"/>
    <w:bookmarkEnd w:id="450"/>
    <w:bookmarkEnd w:id="451"/>
    <w:bookmarkEnd w:id="452"/>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bookmarkStart w:id="453" w:name="_Toc983"/>
      <w:bookmarkStart w:id="454" w:name="_Toc10556631"/>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455" w:name="_Toc15612"/>
      <w:bookmarkStart w:id="456" w:name="_Toc19249"/>
      <w:bookmarkStart w:id="457" w:name="_Toc19734"/>
      <w:bookmarkStart w:id="458" w:name="_Toc22709"/>
      <w:r>
        <w:rPr>
          <w:rFonts w:hint="eastAsia" w:cs="宋体"/>
          <w:b/>
          <w:bCs/>
          <w:color w:val="000000" w:themeColor="text1"/>
          <w:sz w:val="24"/>
          <w:szCs w:val="24"/>
          <w:highlight w:val="none"/>
          <w14:textFill>
            <w14:solidFill>
              <w14:schemeClr w14:val="tx1"/>
            </w14:solidFill>
          </w14:textFill>
        </w:rPr>
        <w:t>十</w:t>
      </w:r>
      <w:r>
        <w:rPr>
          <w:rFonts w:hint="default" w:ascii="宋体" w:hAnsi="宋体" w:eastAsia="宋体" w:cs="宋体"/>
          <w:b/>
          <w:bCs/>
          <w:color w:val="000000" w:themeColor="text1"/>
          <w:sz w:val="24"/>
          <w:szCs w:val="24"/>
          <w:highlight w:val="none"/>
          <w14:textFill>
            <w14:solidFill>
              <w14:schemeClr w14:val="tx1"/>
            </w14:solidFill>
          </w14:textFill>
        </w:rPr>
        <w:t>一</w:t>
      </w:r>
      <w:r>
        <w:rPr>
          <w:rFonts w:hint="eastAsia" w:cs="宋体"/>
          <w:b/>
          <w:bCs/>
          <w:color w:val="000000" w:themeColor="text1"/>
          <w:sz w:val="24"/>
          <w:szCs w:val="24"/>
          <w:highlight w:val="none"/>
          <w14:textFill>
            <w14:solidFill>
              <w14:schemeClr w14:val="tx1"/>
            </w14:solidFill>
          </w14:textFill>
        </w:rPr>
        <w:t>、材料设备管理要求</w:t>
      </w:r>
      <w:bookmarkEnd w:id="455"/>
      <w:bookmarkEnd w:id="456"/>
      <w:bookmarkEnd w:id="457"/>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在进场后7天内根据设计图纸及施工进度计划制定主要材料设备采购计划，及时签订采购合同（签订供货合同的时间必须至少比第一批货物计划进场的时间提前两个月+备货期）。影响工程造价较大的大批量材料设备，承包人必须提前定制或锁定价格，否则由此引起的工期调整或价格调整，发包人有权不予批准。其中：</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（1）承包人及时编制原材料、设备的采购计划，落实原材料、设备采购协议，作为第一期工程进度款的支付条件之一；</w:t>
      </w:r>
    </w:p>
    <w:p>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（2）主要材料设备的采购合同必须报发包人备案（具体需要备案的材料设备采购合同种类由发包人根据项目实际需要确定），作为涉及相应材料设备当期计量进度款的支付条件之一。</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2、承包人必确保在满足或优于招标文件（包括招标文件各专业主要设备材料技术参数）、招标图纸和相关规范要求的条件下采购主要材料设备。其中：</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（1）招标文件有推荐品牌范围的主要材料设备，原则上必须在推荐品牌范围内选用（具体见《主要设备材料品牌/生产厂家推荐表》）。承包人在中标后选用推荐品牌中的任一品牌，均不予调整其投标价。</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若承包人选用同等或优于推荐品牌的，在采购前必须经发包人审批同意，同时在看样定板前须提供同等或优于推荐品牌档次的证明材料报发包人审核，否则视为承包人自行更换品牌，按招标文件和合同规定承担违约责任。</w:t>
      </w:r>
    </w:p>
    <w:p>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（3）招标文件没有推荐品牌范围的主要材料设备，承包人按中国名牌、国家免检产品、省知名品牌的顺序选定，同时须严格按照发包人看样定板的相关规定执行。</w:t>
      </w:r>
    </w:p>
    <w:p>
      <w:pPr>
        <w:spacing w:line="360" w:lineRule="auto"/>
        <w:ind w:firstLine="484" w:firstLineChars="20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无论发包人是否推荐品牌范围，所有用于本工程的材料设备必须严格按合同条款的约定进行检验、试验，确保材料设备质量。材料进场批次要与见证取样检测批次一致，否则，多出批次的检测费由承包人承担。本项目应进行节能、室内环境检测，需委托具有相应资质检测机构实施的相关工作。</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为加强本工程所使用的乙供材料设备的质量管理，确保承包人所选购的材料设备的质量、技术性能、款式、效果等方面满足设计和使用需求，所有主要材料设备在看样定板之前，发包人、使用业主、监理单位、设计单位有</w:t>
      </w:r>
      <w:bookmarkStart w:id="459" w:name="_Toc464131260"/>
      <w:bookmarkStart w:id="460" w:name="_Toc426030456"/>
      <w:bookmarkStart w:id="461" w:name="_Toc403566290"/>
      <w:r>
        <w:rPr>
          <w:rFonts w:hint="eastAsia" w:ascii="宋体" w:hAnsi="宋体" w:eastAsia="宋体" w:cs="宋体"/>
          <w:color w:val="000000" w:themeColor="text1"/>
          <w:sz w:val="24"/>
          <w:szCs w:val="24"/>
          <w:highlight w:val="none"/>
          <w14:textFill>
            <w14:solidFill>
              <w14:schemeClr w14:val="tx1"/>
            </w14:solidFill>
          </w14:textFill>
        </w:rPr>
        <w:t>权对乙供材料设备厂家的生产能力、制造水平、生产工艺等方面进行综合考察评估，考核评估合格的方能采购。如经综合考察评估不合格，发包人有权在《主要设备材料品牌/生产厂家推荐表》中选择其他满足规定的材料厂家及品牌，经考核评估合格后予以选用，合同价款不作调整。</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承包人应在确定主要乙供材料设备供应商的7个工作日内，将供应商的清单明细（包括供应商的名称、联系人、联系电话、联系地址等）报监理单位和发包人备案。供应商须服从监理单位和发包人的管理，并按要求参加相关工作例会。</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6、承包人运入施工现场的材料、工程设备、施工设备以及在施工场地建设的临时设施，包括备品备件、安装工具与资料，必须专用于工程。未经发包人批准不得运出施工现场或挪作他用。</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深化设计图纸经主体设计单位(原设计单位)、监理人、发包人审核同意后，承包人应在10天内向监理人及发包人提出材料设备看样定板申请，并提供材料样板及相应的文件资料。发包人收到看样定板申请7天内，组织主体设计单位、监理人、承包人开会确定样板；开会确定样板后5天内，承包人组织主体设计单位、监理人、发包人对审批同意的乙供材料生产企业开展调查，调查的主要内容包括不限于企业的规模、企业的性质、企业的生产保证能力、企业的产品质量保证能力、材料生产工艺、原材料采购等相关内容，并最终确定厂家和实物样板。施工时承包人按样板采购使用材料(对装修装饰效果有重大影响，先进行样板间（段）的施工)。</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承包人应在深化设计图纸取得发包人审核确认后15天内向监理人、发包人报送所有材料的采购计划，并相应落实主要材料的采购合同，作为第一期工程进度款的支付条件之一。</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8、本招标项目材料设备严格执行国家及广东省、广州市关于材料设备见证抽检的各项规定。如出现某批次材料设备见证抽检不合格，承包人应将该批次材料设备全部清理出现场，已安装部分也须全部拆</w:t>
      </w:r>
      <w:bookmarkEnd w:id="459"/>
      <w:bookmarkEnd w:id="460"/>
      <w:bookmarkEnd w:id="461"/>
      <w:r>
        <w:rPr>
          <w:rFonts w:hint="eastAsia" w:ascii="宋体" w:hAnsi="宋体" w:eastAsia="宋体" w:cs="宋体"/>
          <w:color w:val="000000" w:themeColor="text1"/>
          <w:sz w:val="24"/>
          <w:szCs w:val="24"/>
          <w:highlight w:val="none"/>
          <w14:textFill>
            <w14:solidFill>
              <w14:schemeClr w14:val="tx1"/>
            </w14:solidFill>
          </w14:textFill>
        </w:rPr>
        <w:t>除、清理；每发生一次前述情形，承包人须按合同规定承担一次严重违约责任，并支付相关的违约金；对该类型材料设备在后续见证抽样检测时，将在规定的见证抽样数量、频率的基础上加倍，所需增加的检测费用由承包人自行承担。</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9、承包人进场14天内梳理需看样定板材料并编制材料看样定板计划，每一种材料提供不少于于三种品牌的质量证明材料，并提供实物样板。</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10、承包人进场后立即根据设计文件要求及《乙供材料（设备）管理办法》对本工程施工所需的钢材、水泥、混凝土等先行进行资质申报。</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11、本项目主要设备材料品牌/生产厂家推荐详见：</w:t>
      </w:r>
    </w:p>
    <w:p>
      <w:pPr>
        <w:spacing w:line="360" w:lineRule="auto"/>
        <w:ind w:firstLine="241" w:firstLineChars="100"/>
        <w:jc w:val="center"/>
        <w:rPr>
          <w:rFonts w:hint="eastAsia" w:ascii="宋体" w:hAnsi="宋体" w:eastAsia="宋体" w:cs="宋体"/>
          <w:b/>
          <w:bCs/>
          <w:color w:val="000000" w:themeColor="text1"/>
          <w:sz w:val="24"/>
          <w:szCs w:val="24"/>
          <w:highlight w:val="none"/>
          <w:u w:val="single"/>
          <w14:textFill>
            <w14:solidFill>
              <w14:schemeClr w14:val="tx1"/>
            </w14:solidFill>
          </w14:textFill>
        </w:rPr>
      </w:pPr>
      <w:r>
        <w:rPr>
          <w:rFonts w:hint="eastAsia" w:ascii="宋体" w:hAnsi="宋体" w:eastAsia="宋体" w:cs="宋体"/>
          <w:b/>
          <w:bCs/>
          <w:color w:val="000000" w:themeColor="text1"/>
          <w:sz w:val="24"/>
          <w:szCs w:val="24"/>
          <w:highlight w:val="none"/>
          <w:u w:val="single"/>
          <w14:textFill>
            <w14:solidFill>
              <w14:schemeClr w14:val="tx1"/>
            </w14:solidFill>
          </w14:textFill>
        </w:rPr>
        <w:t>主要设备材料品牌/生产厂家推荐表</w:t>
      </w:r>
    </w:p>
    <w:p>
      <w:pPr>
        <w:spacing w:line="360" w:lineRule="auto"/>
        <w:ind w:firstLine="241" w:firstLineChars="100"/>
        <w:jc w:val="center"/>
        <w:rPr>
          <w:rFonts w:hint="eastAsia" w:ascii="宋体" w:hAnsi="宋体" w:eastAsia="宋体" w:cs="宋体"/>
          <w:b/>
          <w:bCs/>
          <w:color w:val="000000" w:themeColor="text1"/>
          <w:sz w:val="24"/>
          <w:szCs w:val="24"/>
          <w:highlight w:val="none"/>
          <w:u w:val="single"/>
          <w:lang w:eastAsia="zh-CN"/>
          <w14:textFill>
            <w14:solidFill>
              <w14:schemeClr w14:val="tx1"/>
            </w14:solidFill>
          </w14:textFill>
        </w:rPr>
      </w:pPr>
      <w:r>
        <w:rPr>
          <w:rFonts w:hint="eastAsia" w:ascii="宋体" w:hAnsi="宋体" w:eastAsia="宋体" w:cs="宋体"/>
          <w:b/>
          <w:bCs/>
          <w:color w:val="000000" w:themeColor="text1"/>
          <w:sz w:val="24"/>
          <w:szCs w:val="24"/>
          <w:highlight w:val="none"/>
          <w:u w:val="single"/>
          <w:lang w:val="en-US" w:eastAsia="zh-CN"/>
          <w14:textFill>
            <w14:solidFill>
              <w14:schemeClr w14:val="tx1"/>
            </w14:solidFill>
          </w14:textFill>
        </w:rPr>
        <w:t>注：另册。</w:t>
      </w:r>
    </w:p>
    <w:p>
      <w:pPr>
        <w:pStyle w:val="7"/>
        <w:spacing w:line="360" w:lineRule="auto"/>
        <w:rPr>
          <w:rFonts w:hint="eastAsia" w:ascii="宋体" w:hAnsi="宋体" w:cs="宋体"/>
          <w:color w:val="000000" w:themeColor="text1"/>
          <w:sz w:val="24"/>
          <w:szCs w:val="24"/>
          <w:highlight w:val="none"/>
          <w14:textFill>
            <w14:solidFill>
              <w14:schemeClr w14:val="tx1"/>
            </w14:solidFill>
          </w14:textFill>
        </w:rPr>
      </w:pP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12、材料采购的其他要求，详见合同条款相关约定。</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13、承包人及时提供材料检测数量，配合完成第三方检测方案。</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14、承包人进场后立即根据设计文件要求及《乙供材料（设备）管理办法》申报乙供料。</w:t>
      </w:r>
    </w:p>
    <w:p>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15、对重要工程材料、构配件、设备，承包人安排专人驻场跟踪，督促加工制作进度、质量，参与工序验收和出厂调试。</w:t>
      </w:r>
    </w:p>
    <w:p>
      <w:pPr>
        <w:spacing w:line="360" w:lineRule="auto"/>
        <w:rPr>
          <w:rFonts w:hint="eastAsia" w:ascii="宋体" w:hAnsi="宋体" w:eastAsia="宋体" w:cs="宋体"/>
          <w:color w:val="000000" w:themeColor="text1"/>
          <w:sz w:val="24"/>
          <w:szCs w:val="24"/>
          <w:highlight w:val="none"/>
          <w14:textFill>
            <w14:solidFill>
              <w14:schemeClr w14:val="tx1"/>
            </w14:solidFill>
          </w14:textFill>
        </w:rPr>
      </w:pPr>
    </w:p>
    <w:p>
      <w:pPr>
        <w:pStyle w:val="2"/>
        <w:tabs>
          <w:tab w:val="left" w:pos="142"/>
        </w:tabs>
        <w:rPr>
          <w:rFonts w:hint="eastAsia" w:cs="宋体"/>
          <w:b/>
          <w:bCs/>
          <w:color w:val="000000" w:themeColor="text1"/>
          <w:sz w:val="24"/>
          <w:szCs w:val="24"/>
          <w:highlight w:val="none"/>
          <w14:textFill>
            <w14:solidFill>
              <w14:schemeClr w14:val="tx1"/>
            </w14:solidFill>
          </w14:textFill>
        </w:rPr>
      </w:pPr>
      <w:bookmarkStart w:id="462" w:name="_Toc14517"/>
      <w:bookmarkStart w:id="463" w:name="_Toc8217"/>
      <w:r>
        <w:rPr>
          <w:rFonts w:hint="eastAsia" w:cs="宋体"/>
          <w:b/>
          <w:bCs/>
          <w:color w:val="000000" w:themeColor="text1"/>
          <w:sz w:val="24"/>
          <w:szCs w:val="24"/>
          <w:highlight w:val="none"/>
          <w14:textFill>
            <w14:solidFill>
              <w14:schemeClr w14:val="tx1"/>
            </w14:solidFill>
          </w14:textFill>
        </w:rPr>
        <w:t>十</w:t>
      </w:r>
      <w:r>
        <w:rPr>
          <w:rFonts w:hint="default" w:ascii="宋体" w:hAnsi="宋体" w:eastAsia="宋体" w:cs="宋体"/>
          <w:b/>
          <w:bCs/>
          <w:color w:val="000000" w:themeColor="text1"/>
          <w:sz w:val="24"/>
          <w:szCs w:val="24"/>
          <w:highlight w:val="none"/>
          <w14:textFill>
            <w14:solidFill>
              <w14:schemeClr w14:val="tx1"/>
            </w14:solidFill>
          </w14:textFill>
        </w:rPr>
        <w:t>二</w:t>
      </w:r>
      <w:r>
        <w:rPr>
          <w:rFonts w:hint="eastAsia" w:cs="宋体"/>
          <w:b/>
          <w:bCs/>
          <w:color w:val="000000" w:themeColor="text1"/>
          <w:sz w:val="24"/>
          <w:szCs w:val="24"/>
          <w:highlight w:val="none"/>
          <w14:textFill>
            <w14:solidFill>
              <w14:schemeClr w14:val="tx1"/>
            </w14:solidFill>
          </w14:textFill>
        </w:rPr>
        <w:t>、</w:t>
      </w:r>
      <w:bookmarkEnd w:id="453"/>
      <w:bookmarkEnd w:id="454"/>
      <w:r>
        <w:rPr>
          <w:rFonts w:hint="eastAsia" w:cs="宋体"/>
          <w:b/>
          <w:bCs/>
          <w:color w:val="000000" w:themeColor="text1"/>
          <w:sz w:val="24"/>
          <w:szCs w:val="24"/>
          <w:highlight w:val="none"/>
          <w14:textFill>
            <w14:solidFill>
              <w14:schemeClr w14:val="tx1"/>
            </w14:solidFill>
          </w14:textFill>
        </w:rPr>
        <w:t>绿色施工管理要求</w:t>
      </w:r>
      <w:bookmarkEnd w:id="458"/>
      <w:bookmarkEnd w:id="462"/>
      <w:bookmarkEnd w:id="463"/>
    </w:p>
    <w:p>
      <w:pPr>
        <w:adjustRightInd w:val="0"/>
        <w:snapToGrid w:val="0"/>
        <w:spacing w:line="360" w:lineRule="auto"/>
        <w:outlineLvl w:val="1"/>
        <w:rPr>
          <w:rFonts w:hint="eastAsia" w:ascii="宋体" w:hAnsi="宋体" w:eastAsia="宋体" w:cs="宋体"/>
          <w:color w:val="000000" w:themeColor="text1"/>
          <w:sz w:val="24"/>
          <w:szCs w:val="24"/>
          <w:highlight w:val="none"/>
          <w14:textFill>
            <w14:solidFill>
              <w14:schemeClr w14:val="tx1"/>
            </w14:solidFill>
          </w14:textFill>
        </w:rPr>
      </w:pPr>
      <w:bookmarkStart w:id="464" w:name="_Toc22515"/>
      <w:bookmarkStart w:id="465" w:name="_Toc20275"/>
      <w:bookmarkStart w:id="466" w:name="_Toc21358"/>
      <w:r>
        <w:rPr>
          <w:rFonts w:hint="eastAsia" w:ascii="宋体" w:hAnsi="宋体" w:eastAsia="宋体" w:cs="宋体"/>
          <w:color w:val="000000" w:themeColor="text1"/>
          <w:sz w:val="24"/>
          <w:szCs w:val="24"/>
          <w:highlight w:val="none"/>
          <w14:textFill>
            <w14:solidFill>
              <w14:schemeClr w14:val="tx1"/>
            </w14:solidFill>
          </w14:textFill>
        </w:rPr>
        <w:t>1.项目绿色施工管理目标</w:t>
      </w:r>
      <w:bookmarkEnd w:id="464"/>
      <w:bookmarkEnd w:id="465"/>
      <w:bookmarkEnd w:id="466"/>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对施工策划、材料采购、现场施工、工程验收四阶段控制全过程实施绿色施工的管理控制，实现节能、节地、节水、节材和环境保护“四节一环保”，申报广州市绿色施工项目。</w:t>
      </w:r>
    </w:p>
    <w:p>
      <w:pPr>
        <w:adjustRightInd w:val="0"/>
        <w:snapToGrid w:val="0"/>
        <w:spacing w:line="360" w:lineRule="auto"/>
        <w:outlineLvl w:val="1"/>
        <w:rPr>
          <w:rFonts w:hint="eastAsia" w:ascii="宋体" w:hAnsi="宋体" w:eastAsia="宋体" w:cs="宋体"/>
          <w:color w:val="000000" w:themeColor="text1"/>
          <w:sz w:val="24"/>
          <w:szCs w:val="24"/>
          <w:highlight w:val="none"/>
          <w14:textFill>
            <w14:solidFill>
              <w14:schemeClr w14:val="tx1"/>
            </w14:solidFill>
          </w14:textFill>
        </w:rPr>
      </w:pPr>
      <w:bookmarkStart w:id="467" w:name="_Toc19523"/>
      <w:bookmarkStart w:id="468" w:name="_Toc28678"/>
      <w:bookmarkStart w:id="469" w:name="_Toc25998"/>
      <w:r>
        <w:rPr>
          <w:rFonts w:hint="eastAsia" w:ascii="宋体" w:hAnsi="宋体" w:eastAsia="宋体" w:cs="宋体"/>
          <w:color w:val="000000" w:themeColor="text1"/>
          <w:sz w:val="24"/>
          <w:szCs w:val="24"/>
          <w:highlight w:val="none"/>
          <w14:textFill>
            <w14:solidFill>
              <w14:schemeClr w14:val="tx1"/>
            </w14:solidFill>
          </w14:textFill>
        </w:rPr>
        <w:t>2.绿色施工标准</w:t>
      </w:r>
      <w:bookmarkEnd w:id="467"/>
      <w:bookmarkEnd w:id="468"/>
      <w:bookmarkEnd w:id="469"/>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（1）国家《建筑工程绿色施工评价标准（GB/T 50640-2010）》</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（2）广东省《建筑工程绿色施工评价标准（DBJ/T 15-97-2013）》</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（3）《广州市建设工程绿色施工工作技术指引》(试行)</w:t>
      </w:r>
    </w:p>
    <w:p>
      <w:pPr>
        <w:adjustRightInd w:val="0"/>
        <w:snapToGrid w:val="0"/>
        <w:spacing w:line="360" w:lineRule="auto"/>
        <w:outlineLvl w:val="1"/>
        <w:rPr>
          <w:rFonts w:hint="eastAsia" w:ascii="宋体" w:hAnsi="宋体" w:eastAsia="宋体" w:cs="宋体"/>
          <w:color w:val="000000" w:themeColor="text1"/>
          <w:sz w:val="24"/>
          <w:szCs w:val="24"/>
          <w:highlight w:val="none"/>
          <w14:textFill>
            <w14:solidFill>
              <w14:schemeClr w14:val="tx1"/>
            </w14:solidFill>
          </w14:textFill>
        </w:rPr>
      </w:pPr>
      <w:bookmarkStart w:id="470" w:name="_Toc3683"/>
      <w:bookmarkStart w:id="471" w:name="_Toc21164"/>
      <w:bookmarkStart w:id="472" w:name="_Toc15086"/>
      <w:r>
        <w:rPr>
          <w:rFonts w:hint="eastAsia" w:ascii="宋体" w:hAnsi="宋体" w:eastAsia="宋体" w:cs="宋体"/>
          <w:color w:val="000000" w:themeColor="text1"/>
          <w:sz w:val="24"/>
          <w:szCs w:val="24"/>
          <w:highlight w:val="none"/>
          <w14:textFill>
            <w14:solidFill>
              <w14:schemeClr w14:val="tx1"/>
            </w14:solidFill>
          </w14:textFill>
        </w:rPr>
        <w:t>3.现场绿色施工要求</w:t>
      </w:r>
      <w:bookmarkEnd w:id="470"/>
      <w:bookmarkEnd w:id="471"/>
      <w:bookmarkEnd w:id="472"/>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应按照国家、省、市及我中心关于绿色施工的规章制度和文件要求落实绿色施工工作，将节能、节材、节水、节地和环境保护（四节一环保）纳入施工组织设计、施工总平面布置和相关施工方案中，同时编制绿色施工专项方案报监理和建设单位审批方可开展施工。</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（2）承包人应结合项目特点，为确保绿色施工管理工作得到落实，需建立由项目经理牵头负责的强有力的管理工作架构，将绿色施工管理工作落到实处。</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（3）承包人在项目实施过程中的绿色施工资源投入应满足绿色施工相关规定。</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（4）对于各级行政主管部门、发包人及监理单位检查发现的绿色施工存在的问题，承包人应及时予以整改。</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bookmarkStart w:id="473" w:name="_Toc10556635"/>
      <w:bookmarkStart w:id="474" w:name="_Toc418665261"/>
      <w:bookmarkStart w:id="475" w:name="_Toc23191"/>
    </w:p>
    <w:p>
      <w:pPr>
        <w:pStyle w:val="6"/>
        <w:spacing w:line="360" w:lineRule="auto"/>
        <w:rPr>
          <w:rFonts w:hint="eastAsia"/>
          <w:b/>
          <w:bCs/>
          <w:color w:val="000000" w:themeColor="text1"/>
          <w:sz w:val="24"/>
          <w:szCs w:val="24"/>
          <w:highlight w:val="none"/>
          <w14:textFill>
            <w14:solidFill>
              <w14:schemeClr w14:val="tx1"/>
            </w14:solidFill>
          </w14:textFill>
        </w:rPr>
      </w:pPr>
      <w:bookmarkStart w:id="476" w:name="_Toc18320"/>
      <w:bookmarkStart w:id="477" w:name="_Toc28300"/>
      <w:bookmarkStart w:id="478" w:name="_Toc432"/>
      <w:r>
        <w:rPr>
          <w:rFonts w:hint="eastAsia"/>
          <w:b/>
          <w:bCs/>
          <w:color w:val="000000" w:themeColor="text1"/>
          <w:sz w:val="24"/>
          <w:szCs w:val="24"/>
          <w:highlight w:val="none"/>
          <w14:textFill>
            <w14:solidFill>
              <w14:schemeClr w14:val="tx1"/>
            </w14:solidFill>
          </w14:textFill>
        </w:rPr>
        <w:t>十</w:t>
      </w:r>
      <w:r>
        <w:rPr>
          <w:rFonts w:hint="default" w:ascii="宋体" w:hAnsi="宋体" w:eastAsia="宋体" w:cs="宋体"/>
          <w:b/>
          <w:bCs/>
          <w:color w:val="000000" w:themeColor="text1"/>
          <w:sz w:val="24"/>
          <w:szCs w:val="24"/>
          <w:highlight w:val="none"/>
          <w14:textFill>
            <w14:solidFill>
              <w14:schemeClr w14:val="tx1"/>
            </w14:solidFill>
          </w14:textFill>
        </w:rPr>
        <w:t>三</w:t>
      </w:r>
      <w:r>
        <w:rPr>
          <w:rFonts w:hint="eastAsia"/>
          <w:b/>
          <w:bCs/>
          <w:color w:val="000000" w:themeColor="text1"/>
          <w:sz w:val="24"/>
          <w:szCs w:val="24"/>
          <w:highlight w:val="none"/>
          <w14:textFill>
            <w14:solidFill>
              <w14:schemeClr w14:val="tx1"/>
            </w14:solidFill>
          </w14:textFill>
        </w:rPr>
        <w:t>、</w:t>
      </w:r>
      <w:bookmarkEnd w:id="473"/>
      <w:bookmarkEnd w:id="474"/>
      <w:bookmarkEnd w:id="475"/>
      <w:r>
        <w:rPr>
          <w:rFonts w:hint="eastAsia"/>
          <w:b/>
          <w:bCs/>
          <w:color w:val="000000" w:themeColor="text1"/>
          <w:sz w:val="24"/>
          <w:szCs w:val="24"/>
          <w:highlight w:val="none"/>
          <w14:textFill>
            <w14:solidFill>
              <w14:schemeClr w14:val="tx1"/>
            </w14:solidFill>
          </w14:textFill>
        </w:rPr>
        <w:t>竣工移交前深度清洁工作要求</w:t>
      </w:r>
      <w:bookmarkEnd w:id="476"/>
      <w:bookmarkEnd w:id="477"/>
      <w:bookmarkEnd w:id="478"/>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本项目在竣工验收后移交前需对施工区域进行一次全面的深度清洁工作，相关费用在投标报价中综合考虑，发包人不再另行支付。深度清洁要求如下：</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1、建筑物室内（墙面、柱面、墙裙；玻璃、金属结构框；门等）表面干净、整洁，无灰尘、污垢、污渍、水迹、水渍、手印迹及其他印迹。</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2、建筑物室内涂料表面无灰尘、污渍、污垢、印迹，涂料色泽鲜艳、无色差、质感强。</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3、建筑物室内（天花板、通风口、内嵌式灯饰）表面干净、整洁，不得有灰尘、污垢，天花板不得有缺块、掉块现象。</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4、卫生间（坐厕器、小便器、洗脸盆、地板、墙面、门、门套等）干净、整洁，无灰尘、污渍、污垢、水渍、水迹、印迹。</w:t>
      </w:r>
    </w:p>
    <w:p>
      <w:pPr>
        <w:pStyle w:val="2"/>
        <w:tabs>
          <w:tab w:val="left" w:pos="142"/>
        </w:tabs>
        <w:rPr>
          <w:rFonts w:hint="eastAsia" w:ascii="宋体" w:hAnsi="宋体" w:eastAsia="宋体" w:cs="宋体"/>
          <w:b/>
          <w:bCs/>
          <w:color w:val="000000" w:themeColor="text1"/>
          <w:sz w:val="24"/>
          <w:szCs w:val="24"/>
          <w:highlight w:val="none"/>
          <w14:textFill>
            <w14:solidFill>
              <w14:schemeClr w14:val="tx1"/>
            </w14:solidFill>
          </w14:textFill>
        </w:rPr>
      </w:pPr>
      <w:bookmarkStart w:id="479" w:name="_Toc320"/>
      <w:bookmarkStart w:id="480" w:name="_Toc10488"/>
      <w:bookmarkStart w:id="481" w:name="_Toc19759"/>
    </w:p>
    <w:p>
      <w:pPr>
        <w:pStyle w:val="2"/>
        <w:tabs>
          <w:tab w:val="left" w:pos="142"/>
        </w:tabs>
        <w:rPr>
          <w:rFonts w:hint="eastAsia"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十四、验收、移交及结算管理要求</w:t>
      </w:r>
      <w:bookmarkEnd w:id="479"/>
      <w:bookmarkEnd w:id="480"/>
      <w:bookmarkEnd w:id="481"/>
    </w:p>
    <w:p>
      <w:pPr>
        <w:pStyle w:val="17"/>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482" w:name="_Toc7947"/>
      <w:bookmarkStart w:id="483" w:name="_Toc4057"/>
      <w:bookmarkStart w:id="484" w:name="_Toc31528"/>
      <w:r>
        <w:rPr>
          <w:rFonts w:hint="eastAsia" w:ascii="宋体" w:hAnsi="宋体" w:eastAsia="宋体" w:cs="宋体"/>
          <w:color w:val="000000" w:themeColor="text1"/>
          <w:sz w:val="24"/>
          <w:szCs w:val="24"/>
          <w:highlight w:val="none"/>
          <w14:textFill>
            <w14:solidFill>
              <w14:schemeClr w14:val="tx1"/>
            </w14:solidFill>
          </w14:textFill>
        </w:rPr>
        <w:t>1、工程验收管理要求：</w:t>
      </w:r>
      <w:bookmarkEnd w:id="482"/>
      <w:bookmarkEnd w:id="483"/>
      <w:bookmarkEnd w:id="484"/>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（1）承包人必须在工程具备验收条件时的3周前编制验收计划（包括专业工程验收计划、消防等专项验收计划等），按工程竣工联合验收有关规定</w:t>
      </w:r>
      <w:bookmarkStart w:id="485" w:name="_Toc464131264"/>
      <w:bookmarkStart w:id="486" w:name="_Toc420914116"/>
      <w:r>
        <w:rPr>
          <w:rFonts w:hint="eastAsia" w:ascii="宋体" w:hAnsi="宋体" w:eastAsia="宋体" w:cs="宋体"/>
          <w:color w:val="000000" w:themeColor="text1"/>
          <w:sz w:val="24"/>
          <w:szCs w:val="24"/>
          <w:highlight w:val="none"/>
          <w14:textFill>
            <w14:solidFill>
              <w14:schemeClr w14:val="tx1"/>
            </w14:solidFill>
          </w14:textFill>
        </w:rPr>
        <w:t>申报验收，确保</w:t>
      </w:r>
      <w:bookmarkEnd w:id="485"/>
      <w:bookmarkEnd w:id="486"/>
      <w:r>
        <w:rPr>
          <w:rFonts w:hint="eastAsia" w:ascii="宋体" w:hAnsi="宋体" w:eastAsia="宋体" w:cs="宋体"/>
          <w:color w:val="000000" w:themeColor="text1"/>
          <w:sz w:val="24"/>
          <w:szCs w:val="24"/>
          <w:highlight w:val="none"/>
          <w14:textFill>
            <w14:solidFill>
              <w14:schemeClr w14:val="tx1"/>
            </w14:solidFill>
          </w14:textFill>
        </w:rPr>
        <w:t>工</w:t>
      </w:r>
      <w:bookmarkStart w:id="487" w:name="_Toc392863120"/>
      <w:bookmarkStart w:id="488" w:name="_Toc392692129"/>
      <w:r>
        <w:rPr>
          <w:rFonts w:hint="eastAsia" w:ascii="宋体" w:hAnsi="宋体" w:eastAsia="宋体" w:cs="宋体"/>
          <w:color w:val="000000" w:themeColor="text1"/>
          <w:sz w:val="24"/>
          <w:szCs w:val="24"/>
          <w:highlight w:val="none"/>
          <w14:textFill>
            <w14:solidFill>
              <w14:schemeClr w14:val="tx1"/>
            </w14:solidFill>
          </w14:textFill>
        </w:rPr>
        <w:t>程一次验收合格。</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（2）竣工验收执行《广州市房屋建筑工程竣工联合验收工作方案（5.0版</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》注：如有新规定则按新规定执行。</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（3）承包人严格按我中心《工程验收及备案管理实施细则》执行。</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经验收评定，工程质量不合格或工程内容有尚未完成者，由承包人在商定的期限内进行修补后，再进行竣工联合验收，直至达到完全符合合同要求为止，并按最后验收合格的日期作为竣工日期，由此产生的一切费用均由承包人负责。</w:t>
      </w:r>
    </w:p>
    <w:p>
      <w:pPr>
        <w:pStyle w:val="10"/>
        <w:tabs>
          <w:tab w:val="left" w:pos="1320"/>
        </w:tabs>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（5）竣工验收完成后承包人须向发包人提供完整竣工资料（包含竣工图）及竣工验收报告；并做好竣工档案、竣工联合验收等工作。工程验收的其他要求按合同约定执行。</w:t>
      </w:r>
    </w:p>
    <w:p>
      <w:pPr>
        <w:pStyle w:val="17"/>
        <w:adjustRightInd w:val="0"/>
        <w:snapToGrid w:val="0"/>
        <w:spacing w:line="360" w:lineRule="auto"/>
        <w:ind w:firstLine="480" w:firstLineChars="200"/>
        <w:outlineLvl w:val="1"/>
        <w:rPr>
          <w:rFonts w:hint="eastAsia" w:ascii="宋体" w:hAnsi="宋体" w:eastAsia="宋体" w:cs="宋体"/>
          <w:color w:val="000000" w:themeColor="text1"/>
          <w:sz w:val="24"/>
          <w:szCs w:val="24"/>
          <w:highlight w:val="none"/>
          <w14:textFill>
            <w14:solidFill>
              <w14:schemeClr w14:val="tx1"/>
            </w14:solidFill>
          </w14:textFill>
        </w:rPr>
      </w:pPr>
      <w:bookmarkStart w:id="489" w:name="_Toc1879"/>
      <w:bookmarkStart w:id="490" w:name="_Toc6140"/>
      <w:bookmarkStart w:id="491" w:name="_Toc24252"/>
      <w:r>
        <w:rPr>
          <w:rFonts w:hint="eastAsia" w:ascii="宋体" w:hAnsi="宋体" w:eastAsia="宋体" w:cs="宋体"/>
          <w:color w:val="000000" w:themeColor="text1"/>
          <w:sz w:val="24"/>
          <w:szCs w:val="24"/>
          <w:highlight w:val="none"/>
          <w14:textFill>
            <w14:solidFill>
              <w14:schemeClr w14:val="tx1"/>
            </w14:solidFill>
          </w14:textFill>
        </w:rPr>
        <w:t>2、工程移交管理要求：</w:t>
      </w:r>
      <w:bookmarkEnd w:id="489"/>
      <w:bookmarkEnd w:id="490"/>
      <w:bookmarkEnd w:id="491"/>
    </w:p>
    <w:p>
      <w:pPr>
        <w:pStyle w:val="17"/>
        <w:adjustRightInd w:val="0"/>
        <w:snapToGrid w:val="0"/>
        <w:spacing w:after="0" w:line="360" w:lineRule="auto"/>
        <w:ind w:firstLine="24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（1）移交范围</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工程项目移交的范围包括工程资料移交、工程实体移交（含备品备件）和使用维护管理移交（含设备维护培训及交底）。</w:t>
      </w:r>
    </w:p>
    <w:p>
      <w:pPr>
        <w:pStyle w:val="17"/>
        <w:adjustRightInd w:val="0"/>
        <w:snapToGrid w:val="0"/>
        <w:spacing w:after="0" w:line="360" w:lineRule="auto"/>
        <w:ind w:firstLine="24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工程资料移交</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竣工资料包括工程建设前期有关资料、工程技术管理资料、竣工验收备案资料等。承包人在工程实施过程中及工程竣工后，应对各类工程文件档案进行收集、整理和查验，确保向发包人移交的工程文件档案资料是真实的、完整的。</w:t>
      </w:r>
    </w:p>
    <w:p>
      <w:pPr>
        <w:pStyle w:val="17"/>
        <w:adjustRightInd w:val="0"/>
        <w:snapToGrid w:val="0"/>
        <w:spacing w:after="0" w:line="360" w:lineRule="auto"/>
        <w:ind w:firstLine="24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工程实体移交</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承包人在工程移交前，应编制完整的《工程实体移交清单》（含设备材料移交清单、备品备件移交清单），并提供给发包人、监理单位和工程接收单位审核并盖章确认。</w:t>
      </w:r>
    </w:p>
    <w:p>
      <w:pPr>
        <w:pStyle w:val="17"/>
        <w:adjustRightInd w:val="0"/>
        <w:snapToGrid w:val="0"/>
        <w:spacing w:after="0" w:line="360" w:lineRule="auto"/>
        <w:ind w:firstLine="24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（2）移交前维护</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工程竣工验收后至工程移交之前，承包人必须保障：智能化工程、机电工程的正常运行及维护，如在此期间发现工程或工程设备损坏或存在缺陷的，由承包人按质量保证期服务要求的约定进行修复。有关费用已包含在合同总价中，发包人不另支付；如承包人拒绝维护，且经发包人书面催告后仍未维护的，发包人有权委托第三方维护，所需费用由承包人承担。</w:t>
      </w:r>
    </w:p>
    <w:p>
      <w:pPr>
        <w:pStyle w:val="17"/>
        <w:adjustRightInd w:val="0"/>
        <w:snapToGrid w:val="0"/>
        <w:spacing w:after="0" w:line="360" w:lineRule="auto"/>
        <w:ind w:firstLine="24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（3）移交计划</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承包人应在进行移交工作前编写工程项目移交计划，且移交计划需报发包人及监理单位审核，在经发包人及监理单位审核同意后按计划进行移交。</w:t>
      </w:r>
    </w:p>
    <w:p>
      <w:pPr>
        <w:pStyle w:val="17"/>
        <w:adjustRightInd w:val="0"/>
        <w:snapToGrid w:val="0"/>
        <w:spacing w:after="0" w:line="360" w:lineRule="auto"/>
        <w:ind w:firstLine="240"/>
        <w:outlineLvl w:val="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（4）工程移交</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工程项目移交原则上力争在工程竣工联合验收后一个月之内完成。承包人应在发包人组织的工程移交中向使用单位办理好工程移交，并做好相关的保障、维修及服务。承包人负责对工程竣工验收及工程移交中提出的质量及工程资料问题进行整改，完成整改后向监理单位提交《工程整改完工报告》申请整改后正式移交。工程移交工作的相关要求具体按发包人的《建设项目工程移交管理办法（试行）》的规定执行。</w:t>
      </w:r>
    </w:p>
    <w:p>
      <w:pPr>
        <w:pStyle w:val="17"/>
        <w:adjustRightInd w:val="0"/>
        <w:snapToGrid w:val="0"/>
        <w:spacing w:after="0" w:line="360" w:lineRule="auto"/>
        <w:ind w:firstLine="240"/>
        <w:outlineLvl w:val="1"/>
        <w:rPr>
          <w:rFonts w:hint="eastAsia" w:ascii="宋体" w:hAnsi="宋体" w:eastAsia="宋体" w:cs="宋体"/>
          <w:color w:val="000000" w:themeColor="text1"/>
          <w:sz w:val="24"/>
          <w:szCs w:val="24"/>
          <w:highlight w:val="none"/>
          <w14:textFill>
            <w14:solidFill>
              <w14:schemeClr w14:val="tx1"/>
            </w14:solidFill>
          </w14:textFill>
        </w:rPr>
      </w:pPr>
      <w:bookmarkStart w:id="492" w:name="_Toc10119"/>
      <w:bookmarkStart w:id="493" w:name="_Toc4203"/>
      <w:bookmarkStart w:id="494" w:name="_Toc1351"/>
      <w:r>
        <w:rPr>
          <w:rFonts w:hint="eastAsia" w:ascii="宋体" w:hAnsi="宋体" w:eastAsia="宋体" w:cs="宋体"/>
          <w:color w:val="000000" w:themeColor="text1"/>
          <w:sz w:val="24"/>
          <w:szCs w:val="24"/>
          <w:highlight w:val="none"/>
          <w14:textFill>
            <w14:solidFill>
              <w14:schemeClr w14:val="tx1"/>
            </w14:solidFill>
          </w14:textFill>
        </w:rPr>
        <w:t>3、工程造价（结算）管理要求：</w:t>
      </w:r>
      <w:bookmarkEnd w:id="492"/>
      <w:bookmarkEnd w:id="493"/>
      <w:bookmarkEnd w:id="494"/>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（1）承包人须在中标后4</w:t>
      </w:r>
      <w:bookmarkStart w:id="495" w:name="_Toc464131265"/>
      <w:r>
        <w:rPr>
          <w:rFonts w:hint="eastAsia" w:ascii="宋体" w:hAnsi="宋体" w:eastAsia="宋体" w:cs="宋体"/>
          <w:color w:val="000000" w:themeColor="text1"/>
          <w:sz w:val="24"/>
          <w:szCs w:val="24"/>
          <w:highlight w:val="none"/>
          <w14:textFill>
            <w14:solidFill>
              <w14:schemeClr w14:val="tx1"/>
            </w14:solidFill>
          </w14:textFill>
        </w:rPr>
        <w:t>0日历天内根据施</w:t>
      </w:r>
      <w:bookmarkEnd w:id="487"/>
      <w:bookmarkEnd w:id="488"/>
      <w:bookmarkEnd w:id="495"/>
      <w:r>
        <w:rPr>
          <w:rFonts w:hint="eastAsia" w:ascii="宋体" w:hAnsi="宋体" w:eastAsia="宋体" w:cs="宋体"/>
          <w:color w:val="000000" w:themeColor="text1"/>
          <w:sz w:val="24"/>
          <w:szCs w:val="24"/>
          <w:highlight w:val="none"/>
          <w14:textFill>
            <w14:solidFill>
              <w14:schemeClr w14:val="tx1"/>
            </w14:solidFill>
          </w14:textFill>
        </w:rPr>
        <w:t>工图纸编制施工预算，提出施工预算工程量与招标清单工程量之间的差异，并报监理单位和发包人审核备案。</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（2）承包人应按发包人要求派出足够的、有能力的造价人员负责结算工作。若派出的造价人员不足或不能胜任结算工作，承包人应按发包人的要求及时更换，直至满足要求为止。</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（3）承包人执行发包人下发的结算编制指引及与结算有关的文件规定。</w:t>
      </w:r>
    </w:p>
    <w:p>
      <w:pPr>
        <w:pStyle w:val="17"/>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承包人须协助发包人加强投资控制，每期申请进度款的计量计价应准确，进度款的申请应与主要材料设备采购计划相匹配，严禁虚报计量（承包人申报的进度款金额超出经监理人、发包人核实金额的10%，视为承包人虚报计量）或超前计量，否则严格按合同约定承担违约责任。</w:t>
      </w:r>
    </w:p>
    <w:p>
      <w:pPr>
        <w:adjustRightInd w:val="0"/>
        <w:snapToGrid w:val="0"/>
        <w:spacing w:line="360" w:lineRule="auto"/>
        <w:ind w:right="11" w:firstLine="460" w:firstLineChars="19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（5）在施工过程中发生的工程变更、工程签证等引起合同价款调增事件后，承包人未按合同约定办理变更工程预算审批的，则发包人有权根据实际情况决定是否调整合同价款以及调整的金额。</w:t>
      </w:r>
    </w:p>
    <w:p>
      <w:pPr>
        <w:adjustRightInd w:val="0"/>
        <w:snapToGrid w:val="0"/>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（6）本项目总承包管理及配合服务费按承包人实际完成的总承包管理及配合服务工作进行计量支付，具体按合同约定执行。</w:t>
      </w:r>
    </w:p>
    <w:p>
      <w:pPr>
        <w:adjustRightInd w:val="0"/>
        <w:snapToGrid w:val="0"/>
        <w:spacing w:line="360" w:lineRule="auto"/>
        <w:ind w:right="11" w:firstLine="460" w:firstLineChars="192"/>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（7）根据项目的实际情况，如承包人需另行租用场地用于临设之用，属于承包人自行考虑范畴，相关的费用投标时综合考虑，不再另行计量、支付。</w:t>
      </w:r>
    </w:p>
    <w:p>
      <w:pPr>
        <w:adjustRightInd w:val="0"/>
        <w:snapToGrid w:val="0"/>
        <w:spacing w:line="360" w:lineRule="auto"/>
        <w:ind w:right="11" w:firstLine="463" w:firstLineChars="192"/>
        <w:jc w:val="center"/>
        <w:rPr>
          <w:rFonts w:hint="eastAsia" w:ascii="宋体" w:hAnsi="宋体" w:cs="宋体"/>
          <w:b/>
          <w:snapToGrid w:val="0"/>
          <w:color w:val="000000" w:themeColor="text1"/>
          <w:sz w:val="24"/>
          <w:szCs w:val="24"/>
          <w:highlight w:val="none"/>
          <w14:textFill>
            <w14:solidFill>
              <w14:schemeClr w14:val="tx1"/>
            </w14:solidFill>
          </w14:textFill>
        </w:rPr>
      </w:pPr>
      <w:r>
        <w:rPr>
          <w:rFonts w:hint="eastAsia" w:ascii="宋体" w:hAnsi="宋体" w:cs="宋体"/>
          <w:b/>
          <w:snapToGrid w:val="0"/>
          <w:color w:val="000000" w:themeColor="text1"/>
          <w:sz w:val="24"/>
          <w:szCs w:val="24"/>
          <w:highlight w:val="none"/>
          <w14:textFill>
            <w14:solidFill>
              <w14:schemeClr w14:val="tx1"/>
            </w14:solidFill>
          </w14:textFill>
        </w:rPr>
        <w:t>结算送审资料移交清单</w:t>
      </w:r>
    </w:p>
    <w:tbl>
      <w:tblPr>
        <w:tblStyle w:val="18"/>
        <w:tblW w:w="9165" w:type="dxa"/>
        <w:jc w:val="center"/>
        <w:tblLayout w:type="fixed"/>
        <w:tblCellMar>
          <w:top w:w="0" w:type="dxa"/>
          <w:left w:w="108" w:type="dxa"/>
          <w:bottom w:w="0" w:type="dxa"/>
          <w:right w:w="108" w:type="dxa"/>
        </w:tblCellMar>
      </w:tblPr>
      <w:tblGrid>
        <w:gridCol w:w="1104"/>
        <w:gridCol w:w="8061"/>
      </w:tblGrid>
      <w:tr>
        <w:tblPrEx>
          <w:tblCellMar>
            <w:top w:w="0" w:type="dxa"/>
            <w:left w:w="108" w:type="dxa"/>
            <w:bottom w:w="0" w:type="dxa"/>
            <w:right w:w="108" w:type="dxa"/>
          </w:tblCellMar>
        </w:tblPrEx>
        <w:trPr>
          <w:trHeight w:val="387" w:hRule="atLeast"/>
          <w:tblHeader/>
          <w:jc w:val="center"/>
        </w:trPr>
        <w:tc>
          <w:tcPr>
            <w:tcW w:w="1104" w:type="dxa"/>
            <w:tcBorders>
              <w:top w:val="single" w:color="auto" w:sz="4" w:space="0"/>
              <w:left w:val="single" w:color="auto" w:sz="4" w:space="0"/>
              <w:bottom w:val="nil"/>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序号</w:t>
            </w:r>
          </w:p>
        </w:tc>
        <w:tc>
          <w:tcPr>
            <w:tcW w:w="8061" w:type="dxa"/>
            <w:tcBorders>
              <w:top w:val="single" w:color="auto" w:sz="4" w:space="0"/>
              <w:left w:val="nil"/>
              <w:bottom w:val="nil"/>
              <w:right w:val="single" w:color="000000"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资料名称</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工程结算书及其电子文档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合同文件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3</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工程竣工图纸</w:t>
            </w:r>
            <w:r>
              <w:rPr>
                <w:rFonts w:hint="eastAsia" w:ascii="宋体" w:hAnsi="宋体" w:cs="宋体"/>
                <w:color w:val="000000" w:themeColor="text1"/>
                <w:sz w:val="24"/>
                <w:szCs w:val="24"/>
                <w:highlight w:val="none"/>
                <w14:textFill>
                  <w14:solidFill>
                    <w14:schemeClr w14:val="tx1"/>
                  </w14:solidFill>
                </w14:textFill>
              </w:rPr>
              <w:t>（及其电子文档）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4</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招标文件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5</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投标文件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6</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中标通知书</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7</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工程开工报告</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8</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竣工验收报告</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9</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工程设计变更</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10</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工程签证</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11</w:t>
            </w:r>
          </w:p>
        </w:tc>
        <w:tc>
          <w:tcPr>
            <w:tcW w:w="8061" w:type="dxa"/>
            <w:tcBorders>
              <w:top w:val="single" w:color="auto" w:sz="4" w:space="0"/>
              <w:left w:val="nil"/>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工程量计算书（含钢筋抽料表）及其电子文档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12</w:t>
            </w:r>
          </w:p>
        </w:tc>
        <w:tc>
          <w:tcPr>
            <w:tcW w:w="8061" w:type="dxa"/>
            <w:tcBorders>
              <w:top w:val="single" w:color="auto" w:sz="4" w:space="0"/>
              <w:left w:val="nil"/>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rPr>
                <w:rFonts w:hint="default" w:ascii="宋体" w:hAnsi="宋体" w:cs="宋体"/>
                <w:bCs/>
                <w:color w:val="000000" w:themeColor="text1"/>
                <w:sz w:val="24"/>
                <w:szCs w:val="24"/>
                <w:highlight w:val="none"/>
                <w14:textFill>
                  <w14:solidFill>
                    <w14:schemeClr w14:val="tx1"/>
                  </w14:solidFill>
                </w14:textFill>
              </w:rPr>
            </w:pPr>
            <w:r>
              <w:rPr>
                <w:rFonts w:hint="eastAsia" w:ascii="宋体" w:hAnsi="宋体" w:cs="宋体"/>
                <w:bCs/>
                <w:color w:val="000000" w:themeColor="text1"/>
                <w:sz w:val="24"/>
                <w:szCs w:val="24"/>
                <w:highlight w:val="none"/>
                <w14:textFill>
                  <w14:solidFill>
                    <w14:schemeClr w14:val="tx1"/>
                  </w14:solidFill>
                </w14:textFill>
              </w:rPr>
              <w:t>工程预（概）算批复文件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13</w:t>
            </w:r>
          </w:p>
        </w:tc>
        <w:tc>
          <w:tcPr>
            <w:tcW w:w="8061" w:type="dxa"/>
            <w:tcBorders>
              <w:top w:val="single" w:color="auto" w:sz="4" w:space="0"/>
              <w:left w:val="nil"/>
              <w:bottom w:val="single" w:color="auto" w:sz="4" w:space="0"/>
              <w:right w:val="single" w:color="000000" w:sz="4" w:space="0"/>
            </w:tcBorders>
            <w:noWrap w:val="0"/>
            <w:vAlign w:val="center"/>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相关资金安排（批复）文件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14</w:t>
            </w:r>
          </w:p>
        </w:tc>
        <w:tc>
          <w:tcPr>
            <w:tcW w:w="8061" w:type="dxa"/>
            <w:tcBorders>
              <w:top w:val="single" w:color="auto" w:sz="4" w:space="0"/>
              <w:left w:val="nil"/>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招标图</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15</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图纸会审记录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16</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工程洽商记录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17</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监理合同</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18</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监理工程师通知或发包人施工指令</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19</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会议纪要</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20</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材料、设备单价呈批审核单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21</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综合单价呈批审核单</w:t>
            </w:r>
            <w:r>
              <w:rPr>
                <w:rFonts w:hint="eastAsia" w:ascii="宋体" w:hAnsi="宋体" w:cs="宋体"/>
                <w:bCs/>
                <w:color w:val="000000" w:themeColor="text1"/>
                <w:sz w:val="24"/>
                <w:szCs w:val="24"/>
                <w:highlight w:val="none"/>
                <w14:textFill>
                  <w14:solidFill>
                    <w14:schemeClr w14:val="tx1"/>
                  </w14:solidFill>
                </w14:textFill>
              </w:rPr>
              <w:t>及电子版</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22</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甲供材料证明</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23</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施工组织设计</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24</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工程地质勘察报告及水文资料</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25</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城建档案</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26</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工期逾期情况说明</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27</w:t>
            </w:r>
          </w:p>
        </w:tc>
        <w:tc>
          <w:tcPr>
            <w:tcW w:w="8061" w:type="dxa"/>
            <w:tcBorders>
              <w:top w:val="single" w:color="auto" w:sz="4" w:space="0"/>
              <w:left w:val="nil"/>
              <w:bottom w:val="single" w:color="auto" w:sz="4" w:space="0"/>
              <w:right w:val="single" w:color="000000"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合同条款修改说明</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28</w:t>
            </w:r>
          </w:p>
        </w:tc>
        <w:tc>
          <w:tcPr>
            <w:tcW w:w="8061"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隐蔽工程验收记录</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29</w:t>
            </w:r>
          </w:p>
        </w:tc>
        <w:tc>
          <w:tcPr>
            <w:tcW w:w="8061"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工程质量验收评定证书</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30</w:t>
            </w:r>
          </w:p>
        </w:tc>
        <w:tc>
          <w:tcPr>
            <w:tcW w:w="8061"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涉及税金等调整的工程款支付明细</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31</w:t>
            </w:r>
          </w:p>
        </w:tc>
        <w:tc>
          <w:tcPr>
            <w:tcW w:w="8061" w:type="dxa"/>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rPr>
                <w:rFonts w:hint="default"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其它结算资料</w:t>
            </w:r>
          </w:p>
        </w:tc>
      </w:tr>
    </w:tbl>
    <w:p>
      <w:pPr>
        <w:pStyle w:val="7"/>
        <w:ind w:firstLine="0"/>
        <w:jc w:val="left"/>
        <w:rPr>
          <w:rFonts w:hint="eastAsia" w:ascii="Cambria" w:hAnsi="Cambria" w:eastAsia="仿宋"/>
          <w:b/>
          <w:bCs/>
          <w:color w:val="000000" w:themeColor="text1"/>
          <w:kern w:val="0"/>
          <w:sz w:val="32"/>
          <w:szCs w:val="32"/>
          <w:highlight w:val="none"/>
          <w14:textFill>
            <w14:solidFill>
              <w14:schemeClr w14:val="tx1"/>
            </w14:solidFill>
          </w14:textFill>
        </w:rPr>
      </w:pPr>
    </w:p>
    <w:p>
      <w:pPr>
        <w:adjustRightInd w:val="0"/>
        <w:snapToGrid w:val="0"/>
        <w:spacing w:line="360" w:lineRule="auto"/>
        <w:outlineLvl w:val="0"/>
        <w:rPr>
          <w:rFonts w:hint="eastAsia" w:ascii="宋体" w:hAnsi="宋体" w:cs="宋体"/>
          <w:b/>
          <w:color w:val="000000" w:themeColor="text1"/>
          <w:kern w:val="44"/>
          <w:sz w:val="24"/>
          <w:szCs w:val="24"/>
          <w:highlight w:val="none"/>
          <w14:textFill>
            <w14:solidFill>
              <w14:schemeClr w14:val="tx1"/>
            </w14:solidFill>
          </w14:textFill>
        </w:rPr>
      </w:pPr>
      <w:bookmarkStart w:id="496" w:name="_Toc13167"/>
      <w:bookmarkStart w:id="497" w:name="_Toc32383"/>
      <w:bookmarkStart w:id="498" w:name="_Toc24329"/>
      <w:r>
        <w:rPr>
          <w:rFonts w:hint="eastAsia" w:ascii="宋体" w:hAnsi="宋体" w:cs="宋体"/>
          <w:b/>
          <w:color w:val="000000" w:themeColor="text1"/>
          <w:kern w:val="44"/>
          <w:sz w:val="24"/>
          <w:szCs w:val="24"/>
          <w:highlight w:val="none"/>
          <w14:textFill>
            <w14:solidFill>
              <w14:schemeClr w14:val="tx1"/>
            </w14:solidFill>
          </w14:textFill>
        </w:rPr>
        <w:t>十五、质保期服务管理要求</w:t>
      </w:r>
      <w:bookmarkEnd w:id="496"/>
      <w:bookmarkEnd w:id="497"/>
      <w:bookmarkEnd w:id="498"/>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在质量保证期内，承包人须做好以下工作：</w:t>
      </w:r>
    </w:p>
    <w:p>
      <w:pPr>
        <w:adjustRightInd w:val="0"/>
        <w:snapToGrid w:val="0"/>
        <w:spacing w:line="360" w:lineRule="auto"/>
        <w:outlineLvl w:val="1"/>
        <w:rPr>
          <w:rFonts w:hint="eastAsia" w:ascii="宋体" w:hAnsi="宋体" w:eastAsia="宋体" w:cs="宋体"/>
          <w:color w:val="000000" w:themeColor="text1"/>
          <w:sz w:val="24"/>
          <w:szCs w:val="24"/>
          <w:highlight w:val="none"/>
          <w14:textFill>
            <w14:solidFill>
              <w14:schemeClr w14:val="tx1"/>
            </w14:solidFill>
          </w14:textFill>
        </w:rPr>
      </w:pPr>
      <w:bookmarkStart w:id="499" w:name="_Toc19493"/>
      <w:bookmarkStart w:id="500" w:name="_Toc17086"/>
      <w:bookmarkStart w:id="501" w:name="_Toc19136"/>
      <w:r>
        <w:rPr>
          <w:rFonts w:hint="eastAsia" w:ascii="宋体" w:hAnsi="宋体" w:eastAsia="宋体" w:cs="宋体"/>
          <w:color w:val="000000" w:themeColor="text1"/>
          <w:sz w:val="24"/>
          <w:szCs w:val="24"/>
          <w:highlight w:val="none"/>
          <w14:textFill>
            <w14:solidFill>
              <w14:schemeClr w14:val="tx1"/>
            </w14:solidFill>
          </w14:textFill>
        </w:rPr>
        <w:t>1、培训工作</w:t>
      </w:r>
      <w:bookmarkEnd w:id="499"/>
      <w:bookmarkEnd w:id="500"/>
      <w:bookmarkEnd w:id="501"/>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竣工验收合格后3个月内，承包人须针对各系统特点及项目实际情况编制使用手册、培训手册以及培训计划，并组织专人（包括主要设备供货商）对业主管理人员的进行培训工作，培训内容包括系统的功能介绍、性能介绍、操作要求、维护要求等，直至业主管理人员能熟练掌握及正常使用系统。</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（2）用户培训费在措施项目清单计价表中已开列，由投标自行填报，培训期间产生的所有费用已包含在该项费用中，发包人不在另行支付其他费用。</w:t>
      </w:r>
    </w:p>
    <w:p>
      <w:pPr>
        <w:adjustRightInd w:val="0"/>
        <w:snapToGrid w:val="0"/>
        <w:spacing w:line="360" w:lineRule="auto"/>
        <w:outlineLvl w:val="1"/>
        <w:rPr>
          <w:rFonts w:hint="eastAsia" w:ascii="宋体" w:hAnsi="宋体" w:eastAsia="宋体" w:cs="宋体"/>
          <w:color w:val="000000" w:themeColor="text1"/>
          <w:sz w:val="24"/>
          <w:szCs w:val="24"/>
          <w:highlight w:val="none"/>
          <w14:textFill>
            <w14:solidFill>
              <w14:schemeClr w14:val="tx1"/>
            </w14:solidFill>
          </w14:textFill>
        </w:rPr>
      </w:pPr>
      <w:bookmarkStart w:id="502" w:name="_Toc21101"/>
      <w:bookmarkStart w:id="503" w:name="_Toc753"/>
      <w:bookmarkStart w:id="504" w:name="_Toc14299"/>
      <w:r>
        <w:rPr>
          <w:rFonts w:hint="eastAsia" w:ascii="宋体" w:hAnsi="宋体" w:eastAsia="宋体" w:cs="宋体"/>
          <w:color w:val="000000" w:themeColor="text1"/>
          <w:sz w:val="24"/>
          <w:szCs w:val="24"/>
          <w:highlight w:val="none"/>
          <w14:textFill>
            <w14:solidFill>
              <w14:schemeClr w14:val="tx1"/>
            </w14:solidFill>
          </w14:textFill>
        </w:rPr>
        <w:t>2、质量保证期和售后服务</w:t>
      </w:r>
      <w:bookmarkEnd w:id="502"/>
      <w:bookmarkEnd w:id="503"/>
      <w:bookmarkEnd w:id="504"/>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（1）在质量保证期内，承包人按保修协议约定免费提供设备的维修及保养服务。</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（2）质保期内须免费提供设备的维修及保养服务，定期派工程师到现场巡查，并配合对各系统进行每年一次的年检且提供年检报告。</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质保期内设备本身质量出现问题或由于设备本身质量原因造成的任何损伤或损坏，承包人应及时给予免费维修或免费更换，由此引起的施工费、人工费、材料费等其他一切费用由承包人负责。新更换的零部件的质保期则从更换之日起计。</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承包人在故障保修响应方面应做到：承包人须在接到业主通知的1小时内予以答复；在业主要求时，承包人的技术人员须在收到业主通知后3小时之内到现场进行修理，相关的维修必须连续进行，直至故障完全修复为止。若在24小时内不能排除故障，承包人应立即采取切实有效的补救措施（包括免费提供应急设备），全力防止损失的扩大。</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从工程竣工验收合格正式运行之日起的质量保证期（含潜在缺陷质量保证期）内，由于设备材料因素造成的损坏，均由承包人免费维修、更换，由于人为（非承包人人员）和自然灾害造成的损坏，收取成本费用。</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在质量保证期结束前，承包人须与业主代表对合同项下设备进行全面的检查，对任何缺陷由承包人负责修理。在修理之后，承包人须将缺陷原因、修理的内容、完成修理及恢复正常的时间和日期等情况报告给业主。</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（7）承包人必提供满足质量保证期内正常运行的备品备件和易损、易耗件，并随时优惠提供易损件，优惠提供产品更新、改造服务。</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（8）在质量保证期内，以下主要设备提供原厂售后保修服务，若本项目的质量保</w:t>
      </w:r>
      <w:bookmarkStart w:id="505" w:name="_Toc386995964"/>
      <w:bookmarkStart w:id="506" w:name="_Toc464131266"/>
      <w:bookmarkStart w:id="507" w:name="_Toc392692130"/>
      <w:bookmarkStart w:id="508" w:name="_Toc392692282"/>
      <w:bookmarkStart w:id="509" w:name="_Toc392863121"/>
      <w:r>
        <w:rPr>
          <w:rFonts w:hint="eastAsia" w:ascii="宋体" w:hAnsi="宋体" w:eastAsia="宋体" w:cs="宋体"/>
          <w:color w:val="000000" w:themeColor="text1"/>
          <w:sz w:val="24"/>
          <w:szCs w:val="24"/>
          <w:highlight w:val="none"/>
          <w14:textFill>
            <w14:solidFill>
              <w14:schemeClr w14:val="tx1"/>
            </w14:solidFill>
          </w14:textFill>
        </w:rPr>
        <w:t>证期</w:t>
      </w:r>
      <w:bookmarkEnd w:id="505"/>
      <w:r>
        <w:rPr>
          <w:rFonts w:hint="eastAsia" w:ascii="宋体" w:hAnsi="宋体" w:eastAsia="宋体" w:cs="宋体"/>
          <w:color w:val="000000" w:themeColor="text1"/>
          <w:sz w:val="24"/>
          <w:szCs w:val="24"/>
          <w:highlight w:val="none"/>
          <w14:textFill>
            <w14:solidFill>
              <w14:schemeClr w14:val="tx1"/>
            </w14:solidFill>
          </w14:textFill>
        </w:rPr>
        <w:t>比主要设备供应商规定的售</w:t>
      </w:r>
      <w:bookmarkEnd w:id="506"/>
      <w:bookmarkEnd w:id="507"/>
      <w:bookmarkEnd w:id="508"/>
      <w:bookmarkEnd w:id="509"/>
      <w:r>
        <w:rPr>
          <w:rFonts w:hint="eastAsia" w:ascii="宋体" w:hAnsi="宋体" w:eastAsia="宋体" w:cs="宋体"/>
          <w:color w:val="000000" w:themeColor="text1"/>
          <w:sz w:val="24"/>
          <w:szCs w:val="24"/>
          <w:highlight w:val="none"/>
          <w14:textFill>
            <w14:solidFill>
              <w14:schemeClr w14:val="tx1"/>
            </w14:solidFill>
          </w14:textFill>
        </w:rPr>
        <w:t>后保修服务期长的，须相应延长主要设备的原厂售后保修服务期，所发生的相关费用由承包人承担，发包人不另行增加费用。</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原厂提供售后保修服务的主要设备包括：电梯、水泵等设备。</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质保期满，由承包人提出退还质量保证金申请，按要求提交《工程质量保修责任期终止证书》，经监理单位、使用单位和我办确认后按合同要求退还。</w:t>
      </w:r>
    </w:p>
    <w:p>
      <w:pPr>
        <w:numPr>
          <w:ilvl w:val="0"/>
          <w:numId w:val="6"/>
        </w:num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本项目工程质量保证金的支付与缺陷责任期内防水工程的质量情况挂钩。在缺陷责任期内，如出现因防水工程质量问题导致建筑物渗水、漏水的，经维修后同一部位再次发生渗漏的，或渗漏水严重造成业主单位（或使用单位）损失的，每出现一次，承包人应按合同约定承担一次严重违约责任，同时，在缺陷责任期界满时发包人仅退还质量保证金的50%，剩余50%的质量保证金在防水工程质保期（5年）届满后再退还。</w:t>
      </w:r>
      <w:bookmarkStart w:id="510" w:name="_Toc418665266"/>
      <w:bookmarkStart w:id="511" w:name="_Toc10556638"/>
      <w:bookmarkStart w:id="512" w:name="_Toc8415"/>
    </w:p>
    <w:p>
      <w:pPr>
        <w:pStyle w:val="7"/>
        <w:spacing w:line="360" w:lineRule="auto"/>
        <w:ind w:firstLine="0"/>
        <w:rPr>
          <w:rFonts w:hint="eastAsia" w:ascii="宋体" w:hAnsi="宋体" w:cs="宋体"/>
          <w:color w:val="000000" w:themeColor="text1"/>
          <w:sz w:val="24"/>
          <w:szCs w:val="24"/>
          <w:highlight w:val="none"/>
          <w14:textFill>
            <w14:solidFill>
              <w14:schemeClr w14:val="tx1"/>
            </w14:solidFill>
          </w14:textFill>
        </w:rPr>
      </w:pPr>
    </w:p>
    <w:p>
      <w:pPr>
        <w:adjustRightInd w:val="0"/>
        <w:snapToGrid w:val="0"/>
        <w:spacing w:line="360" w:lineRule="auto"/>
        <w:outlineLvl w:val="0"/>
        <w:rPr>
          <w:rFonts w:hint="eastAsia" w:ascii="宋体" w:hAnsi="宋体" w:cs="宋体"/>
          <w:b/>
          <w:color w:val="000000" w:themeColor="text1"/>
          <w:kern w:val="44"/>
          <w:sz w:val="24"/>
          <w:szCs w:val="24"/>
          <w:highlight w:val="none"/>
          <w14:textFill>
            <w14:solidFill>
              <w14:schemeClr w14:val="tx1"/>
            </w14:solidFill>
          </w14:textFill>
        </w:rPr>
      </w:pPr>
      <w:bookmarkStart w:id="513" w:name="_Toc25031"/>
      <w:bookmarkStart w:id="514" w:name="_Toc4658"/>
      <w:bookmarkStart w:id="515" w:name="_Toc2487"/>
      <w:r>
        <w:rPr>
          <w:rFonts w:hint="eastAsia" w:ascii="宋体" w:hAnsi="宋体" w:cs="宋体"/>
          <w:b/>
          <w:color w:val="000000" w:themeColor="text1"/>
          <w:kern w:val="44"/>
          <w:sz w:val="24"/>
          <w:szCs w:val="24"/>
          <w:highlight w:val="none"/>
          <w14:textFill>
            <w14:solidFill>
              <w14:schemeClr w14:val="tx1"/>
            </w14:solidFill>
          </w14:textFill>
        </w:rPr>
        <w:t>十六、</w:t>
      </w:r>
      <w:bookmarkEnd w:id="510"/>
      <w:bookmarkEnd w:id="511"/>
      <w:bookmarkEnd w:id="512"/>
      <w:r>
        <w:rPr>
          <w:rFonts w:hint="eastAsia" w:ascii="宋体" w:hAnsi="宋体" w:cs="宋体"/>
          <w:b/>
          <w:color w:val="000000" w:themeColor="text1"/>
          <w:kern w:val="44"/>
          <w:sz w:val="24"/>
          <w:szCs w:val="24"/>
          <w:highlight w:val="none"/>
          <w14:textFill>
            <w14:solidFill>
              <w14:schemeClr w14:val="tx1"/>
            </w14:solidFill>
          </w14:textFill>
        </w:rPr>
        <w:t>调价机制</w:t>
      </w:r>
      <w:bookmarkEnd w:id="513"/>
      <w:bookmarkEnd w:id="514"/>
      <w:bookmarkEnd w:id="515"/>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按合同条款执行。承包人应认真阅读合同，合理预计报价风险，中标后将不以承包人未正确理解或未合理预计风险为由要求增加任何费用。</w:t>
      </w:r>
    </w:p>
    <w:p>
      <w:pPr>
        <w:keepNext w:val="0"/>
        <w:keepLines w:val="0"/>
        <w:widowControl/>
        <w:suppressLineNumbers w:val="0"/>
        <w:adjustRightInd w:val="0"/>
        <w:snapToGrid w:val="0"/>
        <w:spacing w:before="0" w:beforeAutospacing="0" w:after="0" w:afterAutospacing="0" w:line="360" w:lineRule="auto"/>
        <w:ind w:left="0" w:right="0" w:firstLine="0" w:firstLineChars="0"/>
        <w:jc w:val="left"/>
        <w:outlineLvl w:val="0"/>
        <w:rPr>
          <w:rFonts w:hint="eastAsia" w:ascii="宋体" w:hAnsi="宋体" w:eastAsia="宋体" w:cs="宋体"/>
          <w:b/>
          <w:bCs w:val="0"/>
          <w:color w:val="000000" w:themeColor="text1"/>
          <w:kern w:val="44"/>
          <w:sz w:val="24"/>
          <w:szCs w:val="24"/>
          <w:highlight w:val="none"/>
          <w:lang w:eastAsia="zh-CN" w:bidi="ar"/>
          <w14:textFill>
            <w14:solidFill>
              <w14:schemeClr w14:val="tx1"/>
            </w14:solidFill>
          </w14:textFill>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0" w:firstLine="0"/>
        <w:jc w:val="left"/>
        <w:outlineLvl w:val="0"/>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cs="宋体"/>
          <w:b/>
          <w:bCs w:val="0"/>
          <w:color w:val="000000" w:themeColor="text1"/>
          <w:kern w:val="44"/>
          <w:sz w:val="24"/>
          <w:szCs w:val="24"/>
          <w:highlight w:val="none"/>
          <w:lang w:eastAsia="zh-CN" w:bidi="ar"/>
          <w14:textFill>
            <w14:solidFill>
              <w14:schemeClr w14:val="tx1"/>
            </w14:solidFill>
          </w14:textFill>
        </w:rPr>
        <w:t>十七、</w:t>
      </w:r>
      <w:r>
        <w:rPr>
          <w:rFonts w:hint="eastAsia" w:ascii="宋体" w:hAnsi="宋体" w:eastAsia="宋体" w:cs="宋体"/>
          <w:b/>
          <w:i w:val="0"/>
          <w:caps w:val="0"/>
          <w:color w:val="000000" w:themeColor="text1"/>
          <w:spacing w:val="0"/>
          <w:kern w:val="44"/>
          <w:sz w:val="24"/>
          <w:szCs w:val="24"/>
          <w:highlight w:val="none"/>
          <w:u w:val="none"/>
          <w:shd w:val="clear" w:fill="auto"/>
          <w:lang w:bidi="ar"/>
          <w14:textFill>
            <w14:solidFill>
              <w14:schemeClr w14:val="tx1"/>
            </w14:solidFill>
          </w14:textFill>
        </w:rPr>
        <w:t>施工现场建筑垃圾源头减量的具体要求和建筑垃圾综合利用产品的使用要求</w:t>
      </w:r>
      <w:bookmarkStart w:id="516" w:name="_Toc430930869"/>
      <w:bookmarkStart w:id="517" w:name="_Toc415070067"/>
      <w:bookmarkStart w:id="518" w:name="_Toc405383096"/>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1</w:t>
      </w: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工程施工单位应当编制建筑垃圾处理方案，采取污染防治措施，并在开工前报工程所在地县级人民政府建筑垃圾主管部门备案。建筑垃圾处理方案内容有调整的，应当及时报告接受备案的部门。建筑垃圾处理方案应当包括下列内容：（</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1</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）工程概况和施工单位基本信息；（</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2</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）建筑垃圾产生量与种类；（</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3</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）建筑垃圾源头减量、分类收集、综合利用、污染防治的措施和目标；（</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4</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）需要外运的建筑垃圾种类、数量与运输的时间、路线、方式和运输单位；（</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5</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）建筑垃圾回填、消纳、综合利用场所名称；（</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6</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）法律、法规规定的其他内容。</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2.</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建筑垃圾应当按照国家有关规定进行分类，实行分类收集、分类贮存、分类运输、分类处置。</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3.</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施工单位应开展建筑垃圾分类和合法装载，并及时向工程所在地县级人民政府建筑垃圾主管部门报送建筑垃圾处理方案。施工单位应当建立建筑垃圾管理台账，分类收集、贮存和及时清运施工过程中产生的建筑垃圾，采取有效措施防止混合已分类的建筑垃圾。工程施工单位应当将建筑垃圾的产生量与种类、清运时间、最终去向等信息在施工现场公示，接受社会监督。</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4.</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运输建筑垃圾应当遵守下列规定：（</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1</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）建立建筑垃圾运输管理台账；（</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2</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）不得将工程渣土、工程泥浆与其他建筑垃圾混合运输；（</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3</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）保持运输车辆、船舶等运输工具的行驶记录、卫星定位等电子装置正常使用；（</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4</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）运输过程中保持运输工具整洁，采取密闭或者其他有效措施防止遗撒建筑垃圾，不得擅自倾倒、抛撒建筑垃圾；（</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5</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）按照建筑垃圾处理方案确定的时间、路线、方式、场所进行运输。建筑垃圾运输车辆、船舶应当符合相应的载运技术条件。建筑垃圾处置场所为陆域的，不得采用开底式船舶运输建筑垃圾。</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5.</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工程泥浆应当在施工现场进行脱水固化处理。施工现场不具备条件的，应当采用罐装器具密闭运输至依法设置的建筑垃圾处置场所进行处置。水上工程中依法无需经脱水处理的除外。</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14:textFill>
            <w14:solidFill>
              <w14:schemeClr w14:val="tx1"/>
            </w14:solidFill>
          </w14:textFill>
        </w:rPr>
        <w:t xml:space="preserve">    6.</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建筑垃圾应当按照下列方式，优先就地就近利用：（</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1</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）工程渣土及脱水后的工程泥浆优先用于土方平衡、矿坑修复、环境治理、烧结制品及回填等；（</w:t>
      </w: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2</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）工程垃圾、拆除垃圾和装修垃圾优先用于生产再生骨料、再生砖、再生砌块、再生沥青混合料等建筑垃圾综合利用产品。具备现场综合利用条件的建设工程，应当进行建筑垃圾现场综合利用。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adjustRightInd w:val="0"/>
        <w:snapToGrid w:val="0"/>
        <w:spacing w:before="0" w:beforeAutospacing="0" w:after="0" w:afterAutospacing="0" w:line="360" w:lineRule="auto"/>
        <w:ind w:left="0" w:right="-50" w:firstLine="420"/>
        <w:jc w:val="both"/>
        <w:rPr>
          <w:rFonts w:hint="eastAsia" w:ascii="宋体" w:hAnsi="宋体" w:eastAsia="宋体" w:cs="宋体"/>
          <w:i w:val="0"/>
          <w:caps w:val="0"/>
          <w:color w:val="000000" w:themeColor="text1"/>
          <w:spacing w:val="0"/>
          <w:sz w:val="24"/>
          <w:szCs w:val="24"/>
          <w:highlight w:val="none"/>
          <w:u w:val="none"/>
          <w14:textFill>
            <w14:solidFill>
              <w14:schemeClr w14:val="tx1"/>
            </w14:solidFill>
          </w14:textFill>
        </w:rPr>
      </w:pPr>
      <w:r>
        <w:rPr>
          <w:rFonts w:hint="eastAsia" w:ascii="宋体" w:hAnsi="宋体" w:eastAsia="宋体" w:cs="宋体"/>
          <w:i w:val="0"/>
          <w:caps w:val="0"/>
          <w:color w:val="000000" w:themeColor="text1"/>
          <w:spacing w:val="0"/>
          <w:sz w:val="24"/>
          <w:szCs w:val="24"/>
          <w:highlight w:val="none"/>
          <w:u w:val="none"/>
          <w:shd w:val="clear" w:fill="FFFFFF"/>
          <w:lang w:val="en-US"/>
          <w14:textFill>
            <w14:solidFill>
              <w14:schemeClr w14:val="tx1"/>
            </w14:solidFill>
          </w14:textFill>
        </w:rPr>
        <w:t>1.7</w:t>
      </w:r>
      <w:r>
        <w:rPr>
          <w:rFonts w:hint="eastAsia" w:ascii="宋体" w:hAnsi="宋体" w:eastAsia="宋体" w:cs="宋体"/>
          <w:i w:val="0"/>
          <w:caps w:val="0"/>
          <w:color w:val="000000" w:themeColor="text1"/>
          <w:spacing w:val="0"/>
          <w:sz w:val="24"/>
          <w:szCs w:val="24"/>
          <w:highlight w:val="none"/>
          <w:u w:val="none"/>
          <w:shd w:val="clear" w:fill="FFFFFF"/>
          <w14:textFill>
            <w14:solidFill>
              <w14:schemeClr w14:val="tx1"/>
            </w14:solidFill>
          </w14:textFill>
        </w:rPr>
        <w:t>施工单位严格遵守并执行《广东省建筑垃圾管理条例》。</w:t>
      </w:r>
    </w:p>
    <w:p>
      <w:pPr>
        <w:keepNext w:val="0"/>
        <w:keepLines w:val="0"/>
        <w:widowControl/>
        <w:suppressLineNumbers w:val="0"/>
        <w:adjustRightInd w:val="0"/>
        <w:snapToGrid w:val="0"/>
        <w:spacing w:before="0" w:beforeAutospacing="0" w:after="0" w:afterAutospacing="0" w:line="360" w:lineRule="auto"/>
        <w:ind w:left="0" w:right="0" w:firstLine="0" w:firstLineChars="0"/>
        <w:jc w:val="left"/>
        <w:outlineLvl w:val="0"/>
        <w:rPr>
          <w:rFonts w:hint="eastAsia" w:ascii="宋体" w:hAnsi="宋体" w:eastAsia="宋体" w:cs="宋体"/>
          <w:b/>
          <w:bCs w:val="0"/>
          <w:color w:val="000000" w:themeColor="text1"/>
          <w:kern w:val="44"/>
          <w:sz w:val="24"/>
          <w:szCs w:val="24"/>
          <w:highlight w:val="none"/>
          <w:lang w:eastAsia="zh-CN" w:bidi="ar"/>
          <w14:textFill>
            <w14:solidFill>
              <w14:schemeClr w14:val="tx1"/>
            </w14:solidFill>
          </w14:textFill>
        </w:rPr>
      </w:pPr>
    </w:p>
    <w:p>
      <w:pPr>
        <w:keepNext w:val="0"/>
        <w:keepLines w:val="0"/>
        <w:widowControl/>
        <w:suppressLineNumbers w:val="0"/>
        <w:adjustRightInd w:val="0"/>
        <w:snapToGrid w:val="0"/>
        <w:spacing w:before="0" w:beforeAutospacing="0" w:after="0" w:afterAutospacing="0" w:line="360" w:lineRule="auto"/>
        <w:ind w:left="0" w:right="0" w:firstLine="0" w:firstLineChars="0"/>
        <w:jc w:val="left"/>
        <w:outlineLvl w:val="0"/>
        <w:rPr>
          <w:rFonts w:hint="eastAsia" w:ascii="宋体" w:hAnsi="宋体" w:eastAsia="宋体" w:cs="宋体"/>
          <w:b/>
          <w:bCs w:val="0"/>
          <w:color w:val="000000" w:themeColor="text1"/>
          <w:kern w:val="44"/>
          <w:sz w:val="24"/>
          <w:szCs w:val="24"/>
          <w:highlight w:val="none"/>
          <w:lang w:val="en-US" w:bidi="ar"/>
          <w14:textFill>
            <w14:solidFill>
              <w14:schemeClr w14:val="tx1"/>
            </w14:solidFill>
          </w14:textFill>
        </w:rPr>
      </w:pPr>
      <w:r>
        <w:rPr>
          <w:rFonts w:hint="eastAsia" w:ascii="宋体" w:hAnsi="宋体" w:cs="宋体"/>
          <w:b/>
          <w:bCs w:val="0"/>
          <w:color w:val="000000" w:themeColor="text1"/>
          <w:kern w:val="44"/>
          <w:sz w:val="24"/>
          <w:szCs w:val="24"/>
          <w:highlight w:val="none"/>
          <w:lang w:eastAsia="zh-CN" w:bidi="ar"/>
          <w14:textFill>
            <w14:solidFill>
              <w14:schemeClr w14:val="tx1"/>
            </w14:solidFill>
          </w14:textFill>
        </w:rPr>
        <w:t>十八、</w:t>
      </w:r>
      <w:r>
        <w:rPr>
          <w:rFonts w:hint="eastAsia" w:ascii="宋体" w:hAnsi="宋体" w:eastAsia="宋体" w:cs="宋体"/>
          <w:b/>
          <w:bCs w:val="0"/>
          <w:color w:val="000000" w:themeColor="text1"/>
          <w:kern w:val="44"/>
          <w:sz w:val="24"/>
          <w:szCs w:val="24"/>
          <w:highlight w:val="none"/>
          <w:lang w:val="en-US" w:eastAsia="zh-CN" w:bidi="ar"/>
          <w14:textFill>
            <w14:solidFill>
              <w14:schemeClr w14:val="tx1"/>
            </w14:solidFill>
          </w14:textFill>
        </w:rPr>
        <w:t>其它要求及相关提示</w:t>
      </w:r>
      <w:bookmarkEnd w:id="516"/>
      <w:bookmarkEnd w:id="517"/>
      <w:bookmarkEnd w:id="518"/>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color w:val="000000" w:themeColor="text1"/>
          <w:sz w:val="24"/>
          <w:szCs w:val="24"/>
          <w:highlight w:val="none"/>
          <w:lang w:val="en-US" w:bidi="ar"/>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1、投标人在报价时要充分考虑本工程的一切风险因素（如工程变更、工程费用调整因素、外部环境影响因素、招标人在招标时所提供的所有资料的完整性及准确性等），在投标报价时作出最优的方案和最合适、最有竞争力的报价。招标人所提供的一切招标资料予以公示。备标时投标人应对招标人提供的图纸、招标工程量清单等资料进行复核，对存在的异议或疑问，须按规定的时间提交书面意见，否则视为投标人同意招标资料的内容。针对招标文件的澄清或答疑招标人最迟在开标前十五天统一书面回复。中标后承包人对现场勘察的资料不作为竣工结算的依据。</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000000" w:themeColor="text1"/>
          <w:sz w:val="24"/>
          <w:szCs w:val="24"/>
          <w:highlight w:val="none"/>
          <w:lang w:val="en-US"/>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
          <w14:textFill>
            <w14:solidFill>
              <w14:schemeClr w14:val="tx1"/>
            </w14:solidFill>
          </w14:textFill>
        </w:rPr>
        <w:t>2、招标人提请投标人详细阅读和全面理解本招标文件和合同条款的内容，准确把握招标人对本建设项目的各项管理制度和要求，结合本企业的资源和实力，对本工程的投标作出最优的方案和最合适、最有竞争力的报价。</w:t>
      </w:r>
    </w:p>
    <w:p>
      <w:pPr>
        <w:pStyle w:val="4"/>
        <w:adjustRightInd w:val="0"/>
        <w:spacing w:before="156" w:after="156" w:line="360" w:lineRule="auto"/>
        <w:ind w:left="0" w:leftChars="0"/>
        <w:jc w:val="left"/>
        <w:rPr>
          <w:rFonts w:hint="eastAsia" w:ascii="宋体" w:hAnsi="宋体" w:eastAsia="宋体" w:cs="宋体"/>
          <w:bCs w:val="0"/>
          <w:color w:val="000000" w:themeColor="text1"/>
          <w:kern w:val="44"/>
          <w:szCs w:val="24"/>
          <w:highlight w:val="none"/>
          <w14:textFill>
            <w14:solidFill>
              <w14:schemeClr w14:val="tx1"/>
            </w14:solidFill>
          </w14:textFill>
        </w:rPr>
      </w:pPr>
      <w:bookmarkStart w:id="519" w:name="_Toc14165"/>
      <w:bookmarkStart w:id="520" w:name="_Toc3740"/>
      <w:bookmarkStart w:id="521" w:name="_Toc15930"/>
    </w:p>
    <w:p>
      <w:pPr>
        <w:pStyle w:val="4"/>
        <w:adjustRightInd w:val="0"/>
        <w:spacing w:before="156" w:after="156" w:line="360" w:lineRule="auto"/>
        <w:ind w:left="0" w:leftChars="0"/>
        <w:jc w:val="left"/>
        <w:rPr>
          <w:rFonts w:hint="eastAsia" w:ascii="宋体" w:hAnsi="宋体" w:eastAsia="宋体" w:cs="宋体"/>
          <w:bCs w:val="0"/>
          <w:color w:val="000000" w:themeColor="text1"/>
          <w:kern w:val="44"/>
          <w:szCs w:val="24"/>
          <w:highlight w:val="none"/>
          <w14:textFill>
            <w14:solidFill>
              <w14:schemeClr w14:val="tx1"/>
            </w14:solidFill>
          </w14:textFill>
        </w:rPr>
      </w:pPr>
      <w:r>
        <w:rPr>
          <w:rFonts w:hint="eastAsia" w:ascii="宋体" w:hAnsi="宋体" w:eastAsia="宋体" w:cs="宋体"/>
          <w:bCs w:val="0"/>
          <w:color w:val="000000" w:themeColor="text1"/>
          <w:kern w:val="44"/>
          <w:szCs w:val="24"/>
          <w:highlight w:val="none"/>
          <w14:textFill>
            <w14:solidFill>
              <w14:schemeClr w14:val="tx1"/>
            </w14:solidFill>
          </w14:textFill>
        </w:rPr>
        <w:t>十九、施工组织设计要点</w:t>
      </w:r>
      <w:bookmarkEnd w:id="519"/>
      <w:bookmarkEnd w:id="520"/>
      <w:bookmarkEnd w:id="521"/>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由承包人有针对性的描述，各部分文字直接简炼，不得出现大量宣传性及无实质性意义或直接引用范本照搬照套的文字。</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施工组织设计包括但不限于以下方面内容：</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（一）工程概况</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（二）项目实施条件分析</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（三）项目管理目标</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（四）项目组织结构</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（五）现场管理和施工总平面图</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（六）施工部署和施工准备工作</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1、项目管理总体安排；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2、施工和管理人员的准备和拟投入的最高人数和平均人数；</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3、施工现场准备和施工程序；</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4、施工准备工作组织和时间安排。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（七）专项施工方案</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（八）施工技术组织措施计划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1、施工总进度计划和单项工程施工进度计划。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2、保证进度的措施；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3、保证质量的措施；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4、安全文明施工保证措施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5、保证环境的措施；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6、成品保护措施。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以上各项措施应包括技术措施、组织措施、经济措施及合同措施。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（九）资源供应保障计划；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1、劳动力需求计划；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2、主要材料和周转材料需求计划；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3、主要机械设备及大型工具、器具需求计划；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4、资金使用计划；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5、材料设备供应保障措施。</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（十）</w:t>
      </w:r>
      <w:r>
        <w:rPr>
          <w:rFonts w:hint="eastAsia" w:ascii="宋体" w:hAnsi="宋体" w:eastAsia="宋体" w:cs="宋体"/>
          <w:color w:val="000000" w:themeColor="text1"/>
          <w:sz w:val="24"/>
          <w:szCs w:val="24"/>
          <w:highlight w:val="none"/>
          <w14:textFill>
            <w14:solidFill>
              <w14:schemeClr w14:val="tx1"/>
            </w14:solidFill>
          </w14:textFill>
        </w:rPr>
        <w:tab/>
      </w:r>
      <w:r>
        <w:rPr>
          <w:rFonts w:hint="eastAsia" w:ascii="宋体" w:hAnsi="宋体" w:eastAsia="宋体" w:cs="宋体"/>
          <w:color w:val="000000" w:themeColor="text1"/>
          <w:sz w:val="24"/>
          <w:szCs w:val="24"/>
          <w:highlight w:val="none"/>
          <w14:textFill>
            <w14:solidFill>
              <w14:schemeClr w14:val="tx1"/>
            </w14:solidFill>
          </w14:textFill>
        </w:rPr>
        <w:t>应急预案</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结合项目特点，分析辨识危险源（包括安全风险、因不可抗力影响进度的风险等），预测可能出现的险情及紧急情况，并有针对性的提出相应的应急预案，该应急预案应明确应急领导小组成员名单及分工，应急抢险材料、物资、机械设备（包括备品、备件等）的准备和保证措施等。</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（十一）信息管理</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1、与项目组织相适应的信息流通系统；</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2、与招标人的项目信息管理处理系统软硬件相配套的资源配置；</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3、信息管理实施规划。</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（十二）竣工验收组织方案、竣工资料整理移交及竣工备案工作方案、竣工结算组织方案。</w:t>
      </w:r>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（十三）其他。</w:t>
      </w:r>
    </w:p>
    <w:p>
      <w:pPr>
        <w:pStyle w:val="7"/>
        <w:spacing w:line="360" w:lineRule="auto"/>
        <w:rPr>
          <w:rFonts w:hint="eastAsia" w:ascii="宋体" w:hAnsi="宋体" w:cs="宋体"/>
          <w:color w:val="000000" w:themeColor="text1"/>
          <w:sz w:val="24"/>
          <w:szCs w:val="24"/>
          <w:highlight w:val="none"/>
          <w14:textFill>
            <w14:solidFill>
              <w14:schemeClr w14:val="tx1"/>
            </w14:solidFill>
          </w14:textFill>
        </w:rPr>
      </w:pPr>
    </w:p>
    <w:p>
      <w:pPr>
        <w:pStyle w:val="4"/>
        <w:adjustRightInd w:val="0"/>
        <w:spacing w:before="156" w:after="156" w:line="360" w:lineRule="auto"/>
        <w:ind w:left="0" w:leftChars="0"/>
        <w:jc w:val="left"/>
        <w:rPr>
          <w:rFonts w:hint="eastAsia" w:ascii="宋体" w:hAnsi="宋体" w:eastAsia="宋体" w:cs="宋体"/>
          <w:bCs w:val="0"/>
          <w:color w:val="000000" w:themeColor="text1"/>
          <w:kern w:val="44"/>
          <w:szCs w:val="24"/>
          <w:highlight w:val="none"/>
          <w14:textFill>
            <w14:solidFill>
              <w14:schemeClr w14:val="tx1"/>
            </w14:solidFill>
          </w14:textFill>
        </w:rPr>
      </w:pPr>
      <w:bookmarkStart w:id="522" w:name="_Toc6654"/>
      <w:bookmarkStart w:id="523" w:name="_Toc16965"/>
      <w:bookmarkStart w:id="524" w:name="_Toc16298"/>
      <w:r>
        <w:rPr>
          <w:rFonts w:hint="eastAsia" w:ascii="宋体" w:hAnsi="宋体" w:eastAsia="宋体" w:cs="宋体"/>
          <w:bCs w:val="0"/>
          <w:color w:val="000000" w:themeColor="text1"/>
          <w:kern w:val="44"/>
          <w:szCs w:val="24"/>
          <w:highlight w:val="none"/>
          <w14:textFill>
            <w14:solidFill>
              <w14:schemeClr w14:val="tx1"/>
            </w14:solidFill>
          </w14:textFill>
        </w:rPr>
        <w:t>二十、其他注意事项</w:t>
      </w:r>
      <w:bookmarkEnd w:id="522"/>
      <w:bookmarkEnd w:id="523"/>
      <w:bookmarkEnd w:id="524"/>
    </w:p>
    <w:p>
      <w:pPr>
        <w:adjustRightInd w:val="0"/>
        <w:snapToGrid w:val="0"/>
        <w:spacing w:line="360" w:lineRule="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中标单位在合同实施过程中，如违约或有不良行为或不规范行为，或与招标人产生合同纠纷（仲裁或诉讼）的，招标人将上报建设行政主管部门，同时招标人有权在后续施工招标项目中拒绝其投标。</w:t>
      </w:r>
    </w:p>
    <w:p>
      <w:pPr>
        <w:pStyle w:val="7"/>
        <w:spacing w:line="360" w:lineRule="auto"/>
        <w:ind w:firstLine="0"/>
        <w:rPr>
          <w:rFonts w:hint="eastAsia" w:ascii="宋体" w:hAnsi="宋体" w:cs="宋体"/>
          <w:color w:val="000000" w:themeColor="text1"/>
          <w:sz w:val="24"/>
          <w:szCs w:val="24"/>
          <w:highlight w:val="none"/>
          <w14:textFill>
            <w14:solidFill>
              <w14:schemeClr w14:val="tx1"/>
            </w14:solidFill>
          </w14:textFill>
        </w:rPr>
      </w:pPr>
    </w:p>
    <w:p>
      <w:pPr>
        <w:adjustRightInd w:val="0"/>
        <w:snapToGrid w:val="0"/>
        <w:spacing w:line="360" w:lineRule="auto"/>
        <w:outlineLvl w:val="0"/>
        <w:rPr>
          <w:rFonts w:hint="eastAsia" w:ascii="宋体" w:hAnsi="宋体" w:eastAsia="宋体" w:cs="宋体"/>
          <w:color w:val="000000" w:themeColor="text1"/>
          <w:sz w:val="24"/>
          <w:szCs w:val="24"/>
          <w:highlight w:val="none"/>
          <w14:textFill>
            <w14:solidFill>
              <w14:schemeClr w14:val="tx1"/>
            </w14:solidFill>
          </w14:textFill>
        </w:rPr>
      </w:pPr>
      <w:bookmarkStart w:id="525" w:name="_Toc26088"/>
      <w:bookmarkStart w:id="526" w:name="_Toc17456"/>
      <w:bookmarkStart w:id="527" w:name="_Toc25694"/>
      <w:r>
        <w:rPr>
          <w:rFonts w:hint="eastAsia" w:ascii="宋体" w:hAnsi="宋体" w:eastAsia="宋体" w:cs="宋体"/>
          <w:color w:val="000000" w:themeColor="text1"/>
          <w:sz w:val="24"/>
          <w:szCs w:val="24"/>
          <w:highlight w:val="none"/>
          <w14:textFill>
            <w14:solidFill>
              <w14:schemeClr w14:val="tx1"/>
            </w14:solidFill>
          </w14:textFill>
        </w:rPr>
        <w:t>附表1：施工进度计划表</w:t>
      </w:r>
      <w:bookmarkEnd w:id="525"/>
      <w:bookmarkEnd w:id="526"/>
      <w:bookmarkEnd w:id="527"/>
    </w:p>
    <w:p>
      <w:pPr>
        <w:pStyle w:val="29"/>
        <w:ind w:firstLine="0" w:firstLineChars="0"/>
        <w:rPr>
          <w:rFonts w:hint="eastAsia" w:ascii="宋体" w:hAnsi="宋体" w:cs="宋体"/>
          <w:color w:val="000000" w:themeColor="text1"/>
          <w:highlight w:val="none"/>
          <w14:textFill>
            <w14:solidFill>
              <w14:schemeClr w14:val="tx1"/>
            </w14:solidFill>
          </w14:textFill>
        </w:rPr>
      </w:pPr>
    </w:p>
    <w:p>
      <w:pPr>
        <w:pStyle w:val="25"/>
        <w:rPr>
          <w:rFonts w:hint="eastAsia" w:ascii="宋体" w:hAnsi="宋体" w:eastAsia="宋体" w:cs="宋体"/>
          <w:b w:val="0"/>
          <w:color w:val="000000" w:themeColor="text1"/>
          <w:highlight w:val="none"/>
          <w14:textFill>
            <w14:solidFill>
              <w14:schemeClr w14:val="tx1"/>
            </w14:solidFill>
          </w14:textFill>
        </w:rPr>
      </w:pPr>
      <w:r>
        <w:rPr>
          <w:rFonts w:hint="eastAsia" w:ascii="宋体" w:hAnsi="宋体" w:eastAsia="宋体" w:cs="宋体"/>
          <w:b w:val="0"/>
          <w:color w:val="000000" w:themeColor="text1"/>
          <w:highlight w:val="none"/>
          <w14:textFill>
            <w14:solidFill>
              <w14:schemeClr w14:val="tx1"/>
            </w14:solidFill>
          </w14:textFill>
        </w:rPr>
        <w:t>施工进度计划表</w:t>
      </w:r>
    </w:p>
    <w:tbl>
      <w:tblPr>
        <w:tblStyle w:val="18"/>
        <w:tblW w:w="8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1439"/>
        <w:gridCol w:w="778"/>
        <w:gridCol w:w="639"/>
        <w:gridCol w:w="689"/>
        <w:gridCol w:w="479"/>
        <w:gridCol w:w="479"/>
        <w:gridCol w:w="479"/>
        <w:gridCol w:w="479"/>
        <w:gridCol w:w="479"/>
        <w:gridCol w:w="479"/>
        <w:gridCol w:w="479"/>
        <w:gridCol w:w="479"/>
        <w:gridCol w:w="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575" w:type="dxa"/>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序号</w:t>
            </w:r>
          </w:p>
        </w:tc>
        <w:tc>
          <w:tcPr>
            <w:tcW w:w="1439" w:type="dxa"/>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工程项目</w:t>
            </w:r>
          </w:p>
        </w:tc>
        <w:tc>
          <w:tcPr>
            <w:tcW w:w="778" w:type="dxa"/>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工程量</w:t>
            </w:r>
          </w:p>
        </w:tc>
        <w:tc>
          <w:tcPr>
            <w:tcW w:w="639" w:type="dxa"/>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开工时间</w:t>
            </w:r>
          </w:p>
        </w:tc>
        <w:tc>
          <w:tcPr>
            <w:tcW w:w="689" w:type="dxa"/>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完工时间</w:t>
            </w:r>
          </w:p>
        </w:tc>
        <w:tc>
          <w:tcPr>
            <w:tcW w:w="4317" w:type="dxa"/>
            <w:gridSpan w:val="9"/>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进度计划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575"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143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778"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63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68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317" w:type="dxa"/>
            <w:gridSpan w:val="9"/>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20</w:t>
            </w:r>
            <w:r>
              <w:rPr>
                <w:rFonts w:hint="eastAsia" w:cs="宋体"/>
                <w:color w:val="000000" w:themeColor="text1"/>
                <w:highlight w:val="none"/>
                <w:u w:val="single"/>
                <w14:textFill>
                  <w14:solidFill>
                    <w14:schemeClr w14:val="tx1"/>
                  </w14:solidFill>
                </w14:textFill>
              </w:rPr>
              <w:t xml:space="preserve">   </w:t>
            </w:r>
            <w:r>
              <w:rPr>
                <w:rFonts w:hint="eastAsia" w:cs="宋体"/>
                <w:color w:val="000000" w:themeColor="text1"/>
                <w:highlight w:val="none"/>
                <w14:textFill>
                  <w14:solidFill>
                    <w14:schemeClr w14:val="tx1"/>
                  </w14:solidFill>
                </w14:textFill>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2" w:hRule="atLeast"/>
        </w:trPr>
        <w:tc>
          <w:tcPr>
            <w:tcW w:w="575"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143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778"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63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689" w:type="dxa"/>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1</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r>
              <w:rPr>
                <w:rFonts w:hint="eastAsia" w:cs="宋体"/>
                <w:color w:val="000000" w:themeColor="text1"/>
                <w:sz w:val="18"/>
                <w:szCs w:val="18"/>
                <w:highlight w:val="none"/>
                <w14:textFill>
                  <w14:solidFill>
                    <w14:schemeClr w14:val="tx1"/>
                  </w14:solidFill>
                </w14:textFill>
              </w:rPr>
              <w:t>施工准备</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2</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r>
              <w:rPr>
                <w:rFonts w:hint="eastAsia" w:cs="宋体"/>
                <w:color w:val="000000" w:themeColor="text1"/>
                <w:sz w:val="18"/>
                <w:szCs w:val="18"/>
                <w:highlight w:val="none"/>
                <w14:textFill>
                  <w14:solidFill>
                    <w14:schemeClr w14:val="tx1"/>
                  </w14:solidFill>
                </w14:textFill>
              </w:rPr>
              <w:t>……工程</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3</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r>
              <w:rPr>
                <w:rFonts w:hint="eastAsia" w:cs="宋体"/>
                <w:color w:val="000000" w:themeColor="text1"/>
                <w:sz w:val="18"/>
                <w:szCs w:val="18"/>
                <w:highlight w:val="none"/>
                <w14:textFill>
                  <w14:solidFill>
                    <w14:schemeClr w14:val="tx1"/>
                  </w14:solidFill>
                </w14:textFill>
              </w:rPr>
              <w:t>……工程</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4</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r>
              <w:rPr>
                <w:rFonts w:hint="eastAsia" w:cs="宋体"/>
                <w:color w:val="000000" w:themeColor="text1"/>
                <w:sz w:val="18"/>
                <w:szCs w:val="18"/>
                <w:highlight w:val="none"/>
                <w14:textFill>
                  <w14:solidFill>
                    <w14:schemeClr w14:val="tx1"/>
                  </w14:solidFill>
                </w14:textFill>
              </w:rPr>
              <w:t>……工程</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5</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r>
              <w:rPr>
                <w:rFonts w:hint="eastAsia" w:cs="宋体"/>
                <w:color w:val="000000" w:themeColor="text1"/>
                <w:sz w:val="18"/>
                <w:szCs w:val="18"/>
                <w:highlight w:val="none"/>
                <w14:textFill>
                  <w14:solidFill>
                    <w14:schemeClr w14:val="tx1"/>
                  </w14:solidFill>
                </w14:textFill>
              </w:rPr>
              <w:t>……工程</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6</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7</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8</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9</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10</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11</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8"/>
                <w:szCs w:val="18"/>
                <w:highlight w:val="none"/>
                <w14:textFill>
                  <w14:solidFill>
                    <w14:schemeClr w14:val="tx1"/>
                  </w14:solidFill>
                </w14:textFill>
              </w:rPr>
            </w:pP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exact"/>
        </w:trPr>
        <w:tc>
          <w:tcPr>
            <w:tcW w:w="57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12</w:t>
            </w:r>
          </w:p>
        </w:tc>
        <w:tc>
          <w:tcPr>
            <w:tcW w:w="14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15"/>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w:t>
            </w:r>
          </w:p>
        </w:tc>
        <w:tc>
          <w:tcPr>
            <w:tcW w:w="77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8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7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485"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bl>
    <w:p>
      <w:pPr>
        <w:pStyle w:val="29"/>
        <w:ind w:firstLine="230" w:firstLineChars="80"/>
        <w:outlineLvl w:val="0"/>
        <w:rPr>
          <w:rFonts w:hint="eastAsia" w:ascii="宋体" w:hAnsi="宋体" w:eastAsia="宋体" w:cs="宋体"/>
          <w:color w:val="000000" w:themeColor="text1"/>
          <w:sz w:val="28"/>
          <w:szCs w:val="28"/>
          <w:highlight w:val="none"/>
          <w14:textFill>
            <w14:solidFill>
              <w14:schemeClr w14:val="tx1"/>
            </w14:solidFill>
          </w14:textFill>
        </w:rPr>
      </w:pPr>
      <w:bookmarkStart w:id="528" w:name="_Toc819"/>
      <w:bookmarkStart w:id="529" w:name="_Toc16189"/>
      <w:bookmarkStart w:id="530" w:name="_Toc3011"/>
      <w:r>
        <w:rPr>
          <w:rFonts w:hint="eastAsia" w:ascii="宋体" w:hAnsi="宋体" w:eastAsia="宋体" w:cs="宋体"/>
          <w:color w:val="000000" w:themeColor="text1"/>
          <w:sz w:val="28"/>
          <w:szCs w:val="28"/>
          <w:highlight w:val="none"/>
          <w14:textFill>
            <w14:solidFill>
              <w14:schemeClr w14:val="tx1"/>
            </w14:solidFill>
          </w14:textFill>
        </w:rPr>
        <w:t>附表2：投入劳动力计划表</w:t>
      </w:r>
      <w:bookmarkEnd w:id="528"/>
      <w:bookmarkEnd w:id="529"/>
      <w:bookmarkEnd w:id="530"/>
    </w:p>
    <w:p>
      <w:pPr>
        <w:pStyle w:val="25"/>
        <w:rPr>
          <w:rFonts w:hint="eastAsia" w:ascii="宋体" w:hAnsi="宋体" w:eastAsia="宋体" w:cs="宋体"/>
          <w:b w:val="0"/>
          <w:color w:val="000000" w:themeColor="text1"/>
          <w:highlight w:val="none"/>
          <w14:textFill>
            <w14:solidFill>
              <w14:schemeClr w14:val="tx1"/>
            </w14:solidFill>
          </w14:textFill>
        </w:rPr>
      </w:pPr>
      <w:r>
        <w:rPr>
          <w:rFonts w:hint="eastAsia" w:ascii="宋体" w:hAnsi="宋体" w:eastAsia="宋体" w:cs="宋体"/>
          <w:b w:val="0"/>
          <w:color w:val="000000" w:themeColor="text1"/>
          <w:highlight w:val="none"/>
          <w14:textFill>
            <w14:solidFill>
              <w14:schemeClr w14:val="tx1"/>
            </w14:solidFill>
          </w14:textFill>
        </w:rPr>
        <w:t>投入劳动力计划表</w:t>
      </w:r>
    </w:p>
    <w:tbl>
      <w:tblPr>
        <w:tblStyle w:val="18"/>
        <w:tblW w:w="83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639"/>
        <w:gridCol w:w="1276"/>
        <w:gridCol w:w="1007"/>
        <w:gridCol w:w="1008"/>
        <w:gridCol w:w="1007"/>
        <w:gridCol w:w="1008"/>
        <w:gridCol w:w="1007"/>
        <w:gridCol w:w="1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413" w:type="dxa"/>
            <w:vMerge w:val="restart"/>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序号</w:t>
            </w:r>
          </w:p>
        </w:tc>
        <w:tc>
          <w:tcPr>
            <w:tcW w:w="639" w:type="dxa"/>
            <w:vMerge w:val="restart"/>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工种</w:t>
            </w:r>
          </w:p>
        </w:tc>
        <w:tc>
          <w:tcPr>
            <w:tcW w:w="1276" w:type="dxa"/>
            <w:vMerge w:val="restart"/>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投入总数量</w:t>
            </w:r>
          </w:p>
        </w:tc>
        <w:tc>
          <w:tcPr>
            <w:tcW w:w="6050" w:type="dxa"/>
            <w:gridSpan w:val="6"/>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进场计划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41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050" w:type="dxa"/>
            <w:gridSpan w:val="6"/>
            <w:tcBorders>
              <w:bottom w:val="nil"/>
            </w:tcBorders>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20</w:t>
            </w:r>
            <w:r>
              <w:rPr>
                <w:rFonts w:hint="eastAsia" w:cs="宋体"/>
                <w:color w:val="000000" w:themeColor="text1"/>
                <w:highlight w:val="none"/>
                <w:u w:val="single"/>
                <w14:textFill>
                  <w14:solidFill>
                    <w14:schemeClr w14:val="tx1"/>
                  </w14:solidFill>
                </w14:textFill>
              </w:rPr>
              <w:t xml:space="preserve">    </w:t>
            </w:r>
            <w:r>
              <w:rPr>
                <w:rFonts w:hint="eastAsia" w:cs="宋体"/>
                <w:color w:val="000000" w:themeColor="text1"/>
                <w:highlight w:val="none"/>
                <w14:textFill>
                  <w14:solidFill>
                    <w14:schemeClr w14:val="tx1"/>
                  </w14:solidFill>
                </w14:textFill>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3" w:hRule="atLeast"/>
        </w:trPr>
        <w:tc>
          <w:tcPr>
            <w:tcW w:w="41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639"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tcBorders>
              <w:top w:val="single" w:color="auto" w:sz="4" w:space="0"/>
            </w:tcBorders>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c>
          <w:tcPr>
            <w:tcW w:w="1008"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c>
          <w:tcPr>
            <w:tcW w:w="1007"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c>
          <w:tcPr>
            <w:tcW w:w="1008"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c>
          <w:tcPr>
            <w:tcW w:w="1007"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c>
          <w:tcPr>
            <w:tcW w:w="1013"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1</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2</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3</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4</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5</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6</w:t>
            </w:r>
          </w:p>
        </w:tc>
        <w:tc>
          <w:tcPr>
            <w:tcW w:w="63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w:t>
            </w:r>
          </w:p>
        </w:tc>
        <w:tc>
          <w:tcPr>
            <w:tcW w:w="127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0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13"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bl>
    <w:p>
      <w:pPr>
        <w:pStyle w:val="40"/>
        <w:rPr>
          <w:rFonts w:hint="eastAsia"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注：本表后应附投入劳动力计划柱状图。</w:t>
      </w:r>
    </w:p>
    <w:p>
      <w:pPr>
        <w:pStyle w:val="29"/>
        <w:ind w:firstLine="496"/>
        <w:rPr>
          <w:rFonts w:hint="eastAsia" w:ascii="宋体" w:hAnsi="宋体" w:eastAsia="宋体" w:cs="宋体"/>
          <w:color w:val="000000" w:themeColor="text1"/>
          <w:highlight w:val="none"/>
          <w14:textFill>
            <w14:solidFill>
              <w14:schemeClr w14:val="tx1"/>
            </w14:solidFill>
          </w14:textFill>
        </w:rPr>
      </w:pPr>
    </w:p>
    <w:p>
      <w:pPr>
        <w:pStyle w:val="29"/>
        <w:ind w:firstLine="199" w:firstLineChars="80"/>
        <w:outlineLvl w:val="0"/>
        <w:rPr>
          <w:rFonts w:hint="eastAsia" w:ascii="宋体" w:hAnsi="宋体" w:eastAsia="宋体" w:cs="宋体"/>
          <w:b/>
          <w:color w:val="000000" w:themeColor="text1"/>
          <w:highlight w:val="none"/>
          <w14:textFill>
            <w14:solidFill>
              <w14:schemeClr w14:val="tx1"/>
            </w14:solidFill>
          </w14:textFill>
        </w:rPr>
      </w:pPr>
      <w:bookmarkStart w:id="531" w:name="_Toc1321"/>
      <w:bookmarkStart w:id="532" w:name="_Toc20614"/>
      <w:bookmarkStart w:id="533" w:name="_Toc3114"/>
    </w:p>
    <w:p>
      <w:pPr>
        <w:pStyle w:val="29"/>
        <w:ind w:firstLine="198" w:firstLineChars="80"/>
        <w:outlineLvl w:val="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附表3：主要材料</w:t>
      </w:r>
      <w:bookmarkStart w:id="534" w:name="_Toc484958726"/>
      <w:r>
        <w:rPr>
          <w:rFonts w:hint="eastAsia" w:ascii="宋体" w:hAnsi="宋体" w:eastAsia="宋体" w:cs="宋体"/>
          <w:color w:val="000000" w:themeColor="text1"/>
          <w:sz w:val="24"/>
          <w:szCs w:val="24"/>
          <w:highlight w:val="none"/>
          <w14:textFill>
            <w14:solidFill>
              <w14:schemeClr w14:val="tx1"/>
            </w14:solidFill>
          </w14:textFill>
        </w:rPr>
        <w:t>、设备采购计划表</w:t>
      </w:r>
      <w:bookmarkEnd w:id="531"/>
      <w:bookmarkEnd w:id="532"/>
      <w:bookmarkEnd w:id="533"/>
    </w:p>
    <w:p>
      <w:pPr>
        <w:pStyle w:val="25"/>
        <w:rPr>
          <w:rFonts w:hint="eastAsia" w:ascii="宋体" w:hAnsi="宋体" w:eastAsia="宋体" w:cs="宋体"/>
          <w:b w:val="0"/>
          <w:color w:val="000000" w:themeColor="text1"/>
          <w:highlight w:val="none"/>
          <w14:textFill>
            <w14:solidFill>
              <w14:schemeClr w14:val="tx1"/>
            </w14:solidFill>
          </w14:textFill>
        </w:rPr>
      </w:pPr>
      <w:r>
        <w:rPr>
          <w:rFonts w:hint="eastAsia" w:ascii="宋体" w:hAnsi="宋体" w:eastAsia="宋体" w:cs="宋体"/>
          <w:b w:val="0"/>
          <w:color w:val="000000" w:themeColor="text1"/>
          <w:sz w:val="24"/>
          <w:szCs w:val="24"/>
          <w:highlight w:val="none"/>
          <w14:textFill>
            <w14:solidFill>
              <w14:schemeClr w14:val="tx1"/>
            </w14:solidFill>
          </w14:textFill>
        </w:rPr>
        <w:t>主要材料设备</w:t>
      </w:r>
      <w:bookmarkEnd w:id="534"/>
      <w:r>
        <w:rPr>
          <w:rFonts w:hint="eastAsia" w:ascii="宋体" w:hAnsi="宋体" w:eastAsia="宋体" w:cs="宋体"/>
          <w:b w:val="0"/>
          <w:color w:val="000000" w:themeColor="text1"/>
          <w:sz w:val="24"/>
          <w:szCs w:val="24"/>
          <w:highlight w:val="none"/>
          <w14:textFill>
            <w14:solidFill>
              <w14:schemeClr w14:val="tx1"/>
            </w14:solidFill>
          </w14:textFill>
        </w:rPr>
        <w:t>采购计划表</w:t>
      </w:r>
    </w:p>
    <w:tbl>
      <w:tblPr>
        <w:tblStyle w:val="18"/>
        <w:tblW w:w="84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564"/>
        <w:gridCol w:w="683"/>
        <w:gridCol w:w="732"/>
        <w:gridCol w:w="882"/>
        <w:gridCol w:w="1540"/>
        <w:gridCol w:w="1293"/>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477"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序号</w:t>
            </w:r>
          </w:p>
        </w:tc>
        <w:tc>
          <w:tcPr>
            <w:tcW w:w="1564"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材料设备名称</w:t>
            </w:r>
          </w:p>
        </w:tc>
        <w:tc>
          <w:tcPr>
            <w:tcW w:w="683"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规格型号</w:t>
            </w:r>
          </w:p>
        </w:tc>
        <w:tc>
          <w:tcPr>
            <w:tcW w:w="732"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计量单位</w:t>
            </w:r>
          </w:p>
        </w:tc>
        <w:tc>
          <w:tcPr>
            <w:tcW w:w="882"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暂定数量</w:t>
            </w:r>
          </w:p>
        </w:tc>
        <w:tc>
          <w:tcPr>
            <w:tcW w:w="1540"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采购合同签订时间</w:t>
            </w:r>
          </w:p>
        </w:tc>
        <w:tc>
          <w:tcPr>
            <w:tcW w:w="1293"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到货时间</w:t>
            </w:r>
          </w:p>
        </w:tc>
        <w:tc>
          <w:tcPr>
            <w:tcW w:w="1305" w:type="dxa"/>
            <w:noWrap w:val="0"/>
            <w:vAlign w:val="center"/>
          </w:tcPr>
          <w:p>
            <w:pPr>
              <w:keepNext w:val="0"/>
              <w:keepLines w:val="0"/>
              <w:suppressLineNumbers w:val="0"/>
              <w:adjustRightInd w:val="0"/>
              <w:snapToGrid w:val="0"/>
              <w:spacing w:before="0" w:beforeAutospacing="0" w:after="0" w:afterAutospacing="0" w:line="360" w:lineRule="auto"/>
              <w:ind w:left="0" w:right="11"/>
              <w:jc w:val="center"/>
              <w:rPr>
                <w:rFonts w:hint="default"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477"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64"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68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73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882"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540"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293"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c>
          <w:tcPr>
            <w:tcW w:w="1305" w:type="dxa"/>
            <w:noWrap w:val="0"/>
            <w:vAlign w:val="top"/>
          </w:tcPr>
          <w:p>
            <w:pPr>
              <w:keepNext w:val="0"/>
              <w:keepLines w:val="0"/>
              <w:suppressLineNumbers w:val="0"/>
              <w:adjustRightInd w:val="0"/>
              <w:snapToGrid w:val="0"/>
              <w:spacing w:before="0" w:beforeAutospacing="0" w:after="0" w:afterAutospacing="0" w:line="360" w:lineRule="auto"/>
              <w:ind w:left="0" w:right="11"/>
              <w:rPr>
                <w:rFonts w:hint="default" w:ascii="宋体" w:hAnsi="宋体" w:cs="宋体"/>
                <w:snapToGrid w:val="0"/>
                <w:color w:val="000000" w:themeColor="text1"/>
                <w:szCs w:val="21"/>
                <w:highlight w:val="none"/>
                <w14:textFill>
                  <w14:solidFill>
                    <w14:schemeClr w14:val="tx1"/>
                  </w14:solidFill>
                </w14:textFill>
              </w:rPr>
            </w:pPr>
          </w:p>
        </w:tc>
      </w:tr>
    </w:tbl>
    <w:p>
      <w:pPr>
        <w:pStyle w:val="40"/>
        <w:rPr>
          <w:rFonts w:hint="eastAsia" w:cs="宋体"/>
          <w:color w:val="000000" w:themeColor="text1"/>
          <w:highlight w:val="none"/>
          <w14:textFill>
            <w14:solidFill>
              <w14:schemeClr w14:val="tx1"/>
            </w14:solidFill>
          </w14:textFill>
        </w:rPr>
      </w:pPr>
    </w:p>
    <w:p>
      <w:pPr>
        <w:pStyle w:val="40"/>
        <w:rPr>
          <w:rFonts w:hint="eastAsia" w:cs="宋体"/>
          <w:color w:val="000000" w:themeColor="text1"/>
          <w:highlight w:val="none"/>
          <w14:textFill>
            <w14:solidFill>
              <w14:schemeClr w14:val="tx1"/>
            </w14:solidFill>
          </w14:textFill>
        </w:rPr>
      </w:pPr>
    </w:p>
    <w:p>
      <w:pPr>
        <w:pStyle w:val="40"/>
        <w:rPr>
          <w:rFonts w:hint="eastAsia" w:cs="宋体"/>
          <w:color w:val="000000" w:themeColor="text1"/>
          <w:highlight w:val="none"/>
          <w14:textFill>
            <w14:solidFill>
              <w14:schemeClr w14:val="tx1"/>
            </w14:solidFill>
          </w14:textFill>
        </w:rPr>
      </w:pPr>
    </w:p>
    <w:p>
      <w:pPr>
        <w:pStyle w:val="40"/>
        <w:rPr>
          <w:rFonts w:hint="eastAsia" w:cs="宋体"/>
          <w:color w:val="000000" w:themeColor="text1"/>
          <w:highlight w:val="none"/>
          <w14:textFill>
            <w14:solidFill>
              <w14:schemeClr w14:val="tx1"/>
            </w14:solidFill>
          </w14:textFill>
        </w:rPr>
      </w:pPr>
    </w:p>
    <w:p>
      <w:pPr>
        <w:pStyle w:val="40"/>
        <w:rPr>
          <w:rFonts w:hint="eastAsia" w:cs="宋体"/>
          <w:color w:val="000000" w:themeColor="text1"/>
          <w:highlight w:val="none"/>
          <w14:textFill>
            <w14:solidFill>
              <w14:schemeClr w14:val="tx1"/>
            </w14:solidFill>
          </w14:textFill>
        </w:rPr>
      </w:pPr>
    </w:p>
    <w:p>
      <w:pPr>
        <w:pStyle w:val="41"/>
        <w:spacing w:before="156"/>
        <w:outlineLvl w:val="0"/>
        <w:rPr>
          <w:rFonts w:hint="eastAsia" w:ascii="宋体" w:eastAsia="宋体" w:cs="宋体"/>
          <w:b w:val="0"/>
          <w:color w:val="000000" w:themeColor="text1"/>
          <w:sz w:val="24"/>
          <w:szCs w:val="24"/>
          <w:highlight w:val="none"/>
          <w14:textFill>
            <w14:solidFill>
              <w14:schemeClr w14:val="tx1"/>
            </w14:solidFill>
          </w14:textFill>
        </w:rPr>
      </w:pPr>
      <w:r>
        <w:rPr>
          <w:rFonts w:hint="eastAsia" w:ascii="宋体" w:eastAsia="宋体" w:cs="宋体"/>
          <w:color w:val="000000" w:themeColor="text1"/>
          <w:highlight w:val="none"/>
          <w14:textFill>
            <w14:solidFill>
              <w14:schemeClr w14:val="tx1"/>
            </w14:solidFill>
          </w14:textFill>
        </w:rPr>
        <w:br w:type="page"/>
      </w:r>
      <w:bookmarkStart w:id="535" w:name="_Toc25328"/>
      <w:bookmarkStart w:id="536" w:name="_Toc23393"/>
      <w:bookmarkStart w:id="537" w:name="_Toc15891"/>
      <w:r>
        <w:rPr>
          <w:rFonts w:hint="eastAsia" w:ascii="宋体" w:eastAsia="宋体" w:cs="宋体"/>
          <w:b w:val="0"/>
          <w:color w:val="000000" w:themeColor="text1"/>
          <w:sz w:val="24"/>
          <w:szCs w:val="24"/>
          <w:highlight w:val="none"/>
          <w14:textFill>
            <w14:solidFill>
              <w14:schemeClr w14:val="tx1"/>
            </w14:solidFill>
          </w14:textFill>
        </w:rPr>
        <w:t>附表4：投入主要施工机械设备表</w:t>
      </w:r>
      <w:bookmarkEnd w:id="535"/>
      <w:bookmarkEnd w:id="536"/>
      <w:bookmarkEnd w:id="537"/>
    </w:p>
    <w:p>
      <w:pPr>
        <w:pStyle w:val="25"/>
        <w:rPr>
          <w:rFonts w:hint="eastAsia" w:ascii="宋体" w:hAnsi="宋体" w:eastAsia="宋体" w:cs="宋体"/>
          <w:b w:val="0"/>
          <w:color w:val="000000" w:themeColor="text1"/>
          <w:sz w:val="24"/>
          <w:szCs w:val="24"/>
          <w:highlight w:val="none"/>
          <w14:textFill>
            <w14:solidFill>
              <w14:schemeClr w14:val="tx1"/>
            </w14:solidFill>
          </w14:textFill>
        </w:rPr>
      </w:pPr>
      <w:r>
        <w:rPr>
          <w:rFonts w:hint="eastAsia" w:ascii="宋体" w:hAnsi="宋体" w:eastAsia="宋体" w:cs="宋体"/>
          <w:b w:val="0"/>
          <w:color w:val="000000" w:themeColor="text1"/>
          <w:sz w:val="24"/>
          <w:szCs w:val="24"/>
          <w:highlight w:val="none"/>
          <w14:textFill>
            <w14:solidFill>
              <w14:schemeClr w14:val="tx1"/>
            </w14:solidFill>
          </w14:textFill>
        </w:rPr>
        <w:t>投入主要施工机械设备表</w:t>
      </w:r>
    </w:p>
    <w:tbl>
      <w:tblPr>
        <w:tblStyle w:val="18"/>
        <w:tblW w:w="8470"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383"/>
        <w:gridCol w:w="1857"/>
        <w:gridCol w:w="1864"/>
        <w:gridCol w:w="799"/>
        <w:gridCol w:w="799"/>
        <w:gridCol w:w="958"/>
        <w:gridCol w:w="724"/>
        <w:gridCol w:w="1086"/>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540" w:hRule="atLeast"/>
          <w:jc w:val="center"/>
        </w:trPr>
        <w:tc>
          <w:tcPr>
            <w:tcW w:w="2240" w:type="dxa"/>
            <w:gridSpan w:val="2"/>
            <w:vMerge w:val="restart"/>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名称及型号</w:t>
            </w:r>
          </w:p>
        </w:tc>
        <w:tc>
          <w:tcPr>
            <w:tcW w:w="6230" w:type="dxa"/>
            <w:gridSpan w:val="6"/>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申请单位能达到的程度简述（由申请单位填写）</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568" w:hRule="atLeast"/>
          <w:jc w:val="center"/>
        </w:trPr>
        <w:tc>
          <w:tcPr>
            <w:tcW w:w="2240" w:type="dxa"/>
            <w:gridSpan w:val="2"/>
            <w:vMerge w:val="continue"/>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机械最少投入数量</w:t>
            </w:r>
          </w:p>
        </w:tc>
        <w:tc>
          <w:tcPr>
            <w:tcW w:w="4366" w:type="dxa"/>
            <w:gridSpan w:val="5"/>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投入本项目施工机械的情况（台套）</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2240" w:type="dxa"/>
            <w:gridSpan w:val="2"/>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名     称</w:t>
            </w:r>
          </w:p>
        </w:tc>
        <w:tc>
          <w:tcPr>
            <w:tcW w:w="1864"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数量（台套）</w:t>
            </w:r>
          </w:p>
        </w:tc>
        <w:tc>
          <w:tcPr>
            <w:tcW w:w="79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小计</w:t>
            </w:r>
          </w:p>
        </w:tc>
        <w:tc>
          <w:tcPr>
            <w:tcW w:w="799"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新购</w:t>
            </w:r>
          </w:p>
        </w:tc>
        <w:tc>
          <w:tcPr>
            <w:tcW w:w="958"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自有</w:t>
            </w:r>
          </w:p>
        </w:tc>
        <w:tc>
          <w:tcPr>
            <w:tcW w:w="724"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租赁</w:t>
            </w:r>
          </w:p>
        </w:tc>
        <w:tc>
          <w:tcPr>
            <w:tcW w:w="1086" w:type="dxa"/>
            <w:noWrap w:val="0"/>
            <w:vAlign w:val="center"/>
          </w:tcPr>
          <w:p>
            <w:pPr>
              <w:pStyle w:val="40"/>
              <w:keepNext w:val="0"/>
              <w:keepLines w:val="0"/>
              <w:suppressLineNumbers w:val="0"/>
              <w:spacing w:before="0" w:beforeAutospacing="0" w:after="0" w:afterAutospacing="0"/>
              <w:ind w:left="0" w:right="0"/>
              <w:jc w:val="center"/>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型</w:t>
            </w:r>
            <w:bookmarkStart w:id="538" w:name="_Toc484958727"/>
            <w:r>
              <w:rPr>
                <w:rFonts w:hint="eastAsia" w:cs="宋体"/>
                <w:color w:val="000000" w:themeColor="text1"/>
                <w:highlight w:val="none"/>
                <w14:textFill>
                  <w14:solidFill>
                    <w14:schemeClr w14:val="tx1"/>
                  </w14:solidFill>
                </w14:textFill>
              </w:rPr>
              <w:t>号</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34" w:hRule="atLeast"/>
          <w:jc w:val="center"/>
        </w:trPr>
        <w:tc>
          <w:tcPr>
            <w:tcW w:w="383" w:type="dxa"/>
            <w:vMerge w:val="restart"/>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施工机械设备</w:t>
            </w: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bookmarkEnd w:id="538"/>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34"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20"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14"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35"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28"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28"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28"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09" w:hRule="atLeast"/>
          <w:jc w:val="center"/>
        </w:trPr>
        <w:tc>
          <w:tcPr>
            <w:tcW w:w="383" w:type="dxa"/>
            <w:vMerge w:val="restart"/>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其他设备</w:t>
            </w: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09"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09"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sz w:val="24"/>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619" w:hRule="atLeast"/>
          <w:jc w:val="center"/>
        </w:trPr>
        <w:tc>
          <w:tcPr>
            <w:tcW w:w="383" w:type="dxa"/>
            <w:vMerge w:val="continue"/>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857"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r>
              <w:rPr>
                <w:rFonts w:hint="eastAsia" w:cs="宋体"/>
                <w:color w:val="000000" w:themeColor="text1"/>
                <w:highlight w:val="none"/>
                <w14:textFill>
                  <w14:solidFill>
                    <w14:schemeClr w14:val="tx1"/>
                  </w14:solidFill>
                </w14:textFill>
              </w:rPr>
              <w:t>…</w:t>
            </w:r>
          </w:p>
        </w:tc>
        <w:tc>
          <w:tcPr>
            <w:tcW w:w="186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99"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958"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724"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c>
          <w:tcPr>
            <w:tcW w:w="1086" w:type="dxa"/>
            <w:noWrap w:val="0"/>
            <w:vAlign w:val="center"/>
          </w:tcPr>
          <w:p>
            <w:pPr>
              <w:pStyle w:val="40"/>
              <w:keepNext w:val="0"/>
              <w:keepLines w:val="0"/>
              <w:suppressLineNumbers w:val="0"/>
              <w:spacing w:before="0" w:beforeAutospacing="0" w:after="0" w:afterAutospacing="0"/>
              <w:ind w:left="0" w:right="0"/>
              <w:rPr>
                <w:rFonts w:hint="default" w:cs="宋体"/>
                <w:color w:val="000000" w:themeColor="text1"/>
                <w:highlight w:val="none"/>
                <w14:textFill>
                  <w14:solidFill>
                    <w14:schemeClr w14:val="tx1"/>
                  </w14:solidFill>
                </w14:textFill>
              </w:rPr>
            </w:pPr>
          </w:p>
        </w:tc>
      </w:tr>
    </w:tbl>
    <w:p>
      <w:pPr>
        <w:pStyle w:val="29"/>
        <w:ind w:firstLine="496"/>
        <w:rPr>
          <w:rFonts w:hint="eastAsia" w:ascii="宋体" w:hAnsi="宋体" w:cs="宋体"/>
          <w:color w:val="000000" w:themeColor="text1"/>
          <w:highlight w:val="none"/>
          <w14:textFill>
            <w14:solidFill>
              <w14:schemeClr w14:val="tx1"/>
            </w14:solidFill>
          </w14:textFill>
        </w:rPr>
      </w:pPr>
    </w:p>
    <w:p>
      <w:pPr>
        <w:pStyle w:val="41"/>
        <w:spacing w:before="156"/>
        <w:outlineLvl w:val="0"/>
        <w:rPr>
          <w:rFonts w:hint="eastAsia" w:ascii="宋体" w:eastAsia="宋体" w:cs="宋体"/>
          <w:b w:val="0"/>
          <w:color w:val="000000" w:themeColor="text1"/>
          <w:highlight w:val="none"/>
          <w14:textFill>
            <w14:solidFill>
              <w14:schemeClr w14:val="tx1"/>
            </w14:solidFill>
          </w14:textFill>
        </w:rPr>
      </w:pPr>
      <w:r>
        <w:rPr>
          <w:rFonts w:hint="eastAsia" w:ascii="宋体" w:eastAsia="宋体" w:cs="宋体"/>
          <w:b w:val="0"/>
          <w:color w:val="000000" w:themeColor="text1"/>
          <w:highlight w:val="none"/>
          <w14:textFill>
            <w14:solidFill>
              <w14:schemeClr w14:val="tx1"/>
            </w14:solidFill>
          </w14:textFill>
        </w:rPr>
        <w:br w:type="page"/>
      </w:r>
      <w:bookmarkStart w:id="539" w:name="_Toc3344"/>
      <w:bookmarkStart w:id="540" w:name="_Toc15325"/>
      <w:bookmarkStart w:id="541" w:name="_Toc14646"/>
      <w:r>
        <w:rPr>
          <w:rFonts w:hint="eastAsia" w:ascii="宋体" w:eastAsia="宋体" w:cs="宋体"/>
          <w:b w:val="0"/>
          <w:color w:val="000000" w:themeColor="text1"/>
          <w:sz w:val="24"/>
          <w:szCs w:val="24"/>
          <w:highlight w:val="none"/>
          <w14:textFill>
            <w14:solidFill>
              <w14:schemeClr w14:val="tx1"/>
            </w14:solidFill>
          </w14:textFill>
        </w:rPr>
        <w:t>附表5：资金使用计划表</w:t>
      </w:r>
      <w:bookmarkEnd w:id="539"/>
      <w:bookmarkEnd w:id="540"/>
      <w:bookmarkEnd w:id="541"/>
    </w:p>
    <w:p>
      <w:pPr>
        <w:pStyle w:val="25"/>
        <w:rPr>
          <w:rFonts w:hint="eastAsia" w:ascii="宋体" w:hAnsi="宋体" w:eastAsia="宋体" w:cs="宋体"/>
          <w:b w:val="0"/>
          <w:color w:val="000000" w:themeColor="text1"/>
          <w:sz w:val="24"/>
          <w:szCs w:val="24"/>
          <w:highlight w:val="none"/>
          <w14:textFill>
            <w14:solidFill>
              <w14:schemeClr w14:val="tx1"/>
            </w14:solidFill>
          </w14:textFill>
        </w:rPr>
      </w:pPr>
      <w:r>
        <w:rPr>
          <w:rFonts w:hint="eastAsia" w:ascii="宋体" w:hAnsi="宋体" w:eastAsia="宋体" w:cs="宋体"/>
          <w:b w:val="0"/>
          <w:color w:val="000000" w:themeColor="text1"/>
          <w:sz w:val="24"/>
          <w:szCs w:val="24"/>
          <w:highlight w:val="none"/>
          <w14:textFill>
            <w14:solidFill>
              <w14:schemeClr w14:val="tx1"/>
            </w14:solidFill>
          </w14:textFill>
        </w:rPr>
        <w:t>资金使用计划表</w:t>
      </w:r>
    </w:p>
    <w:tbl>
      <w:tblPr>
        <w:tblStyle w:val="18"/>
        <w:tblW w:w="8299" w:type="dxa"/>
        <w:tblInd w:w="0" w:type="dxa"/>
        <w:tblLayout w:type="fixed"/>
        <w:tblCellMar>
          <w:top w:w="0" w:type="dxa"/>
          <w:left w:w="108" w:type="dxa"/>
          <w:bottom w:w="0" w:type="dxa"/>
          <w:right w:w="108" w:type="dxa"/>
        </w:tblCellMar>
      </w:tblPr>
      <w:tblGrid>
        <w:gridCol w:w="2080"/>
        <w:gridCol w:w="2073"/>
        <w:gridCol w:w="2073"/>
        <w:gridCol w:w="2073"/>
      </w:tblGrid>
      <w:tr>
        <w:tblPrEx>
          <w:tblCellMar>
            <w:top w:w="0" w:type="dxa"/>
            <w:left w:w="108" w:type="dxa"/>
            <w:bottom w:w="0" w:type="dxa"/>
            <w:right w:w="108" w:type="dxa"/>
          </w:tblCellMar>
        </w:tblPrEx>
        <w:trPr>
          <w:trHeight w:val="462" w:hRule="atLeast"/>
        </w:trPr>
        <w:tc>
          <w:tcPr>
            <w:tcW w:w="2080" w:type="dxa"/>
            <w:vMerge w:val="restart"/>
            <w:tcBorders>
              <w:top w:val="single" w:color="auto" w:sz="4" w:space="0"/>
              <w:left w:val="single" w:color="auto" w:sz="4" w:space="0"/>
              <w:bottom w:val="single" w:color="auto" w:sz="6" w:space="0"/>
              <w:right w:val="single" w:color="auto" w:sz="6"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从开工月算起的时间（月）</w:t>
            </w:r>
          </w:p>
        </w:tc>
        <w:tc>
          <w:tcPr>
            <w:tcW w:w="4146" w:type="dxa"/>
            <w:gridSpan w:val="2"/>
            <w:tcBorders>
              <w:top w:val="single" w:color="auto" w:sz="4" w:space="0"/>
              <w:left w:val="single" w:color="auto" w:sz="6" w:space="0"/>
              <w:bottom w:val="single" w:color="auto" w:sz="6" w:space="0"/>
              <w:right w:val="single" w:color="auto" w:sz="6"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资金使用计划</w:t>
            </w:r>
          </w:p>
        </w:tc>
        <w:tc>
          <w:tcPr>
            <w:tcW w:w="2073" w:type="dxa"/>
            <w:vMerge w:val="restart"/>
            <w:tcBorders>
              <w:top w:val="single" w:color="auto" w:sz="4" w:space="0"/>
              <w:left w:val="single" w:color="auto" w:sz="6" w:space="0"/>
              <w:bottom w:val="single" w:color="auto" w:sz="6" w:space="0"/>
              <w:right w:val="single" w:color="auto" w:sz="4"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备注</w:t>
            </w:r>
          </w:p>
        </w:tc>
      </w:tr>
      <w:tr>
        <w:tblPrEx>
          <w:tblCellMar>
            <w:top w:w="0" w:type="dxa"/>
            <w:left w:w="108" w:type="dxa"/>
            <w:bottom w:w="0" w:type="dxa"/>
            <w:right w:w="108" w:type="dxa"/>
          </w:tblCellMar>
        </w:tblPrEx>
        <w:trPr>
          <w:trHeight w:val="467" w:hRule="atLeast"/>
        </w:trPr>
        <w:tc>
          <w:tcPr>
            <w:tcW w:w="2080" w:type="dxa"/>
            <w:vMerge w:val="continue"/>
            <w:tcBorders>
              <w:top w:val="single" w:color="auto" w:sz="6" w:space="0"/>
              <w:left w:val="single" w:color="auto" w:sz="4" w:space="0"/>
              <w:bottom w:val="single" w:color="auto" w:sz="6" w:space="0"/>
              <w:right w:val="single" w:color="auto" w:sz="6"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bookmarkStart w:id="542" w:name="_Toc484958728"/>
          </w:p>
        </w:tc>
        <w:tc>
          <w:tcPr>
            <w:tcW w:w="2073" w:type="dxa"/>
            <w:tcBorders>
              <w:top w:val="single" w:color="auto" w:sz="6" w:space="0"/>
              <w:left w:val="single" w:color="auto" w:sz="6" w:space="0"/>
              <w:bottom w:val="single" w:color="auto" w:sz="6" w:space="0"/>
              <w:right w:val="single" w:color="auto" w:sz="6"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分期（%）</w:t>
            </w:r>
          </w:p>
        </w:tc>
        <w:tc>
          <w:tcPr>
            <w:tcW w:w="2073" w:type="dxa"/>
            <w:tcBorders>
              <w:top w:val="single" w:color="auto" w:sz="6" w:space="0"/>
              <w:left w:val="single" w:color="auto" w:sz="6" w:space="0"/>
              <w:bottom w:val="single" w:color="auto" w:sz="6" w:space="0"/>
              <w:right w:val="single" w:color="auto" w:sz="6"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累计（%）</w:t>
            </w:r>
            <w:bookmarkEnd w:id="542"/>
          </w:p>
        </w:tc>
        <w:tc>
          <w:tcPr>
            <w:tcW w:w="2073" w:type="dxa"/>
            <w:vMerge w:val="continue"/>
            <w:tcBorders>
              <w:top w:val="single" w:color="auto" w:sz="6" w:space="0"/>
              <w:left w:val="single" w:color="auto" w:sz="6" w:space="0"/>
              <w:bottom w:val="single" w:color="auto" w:sz="6" w:space="0"/>
              <w:right w:val="single" w:color="auto" w:sz="4" w:space="0"/>
            </w:tcBorders>
            <w:noWrap w:val="0"/>
            <w:vAlign w:val="center"/>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预付款</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第1月</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第2月</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第3月</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第4月</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bookmarkStart w:id="543" w:name="_Toc484958729"/>
            <w:bookmarkStart w:id="544" w:name="_Toc484958730"/>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bookmarkEnd w:id="543"/>
      <w:bookmarkEnd w:id="544"/>
      <w:tr>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bookmarkStart w:id="545" w:name="RANGE_A1_G14"/>
            <w:bookmarkEnd w:id="545"/>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bookmarkStart w:id="546" w:name="_Toc484958731"/>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保修期</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67" w:hRule="atLeast"/>
        </w:trPr>
        <w:tc>
          <w:tcPr>
            <w:tcW w:w="2080" w:type="dxa"/>
            <w:tcBorders>
              <w:top w:val="single" w:color="auto" w:sz="6" w:space="0"/>
              <w:left w:val="single" w:color="auto" w:sz="4"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合</w:t>
            </w:r>
            <w:bookmarkEnd w:id="546"/>
            <w:r>
              <w:rPr>
                <w:rFonts w:hint="eastAsia" w:ascii="宋体" w:hAnsi="宋体" w:eastAsia="宋体" w:cs="宋体"/>
                <w:color w:val="000000" w:themeColor="text1"/>
                <w:kern w:val="2"/>
                <w:highlight w:val="none"/>
                <w:lang w:bidi="en-US"/>
                <w14:textFill>
                  <w14:solidFill>
                    <w14:schemeClr w14:val="tx1"/>
                  </w14:solidFill>
                </w14:textFill>
              </w:rPr>
              <w:t>计</w:t>
            </w: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c>
          <w:tcPr>
            <w:tcW w:w="2073" w:type="dxa"/>
            <w:tcBorders>
              <w:top w:val="single" w:color="auto" w:sz="6" w:space="0"/>
              <w:left w:val="single" w:color="auto" w:sz="6" w:space="0"/>
              <w:bottom w:val="single" w:color="auto" w:sz="6"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r>
        <w:tblPrEx>
          <w:tblCellMar>
            <w:top w:w="0" w:type="dxa"/>
            <w:left w:w="108" w:type="dxa"/>
            <w:bottom w:w="0" w:type="dxa"/>
            <w:right w:w="108" w:type="dxa"/>
          </w:tblCellMar>
        </w:tblPrEx>
        <w:trPr>
          <w:trHeight w:val="477" w:hRule="atLeast"/>
        </w:trPr>
        <w:tc>
          <w:tcPr>
            <w:tcW w:w="2080" w:type="dxa"/>
            <w:tcBorders>
              <w:top w:val="single" w:color="auto" w:sz="6" w:space="0"/>
              <w:left w:val="single" w:color="auto" w:sz="4" w:space="0"/>
              <w:bottom w:val="single" w:color="auto" w:sz="4" w:space="0"/>
              <w:right w:val="single" w:color="auto" w:sz="6"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r>
              <w:rPr>
                <w:rFonts w:hint="eastAsia" w:ascii="宋体" w:hAnsi="宋体" w:eastAsia="宋体" w:cs="宋体"/>
                <w:color w:val="000000" w:themeColor="text1"/>
                <w:kern w:val="2"/>
                <w:highlight w:val="none"/>
                <w:lang w:bidi="en-US"/>
                <w14:textFill>
                  <w14:solidFill>
                    <w14:schemeClr w14:val="tx1"/>
                  </w14:solidFill>
                </w14:textFill>
              </w:rPr>
              <w:t>说明</w:t>
            </w:r>
          </w:p>
        </w:tc>
        <w:tc>
          <w:tcPr>
            <w:tcW w:w="6219" w:type="dxa"/>
            <w:gridSpan w:val="3"/>
            <w:tcBorders>
              <w:top w:val="single" w:color="auto" w:sz="6" w:space="0"/>
              <w:left w:val="single" w:color="auto" w:sz="6" w:space="0"/>
              <w:bottom w:val="single" w:color="auto" w:sz="4" w:space="0"/>
              <w:right w:val="single" w:color="auto" w:sz="4" w:space="0"/>
            </w:tcBorders>
            <w:noWrap w:val="0"/>
            <w:vAlign w:val="top"/>
          </w:tcPr>
          <w:p>
            <w:pPr>
              <w:pStyle w:val="29"/>
              <w:keepNext w:val="0"/>
              <w:keepLines w:val="0"/>
              <w:suppressLineNumbers w:val="0"/>
              <w:spacing w:before="0" w:beforeAutospacing="0" w:afterAutospacing="0"/>
              <w:ind w:left="479" w:right="0" w:firstLine="0" w:firstLineChars="0"/>
              <w:jc w:val="center"/>
              <w:rPr>
                <w:rFonts w:hint="default" w:ascii="宋体" w:hAnsi="宋体" w:eastAsia="宋体" w:cs="宋体"/>
                <w:color w:val="000000" w:themeColor="text1"/>
                <w:kern w:val="2"/>
                <w:highlight w:val="none"/>
                <w:lang w:bidi="en-US"/>
                <w14:textFill>
                  <w14:solidFill>
                    <w14:schemeClr w14:val="tx1"/>
                  </w14:solidFill>
                </w14:textFill>
              </w:rPr>
            </w:pPr>
          </w:p>
        </w:tc>
      </w:tr>
    </w:tbl>
    <w:p>
      <w:pPr>
        <w:pStyle w:val="29"/>
        <w:tabs>
          <w:tab w:val="left" w:pos="1260"/>
        </w:tabs>
        <w:ind w:firstLine="496"/>
        <w:rPr>
          <w:rFonts w:hint="eastAsia" w:ascii="宋体" w:hAnsi="宋体" w:cs="宋体"/>
          <w:color w:val="000000" w:themeColor="text1"/>
          <w:highlight w:val="none"/>
          <w14:textFill>
            <w14:solidFill>
              <w14:schemeClr w14:val="tx1"/>
            </w14:solidFill>
          </w14:textFill>
        </w:rPr>
      </w:pPr>
    </w:p>
    <w:p>
      <w:pPr>
        <w:pStyle w:val="2"/>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第六章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图纸及勘察资料</w:t>
      </w:r>
    </w:p>
    <w:p>
      <w:pPr>
        <w:jc w:val="center"/>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注：另册。</w:t>
      </w:r>
    </w:p>
    <w:p>
      <w:pPr>
        <w:pStyle w:val="7"/>
        <w:rPr>
          <w:color w:val="000000" w:themeColor="text1"/>
          <w:highlight w:val="none"/>
          <w14:textFill>
            <w14:solidFill>
              <w14:schemeClr w14:val="tx1"/>
            </w14:solidFill>
          </w14:textFill>
        </w:rPr>
      </w:pPr>
    </w:p>
    <w:p>
      <w:pPr>
        <w:topLinePunct/>
        <w:adjustRightInd w:val="0"/>
        <w:snapToGrid w:val="0"/>
        <w:spacing w:before="156" w:after="156" w:line="360" w:lineRule="auto"/>
        <w:ind w:firstLine="496" w:firstLineChars="200"/>
        <w:rPr>
          <w:rFonts w:ascii="宋体" w:hAnsi="宋体" w:cs="宋体"/>
          <w:color w:val="000000" w:themeColor="text1"/>
          <w:spacing w:val="4"/>
          <w:kern w:val="0"/>
          <w:sz w:val="24"/>
          <w:szCs w:val="24"/>
          <w:highlight w:val="none"/>
          <w14:textFill>
            <w14:solidFill>
              <w14:schemeClr w14:val="tx1"/>
            </w14:solidFill>
          </w14:textFill>
        </w:rPr>
      </w:pPr>
      <w:r>
        <w:rPr>
          <w:rFonts w:hint="eastAsia" w:ascii="宋体" w:hAnsi="宋体" w:cs="宋体"/>
          <w:color w:val="000000" w:themeColor="text1"/>
          <w:spacing w:val="4"/>
          <w:kern w:val="0"/>
          <w:sz w:val="24"/>
          <w:szCs w:val="24"/>
          <w:highlight w:val="none"/>
          <w:lang w:bidi="ar"/>
          <w14:textFill>
            <w14:solidFill>
              <w14:schemeClr w14:val="tx1"/>
            </w14:solidFill>
          </w14:textFill>
        </w:rPr>
        <w:t>注：本项目所有招标图纸、资料知识产权属招标人所有，不得用于除本次招标项目外其它用途，否则应承担由此所引起的全部法律责任。</w:t>
      </w:r>
    </w:p>
    <w:p>
      <w:pPr>
        <w:pStyle w:val="2"/>
        <w:rPr>
          <w:color w:val="000000" w:themeColor="text1"/>
          <w:sz w:val="24"/>
          <w:szCs w:val="24"/>
          <w:highlight w:val="none"/>
          <w14:textFill>
            <w14:solidFill>
              <w14:schemeClr w14:val="tx1"/>
            </w14:solidFill>
          </w14:textFill>
        </w:rPr>
      </w:pPr>
    </w:p>
    <w:p>
      <w:pPr>
        <w:pStyle w:val="2"/>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br w:type="page"/>
      </w:r>
      <w:bookmarkStart w:id="547" w:name="_Toc21525515"/>
      <w:bookmarkStart w:id="548" w:name="_Toc2272570"/>
      <w:r>
        <w:rPr>
          <w:rFonts w:hint="eastAsia"/>
          <w:color w:val="000000" w:themeColor="text1"/>
          <w:highlight w:val="none"/>
          <w14:textFill>
            <w14:solidFill>
              <w14:schemeClr w14:val="tx1"/>
            </w14:solidFill>
          </w14:textFill>
        </w:rPr>
        <w:t>第七章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工程量清单</w:t>
      </w:r>
      <w:bookmarkEnd w:id="547"/>
      <w:bookmarkEnd w:id="548"/>
    </w:p>
    <w:p>
      <w:pPr>
        <w:jc w:val="center"/>
        <w:rPr>
          <w:rFonts w:ascii="宋体"/>
          <w:b/>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注：另册。</w:t>
      </w:r>
    </w:p>
    <w:p>
      <w:pPr>
        <w:pStyle w:val="17"/>
        <w:spacing w:after="0" w:line="360" w:lineRule="auto"/>
        <w:ind w:left="-2" w:leftChars="-1" w:firstLine="960" w:firstLineChars="400"/>
        <w:rPr>
          <w:rFonts w:ascii="宋体"/>
          <w:color w:val="000000" w:themeColor="text1"/>
          <w:sz w:val="24"/>
          <w:highlight w:val="none"/>
          <w14:textFill>
            <w14:solidFill>
              <w14:schemeClr w14:val="tx1"/>
            </w14:solidFill>
          </w14:textFill>
        </w:rPr>
      </w:pPr>
    </w:p>
    <w:p>
      <w:pPr>
        <w:pStyle w:val="2"/>
        <w:rPr>
          <w:rFonts w:ascii="宋体"/>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br w:type="page"/>
      </w:r>
      <w:bookmarkStart w:id="549" w:name="_Toc2272571"/>
      <w:bookmarkStart w:id="550" w:name="_Toc21525516"/>
      <w:r>
        <w:rPr>
          <w:rFonts w:hint="eastAsia"/>
          <w:color w:val="000000" w:themeColor="text1"/>
          <w:highlight w:val="none"/>
          <w14:textFill>
            <w14:solidFill>
              <w14:schemeClr w14:val="tx1"/>
            </w14:solidFill>
          </w14:textFill>
        </w:rPr>
        <w:t>第八章</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最高投标限价</w:t>
      </w:r>
      <w:bookmarkEnd w:id="549"/>
      <w:bookmarkEnd w:id="550"/>
    </w:p>
    <w:p>
      <w:pPr>
        <w:spacing w:line="360" w:lineRule="auto"/>
        <w:ind w:firstLine="480"/>
        <w:rPr>
          <w:rFonts w:ascii="宋体" w:hAnsi="宋体"/>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招标人应当在发布招标文件时，公布最高投标限价的总价，分部分项工程费、措施项目费、其他项目费、税金，以及绿色施工安全防护措施费、暂列金额等投标人不可竞争的固定报价。</w:t>
      </w:r>
    </w:p>
    <w:p>
      <w:pPr>
        <w:ind w:firstLine="480" w:firstLineChars="200"/>
        <w:rPr>
          <w:rFonts w:hint="eastAsia" w:ascii="Times New Roman" w:hAnsi="Times New Roman"/>
          <w:color w:val="000000" w:themeColor="text1"/>
          <w:sz w:val="24"/>
          <w:szCs w:val="24"/>
          <w:highlight w:val="none"/>
          <w:u w:val="single"/>
          <w14:textFill>
            <w14:solidFill>
              <w14:schemeClr w14:val="tx1"/>
            </w14:solidFill>
          </w14:textFill>
        </w:rPr>
      </w:pPr>
      <w:r>
        <w:rPr>
          <w:rFonts w:hint="eastAsia" w:ascii="Times New Roman" w:hAnsi="Times New Roman"/>
          <w:color w:val="000000" w:themeColor="text1"/>
          <w:sz w:val="24"/>
          <w:szCs w:val="24"/>
          <w:highlight w:val="none"/>
          <w:u w:val="single"/>
          <w14:textFill>
            <w14:solidFill>
              <w14:schemeClr w14:val="tx1"/>
            </w14:solidFill>
          </w14:textFill>
        </w:rPr>
        <w:t>具体见本项目《最高投标限价公布函》。</w:t>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Calisto MT">
    <w:altName w:val="Segoe Print"/>
    <w:panose1 w:val="02040603050505030304"/>
    <w:charset w:val="00"/>
    <w:family w:val="roman"/>
    <w:pitch w:val="default"/>
    <w:sig w:usb0="00000000" w:usb1="00000000" w:usb2="00000000" w:usb3="00000000" w:csb0="20000001"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83" w:usb1="288F0000" w:usb2="00000006" w:usb3="00000000" w:csb0="00040001" w:csb1="00000000"/>
  </w:font>
  <w:font w:name="EuroRoman">
    <w:altName w:val="Segoe Print"/>
    <w:panose1 w:val="00000000000000000000"/>
    <w:charset w:val="02"/>
    <w:family w:val="auto"/>
    <w:pitch w:val="default"/>
    <w:sig w:usb0="00000000" w:usb1="00000000" w:usb2="00000000" w:usb3="00000000" w:csb0="8000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92"/>
      <w:jc w:val="right"/>
      <w:rPr>
        <w:rStyle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fldChar w:fldCharType="begin"/>
    </w:r>
    <w:r>
      <w:rPr>
        <w:rStyle w:val="20"/>
      </w:rPr>
      <w:instrText xml:space="preserve"> PAGE </w:instrText>
    </w:r>
    <w:r>
      <w:fldChar w:fldCharType="separate"/>
    </w:r>
    <w:r>
      <w:rPr>
        <w:rStyle w:val="20"/>
      </w:rPr>
      <w:t>65</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92"/>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392"/>
                          </w:pPr>
                          <w:r>
                            <w:rPr>
                              <w:rStyle w:val="20"/>
                            </w:rPr>
                            <w:fldChar w:fldCharType="begin"/>
                          </w:r>
                          <w:r>
                            <w:rPr>
                              <w:rStyle w:val="20"/>
                            </w:rPr>
                            <w:instrText xml:space="preserve"> PAGE </w:instrText>
                          </w:r>
                          <w:r>
                            <w:rPr>
                              <w:rStyle w:val="20"/>
                            </w:rPr>
                            <w:fldChar w:fldCharType="separate"/>
                          </w:r>
                          <w:r>
                            <w:rPr>
                              <w:rStyle w:val="20"/>
                            </w:rPr>
                            <w:t>53</w:t>
                          </w:r>
                          <w:r>
                            <w:rPr>
                              <w:rStyle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pPr>
                      <w:pStyle w:val="12"/>
                      <w:ind w:firstLine="392"/>
                    </w:pPr>
                    <w:r>
                      <w:rPr>
                        <w:rStyle w:val="20"/>
                      </w:rPr>
                      <w:fldChar w:fldCharType="begin"/>
                    </w:r>
                    <w:r>
                      <w:rPr>
                        <w:rStyle w:val="20"/>
                      </w:rPr>
                      <w:instrText xml:space="preserve"> PAGE </w:instrText>
                    </w:r>
                    <w:r>
                      <w:rPr>
                        <w:rStyle w:val="20"/>
                      </w:rPr>
                      <w:fldChar w:fldCharType="separate"/>
                    </w:r>
                    <w:r>
                      <w:rPr>
                        <w:rStyle w:val="20"/>
                      </w:rPr>
                      <w:t>53</w:t>
                    </w:r>
                    <w:r>
                      <w:rPr>
                        <w:rStyle w:val="20"/>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92"/>
      <w:jc w:val="right"/>
      <w:rPr>
        <w:rStyle w:val="20"/>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92"/>
      <w:jc w:val="right"/>
      <w:rPr>
        <w:rStyle w:val="2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392"/>
                            <w:jc w:val="right"/>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pPr>
                      <w:pStyle w:val="12"/>
                      <w:ind w:firstLine="392"/>
                      <w:jc w:val="right"/>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0"/>
      </w:rPr>
    </w:pPr>
    <w:r>
      <w:rPr>
        <w:rStyle w:val="20"/>
      </w:rPr>
      <w:fldChar w:fldCharType="begin"/>
    </w:r>
    <w:r>
      <w:rPr>
        <w:rStyle w:val="20"/>
      </w:rPr>
      <w:instrText xml:space="preserve">PAGE  </w:instrText>
    </w:r>
    <w:r>
      <w:rPr>
        <w:rStyle w:val="20"/>
      </w:rPr>
      <w:fldChar w:fldCharType="separate"/>
    </w:r>
    <w:r>
      <w:rPr>
        <w:rStyle w:val="20"/>
        <w:rFonts w:hint="eastAsia"/>
      </w:rPr>
      <w:t>一</w:t>
    </w:r>
    <w:r>
      <w:rPr>
        <w:rStyle w:val="20"/>
      </w:rPr>
      <w:t>–2</w:t>
    </w:r>
    <w:r>
      <w:rPr>
        <w:rStyle w:val="20"/>
      </w:rPr>
      <w:fldChar w:fldCharType="end"/>
    </w:r>
  </w:p>
  <w:p>
    <w:pPr>
      <w:pStyle w:val="12"/>
      <w:ind w:right="360" w:firstLine="360"/>
      <w:jc w:val="center"/>
    </w:pPr>
    <w:r>
      <w:rPr>
        <w:kern w:val="0"/>
        <w:sz w:val="20"/>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cen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pStyle w:val="12"/>
                      <w:jc w:val="center"/>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cen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pPr>
                      <w:pStyle w:val="12"/>
                      <w:jc w:val="center"/>
                    </w:pPr>
                    <w:r>
                      <w:fldChar w:fldCharType="begin"/>
                    </w:r>
                    <w:r>
                      <w:instrText xml:space="preserve"> PAGE  \* MERGEFORMAT </w:instrText>
                    </w:r>
                    <w:r>
                      <w:fldChar w:fldCharType="separate"/>
                    </w:r>
                    <w:r>
                      <w:t>1</w:t>
                    </w:r>
                    <w:r>
                      <w:fldChar w:fldCharType="end"/>
                    </w:r>
                  </w:p>
                </w:txbxContent>
              </v:textbox>
            </v:shape>
          </w:pict>
        </mc:Fallback>
      </mc:AlternateContent>
    </w:r>
  </w:p>
  <w:p>
    <w:pPr>
      <w:pStyle w:val="12"/>
      <w:ind w:right="360" w:firstLine="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outside" w:y="1"/>
      <w:rPr>
        <w:rStyle w:val="20"/>
      </w:rPr>
    </w:pPr>
    <w:r>
      <w:fldChar w:fldCharType="begin"/>
    </w:r>
    <w:r>
      <w:rPr>
        <w:rStyle w:val="20"/>
      </w:rPr>
      <w:instrText xml:space="preserve">PAGE  </w:instrText>
    </w:r>
    <w:r>
      <w:fldChar w:fldCharType="separate"/>
    </w:r>
    <w:r>
      <w:rPr>
        <w:rStyle w:val="20"/>
        <w:rFonts w:hint="eastAsia"/>
      </w:rPr>
      <w:t>一</w:t>
    </w:r>
    <w:r>
      <w:rPr>
        <w:rStyle w:val="20"/>
      </w:rPr>
      <w:t>–2</w:t>
    </w:r>
    <w:r>
      <w:fldChar w:fldCharType="end"/>
    </w:r>
  </w:p>
  <w:p>
    <w:pPr>
      <w:pStyle w:val="12"/>
      <w:ind w:right="360" w:firstLine="360"/>
      <w:jc w:val="center"/>
    </w:pPr>
    <w:r>
      <w:rPr>
        <w:sz w:val="20"/>
      </w:rPr>
      <w: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ind w:firstLine="39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rPr>
        <w:i/>
        <w:iCs/>
      </w:rPr>
    </w:pPr>
    <w:r>
      <w:rPr>
        <w:rFonts w:hint="eastAsia"/>
        <w:i/>
        <w:iCs/>
      </w:rPr>
      <w:t>横枝岗路道路排水改造工程招标文件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jc w:val="right"/>
      <w:rPr>
        <w:i/>
        <w:iC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rPr>
        <w:i/>
        <w:iCs/>
      </w:rPr>
    </w:pPr>
    <w:r>
      <w:rPr>
        <w:rFonts w:hint="eastAsia"/>
        <w:i/>
        <w:iCs/>
      </w:rPr>
      <w:t>横枝岗路道路排水改造工程招标文件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jc w:val="right"/>
      <w:rPr>
        <w:i/>
        <w:iC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81E1E74"/>
    <w:multiLevelType w:val="singleLevel"/>
    <w:tmpl w:val="D81E1E74"/>
    <w:lvl w:ilvl="0" w:tentative="0">
      <w:start w:val="1"/>
      <w:numFmt w:val="decimal"/>
      <w:suff w:val="nothing"/>
      <w:lvlText w:val="%1、"/>
      <w:lvlJc w:val="left"/>
    </w:lvl>
  </w:abstractNum>
  <w:abstractNum w:abstractNumId="1">
    <w:nsid w:val="DCBBB60E"/>
    <w:multiLevelType w:val="singleLevel"/>
    <w:tmpl w:val="DCBBB60E"/>
    <w:lvl w:ilvl="0" w:tentative="0">
      <w:start w:val="5"/>
      <w:numFmt w:val="decimal"/>
      <w:suff w:val="nothing"/>
      <w:lvlText w:val="%1）"/>
      <w:lvlJc w:val="left"/>
    </w:lvl>
  </w:abstractNum>
  <w:abstractNum w:abstractNumId="2">
    <w:nsid w:val="00000014"/>
    <w:multiLevelType w:val="multilevel"/>
    <w:tmpl w:val="00000014"/>
    <w:lvl w:ilvl="0" w:tentative="0">
      <w:start w:val="1"/>
      <w:numFmt w:val="japaneseCounting"/>
      <w:pStyle w:val="39"/>
      <w:lvlText w:val="%1、"/>
      <w:lvlJc w:val="left"/>
      <w:pPr>
        <w:tabs>
          <w:tab w:val="left" w:pos="1271"/>
        </w:tabs>
        <w:ind w:left="1271" w:hanging="720"/>
      </w:pPr>
      <w:rPr>
        <w:lang w:val="en-US"/>
      </w:rPr>
    </w:lvl>
    <w:lvl w:ilvl="1" w:tentative="0">
      <w:start w:val="1"/>
      <w:numFmt w:val="lowerLetter"/>
      <w:lvlText w:val="%2)"/>
      <w:lvlJc w:val="left"/>
      <w:pPr>
        <w:tabs>
          <w:tab w:val="left" w:pos="1391"/>
        </w:tabs>
        <w:ind w:left="1391" w:hanging="420"/>
      </w:pPr>
    </w:lvl>
    <w:lvl w:ilvl="2" w:tentative="0">
      <w:start w:val="1"/>
      <w:numFmt w:val="lowerRoman"/>
      <w:lvlText w:val="%3."/>
      <w:lvlJc w:val="right"/>
      <w:pPr>
        <w:tabs>
          <w:tab w:val="left" w:pos="1811"/>
        </w:tabs>
        <w:ind w:left="1811" w:hanging="420"/>
      </w:pPr>
    </w:lvl>
    <w:lvl w:ilvl="3" w:tentative="0">
      <w:start w:val="1"/>
      <w:numFmt w:val="decimal"/>
      <w:lvlText w:val="%4."/>
      <w:lvlJc w:val="left"/>
      <w:pPr>
        <w:tabs>
          <w:tab w:val="left" w:pos="2231"/>
        </w:tabs>
        <w:ind w:left="2231" w:hanging="420"/>
      </w:pPr>
    </w:lvl>
    <w:lvl w:ilvl="4" w:tentative="0">
      <w:start w:val="1"/>
      <w:numFmt w:val="lowerLetter"/>
      <w:lvlText w:val="%5)"/>
      <w:lvlJc w:val="left"/>
      <w:pPr>
        <w:tabs>
          <w:tab w:val="left" w:pos="2651"/>
        </w:tabs>
        <w:ind w:left="2651" w:hanging="420"/>
      </w:pPr>
    </w:lvl>
    <w:lvl w:ilvl="5" w:tentative="0">
      <w:start w:val="1"/>
      <w:numFmt w:val="lowerRoman"/>
      <w:lvlText w:val="%6."/>
      <w:lvlJc w:val="right"/>
      <w:pPr>
        <w:tabs>
          <w:tab w:val="left" w:pos="3071"/>
        </w:tabs>
        <w:ind w:left="3071" w:hanging="420"/>
      </w:pPr>
    </w:lvl>
    <w:lvl w:ilvl="6" w:tentative="0">
      <w:start w:val="1"/>
      <w:numFmt w:val="decimal"/>
      <w:lvlText w:val="%7."/>
      <w:lvlJc w:val="left"/>
      <w:pPr>
        <w:tabs>
          <w:tab w:val="left" w:pos="3491"/>
        </w:tabs>
        <w:ind w:left="3491" w:hanging="420"/>
      </w:pPr>
    </w:lvl>
    <w:lvl w:ilvl="7" w:tentative="0">
      <w:start w:val="1"/>
      <w:numFmt w:val="lowerLetter"/>
      <w:lvlText w:val="%8)"/>
      <w:lvlJc w:val="left"/>
      <w:pPr>
        <w:tabs>
          <w:tab w:val="left" w:pos="3911"/>
        </w:tabs>
        <w:ind w:left="3911" w:hanging="420"/>
      </w:pPr>
    </w:lvl>
    <w:lvl w:ilvl="8" w:tentative="0">
      <w:start w:val="1"/>
      <w:numFmt w:val="lowerRoman"/>
      <w:lvlText w:val="%9."/>
      <w:lvlJc w:val="right"/>
      <w:pPr>
        <w:tabs>
          <w:tab w:val="left" w:pos="4331"/>
        </w:tabs>
        <w:ind w:left="4331" w:hanging="420"/>
      </w:pPr>
    </w:lvl>
  </w:abstractNum>
  <w:abstractNum w:abstractNumId="3">
    <w:nsid w:val="22607BF1"/>
    <w:multiLevelType w:val="multilevel"/>
    <w:tmpl w:val="22607BF1"/>
    <w:lvl w:ilvl="0" w:tentative="0">
      <w:start w:val="1"/>
      <w:numFmt w:val="decimal"/>
      <w:lvlText w:val="（%1）"/>
      <w:lvlJc w:val="left"/>
      <w:pPr>
        <w:ind w:left="1080" w:hanging="720"/>
      </w:pPr>
      <w:rPr>
        <w:rFonts w:hint="default"/>
        <w:color w:val="000000"/>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4">
    <w:nsid w:val="26F60296"/>
    <w:multiLevelType w:val="singleLevel"/>
    <w:tmpl w:val="26F60296"/>
    <w:lvl w:ilvl="0" w:tentative="0">
      <w:start w:val="9"/>
      <w:numFmt w:val="decimal"/>
      <w:suff w:val="nothing"/>
      <w:lvlText w:val="（%1）"/>
      <w:lvlJc w:val="left"/>
    </w:lvl>
  </w:abstractNum>
  <w:abstractNum w:abstractNumId="5">
    <w:nsid w:val="66830454"/>
    <w:multiLevelType w:val="multilevel"/>
    <w:tmpl w:val="6683045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3"/>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SystemFonts/>
  <w:bordersDoNotSurroundHeader w:val="0"/>
  <w:bordersDoNotSurroundFooter w:val="0"/>
  <w:trackRevisions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endnotePr>
    <w:numFmt w:val="decimal"/>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UyMzE3MjBjMmNkODRhOGFhYjRjMmQ4OGE4NTFlYWEifQ=="/>
  </w:docVars>
  <w:rsids>
    <w:rsidRoot w:val="01BF6109"/>
    <w:rsid w:val="007D2E20"/>
    <w:rsid w:val="010C0502"/>
    <w:rsid w:val="012C2504"/>
    <w:rsid w:val="01BF6109"/>
    <w:rsid w:val="03121363"/>
    <w:rsid w:val="0459229C"/>
    <w:rsid w:val="05503AC8"/>
    <w:rsid w:val="05A30639"/>
    <w:rsid w:val="05B87FB7"/>
    <w:rsid w:val="062D325C"/>
    <w:rsid w:val="06A17126"/>
    <w:rsid w:val="06A905A2"/>
    <w:rsid w:val="079C6A87"/>
    <w:rsid w:val="098F62A8"/>
    <w:rsid w:val="09DC0C8E"/>
    <w:rsid w:val="0D021B1D"/>
    <w:rsid w:val="0D1A10C6"/>
    <w:rsid w:val="0DC0399B"/>
    <w:rsid w:val="0DDB664A"/>
    <w:rsid w:val="0EFE2920"/>
    <w:rsid w:val="0FC63F72"/>
    <w:rsid w:val="10314EBC"/>
    <w:rsid w:val="103277EA"/>
    <w:rsid w:val="10D733D6"/>
    <w:rsid w:val="111D4B4D"/>
    <w:rsid w:val="11A958FA"/>
    <w:rsid w:val="125814EE"/>
    <w:rsid w:val="12CA7B4C"/>
    <w:rsid w:val="12F77975"/>
    <w:rsid w:val="13246323"/>
    <w:rsid w:val="1367B80A"/>
    <w:rsid w:val="13AD12CE"/>
    <w:rsid w:val="13E62489"/>
    <w:rsid w:val="14277EE1"/>
    <w:rsid w:val="14A61854"/>
    <w:rsid w:val="155D421D"/>
    <w:rsid w:val="15B276B6"/>
    <w:rsid w:val="16704C38"/>
    <w:rsid w:val="16CE4DEC"/>
    <w:rsid w:val="183E099D"/>
    <w:rsid w:val="18C4735D"/>
    <w:rsid w:val="1A011808"/>
    <w:rsid w:val="1B2B25C6"/>
    <w:rsid w:val="1B6B3C20"/>
    <w:rsid w:val="1BE79B3F"/>
    <w:rsid w:val="1C3444AD"/>
    <w:rsid w:val="1CA56B75"/>
    <w:rsid w:val="1D7F52A7"/>
    <w:rsid w:val="1D8FFE97"/>
    <w:rsid w:val="1DC66F5B"/>
    <w:rsid w:val="1DD31CE1"/>
    <w:rsid w:val="1DEFDDCA"/>
    <w:rsid w:val="1E816369"/>
    <w:rsid w:val="1ED8781E"/>
    <w:rsid w:val="1EDE25AA"/>
    <w:rsid w:val="1F5F85DF"/>
    <w:rsid w:val="1F7D5109"/>
    <w:rsid w:val="1F7FD750"/>
    <w:rsid w:val="1FBFE192"/>
    <w:rsid w:val="1FD9096D"/>
    <w:rsid w:val="1FEA6512"/>
    <w:rsid w:val="1FF755B0"/>
    <w:rsid w:val="1FFFD121"/>
    <w:rsid w:val="20C552F7"/>
    <w:rsid w:val="23FD383B"/>
    <w:rsid w:val="243A6885"/>
    <w:rsid w:val="24C32DB0"/>
    <w:rsid w:val="266F66D4"/>
    <w:rsid w:val="26DC3C24"/>
    <w:rsid w:val="28A83AC0"/>
    <w:rsid w:val="28AF2847"/>
    <w:rsid w:val="28D64DCE"/>
    <w:rsid w:val="2903193C"/>
    <w:rsid w:val="2ADC41F2"/>
    <w:rsid w:val="2B3679AF"/>
    <w:rsid w:val="2B7FAE89"/>
    <w:rsid w:val="2BFA65B2"/>
    <w:rsid w:val="2F2B2274"/>
    <w:rsid w:val="2F3BDB87"/>
    <w:rsid w:val="2F6785B6"/>
    <w:rsid w:val="2FE95D5A"/>
    <w:rsid w:val="2FEB143D"/>
    <w:rsid w:val="2FFD13E6"/>
    <w:rsid w:val="308849B3"/>
    <w:rsid w:val="30B61C4C"/>
    <w:rsid w:val="31240945"/>
    <w:rsid w:val="327F4172"/>
    <w:rsid w:val="32906DCE"/>
    <w:rsid w:val="32DA370D"/>
    <w:rsid w:val="32F56E7E"/>
    <w:rsid w:val="336649F4"/>
    <w:rsid w:val="34825E0A"/>
    <w:rsid w:val="34ECBDAE"/>
    <w:rsid w:val="354D058B"/>
    <w:rsid w:val="35748563"/>
    <w:rsid w:val="35882F34"/>
    <w:rsid w:val="36496FD6"/>
    <w:rsid w:val="37D25DCF"/>
    <w:rsid w:val="398C2BD8"/>
    <w:rsid w:val="398F3991"/>
    <w:rsid w:val="3ADE5C19"/>
    <w:rsid w:val="3B4B3CDA"/>
    <w:rsid w:val="3BDF7869"/>
    <w:rsid w:val="3BEB0DB5"/>
    <w:rsid w:val="3BF72B2F"/>
    <w:rsid w:val="3CB44AA5"/>
    <w:rsid w:val="3CFF30F7"/>
    <w:rsid w:val="3DF70C6E"/>
    <w:rsid w:val="3E163564"/>
    <w:rsid w:val="3E7ECE69"/>
    <w:rsid w:val="3EEF65D2"/>
    <w:rsid w:val="3F136C81"/>
    <w:rsid w:val="3F77F1C2"/>
    <w:rsid w:val="3F9D6F8B"/>
    <w:rsid w:val="3FA9DA7C"/>
    <w:rsid w:val="3FBB48C6"/>
    <w:rsid w:val="3FFFE8DB"/>
    <w:rsid w:val="3FFFEA2C"/>
    <w:rsid w:val="4037219F"/>
    <w:rsid w:val="410F4E51"/>
    <w:rsid w:val="44336C57"/>
    <w:rsid w:val="453273D9"/>
    <w:rsid w:val="45BE0326"/>
    <w:rsid w:val="45FD1795"/>
    <w:rsid w:val="47743CD8"/>
    <w:rsid w:val="47BFD48E"/>
    <w:rsid w:val="4AA20B5D"/>
    <w:rsid w:val="4ACA2FF8"/>
    <w:rsid w:val="4AD55F0E"/>
    <w:rsid w:val="4B201C00"/>
    <w:rsid w:val="4C231829"/>
    <w:rsid w:val="4CFB0773"/>
    <w:rsid w:val="4DAF0342"/>
    <w:rsid w:val="4F7339B8"/>
    <w:rsid w:val="51844B46"/>
    <w:rsid w:val="52A9529F"/>
    <w:rsid w:val="53503A50"/>
    <w:rsid w:val="54EB1352"/>
    <w:rsid w:val="56665884"/>
    <w:rsid w:val="568832FC"/>
    <w:rsid w:val="573E0163"/>
    <w:rsid w:val="57FD49A4"/>
    <w:rsid w:val="5A7F8527"/>
    <w:rsid w:val="5AFC0420"/>
    <w:rsid w:val="5BFAC122"/>
    <w:rsid w:val="5BFB88B5"/>
    <w:rsid w:val="5CEC8FC3"/>
    <w:rsid w:val="5D682435"/>
    <w:rsid w:val="5D8432BA"/>
    <w:rsid w:val="5DA96142"/>
    <w:rsid w:val="5E7F09B9"/>
    <w:rsid w:val="5EBD8F35"/>
    <w:rsid w:val="5EEC7715"/>
    <w:rsid w:val="5EF82766"/>
    <w:rsid w:val="5F7752E6"/>
    <w:rsid w:val="5FFAC0FE"/>
    <w:rsid w:val="5FFB577F"/>
    <w:rsid w:val="5FFD9B27"/>
    <w:rsid w:val="60706E1E"/>
    <w:rsid w:val="614B0D5E"/>
    <w:rsid w:val="629E535C"/>
    <w:rsid w:val="63CD0FDE"/>
    <w:rsid w:val="652C7549"/>
    <w:rsid w:val="654DD9D3"/>
    <w:rsid w:val="66BF3507"/>
    <w:rsid w:val="66D71406"/>
    <w:rsid w:val="66DC8CD5"/>
    <w:rsid w:val="677E7852"/>
    <w:rsid w:val="67E7DBAB"/>
    <w:rsid w:val="6815359E"/>
    <w:rsid w:val="697B37EA"/>
    <w:rsid w:val="69AC6EAA"/>
    <w:rsid w:val="69CF1F21"/>
    <w:rsid w:val="69D73311"/>
    <w:rsid w:val="6A767450"/>
    <w:rsid w:val="6AE80E9C"/>
    <w:rsid w:val="6AEE76FF"/>
    <w:rsid w:val="6B6F63E1"/>
    <w:rsid w:val="6B6FEFF6"/>
    <w:rsid w:val="6BFBE68E"/>
    <w:rsid w:val="6BFD31A0"/>
    <w:rsid w:val="6C462C74"/>
    <w:rsid w:val="6D7EB8A7"/>
    <w:rsid w:val="6D7F8DF3"/>
    <w:rsid w:val="6DAF373D"/>
    <w:rsid w:val="6DB7A8DD"/>
    <w:rsid w:val="6DFD079A"/>
    <w:rsid w:val="6E737B27"/>
    <w:rsid w:val="6EE65194"/>
    <w:rsid w:val="6F7313D2"/>
    <w:rsid w:val="6F8E6505"/>
    <w:rsid w:val="6F9D1F17"/>
    <w:rsid w:val="6FBEBFE3"/>
    <w:rsid w:val="6FD70DB3"/>
    <w:rsid w:val="6FECD203"/>
    <w:rsid w:val="6FFAFA7D"/>
    <w:rsid w:val="6FFBFE86"/>
    <w:rsid w:val="6FFBFE87"/>
    <w:rsid w:val="6FFD008B"/>
    <w:rsid w:val="6FFDB276"/>
    <w:rsid w:val="704206A7"/>
    <w:rsid w:val="7084648B"/>
    <w:rsid w:val="70FBC6E7"/>
    <w:rsid w:val="715916C6"/>
    <w:rsid w:val="71791688"/>
    <w:rsid w:val="720D4CDF"/>
    <w:rsid w:val="724B001B"/>
    <w:rsid w:val="728C0D50"/>
    <w:rsid w:val="72DF0454"/>
    <w:rsid w:val="72E9591F"/>
    <w:rsid w:val="72F6C04B"/>
    <w:rsid w:val="73B02BDC"/>
    <w:rsid w:val="73B75C4E"/>
    <w:rsid w:val="73D4043E"/>
    <w:rsid w:val="73EFE24C"/>
    <w:rsid w:val="74C435A1"/>
    <w:rsid w:val="753D627D"/>
    <w:rsid w:val="75770EE7"/>
    <w:rsid w:val="757F2F64"/>
    <w:rsid w:val="759EA380"/>
    <w:rsid w:val="75C50F6A"/>
    <w:rsid w:val="761142AB"/>
    <w:rsid w:val="765F2759"/>
    <w:rsid w:val="777702B8"/>
    <w:rsid w:val="777F5B9C"/>
    <w:rsid w:val="77976A00"/>
    <w:rsid w:val="77DF5F2F"/>
    <w:rsid w:val="77DFEAC6"/>
    <w:rsid w:val="77EC8C22"/>
    <w:rsid w:val="77F3F6BF"/>
    <w:rsid w:val="77F7813F"/>
    <w:rsid w:val="77FF01A4"/>
    <w:rsid w:val="78FF7F9C"/>
    <w:rsid w:val="79BF7F6C"/>
    <w:rsid w:val="79CBB46B"/>
    <w:rsid w:val="79FAB9A0"/>
    <w:rsid w:val="7A035B85"/>
    <w:rsid w:val="7A3F4A1F"/>
    <w:rsid w:val="7A6A0EB5"/>
    <w:rsid w:val="7AA80AB2"/>
    <w:rsid w:val="7AF38B28"/>
    <w:rsid w:val="7B2E542C"/>
    <w:rsid w:val="7B39BE22"/>
    <w:rsid w:val="7B3F703F"/>
    <w:rsid w:val="7B899F3D"/>
    <w:rsid w:val="7B8CF129"/>
    <w:rsid w:val="7B8FCD51"/>
    <w:rsid w:val="7B953796"/>
    <w:rsid w:val="7BBD9978"/>
    <w:rsid w:val="7BED2D03"/>
    <w:rsid w:val="7BF3A19D"/>
    <w:rsid w:val="7BFB9FEA"/>
    <w:rsid w:val="7BFE42CE"/>
    <w:rsid w:val="7C347AF0"/>
    <w:rsid w:val="7CBBB4D1"/>
    <w:rsid w:val="7CBDB55E"/>
    <w:rsid w:val="7CBE95D0"/>
    <w:rsid w:val="7CDBA150"/>
    <w:rsid w:val="7CFAAFDE"/>
    <w:rsid w:val="7D7B173C"/>
    <w:rsid w:val="7DFF65E6"/>
    <w:rsid w:val="7E170BE9"/>
    <w:rsid w:val="7E1A9A1B"/>
    <w:rsid w:val="7E7E18D5"/>
    <w:rsid w:val="7ECDE25D"/>
    <w:rsid w:val="7ECFB091"/>
    <w:rsid w:val="7EDF997E"/>
    <w:rsid w:val="7EDFE356"/>
    <w:rsid w:val="7EEF8443"/>
    <w:rsid w:val="7EF3BDF1"/>
    <w:rsid w:val="7EFCE868"/>
    <w:rsid w:val="7F034E1B"/>
    <w:rsid w:val="7F6CDD2D"/>
    <w:rsid w:val="7F6F41AD"/>
    <w:rsid w:val="7F77CC52"/>
    <w:rsid w:val="7F7A994A"/>
    <w:rsid w:val="7F9FB0D6"/>
    <w:rsid w:val="7FBBEF0A"/>
    <w:rsid w:val="7FBC3E01"/>
    <w:rsid w:val="7FBF44F2"/>
    <w:rsid w:val="7FC0E0C7"/>
    <w:rsid w:val="7FC2F4F3"/>
    <w:rsid w:val="7FCFE2F3"/>
    <w:rsid w:val="7FDE5C45"/>
    <w:rsid w:val="7FDF822E"/>
    <w:rsid w:val="7FEB7962"/>
    <w:rsid w:val="7FFA01B9"/>
    <w:rsid w:val="7FFEABD7"/>
    <w:rsid w:val="7FFF3A7F"/>
    <w:rsid w:val="97F7BC3F"/>
    <w:rsid w:val="9DAFCB60"/>
    <w:rsid w:val="9EF7DEAD"/>
    <w:rsid w:val="9FBE4924"/>
    <w:rsid w:val="9FFB0CF2"/>
    <w:rsid w:val="9FFB8C45"/>
    <w:rsid w:val="A53DA77A"/>
    <w:rsid w:val="A7EB9739"/>
    <w:rsid w:val="ADBFCD4C"/>
    <w:rsid w:val="ADEBF85E"/>
    <w:rsid w:val="AE7E0B70"/>
    <w:rsid w:val="AED70540"/>
    <w:rsid w:val="B16C3190"/>
    <w:rsid w:val="B5D74284"/>
    <w:rsid w:val="B5EC6711"/>
    <w:rsid w:val="B7677A14"/>
    <w:rsid w:val="B7F6E93F"/>
    <w:rsid w:val="B7F9BE85"/>
    <w:rsid w:val="B9F231FC"/>
    <w:rsid w:val="B9FC3C6D"/>
    <w:rsid w:val="BAFDE18C"/>
    <w:rsid w:val="BB4FC0DA"/>
    <w:rsid w:val="BBBB12FA"/>
    <w:rsid w:val="BBF3AD40"/>
    <w:rsid w:val="BC6721BF"/>
    <w:rsid w:val="BD3B3B47"/>
    <w:rsid w:val="BD62BA3E"/>
    <w:rsid w:val="BD74BD11"/>
    <w:rsid w:val="BEAD12A4"/>
    <w:rsid w:val="BEFE1D23"/>
    <w:rsid w:val="BFDBBD86"/>
    <w:rsid w:val="BFFBBC2A"/>
    <w:rsid w:val="BFFF04D0"/>
    <w:rsid w:val="BFFF3865"/>
    <w:rsid w:val="C7FF8FD3"/>
    <w:rsid w:val="C94EBA3F"/>
    <w:rsid w:val="CBF7A2CC"/>
    <w:rsid w:val="CBF9E3B0"/>
    <w:rsid w:val="CD9699B5"/>
    <w:rsid w:val="CF231D8E"/>
    <w:rsid w:val="CFFFDD73"/>
    <w:rsid w:val="D17534E8"/>
    <w:rsid w:val="D7EB6385"/>
    <w:rsid w:val="D93F7E1A"/>
    <w:rsid w:val="DABFA785"/>
    <w:rsid w:val="DB9F0ECB"/>
    <w:rsid w:val="DC9844C7"/>
    <w:rsid w:val="DCBB7F67"/>
    <w:rsid w:val="DCBDC5BA"/>
    <w:rsid w:val="DD73AC21"/>
    <w:rsid w:val="DDAB6C83"/>
    <w:rsid w:val="DDFDD40C"/>
    <w:rsid w:val="DF0E1372"/>
    <w:rsid w:val="DF5F4CBD"/>
    <w:rsid w:val="DFF5858E"/>
    <w:rsid w:val="E17BFCB8"/>
    <w:rsid w:val="E4E54A6B"/>
    <w:rsid w:val="E4F5BE01"/>
    <w:rsid w:val="E5EE8177"/>
    <w:rsid w:val="E6F571BE"/>
    <w:rsid w:val="E79B9EEC"/>
    <w:rsid w:val="E9ED4E47"/>
    <w:rsid w:val="EAFB1067"/>
    <w:rsid w:val="EB3E3818"/>
    <w:rsid w:val="EBBDD244"/>
    <w:rsid w:val="EBBF1C93"/>
    <w:rsid w:val="EBCFDFEF"/>
    <w:rsid w:val="EBDDED80"/>
    <w:rsid w:val="EBF1A261"/>
    <w:rsid w:val="EBFF6617"/>
    <w:rsid w:val="ECA76847"/>
    <w:rsid w:val="ED7FD95C"/>
    <w:rsid w:val="EDE7C90F"/>
    <w:rsid w:val="EEF9062B"/>
    <w:rsid w:val="EEFE9D5D"/>
    <w:rsid w:val="EF34ECA1"/>
    <w:rsid w:val="EF58B7F1"/>
    <w:rsid w:val="EF7E7BFE"/>
    <w:rsid w:val="EF8F77D2"/>
    <w:rsid w:val="EFADD520"/>
    <w:rsid w:val="EFD6034F"/>
    <w:rsid w:val="EFEE07ED"/>
    <w:rsid w:val="EFFA3076"/>
    <w:rsid w:val="EFFD70D0"/>
    <w:rsid w:val="EFFF4291"/>
    <w:rsid w:val="F1C79F22"/>
    <w:rsid w:val="F2BFF4D3"/>
    <w:rsid w:val="F2EFD54F"/>
    <w:rsid w:val="F3FCA862"/>
    <w:rsid w:val="F3FEA2DE"/>
    <w:rsid w:val="F5FFA282"/>
    <w:rsid w:val="F6C81B6A"/>
    <w:rsid w:val="F77EADD4"/>
    <w:rsid w:val="F7CA3789"/>
    <w:rsid w:val="F7E7759C"/>
    <w:rsid w:val="F7ECB013"/>
    <w:rsid w:val="F7EF2A07"/>
    <w:rsid w:val="F7FE5ADB"/>
    <w:rsid w:val="F9FB4015"/>
    <w:rsid w:val="FA7F4B8D"/>
    <w:rsid w:val="FADF8CA1"/>
    <w:rsid w:val="FAF626CF"/>
    <w:rsid w:val="FAFF7389"/>
    <w:rsid w:val="FBB01540"/>
    <w:rsid w:val="FBCE0803"/>
    <w:rsid w:val="FBF7A869"/>
    <w:rsid w:val="FBFF0581"/>
    <w:rsid w:val="FCECBC91"/>
    <w:rsid w:val="FCED382B"/>
    <w:rsid w:val="FCFD6AF8"/>
    <w:rsid w:val="FD7FE374"/>
    <w:rsid w:val="FDDD79FC"/>
    <w:rsid w:val="FDDF787B"/>
    <w:rsid w:val="FDE77DFA"/>
    <w:rsid w:val="FDED4295"/>
    <w:rsid w:val="FDEE8438"/>
    <w:rsid w:val="FDFBC0FC"/>
    <w:rsid w:val="FDFD6C76"/>
    <w:rsid w:val="FDFDFEF3"/>
    <w:rsid w:val="FE9FF5AA"/>
    <w:rsid w:val="FEBD1C7B"/>
    <w:rsid w:val="FEBF1A22"/>
    <w:rsid w:val="FEBF9CB9"/>
    <w:rsid w:val="FEDEA38A"/>
    <w:rsid w:val="FEDF6C5C"/>
    <w:rsid w:val="FEE520D4"/>
    <w:rsid w:val="FEFD9271"/>
    <w:rsid w:val="FEFE8765"/>
    <w:rsid w:val="FEFFC5FB"/>
    <w:rsid w:val="FEFFD643"/>
    <w:rsid w:val="FFAB1707"/>
    <w:rsid w:val="FFB5EDAF"/>
    <w:rsid w:val="FFB9B678"/>
    <w:rsid w:val="FFBE7836"/>
    <w:rsid w:val="FFDB14E5"/>
    <w:rsid w:val="FFDB4C69"/>
    <w:rsid w:val="FFDD1E56"/>
    <w:rsid w:val="FFE7E6F5"/>
    <w:rsid w:val="FFEF26DE"/>
    <w:rsid w:val="FFF721E8"/>
    <w:rsid w:val="FFF7C74A"/>
    <w:rsid w:val="FFF9AE99"/>
    <w:rsid w:val="FFFF38C7"/>
    <w:rsid w:val="FFFF6D0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3"/>
    <w:next w:val="1"/>
    <w:link w:val="27"/>
    <w:qFormat/>
    <w:uiPriority w:val="0"/>
    <w:pPr>
      <w:keepNext/>
      <w:keepLines/>
      <w:tabs>
        <w:tab w:val="right" w:leader="dot" w:pos="9060"/>
      </w:tabs>
      <w:spacing w:after="120" w:line="360" w:lineRule="auto"/>
      <w:outlineLvl w:val="0"/>
    </w:pPr>
    <w:rPr>
      <w:kern w:val="44"/>
      <w:sz w:val="28"/>
      <w:szCs w:val="28"/>
    </w:rPr>
  </w:style>
  <w:style w:type="paragraph" w:styleId="4">
    <w:name w:val="heading 2"/>
    <w:basedOn w:val="5"/>
    <w:next w:val="1"/>
    <w:qFormat/>
    <w:uiPriority w:val="0"/>
    <w:pPr>
      <w:keepNext/>
      <w:keepLines/>
      <w:tabs>
        <w:tab w:val="right" w:leader="dot" w:pos="9060"/>
      </w:tabs>
      <w:spacing w:before="120" w:after="120" w:line="415" w:lineRule="auto"/>
      <w:ind w:left="454"/>
      <w:jc w:val="center"/>
      <w:outlineLvl w:val="1"/>
    </w:pPr>
    <w:rPr>
      <w:rFonts w:ascii="Arial" w:hAnsi="Arial"/>
      <w:b/>
      <w:color w:val="000000"/>
      <w:sz w:val="24"/>
      <w:szCs w:val="24"/>
    </w:rPr>
  </w:style>
  <w:style w:type="paragraph" w:styleId="6">
    <w:name w:val="heading 3"/>
    <w:basedOn w:val="1"/>
    <w:next w:val="1"/>
    <w:qFormat/>
    <w:uiPriority w:val="0"/>
    <w:pPr>
      <w:widowControl/>
      <w:spacing w:before="100" w:beforeAutospacing="1" w:after="100" w:afterAutospacing="1"/>
      <w:jc w:val="left"/>
      <w:outlineLvl w:val="2"/>
    </w:pPr>
    <w:rPr>
      <w:rFonts w:ascii="宋体" w:hAnsi="宋体" w:cs="宋体"/>
      <w:kern w:val="0"/>
      <w:sz w:val="27"/>
      <w:szCs w:val="27"/>
    </w:rPr>
  </w:style>
  <w:style w:type="character" w:default="1" w:styleId="19">
    <w:name w:val="Default Paragraph Font"/>
    <w:semiHidden/>
    <w:qFormat/>
    <w:uiPriority w:val="0"/>
  </w:style>
  <w:style w:type="table" w:default="1" w:styleId="18">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toc 1"/>
    <w:basedOn w:val="1"/>
    <w:next w:val="1"/>
    <w:qFormat/>
    <w:uiPriority w:val="39"/>
    <w:pPr>
      <w:tabs>
        <w:tab w:val="right" w:leader="dot" w:pos="9060"/>
      </w:tabs>
      <w:adjustRightInd w:val="0"/>
      <w:snapToGrid w:val="0"/>
      <w:spacing w:line="360" w:lineRule="auto"/>
      <w:jc w:val="left"/>
      <w:textAlignment w:val="baseline"/>
    </w:pPr>
    <w:rPr>
      <w:rFonts w:ascii="宋体" w:hAnsi="宋体"/>
      <w:caps/>
      <w:kern w:val="0"/>
      <w:sz w:val="24"/>
      <w:szCs w:val="32"/>
    </w:rPr>
  </w:style>
  <w:style w:type="paragraph" w:styleId="5">
    <w:name w:val="toc 2"/>
    <w:basedOn w:val="1"/>
    <w:next w:val="1"/>
    <w:qFormat/>
    <w:uiPriority w:val="39"/>
    <w:pPr>
      <w:tabs>
        <w:tab w:val="right" w:leader="dot" w:pos="9060"/>
      </w:tabs>
      <w:snapToGrid w:val="0"/>
      <w:spacing w:line="360" w:lineRule="auto"/>
      <w:ind w:left="420" w:leftChars="200"/>
      <w:jc w:val="left"/>
    </w:pPr>
    <w:rPr>
      <w:rFonts w:ascii="Times New Roman" w:hAnsi="Times New Roman"/>
      <w:sz w:val="24"/>
      <w:szCs w:val="24"/>
    </w:rPr>
  </w:style>
  <w:style w:type="paragraph" w:styleId="7">
    <w:name w:val="Normal Indent"/>
    <w:basedOn w:val="1"/>
    <w:qFormat/>
    <w:uiPriority w:val="0"/>
    <w:pPr>
      <w:ind w:firstLine="420"/>
    </w:pPr>
    <w:rPr>
      <w:rFonts w:ascii="Times New Roman" w:hAnsi="Times New Roman"/>
      <w:szCs w:val="20"/>
    </w:rPr>
  </w:style>
  <w:style w:type="paragraph" w:styleId="8">
    <w:name w:val="annotation text"/>
    <w:basedOn w:val="1"/>
    <w:qFormat/>
    <w:uiPriority w:val="0"/>
    <w:pPr>
      <w:jc w:val="left"/>
    </w:pPr>
  </w:style>
  <w:style w:type="paragraph" w:styleId="9">
    <w:name w:val="Body Text"/>
    <w:basedOn w:val="1"/>
    <w:qFormat/>
    <w:uiPriority w:val="0"/>
    <w:pPr>
      <w:spacing w:after="120"/>
    </w:pPr>
    <w:rPr>
      <w:rFonts w:ascii="Times New Roman" w:hAnsi="Times New Roman"/>
      <w:szCs w:val="20"/>
    </w:rPr>
  </w:style>
  <w:style w:type="paragraph" w:styleId="10">
    <w:name w:val="Plain Text"/>
    <w:basedOn w:val="1"/>
    <w:next w:val="1"/>
    <w:qFormat/>
    <w:uiPriority w:val="0"/>
    <w:pPr>
      <w:keepNext w:val="0"/>
      <w:keepLines w:val="0"/>
      <w:widowControl w:val="0"/>
      <w:suppressLineNumbers w:val="0"/>
      <w:spacing w:before="0" w:beforeAutospacing="0" w:after="0" w:afterAutospacing="0"/>
      <w:ind w:left="0" w:right="0"/>
      <w:jc w:val="both"/>
    </w:pPr>
    <w:rPr>
      <w:rFonts w:hint="eastAsia" w:ascii="宋体" w:hAnsi="Courier New" w:eastAsia="宋体" w:cs="Times New Roman"/>
      <w:kern w:val="2"/>
      <w:sz w:val="21"/>
      <w:szCs w:val="21"/>
      <w:lang w:val="en-US" w:eastAsia="zh-CN" w:bidi="ar"/>
    </w:rPr>
  </w:style>
  <w:style w:type="paragraph" w:styleId="11">
    <w:name w:val="Date"/>
    <w:basedOn w:val="1"/>
    <w:next w:val="1"/>
    <w:qFormat/>
    <w:uiPriority w:val="0"/>
    <w:rPr>
      <w:rFonts w:ascii="Times New Roman" w:hAnsi="Times New Roman"/>
      <w:szCs w:val="20"/>
    </w:rPr>
  </w:style>
  <w:style w:type="paragraph" w:styleId="12">
    <w:name w:val="footer"/>
    <w:basedOn w:val="1"/>
    <w:link w:val="34"/>
    <w:unhideWhenUsed/>
    <w:qFormat/>
    <w:uiPriority w:val="0"/>
    <w:pPr>
      <w:tabs>
        <w:tab w:val="center" w:pos="4153"/>
        <w:tab w:val="right" w:pos="8306"/>
      </w:tabs>
      <w:snapToGrid w:val="0"/>
      <w:jc w:val="left"/>
    </w:pPr>
    <w:rPr>
      <w:sz w:val="18"/>
      <w:szCs w:val="18"/>
    </w:rPr>
  </w:style>
  <w:style w:type="paragraph" w:styleId="13">
    <w:name w:val="header"/>
    <w:basedOn w:val="1"/>
    <w:link w:val="32"/>
    <w:unhideWhenUsed/>
    <w:qFormat/>
    <w:uiPriority w:val="0"/>
    <w:pPr>
      <w:pBdr>
        <w:bottom w:val="single" w:color="auto" w:sz="6" w:space="1"/>
      </w:pBdr>
      <w:tabs>
        <w:tab w:val="center" w:pos="4153"/>
        <w:tab w:val="right" w:pos="8306"/>
      </w:tabs>
      <w:snapToGrid w:val="0"/>
      <w:jc w:val="center"/>
    </w:pPr>
    <w:rPr>
      <w:sz w:val="18"/>
      <w:szCs w:val="18"/>
    </w:rPr>
  </w:style>
  <w:style w:type="paragraph" w:styleId="14">
    <w:name w:val="Body Text 2"/>
    <w:basedOn w:val="1"/>
    <w:qFormat/>
    <w:uiPriority w:val="0"/>
    <w:rPr>
      <w:rFonts w:ascii="宋体" w:hAnsi="宋体"/>
      <w:szCs w:val="24"/>
      <w:u w:val="single"/>
    </w:rPr>
  </w:style>
  <w:style w:type="paragraph" w:styleId="15">
    <w:name w:val="Normal (Web)"/>
    <w:basedOn w:val="1"/>
    <w:qFormat/>
    <w:uiPriority w:val="0"/>
    <w:pPr>
      <w:widowControl/>
      <w:spacing w:before="100" w:beforeAutospacing="1" w:after="100" w:afterAutospacing="1"/>
      <w:jc w:val="left"/>
    </w:pPr>
    <w:rPr>
      <w:rFonts w:ascii="宋体" w:hAnsi="宋体"/>
      <w:kern w:val="0"/>
      <w:sz w:val="24"/>
      <w:szCs w:val="24"/>
    </w:rPr>
  </w:style>
  <w:style w:type="paragraph" w:styleId="16">
    <w:name w:val="Title"/>
    <w:basedOn w:val="1"/>
    <w:qFormat/>
    <w:uiPriority w:val="0"/>
    <w:pPr>
      <w:spacing w:before="120" w:after="60"/>
      <w:jc w:val="center"/>
    </w:pPr>
    <w:rPr>
      <w:rFonts w:ascii="Arial" w:hAnsi="Arial"/>
      <w:b/>
      <w:sz w:val="44"/>
      <w:szCs w:val="20"/>
    </w:rPr>
  </w:style>
  <w:style w:type="paragraph" w:styleId="17">
    <w:name w:val="Body Text First Indent"/>
    <w:basedOn w:val="9"/>
    <w:qFormat/>
    <w:uiPriority w:val="0"/>
    <w:pPr>
      <w:ind w:firstLine="420"/>
    </w:pPr>
  </w:style>
  <w:style w:type="character" w:styleId="20">
    <w:name w:val="page number"/>
    <w:qFormat/>
    <w:uiPriority w:val="0"/>
    <w:rPr>
      <w:rFonts w:cs="Times New Roman"/>
    </w:rPr>
  </w:style>
  <w:style w:type="character" w:styleId="21">
    <w:name w:val="Hyperlink"/>
    <w:qFormat/>
    <w:uiPriority w:val="99"/>
    <w:rPr>
      <w:color w:val="0000FF"/>
      <w:u w:val="single"/>
    </w:rPr>
  </w:style>
  <w:style w:type="paragraph" w:customStyle="1" w:styleId="22">
    <w:name w:val="公文正文"/>
    <w:qFormat/>
    <w:uiPriority w:val="0"/>
    <w:pPr>
      <w:widowControl w:val="0"/>
      <w:spacing w:line="360" w:lineRule="auto"/>
      <w:ind w:firstLine="629"/>
      <w:jc w:val="both"/>
    </w:pPr>
    <w:rPr>
      <w:rFonts w:ascii="仿宋_GB2312" w:hAnsi="Calisto MT" w:eastAsia="仿宋_GB2312" w:cs="Times New Roman"/>
      <w:color w:val="000000"/>
      <w:sz w:val="32"/>
      <w:lang w:val="en-US" w:eastAsia="zh-CN" w:bidi="ar-SA"/>
    </w:rPr>
  </w:style>
  <w:style w:type="paragraph" w:customStyle="1" w:styleId="23">
    <w:name w:val="发文落款"/>
    <w:basedOn w:val="22"/>
    <w:qFormat/>
    <w:uiPriority w:val="0"/>
    <w:pPr>
      <w:ind w:left="4094" w:right="607" w:firstLine="0"/>
      <w:jc w:val="center"/>
    </w:pPr>
  </w:style>
  <w:style w:type="paragraph" w:customStyle="1" w:styleId="24">
    <w:name w:val="_Style 3"/>
    <w:basedOn w:val="1"/>
    <w:qFormat/>
    <w:uiPriority w:val="0"/>
    <w:rPr>
      <w:rFonts w:cs="宋体"/>
      <w:szCs w:val="21"/>
    </w:rPr>
  </w:style>
  <w:style w:type="paragraph" w:customStyle="1" w:styleId="25">
    <w:name w:val="正题"/>
    <w:basedOn w:val="1"/>
    <w:next w:val="1"/>
    <w:qFormat/>
    <w:uiPriority w:val="0"/>
    <w:pPr>
      <w:topLinePunct/>
      <w:adjustRightInd w:val="0"/>
      <w:snapToGrid w:val="0"/>
      <w:spacing w:line="360" w:lineRule="auto"/>
      <w:jc w:val="center"/>
    </w:pPr>
    <w:rPr>
      <w:rFonts w:ascii="Times New Roman" w:hAnsi="Times New Roman" w:eastAsia="黑体"/>
      <w:b/>
      <w:spacing w:val="4"/>
      <w:kern w:val="0"/>
      <w:sz w:val="36"/>
      <w:szCs w:val="36"/>
    </w:rPr>
  </w:style>
  <w:style w:type="paragraph" w:styleId="26">
    <w:name w:val="List Paragraph"/>
    <w:basedOn w:val="1"/>
    <w:qFormat/>
    <w:uiPriority w:val="34"/>
    <w:pPr>
      <w:ind w:firstLine="420" w:firstLineChars="200"/>
    </w:pPr>
    <w:rPr>
      <w:rFonts w:ascii="Times New Roman" w:hAnsi="Times New Roman"/>
      <w:szCs w:val="20"/>
    </w:rPr>
  </w:style>
  <w:style w:type="character" w:customStyle="1" w:styleId="27">
    <w:name w:val="标题 1 Char"/>
    <w:link w:val="2"/>
    <w:qFormat/>
    <w:uiPriority w:val="0"/>
    <w:rPr>
      <w:kern w:val="44"/>
      <w:sz w:val="28"/>
      <w:szCs w:val="28"/>
    </w:rPr>
  </w:style>
  <w:style w:type="character" w:customStyle="1" w:styleId="28">
    <w:name w:val="标题 1 字符1"/>
    <w:qFormat/>
    <w:uiPriority w:val="0"/>
    <w:rPr>
      <w:rFonts w:ascii="Arial" w:hAnsi="Arial" w:eastAsia="宋体"/>
      <w:b/>
      <w:kern w:val="44"/>
      <w:sz w:val="28"/>
      <w:szCs w:val="28"/>
    </w:rPr>
  </w:style>
  <w:style w:type="paragraph" w:customStyle="1" w:styleId="29">
    <w:name w:val="文一"/>
    <w:basedOn w:val="1"/>
    <w:qFormat/>
    <w:uiPriority w:val="0"/>
    <w:pPr>
      <w:widowControl/>
      <w:topLinePunct/>
      <w:adjustRightInd w:val="0"/>
      <w:snapToGrid w:val="0"/>
      <w:spacing w:after="200" w:line="360" w:lineRule="auto"/>
      <w:ind w:firstLine="200" w:firstLineChars="200"/>
      <w:jc w:val="left"/>
    </w:pPr>
    <w:rPr>
      <w:rFonts w:ascii="等线" w:hAnsi="等线" w:eastAsia="等线"/>
      <w:spacing w:val="4"/>
      <w:kern w:val="0"/>
      <w:sz w:val="24"/>
      <w:szCs w:val="24"/>
    </w:rPr>
  </w:style>
  <w:style w:type="character" w:customStyle="1" w:styleId="30">
    <w:name w:val="16"/>
    <w:basedOn w:val="19"/>
    <w:qFormat/>
    <w:uiPriority w:val="0"/>
    <w:rPr>
      <w:rFonts w:hint="eastAsia" w:ascii="宋体" w:hAnsi="宋体" w:eastAsia="宋体" w:cs="宋体"/>
      <w:b/>
      <w:color w:val="FF0000"/>
      <w:sz w:val="24"/>
      <w:szCs w:val="24"/>
      <w:u w:val="single"/>
    </w:rPr>
  </w:style>
  <w:style w:type="character" w:customStyle="1" w:styleId="31">
    <w:name w:val="页眉 字符"/>
    <w:basedOn w:val="19"/>
    <w:qFormat/>
    <w:uiPriority w:val="0"/>
    <w:rPr>
      <w:rFonts w:hint="default" w:ascii="Calibri" w:hAnsi="Calibri" w:eastAsia="宋体" w:cs="Times New Roman"/>
      <w:kern w:val="2"/>
      <w:sz w:val="18"/>
      <w:szCs w:val="18"/>
    </w:rPr>
  </w:style>
  <w:style w:type="character" w:customStyle="1" w:styleId="32">
    <w:name w:val="页眉 Char"/>
    <w:basedOn w:val="19"/>
    <w:link w:val="13"/>
    <w:qFormat/>
    <w:uiPriority w:val="0"/>
    <w:rPr>
      <w:sz w:val="18"/>
      <w:szCs w:val="18"/>
    </w:rPr>
  </w:style>
  <w:style w:type="character" w:customStyle="1" w:styleId="33">
    <w:name w:val="页脚 字符"/>
    <w:basedOn w:val="19"/>
    <w:qFormat/>
    <w:uiPriority w:val="0"/>
    <w:rPr>
      <w:rFonts w:hint="default" w:ascii="Calibri" w:hAnsi="Calibri" w:eastAsia="宋体" w:cs="Times New Roman"/>
      <w:kern w:val="2"/>
      <w:sz w:val="18"/>
      <w:szCs w:val="18"/>
    </w:rPr>
  </w:style>
  <w:style w:type="character" w:customStyle="1" w:styleId="34">
    <w:name w:val="页脚 Char"/>
    <w:basedOn w:val="19"/>
    <w:link w:val="12"/>
    <w:qFormat/>
    <w:uiPriority w:val="0"/>
    <w:rPr>
      <w:sz w:val="18"/>
      <w:szCs w:val="18"/>
    </w:rPr>
  </w:style>
  <w:style w:type="character" w:customStyle="1" w:styleId="35">
    <w:name w:val="15"/>
    <w:basedOn w:val="19"/>
    <w:qFormat/>
    <w:uiPriority w:val="0"/>
    <w:rPr>
      <w:rFonts w:hint="default" w:ascii="Times New Roman" w:hAnsi="Times New Roman" w:cs="Times New Roman"/>
    </w:rPr>
  </w:style>
  <w:style w:type="paragraph" w:customStyle="1" w:styleId="36">
    <w:name w:val="Body text|3"/>
    <w:basedOn w:val="1"/>
    <w:qFormat/>
    <w:uiPriority w:val="0"/>
    <w:pPr>
      <w:widowControl w:val="0"/>
      <w:shd w:val="clear" w:color="auto" w:fill="auto"/>
    </w:pPr>
    <w:rPr>
      <w:rFonts w:ascii="宋体" w:hAnsi="宋体" w:eastAsia="宋体" w:cs="宋体"/>
      <w:sz w:val="20"/>
      <w:szCs w:val="20"/>
      <w:u w:val="none"/>
      <w:shd w:val="clear" w:color="auto" w:fill="auto"/>
      <w:lang w:val="zh-TW" w:eastAsia="zh-TW" w:bidi="zh-TW"/>
    </w:rPr>
  </w:style>
  <w:style w:type="paragraph" w:customStyle="1" w:styleId="37">
    <w:name w:val="WPSOffice手动目录 1"/>
    <w:qFormat/>
    <w:uiPriority w:val="0"/>
    <w:rPr>
      <w:rFonts w:ascii="Times New Roman" w:hAnsi="Times New Roman" w:eastAsia="宋体" w:cs="Times New Roman"/>
      <w:lang w:val="en-US" w:eastAsia="zh-CN" w:bidi="ar-SA"/>
    </w:rPr>
  </w:style>
  <w:style w:type="paragraph" w:customStyle="1" w:styleId="38">
    <w:name w:val="WPSOffice手动目录 2"/>
    <w:qFormat/>
    <w:uiPriority w:val="0"/>
    <w:pPr>
      <w:ind w:leftChars="200"/>
    </w:pPr>
    <w:rPr>
      <w:rFonts w:ascii="Times New Roman" w:hAnsi="Times New Roman" w:eastAsia="宋体" w:cs="Times New Roman"/>
      <w:lang w:val="en-US" w:eastAsia="zh-CN" w:bidi="ar-SA"/>
    </w:rPr>
  </w:style>
  <w:style w:type="paragraph" w:customStyle="1" w:styleId="39">
    <w:name w:val="样式1"/>
    <w:basedOn w:val="16"/>
    <w:qFormat/>
    <w:uiPriority w:val="0"/>
    <w:pPr>
      <w:numPr>
        <w:ilvl w:val="0"/>
        <w:numId w:val="1"/>
      </w:numPr>
      <w:spacing w:line="560" w:lineRule="exact"/>
      <w:jc w:val="left"/>
    </w:pPr>
    <w:rPr>
      <w:rFonts w:ascii="Cambria" w:eastAsia="黑体" w:cs="Times New Roman"/>
    </w:rPr>
  </w:style>
  <w:style w:type="paragraph" w:customStyle="1" w:styleId="40">
    <w:name w:val="文二"/>
    <w:basedOn w:val="1"/>
    <w:qFormat/>
    <w:uiPriority w:val="99"/>
    <w:pPr>
      <w:jc w:val="left"/>
    </w:pPr>
    <w:rPr>
      <w:rFonts w:ascii="宋体" w:hAnsi="宋体"/>
      <w:szCs w:val="21"/>
    </w:rPr>
  </w:style>
  <w:style w:type="paragraph" w:customStyle="1" w:styleId="41">
    <w:name w:val="章节三"/>
    <w:basedOn w:val="29"/>
    <w:next w:val="29"/>
    <w:qFormat/>
    <w:uiPriority w:val="0"/>
    <w:pPr>
      <w:spacing w:beforeLines="50" w:line="240" w:lineRule="auto"/>
      <w:ind w:firstLine="0" w:firstLineChars="0"/>
      <w:jc w:val="left"/>
      <w:outlineLvl w:val="2"/>
    </w:pPr>
    <w:rPr>
      <w:rFonts w:ascii="黑体" w:hAnsi="宋体" w:eastAsia="黑体"/>
      <w:b/>
    </w:rPr>
  </w:style>
  <w:style w:type="character" w:customStyle="1" w:styleId="42">
    <w:name w:val="10"/>
    <w:basedOn w:val="19"/>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jpe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CCE8C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137</Pages>
  <Words>77508</Words>
  <Characters>80381</Characters>
  <Lines>1</Lines>
  <Paragraphs>1</Paragraphs>
  <TotalTime>48</TotalTime>
  <ScaleCrop>false</ScaleCrop>
  <LinksUpToDate>false</LinksUpToDate>
  <CharactersWithSpaces>83528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2024-03-16T00:29:00Z</dcterms:created>
  <dc:creator>Y.sisi</dc:creator>
  <cp:lastModifiedBy>cp</cp:lastModifiedBy>
  <dcterms:modified xsi:type="dcterms:W3CDTF">2024-05-30T03:51:46Z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ED78C46780054067B6A5C5051CF8A861_13</vt:lpwstr>
  </property>
</Properties>
</file>