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440101-2024-05207</w:t>
      </w:r>
    </w:p>
    <w:p>
      <w:pPr>
        <w:pStyle w:val="null3"/>
        <w:jc w:val="center"/>
        <w:outlineLvl w:val="3"/>
      </w:pPr>
      <w:r>
        <w:rPr>
          <w:sz w:val="24"/>
          <w:b/>
        </w:rPr>
        <w:t>采购项目编号：</w:t>
      </w:r>
      <w:r>
        <w:rPr>
          <w:sz w:val="24"/>
          <w:b/>
        </w:rPr>
        <w:t>CZ2024-0432</w:t>
      </w:r>
    </w:p>
    <w:p>
      <w:pPr>
        <w:pStyle w:val="null3"/>
        <w:jc w:val="center"/>
        <w:outlineLvl w:val="3"/>
      </w:pPr>
      <w:r>
        <w:rPr>
          <w:sz w:val="24"/>
          <w:b/>
        </w:rPr>
        <w:t>项目名称：</w:t>
      </w:r>
      <w:r>
        <w:rPr>
          <w:sz w:val="24"/>
          <w:b/>
        </w:rPr>
        <w:t>广州番禺职业技术学院巡课系统环境配套升级、广州番禺职业技术学院2024年信息化建设项目-子包二</w:t>
      </w:r>
    </w:p>
    <w:p>
      <w:pPr>
        <w:pStyle w:val="null3"/>
        <w:jc w:val="center"/>
        <w:outlineLvl w:val="3"/>
      </w:pPr>
      <w:r>
        <w:rPr>
          <w:sz w:val="24"/>
          <w:b/>
        </w:rPr>
        <w:t>采购人：</w:t>
      </w:r>
      <w:r>
        <w:rPr>
          <w:sz w:val="24"/>
          <w:b/>
        </w:rPr>
        <w:t>广州番禺职业技术学院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广州番禺职业技术学院</w:t>
      </w:r>
      <w:r>
        <w:rPr/>
        <w:t>的委托，采用</w:t>
      </w:r>
      <w:r>
        <w:rPr/>
        <w:t>公开招标</w:t>
      </w:r>
      <w:r>
        <w:rPr/>
        <w:t>方式组织采购</w:t>
      </w:r>
      <w:r>
        <w:rPr/>
        <w:t>广州番禺职业技术学院巡课系统环境配套升级、广州番禺职业技术学院2024年信息化建设项目-子包二</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广州番禺职业技术学院巡课系统环境配套升级、广州番禺职业技术学院2024年信息化建设项目-子包二</w:t>
      </w:r>
    </w:p>
    <w:p>
      <w:pPr>
        <w:pStyle w:val="null3"/>
        <w:ind w:firstLine="480"/>
      </w:pPr>
      <w:r>
        <w:rPr/>
        <w:t>采购计划编号：</w:t>
      </w:r>
      <w:r>
        <w:rPr/>
        <w:t>440101-2024-05207</w:t>
      </w:r>
    </w:p>
    <w:p>
      <w:pPr>
        <w:pStyle w:val="null3"/>
        <w:ind w:firstLine="480"/>
      </w:pPr>
      <w:r>
        <w:rPr/>
        <w:t>采购项目编号：</w:t>
      </w:r>
      <w:r>
        <w:rPr/>
        <w:t>CZ2024-0432</w:t>
      </w:r>
    </w:p>
    <w:p>
      <w:pPr>
        <w:pStyle w:val="null3"/>
        <w:ind w:firstLine="480"/>
      </w:pPr>
      <w:r>
        <w:rPr/>
        <w:t>采购方式：</w:t>
      </w:r>
      <w:r>
        <w:rPr/>
        <w:t>公开招标</w:t>
      </w:r>
    </w:p>
    <w:p>
      <w:pPr>
        <w:pStyle w:val="null3"/>
        <w:ind w:firstLine="480"/>
      </w:pPr>
      <w:r>
        <w:rPr/>
        <w:t>预算金额：</w:t>
      </w:r>
      <w:r>
        <w:rPr/>
        <w:t>1,230,000.00</w:t>
      </w:r>
      <w:r>
        <w:rPr/>
        <w:t>元</w:t>
      </w:r>
    </w:p>
    <w:p>
      <w:pPr>
        <w:pStyle w:val="null3"/>
        <w:outlineLvl w:val="3"/>
      </w:pPr>
      <w:r>
        <w:rPr>
          <w:sz w:val="24"/>
          <w:b/>
        </w:rPr>
        <w:t>2.项目内容及需求情况（采购项目技术规格、参数及要求）</w:t>
      </w:r>
    </w:p>
    <w:p>
      <w:pPr>
        <w:pStyle w:val="null3"/>
      </w:pPr>
      <w:r>
        <w:rPr/>
        <w:t>采购包1(广州番禺职业技术学院巡课系统环境配套升级、广州番禺职业技术学院2024年信息化建设项目-子包二):</w:t>
      </w:r>
    </w:p>
    <w:p>
      <w:pPr>
        <w:pStyle w:val="null3"/>
      </w:pPr>
      <w:r>
        <w:rPr/>
        <w:t>采购包预算金额：1,230,000.00元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其他信息安全设备</w:t>
            </w:r>
          </w:p>
        </w:tc>
        <w:tc>
          <w:tcPr>
            <w:tcW w:type="dxa" w:w="2052"/>
          </w:tcPr>
          <w:p>
            <w:pPr>
              <w:pStyle w:val="null3"/>
            </w:pPr>
            <w:r>
              <w:rPr/>
              <w:t>设备</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1,230,000.00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合同履行期限：必须在合同签订后20个工作日内完成供货、60个工作日内完成部署实施及设备上线，期间如遇寒、暑假则工期顺延。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采购包1（广州番禺职业技术学院巡课系统环境配套升级、广州番禺职业技术学院2024年信息化建设项目-子包二）：</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Pr>
        <w:pStyle w:val="null3"/>
        <w:outlineLvl w:val="3"/>
      </w:pPr>
      <w:r>
        <w:rPr>
          <w:sz w:val="24"/>
          <w:b/>
        </w:rPr>
        <w:t>3.本项目特定的资格要求：</w:t>
      </w:r>
    </w:p>
    <w:p>
      <w:pPr>
        <w:pStyle w:val="null3"/>
      </w:pPr>
      <w:r>
        <w:rPr/>
        <w:t>采购包1（广州番禺职业技术学院巡课系统环境配套升级、广州番禺职业技术学院2024年信息化建设项目-子包二）：</w:t>
      </w:r>
    </w:p>
    <w:p>
      <w:pPr>
        <w:pStyle w:val="null3"/>
      </w:pPr>
      <w:r>
        <w:rPr/>
        <w:t>1)1.本项目不接受联合体投标。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广州番禺职业技术学院</w:t>
      </w:r>
    </w:p>
    <w:p>
      <w:pPr>
        <w:pStyle w:val="null3"/>
        <w:ind w:firstLine="480"/>
      </w:pPr>
      <w:r>
        <w:rPr/>
        <w:t xml:space="preserve"> 地址：</w:t>
      </w:r>
      <w:r>
        <w:rPr/>
        <w:t>广州番禺沙湾镇市良路1342号</w:t>
      </w:r>
    </w:p>
    <w:p>
      <w:pPr>
        <w:pStyle w:val="null3"/>
        <w:ind w:firstLine="480"/>
      </w:pPr>
      <w:r>
        <w:rPr/>
        <w:t xml:space="preserve"> 联系方式：</w:t>
      </w:r>
      <w:r>
        <w:rPr/>
        <w:t>34832745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1492156</w:t>
      </w:r>
    </w:p>
    <w:p>
      <w:pPr>
        <w:pStyle w:val="null3"/>
        <w:outlineLvl w:val="3"/>
      </w:pPr>
      <w:r>
        <w:rPr>
          <w:sz w:val="24"/>
          <w:b/>
        </w:rPr>
        <w:t xml:space="preserve"> 3.项目联系方式</w:t>
      </w:r>
    </w:p>
    <w:p>
      <w:pPr>
        <w:pStyle w:val="null3"/>
        <w:ind w:firstLine="480"/>
      </w:pPr>
      <w:r>
        <w:rPr/>
        <w:t xml:space="preserve"> 项目联系人：</w:t>
      </w:r>
      <w:r>
        <w:rPr/>
        <w:t>冯西韵</w:t>
      </w:r>
    </w:p>
    <w:p>
      <w:pPr>
        <w:pStyle w:val="null3"/>
        <w:ind w:firstLine="480"/>
      </w:pPr>
      <w:r>
        <w:rPr/>
        <w:t xml:space="preserve"> 电话：</w:t>
      </w:r>
      <w:r>
        <w:rPr/>
        <w:t>1492156</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详见公告附件：《第二章 采购需求》</w:t>
      </w:r>
    </w:p>
    <w:p>
      <w:pPr>
        <w:pStyle w:val="null3"/>
      </w:pPr>
      <w:r>
        <w:rPr/>
        <w:t>采购包1（广州番禺职业技术学院巡课系统环境配套升级、广州番禺职业技术学院2024年信息化建设项目-子包二）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必须在合同签订后20个工作日内完成供货、60个工作日内完成部署实施及设备上线，期间如遇寒、暑假则工期顺延。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其他信息安全设备</w:t>
            </w:r>
          </w:p>
        </w:tc>
        <w:tc>
          <w:tcPr>
            <w:tcW w:type="dxa" w:w="831"/>
          </w:tcPr>
          <w:p>
            <w:pPr>
              <w:pStyle w:val="null3"/>
              <w:jc w:val="left"/>
            </w:pPr>
            <w:r>
              <w:rPr/>
              <w:t>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1,230,000.00</w:t>
            </w:r>
          </w:p>
        </w:tc>
        <w:tc>
          <w:tcPr>
            <w:tcW w:type="dxa" w:w="831"/>
          </w:tcPr>
          <w:p>
            <w:pPr>
              <w:pStyle w:val="null3"/>
              <w:jc w:val="right"/>
            </w:pPr>
            <w:r>
              <w:rPr/>
              <w:t>1,230,000.00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 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一、综合信用得分， （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p>
            <w:pPr>
              <w:pStyle w:val="null3"/>
              <w:jc w:val="left"/>
            </w:pPr>
            <w:r>
              <w:rPr/>
              <w:t>二、履约评价。 ，采购人负责对中标供应商的履约行为进行评价。采购人在合同备案后可通过广东政府采购智慧云平台-诚信管理-评价管理进行评价。评价结果会影响供应商的综合信用得分。</w:t>
            </w:r>
          </w:p>
          <w:p>
            <w:pPr>
              <w:pStyle w:val="null3"/>
              <w:jc w:val="left"/>
            </w:pPr>
            <w:r>
              <w:rPr/>
              <w:t>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番禺职业技术学院巡课系统环境配套升级、广州番禺职业技术学院2024年信息化建设项目-子包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采购包1（广州番禺职业技术学院巡课系统环境配套升级、广州番禺职业技术学院2024年信息化建设项目-子包二）：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采购包1（广州番禺职业技术学院巡课系统环境配套升级、广州番禺职业技术学院2024年信息化建设项目-子包二）：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Pr>
        <w:pStyle w:val="null3"/>
        <w:ind w:firstLine="480"/>
      </w:pPr>
      <w:r>
        <w:rPr/>
        <w:t>表二符合性审查表：</w:t>
      </w:r>
    </w:p>
    <w:p>
      <w:pPr>
        <w:pStyle w:val="null3"/>
      </w:pPr>
      <w:r>
        <w:rPr/>
        <w:t>采购包1（广州番禺职业技术学院巡课系统环境配套升级、广州番禺职业技术学院2024年信息化建设项目-子包二）：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采购包1(广州番禺职业技术学院巡课系统环境配套升级、广州番禺职业技术学院2024年信息化建设项目-子包二):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对采购需求带“▲”项响应情况 (22.0分)</w:t>
            </w:r>
          </w:p>
        </w:tc>
        <w:tc>
          <w:tcPr>
            <w:tcW w:type="dxa" w:w="5076"/>
          </w:tcPr>
          <w:p>
            <w:pPr>
              <w:pStyle w:val="null3"/>
              <w:jc w:val="left"/>
            </w:pPr>
            <w:r>
              <w:rPr/>
              <w:t>根据投标人对于招标文件所有产品技术参数要求中带“▲”重要技术条款参数进行评审，带“▲”项(共22项)的重要技术条款，全部满足得22分，每有一项负偏离扣1分，扣完为止。 注：如本项目采购需求有要求提供具体证明材料的，需按要求提供, 不提供或提供资料不完整视为负偏离；如采购需求无明确要求提供证明材料，则以投标人提供的《技术和服务要求响应表 》响应情况为准，不按要求提供或提供不符的视为负偏离。</w:t>
            </w:r>
          </w:p>
        </w:tc>
      </w:tr>
      <w:tr>
        <w:tc>
          <w:tcPr>
            <w:tcW w:type="dxa" w:w="922"/>
            <w:gridSpan w:val="2"/>
            <w:vMerge/>
          </w:tcPr>
          <w:p/>
        </w:tc>
        <w:tc>
          <w:tcPr>
            <w:tcW w:type="dxa" w:w="2307"/>
          </w:tcPr>
          <w:p>
            <w:pPr>
              <w:pStyle w:val="null3"/>
              <w:jc w:val="left"/>
            </w:pPr>
            <w:r>
              <w:rPr/>
              <w:t>对采购需求非“★”非“▲”项响应情况 (10.0分)</w:t>
            </w:r>
          </w:p>
        </w:tc>
        <w:tc>
          <w:tcPr>
            <w:tcW w:type="dxa" w:w="5076"/>
          </w:tcPr>
          <w:p>
            <w:pPr>
              <w:pStyle w:val="null3"/>
              <w:jc w:val="left"/>
            </w:pPr>
            <w:r>
              <w:rPr/>
              <w:t>投标人对一般技术参数响应程度： 根据投标人对于所有产品技术参数要求中 非“★”非“▲”条款的一般技术条款参数进行评审， 全部满足得10分， 有1-5项负偏离，得6分； 有6-10项负偏离，得2分； 有11项及以上负偏离，视为有重大偏离，难以满足整体项目的要求，得0分。 注：如本项目采购需求有要求提供具体证明材料的，需按要求提供, 不提供或提供资料不完整视为负偏离；如采购需求无明确要求提供证明材料，则以投标人提供的《技术和服务要求响应表 》响应情况为准，不按要求提供或提供不符的视为负偏离。</w:t>
            </w:r>
          </w:p>
        </w:tc>
      </w:tr>
      <w:tr>
        <w:tc>
          <w:tcPr>
            <w:tcW w:type="dxa" w:w="922"/>
            <w:gridSpan w:val="2"/>
            <w:vMerge/>
          </w:tcPr>
          <w:p/>
        </w:tc>
        <w:tc>
          <w:tcPr>
            <w:tcW w:type="dxa" w:w="2307"/>
          </w:tcPr>
          <w:p>
            <w:pPr>
              <w:pStyle w:val="null3"/>
              <w:jc w:val="left"/>
            </w:pPr>
            <w:r>
              <w:rPr/>
              <w:t>整体系统集成实施方案1 (1.0分)</w:t>
            </w:r>
          </w:p>
        </w:tc>
        <w:tc>
          <w:tcPr>
            <w:tcW w:type="dxa" w:w="5076"/>
          </w:tcPr>
          <w:p>
            <w:pPr>
              <w:pStyle w:val="null3"/>
              <w:jc w:val="left"/>
            </w:pPr>
            <w:r>
              <w:rPr/>
              <w:t>根据投标人针对本项目制定的整体系统集成实施方案进行评审：能提供方案的，且方案包括但不仅限于整体集成、设备安装、测试要求等内容的，得1分；未提供方案或方案内容未完全涵盖以上内容的，本项及整体系统集成实施方案2的评分项均不得分。</w:t>
            </w:r>
          </w:p>
        </w:tc>
      </w:tr>
      <w:tr>
        <w:tc>
          <w:tcPr>
            <w:tcW w:type="dxa" w:w="922"/>
            <w:gridSpan w:val="2"/>
            <w:vMerge/>
          </w:tcPr>
          <w:p/>
        </w:tc>
        <w:tc>
          <w:tcPr>
            <w:tcW w:type="dxa" w:w="2307"/>
          </w:tcPr>
          <w:p>
            <w:pPr>
              <w:pStyle w:val="null3"/>
              <w:jc w:val="left"/>
            </w:pPr>
            <w:r>
              <w:rPr/>
              <w:t>整体系统集成实施方案2 (3.0分)</w:t>
            </w:r>
          </w:p>
        </w:tc>
        <w:tc>
          <w:tcPr>
            <w:tcW w:type="dxa" w:w="5076"/>
          </w:tcPr>
          <w:p>
            <w:pPr>
              <w:pStyle w:val="null3"/>
              <w:jc w:val="left"/>
            </w:pPr>
            <w:r>
              <w:rPr/>
              <w:t>根据投标人所提供的项目整体系统集成实施方案进行评审：方案完全满足或优于采购需求的得3分，部分满足采购需求的得2分，不满足采购需求的不得分。</w:t>
            </w:r>
          </w:p>
        </w:tc>
      </w:tr>
      <w:tr>
        <w:tc>
          <w:tcPr>
            <w:tcW w:type="dxa" w:w="922"/>
            <w:gridSpan w:val="2"/>
            <w:vMerge/>
          </w:tcPr>
          <w:p/>
        </w:tc>
        <w:tc>
          <w:tcPr>
            <w:tcW w:type="dxa" w:w="2307"/>
          </w:tcPr>
          <w:p>
            <w:pPr>
              <w:pStyle w:val="null3"/>
              <w:jc w:val="left"/>
            </w:pPr>
            <w:r>
              <w:rPr/>
              <w:t>售后服务和技术培训方案1 (2.0分)</w:t>
            </w:r>
          </w:p>
        </w:tc>
        <w:tc>
          <w:tcPr>
            <w:tcW w:type="dxa" w:w="5076"/>
          </w:tcPr>
          <w:p>
            <w:pPr>
              <w:pStyle w:val="null3"/>
              <w:jc w:val="left"/>
            </w:pPr>
            <w:r>
              <w:rPr/>
              <w:t>根据投标人针对本项目制定的售后服务和技术培训方案进行评审： 能提供售后服务和技术培训方案的，且方案包括但不仅限于技术支持售后服务、售后服务网点及人员安排、技术培训服务等内容的，得2分；方案内容未完全涵盖以上内容的，得1分，未提供方案的，本项及售后服务和技术培训方案2评分项均不得分。</w:t>
            </w:r>
          </w:p>
        </w:tc>
      </w:tr>
      <w:tr>
        <w:tc>
          <w:tcPr>
            <w:tcW w:type="dxa" w:w="922"/>
            <w:gridSpan w:val="2"/>
            <w:vMerge/>
          </w:tcPr>
          <w:p/>
        </w:tc>
        <w:tc>
          <w:tcPr>
            <w:tcW w:type="dxa" w:w="2307"/>
          </w:tcPr>
          <w:p>
            <w:pPr>
              <w:pStyle w:val="null3"/>
              <w:jc w:val="left"/>
            </w:pPr>
            <w:r>
              <w:rPr/>
              <w:t>售后服务和技术培训方案2 (2.0分)</w:t>
            </w:r>
          </w:p>
        </w:tc>
        <w:tc>
          <w:tcPr>
            <w:tcW w:type="dxa" w:w="5076"/>
          </w:tcPr>
          <w:p>
            <w:pPr>
              <w:pStyle w:val="null3"/>
              <w:jc w:val="left"/>
            </w:pPr>
            <w:r>
              <w:rPr/>
              <w:t>根据投标人针对本项目制定的售后服务和技术培训方案进行评审： 1.技术支持售后服务优于采购需求的，得1分，满足采购需求的，得0.5分，不满足采购需求的或其他的，得0分； 2.培训服务优于采购需求的，得1分，满足采购需求的，得0.5分，不满足采购需求的或其他的，得0分。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供应商认证情况 (6.0分)</w:t>
            </w:r>
          </w:p>
        </w:tc>
        <w:tc>
          <w:tcPr>
            <w:tcW w:type="dxa" w:w="5076"/>
          </w:tcPr>
          <w:p>
            <w:pPr>
              <w:pStyle w:val="null3"/>
              <w:jc w:val="left"/>
            </w:pPr>
            <w:r>
              <w:rPr/>
              <w:t>1、质量管理体系认证证书 2、环境管理体系认证证书 3、职业健康安全管理体系认证证书 全部满足得6分，每提供一个证书得2分，须提供上述在有效期内的证书复印件。</w:t>
            </w:r>
          </w:p>
        </w:tc>
      </w:tr>
      <w:tr>
        <w:tc>
          <w:tcPr>
            <w:tcW w:type="dxa" w:w="922"/>
            <w:gridSpan w:val="2"/>
            <w:vMerge/>
          </w:tcPr>
          <w:p/>
        </w:tc>
        <w:tc>
          <w:tcPr>
            <w:tcW w:type="dxa" w:w="2307"/>
          </w:tcPr>
          <w:p>
            <w:pPr>
              <w:pStyle w:val="null3"/>
              <w:jc w:val="left"/>
            </w:pPr>
            <w:r>
              <w:rPr/>
              <w:t>2019年以来同类项目业绩 (5.0分)</w:t>
            </w:r>
          </w:p>
        </w:tc>
        <w:tc>
          <w:tcPr>
            <w:tcW w:type="dxa" w:w="5076"/>
          </w:tcPr>
          <w:p>
            <w:pPr>
              <w:pStyle w:val="null3"/>
              <w:jc w:val="left"/>
            </w:pPr>
            <w:r>
              <w:rPr/>
              <w:t>投标人2019年1月1日至今签订的系统集成类业绩情况： 每提供一个有效业绩得1分，本项最高得5分； 【注：须提供合同关键页扫描件（体现项目名称、签约日期等关键信息）以合同签订日为准。（分公司业绩不纳入总公司）</w:t>
            </w:r>
          </w:p>
        </w:tc>
      </w:tr>
      <w:tr>
        <w:tc>
          <w:tcPr>
            <w:tcW w:type="dxa" w:w="922"/>
            <w:gridSpan w:val="2"/>
            <w:vMerge/>
          </w:tcPr>
          <w:p/>
        </w:tc>
        <w:tc>
          <w:tcPr>
            <w:tcW w:type="dxa" w:w="2307"/>
          </w:tcPr>
          <w:p>
            <w:pPr>
              <w:pStyle w:val="null3"/>
              <w:jc w:val="left"/>
            </w:pPr>
            <w:r>
              <w:rPr/>
              <w:t>2019年以来同类项目用户满意度调查情况 (5.0分)</w:t>
            </w:r>
          </w:p>
        </w:tc>
        <w:tc>
          <w:tcPr>
            <w:tcW w:type="dxa" w:w="5076"/>
          </w:tcPr>
          <w:p>
            <w:pPr>
              <w:pStyle w:val="null3"/>
              <w:jc w:val="left"/>
            </w:pPr>
            <w:r>
              <w:rPr/>
              <w:t>投标人2019年1月1日至今签订的系统集成类业绩情况：每出具一份同类项目业绩中有效业绩（须与上述业绩的用户单位对应，不对应不得分，并且同一个用户只能算一份），评价为“满意”或“优”或相当于类似评的证明得1分，最高得5分，无不得分，提供用户满意度相关证明材料复印件并加盖用户单位公章。</w:t>
            </w:r>
          </w:p>
        </w:tc>
      </w:tr>
      <w:tr>
        <w:tc>
          <w:tcPr>
            <w:tcW w:type="dxa" w:w="922"/>
            <w:gridSpan w:val="2"/>
            <w:vMerge/>
          </w:tcPr>
          <w:p/>
        </w:tc>
        <w:tc>
          <w:tcPr>
            <w:tcW w:type="dxa" w:w="2307"/>
          </w:tcPr>
          <w:p>
            <w:pPr>
              <w:pStyle w:val="null3"/>
              <w:jc w:val="left"/>
            </w:pPr>
            <w:r>
              <w:rPr/>
              <w:t>拟安排的项目主要团队成员（技术人员）情况 (9.0分)</w:t>
            </w:r>
          </w:p>
        </w:tc>
        <w:tc>
          <w:tcPr>
            <w:tcW w:type="dxa" w:w="5076"/>
          </w:tcPr>
          <w:p>
            <w:pPr>
              <w:pStyle w:val="null3"/>
              <w:jc w:val="left"/>
            </w:pPr>
            <w:r>
              <w:rPr/>
              <w:t>1、拟派项目经理： 拟派项目经理具有信息系统项目管理师证书和具有硕士研究生或以上计算机专业类的学历及学位证书。满足一项得2分。全部满足得4分。 2、拟派主要技术人员要求： 实施该项目的技术团队人员中（不含项目经理）须具备以下能力及证书，每满足一项得1分，最高得5分。 ①具有数据库系统工程师证书； ②具有软件设计师证书； ③具有网络工程师证书； ④具有信息处理技术员证书； ⑤具有电子商务设计师证书； 注：同一人员证书不重复计分。 须提供人员名单、证书扫描件及投标人为相应人员缴纳的开标前3个月内任意1个月的社保缴纳证明材料佐证，未提供、少提供或提供证明材料不符合要求者不得分。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lineRule="auto" w:line="360"/>
        <w:ind w:left="0" w:right="0"/>
        <w:jc w:val="center"/>
      </w:pPr>
      <w:r>
        <w:rPr>
          <w:sz w:val="48"/>
        </w:rPr>
        <w:t xml:space="preserve"> </w:t>
      </w:r>
    </w:p>
    <w:p>
      <w:pPr>
        <w:pStyle w:val="null3"/>
        <w:spacing w:before="0" w:after="0"/>
        <w:ind w:left="0" w:right="0"/>
        <w:jc w:val="center"/>
      </w:pPr>
      <w:r>
        <w:br/>
      </w:r>
      <w:r>
        <w:br/>
      </w:r>
      <w:r>
        <w:br/>
      </w:r>
      <w:r>
        <w:rPr/>
        <w:t xml:space="preserve"> （本合同为中小企业专门预留）</w:t>
      </w:r>
      <w:r>
        <w:br/>
      </w:r>
      <w:r>
        <w:br/>
      </w:r>
      <w:r>
        <w:rPr>
          <w:sz w:val="27"/>
          <w:color w:val="222222"/>
        </w:rPr>
        <w:t xml:space="preserve"> </w:t>
      </w:r>
    </w:p>
    <w:p>
      <w:pPr>
        <w:pStyle w:val="null3"/>
        <w:spacing w:before="0" w:after="0"/>
        <w:ind w:left="0" w:right="0"/>
        <w:jc w:val="center"/>
      </w:pPr>
      <w:r>
        <w:rPr/>
        <w:t xml:space="preserve"> </w:t>
      </w:r>
    </w:p>
    <w:p>
      <w:pPr>
        <w:pStyle w:val="null3"/>
        <w:ind w:firstLine="420"/>
      </w:pPr>
      <w:r>
        <w:rPr/>
        <w:t>一、总</w:t>
      </w:r>
      <w:r>
        <w:rPr/>
        <w:t xml:space="preserve">    </w:t>
      </w:r>
      <w:r>
        <w:rPr/>
        <w:t>则</w:t>
      </w:r>
    </w:p>
    <w:p>
      <w:pPr>
        <w:pStyle w:val="null3"/>
      </w:pPr>
      <w:r>
        <w:rPr>
          <w:b/>
        </w:rPr>
        <w:t>第一条</w:t>
      </w:r>
      <w:r>
        <w:rPr/>
        <w:t xml:space="preserve">  </w:t>
      </w:r>
      <w:r>
        <w:rPr/>
        <w:t>合同当事人</w:t>
      </w:r>
    </w:p>
    <w:p>
      <w:pPr>
        <w:pStyle w:val="null3"/>
        <w:ind w:firstLine="420"/>
      </w:pPr>
      <w:r>
        <w:rPr/>
        <w:t>甲方（采购人）：</w:t>
      </w:r>
      <w:r>
        <w:rPr/>
        <w:t>广州番禺职业技术学院</w:t>
      </w:r>
    </w:p>
    <w:p>
      <w:pPr>
        <w:pStyle w:val="null3"/>
        <w:ind w:firstLine="420"/>
      </w:pPr>
      <w:r>
        <w:rPr/>
        <w:t>法定代表人：</w:t>
      </w:r>
    </w:p>
    <w:p>
      <w:pPr>
        <w:pStyle w:val="null3"/>
        <w:ind w:firstLine="420"/>
      </w:pPr>
      <w:r>
        <w:rPr/>
        <w:t>地址：</w:t>
      </w:r>
    </w:p>
    <w:p>
      <w:pPr>
        <w:pStyle w:val="null3"/>
        <w:ind w:firstLine="420"/>
      </w:pPr>
      <w:r>
        <w:rPr/>
        <w:t xml:space="preserve"> </w:t>
      </w:r>
    </w:p>
    <w:p>
      <w:pPr>
        <w:pStyle w:val="null3"/>
        <w:ind w:firstLine="420"/>
      </w:pPr>
      <w:r>
        <w:rPr/>
        <w:t>乙方（中标人）：</w:t>
      </w:r>
    </w:p>
    <w:p>
      <w:pPr>
        <w:pStyle w:val="null3"/>
        <w:ind w:firstLine="420"/>
      </w:pPr>
      <w:r>
        <w:rPr/>
        <w:t>法定代表人：</w:t>
      </w:r>
    </w:p>
    <w:p>
      <w:pPr>
        <w:pStyle w:val="null3"/>
        <w:ind w:firstLine="420"/>
      </w:pPr>
      <w:r>
        <w:rPr/>
        <w:t>地址：</w:t>
      </w:r>
    </w:p>
    <w:p>
      <w:pPr>
        <w:pStyle w:val="null3"/>
        <w:ind w:firstLine="420"/>
      </w:pPr>
      <w:r>
        <w:rPr/>
        <w:t>根据《中华人民共和国民法典》、《中华人民共和国政府采购法》及“采购项目名称”（项目编号：</w:t>
      </w:r>
      <w:r>
        <w:rPr/>
        <w:t>XXXX</w:t>
      </w:r>
      <w:r>
        <w:rPr/>
        <w:t>）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之一部分）。</w:t>
      </w:r>
    </w:p>
    <w:p>
      <w:pPr>
        <w:pStyle w:val="null3"/>
        <w:ind w:firstLine="420"/>
      </w:pPr>
      <w:r>
        <w:rPr/>
        <w:t>二、合同标的</w:t>
      </w:r>
    </w:p>
    <w:p>
      <w:pPr>
        <w:pStyle w:val="null3"/>
      </w:pPr>
      <w:r>
        <w:rPr>
          <w:b/>
        </w:rPr>
        <w:t>第二条</w:t>
      </w:r>
      <w:r>
        <w:rPr/>
        <w:t xml:space="preserve">  </w:t>
      </w:r>
      <w:r>
        <w:rPr/>
        <w:t>乙方根据甲方要求提供以下货物：</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259"/>
        <w:gridCol w:w="1398"/>
        <w:gridCol w:w="664"/>
        <w:gridCol w:w="996"/>
        <w:gridCol w:w="996"/>
        <w:gridCol w:w="1328"/>
        <w:gridCol w:w="1661"/>
      </w:tblGrid>
      <w:tr>
        <w:tc>
          <w:tcPr>
            <w:tcW w:type="dxa" w:w="125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t>货物品名</w:t>
            </w:r>
          </w:p>
        </w:tc>
        <w:tc>
          <w:tcPr>
            <w:tcW w:type="dxa" w:w="1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规格型号</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单位</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数量</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单价</w:t>
            </w:r>
          </w:p>
        </w:tc>
        <w:tc>
          <w:tcPr>
            <w:tcW w:type="dxa" w:w="13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总价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随机配件</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t xml:space="preserve"> </w:t>
            </w:r>
          </w:p>
        </w:tc>
      </w:tr>
    </w:tbl>
    <w:p>
      <w:pPr>
        <w:pStyle w:val="null3"/>
        <w:ind w:firstLine="420"/>
      </w:pPr>
      <w:r>
        <w:rPr/>
        <w:t>三、质</w:t>
      </w:r>
      <w:r>
        <w:rPr/>
        <w:t xml:space="preserve">    </w:t>
      </w:r>
      <w:r>
        <w:rPr/>
        <w:t>量</w:t>
      </w:r>
    </w:p>
    <w:p>
      <w:pPr>
        <w:pStyle w:val="null3"/>
      </w:pPr>
      <w:r>
        <w:rPr>
          <w:b/>
        </w:rPr>
        <w:t>第三条</w:t>
      </w:r>
      <w:r>
        <w:rPr/>
        <w:t xml:space="preserve">  </w:t>
      </w:r>
      <w:r>
        <w:rPr/>
        <w:t>货物质量</w:t>
      </w:r>
    </w:p>
    <w:p>
      <w:pPr>
        <w:pStyle w:val="null3"/>
        <w:ind w:left="990" w:firstLine="480"/>
      </w:pPr>
      <w:r>
        <w:rPr>
          <w:sz w:val="24"/>
        </w:rPr>
        <w:t xml:space="preserve">（一）   </w:t>
      </w:r>
      <w:r>
        <w:rPr/>
        <w:t>乙方应提供原装、全新的、符合国家质量标准的设备，并随设备提供有关设备安装、调试、使用、维修和保养所需的足够的中文技术文件（包括但不限于说明书、图纸、手册、技术资料和关键配套件清单等）。</w:t>
      </w:r>
    </w:p>
    <w:p>
      <w:pPr>
        <w:pStyle w:val="null3"/>
        <w:ind w:firstLine="420"/>
      </w:pPr>
      <w:r>
        <w:rPr/>
        <w:t>乙方保证其供货渠道合法，在本合同签订之前，乙方应向甲方提供核心产品的生产企业出具的供货确认函原件、售后服务承诺函原件、货物</w:t>
      </w:r>
      <w:r>
        <w:rPr>
          <w:sz w:val="24"/>
        </w:rPr>
        <w:t>出厂合格证</w:t>
      </w:r>
      <w:r>
        <w:rPr/>
        <w:t>及生产企业有效授权函原件等证明材料，并提供一份复印件交由甲方存档备查。</w:t>
      </w:r>
    </w:p>
    <w:p>
      <w:pPr>
        <w:pStyle w:val="null3"/>
        <w:ind w:left="990" w:firstLine="480"/>
      </w:pPr>
      <w:r>
        <w:rPr>
          <w:sz w:val="24"/>
        </w:rPr>
        <w:t xml:space="preserve">（二）   </w:t>
      </w:r>
      <w:r>
        <w:rPr>
          <w:sz w:val="24"/>
        </w:rPr>
        <w:t>本合同涉及纳入《国家强制性产品认证目录》内的产品，乙方须提供3C认证证书。</w:t>
      </w:r>
    </w:p>
    <w:p>
      <w:pPr>
        <w:pStyle w:val="null3"/>
        <w:ind w:left="990" w:firstLine="480"/>
      </w:pPr>
      <w:r>
        <w:rPr>
          <w:sz w:val="24"/>
        </w:rPr>
        <w:t xml:space="preserve">（三）   </w:t>
      </w:r>
      <w:r>
        <w:rPr>
          <w:sz w:val="24"/>
        </w:rPr>
        <w:t>货物质量出现问题的，乙方应负责三包（包修、包换、包退），费用由乙方负责。</w:t>
      </w:r>
    </w:p>
    <w:p>
      <w:pPr>
        <w:pStyle w:val="null3"/>
        <w:ind w:left="990" w:firstLine="480"/>
      </w:pPr>
      <w:r>
        <w:rPr>
          <w:sz w:val="24"/>
        </w:rPr>
        <w:t xml:space="preserve">（四）   </w:t>
      </w:r>
      <w:r>
        <w:rPr>
          <w:sz w:val="24"/>
        </w:rPr>
        <w:t>货到现场并验收合格后，由于甲方保管不当造成的质量问题，乙方亦应负责修理，但费用由甲方负担。</w:t>
      </w:r>
    </w:p>
    <w:p>
      <w:pPr>
        <w:pStyle w:val="null3"/>
        <w:ind w:firstLine="420"/>
      </w:pPr>
      <w:r>
        <w:rPr/>
        <w:t>四、交货与验收</w:t>
      </w:r>
    </w:p>
    <w:p>
      <w:pPr>
        <w:pStyle w:val="null3"/>
      </w:pPr>
      <w:r>
        <w:rPr>
          <w:b/>
        </w:rPr>
        <w:t>第四条</w:t>
      </w:r>
      <w:r>
        <w:rPr>
          <w:b/>
        </w:rPr>
        <w:t xml:space="preserve">  </w:t>
      </w:r>
      <w:r>
        <w:rPr>
          <w:sz w:val="24"/>
        </w:rPr>
        <w:t>交货</w:t>
      </w:r>
      <w:r>
        <w:rPr/>
        <w:t>、安装、调试、</w:t>
      </w:r>
      <w:r>
        <w:rPr>
          <w:sz w:val="24"/>
        </w:rPr>
        <w:t>验收必须在合同签订后</w:t>
      </w:r>
      <w:r>
        <w:rPr>
          <w:sz w:val="24"/>
          <w:u w:val="single"/>
        </w:rPr>
        <w:t xml:space="preserve">   </w:t>
      </w:r>
      <w:r>
        <w:rPr>
          <w:sz w:val="24"/>
        </w:rPr>
        <w:t>天内完成（节假日及寒暑假不计入）。</w:t>
      </w:r>
    </w:p>
    <w:p>
      <w:pPr>
        <w:pStyle w:val="null3"/>
      </w:pPr>
      <w:r>
        <w:rPr>
          <w:b/>
        </w:rPr>
        <w:t>第五条</w:t>
      </w:r>
      <w:r>
        <w:rPr/>
        <w:t xml:space="preserve">  </w:t>
      </w:r>
      <w:r>
        <w:rPr>
          <w:sz w:val="24"/>
        </w:rPr>
        <w:t>交货地点：甲方指定地点。</w:t>
      </w:r>
    </w:p>
    <w:p>
      <w:pPr>
        <w:pStyle w:val="null3"/>
      </w:pPr>
      <w:r>
        <w:rPr>
          <w:b/>
        </w:rPr>
        <w:t>第六条</w:t>
      </w:r>
      <w:r>
        <w:rPr/>
        <w:t xml:space="preserve">  </w:t>
      </w:r>
      <w:r>
        <w:rPr/>
        <w:t>甲方及甲方聘请的监理将依据市信息主管部门立项审核意见、市财政局批复文件、招标文件和合同等文件，按照《广州市财政投资信息化建设项目验收规范》及相关标准规定对货物进行验收。货物验收时若乙方不参与现场验收，则视为同意甲方验收结果，验收合格的，甲方按合同要求办理付款手续；验收不合格的，甲方或由甲方聘请的监理单位书面反馈验收情况及处理意见给乙方。</w:t>
      </w:r>
      <w:r>
        <w:rPr/>
        <w:t>产品若有国家标准按照国家标准验收，若无国家标准按行业标准验收，为原制造商制造的全新产品，整体无污染、无侵权行为、表面无划损、无任何缺陷隐患，在中国境内可依常规安全合法使用，同时符合本合同约定的质量要求。</w:t>
      </w:r>
      <w:r>
        <w:rPr/>
        <w:t>产品规格、型号、技术参数、产地须与合同、招标文件规定一致，若出现不符，乙方应及时办理退换货并负责负担全部费用及由此给甲方造成的全部损失。</w:t>
      </w:r>
    </w:p>
    <w:p>
      <w:pPr>
        <w:pStyle w:val="null3"/>
        <w:ind w:firstLine="420"/>
      </w:pPr>
      <w:r>
        <w:rPr/>
        <w:t>本项目验收分为校内验收、合同验收两部分：</w:t>
      </w:r>
    </w:p>
    <w:p>
      <w:pPr>
        <w:pStyle w:val="null3"/>
        <w:ind w:firstLine="420"/>
      </w:pPr>
      <w:r>
        <w:rPr/>
        <w:t>1</w:t>
      </w:r>
      <w:r>
        <w:rPr/>
        <w:t>、校内验收：由校内外专家组成的专家组负责，项目监理、项目实施部门负责对整个验收过程进行监督。项目承建单位负责准备所有验收所需文档（含电子版），并进行建设汇报和功能演示。专家组验收后必须出具验收意见，对不能通过验收的项目，须出具整改报告。</w:t>
      </w:r>
    </w:p>
    <w:p>
      <w:pPr>
        <w:pStyle w:val="null3"/>
        <w:ind w:firstLine="420"/>
      </w:pPr>
      <w:r>
        <w:rPr/>
        <w:t>2</w:t>
      </w:r>
      <w:r>
        <w:rPr/>
        <w:t>、合同验收：在完成校内验收，试运行满三个月后，乙方须完善项目遗留的问题和各项整改工作，通过并提交符合甲方上级相关主管部门终验要求的各类文档，由监理单位审核通过并出具文档审核报告。合同验收具体标准以甲方上级相关主管部门发布的验收规定为准。</w:t>
      </w:r>
    </w:p>
    <w:p>
      <w:pPr>
        <w:pStyle w:val="null3"/>
      </w:pPr>
      <w:r>
        <w:rPr>
          <w:b/>
        </w:rPr>
        <w:t>第七条</w:t>
      </w:r>
      <w:r>
        <w:rPr/>
        <w:t xml:space="preserve">  </w:t>
      </w:r>
      <w:r>
        <w:rPr/>
        <w:t>乙方承诺，本项目将按甲方上级相关主管部门要求，在合同验收前通过由学校招标确定的第三方测评机构的验收测评及安全评估，相关验收标准以主管部门要求为准。</w:t>
      </w:r>
    </w:p>
    <w:p>
      <w:pPr>
        <w:pStyle w:val="null3"/>
        <w:ind w:firstLine="420"/>
      </w:pPr>
      <w:r>
        <w:rPr/>
        <w:t>上述验收均合格后，视为乙方完成交付。</w:t>
      </w:r>
    </w:p>
    <w:p>
      <w:pPr>
        <w:pStyle w:val="null3"/>
      </w:pPr>
      <w:r>
        <w:rPr>
          <w:b/>
        </w:rPr>
        <w:t>第八条</w:t>
      </w:r>
      <w:r>
        <w:rPr/>
        <w:t xml:space="preserve">  </w:t>
      </w:r>
      <w:r>
        <w:rPr/>
        <w:t>乙方应将所提供货物的装箱清单、用户手册、原厂保修卡、随机资料及配件、随机工具等交付给甲方；乙方不能完整交付货物及本合同约定的单证和工具的，视为未按合同约定供货，乙方必须负责补齐，因此导致逾期交付的，由乙方承担相关的违约责任。</w:t>
      </w:r>
    </w:p>
    <w:p>
      <w:pPr>
        <w:pStyle w:val="null3"/>
        <w:ind w:firstLine="420"/>
      </w:pPr>
      <w:r>
        <w:rPr/>
        <w:t xml:space="preserve"> </w:t>
      </w:r>
    </w:p>
    <w:p>
      <w:pPr>
        <w:pStyle w:val="null3"/>
        <w:ind w:firstLine="420"/>
      </w:pPr>
      <w:r>
        <w:rPr/>
        <w:t>五、合同金额及付款方式</w:t>
      </w:r>
    </w:p>
    <w:p>
      <w:pPr>
        <w:pStyle w:val="null3"/>
      </w:pPr>
      <w:r>
        <w:rPr>
          <w:b/>
        </w:rPr>
        <w:t>第九条</w:t>
      </w:r>
      <w:r>
        <w:rPr/>
        <w:t xml:space="preserve">  </w:t>
      </w:r>
      <w:r>
        <w:rPr/>
        <w:t>合同金额</w:t>
      </w:r>
    </w:p>
    <w:p>
      <w:pPr>
        <w:pStyle w:val="null3"/>
        <w:ind w:firstLine="420"/>
      </w:pPr>
      <w:r>
        <w:rPr/>
        <w:t>本合同金额为人民币（大写）</w:t>
      </w:r>
      <w:r>
        <w:rPr>
          <w:u w:val="single"/>
        </w:rPr>
        <w:t xml:space="preserve">           </w:t>
      </w:r>
      <w:r>
        <w:rPr/>
        <w:t>元整（￥</w:t>
      </w:r>
      <w:r>
        <w:rPr>
          <w:u w:val="single"/>
        </w:rPr>
        <w:t xml:space="preserve">         </w:t>
      </w:r>
      <w:r>
        <w:rPr/>
        <w:t>元）。该合同总价是货物设计、制造、包装、运输、安装、调试、检测、培训、技术服务及验收合格之前及质保期内服务及备品备件发生的所有含税费用。本合同执行期间合同总价不变。</w:t>
      </w:r>
    </w:p>
    <w:p>
      <w:pPr>
        <w:pStyle w:val="null3"/>
        <w:ind w:firstLine="480"/>
      </w:pPr>
      <w:r>
        <w:rPr>
          <w:sz w:val="24"/>
          <w:b/>
        </w:rPr>
        <w:t>第十条</w:t>
      </w:r>
      <w:r>
        <w:rPr/>
        <w:t xml:space="preserve">  </w:t>
      </w:r>
      <w:r>
        <w:rPr>
          <w:sz w:val="24"/>
        </w:rPr>
        <w:t>付款方式</w:t>
      </w:r>
    </w:p>
    <w:p>
      <w:pPr>
        <w:pStyle w:val="null3"/>
        <w:ind w:firstLine="420"/>
      </w:pPr>
      <w:r>
        <w:rPr/>
        <w:t>1</w:t>
      </w:r>
      <w:r>
        <w:rPr/>
        <w:t>、合同生效且财政资金到位后</w:t>
      </w:r>
      <w:r>
        <w:rPr/>
        <w:t>5</w:t>
      </w:r>
      <w:r>
        <w:rPr/>
        <w:t>个工作日内，甲方向乙方支付合同总价的</w:t>
      </w:r>
      <w:r>
        <w:rPr/>
        <w:t>30</w:t>
      </w:r>
      <w:r>
        <w:rPr/>
        <w:t>％，人民币</w:t>
      </w:r>
      <w:r>
        <w:rPr>
          <w:u w:val="single"/>
        </w:rPr>
        <w:t>（大写）</w:t>
      </w:r>
      <w:r>
        <w:rPr>
          <w:u w:val="single"/>
        </w:rPr>
        <w:t xml:space="preserve">           </w:t>
      </w:r>
      <w:r>
        <w:rPr/>
        <w:t>元整（￥</w:t>
      </w:r>
      <w:r>
        <w:rPr>
          <w:u w:val="single"/>
        </w:rPr>
        <w:t xml:space="preserve">         </w:t>
      </w:r>
      <w:r>
        <w:rPr/>
        <w:t>元）；</w:t>
      </w:r>
    </w:p>
    <w:p>
      <w:pPr>
        <w:pStyle w:val="null3"/>
        <w:ind w:firstLine="420"/>
      </w:pPr>
      <w:r>
        <w:rPr/>
        <w:t>2</w:t>
      </w:r>
      <w:r>
        <w:rPr/>
        <w:t>、货物全部到场齐全，经甲方及监理单位现场清点确认合格后，甲方向乙方支付合同总价的</w:t>
      </w:r>
      <w:r>
        <w:rPr/>
        <w:t>50</w:t>
      </w:r>
      <w:r>
        <w:rPr/>
        <w:t>％，人民币</w:t>
      </w:r>
      <w:r>
        <w:rPr>
          <w:u w:val="single"/>
        </w:rPr>
        <w:t>（大写）</w:t>
      </w:r>
      <w:r>
        <w:rPr>
          <w:u w:val="single"/>
        </w:rPr>
        <w:t xml:space="preserve">           </w:t>
      </w:r>
      <w:r>
        <w:rPr/>
        <w:t>元整（￥</w:t>
      </w:r>
      <w:r>
        <w:rPr>
          <w:u w:val="single"/>
        </w:rPr>
        <w:t xml:space="preserve">         </w:t>
      </w:r>
      <w:r>
        <w:rPr/>
        <w:t>元）；</w:t>
      </w:r>
    </w:p>
    <w:p>
      <w:pPr>
        <w:pStyle w:val="null3"/>
        <w:ind w:firstLine="420"/>
      </w:pPr>
      <w:r>
        <w:rPr/>
        <w:t>3</w:t>
      </w:r>
      <w:r>
        <w:rPr/>
        <w:t>、货物及系统软件安装调试完毕，满足甲方使用要求，且项目通过验收测评和校内验收后，甲方向乙方支付合同总价的</w:t>
      </w:r>
      <w:r>
        <w:rPr/>
        <w:t>15</w:t>
      </w:r>
      <w:r>
        <w:rPr/>
        <w:t>％，人民币</w:t>
      </w:r>
      <w:r>
        <w:rPr>
          <w:u w:val="single"/>
        </w:rPr>
        <w:t>（大写）</w:t>
      </w:r>
      <w:r>
        <w:rPr>
          <w:u w:val="single"/>
        </w:rPr>
        <w:t xml:space="preserve">           </w:t>
      </w:r>
      <w:r>
        <w:rPr/>
        <w:t>元整（￥</w:t>
      </w:r>
      <w:r>
        <w:rPr>
          <w:u w:val="single"/>
        </w:rPr>
        <w:t xml:space="preserve">         </w:t>
      </w:r>
      <w:r>
        <w:rPr/>
        <w:t>元）；</w:t>
      </w:r>
    </w:p>
    <w:p>
      <w:pPr>
        <w:pStyle w:val="null3"/>
        <w:ind w:firstLine="420"/>
      </w:pPr>
      <w:r>
        <w:rPr/>
        <w:t>4</w:t>
      </w:r>
      <w:r>
        <w:rPr/>
        <w:t>、项目试运行期满三个月，通过安全评估且合同验收合格后，甲方向乙方支付合同总价的</w:t>
      </w:r>
      <w:r>
        <w:rPr/>
        <w:t>5%</w:t>
      </w:r>
      <w:r>
        <w:rPr/>
        <w:t>，人民币（大写）</w:t>
      </w:r>
      <w:r>
        <w:rPr>
          <w:u w:val="single"/>
        </w:rPr>
        <w:t xml:space="preserve">               </w:t>
      </w:r>
      <w:r>
        <w:rPr/>
        <w:t>元整（￥</w:t>
      </w:r>
      <w:r>
        <w:rPr/>
        <w:t xml:space="preserve">         </w:t>
      </w:r>
      <w:r>
        <w:rPr/>
        <w:t>元）。</w:t>
      </w:r>
    </w:p>
    <w:p>
      <w:pPr>
        <w:pStyle w:val="null3"/>
        <w:ind w:firstLine="420"/>
      </w:pPr>
      <w:r>
        <w:rPr/>
        <w:t>以上款项在乙方提交付款申请（首期款无须申请）及等额的正规发票并由甲方聘请的监理单位审核确认后启动办理支付程序，乙方逾期交付发票或所开具的发票不符合约定的，甲方有权延期支付相应费用并不视为违约。</w:t>
      </w:r>
    </w:p>
    <w:p>
      <w:pPr>
        <w:pStyle w:val="null3"/>
        <w:ind w:firstLine="420"/>
      </w:pPr>
      <w:r>
        <w:rPr/>
        <w:t>甲方使用的是财政资金，故甲方向财政主管部门完成支付材料的提交即视为完成支付手续，具体款项支付时间视财政局资金到位情况而定。由于财政资金拨款导致付款迟延的，不视为甲方违约。</w:t>
      </w:r>
    </w:p>
    <w:p>
      <w:pPr>
        <w:pStyle w:val="null3"/>
        <w:ind w:firstLine="420"/>
      </w:pPr>
      <w:r>
        <w:rPr/>
        <w:t xml:space="preserve"> </w:t>
      </w:r>
    </w:p>
    <w:p>
      <w:pPr>
        <w:pStyle w:val="null3"/>
        <w:ind w:firstLine="420"/>
      </w:pPr>
      <w:r>
        <w:rPr/>
        <w:t>六、售后服务</w:t>
      </w:r>
    </w:p>
    <w:p>
      <w:pPr>
        <w:pStyle w:val="null3"/>
      </w:pPr>
      <w:r>
        <w:rPr>
          <w:b/>
        </w:rPr>
        <w:t>第十一条</w:t>
      </w:r>
      <w:r>
        <w:rPr/>
        <w:t xml:space="preserve">  </w:t>
      </w:r>
      <w:r>
        <w:rPr/>
        <w:t>乙方需提供售后的技术服务支持，保证甲方顺利使用所购货物，具体售后服务包括但不限于提供设备的安装、调试、检验等；根据甲方需求提供不少于</w:t>
      </w:r>
      <w:r>
        <w:rPr/>
        <w:t>X</w:t>
      </w:r>
      <w:r>
        <w:rPr/>
        <w:t>天的技术培训等。</w:t>
      </w:r>
    </w:p>
    <w:p>
      <w:pPr>
        <w:pStyle w:val="null3"/>
      </w:pPr>
      <w:r>
        <w:rPr>
          <w:b/>
        </w:rPr>
        <w:t>第十二条</w:t>
      </w:r>
      <w:r>
        <w:rPr/>
        <w:t xml:space="preserve">  </w:t>
      </w:r>
      <w:r>
        <w:rPr/>
        <w:t>乙方应为甲方提供货物的质量保证期限（以下简称“质保期”），质保期自甲方完成合同验收之日起计算，（某特定产品，按招标需求）的质量保证期为</w:t>
      </w:r>
      <w:r>
        <w:rPr/>
        <w:t>X</w:t>
      </w:r>
      <w:r>
        <w:rPr/>
        <w:t>年，硬件设备质量保证期为</w:t>
      </w:r>
      <w:r>
        <w:rPr/>
        <w:t>X</w:t>
      </w:r>
      <w:r>
        <w:rPr/>
        <w:t>年。质保期内系统软件升级、运维和硬件的维护属于免费服务范围，乙方不得另行收费。</w:t>
      </w:r>
      <w:r>
        <w:rPr/>
        <w:t>质保期后的货物维护由双方协商再定。</w:t>
      </w:r>
    </w:p>
    <w:p>
      <w:pPr>
        <w:pStyle w:val="null3"/>
      </w:pPr>
      <w:r>
        <w:rPr>
          <w:b/>
        </w:rPr>
        <w:t>第十三条</w:t>
      </w:r>
      <w:r>
        <w:rPr/>
        <w:t xml:space="preserve">  </w:t>
      </w:r>
      <w:r>
        <w:rPr/>
        <w:t>质保期内，乙方负责对其提供的货物实行包修、包换、包退、包维护保养，不再收取任何费用，但不可抗力（如火灾、雷击等）造成的故障除外。</w:t>
      </w:r>
    </w:p>
    <w:p>
      <w:pPr>
        <w:pStyle w:val="null3"/>
      </w:pPr>
      <w:r>
        <w:rPr>
          <w:b/>
        </w:rPr>
        <w:t>第十四条</w:t>
      </w:r>
      <w:r>
        <w:rPr/>
        <w:t xml:space="preserve">  </w:t>
      </w:r>
      <w:r>
        <w:rPr/>
        <w:t>乙方所提供的售后服务应及时有效。乙方承诺，在广州市内设有维修服务点并提供电话服务热线，其工作人员在接到维修电话</w:t>
      </w:r>
      <w:r>
        <w:rPr/>
        <w:t>1</w:t>
      </w:r>
      <w:r>
        <w:rPr/>
        <w:t>小时内做出明确响应并安排专业人员处理，保证在接到故障电话后</w:t>
      </w:r>
      <w:r>
        <w:rPr/>
        <w:t>X</w:t>
      </w:r>
      <w:r>
        <w:rPr/>
        <w:t>个工作日排除故障。如</w:t>
      </w:r>
      <w:r>
        <w:rPr/>
        <w:t>X</w:t>
      </w:r>
      <w:r>
        <w:rPr/>
        <w:t>个工作日内不能排除故障的，乙方应免费提供同等质量的货物供甲方使用，直至货物修复为止。如乙方未按照合同约定提供保修等售后服务的，甲方有权自行或聘请第三方服务，并有权要求乙方赔偿因此给甲方造成的一切费用和损失。</w:t>
      </w:r>
    </w:p>
    <w:p>
      <w:pPr>
        <w:pStyle w:val="null3"/>
      </w:pPr>
      <w:r>
        <w:rPr>
          <w:b/>
        </w:rPr>
        <w:t>第十五条</w:t>
      </w:r>
      <w:r>
        <w:rPr/>
        <w:t xml:space="preserve">  </w:t>
      </w:r>
      <w:r>
        <w:rPr/>
        <w:t>乙方货物的销售人员需持有相应的培训证书。乙方应设专业的售后服务中心，同时能够提供常用耗材及配件的及时供应，提供维修服务的维修工程师需持有相应产品的维修授权证书。</w:t>
      </w:r>
    </w:p>
    <w:p>
      <w:pPr>
        <w:pStyle w:val="null3"/>
      </w:pPr>
      <w:r>
        <w:rPr>
          <w:b/>
        </w:rPr>
        <w:t>第十六条</w:t>
      </w:r>
      <w:r>
        <w:rPr/>
        <w:t xml:space="preserve">  </w:t>
      </w:r>
      <w:r>
        <w:rPr/>
        <w:t>甲方将聘请项目监理单位，协助对本项目建设进行监督。乙方必须接受甲方及甲方聘请的监理对本项目的管理和监督，及时向甲方及监理同时提交各种设计方案、实施方案、报告等项目文档。对于监理对本项目实施过程中指出的问题，应该积极给与答复并解决。对于监理提出的合理的整改要求，积极限期完成整改。</w:t>
      </w:r>
    </w:p>
    <w:p>
      <w:pPr>
        <w:pStyle w:val="null3"/>
      </w:pPr>
      <w:r>
        <w:rPr>
          <w:b/>
        </w:rPr>
        <w:t>第十七条</w:t>
      </w:r>
      <w:r>
        <w:rPr/>
        <w:t xml:space="preserve">  </w:t>
      </w:r>
      <w:r>
        <w:rPr/>
        <w:t>在质保期内，乙方须对所提供的设备做定期检查和保养。</w:t>
      </w:r>
    </w:p>
    <w:p>
      <w:pPr>
        <w:pStyle w:val="null3"/>
        <w:ind w:firstLine="420"/>
      </w:pPr>
      <w:r>
        <w:rPr/>
        <w:t>七、违约责任</w:t>
      </w:r>
    </w:p>
    <w:p>
      <w:pPr>
        <w:pStyle w:val="null3"/>
        <w:ind w:firstLine="482"/>
        <w:jc w:val="left"/>
      </w:pPr>
      <w:r>
        <w:rPr>
          <w:sz w:val="24"/>
          <w:b/>
        </w:rPr>
        <w:t>第十八条</w:t>
      </w:r>
      <w:r>
        <w:rPr/>
        <w:t xml:space="preserve">  </w:t>
      </w:r>
      <w:r>
        <w:rPr>
          <w:sz w:val="24"/>
        </w:rPr>
        <w:t>甲方无正当理由拒收货物、拒付货款的，甲方须向乙方交纳合同总价</w:t>
      </w:r>
      <w:r>
        <w:rPr>
          <w:sz w:val="24"/>
          <w:u w:val="single"/>
        </w:rPr>
        <w:t>X</w:t>
      </w:r>
      <w:r>
        <w:rPr>
          <w:sz w:val="24"/>
        </w:rPr>
        <w:t>%</w:t>
      </w:r>
      <w:r>
        <w:rPr>
          <w:sz w:val="24"/>
        </w:rPr>
        <w:t>的违约金。如甲方无故变更、中止或者终止本合同的，应当对乙方受到的损失予以赔偿或补偿。</w:t>
      </w:r>
    </w:p>
    <w:p>
      <w:pPr>
        <w:pStyle w:val="null3"/>
        <w:ind w:firstLine="482"/>
        <w:jc w:val="left"/>
      </w:pPr>
      <w:r>
        <w:rPr>
          <w:sz w:val="24"/>
          <w:b/>
        </w:rPr>
        <w:t>第十九条</w:t>
      </w:r>
      <w:r>
        <w:rPr/>
        <w:t xml:space="preserve">  </w:t>
      </w:r>
      <w:r>
        <w:rPr>
          <w:sz w:val="24"/>
        </w:rPr>
        <w:t>甲方逾期支付货款的，甲方须每日以欠款总额</w:t>
      </w:r>
      <w:r>
        <w:rPr>
          <w:sz w:val="24"/>
          <w:u w:val="single"/>
        </w:rPr>
        <w:t>X</w:t>
      </w:r>
      <w:r>
        <w:rPr>
          <w:sz w:val="24"/>
        </w:rPr>
        <w:t>‰的标准向乙方交纳违约金，累计不超过欠款总额的</w:t>
      </w:r>
      <w:r>
        <w:rPr>
          <w:sz w:val="24"/>
          <w:u w:val="single"/>
        </w:rPr>
        <w:t>X</w:t>
      </w:r>
      <w:r>
        <w:rPr>
          <w:sz w:val="24"/>
        </w:rPr>
        <w:t xml:space="preserve">% </w:t>
      </w:r>
      <w:r>
        <w:rPr>
          <w:sz w:val="24"/>
        </w:rPr>
        <w:t>。</w:t>
      </w:r>
    </w:p>
    <w:p>
      <w:pPr>
        <w:pStyle w:val="null3"/>
        <w:ind w:firstLine="482"/>
      </w:pPr>
      <w:r>
        <w:rPr>
          <w:sz w:val="24"/>
          <w:b/>
        </w:rPr>
        <w:t>第二十条</w:t>
      </w:r>
      <w:r>
        <w:rPr/>
        <w:t xml:space="preserve">  </w:t>
      </w:r>
      <w:r>
        <w:rPr>
          <w:sz w:val="24"/>
        </w:rPr>
        <w:t>乙方逾期交付货物的，乙方须每日以逾期交货部分货款总额</w:t>
      </w:r>
      <w:r>
        <w:rPr>
          <w:sz w:val="24"/>
          <w:u w:val="single"/>
        </w:rPr>
        <w:t>X</w:t>
      </w:r>
      <w:r>
        <w:rPr>
          <w:sz w:val="24"/>
        </w:rPr>
        <w:t>‰的标准向甲方交纳违约金。逾期交货超过30天，视为乙方不能交付货物，须向甲方交纳合同总价</w:t>
      </w:r>
      <w:r>
        <w:rPr>
          <w:sz w:val="24"/>
          <w:u w:val="single"/>
        </w:rPr>
        <w:t>X</w:t>
      </w:r>
      <w:r>
        <w:rPr>
          <w:sz w:val="24"/>
        </w:rPr>
        <w:t>%</w:t>
      </w:r>
      <w:r>
        <w:rPr>
          <w:sz w:val="24"/>
        </w:rPr>
        <w:t>的违约金。同时甲方有权单方解除本合同，并要求乙方赔偿由此造成的一切损失（包括但不限于直接损失、诉讼费/仲裁费、律师费等）。</w:t>
      </w:r>
    </w:p>
    <w:p>
      <w:pPr>
        <w:pStyle w:val="null3"/>
        <w:ind w:firstLine="482"/>
      </w:pPr>
      <w:r>
        <w:rPr>
          <w:sz w:val="24"/>
          <w:b/>
        </w:rPr>
        <w:t>第二十一条</w:t>
      </w:r>
      <w:r>
        <w:rPr/>
        <w:t xml:space="preserve">  </w:t>
      </w:r>
      <w:r>
        <w:rPr>
          <w:sz w:val="24"/>
        </w:rPr>
        <w:t>如</w:t>
      </w:r>
      <w:r>
        <w:rPr>
          <w:sz w:val="24"/>
        </w:rPr>
        <w:t>乙方未按照合同约定履行义务，包括但不限于所交付产品的型号、规格、数量和质量不符合甲方要求等，甲方有权拒收，并要求乙方在合同规定的交货时间内无条件更换合格的产品给甲方。若乙方拒不更换或更换后仍不符合甲方要求的，则视为乙方不能交付产品而违约，甲方有权单方解除本合同，不予支付相应费用，并有权要求乙方按照合同总价的</w:t>
      </w:r>
      <w:r>
        <w:rPr>
          <w:sz w:val="24"/>
          <w:u w:val="single"/>
        </w:rPr>
        <w:t xml:space="preserve">  </w:t>
      </w:r>
      <w:r>
        <w:rPr>
          <w:sz w:val="24"/>
        </w:rPr>
        <w:t>%支付违约金及赔偿损失（包括但不限于直接损失、诉讼费/仲裁费、律师费等）；若乙方不能按时更换，则视作乙方逾期交付产品而违约，按“第二十条”规定，由乙方赔付违约金给甲方。</w:t>
      </w:r>
    </w:p>
    <w:p>
      <w:pPr>
        <w:pStyle w:val="null3"/>
        <w:ind w:firstLine="482"/>
      </w:pPr>
      <w:r>
        <w:rPr>
          <w:sz w:val="24"/>
          <w:b/>
        </w:rPr>
        <w:t>第二十二条</w:t>
      </w:r>
      <w:r>
        <w:rPr/>
        <w:t xml:space="preserve">  </w:t>
      </w:r>
      <w:r>
        <w:rPr>
          <w:sz w:val="24"/>
        </w:rPr>
        <w:t>乙方提供的产品若经甲方或甲方聘请的第三方机构检查认定后，如检查认定产品质量不符合合同规定标准，达不到约定技术条件的，则视为乙方没有按时交付而违约，乙方须在规定的时间内无条件更换合格的产品，如不能按时更换，甲方有权单方解除本合同，乙方还应另行支付合同总价10%的赔偿金给甲方，并须全额退还甲方已经付给乙方的货款及其利息。</w:t>
      </w:r>
    </w:p>
    <w:p>
      <w:pPr>
        <w:pStyle w:val="null3"/>
        <w:ind w:firstLine="482"/>
      </w:pPr>
      <w:r>
        <w:rPr>
          <w:sz w:val="24"/>
          <w:b/>
        </w:rPr>
        <w:t>第二十三条</w:t>
      </w:r>
      <w:r>
        <w:rPr/>
        <w:t xml:space="preserve">  </w:t>
      </w:r>
      <w:r>
        <w:rPr>
          <w:sz w:val="24"/>
        </w:rPr>
        <w:t>乙方所供货物必须权属清楚，不得侵害他人的知识产权，否则构成对甲方违约。如甲方因此遭受到第三方索赔、诉讼或任何权利请求的，乙方应妥善处理纠纷，并承担全部赔偿责任（包括但不限于赔偿甲方因此支出的赔偿金/和解款、诉讼费/仲裁费、律师费、差旅费等）。</w:t>
      </w:r>
    </w:p>
    <w:p>
      <w:pPr>
        <w:pStyle w:val="null3"/>
        <w:ind w:firstLine="482"/>
      </w:pPr>
      <w:r>
        <w:rPr>
          <w:sz w:val="24"/>
          <w:b/>
        </w:rPr>
        <w:t>第二十四条</w:t>
      </w:r>
      <w:r>
        <w:rPr>
          <w:sz w:val="24"/>
        </w:rPr>
        <w:t>由于政策的变化或不可抗力的原因导致项目停工，使合同无法继续履行的，视为项目终止。项目终止后，乙方应妥善做好已完成项目的保护和移交、质保工作，甲方按合同条款支付已完成工作量的价款。</w:t>
      </w:r>
    </w:p>
    <w:p>
      <w:pPr>
        <w:pStyle w:val="null3"/>
        <w:ind w:firstLine="420"/>
      </w:pPr>
      <w:r>
        <w:rPr/>
        <w:t>八、不可抗力</w:t>
      </w:r>
    </w:p>
    <w:p>
      <w:pPr>
        <w:pStyle w:val="null3"/>
      </w:pPr>
      <w:r>
        <w:rPr>
          <w:b/>
        </w:rPr>
        <w:t>第二十五条</w:t>
      </w:r>
      <w:r>
        <w:rPr/>
        <w:t xml:space="preserve">  </w:t>
      </w:r>
      <w:r>
        <w:rPr/>
        <w:t>由于不可预见、不可避免、不可克服等不可抗力的原因，一方不能履行合同义务的，应当在不可抗力发生之日起</w:t>
      </w:r>
      <w:r>
        <w:rPr>
          <w:u w:val="single"/>
        </w:rPr>
        <w:t>X</w:t>
      </w:r>
      <w:r>
        <w:rPr/>
        <w:t>天内以书面形式通知对方，证明不可抗力事件的存在。</w:t>
      </w:r>
    </w:p>
    <w:p>
      <w:pPr>
        <w:pStyle w:val="null3"/>
      </w:pPr>
      <w:r>
        <w:rPr>
          <w:b/>
        </w:rPr>
        <w:t>第二十六条</w:t>
      </w:r>
      <w:r>
        <w:rPr/>
        <w:t xml:space="preserve">  </w:t>
      </w:r>
      <w:r>
        <w:rPr/>
        <w:t>不可抗力事件发生后，甲方和乙方应当积极寻求以合理的方式履行本合同。如不可抗力无法消除，致使合同目的无法实现的，双方均有权解除合同，且均不互相索赔。</w:t>
      </w:r>
    </w:p>
    <w:p>
      <w:pPr>
        <w:pStyle w:val="null3"/>
        <w:ind w:firstLine="420"/>
      </w:pPr>
      <w:r>
        <w:rPr/>
        <w:t>九、争议解决办法及通知送达</w:t>
      </w:r>
    </w:p>
    <w:p>
      <w:pPr>
        <w:pStyle w:val="null3"/>
      </w:pPr>
      <w:r>
        <w:rPr>
          <w:b/>
        </w:rPr>
        <w:t>第二十七条</w:t>
      </w:r>
      <w:r>
        <w:rPr/>
        <w:t xml:space="preserve">  </w:t>
      </w:r>
      <w:r>
        <w:rPr/>
        <w:t>因货物的质量问题发生争议，由广州市市场监督管理局或其指定的质量鉴定单位进行质量鉴定。货物符合质量标准的，鉴定费由甲方承担；货物不符合质量标准的，鉴定费由乙方承担。</w:t>
      </w:r>
    </w:p>
    <w:p>
      <w:pPr>
        <w:pStyle w:val="null3"/>
      </w:pPr>
      <w:r>
        <w:rPr>
          <w:b/>
        </w:rPr>
        <w:t>第二十八条</w:t>
      </w:r>
      <w:r>
        <w:rPr/>
        <w:t xml:space="preserve">  </w:t>
      </w:r>
      <w:r>
        <w:rPr/>
        <w:t>本合同发生争议，由双方协商或由政府采购监管部门调解解决，协商或调解不成时按以下第</w:t>
      </w:r>
      <w:r>
        <w:rPr>
          <w:u w:val="single"/>
        </w:rPr>
        <w:t xml:space="preserve">  2  </w:t>
      </w:r>
      <w:r>
        <w:rPr/>
        <w:t>种方式解决：</w:t>
      </w:r>
    </w:p>
    <w:p>
      <w:pPr>
        <w:pStyle w:val="null3"/>
        <w:ind w:left="1425" w:firstLine="420"/>
      </w:pPr>
      <w:r>
        <w:rPr/>
        <w:t xml:space="preserve">1.  </w:t>
      </w:r>
      <w:r>
        <w:rPr/>
        <w:t>中国广州仲裁委员会仲裁；</w:t>
      </w:r>
    </w:p>
    <w:p>
      <w:pPr>
        <w:pStyle w:val="null3"/>
        <w:ind w:left="1425" w:firstLine="420"/>
      </w:pPr>
      <w:r>
        <w:rPr/>
        <w:t xml:space="preserve">2.  </w:t>
      </w:r>
      <w:r>
        <w:rPr/>
        <w:t>向甲方所在地人民法院提起诉讼</w:t>
      </w:r>
      <w:r>
        <w:rPr/>
        <w:t>。</w:t>
      </w:r>
    </w:p>
    <w:p>
      <w:pPr>
        <w:pStyle w:val="null3"/>
      </w:pPr>
      <w:r>
        <w:rPr>
          <w:b/>
        </w:rPr>
        <w:t>第二十九条</w:t>
      </w:r>
      <w:r>
        <w:rPr>
          <w:b/>
        </w:rPr>
        <w:t xml:space="preserve">  </w:t>
      </w:r>
      <w:r>
        <w:rPr/>
        <w:t>任何一方因履行本合同而相互发出或者提供的所有通知、文件、材料，均以本合同所列明的地址送达，一方迁址或者变更联系方式的，应提前三日书面通知对方。否则，因联系方式错误致使无法送达而造成的不利后果均由未通知方承担。</w:t>
      </w:r>
    </w:p>
    <w:p>
      <w:pPr>
        <w:pStyle w:val="null3"/>
        <w:ind w:firstLine="420"/>
      </w:pPr>
      <w:r>
        <w:rPr/>
        <w:t>十、其</w:t>
      </w:r>
      <w:r>
        <w:rPr/>
        <w:t xml:space="preserve">    </w:t>
      </w:r>
      <w:r>
        <w:rPr/>
        <w:t>他</w:t>
      </w:r>
    </w:p>
    <w:p>
      <w:pPr>
        <w:pStyle w:val="null3"/>
      </w:pPr>
      <w:r>
        <w:rPr>
          <w:b/>
        </w:rPr>
        <w:t>第三十条</w:t>
      </w:r>
      <w:r>
        <w:rPr/>
        <w:t xml:space="preserve">  </w:t>
      </w:r>
      <w:r>
        <w:rPr/>
        <w:t>本合同一式</w:t>
      </w:r>
      <w:r>
        <w:rPr>
          <w:u w:val="single"/>
        </w:rPr>
        <w:t>X</w:t>
      </w:r>
      <w:r>
        <w:rPr/>
        <w:t>份，甲方执</w:t>
      </w:r>
      <w:r>
        <w:rPr>
          <w:u w:val="single"/>
        </w:rPr>
        <w:t>X</w:t>
      </w:r>
      <w:r>
        <w:rPr/>
        <w:t>份，乙方执</w:t>
      </w:r>
      <w:r>
        <w:rPr>
          <w:u w:val="single"/>
        </w:rPr>
        <w:t>X</w:t>
      </w:r>
      <w:r>
        <w:rPr/>
        <w:t>份，具有同等法律效力。合同自双方签字盖章之日起生效。</w:t>
      </w:r>
    </w:p>
    <w:p>
      <w:pPr>
        <w:pStyle w:val="null3"/>
      </w:pPr>
      <w:r>
        <w:rPr>
          <w:b/>
        </w:rPr>
        <w:t>第三十一条</w:t>
      </w:r>
      <w:r>
        <w:rPr/>
        <w:t xml:space="preserve">  </w:t>
      </w:r>
      <w:r>
        <w:rPr/>
        <w:t>本合同未尽事宜，由双方协商处理。</w:t>
      </w:r>
    </w:p>
    <w:p>
      <w:pPr>
        <w:pStyle w:val="null3"/>
      </w:pPr>
      <w:r>
        <w:rPr>
          <w:b/>
        </w:rPr>
        <w:t>第三十二条</w:t>
      </w:r>
      <w:r>
        <w:rPr/>
        <w:t>乙方须完全遵守《中华人民共和国劳动合同法》有关规定和《中华人民共和国妇女权益保障法》中关于“劳动和社会保障权益”的有关要求。</w:t>
      </w:r>
    </w:p>
    <w:p>
      <w:pPr>
        <w:pStyle w:val="null3"/>
        <w:ind w:firstLine="420"/>
      </w:pPr>
      <w:r>
        <w:rPr/>
        <w:t>（以下无正文）</w:t>
      </w:r>
    </w:p>
    <w:tbl>
      <w:tblPr>
        <w:tblW w:w="0" w:type="auto"/>
        <w:tblInd w:type="dxa" w:w="135"/>
        <w:tblBorders>
          <w:top w:val="single"/>
          <w:left w:val="single"/>
          <w:bottom w:val="single"/>
          <w:right w:val="single"/>
          <w:insideH w:val="single"/>
          <w:insideV w:val="single"/>
        </w:tblBorders>
      </w:tblPr>
      <w:tblGrid>
        <w:gridCol w:w="1455"/>
        <w:gridCol w:w="2704"/>
        <w:gridCol w:w="1523"/>
        <w:gridCol w:w="2622"/>
      </w:tblGrid>
      <w:tr>
        <w:tc>
          <w:tcPr>
            <w:tcW w:type="dxa" w:w="1455"/>
            <w:tcMar>
              <w:top w:type="dxa" w:w="0"/>
              <w:left w:type="dxa" w:w="105"/>
              <w:bottom w:type="dxa" w:w="0"/>
              <w:right w:type="dxa" w:w="105"/>
            </w:tcMar>
            <w:vAlign w:val="top"/>
          </w:tcPr>
          <w:p>
            <w:pPr>
              <w:pStyle w:val="null3"/>
              <w:ind w:firstLine="420"/>
            </w:pPr>
            <w:r>
              <w:rPr/>
              <w:t>甲方：（盖章）</w:t>
            </w:r>
          </w:p>
        </w:tc>
        <w:tc>
          <w:tcPr>
            <w:tcW w:type="dxa" w:w="2704"/>
            <w:tcMar>
              <w:top w:type="dxa" w:w="0"/>
              <w:left w:type="dxa" w:w="105"/>
              <w:bottom w:type="dxa" w:w="0"/>
              <w:right w:type="dxa" w:w="105"/>
            </w:tcMar>
            <w:vAlign w:val="top"/>
          </w:tcPr>
          <w:p>
            <w:pPr>
              <w:pStyle w:val="null3"/>
              <w:ind w:firstLine="420"/>
            </w:pPr>
            <w:r>
              <w:rPr/>
              <w:t>广州番禺职业技术学院</w:t>
            </w:r>
          </w:p>
        </w:tc>
        <w:tc>
          <w:tcPr>
            <w:tcW w:type="dxa" w:w="1523"/>
            <w:tcMar>
              <w:top w:type="dxa" w:w="0"/>
              <w:left w:type="dxa" w:w="105"/>
              <w:bottom w:type="dxa" w:w="0"/>
              <w:right w:type="dxa" w:w="105"/>
            </w:tcMar>
            <w:vAlign w:val="top"/>
          </w:tcPr>
          <w:p>
            <w:pPr>
              <w:pStyle w:val="null3"/>
              <w:ind w:firstLine="420"/>
            </w:pPr>
            <w:r>
              <w:rPr/>
              <w:t>乙方：（盖章）</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签约代表：</w:t>
            </w:r>
          </w:p>
        </w:tc>
        <w:tc>
          <w:tcPr>
            <w:tcW w:type="dxa" w:w="2704"/>
            <w:tcMar>
              <w:top w:type="dxa" w:w="0"/>
              <w:left w:type="dxa" w:w="105"/>
              <w:bottom w:type="dxa" w:w="0"/>
              <w:right w:type="dxa" w:w="105"/>
            </w:tcMar>
            <w:vAlign w:val="top"/>
          </w:tcPr>
          <w:p>
            <w:pPr>
              <w:pStyle w:val="null3"/>
              <w:ind w:firstLine="420"/>
            </w:pPr>
            <w:r>
              <w:rPr/>
              <w:t xml:space="preserve"> </w:t>
            </w:r>
          </w:p>
        </w:tc>
        <w:tc>
          <w:tcPr>
            <w:tcW w:type="dxa" w:w="1523"/>
            <w:tcMar>
              <w:top w:type="dxa" w:w="0"/>
              <w:left w:type="dxa" w:w="105"/>
              <w:bottom w:type="dxa" w:w="0"/>
              <w:right w:type="dxa" w:w="105"/>
            </w:tcMar>
            <w:vAlign w:val="top"/>
          </w:tcPr>
          <w:p>
            <w:pPr>
              <w:pStyle w:val="null3"/>
              <w:ind w:firstLine="420"/>
            </w:pPr>
            <w:r>
              <w:rPr/>
              <w:t>签约代表：</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地</w:t>
            </w:r>
            <w:r>
              <w:rPr/>
              <w:t xml:space="preserve">    </w:t>
            </w:r>
            <w:r>
              <w:rPr/>
              <w:t>址：</w:t>
            </w:r>
          </w:p>
        </w:tc>
        <w:tc>
          <w:tcPr>
            <w:tcW w:type="dxa" w:w="2704"/>
            <w:tcMar>
              <w:top w:type="dxa" w:w="0"/>
              <w:left w:type="dxa" w:w="105"/>
              <w:bottom w:type="dxa" w:w="0"/>
              <w:right w:type="dxa" w:w="105"/>
            </w:tcMar>
            <w:vAlign w:val="top"/>
          </w:tcPr>
          <w:p>
            <w:pPr>
              <w:pStyle w:val="null3"/>
            </w:pPr>
            <w:r>
              <w:rPr>
                <w:sz w:val="24"/>
              </w:rPr>
              <w:t>广州市番禺区沙湾市良路1342号</w:t>
            </w:r>
          </w:p>
        </w:tc>
        <w:tc>
          <w:tcPr>
            <w:tcW w:type="dxa" w:w="1523"/>
            <w:tcMar>
              <w:top w:type="dxa" w:w="0"/>
              <w:left w:type="dxa" w:w="105"/>
              <w:bottom w:type="dxa" w:w="0"/>
              <w:right w:type="dxa" w:w="105"/>
            </w:tcMar>
            <w:vAlign w:val="top"/>
          </w:tcPr>
          <w:p>
            <w:pPr>
              <w:pStyle w:val="null3"/>
              <w:ind w:firstLine="420"/>
            </w:pPr>
            <w:r>
              <w:rPr/>
              <w:t>地</w:t>
            </w:r>
            <w:r>
              <w:rPr/>
              <w:t xml:space="preserve">    </w:t>
            </w:r>
            <w:r>
              <w:rPr/>
              <w:t>址：</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开户银行：</w:t>
            </w:r>
          </w:p>
        </w:tc>
        <w:tc>
          <w:tcPr>
            <w:tcW w:type="dxa" w:w="2704"/>
            <w:tcMar>
              <w:top w:type="dxa" w:w="0"/>
              <w:left w:type="dxa" w:w="105"/>
              <w:bottom w:type="dxa" w:w="0"/>
              <w:right w:type="dxa" w:w="105"/>
            </w:tcMar>
            <w:vAlign w:val="top"/>
          </w:tcPr>
          <w:p>
            <w:pPr>
              <w:pStyle w:val="null3"/>
            </w:pPr>
          </w:p>
        </w:tc>
        <w:tc>
          <w:tcPr>
            <w:tcW w:type="dxa" w:w="1523"/>
            <w:tcMar>
              <w:top w:type="dxa" w:w="0"/>
              <w:left w:type="dxa" w:w="105"/>
              <w:bottom w:type="dxa" w:w="0"/>
              <w:right w:type="dxa" w:w="105"/>
            </w:tcMar>
            <w:vAlign w:val="top"/>
          </w:tcPr>
          <w:p>
            <w:pPr>
              <w:pStyle w:val="null3"/>
            </w:pPr>
            <w:r>
              <w:rPr/>
              <w:t>开户银行：</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银行账号：</w:t>
            </w:r>
          </w:p>
        </w:tc>
        <w:tc>
          <w:tcPr>
            <w:tcW w:type="dxa" w:w="2704"/>
            <w:tcMar>
              <w:top w:type="dxa" w:w="0"/>
              <w:left w:type="dxa" w:w="105"/>
              <w:bottom w:type="dxa" w:w="0"/>
              <w:right w:type="dxa" w:w="105"/>
            </w:tcMar>
            <w:vAlign w:val="top"/>
          </w:tcPr>
          <w:p>
            <w:pPr>
              <w:pStyle w:val="null3"/>
            </w:pPr>
          </w:p>
        </w:tc>
        <w:tc>
          <w:tcPr>
            <w:tcW w:type="dxa" w:w="1523"/>
            <w:tcMar>
              <w:top w:type="dxa" w:w="0"/>
              <w:left w:type="dxa" w:w="105"/>
              <w:bottom w:type="dxa" w:w="0"/>
              <w:right w:type="dxa" w:w="105"/>
            </w:tcMar>
            <w:vAlign w:val="top"/>
          </w:tcPr>
          <w:p>
            <w:pPr>
              <w:pStyle w:val="null3"/>
            </w:pPr>
            <w:r>
              <w:rPr/>
              <w:t>银行账号：</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电</w:t>
            </w:r>
            <w:r>
              <w:rPr/>
              <w:t xml:space="preserve">    </w:t>
            </w:r>
            <w:r>
              <w:rPr/>
              <w:t>话：</w:t>
            </w:r>
          </w:p>
        </w:tc>
        <w:tc>
          <w:tcPr>
            <w:tcW w:type="dxa" w:w="2704"/>
            <w:tcMar>
              <w:top w:type="dxa" w:w="0"/>
              <w:left w:type="dxa" w:w="105"/>
              <w:bottom w:type="dxa" w:w="0"/>
              <w:right w:type="dxa" w:w="105"/>
            </w:tcMar>
            <w:vAlign w:val="top"/>
          </w:tcPr>
          <w:p>
            <w:pPr>
              <w:pStyle w:val="null3"/>
            </w:pPr>
            <w:r>
              <w:rPr>
                <w:sz w:val="24"/>
              </w:rPr>
              <w:t>020-84736666</w:t>
            </w:r>
          </w:p>
        </w:tc>
        <w:tc>
          <w:tcPr>
            <w:tcW w:type="dxa" w:w="1523"/>
            <w:tcMar>
              <w:top w:type="dxa" w:w="0"/>
              <w:left w:type="dxa" w:w="105"/>
              <w:bottom w:type="dxa" w:w="0"/>
              <w:right w:type="dxa" w:w="105"/>
            </w:tcMar>
            <w:vAlign w:val="top"/>
          </w:tcPr>
          <w:p>
            <w:pPr>
              <w:pStyle w:val="null3"/>
              <w:ind w:firstLine="420"/>
            </w:pPr>
            <w:r>
              <w:rPr/>
              <w:t>电</w:t>
            </w:r>
            <w:r>
              <w:rPr/>
              <w:t xml:space="preserve">    </w:t>
            </w:r>
            <w:r>
              <w:rPr/>
              <w:t>话：</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传</w:t>
            </w:r>
            <w:r>
              <w:rPr/>
              <w:t xml:space="preserve">    </w:t>
            </w:r>
            <w:r>
              <w:rPr/>
              <w:t>真：</w:t>
            </w:r>
          </w:p>
        </w:tc>
        <w:tc>
          <w:tcPr>
            <w:tcW w:type="dxa" w:w="2704"/>
            <w:tcMar>
              <w:top w:type="dxa" w:w="0"/>
              <w:left w:type="dxa" w:w="105"/>
              <w:bottom w:type="dxa" w:w="0"/>
              <w:right w:type="dxa" w:w="105"/>
            </w:tcMar>
            <w:vAlign w:val="top"/>
          </w:tcPr>
          <w:p>
            <w:pPr>
              <w:pStyle w:val="null3"/>
            </w:pPr>
            <w:r>
              <w:rPr>
                <w:sz w:val="24"/>
              </w:rPr>
              <w:t>020-84736785</w:t>
            </w:r>
          </w:p>
        </w:tc>
        <w:tc>
          <w:tcPr>
            <w:tcW w:type="dxa" w:w="1523"/>
            <w:tcMar>
              <w:top w:type="dxa" w:w="0"/>
              <w:left w:type="dxa" w:w="105"/>
              <w:bottom w:type="dxa" w:w="0"/>
              <w:right w:type="dxa" w:w="105"/>
            </w:tcMar>
            <w:vAlign w:val="top"/>
          </w:tcPr>
          <w:p>
            <w:pPr>
              <w:pStyle w:val="null3"/>
              <w:ind w:firstLine="420"/>
            </w:pPr>
            <w:r>
              <w:rPr/>
              <w:t>传</w:t>
            </w:r>
            <w:r>
              <w:rPr/>
              <w:t xml:space="preserve">    </w:t>
            </w:r>
            <w:r>
              <w:rPr/>
              <w:t>真：</w:t>
            </w:r>
          </w:p>
        </w:tc>
        <w:tc>
          <w:tcPr>
            <w:tcW w:type="dxa" w:w="2622"/>
            <w:tcMar>
              <w:top w:type="dxa" w:w="0"/>
              <w:left w:type="dxa" w:w="105"/>
              <w:bottom w:type="dxa" w:w="0"/>
              <w:right w:type="dxa" w:w="105"/>
            </w:tcMar>
            <w:vAlign w:val="top"/>
          </w:tcPr>
          <w:p>
            <w:pPr>
              <w:pStyle w:val="null3"/>
              <w:ind w:firstLine="420"/>
            </w:pPr>
            <w:r>
              <w:rPr/>
              <w:t xml:space="preserve"> </w:t>
            </w:r>
          </w:p>
        </w:tc>
      </w:tr>
      <w:tr>
        <w:tc>
          <w:tcPr>
            <w:tcW w:type="dxa" w:w="1455"/>
            <w:tcMar>
              <w:top w:type="dxa" w:w="0"/>
              <w:left w:type="dxa" w:w="105"/>
              <w:bottom w:type="dxa" w:w="0"/>
              <w:right w:type="dxa" w:w="105"/>
            </w:tcMar>
            <w:vAlign w:val="top"/>
          </w:tcPr>
          <w:p>
            <w:pPr>
              <w:pStyle w:val="null3"/>
              <w:ind w:firstLine="420"/>
            </w:pPr>
            <w:r>
              <w:rPr/>
              <w:t>签约日期：</w:t>
            </w:r>
          </w:p>
        </w:tc>
        <w:tc>
          <w:tcPr>
            <w:tcW w:type="dxa" w:w="2704"/>
            <w:tcMar>
              <w:top w:type="dxa" w:w="0"/>
              <w:left w:type="dxa" w:w="105"/>
              <w:bottom w:type="dxa" w:w="0"/>
              <w:right w:type="dxa" w:w="105"/>
            </w:tcMar>
            <w:vAlign w:val="top"/>
          </w:tcPr>
          <w:p>
            <w:pPr>
              <w:pStyle w:val="null3"/>
              <w:ind w:firstLine="240"/>
            </w:pPr>
            <w:r>
              <w:rPr/>
              <w:t xml:space="preserve">  </w:t>
            </w:r>
            <w:r>
              <w:rPr>
                <w:sz w:val="24"/>
              </w:rPr>
              <w:t>年   月   日</w:t>
            </w:r>
          </w:p>
        </w:tc>
        <w:tc>
          <w:tcPr>
            <w:tcW w:type="dxa" w:w="1523"/>
            <w:tcMar>
              <w:top w:type="dxa" w:w="0"/>
              <w:left w:type="dxa" w:w="105"/>
              <w:bottom w:type="dxa" w:w="0"/>
              <w:right w:type="dxa" w:w="105"/>
            </w:tcMar>
            <w:vAlign w:val="top"/>
          </w:tcPr>
          <w:p>
            <w:pPr>
              <w:pStyle w:val="null3"/>
              <w:ind w:firstLine="420"/>
            </w:pPr>
            <w:r>
              <w:rPr/>
              <w:t>签约日期：</w:t>
            </w:r>
          </w:p>
        </w:tc>
        <w:tc>
          <w:tcPr>
            <w:tcW w:type="dxa" w:w="2622"/>
            <w:tcMar>
              <w:top w:type="dxa" w:w="0"/>
              <w:left w:type="dxa" w:w="105"/>
              <w:bottom w:type="dxa" w:w="0"/>
              <w:right w:type="dxa" w:w="105"/>
            </w:tcMar>
            <w:vAlign w:val="top"/>
          </w:tcPr>
          <w:p>
            <w:pPr>
              <w:pStyle w:val="null3"/>
              <w:ind w:firstLine="420"/>
            </w:pPr>
            <w:r>
              <w:rPr/>
              <w:t xml:space="preserve">  </w:t>
            </w:r>
            <w:r>
              <w:rPr/>
              <w:t>年</w:t>
            </w:r>
            <w:r>
              <w:rPr/>
              <w:t xml:space="preserve">   </w:t>
            </w:r>
            <w:r>
              <w:rPr/>
              <w:t>月</w:t>
            </w:r>
            <w:r>
              <w:rPr/>
              <w:t xml:space="preserve">   </w:t>
            </w:r>
            <w:r>
              <w:rPr/>
              <w:t>日</w:t>
            </w:r>
          </w:p>
        </w:tc>
      </w:tr>
    </w:tbl>
    <w:p>
      <w:pPr>
        <w:pStyle w:val="null3"/>
        <w:ind w:firstLine="420"/>
      </w:pPr>
      <w:r>
        <w:rPr/>
        <w:t xml:space="preserve"> </w:t>
      </w:r>
    </w:p>
    <w:p>
      <w:pPr>
        <w:pStyle w:val="null3"/>
        <w:ind w:firstLine="420"/>
      </w:pPr>
      <w:r>
        <w:rPr/>
        <w:t xml:space="preserve"> </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440101-2024-05207</w:t>
      </w:r>
    </w:p>
    <w:p>
      <w:pPr>
        <w:pStyle w:val="null3"/>
        <w:jc w:val="center"/>
        <w:outlineLvl w:val="3"/>
      </w:pPr>
      <w:r>
        <w:rPr>
          <w:sz w:val="24"/>
          <w:b/>
        </w:rPr>
        <w:t>采购项目编号：</w:t>
      </w:r>
      <w:r>
        <w:rPr>
          <w:sz w:val="24"/>
          <w:b/>
        </w:rPr>
        <w:t>CZ2024-0432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广州番禺职业技术学院巡课系统环境配套升级、广州番禺职业技术学院2024年信息化建设项目-子包二</w:t>
      </w:r>
      <w:r>
        <w:rPr>
          <w:u w:val="single"/>
        </w:rPr>
        <w:t>”</w:t>
      </w:r>
      <w:r>
        <w:rPr/>
        <w:t>项目的招标[采购项目编号为：</w:t>
      </w:r>
      <w:r>
        <w:rPr>
          <w:u w:val="single"/>
        </w:rPr>
        <w:t>CZ2024-0432</w:t>
      </w:r>
      <w:r>
        <w:rPr/>
        <w:t>]，我方愿参与投标。</w:t>
      </w:r>
    </w:p>
    <w:p>
      <w:pPr>
        <w:pStyle w:val="null3"/>
        <w:ind w:firstLine="480"/>
      </w:pPr>
      <w:r>
        <w:rPr/>
        <w:t>我方确认收到贵方提供的</w:t>
      </w:r>
      <w:r>
        <w:rPr>
          <w:u w:val="single"/>
        </w:rPr>
        <w:t>“</w:t>
      </w:r>
      <w:r>
        <w:rPr>
          <w:u w:val="single"/>
        </w:rPr>
        <w:t>广州番禺职业技术学院巡课系统环境配套升级、广州番禺职业技术学院2024年信息化建设项目-子包二</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广州番禺职业技术学院巡课系统环境配套升级、广州番禺职业技术学院2024年信息化建设项目-子包二</w:t>
      </w:r>
      <w:r>
        <w:rPr/>
        <w:t>”项目采购[采购项目编号为</w:t>
      </w:r>
      <w:r>
        <w:rPr/>
        <w:t>CZ2024-0432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广州番禺职业技术学院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广州番禺职业技术学院巡课系统环境配套升级、广州番禺职业技术学院2024年信息化建设项目-子包二</w:t>
      </w:r>
      <w:r>
        <w:rPr/>
        <w:t>招标中获中标（采购项目编号：</w:t>
      </w:r>
      <w:r>
        <w:rPr/>
        <w:t>CZ2024-0432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