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1"/>
        <w:rPr>
          <w:rFonts w:ascii="宋体" w:hAnsi="宋体" w:cs="宋体"/>
          <w:b/>
          <w:bCs/>
          <w:color w:val="auto"/>
          <w:sz w:val="28"/>
          <w:szCs w:val="28"/>
          <w:highlight w:val="none"/>
        </w:rPr>
      </w:pPr>
      <w:bookmarkStart w:id="0" w:name="_Toc25882"/>
      <w:bookmarkStart w:id="1" w:name="_Toc3115"/>
      <w:r>
        <w:rPr>
          <w:rFonts w:hint="eastAsia" w:ascii="宋体" w:hAnsi="宋体" w:cs="宋体"/>
          <w:b/>
          <w:bCs/>
          <w:color w:val="auto"/>
          <w:sz w:val="28"/>
          <w:szCs w:val="28"/>
          <w:highlight w:val="none"/>
        </w:rPr>
        <w:t>附录1  资格审查条件（资质最低条件）</w:t>
      </w:r>
      <w:bookmarkEnd w:id="0"/>
      <w:bookmarkEnd w:id="1"/>
    </w:p>
    <w:tbl>
      <w:tblPr>
        <w:tblStyle w:val="3"/>
        <w:tblW w:w="9480" w:type="dxa"/>
        <w:tblInd w:w="141"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948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480" w:type="dxa"/>
            <w:noWrap w:val="0"/>
            <w:vAlign w:val="top"/>
          </w:tcPr>
          <w:p>
            <w:pPr>
              <w:pStyle w:val="6"/>
              <w:keepNext w:val="0"/>
              <w:keepLines w:val="0"/>
              <w:pageBreakBefore w:val="0"/>
              <w:widowControl w:val="0"/>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一、设计资质等级要求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9480" w:type="dxa"/>
            <w:noWrap w:val="0"/>
            <w:vAlign w:val="center"/>
          </w:tcPr>
          <w:p>
            <w:pPr>
              <w:pStyle w:val="6"/>
              <w:keepNext w:val="0"/>
              <w:keepLines w:val="0"/>
              <w:pageBreakBefore w:val="0"/>
              <w:widowControl w:val="0"/>
              <w:numPr>
                <w:ilvl w:val="0"/>
                <w:numId w:val="0"/>
              </w:numPr>
              <w:tabs>
                <w:tab w:val="left" w:pos="637"/>
              </w:tabs>
              <w:kinsoku/>
              <w:wordWrap/>
              <w:overflowPunct/>
              <w:topLinePunct w:val="0"/>
              <w:autoSpaceDE w:val="0"/>
              <w:autoSpaceDN w:val="0"/>
              <w:bidi w:val="0"/>
              <w:adjustRightInd w:val="0"/>
              <w:snapToGrid/>
              <w:spacing w:line="24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工程设计资质：投标人须具备以下任意一项资质(联合体投标的，负责设计的成员提供)。</w:t>
            </w:r>
          </w:p>
          <w:p>
            <w:pPr>
              <w:pStyle w:val="6"/>
              <w:keepNext w:val="0"/>
              <w:keepLines w:val="0"/>
              <w:pageBreakBefore w:val="0"/>
              <w:widowControl w:val="0"/>
              <w:numPr>
                <w:ilvl w:val="0"/>
                <w:numId w:val="0"/>
              </w:numPr>
              <w:tabs>
                <w:tab w:val="left" w:pos="637"/>
              </w:tabs>
              <w:kinsoku/>
              <w:wordWrap/>
              <w:overflowPunct/>
              <w:topLinePunct w:val="0"/>
              <w:autoSpaceDE w:val="0"/>
              <w:autoSpaceDN w:val="0"/>
              <w:bidi w:val="0"/>
              <w:adjustRightInd w:val="0"/>
              <w:snapToGrid/>
              <w:spacing w:line="24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（1）工程设计综合资质甲级；</w:t>
            </w:r>
          </w:p>
          <w:p>
            <w:pPr>
              <w:pStyle w:val="6"/>
              <w:keepNext w:val="0"/>
              <w:keepLines w:val="0"/>
              <w:pageBreakBefore w:val="0"/>
              <w:widowControl w:val="0"/>
              <w:numPr>
                <w:ilvl w:val="0"/>
                <w:numId w:val="0"/>
              </w:numPr>
              <w:tabs>
                <w:tab w:val="left" w:pos="637"/>
              </w:tabs>
              <w:kinsoku/>
              <w:wordWrap/>
              <w:overflowPunct/>
              <w:topLinePunct w:val="0"/>
              <w:autoSpaceDE w:val="0"/>
              <w:autoSpaceDN w:val="0"/>
              <w:bidi w:val="0"/>
              <w:adjustRightInd w:val="0"/>
              <w:snapToGrid/>
              <w:spacing w:line="24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（2）工程设计公路行业乙级资质；</w:t>
            </w:r>
          </w:p>
          <w:p>
            <w:pPr>
              <w:pStyle w:val="6"/>
              <w:keepNext w:val="0"/>
              <w:keepLines w:val="0"/>
              <w:pageBreakBefore w:val="0"/>
              <w:widowControl w:val="0"/>
              <w:numPr>
                <w:ilvl w:val="0"/>
                <w:numId w:val="0"/>
              </w:numPr>
              <w:tabs>
                <w:tab w:val="left" w:pos="637"/>
              </w:tabs>
              <w:kinsoku/>
              <w:wordWrap/>
              <w:overflowPunct/>
              <w:topLinePunct w:val="0"/>
              <w:autoSpaceDE w:val="0"/>
              <w:autoSpaceDN w:val="0"/>
              <w:bidi w:val="0"/>
              <w:adjustRightInd w:val="0"/>
              <w:snapToGrid/>
              <w:spacing w:line="24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（3）工程设计公路行业（公路）专业乙级资质。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480" w:type="dxa"/>
            <w:noWrap w:val="0"/>
            <w:vAlign w:val="top"/>
          </w:tcPr>
          <w:p>
            <w:pPr>
              <w:pStyle w:val="6"/>
              <w:keepNext w:val="0"/>
              <w:keepLines w:val="0"/>
              <w:pageBreakBefore w:val="0"/>
              <w:widowControl w:val="0"/>
              <w:kinsoku/>
              <w:wordWrap/>
              <w:overflowPunct/>
              <w:topLinePunct w:val="0"/>
              <w:autoSpaceDE w:val="0"/>
              <w:autoSpaceDN w:val="0"/>
              <w:bidi w:val="0"/>
              <w:adjustRightInd w:val="0"/>
              <w:snapToGrid/>
              <w:spacing w:line="240" w:lineRule="auto"/>
              <w:ind w:left="107"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二、施工</w:t>
            </w:r>
            <w:r>
              <w:rPr>
                <w:rFonts w:hint="eastAsia" w:ascii="宋体" w:hAnsi="宋体" w:eastAsia="宋体" w:cs="宋体"/>
                <w:b/>
                <w:bCs/>
                <w:color w:val="auto"/>
                <w:sz w:val="24"/>
                <w:szCs w:val="24"/>
                <w:highlight w:val="none"/>
              </w:rPr>
              <w:t>资质</w:t>
            </w:r>
            <w:r>
              <w:rPr>
                <w:rFonts w:hint="eastAsia" w:ascii="宋体" w:hAnsi="宋体" w:eastAsia="宋体" w:cs="宋体"/>
                <w:b/>
                <w:bCs/>
                <w:color w:val="auto"/>
                <w:sz w:val="24"/>
                <w:szCs w:val="24"/>
                <w:highlight w:val="none"/>
                <w:lang w:val="en-US"/>
              </w:rPr>
              <w:t>等级</w:t>
            </w:r>
            <w:r>
              <w:rPr>
                <w:rFonts w:hint="eastAsia" w:ascii="宋体" w:hAnsi="宋体" w:eastAsia="宋体" w:cs="宋体"/>
                <w:b/>
                <w:bCs/>
                <w:color w:val="auto"/>
                <w:sz w:val="24"/>
                <w:szCs w:val="24"/>
                <w:highlight w:val="none"/>
              </w:rPr>
              <w:t>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9480"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投标人须具备以下任意一项资质(联合体投标的，负责施工的成员提供)。</w:t>
            </w:r>
          </w:p>
          <w:p>
            <w:pPr>
              <w:pStyle w:val="6"/>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（1）公路工程施工总承包三级（或以上）资质、安全生产许可证；</w:t>
            </w:r>
          </w:p>
          <w:p>
            <w:pPr>
              <w:pStyle w:val="6"/>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（2）公路路面工程专业承包三级（或以上）资质及公路路基工程专业承包三级（或以上）资质、安全生产许可证。</w:t>
            </w:r>
          </w:p>
        </w:tc>
      </w:tr>
    </w:tbl>
    <w:p>
      <w:pPr>
        <w:spacing w:before="120" w:beforeLines="50" w:line="360" w:lineRule="auto"/>
        <w:ind w:firstLine="480" w:firstLineChars="200"/>
        <w:jc w:val="left"/>
        <w:rPr>
          <w:rFonts w:hint="eastAsia" w:ascii="宋体" w:hAnsi="宋体" w:eastAsia="宋体" w:cs="宋体"/>
          <w:color w:val="auto"/>
          <w:sz w:val="24"/>
          <w:szCs w:val="24"/>
          <w:highlight w:val="none"/>
        </w:rPr>
      </w:pPr>
    </w:p>
    <w:p>
      <w:pPr>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将按照交通运输部《全国公路建设市场信用信息管理系统》网站中“企业名录”（以下简称“名录”）进行审核。对于未列入“名录”或投标人名称、资质信息与“名录”查询结果不符的，将不能通过资格审查。如投标人设计资质和施工资质无法在“全国公路建设市场信用信息管理系统（http:glxy.mot.gov.cn）”查到，则不能通过资质审查；</w:t>
      </w:r>
    </w:p>
    <w:p>
      <w:pPr>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具有有效的营业执照。如以联合体形式投标的，联合体所有成员数量不得超过2家，且联合体牵头人应满足本附录施工资质等级要求，联合体成员应满足本附录设计资质等级要求。以上规定适用于联合体各成员。</w:t>
      </w:r>
    </w:p>
    <w:p>
      <w:pPr>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3、投标人应具有有效的营业执照和有效的安全生产许可证。</w:t>
      </w:r>
    </w:p>
    <w:p>
      <w:pPr>
        <w:adjustRightInd w:val="0"/>
        <w:snapToGrid w:val="0"/>
        <w:spacing w:line="300" w:lineRule="exact"/>
        <w:jc w:val="center"/>
        <w:rPr>
          <w:rFonts w:ascii="宋体" w:hAnsi="宋体" w:cs="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bookmarkStart w:id="8" w:name="_GoBack"/>
      <w:bookmarkEnd w:id="8"/>
    </w:p>
    <w:p>
      <w:pPr>
        <w:adjustRightInd w:val="0"/>
        <w:snapToGrid w:val="0"/>
        <w:spacing w:line="300" w:lineRule="exact"/>
        <w:jc w:val="center"/>
        <w:rPr>
          <w:rFonts w:ascii="宋体" w:hAnsi="宋体" w:cs="宋体"/>
          <w:color w:val="auto"/>
          <w:sz w:val="28"/>
          <w:szCs w:val="28"/>
          <w:highlight w:val="none"/>
        </w:rPr>
      </w:pPr>
    </w:p>
    <w:p>
      <w:pPr>
        <w:rPr>
          <w:rFonts w:hint="eastAsia" w:ascii="宋体" w:hAnsi="宋体" w:cs="宋体"/>
          <w:b/>
          <w:bCs/>
          <w:color w:val="auto"/>
          <w:sz w:val="28"/>
          <w:szCs w:val="28"/>
          <w:highlight w:val="none"/>
        </w:rPr>
      </w:pPr>
      <w:bookmarkStart w:id="2" w:name="_Toc14563"/>
      <w:bookmarkStart w:id="3" w:name="_Toc4623"/>
      <w:r>
        <w:rPr>
          <w:rFonts w:hint="eastAsia" w:ascii="宋体" w:hAnsi="宋体" w:cs="宋体"/>
          <w:b/>
          <w:bCs/>
          <w:color w:val="auto"/>
          <w:sz w:val="28"/>
          <w:szCs w:val="28"/>
          <w:highlight w:val="none"/>
        </w:rPr>
        <w:br w:type="page"/>
      </w:r>
    </w:p>
    <w:p>
      <w:pPr>
        <w:adjustRightInd w:val="0"/>
        <w:snapToGrid w:val="0"/>
        <w:spacing w:line="380" w:lineRule="exact"/>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附录2  资格审查条件（财务最低要求）</w:t>
      </w:r>
      <w:bookmarkEnd w:id="2"/>
      <w:bookmarkEnd w:id="3"/>
    </w:p>
    <w:p>
      <w:pPr>
        <w:pStyle w:val="2"/>
        <w:rPr>
          <w:color w:val="auto"/>
          <w:highlight w:val="none"/>
        </w:rPr>
      </w:pPr>
    </w:p>
    <w:tbl>
      <w:tblPr>
        <w:tblStyle w:val="4"/>
        <w:tblW w:w="96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32" w:type="dxa"/>
          </w:tcPr>
          <w:p>
            <w:pPr>
              <w:pStyle w:val="2"/>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32" w:type="dxa"/>
          </w:tcPr>
          <w:p>
            <w:pPr>
              <w:tabs>
                <w:tab w:val="left" w:pos="360"/>
              </w:tabs>
              <w:spacing w:before="72" w:beforeLines="30" w:after="72" w:afterLines="30"/>
              <w:jc w:val="left"/>
              <w:rPr>
                <w:rFonts w:hint="eastAsia" w:ascii="宋体" w:hAnsi="宋体" w:cs="宋体"/>
                <w:color w:val="auto"/>
                <w:sz w:val="24"/>
                <w:highlight w:val="none"/>
              </w:rPr>
            </w:pPr>
            <w:r>
              <w:rPr>
                <w:rFonts w:hint="eastAsia" w:ascii="宋体" w:hAnsi="宋体" w:cs="宋体"/>
                <w:color w:val="auto"/>
                <w:sz w:val="24"/>
                <w:highlight w:val="none"/>
              </w:rPr>
              <w:t>1、企业净资产（总资产-总负债）不少于800万元人民币；</w:t>
            </w:r>
          </w:p>
          <w:p>
            <w:pPr>
              <w:tabs>
                <w:tab w:val="left" w:pos="360"/>
              </w:tabs>
              <w:spacing w:before="72" w:beforeLines="30" w:after="72" w:afterLines="30"/>
              <w:jc w:val="left"/>
              <w:rPr>
                <w:rFonts w:hint="eastAsia" w:ascii="宋体" w:hAnsi="宋体" w:cs="宋体"/>
                <w:color w:val="auto"/>
                <w:sz w:val="24"/>
                <w:highlight w:val="none"/>
              </w:rPr>
            </w:pPr>
            <w:r>
              <w:rPr>
                <w:rFonts w:hint="eastAsia" w:ascii="宋体" w:hAnsi="宋体" w:cs="宋体"/>
                <w:color w:val="auto"/>
                <w:sz w:val="24"/>
                <w:highlight w:val="none"/>
              </w:rPr>
              <w:t>2、营运资金（流动资产－流动负债）不少于800万元人民币；</w:t>
            </w:r>
          </w:p>
          <w:p>
            <w:pPr>
              <w:tabs>
                <w:tab w:val="left" w:pos="360"/>
              </w:tabs>
              <w:spacing w:before="72" w:beforeLines="30" w:after="72" w:afterLines="30"/>
              <w:jc w:val="left"/>
              <w:rPr>
                <w:rFonts w:hint="eastAsia" w:ascii="宋体" w:hAnsi="宋体" w:cs="宋体"/>
                <w:color w:val="auto"/>
                <w:sz w:val="24"/>
                <w:highlight w:val="none"/>
              </w:rPr>
            </w:pPr>
            <w:r>
              <w:rPr>
                <w:rFonts w:hint="eastAsia" w:ascii="宋体" w:hAnsi="宋体" w:cs="宋体"/>
                <w:color w:val="auto"/>
                <w:sz w:val="24"/>
                <w:highlight w:val="none"/>
              </w:rPr>
              <w:t>3、最近三个年度（2020、2021、2022年）的平均营业总收入不少于1000万元人民币；</w:t>
            </w:r>
          </w:p>
          <w:p>
            <w:pPr>
              <w:tabs>
                <w:tab w:val="left" w:pos="360"/>
              </w:tabs>
              <w:spacing w:before="72" w:beforeLines="30" w:after="72" w:afterLines="30"/>
              <w:jc w:val="left"/>
              <w:rPr>
                <w:rFonts w:ascii="宋体" w:hAnsi="宋体" w:cs="宋体"/>
                <w:color w:val="auto"/>
                <w:sz w:val="24"/>
                <w:highlight w:val="none"/>
              </w:rPr>
            </w:pPr>
            <w:r>
              <w:rPr>
                <w:rFonts w:hint="eastAsia" w:ascii="宋体" w:hAnsi="宋体" w:cs="宋体"/>
                <w:color w:val="auto"/>
                <w:sz w:val="24"/>
                <w:highlight w:val="none"/>
              </w:rPr>
              <w:t>4、最近三个年度（2020、2021、2022年）均为盈利。</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pacing w:val="-5"/>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1.企业净资产、营运资金是按交通运输部“全国公路建设市场信用信息管理系统”登记</w:t>
      </w:r>
      <w:r>
        <w:rPr>
          <w:rFonts w:hint="eastAsia" w:ascii="宋体" w:hAnsi="宋体" w:eastAsia="宋体" w:cs="宋体"/>
          <w:color w:val="auto"/>
          <w:spacing w:val="-5"/>
          <w:sz w:val="24"/>
          <w:szCs w:val="24"/>
          <w:highlight w:val="none"/>
        </w:rPr>
        <w:t>的最新年度数据计算得出。</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近三个年度财务信息以投标人提供的“全国公路建设市场信用信息管理系统”企业所填的</w:t>
      </w:r>
      <w:r>
        <w:rPr>
          <w:rFonts w:hint="eastAsia" w:ascii="宋体" w:hAnsi="宋体" w:eastAsia="宋体" w:cs="宋体"/>
          <w:color w:val="auto"/>
          <w:spacing w:val="-5"/>
          <w:sz w:val="24"/>
          <w:szCs w:val="24"/>
          <w:highlight w:val="none"/>
        </w:rPr>
        <w:t>信息截图为准，投标人的成立时间少于投标人须知前附表规定年份的，应提供成立以来的财务审计意见（报告）或财务信息截图。</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rPr>
        <w:t>3.</w:t>
      </w:r>
      <w:r>
        <w:rPr>
          <w:rFonts w:hint="eastAsia" w:ascii="宋体" w:hAnsi="宋体" w:eastAsia="宋体" w:cs="宋体"/>
          <w:color w:val="auto"/>
          <w:spacing w:val="-3"/>
          <w:sz w:val="24"/>
          <w:szCs w:val="24"/>
          <w:highlight w:val="none"/>
        </w:rPr>
        <w:t>以联合体形式投标的，其财务能力以联合体牵头人为准。</w:t>
      </w:r>
    </w:p>
    <w:p>
      <w:pPr>
        <w:spacing w:line="360" w:lineRule="auto"/>
        <w:ind w:firstLine="420" w:firstLineChars="200"/>
        <w:jc w:val="left"/>
        <w:rPr>
          <w:rFonts w:ascii="宋体" w:hAnsi="宋体"/>
          <w:color w:val="auto"/>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adjustRightInd w:val="0"/>
        <w:snapToGrid w:val="0"/>
        <w:spacing w:line="312" w:lineRule="auto"/>
        <w:jc w:val="center"/>
        <w:outlineLvl w:val="1"/>
        <w:rPr>
          <w:rFonts w:ascii="宋体" w:hAnsi="宋体" w:cs="宋体"/>
          <w:b/>
          <w:bCs/>
          <w:color w:val="auto"/>
          <w:sz w:val="28"/>
          <w:szCs w:val="28"/>
          <w:highlight w:val="none"/>
          <w:vertAlign w:val="superscript"/>
        </w:rPr>
      </w:pPr>
      <w:bookmarkStart w:id="4" w:name="_Toc12878"/>
      <w:r>
        <w:rPr>
          <w:rFonts w:hint="eastAsia" w:ascii="宋体" w:hAnsi="宋体" w:cs="宋体"/>
          <w:b/>
          <w:bCs/>
          <w:color w:val="auto"/>
          <w:sz w:val="28"/>
          <w:szCs w:val="28"/>
          <w:highlight w:val="none"/>
        </w:rPr>
        <w:t>附录3  资格审查条件（业绩最低要求）</w:t>
      </w:r>
      <w:bookmarkEnd w:id="4"/>
    </w:p>
    <w:p>
      <w:pPr>
        <w:adjustRightInd w:val="0"/>
        <w:snapToGrid w:val="0"/>
        <w:spacing w:line="300" w:lineRule="exact"/>
        <w:rPr>
          <w:rFonts w:ascii="宋体" w:hAnsi="宋体" w:cs="宋体"/>
          <w:b/>
          <w:color w:val="auto"/>
          <w:sz w:val="32"/>
          <w:highlight w:val="none"/>
        </w:rPr>
      </w:pPr>
    </w:p>
    <w:tbl>
      <w:tblPr>
        <w:tblStyle w:val="3"/>
        <w:tblW w:w="9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280" w:type="dxa"/>
            <w:tcBorders>
              <w:bottom w:val="single" w:color="auto" w:sz="4" w:space="0"/>
            </w:tcBorders>
            <w:vAlign w:val="center"/>
          </w:tcPr>
          <w:p>
            <w:pPr>
              <w:adjustRightInd w:val="0"/>
              <w:snapToGrid w:val="0"/>
              <w:spacing w:before="72" w:beforeLines="30" w:after="72" w:afterLines="30"/>
              <w:jc w:val="center"/>
              <w:rPr>
                <w:rFonts w:ascii="宋体" w:hAnsi="宋体" w:cs="宋体"/>
                <w:b/>
                <w:bCs/>
                <w:color w:val="auto"/>
                <w:sz w:val="24"/>
                <w:highlight w:val="none"/>
              </w:rPr>
            </w:pPr>
            <w:r>
              <w:rPr>
                <w:rFonts w:hint="eastAsia" w:ascii="宋体" w:hAnsi="宋体" w:cs="宋体"/>
                <w:b/>
                <w:bCs/>
                <w:color w:val="auto"/>
                <w:sz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6" w:hRule="atLeast"/>
          <w:jc w:val="center"/>
        </w:trPr>
        <w:tc>
          <w:tcPr>
            <w:tcW w:w="928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1、施工业绩要求：</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cs="宋体"/>
                <w:color w:val="auto"/>
                <w:sz w:val="24"/>
                <w:highlight w:val="none"/>
                <w:lang w:val="en-US"/>
              </w:rPr>
            </w:pPr>
            <w:r>
              <w:rPr>
                <w:rFonts w:hint="eastAsia" w:ascii="宋体" w:hAnsi="宋体" w:cs="宋体"/>
                <w:color w:val="auto"/>
                <w:sz w:val="24"/>
                <w:highlight w:val="none"/>
                <w:lang w:val="en-US"/>
              </w:rPr>
              <w:t>2019年1月1日至投标截止日，类似工程至少1个标段（其中有1个标段里程不少于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rPr>
              <w:t>km），且累计里程不少于15km的类似工程施工业绩。</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textAlignment w:val="auto"/>
              <w:rPr>
                <w:color w:val="auto"/>
                <w:highlight w:val="none"/>
              </w:rPr>
            </w:pPr>
            <w:r>
              <w:rPr>
                <w:rFonts w:hint="eastAsia" w:ascii="宋体" w:hAnsi="宋体" w:cs="宋体"/>
                <w:color w:val="auto"/>
                <w:sz w:val="24"/>
                <w:highlight w:val="none"/>
                <w:lang w:val="en-US" w:eastAsia="zh-CN"/>
              </w:rPr>
              <w:t>2、设计业绩要求：不要求；</w:t>
            </w:r>
          </w:p>
        </w:tc>
      </w:tr>
    </w:tbl>
    <w:p>
      <w:pPr>
        <w:spacing w:before="122" w:line="348" w:lineRule="auto"/>
        <w:ind w:left="403" w:right="0"/>
        <w:rPr>
          <w:color w:val="auto"/>
          <w:spacing w:val="-5"/>
          <w:sz w:val="21"/>
          <w:highlight w:val="none"/>
        </w:rPr>
      </w:pPr>
      <w:r>
        <w:rPr>
          <w:rFonts w:hint="eastAsia"/>
          <w:color w:val="auto"/>
          <w:spacing w:val="-5"/>
          <w:sz w:val="21"/>
          <w:highlight w:val="none"/>
        </w:rPr>
        <w:t>注：</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1、本附录所要求的业绩仅限中华人民共和国境内业绩。按照资质要求对应设定业绩内容。</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2、若投标人提供的业绩证明为联合体业绩，则按交通运输部“全国公路建设市场信用信息管理系统”业绩信息的网页截图）体现其完成的工作量认定，无法界定其完成的工作量，此业绩不予认定。</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3、若为联合体投标，投标人业绩的资格审查条件和加分条件（如有）的认定原则如下：联合体成员须按联合体协议书中约定承担的各专业工程满足对应的业绩要求。</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4、设计类似业绩指包含路面工程设计内容或项目内容中包含路面工程即可。</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5、类似工程指“新建、改建、扩建、或改造”叁级或以上公路项目，且合同标段里程不少于</w:t>
      </w:r>
      <w:r>
        <w:rPr>
          <w:rFonts w:hint="eastAsia" w:ascii="宋体" w:hAnsi="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lang w:val="en-US" w:eastAsia="zh-CN"/>
        </w:rPr>
        <w:t>km，专项整治、养护、处治工程业绩不计。</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6、工程业绩信息来源于“全国公路建设市场信用信息管理系统，如投标人未提供相关项目网页截图复印件或相关项目网页截图中的信息无法证实投标人满足招标文件规定的资格审查条件（业绩最低要求）或评标办法评分标准（如有），则该项目业绩不予认定。</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7、施工业绩计算时间以交通运输部“全国公路建设市场信用信息管理系统”上的交工验收或未交工验收一次性竣工验收的时间为准，工程质量等级评定要达到合格或以上。</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adjustRightInd w:val="0"/>
        <w:snapToGrid w:val="0"/>
        <w:spacing w:line="300" w:lineRule="auto"/>
        <w:jc w:val="center"/>
        <w:outlineLvl w:val="1"/>
        <w:rPr>
          <w:rFonts w:ascii="宋体" w:hAnsi="宋体" w:cs="宋体"/>
          <w:b/>
          <w:bCs/>
          <w:color w:val="auto"/>
          <w:sz w:val="28"/>
          <w:szCs w:val="28"/>
          <w:highlight w:val="none"/>
        </w:rPr>
      </w:pPr>
      <w:bookmarkStart w:id="5" w:name="_Toc30697"/>
      <w:bookmarkStart w:id="6" w:name="_Toc27550"/>
      <w:r>
        <w:rPr>
          <w:rFonts w:hint="eastAsia" w:ascii="宋体" w:hAnsi="宋体" w:cs="宋体"/>
          <w:b/>
          <w:bCs/>
          <w:color w:val="auto"/>
          <w:sz w:val="28"/>
          <w:szCs w:val="28"/>
          <w:highlight w:val="none"/>
        </w:rPr>
        <w:t>附录4  资格审查条件（信誉最低要求）</w:t>
      </w:r>
      <w:bookmarkEnd w:id="5"/>
      <w:bookmarkEnd w:id="6"/>
    </w:p>
    <w:p>
      <w:pPr>
        <w:adjustRightInd w:val="0"/>
        <w:snapToGrid w:val="0"/>
        <w:spacing w:line="300" w:lineRule="exact"/>
        <w:rPr>
          <w:rFonts w:ascii="宋体" w:hAnsi="宋体" w:cs="宋体"/>
          <w:color w:val="auto"/>
          <w:sz w:val="28"/>
          <w:szCs w:val="28"/>
          <w:highlight w:val="none"/>
        </w:rPr>
      </w:pPr>
    </w:p>
    <w:tbl>
      <w:tblPr>
        <w:tblStyle w:val="3"/>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26" w:type="dxa"/>
            <w:tcBorders>
              <w:bottom w:val="single" w:color="auto" w:sz="4" w:space="0"/>
            </w:tcBorders>
            <w:vAlign w:val="center"/>
          </w:tcPr>
          <w:p>
            <w:pPr>
              <w:adjustRightInd w:val="0"/>
              <w:snapToGrid w:val="0"/>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9526" w:type="dxa"/>
            <w:tcBorders>
              <w:top w:val="single" w:color="auto" w:sz="4" w:space="0"/>
            </w:tcBorders>
          </w:tcPr>
          <w:p>
            <w:pPr>
              <w:spacing w:before="72" w:beforeLines="30" w:after="72" w:afterLines="3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在最新年度广东省公路工程从业单位信用评价</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含无最新年度而上一年度有信用评价</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中，信用等级</w:t>
            </w:r>
            <w:r>
              <w:rPr>
                <w:rFonts w:hint="eastAsia" w:ascii="宋体" w:hAnsi="宋体" w:cs="宋体"/>
                <w:color w:val="auto"/>
                <w:sz w:val="24"/>
                <w:szCs w:val="32"/>
                <w:highlight w:val="none"/>
                <w:lang w:eastAsia="zh-CN"/>
              </w:rPr>
              <w:t>未</w:t>
            </w:r>
            <w:r>
              <w:rPr>
                <w:rFonts w:hint="eastAsia" w:ascii="宋体" w:hAnsi="宋体" w:cs="宋体"/>
                <w:color w:val="auto"/>
                <w:sz w:val="24"/>
                <w:szCs w:val="32"/>
                <w:highlight w:val="none"/>
              </w:rPr>
              <w:t>被评为D级</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初次进入广东省的投标人，在最新年度的全国公路从业单位信用评价结果中</w:t>
            </w:r>
            <w:r>
              <w:rPr>
                <w:rFonts w:hint="eastAsia" w:ascii="宋体" w:hAnsi="宋体" w:cs="宋体"/>
                <w:color w:val="auto"/>
                <w:sz w:val="24"/>
                <w:szCs w:val="32"/>
                <w:highlight w:val="none"/>
                <w:lang w:eastAsia="zh-CN"/>
              </w:rPr>
              <w:t>未</w:t>
            </w:r>
            <w:r>
              <w:rPr>
                <w:rFonts w:hint="eastAsia" w:ascii="宋体" w:hAnsi="宋体" w:cs="宋体"/>
                <w:color w:val="auto"/>
                <w:sz w:val="24"/>
                <w:szCs w:val="32"/>
                <w:highlight w:val="none"/>
              </w:rPr>
              <w:t>被评为D级</w:t>
            </w:r>
            <w:r>
              <w:rPr>
                <w:rFonts w:hint="eastAsia" w:ascii="宋体" w:hAnsi="宋体" w:cs="宋体"/>
                <w:color w:val="auto"/>
                <w:sz w:val="24"/>
                <w:szCs w:val="32"/>
                <w:highlight w:val="none"/>
                <w:lang w:eastAsia="zh-CN"/>
              </w:rPr>
              <w:t>。</w:t>
            </w:r>
          </w:p>
          <w:p>
            <w:pPr>
              <w:spacing w:before="72" w:beforeLines="30" w:after="72" w:afterLines="30"/>
              <w:rPr>
                <w:color w:val="auto"/>
                <w:highlight w:val="none"/>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pacing w:val="0"/>
                <w:position w:val="0"/>
                <w:sz w:val="24"/>
                <w:szCs w:val="24"/>
                <w:highlight w:val="none"/>
              </w:rPr>
              <w:t>在“信用中国”网站</w:t>
            </w:r>
            <w:r>
              <w:rPr>
                <w:rFonts w:hint="eastAsia" w:ascii="宋体" w:hAnsi="宋体" w:eastAsia="宋体" w:cs="宋体"/>
                <w:color w:val="auto"/>
                <w:spacing w:val="0"/>
                <w:position w:val="0"/>
                <w:sz w:val="24"/>
                <w:szCs w:val="24"/>
                <w:highlight w:val="none"/>
                <w:u w:val="none"/>
              </w:rPr>
              <w:t>（http</w:t>
            </w:r>
            <w:r>
              <w:rPr>
                <w:rFonts w:hint="eastAsia" w:ascii="宋体" w:hAnsi="宋体" w:eastAsia="宋体" w:cs="宋体"/>
                <w:color w:val="auto"/>
                <w:spacing w:val="0"/>
                <w:position w:val="0"/>
                <w:sz w:val="24"/>
                <w:szCs w:val="24"/>
                <w:highlight w:val="none"/>
                <w:u w:val="none"/>
                <w:lang w:eastAsia="zh-CN"/>
              </w:rPr>
              <w:t>：</w:t>
            </w:r>
            <w:r>
              <w:rPr>
                <w:rFonts w:hint="eastAsia" w:ascii="宋体" w:hAnsi="宋体" w:eastAsia="宋体" w:cs="宋体"/>
                <w:color w:val="auto"/>
                <w:spacing w:val="0"/>
                <w:position w:val="0"/>
                <w:sz w:val="24"/>
                <w:szCs w:val="24"/>
                <w:highlight w:val="none"/>
                <w:u w:val="none"/>
              </w:rPr>
              <w:t>//www.creditchina.gov.cn/</w:t>
            </w:r>
            <w:r>
              <w:rPr>
                <w:rFonts w:hint="eastAsia" w:ascii="宋体" w:hAnsi="宋体" w:eastAsia="宋体" w:cs="宋体"/>
                <w:color w:val="auto"/>
                <w:spacing w:val="0"/>
                <w:position w:val="0"/>
                <w:sz w:val="24"/>
                <w:szCs w:val="24"/>
                <w:highlight w:val="none"/>
                <w:u w:val="none"/>
                <w:lang w:eastAsia="zh-CN"/>
              </w:rPr>
              <w:t>）</w:t>
            </w:r>
            <w:r>
              <w:rPr>
                <w:rFonts w:hint="eastAsia" w:ascii="宋体" w:hAnsi="宋体" w:eastAsia="宋体" w:cs="宋体"/>
                <w:color w:val="auto"/>
                <w:spacing w:val="0"/>
                <w:position w:val="0"/>
                <w:sz w:val="24"/>
                <w:szCs w:val="24"/>
                <w:highlight w:val="none"/>
                <w:u w:val="none"/>
              </w:rPr>
              <w:t>中被列入失信被执行</w:t>
            </w:r>
            <w:r>
              <w:rPr>
                <w:rFonts w:hint="eastAsia" w:ascii="宋体" w:hAnsi="宋体" w:eastAsia="宋体" w:cs="宋体"/>
                <w:color w:val="auto"/>
                <w:spacing w:val="0"/>
                <w:position w:val="0"/>
                <w:sz w:val="24"/>
                <w:szCs w:val="24"/>
                <w:highlight w:val="none"/>
              </w:rPr>
              <w:t>人名单的投标人，在国家企业信用信息公示系统（</w:t>
            </w:r>
            <w:r>
              <w:rPr>
                <w:rFonts w:hint="eastAsia" w:ascii="宋体" w:hAnsi="宋体" w:eastAsia="宋体" w:cs="宋体"/>
                <w:color w:val="auto"/>
                <w:spacing w:val="0"/>
                <w:position w:val="0"/>
                <w:sz w:val="24"/>
                <w:szCs w:val="32"/>
                <w:highlight w:val="none"/>
              </w:rPr>
              <w:t>http</w:t>
            </w:r>
            <w:r>
              <w:rPr>
                <w:rFonts w:hint="eastAsia" w:ascii="宋体" w:hAnsi="宋体" w:eastAsia="宋体" w:cs="宋体"/>
                <w:color w:val="auto"/>
                <w:spacing w:val="0"/>
                <w:position w:val="0"/>
                <w:sz w:val="24"/>
                <w:szCs w:val="32"/>
                <w:highlight w:val="none"/>
                <w:lang w:eastAsia="zh-CN"/>
              </w:rPr>
              <w:t>：</w:t>
            </w:r>
            <w:r>
              <w:rPr>
                <w:rFonts w:hint="eastAsia" w:ascii="宋体" w:hAnsi="宋体" w:eastAsia="宋体" w:cs="宋体"/>
                <w:color w:val="auto"/>
                <w:spacing w:val="0"/>
                <w:position w:val="0"/>
                <w:sz w:val="24"/>
                <w:szCs w:val="32"/>
                <w:highlight w:val="none"/>
              </w:rPr>
              <w:t>//</w:t>
            </w:r>
            <w:r>
              <w:rPr>
                <w:rFonts w:hint="eastAsia" w:ascii="宋体" w:hAnsi="宋体" w:eastAsia="宋体" w:cs="宋体"/>
                <w:color w:val="auto"/>
                <w:spacing w:val="0"/>
                <w:position w:val="0"/>
                <w:sz w:val="24"/>
                <w:szCs w:val="24"/>
                <w:highlight w:val="none"/>
                <w:u w:val="none"/>
              </w:rPr>
              <w:t>www.gsxt.gov.cn/）中被列入严重违</w:t>
            </w:r>
            <w:r>
              <w:rPr>
                <w:rFonts w:hint="eastAsia" w:ascii="宋体" w:hAnsi="宋体" w:eastAsia="宋体" w:cs="宋体"/>
                <w:color w:val="auto"/>
                <w:spacing w:val="0"/>
                <w:position w:val="0"/>
                <w:sz w:val="24"/>
                <w:szCs w:val="24"/>
                <w:highlight w:val="none"/>
              </w:rPr>
              <w:t>法失信企业名单的投标人，均按否决投标处理。</w:t>
            </w:r>
          </w:p>
        </w:tc>
      </w:tr>
    </w:tbl>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注：</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1、信用等级的确定原则遵遁投标人须知前附表10.2款的规定。</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2、投标人应根据第七章“投标文件格式”中“七、资格审查资料（五）投标人的信誉情况表”填写情况说明。</w:t>
      </w: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adjustRightInd w:val="0"/>
        <w:snapToGrid w:val="0"/>
        <w:spacing w:line="312" w:lineRule="auto"/>
        <w:jc w:val="center"/>
        <w:outlineLvl w:val="1"/>
        <w:rPr>
          <w:rFonts w:ascii="宋体" w:hAnsi="宋体" w:cs="宋体"/>
          <w:b/>
          <w:bCs/>
          <w:color w:val="auto"/>
          <w:sz w:val="28"/>
          <w:szCs w:val="28"/>
          <w:highlight w:val="none"/>
        </w:rPr>
      </w:pPr>
      <w:bookmarkStart w:id="7" w:name="_Toc8432"/>
      <w:r>
        <w:rPr>
          <w:rFonts w:hint="eastAsia" w:ascii="宋体" w:hAnsi="宋体" w:cs="宋体"/>
          <w:b/>
          <w:bCs/>
          <w:color w:val="auto"/>
          <w:sz w:val="28"/>
          <w:szCs w:val="28"/>
          <w:highlight w:val="none"/>
        </w:rPr>
        <w:t>附录</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 xml:space="preserve">  资格审查条件（项目经理、项目总工和设计负责人最低要求）</w:t>
      </w:r>
      <w:bookmarkEnd w:id="7"/>
    </w:p>
    <w:p>
      <w:pPr>
        <w:adjustRightInd w:val="0"/>
        <w:snapToGrid w:val="0"/>
        <w:spacing w:line="300" w:lineRule="exact"/>
        <w:ind w:left="210" w:hanging="210"/>
        <w:jc w:val="center"/>
        <w:rPr>
          <w:rFonts w:ascii="宋体" w:hAnsi="宋体" w:cs="宋体"/>
          <w:color w:val="auto"/>
          <w:sz w:val="24"/>
          <w:highlight w:val="none"/>
        </w:rPr>
      </w:pPr>
    </w:p>
    <w:tbl>
      <w:tblPr>
        <w:tblStyle w:val="3"/>
        <w:tblW w:w="9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840"/>
        <w:gridCol w:w="511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575" w:type="dxa"/>
            <w:tcBorders>
              <w:bottom w:val="single" w:color="auto" w:sz="4" w:space="0"/>
              <w:right w:val="single" w:color="auto" w:sz="4" w:space="0"/>
            </w:tcBorders>
            <w:vAlign w:val="center"/>
          </w:tcPr>
          <w:p>
            <w:pPr>
              <w:adjustRightInd w:val="0"/>
              <w:snapToGrid w:val="0"/>
              <w:spacing w:before="72" w:beforeLines="30" w:after="72" w:afterLines="30"/>
              <w:jc w:val="center"/>
              <w:rPr>
                <w:rFonts w:ascii="宋体" w:hAnsi="宋体" w:cs="宋体"/>
                <w:b/>
                <w:bCs/>
                <w:color w:val="auto"/>
                <w:sz w:val="24"/>
                <w:highlight w:val="none"/>
              </w:rPr>
            </w:pPr>
            <w:r>
              <w:rPr>
                <w:rFonts w:hint="eastAsia" w:ascii="宋体" w:hAnsi="宋体" w:cs="宋体"/>
                <w:b/>
                <w:bCs/>
                <w:color w:val="auto"/>
                <w:sz w:val="24"/>
                <w:highlight w:val="none"/>
              </w:rPr>
              <w:t>人员</w:t>
            </w:r>
          </w:p>
        </w:tc>
        <w:tc>
          <w:tcPr>
            <w:tcW w:w="840" w:type="dxa"/>
            <w:tcBorders>
              <w:left w:val="single" w:color="auto" w:sz="4" w:space="0"/>
              <w:bottom w:val="single" w:color="auto" w:sz="4" w:space="0"/>
              <w:right w:val="single" w:color="auto" w:sz="4" w:space="0"/>
            </w:tcBorders>
            <w:vAlign w:val="center"/>
          </w:tcPr>
          <w:p>
            <w:pPr>
              <w:adjustRightInd w:val="0"/>
              <w:snapToGrid w:val="0"/>
              <w:spacing w:before="72" w:beforeLines="30" w:after="72" w:afterLines="30"/>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5115" w:type="dxa"/>
            <w:tcBorders>
              <w:left w:val="single" w:color="auto" w:sz="4" w:space="0"/>
              <w:bottom w:val="single" w:color="auto" w:sz="4" w:space="0"/>
              <w:right w:val="single" w:color="auto" w:sz="4" w:space="0"/>
            </w:tcBorders>
            <w:vAlign w:val="center"/>
          </w:tcPr>
          <w:p>
            <w:pPr>
              <w:adjustRightInd w:val="0"/>
              <w:snapToGrid w:val="0"/>
              <w:spacing w:before="72" w:beforeLines="30" w:after="72" w:afterLines="30"/>
              <w:jc w:val="center"/>
              <w:rPr>
                <w:rFonts w:ascii="宋体" w:hAnsi="宋体" w:cs="宋体"/>
                <w:b/>
                <w:bCs/>
                <w:color w:val="auto"/>
                <w:sz w:val="24"/>
                <w:highlight w:val="none"/>
              </w:rPr>
            </w:pPr>
            <w:r>
              <w:rPr>
                <w:rFonts w:hint="eastAsia" w:ascii="宋体" w:hAnsi="宋体" w:cs="宋体"/>
                <w:b/>
                <w:bCs/>
                <w:color w:val="auto"/>
                <w:sz w:val="24"/>
                <w:highlight w:val="none"/>
              </w:rPr>
              <w:t>资格要求</w:t>
            </w:r>
          </w:p>
        </w:tc>
        <w:tc>
          <w:tcPr>
            <w:tcW w:w="1995" w:type="dxa"/>
            <w:tcBorders>
              <w:left w:val="single" w:color="auto" w:sz="4" w:space="0"/>
              <w:bottom w:val="single" w:color="auto" w:sz="4" w:space="0"/>
            </w:tcBorders>
            <w:vAlign w:val="center"/>
          </w:tcPr>
          <w:p>
            <w:pPr>
              <w:adjustRightInd w:val="0"/>
              <w:snapToGrid w:val="0"/>
              <w:spacing w:before="72" w:beforeLines="30" w:after="72" w:afterLines="30"/>
              <w:jc w:val="center"/>
              <w:rPr>
                <w:rFonts w:ascii="宋体" w:hAnsi="宋体" w:cs="宋体"/>
                <w:b/>
                <w:bCs/>
                <w:color w:val="auto"/>
                <w:sz w:val="24"/>
                <w:highlight w:val="none"/>
              </w:rPr>
            </w:pPr>
            <w:r>
              <w:rPr>
                <w:rFonts w:hint="eastAsia" w:ascii="宋体" w:hAnsi="宋体" w:cs="宋体"/>
                <w:b/>
                <w:bCs/>
                <w:color w:val="auto"/>
                <w:sz w:val="24"/>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575" w:type="dxa"/>
            <w:tcBorders>
              <w:top w:val="single" w:color="auto" w:sz="4" w:space="0"/>
              <w:bottom w:val="single" w:color="auto" w:sz="4" w:space="0"/>
              <w:right w:val="single" w:color="auto" w:sz="4" w:space="0"/>
            </w:tcBorders>
            <w:tcMar>
              <w:left w:w="0" w:type="dxa"/>
              <w:right w:w="0" w:type="dxa"/>
            </w:tcMar>
            <w:vAlign w:val="center"/>
          </w:tcPr>
          <w:p>
            <w:pPr>
              <w:tabs>
                <w:tab w:val="left" w:pos="360"/>
              </w:tabs>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pacing w:val="-2"/>
                <w:sz w:val="24"/>
                <w:highlight w:val="none"/>
              </w:rPr>
              <w:t>经理</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360"/>
              </w:tabs>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1人</w:t>
            </w:r>
          </w:p>
        </w:tc>
        <w:tc>
          <w:tcPr>
            <w:tcW w:w="5115"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①具有建设行政主管部门颁发的公路工程专业一级建造师注册证书；</w:t>
            </w:r>
          </w:p>
          <w:p>
            <w:pPr>
              <w:pStyle w:val="15"/>
              <w:spacing w:line="240" w:lineRule="auto"/>
              <w:ind w:left="0" w:leftChars="0" w:firstLine="0" w:firstLineChars="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②具有交通运输主管部门颁发的安全生产“三类人员”B类证书</w:t>
            </w:r>
            <w:r>
              <w:rPr>
                <w:rFonts w:hint="eastAsia" w:ascii="宋体" w:hAnsi="宋体" w:cs="宋体"/>
                <w:color w:val="auto"/>
                <w:sz w:val="24"/>
                <w:szCs w:val="24"/>
                <w:highlight w:val="none"/>
                <w:lang w:eastAsia="zh-CN"/>
              </w:rPr>
              <w:t>；</w:t>
            </w:r>
          </w:p>
          <w:p>
            <w:pPr>
              <w:pStyle w:val="15"/>
              <w:spacing w:line="24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备注：联合体投标的，负责施工的成员提供；</w:t>
            </w:r>
          </w:p>
        </w:tc>
        <w:tc>
          <w:tcPr>
            <w:tcW w:w="1995" w:type="dxa"/>
            <w:vMerge w:val="restart"/>
            <w:tcBorders>
              <w:top w:val="single" w:color="auto" w:sz="4" w:space="0"/>
              <w:left w:val="single" w:color="auto" w:sz="4" w:space="0"/>
            </w:tcBorders>
            <w:vAlign w:val="center"/>
          </w:tcPr>
          <w:p>
            <w:pPr>
              <w:tabs>
                <w:tab w:val="left" w:pos="360"/>
              </w:tabs>
              <w:spacing w:before="72" w:beforeLines="30" w:after="72" w:afterLines="30"/>
              <w:rPr>
                <w:rFonts w:ascii="宋体" w:hAnsi="宋体" w:cs="宋体"/>
                <w:color w:val="auto"/>
                <w:sz w:val="24"/>
                <w:highlight w:val="none"/>
              </w:rPr>
            </w:pPr>
            <w:r>
              <w:rPr>
                <w:rFonts w:hint="eastAsia" w:ascii="宋体" w:hAnsi="宋体" w:cs="宋体"/>
                <w:color w:val="auto"/>
                <w:sz w:val="24"/>
                <w:highlight w:val="none"/>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575" w:type="dxa"/>
            <w:tcBorders>
              <w:top w:val="single" w:color="auto" w:sz="4" w:space="0"/>
              <w:bottom w:val="single" w:color="auto" w:sz="4" w:space="0"/>
              <w:right w:val="single" w:color="auto" w:sz="4" w:space="0"/>
            </w:tcBorders>
            <w:vAlign w:val="center"/>
          </w:tcPr>
          <w:p>
            <w:pPr>
              <w:tabs>
                <w:tab w:val="left" w:pos="360"/>
              </w:tabs>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pacing w:val="-2"/>
                <w:sz w:val="24"/>
                <w:highlight w:val="none"/>
              </w:rPr>
              <w:t>总工</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360"/>
              </w:tabs>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1人</w:t>
            </w:r>
          </w:p>
        </w:tc>
        <w:tc>
          <w:tcPr>
            <w:tcW w:w="5115"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①路桥相关专业</w:t>
            </w:r>
            <w:r>
              <w:rPr>
                <w:rFonts w:hint="eastAsia" w:ascii="宋体" w:hAnsi="宋体" w:cs="宋体"/>
                <w:color w:val="auto"/>
                <w:sz w:val="24"/>
                <w:lang w:val="en-US" w:eastAsia="zh-CN"/>
              </w:rPr>
              <w:t>中级</w:t>
            </w:r>
            <w:r>
              <w:rPr>
                <w:rFonts w:hint="eastAsia" w:ascii="宋体" w:hAnsi="宋体" w:cs="宋体"/>
                <w:color w:val="auto"/>
                <w:sz w:val="24"/>
              </w:rPr>
              <w:t>（或以上）</w:t>
            </w:r>
            <w:r>
              <w:rPr>
                <w:rFonts w:hint="eastAsia" w:ascii="宋体" w:hAnsi="宋体" w:eastAsia="宋体" w:cs="宋体"/>
                <w:color w:val="auto"/>
                <w:sz w:val="24"/>
                <w:szCs w:val="24"/>
                <w:highlight w:val="none"/>
              </w:rPr>
              <w:t>工程师；</w:t>
            </w:r>
          </w:p>
          <w:p>
            <w:pPr>
              <w:pStyle w:val="15"/>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②具有交通运输主管部门颁发的安全生产“三类人员”B类证书；</w:t>
            </w:r>
          </w:p>
          <w:p>
            <w:pPr>
              <w:pStyle w:val="15"/>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备注：联合体投标的，负责施工的成员提供；</w:t>
            </w:r>
          </w:p>
        </w:tc>
        <w:tc>
          <w:tcPr>
            <w:tcW w:w="1995" w:type="dxa"/>
            <w:vMerge w:val="continue"/>
            <w:tcBorders>
              <w:left w:val="single" w:color="auto" w:sz="4" w:space="0"/>
            </w:tcBorders>
            <w:vAlign w:val="center"/>
          </w:tcPr>
          <w:p>
            <w:pPr>
              <w:snapToGrid w:val="0"/>
              <w:spacing w:before="72" w:beforeLines="30" w:after="72" w:afterLines="30"/>
              <w:jc w:val="lef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575" w:type="dxa"/>
            <w:tcBorders>
              <w:top w:val="single" w:color="auto" w:sz="4" w:space="0"/>
              <w:right w:val="single" w:color="auto" w:sz="4" w:space="0"/>
            </w:tcBorders>
            <w:vAlign w:val="center"/>
          </w:tcPr>
          <w:p>
            <w:pPr>
              <w:tabs>
                <w:tab w:val="left" w:pos="360"/>
              </w:tabs>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设计负责人</w:t>
            </w:r>
          </w:p>
        </w:tc>
        <w:tc>
          <w:tcPr>
            <w:tcW w:w="840" w:type="dxa"/>
            <w:tcBorders>
              <w:top w:val="single" w:color="auto" w:sz="4" w:space="0"/>
              <w:left w:val="single" w:color="auto" w:sz="4" w:space="0"/>
              <w:right w:val="single" w:color="auto" w:sz="4" w:space="0"/>
            </w:tcBorders>
            <w:vAlign w:val="center"/>
          </w:tcPr>
          <w:p>
            <w:pPr>
              <w:tabs>
                <w:tab w:val="left" w:pos="360"/>
              </w:tabs>
              <w:spacing w:before="72" w:beforeLines="30" w:after="72" w:afterLines="30"/>
              <w:jc w:val="center"/>
              <w:rPr>
                <w:rFonts w:ascii="宋体" w:hAnsi="宋体" w:cs="宋体"/>
                <w:color w:val="auto"/>
                <w:sz w:val="24"/>
                <w:highlight w:val="none"/>
              </w:rPr>
            </w:pPr>
            <w:r>
              <w:rPr>
                <w:rFonts w:hint="eastAsia" w:ascii="宋体" w:hAnsi="宋体" w:cs="宋体"/>
                <w:color w:val="auto"/>
                <w:sz w:val="24"/>
                <w:highlight w:val="none"/>
              </w:rPr>
              <w:t>1人</w:t>
            </w:r>
          </w:p>
        </w:tc>
        <w:tc>
          <w:tcPr>
            <w:tcW w:w="5115" w:type="dxa"/>
            <w:tcBorders>
              <w:top w:val="single" w:color="auto" w:sz="4" w:space="0"/>
              <w:left w:val="single" w:color="auto" w:sz="4" w:space="0"/>
              <w:right w:val="single" w:color="auto" w:sz="4" w:space="0"/>
            </w:tcBorders>
            <w:vAlign w:val="center"/>
          </w:tcPr>
          <w:p>
            <w:pPr>
              <w:pStyle w:val="15"/>
              <w:spacing w:line="240" w:lineRule="auto"/>
              <w:ind w:left="0" w:leftChars="0" w:firstLine="0" w:firstLineChars="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路桥相关专业</w:t>
            </w:r>
            <w:r>
              <w:rPr>
                <w:rFonts w:hint="eastAsia" w:ascii="宋体" w:hAnsi="宋体" w:cs="宋体"/>
                <w:color w:val="auto"/>
                <w:sz w:val="24"/>
                <w:lang w:val="en-US" w:eastAsia="zh-CN"/>
              </w:rPr>
              <w:t>中级</w:t>
            </w:r>
            <w:r>
              <w:rPr>
                <w:rFonts w:hint="eastAsia" w:ascii="宋体" w:hAnsi="宋体" w:cs="宋体"/>
                <w:color w:val="auto"/>
                <w:sz w:val="24"/>
              </w:rPr>
              <w:t>（或以上）</w:t>
            </w:r>
            <w:r>
              <w:rPr>
                <w:rFonts w:hint="eastAsia" w:ascii="宋体" w:hAnsi="宋体" w:eastAsia="宋体" w:cs="宋体"/>
                <w:color w:val="auto"/>
                <w:sz w:val="24"/>
                <w:szCs w:val="24"/>
                <w:highlight w:val="none"/>
              </w:rPr>
              <w:t>工程师</w:t>
            </w:r>
            <w:r>
              <w:rPr>
                <w:rFonts w:hint="eastAsia" w:ascii="宋体" w:hAnsi="宋体" w:cs="宋体"/>
                <w:color w:val="auto"/>
                <w:sz w:val="24"/>
                <w:szCs w:val="24"/>
                <w:highlight w:val="none"/>
                <w:lang w:eastAsia="zh-CN"/>
              </w:rPr>
              <w:t>；</w:t>
            </w:r>
          </w:p>
          <w:p>
            <w:pPr>
              <w:pStyle w:val="15"/>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备注：</w:t>
            </w:r>
            <w:r>
              <w:rPr>
                <w:rFonts w:hint="eastAsia" w:ascii="宋体" w:hAnsi="宋体" w:cs="宋体"/>
                <w:color w:val="auto"/>
                <w:sz w:val="24"/>
                <w:highlight w:val="none"/>
              </w:rPr>
              <w:t>联合体投标的，负责设计的成员提供</w:t>
            </w:r>
            <w:r>
              <w:rPr>
                <w:rFonts w:hint="eastAsia" w:ascii="宋体" w:hAnsi="宋体" w:cs="宋体"/>
                <w:color w:val="auto"/>
                <w:sz w:val="24"/>
                <w:highlight w:val="none"/>
                <w:lang w:eastAsia="zh-CN"/>
              </w:rPr>
              <w:t>；</w:t>
            </w:r>
          </w:p>
        </w:tc>
        <w:tc>
          <w:tcPr>
            <w:tcW w:w="1995" w:type="dxa"/>
            <w:tcBorders>
              <w:left w:val="single" w:color="auto" w:sz="4" w:space="0"/>
            </w:tcBorders>
            <w:vAlign w:val="center"/>
          </w:tcPr>
          <w:p>
            <w:pPr>
              <w:adjustRightInd w:val="0"/>
              <w:snapToGrid w:val="0"/>
              <w:spacing w:before="72" w:beforeLines="30" w:after="72" w:afterLines="3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1.资格审查条件要求的人员建造师注册证书、安全生产“三类人员”B类证书均应在投标人所在的单位，否则视为无效。</w:t>
      </w:r>
    </w:p>
    <w:p>
      <w:pPr>
        <w:pStyle w:val="14"/>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2.路桥相关专业是指：道路、桥梁、市政路桥、公路、道桥、交通土建、交通等。</w:t>
      </w:r>
    </w:p>
    <w:p>
      <w:r>
        <w:rPr>
          <w:rFonts w:hint="eastAsia" w:ascii="宋体" w:hAnsi="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lang w:val="en-US" w:eastAsia="zh-CN"/>
        </w:rPr>
        <w:t>.项目经理、项目总工为联合体中施工单位的正式员工，设计负责人为联合体中负责设计工作的成员方正式员工。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OGYxN2RkMmZjMDE2NTJhMTVlNGYwNWZiYTA1YTMifQ=="/>
  </w:docVars>
  <w:rsids>
    <w:rsidRoot w:val="6F83215C"/>
    <w:rsid w:val="6F83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7"/>
    <w:autoRedefine/>
    <w:unhideWhenUsed/>
    <w:qFormat/>
    <w:uiPriority w:val="99"/>
  </w:style>
  <w:style w:type="paragraph" w:customStyle="1" w:styleId="7">
    <w:name w:val="正文 New New New New"/>
    <w:next w:val="8"/>
    <w:autoRedefine/>
    <w:unhideWhenUsed/>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8">
    <w:name w:val="正文文本缩进 New New New New"/>
    <w:basedOn w:val="9"/>
    <w:autoRedefine/>
    <w:unhideWhenUsed/>
    <w:qFormat/>
    <w:uiPriority w:val="99"/>
    <w:pPr>
      <w:ind w:left="420" w:leftChars="200"/>
    </w:pPr>
  </w:style>
  <w:style w:type="paragraph" w:customStyle="1" w:styleId="9">
    <w:name w:val="正文文本 New New New New"/>
    <w:basedOn w:val="10"/>
    <w:autoRedefine/>
    <w:unhideWhenUsed/>
    <w:qFormat/>
    <w:uiPriority w:val="99"/>
    <w:pPr>
      <w:spacing w:before="32"/>
      <w:ind w:left="138"/>
    </w:pPr>
    <w:rPr>
      <w:rFonts w:eastAsia="Times New Roman"/>
    </w:rPr>
  </w:style>
  <w:style w:type="paragraph" w:customStyle="1" w:styleId="10">
    <w:name w:val="正文 New New New New New New"/>
    <w:next w:val="11"/>
    <w:autoRedefine/>
    <w:unhideWhenUsed/>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11">
    <w:name w:val="正文文本缩进 New New New New New New"/>
    <w:basedOn w:val="12"/>
    <w:autoRedefine/>
    <w:unhideWhenUsed/>
    <w:qFormat/>
    <w:uiPriority w:val="99"/>
    <w:pPr>
      <w:ind w:left="420" w:leftChars="200"/>
    </w:pPr>
  </w:style>
  <w:style w:type="paragraph" w:customStyle="1" w:styleId="12">
    <w:name w:val="正文文本 New New New New New New New New New New"/>
    <w:basedOn w:val="13"/>
    <w:autoRedefine/>
    <w:unhideWhenUsed/>
    <w:qFormat/>
    <w:uiPriority w:val="99"/>
    <w:pPr>
      <w:spacing w:before="32"/>
      <w:ind w:left="138"/>
    </w:pPr>
    <w:rPr>
      <w:rFonts w:eastAsia="Times New Roman"/>
    </w:rPr>
  </w:style>
  <w:style w:type="paragraph" w:customStyle="1" w:styleId="13">
    <w:name w:val="正文 New New New New New New New New New New New"/>
    <w:next w:val="11"/>
    <w:autoRedefine/>
    <w:unhideWhenUsed/>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styleId="14">
    <w:name w:val="List Paragraph"/>
    <w:basedOn w:val="1"/>
    <w:autoRedefine/>
    <w:qFormat/>
    <w:uiPriority w:val="99"/>
    <w:pPr>
      <w:ind w:firstLine="420" w:firstLineChars="200"/>
    </w:pPr>
    <w:rPr>
      <w:szCs w:val="20"/>
    </w:rPr>
  </w:style>
  <w:style w:type="paragraph" w:customStyle="1" w:styleId="15">
    <w:name w:val="标准正文"/>
    <w:basedOn w:val="1"/>
    <w:autoRedefine/>
    <w:qFormat/>
    <w:uiPriority w:val="0"/>
    <w:pPr>
      <w:spacing w:line="360" w:lineRule="auto"/>
      <w:ind w:firstLine="480" w:firstLineChars="200"/>
    </w:pPr>
    <w:rPr>
      <w:rFonts w:ascii="Arial" w:hAnsi="Arial"/>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2024-05-20T07:21:00Z</dcterms:created>
  <dc:creator>王志磊</dc:creator>
  <cp:lastModifiedBy>王志磊</cp:lastModifiedBy>
  <dcterms:modified xsi:type="dcterms:W3CDTF">2024-05-20T07:22:01Z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4F31E59F13DE409AB0423E8E64EB202B_11</vt:lpwstr>
  </property>
</Properties>
</file>