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48"/>
          <w:szCs w:val="48"/>
          <w:highlight w:val="none"/>
        </w:rPr>
      </w:pPr>
    </w:p>
    <w:p>
      <w:pPr>
        <w:pStyle w:val="2"/>
        <w:rPr>
          <w:color w:val="auto"/>
          <w:highlight w:val="none"/>
        </w:rPr>
      </w:pPr>
    </w:p>
    <w:p>
      <w:pPr>
        <w:spacing w:line="360" w:lineRule="auto"/>
        <w:jc w:val="center"/>
        <w:rPr>
          <w:b/>
          <w:bCs w:val="0"/>
          <w:color w:val="auto"/>
          <w:sz w:val="62"/>
          <w:szCs w:val="62"/>
          <w:highlight w:val="none"/>
          <w:u w:val="single"/>
        </w:rPr>
      </w:pPr>
      <w:r>
        <w:rPr>
          <w:rFonts w:hint="eastAsia" w:ascii="宋体" w:hAnsi="宋体"/>
          <w:b/>
          <w:bCs w:val="0"/>
          <w:color w:val="auto"/>
          <w:sz w:val="62"/>
          <w:szCs w:val="62"/>
          <w:highlight w:val="none"/>
          <w:lang w:eastAsia="zh-CN"/>
        </w:rPr>
        <w:t>广东外语外贸大学学生宿舍修缮（2024年）项目施工总承包</w:t>
      </w:r>
    </w:p>
    <w:p>
      <w:pPr>
        <w:spacing w:line="360" w:lineRule="auto"/>
        <w:jc w:val="center"/>
        <w:rPr>
          <w:color w:val="auto"/>
          <w:sz w:val="36"/>
          <w:highlight w:val="none"/>
          <w:u w:val="single"/>
        </w:rPr>
      </w:pPr>
    </w:p>
    <w:p>
      <w:pPr>
        <w:pStyle w:val="5"/>
        <w:rPr>
          <w:color w:val="auto"/>
          <w:sz w:val="36"/>
          <w:highlight w:val="none"/>
          <w:u w:val="single"/>
        </w:rPr>
      </w:pPr>
    </w:p>
    <w:p>
      <w:pPr>
        <w:pStyle w:val="5"/>
        <w:spacing w:line="360" w:lineRule="auto"/>
        <w:rPr>
          <w:color w:val="auto"/>
          <w:sz w:val="36"/>
          <w:highlight w:val="none"/>
          <w:u w:val="single"/>
        </w:rPr>
      </w:pPr>
    </w:p>
    <w:p>
      <w:pPr>
        <w:pStyle w:val="5"/>
        <w:spacing w:line="360" w:lineRule="auto"/>
        <w:rPr>
          <w:color w:val="auto"/>
          <w:sz w:val="36"/>
          <w:highlight w:val="none"/>
          <w:u w:val="single"/>
        </w:rPr>
      </w:pPr>
    </w:p>
    <w:p>
      <w:pPr>
        <w:spacing w:line="360" w:lineRule="auto"/>
        <w:jc w:val="center"/>
        <w:rPr>
          <w:rFonts w:ascii="宋体" w:hAnsi="宋体"/>
          <w:b/>
          <w:bCs/>
          <w:color w:val="auto"/>
          <w:spacing w:val="26"/>
          <w:sz w:val="144"/>
          <w:szCs w:val="144"/>
          <w:highlight w:val="none"/>
        </w:rPr>
      </w:pPr>
      <w:r>
        <w:rPr>
          <w:rFonts w:hint="eastAsia" w:ascii="宋体" w:hAnsi="宋体"/>
          <w:b/>
          <w:bCs/>
          <w:color w:val="auto"/>
          <w:spacing w:val="26"/>
          <w:sz w:val="96"/>
          <w:szCs w:val="144"/>
          <w:highlight w:val="none"/>
        </w:rPr>
        <w:t>招标公告</w:t>
      </w:r>
    </w:p>
    <w:p>
      <w:pPr>
        <w:spacing w:line="360" w:lineRule="auto"/>
        <w:rPr>
          <w:color w:val="auto"/>
          <w:sz w:val="32"/>
          <w:highlight w:val="none"/>
        </w:rPr>
      </w:pPr>
    </w:p>
    <w:p>
      <w:pPr>
        <w:pStyle w:val="5"/>
        <w:spacing w:line="360" w:lineRule="auto"/>
        <w:rPr>
          <w:color w:val="auto"/>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招标单位：</w:t>
      </w:r>
      <w:r>
        <w:rPr>
          <w:rFonts w:hint="eastAsia" w:ascii="宋体" w:hAnsi="宋体" w:cs="宋体"/>
          <w:color w:val="auto"/>
          <w:sz w:val="32"/>
          <w:szCs w:val="32"/>
          <w:highlight w:val="none"/>
          <w:u w:val="single"/>
          <w:lang w:eastAsia="zh-CN"/>
        </w:rPr>
        <w:t>广东外语外贸大学</w:t>
      </w:r>
    </w:p>
    <w:p>
      <w:pPr>
        <w:spacing w:line="360" w:lineRule="auto"/>
        <w:ind w:firstLine="1280" w:firstLineChars="400"/>
        <w:jc w:val="left"/>
        <w:rPr>
          <w:rFonts w:ascii="宋体" w:hAnsi="宋体" w:cs="宋体"/>
          <w:color w:val="auto"/>
          <w:sz w:val="32"/>
          <w:szCs w:val="32"/>
          <w:highlight w:val="none"/>
        </w:rPr>
      </w:pPr>
      <w:r>
        <w:rPr>
          <w:rFonts w:hint="eastAsia" w:ascii="宋体" w:hAnsi="宋体" w:cs="宋体"/>
          <w:color w:val="auto"/>
          <w:sz w:val="32"/>
          <w:szCs w:val="32"/>
          <w:highlight w:val="none"/>
        </w:rPr>
        <w:t>招标代理机构：</w:t>
      </w:r>
      <w:r>
        <w:rPr>
          <w:rFonts w:hint="eastAsia" w:ascii="宋体" w:hAnsi="宋体" w:cs="宋体"/>
          <w:color w:val="auto"/>
          <w:sz w:val="32"/>
          <w:szCs w:val="32"/>
          <w:highlight w:val="none"/>
          <w:u w:val="single"/>
        </w:rPr>
        <w:t>北京中交建设工程咨询有限公司</w:t>
      </w:r>
    </w:p>
    <w:p>
      <w:pPr>
        <w:widowControl/>
        <w:snapToGrid w:val="0"/>
        <w:spacing w:line="480" w:lineRule="auto"/>
        <w:ind w:right="102" w:firstLine="1280" w:firstLineChars="400"/>
        <w:jc w:val="left"/>
        <w:rPr>
          <w:rFonts w:ascii="宋体" w:hAnsi="宋体" w:cs="宋体"/>
          <w:color w:val="auto"/>
          <w:sz w:val="32"/>
          <w:szCs w:val="32"/>
          <w:highlight w:val="none"/>
        </w:rPr>
      </w:pPr>
      <w:r>
        <w:rPr>
          <w:rFonts w:hint="eastAsia" w:ascii="宋体" w:hAnsi="宋体" w:cs="宋体"/>
          <w:color w:val="auto"/>
          <w:sz w:val="32"/>
          <w:szCs w:val="32"/>
          <w:highlight w:val="none"/>
        </w:rPr>
        <w:t>日    期：</w:t>
      </w:r>
      <w:r>
        <w:rPr>
          <w:rFonts w:hint="eastAsia" w:ascii="宋体" w:hAnsi="宋体" w:cs="宋体"/>
          <w:color w:val="auto"/>
          <w:sz w:val="32"/>
          <w:szCs w:val="32"/>
          <w:highlight w:val="none"/>
          <w:u w:val="single"/>
        </w:rPr>
        <w:t>2</w:t>
      </w:r>
      <w:r>
        <w:rPr>
          <w:rFonts w:ascii="宋体" w:hAnsi="宋体" w:cs="宋体"/>
          <w:color w:val="auto"/>
          <w:sz w:val="32"/>
          <w:szCs w:val="32"/>
          <w:highlight w:val="none"/>
          <w:u w:val="single"/>
        </w:rPr>
        <w:t>024</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rPr>
        <w:t>月</w:t>
      </w:r>
    </w:p>
    <w:p>
      <w:pPr>
        <w:rPr>
          <w:rFonts w:hint="default"/>
          <w:b/>
          <w:bCs/>
          <w:color w:val="auto"/>
          <w:sz w:val="32"/>
          <w:szCs w:val="32"/>
          <w:highlight w:val="none"/>
        </w:rPr>
      </w:pPr>
      <w:r>
        <w:rPr>
          <w:rFonts w:hint="default"/>
          <w:b/>
          <w:bCs/>
          <w:color w:val="auto"/>
          <w:sz w:val="32"/>
          <w:szCs w:val="32"/>
          <w:highlight w:val="none"/>
        </w:rPr>
        <w:br w:type="page"/>
      </w:r>
    </w:p>
    <w:p>
      <w:pPr>
        <w:pStyle w:val="8"/>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广东外语外贸大学学生宿舍修缮（2024年）项目施工总承包</w:t>
      </w:r>
    </w:p>
    <w:p>
      <w:pPr>
        <w:pStyle w:val="8"/>
        <w:spacing w:line="360" w:lineRule="auto"/>
        <w:jc w:val="center"/>
        <w:rPr>
          <w:color w:val="auto"/>
          <w:sz w:val="24"/>
          <w:highlight w:val="none"/>
        </w:rPr>
      </w:pPr>
      <w:r>
        <w:rPr>
          <w:rFonts w:hint="eastAsia"/>
          <w:b/>
          <w:bCs/>
          <w:color w:val="auto"/>
          <w:sz w:val="32"/>
          <w:szCs w:val="32"/>
          <w:highlight w:val="none"/>
        </w:rPr>
        <w:t>招标公告</w:t>
      </w:r>
    </w:p>
    <w:p>
      <w:pPr>
        <w:spacing w:line="360" w:lineRule="auto"/>
        <w:ind w:left="0" w:leftChars="0" w:firstLine="480" w:firstLineChars="200"/>
        <w:rPr>
          <w:color w:val="auto"/>
          <w:sz w:val="24"/>
          <w:highlight w:val="none"/>
        </w:rPr>
      </w:pPr>
    </w:p>
    <w:p>
      <w:pPr>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根据广东省企业投资项目备案证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项目代码：</w:t>
      </w:r>
      <w:r>
        <w:rPr>
          <w:rFonts w:hint="eastAsia" w:ascii="宋体" w:hAnsi="宋体" w:cs="宋体"/>
          <w:bCs/>
          <w:sz w:val="24"/>
          <w:szCs w:val="24"/>
          <w:u w:val="single"/>
          <w:lang w:val="en-US" w:eastAsia="zh-CN"/>
        </w:rPr>
        <w:t>2403-440111-04-01-632489、2403-440113-04-01-358965</w:t>
      </w:r>
      <w:r>
        <w:rPr>
          <w:rFonts w:hint="eastAsia" w:ascii="宋体" w:hAnsi="宋体"/>
          <w:color w:val="auto"/>
          <w:sz w:val="24"/>
          <w:highlight w:val="none"/>
          <w:lang w:eastAsia="zh-CN"/>
        </w:rPr>
        <w:t>）</w:t>
      </w:r>
      <w:r>
        <w:rPr>
          <w:rFonts w:hint="eastAsia" w:ascii="宋体" w:hAnsi="宋体"/>
          <w:color w:val="auto"/>
          <w:sz w:val="24"/>
          <w:highlight w:val="none"/>
        </w:rPr>
        <w:t>批准，并且图纸和技术资料满足施工需要，</w:t>
      </w:r>
      <w:r>
        <w:rPr>
          <w:rFonts w:hint="eastAsia" w:ascii="宋体" w:hAnsi="宋体" w:cs="宋体"/>
          <w:color w:val="auto"/>
          <w:sz w:val="24"/>
          <w:szCs w:val="24"/>
          <w:highlight w:val="none"/>
          <w:u w:val="single"/>
          <w:lang w:eastAsia="zh-CN"/>
        </w:rPr>
        <w:t>广东外语外贸大学</w:t>
      </w:r>
      <w:r>
        <w:rPr>
          <w:rFonts w:hint="eastAsia" w:ascii="宋体" w:hAnsi="宋体"/>
          <w:color w:val="auto"/>
          <w:sz w:val="24"/>
          <w:highlight w:val="none"/>
        </w:rPr>
        <w:t>现对</w:t>
      </w:r>
      <w:r>
        <w:rPr>
          <w:rFonts w:hint="eastAsia"/>
          <w:color w:val="auto"/>
          <w:sz w:val="24"/>
          <w:highlight w:val="none"/>
          <w:u w:val="single"/>
          <w:lang w:eastAsia="zh-CN"/>
        </w:rPr>
        <w:t>广东外语外贸大学学生宿舍修缮（2024年）项目施工总承包</w:t>
      </w:r>
      <w:r>
        <w:rPr>
          <w:rFonts w:hint="eastAsia" w:ascii="宋体" w:hAnsi="宋体"/>
          <w:color w:val="auto"/>
          <w:sz w:val="24"/>
          <w:highlight w:val="none"/>
        </w:rPr>
        <w:t>工程施工进行施工</w:t>
      </w:r>
      <w:r>
        <w:rPr>
          <w:rFonts w:hint="eastAsia"/>
          <w:color w:val="auto"/>
          <w:sz w:val="24"/>
          <w:highlight w:val="none"/>
        </w:rPr>
        <w:t>总承包</w:t>
      </w:r>
      <w:r>
        <w:rPr>
          <w:rFonts w:hint="eastAsia" w:ascii="宋体" w:hAnsi="宋体"/>
          <w:color w:val="auto"/>
          <w:sz w:val="24"/>
          <w:highlight w:val="none"/>
        </w:rPr>
        <w:t>公开招标，选定承包人。</w:t>
      </w:r>
    </w:p>
    <w:p>
      <w:pPr>
        <w:tabs>
          <w:tab w:val="center" w:pos="4415"/>
        </w:tabs>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一、工程名称：</w:t>
      </w:r>
    </w:p>
    <w:p>
      <w:pPr>
        <w:keepNext w:val="0"/>
        <w:keepLines w:val="0"/>
        <w:pageBreakBefore w:val="0"/>
        <w:widowControl w:val="0"/>
        <w:numPr>
          <w:ilvl w:val="0"/>
          <w:numId w:val="0"/>
        </w:numPr>
        <w:tabs>
          <w:tab w:val="center" w:pos="4415"/>
        </w:tabs>
        <w:kinsoku/>
        <w:wordWrap/>
        <w:overflowPunct/>
        <w:topLinePunct w:val="0"/>
        <w:autoSpaceDE/>
        <w:autoSpaceDN/>
        <w:bidi w:val="0"/>
        <w:adjustRightInd/>
        <w:snapToGrid/>
        <w:spacing w:line="360" w:lineRule="auto"/>
        <w:ind w:firstLine="960" w:firstLineChars="400"/>
        <w:textAlignment w:val="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标段一工程名称：广东外语外贸大学学生宿舍修缮（2024年）项目-白云山校区施工总承包</w:t>
      </w:r>
    </w:p>
    <w:p>
      <w:pPr>
        <w:keepNext w:val="0"/>
        <w:keepLines w:val="0"/>
        <w:pageBreakBefore w:val="0"/>
        <w:widowControl w:val="0"/>
        <w:numPr>
          <w:ilvl w:val="0"/>
          <w:numId w:val="0"/>
        </w:numPr>
        <w:tabs>
          <w:tab w:val="center" w:pos="4415"/>
        </w:tabs>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bCs/>
          <w:sz w:val="24"/>
          <w:szCs w:val="24"/>
          <w:u w:val="single"/>
          <w:lang w:val="en-US" w:eastAsia="zh-CN"/>
        </w:rPr>
      </w:pPr>
      <w:r>
        <w:rPr>
          <w:rFonts w:hint="eastAsia" w:ascii="宋体" w:hAnsi="宋体" w:cs="宋体"/>
          <w:bCs/>
          <w:sz w:val="24"/>
          <w:szCs w:val="24"/>
          <w:u w:val="single"/>
          <w:lang w:val="en-US" w:eastAsia="zh-CN"/>
        </w:rPr>
        <w:t>标段二工程名称：广东外语外贸大学学生宿舍修缮（2024年）项目-大学城校区施工总承包</w:t>
      </w:r>
    </w:p>
    <w:p>
      <w:pPr>
        <w:tabs>
          <w:tab w:val="center" w:pos="4415"/>
        </w:tabs>
        <w:spacing w:line="360" w:lineRule="auto"/>
        <w:ind w:firstLine="1017" w:firstLineChars="424"/>
        <w:rPr>
          <w:rFonts w:hint="eastAsia" w:ascii="宋体"/>
          <w:color w:val="auto"/>
          <w:sz w:val="24"/>
          <w:highlight w:val="none"/>
        </w:rPr>
      </w:pPr>
      <w:r>
        <w:rPr>
          <w:rFonts w:hint="eastAsia" w:ascii="宋体"/>
          <w:color w:val="auto"/>
          <w:sz w:val="24"/>
          <w:highlight w:val="none"/>
        </w:rPr>
        <w:t>项目代码：</w:t>
      </w:r>
    </w:p>
    <w:p>
      <w:pPr>
        <w:keepNext w:val="0"/>
        <w:keepLines w:val="0"/>
        <w:pageBreakBefore w:val="0"/>
        <w:widowControl w:val="0"/>
        <w:numPr>
          <w:ilvl w:val="0"/>
          <w:numId w:val="0"/>
        </w:numPr>
        <w:tabs>
          <w:tab w:val="center" w:pos="4415"/>
        </w:tabs>
        <w:kinsoku/>
        <w:wordWrap/>
        <w:overflowPunct/>
        <w:topLinePunct w:val="0"/>
        <w:autoSpaceDE/>
        <w:autoSpaceDN/>
        <w:bidi w:val="0"/>
        <w:adjustRightInd/>
        <w:snapToGrid/>
        <w:spacing w:line="360" w:lineRule="auto"/>
        <w:ind w:firstLine="960" w:firstLineChars="400"/>
        <w:textAlignment w:val="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标段一项目代码：2403-440111-04-01-632489</w:t>
      </w:r>
    </w:p>
    <w:p>
      <w:pPr>
        <w:keepNext w:val="0"/>
        <w:keepLines w:val="0"/>
        <w:pageBreakBefore w:val="0"/>
        <w:widowControl w:val="0"/>
        <w:numPr>
          <w:ilvl w:val="0"/>
          <w:numId w:val="0"/>
        </w:numPr>
        <w:tabs>
          <w:tab w:val="center" w:pos="4415"/>
        </w:tabs>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bCs/>
          <w:sz w:val="24"/>
          <w:szCs w:val="24"/>
          <w:u w:val="single"/>
          <w:lang w:val="en-US" w:eastAsia="zh-CN"/>
        </w:rPr>
      </w:pPr>
      <w:r>
        <w:rPr>
          <w:rFonts w:hint="eastAsia" w:ascii="宋体" w:hAnsi="宋体" w:cs="宋体"/>
          <w:bCs/>
          <w:sz w:val="24"/>
          <w:szCs w:val="24"/>
          <w:u w:val="single"/>
          <w:lang w:val="en-US" w:eastAsia="zh-CN"/>
        </w:rPr>
        <w:t>标段二项目代码：2403-440113-04-01-358965</w:t>
      </w:r>
    </w:p>
    <w:p>
      <w:pPr>
        <w:spacing w:line="360" w:lineRule="auto"/>
        <w:ind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二、招标单位：</w:t>
      </w:r>
      <w:r>
        <w:rPr>
          <w:rFonts w:hint="eastAsia" w:ascii="宋体" w:hAnsi="宋体" w:cs="宋体"/>
          <w:color w:val="auto"/>
          <w:sz w:val="24"/>
          <w:szCs w:val="24"/>
          <w:highlight w:val="none"/>
          <w:u w:val="single"/>
          <w:lang w:eastAsia="zh-CN"/>
        </w:rPr>
        <w:t>广东外语外贸大学</w:t>
      </w:r>
    </w:p>
    <w:p>
      <w:pPr>
        <w:spacing w:line="360" w:lineRule="auto"/>
        <w:ind w:firstLine="537" w:firstLineChars="224"/>
        <w:rPr>
          <w:rFonts w:hint="eastAsia" w:ascii="宋体" w:hAnsi="宋体" w:eastAsia="宋体"/>
          <w:color w:val="auto"/>
          <w:sz w:val="24"/>
          <w:highlight w:val="none"/>
          <w:u w:val="single"/>
          <w:lang w:eastAsia="zh-CN"/>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eastAsia="zh-CN"/>
        </w:rPr>
        <w:t>潘老师</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eastAsia="zh-CN"/>
        </w:rPr>
        <w:t>020-36207135</w:t>
      </w:r>
    </w:p>
    <w:p>
      <w:pPr>
        <w:spacing w:line="360" w:lineRule="auto"/>
        <w:ind w:firstLine="1015" w:firstLineChars="423"/>
        <w:rPr>
          <w:rFonts w:hint="eastAsia" w:ascii="宋体" w:hAnsi="宋体" w:eastAsia="宋体"/>
          <w:color w:val="auto"/>
          <w:sz w:val="24"/>
          <w:highlight w:val="none"/>
          <w:u w:val="single"/>
          <w:lang w:eastAsia="zh-CN"/>
        </w:rPr>
      </w:pPr>
      <w:r>
        <w:rPr>
          <w:rFonts w:hint="eastAsia" w:ascii="宋体" w:hAnsi="宋体"/>
          <w:color w:val="auto"/>
          <w:sz w:val="24"/>
          <w:highlight w:val="none"/>
        </w:rPr>
        <w:t>联系地址：</w:t>
      </w:r>
      <w:r>
        <w:rPr>
          <w:rFonts w:hint="eastAsia" w:ascii="宋体" w:hAnsi="宋体"/>
          <w:color w:val="auto"/>
          <w:sz w:val="24"/>
          <w:highlight w:val="none"/>
          <w:u w:val="single"/>
          <w:lang w:eastAsia="zh-CN"/>
        </w:rPr>
        <w:t>广州市白云区白云大道北2号</w:t>
      </w:r>
    </w:p>
    <w:p>
      <w:pPr>
        <w:spacing w:line="360" w:lineRule="auto"/>
        <w:ind w:left="420" w:leftChars="200" w:firstLine="537" w:firstLineChars="224"/>
        <w:rPr>
          <w:rFonts w:ascii="宋体"/>
          <w:color w:val="auto"/>
          <w:sz w:val="24"/>
          <w:highlight w:val="none"/>
          <w:u w:val="single"/>
        </w:rPr>
      </w:pPr>
      <w:r>
        <w:rPr>
          <w:rFonts w:hint="eastAsia" w:ascii="宋体" w:hAnsi="宋体"/>
          <w:color w:val="auto"/>
          <w:sz w:val="24"/>
          <w:highlight w:val="none"/>
        </w:rPr>
        <w:t>招标代理机构：</w:t>
      </w:r>
      <w:r>
        <w:rPr>
          <w:rFonts w:hint="eastAsia" w:ascii="宋体" w:hAnsi="宋体"/>
          <w:color w:val="auto"/>
          <w:sz w:val="24"/>
          <w:szCs w:val="24"/>
          <w:highlight w:val="none"/>
          <w:u w:val="single"/>
        </w:rPr>
        <w:t>北京中交建设工程咨询有限公司</w:t>
      </w:r>
    </w:p>
    <w:p>
      <w:pPr>
        <w:spacing w:line="360" w:lineRule="auto"/>
        <w:ind w:firstLine="537" w:firstLineChars="224"/>
        <w:rPr>
          <w:rFonts w:hint="default" w:ascii="宋体" w:hAnsi="宋体" w:eastAsia="宋体"/>
          <w:color w:val="auto"/>
          <w:sz w:val="24"/>
          <w:highlight w:val="none"/>
          <w:u w:val="single"/>
          <w:lang w:val="en-US" w:eastAsia="zh-CN"/>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罗</w:t>
      </w:r>
      <w:r>
        <w:rPr>
          <w:rFonts w:hint="eastAsia" w:ascii="宋体" w:hAnsi="宋体"/>
          <w:color w:val="auto"/>
          <w:sz w:val="24"/>
          <w:highlight w:val="none"/>
          <w:u w:val="single"/>
        </w:rPr>
        <w:t>工</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方工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eastAsia="zh-CN"/>
        </w:rPr>
        <w:t>020-87575800转8</w:t>
      </w:r>
      <w:r>
        <w:rPr>
          <w:rFonts w:hint="eastAsia" w:ascii="宋体" w:hAnsi="宋体"/>
          <w:color w:val="auto"/>
          <w:sz w:val="24"/>
          <w:highlight w:val="none"/>
          <w:u w:val="single"/>
          <w:lang w:val="en-US" w:eastAsia="zh-CN"/>
        </w:rPr>
        <w:t>10</w:t>
      </w:r>
    </w:p>
    <w:p>
      <w:pPr>
        <w:spacing w:line="36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eastAsia="宋体" w:cs="宋体"/>
          <w:color w:val="auto"/>
          <w:sz w:val="24"/>
          <w:highlight w:val="none"/>
          <w:u w:val="single"/>
        </w:rPr>
        <w:t>广州市天河区黄埔大道西159号富星商贸大厦西塔7楼</w:t>
      </w:r>
    </w:p>
    <w:p>
      <w:pPr>
        <w:spacing w:line="360" w:lineRule="auto"/>
        <w:ind w:firstLine="537" w:firstLineChars="224"/>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hint="eastAsia" w:ascii="宋体" w:hAnsi="宋体"/>
          <w:color w:val="auto"/>
          <w:sz w:val="24"/>
          <w:highlight w:val="none"/>
          <w:u w:val="single"/>
        </w:rPr>
        <w:t>广州市建设工程招标管理办公室</w:t>
      </w:r>
    </w:p>
    <w:p>
      <w:pPr>
        <w:spacing w:line="36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ascii="宋体" w:hAnsi="宋体"/>
          <w:color w:val="auto"/>
          <w:sz w:val="24"/>
          <w:highlight w:val="none"/>
          <w:u w:val="single"/>
        </w:rPr>
        <w:t>020-288662</w:t>
      </w:r>
      <w:r>
        <w:rPr>
          <w:rFonts w:hint="eastAsia" w:ascii="宋体" w:hAnsi="宋体"/>
          <w:color w:val="auto"/>
          <w:sz w:val="24"/>
          <w:highlight w:val="none"/>
          <w:u w:val="single"/>
        </w:rPr>
        <w:t>13</w:t>
      </w:r>
    </w:p>
    <w:p>
      <w:pPr>
        <w:spacing w:line="360" w:lineRule="auto"/>
        <w:ind w:firstLine="1015" w:firstLineChars="423"/>
        <w:rPr>
          <w:color w:val="auto"/>
          <w:highlight w:val="none"/>
        </w:rPr>
      </w:pPr>
      <w:r>
        <w:rPr>
          <w:rFonts w:hint="eastAsia" w:ascii="宋体" w:hAnsi="宋体"/>
          <w:color w:val="auto"/>
          <w:sz w:val="24"/>
          <w:highlight w:val="none"/>
        </w:rPr>
        <w:t>联系地址：</w:t>
      </w:r>
      <w:r>
        <w:rPr>
          <w:rFonts w:hint="eastAsia" w:asciiTheme="minorEastAsia" w:hAnsiTheme="minorEastAsia" w:eastAsiaTheme="minorEastAsia" w:cstheme="minorEastAsia"/>
          <w:color w:val="auto"/>
          <w:sz w:val="24"/>
          <w:highlight w:val="none"/>
          <w:u w:val="single"/>
        </w:rPr>
        <w:t>广州市天河区天润路333号3楼</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三、建设地点：</w:t>
      </w:r>
    </w:p>
    <w:p>
      <w:pPr>
        <w:spacing w:line="360" w:lineRule="auto"/>
        <w:ind w:firstLine="1015" w:firstLineChars="423"/>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标段一：</w:t>
      </w:r>
      <w:r>
        <w:rPr>
          <w:rFonts w:hint="eastAsia" w:ascii="宋体" w:hAnsi="宋体" w:eastAsia="宋体" w:cs="Times New Roman"/>
          <w:color w:val="auto"/>
          <w:sz w:val="24"/>
          <w:highlight w:val="none"/>
          <w:u w:val="single"/>
        </w:rPr>
        <w:t>广东外语外贸大学白云山校区</w:t>
      </w:r>
    </w:p>
    <w:p>
      <w:pPr>
        <w:spacing w:line="360" w:lineRule="auto"/>
        <w:ind w:firstLine="1015" w:firstLineChars="42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标段二：</w:t>
      </w:r>
      <w:r>
        <w:rPr>
          <w:rFonts w:hint="eastAsia" w:ascii="宋体" w:hAnsi="宋体" w:eastAsia="宋体" w:cs="Times New Roman"/>
          <w:color w:val="auto"/>
          <w:sz w:val="24"/>
          <w:highlight w:val="none"/>
          <w:u w:val="single"/>
        </w:rPr>
        <w:t>广东外语外贸大学大学城校区</w:t>
      </w:r>
    </w:p>
    <w:p>
      <w:pPr>
        <w:numPr>
          <w:ilvl w:val="0"/>
          <w:numId w:val="0"/>
        </w:numPr>
        <w:spacing w:line="360" w:lineRule="auto"/>
        <w:ind w:firstLine="537" w:firstLineChars="224"/>
        <w:rPr>
          <w:rFonts w:hint="eastAsia" w:ascii="宋体" w:hAnsi="宋体"/>
          <w:color w:val="auto"/>
          <w:sz w:val="24"/>
          <w:highlight w:val="none"/>
        </w:rPr>
      </w:pPr>
      <w:r>
        <w:rPr>
          <w:rFonts w:hint="eastAsia" w:ascii="宋体" w:hAnsi="宋体" w:eastAsia="宋体" w:cs="Times New Roman"/>
          <w:color w:val="auto"/>
          <w:kern w:val="2"/>
          <w:sz w:val="24"/>
          <w:szCs w:val="22"/>
          <w:lang w:val="en-US" w:eastAsia="zh-CN" w:bidi="ar-SA"/>
        </w:rPr>
        <w:t>四、</w:t>
      </w:r>
      <w:r>
        <w:rPr>
          <w:rFonts w:hint="eastAsia" w:ascii="宋体" w:hAnsi="宋体"/>
          <w:color w:val="auto"/>
          <w:sz w:val="24"/>
          <w:highlight w:val="none"/>
        </w:rPr>
        <w:t>项目概况：</w:t>
      </w:r>
    </w:p>
    <w:p>
      <w:pPr>
        <w:numPr>
          <w:ilvl w:val="0"/>
          <w:numId w:val="0"/>
        </w:numPr>
        <w:spacing w:line="360" w:lineRule="auto"/>
        <w:ind w:firstLine="537" w:firstLineChars="224"/>
        <w:rPr>
          <w:rFonts w:hint="eastAsia" w:ascii="宋体" w:hAnsi="宋体"/>
          <w:color w:val="auto"/>
          <w:sz w:val="24"/>
          <w:highlight w:val="none"/>
          <w:u w:val="single"/>
        </w:rPr>
      </w:pPr>
      <w:r>
        <w:rPr>
          <w:rFonts w:hint="eastAsia" w:ascii="宋体" w:hAnsi="宋体"/>
          <w:color w:val="auto"/>
          <w:sz w:val="24"/>
          <w:highlight w:val="none"/>
          <w:u w:val="single"/>
        </w:rPr>
        <w:t>白云山校区宿舍修缮占地面积约700平米，建筑面积约2300平米，内容为对学生宿舍第7栋宿舍修缮翻新</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涉及工程内容包括主体结构、装修装饰、给水排水、电气、防雷等工程</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具体</w:t>
      </w:r>
      <w:r>
        <w:rPr>
          <w:rFonts w:hint="eastAsia" w:ascii="宋体" w:hAnsi="宋体"/>
          <w:color w:val="auto"/>
          <w:sz w:val="24"/>
          <w:highlight w:val="none"/>
          <w:u w:val="single"/>
        </w:rPr>
        <w:t>包括原公共卫生间改造成宿舍</w:t>
      </w:r>
      <w:r>
        <w:rPr>
          <w:rFonts w:hint="eastAsia" w:ascii="宋体" w:hAnsi="宋体"/>
          <w:color w:val="auto"/>
          <w:sz w:val="24"/>
          <w:highlight w:val="none"/>
          <w:u w:val="single"/>
          <w:lang w:val="en-US" w:eastAsia="zh-CN"/>
        </w:rPr>
        <w:t>与</w:t>
      </w:r>
      <w:r>
        <w:rPr>
          <w:rFonts w:hint="eastAsia" w:ascii="宋体" w:hAnsi="宋体"/>
          <w:color w:val="auto"/>
          <w:sz w:val="24"/>
          <w:highlight w:val="none"/>
          <w:u w:val="single"/>
        </w:rPr>
        <w:t>独立卫生间，</w:t>
      </w:r>
      <w:r>
        <w:rPr>
          <w:rFonts w:hint="eastAsia" w:ascii="宋体" w:hAnsi="宋体"/>
          <w:color w:val="auto"/>
          <w:sz w:val="24"/>
          <w:highlight w:val="none"/>
          <w:u w:val="single"/>
          <w:lang w:val="en-US" w:eastAsia="zh-CN"/>
        </w:rPr>
        <w:t>宿舍北侧加建阳台及</w:t>
      </w:r>
      <w:r>
        <w:rPr>
          <w:rFonts w:hint="eastAsia" w:ascii="宋体" w:hAnsi="宋体"/>
          <w:color w:val="auto"/>
          <w:sz w:val="24"/>
          <w:highlight w:val="none"/>
          <w:u w:val="single"/>
        </w:rPr>
        <w:t>独立卫生间</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含基础、结构、装饰、水电各专业</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全部门窗更换，室内调整插座位、网络端口等。</w:t>
      </w:r>
      <w:r>
        <w:rPr>
          <w:rFonts w:hint="eastAsia" w:ascii="宋体" w:hAnsi="宋体"/>
          <w:color w:val="auto"/>
          <w:sz w:val="24"/>
          <w:highlight w:val="none"/>
          <w:u w:val="single"/>
        </w:rPr>
        <w:t>具体详见图纸及工程量清单。</w:t>
      </w:r>
    </w:p>
    <w:p>
      <w:pPr>
        <w:numPr>
          <w:ilvl w:val="0"/>
          <w:numId w:val="0"/>
        </w:numPr>
        <w:spacing w:line="360" w:lineRule="auto"/>
        <w:ind w:firstLine="537" w:firstLineChars="224"/>
        <w:rPr>
          <w:rFonts w:hint="eastAsia" w:ascii="宋体" w:hAnsi="宋体"/>
          <w:color w:val="auto"/>
          <w:sz w:val="24"/>
          <w:highlight w:val="none"/>
          <w:u w:val="single"/>
        </w:rPr>
      </w:pPr>
      <w:r>
        <w:rPr>
          <w:rFonts w:hint="eastAsia" w:ascii="宋体" w:hAnsi="宋体"/>
          <w:color w:val="auto"/>
          <w:sz w:val="24"/>
          <w:highlight w:val="none"/>
          <w:u w:val="single"/>
        </w:rPr>
        <w:t>大学城校区宿舍修缮占地面积约3547平米，建筑面积约24232平米，内容为友苑A区、B区宿舍修缮翻新，</w:t>
      </w:r>
      <w:r>
        <w:rPr>
          <w:rFonts w:hint="eastAsia" w:ascii="宋体" w:hAnsi="宋体"/>
          <w:color w:val="auto"/>
          <w:sz w:val="24"/>
          <w:highlight w:val="none"/>
          <w:u w:val="single"/>
          <w:lang w:val="en-US" w:eastAsia="zh-CN"/>
        </w:rPr>
        <w:t>涉及工程内容包括装修装饰、给水排水、电气等工程</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具体</w:t>
      </w:r>
      <w:r>
        <w:rPr>
          <w:rFonts w:hint="eastAsia" w:ascii="宋体" w:hAnsi="宋体"/>
          <w:color w:val="auto"/>
          <w:sz w:val="24"/>
          <w:highlight w:val="none"/>
          <w:u w:val="single"/>
        </w:rPr>
        <w:t>包括粉刷、防水补漏、水电线路更换等。具体详见图纸及工程量清单。</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五、标段划分及招标内容、规模和最高投标限价：</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1、本工程划分为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个标段。</w:t>
      </w:r>
    </w:p>
    <w:p>
      <w:pPr>
        <w:pStyle w:val="2"/>
        <w:rPr>
          <w:rFonts w:hint="eastAsia"/>
          <w:color w:val="auto"/>
        </w:rPr>
      </w:pPr>
    </w:p>
    <w:tbl>
      <w:tblPr>
        <w:tblStyle w:val="11"/>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352"/>
        <w:gridCol w:w="171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20" w:type="pct"/>
            <w:noWrap w:val="0"/>
            <w:vAlign w:val="center"/>
          </w:tcPr>
          <w:p>
            <w:pPr>
              <w:keepNext w:val="0"/>
              <w:keepLines w:val="0"/>
              <w:pageBreakBefore w:val="0"/>
              <w:kinsoku/>
              <w:overflowPunct/>
              <w:topLinePunct w:val="0"/>
              <w:autoSpaceDE/>
              <w:autoSpaceDN/>
              <w:bidi w:val="0"/>
              <w:adjustRightInd/>
              <w:spacing w:line="360" w:lineRule="auto"/>
              <w:jc w:val="center"/>
              <w:rPr>
                <w:rFonts w:ascii="宋体" w:hAnsi="宋体"/>
                <w:b/>
                <w:color w:val="auto"/>
                <w:sz w:val="24"/>
                <w:szCs w:val="24"/>
              </w:rPr>
            </w:pPr>
            <w:r>
              <w:rPr>
                <w:rFonts w:hint="eastAsia" w:ascii="宋体" w:hAnsi="宋体"/>
                <w:b/>
                <w:color w:val="auto"/>
                <w:sz w:val="24"/>
                <w:szCs w:val="24"/>
              </w:rPr>
              <w:t>标段划分</w:t>
            </w:r>
          </w:p>
        </w:tc>
        <w:tc>
          <w:tcPr>
            <w:tcW w:w="2853" w:type="pct"/>
            <w:noWrap w:val="0"/>
            <w:vAlign w:val="center"/>
          </w:tcPr>
          <w:p>
            <w:pPr>
              <w:keepNext w:val="0"/>
              <w:keepLines w:val="0"/>
              <w:pageBreakBefore w:val="0"/>
              <w:kinsoku/>
              <w:overflowPunct/>
              <w:topLinePunct w:val="0"/>
              <w:autoSpaceDE/>
              <w:autoSpaceDN/>
              <w:bidi w:val="0"/>
              <w:adjustRightInd/>
              <w:spacing w:line="360" w:lineRule="auto"/>
              <w:jc w:val="center"/>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标段内容</w:t>
            </w:r>
          </w:p>
        </w:tc>
        <w:tc>
          <w:tcPr>
            <w:tcW w:w="915" w:type="pct"/>
            <w:noWrap w:val="0"/>
            <w:vAlign w:val="center"/>
          </w:tcPr>
          <w:p>
            <w:pPr>
              <w:keepNext w:val="0"/>
              <w:keepLines w:val="0"/>
              <w:pageBreakBefore w:val="0"/>
              <w:kinsoku/>
              <w:overflowPunct/>
              <w:topLinePunct w:val="0"/>
              <w:autoSpaceDE/>
              <w:autoSpaceDN/>
              <w:bidi w:val="0"/>
              <w:adjustRightInd/>
              <w:spacing w:line="360" w:lineRule="auto"/>
              <w:jc w:val="center"/>
              <w:rPr>
                <w:rFonts w:hint="eastAsia" w:ascii="宋体" w:hAnsi="宋体"/>
                <w:b/>
                <w:color w:val="auto"/>
                <w:sz w:val="24"/>
                <w:szCs w:val="24"/>
                <w:highlight w:val="yellow"/>
              </w:rPr>
            </w:pPr>
            <w:r>
              <w:rPr>
                <w:rFonts w:hint="eastAsia" w:ascii="宋体" w:hAnsi="宋体"/>
                <w:b/>
                <w:color w:val="auto"/>
                <w:sz w:val="24"/>
                <w:szCs w:val="24"/>
                <w:highlight w:val="none"/>
              </w:rPr>
              <w:t>最高投标限价（元）</w:t>
            </w:r>
          </w:p>
        </w:tc>
        <w:tc>
          <w:tcPr>
            <w:tcW w:w="710" w:type="pct"/>
            <w:noWrap w:val="0"/>
            <w:vAlign w:val="center"/>
          </w:tcPr>
          <w:p>
            <w:pPr>
              <w:keepNext w:val="0"/>
              <w:keepLines w:val="0"/>
              <w:pageBreakBefore w:val="0"/>
              <w:kinsoku/>
              <w:overflowPunct/>
              <w:topLinePunct w:val="0"/>
              <w:autoSpaceDE/>
              <w:autoSpaceDN/>
              <w:bidi w:val="0"/>
              <w:adjustRightInd/>
              <w:spacing w:line="36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20" w:type="pct"/>
            <w:noWrap w:val="0"/>
            <w:vAlign w:val="center"/>
          </w:tcPr>
          <w:p>
            <w:pPr>
              <w:keepNext w:val="0"/>
              <w:keepLines w:val="0"/>
              <w:pageBreakBefore w:val="0"/>
              <w:kinsoku/>
              <w:overflowPunct/>
              <w:topLinePunct w:val="0"/>
              <w:autoSpaceDE/>
              <w:autoSpaceDN/>
              <w:bidi w:val="0"/>
              <w:adjustRightInd/>
              <w:spacing w:line="360" w:lineRule="auto"/>
              <w:jc w:val="center"/>
              <w:rPr>
                <w:rFonts w:hint="eastAsia" w:ascii="宋体" w:hAnsi="宋体" w:eastAsia="宋体"/>
                <w:b/>
                <w:color w:val="auto"/>
                <w:sz w:val="24"/>
                <w:szCs w:val="24"/>
                <w:lang w:eastAsia="zh-CN"/>
              </w:rPr>
            </w:pPr>
            <w:bookmarkStart w:id="0" w:name="OLE_LINK1" w:colFirst="2" w:colLast="2"/>
            <w:r>
              <w:rPr>
                <w:rFonts w:hint="eastAsia" w:ascii="宋体" w:hAnsi="宋体"/>
                <w:b/>
                <w:color w:val="auto"/>
                <w:sz w:val="24"/>
                <w:szCs w:val="24"/>
              </w:rPr>
              <w:t>标段</w:t>
            </w:r>
            <w:r>
              <w:rPr>
                <w:rFonts w:hint="eastAsia" w:ascii="宋体" w:hAnsi="宋体"/>
                <w:b/>
                <w:color w:val="auto"/>
                <w:sz w:val="24"/>
                <w:szCs w:val="24"/>
                <w:lang w:val="en-US" w:eastAsia="zh-CN"/>
              </w:rPr>
              <w:t>一</w:t>
            </w:r>
          </w:p>
        </w:tc>
        <w:tc>
          <w:tcPr>
            <w:tcW w:w="2853" w:type="pct"/>
            <w:noWrap w:val="0"/>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360" w:lineRule="auto"/>
              <w:ind w:firstLine="537" w:firstLineChars="224"/>
              <w:jc w:val="left"/>
              <w:rPr>
                <w:rFonts w:ascii="宋体" w:hAnsi="宋体"/>
                <w:color w:val="auto"/>
                <w:sz w:val="24"/>
                <w:szCs w:val="24"/>
                <w:highlight w:val="none"/>
              </w:rPr>
            </w:pPr>
            <w:r>
              <w:rPr>
                <w:rFonts w:hint="eastAsia" w:ascii="宋体" w:hAnsi="宋体"/>
                <w:color w:val="auto"/>
                <w:sz w:val="24"/>
                <w:highlight w:val="none"/>
                <w:u w:val="single"/>
              </w:rPr>
              <w:t>白云山校区宿舍修缮占地面积约700平米，建筑面积约2300平米，内容为对学生宿舍第7栋宿舍修缮翻新</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涉及工程内容包括主体结构、装修装饰、给水排水、电气、防雷等工程</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具体</w:t>
            </w:r>
            <w:r>
              <w:rPr>
                <w:rFonts w:hint="eastAsia" w:ascii="宋体" w:hAnsi="宋体"/>
                <w:color w:val="auto"/>
                <w:sz w:val="24"/>
                <w:highlight w:val="none"/>
                <w:u w:val="single"/>
              </w:rPr>
              <w:t>包括原公共卫生间改造成宿舍</w:t>
            </w:r>
            <w:r>
              <w:rPr>
                <w:rFonts w:hint="eastAsia" w:ascii="宋体" w:hAnsi="宋体"/>
                <w:color w:val="auto"/>
                <w:sz w:val="24"/>
                <w:highlight w:val="none"/>
                <w:u w:val="single"/>
                <w:lang w:val="en-US" w:eastAsia="zh-CN"/>
              </w:rPr>
              <w:t>与</w:t>
            </w:r>
            <w:r>
              <w:rPr>
                <w:rFonts w:hint="eastAsia" w:ascii="宋体" w:hAnsi="宋体"/>
                <w:color w:val="auto"/>
                <w:sz w:val="24"/>
                <w:highlight w:val="none"/>
                <w:u w:val="single"/>
              </w:rPr>
              <w:t>独立卫生间，</w:t>
            </w:r>
            <w:r>
              <w:rPr>
                <w:rFonts w:hint="eastAsia" w:ascii="宋体" w:hAnsi="宋体"/>
                <w:color w:val="auto"/>
                <w:sz w:val="24"/>
                <w:highlight w:val="none"/>
                <w:u w:val="single"/>
                <w:lang w:val="en-US" w:eastAsia="zh-CN"/>
              </w:rPr>
              <w:t>宿舍北侧加建阳台及</w:t>
            </w:r>
            <w:r>
              <w:rPr>
                <w:rFonts w:hint="eastAsia" w:ascii="宋体" w:hAnsi="宋体"/>
                <w:color w:val="auto"/>
                <w:sz w:val="24"/>
                <w:highlight w:val="none"/>
                <w:u w:val="single"/>
              </w:rPr>
              <w:t>独立卫生间</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含基础、结构、装饰、水电各专业</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全部门窗更换，室内调整插座位、网络端口等。</w:t>
            </w:r>
            <w:r>
              <w:rPr>
                <w:rFonts w:hint="eastAsia" w:ascii="宋体" w:hAnsi="宋体"/>
                <w:color w:val="auto"/>
                <w:sz w:val="24"/>
                <w:highlight w:val="none"/>
                <w:u w:val="single"/>
              </w:rPr>
              <w:t>具体详见图纸及工程量清单</w:t>
            </w:r>
            <w:bookmarkStart w:id="1" w:name="_GoBack"/>
            <w:bookmarkEnd w:id="1"/>
            <w:r>
              <w:rPr>
                <w:rFonts w:hint="eastAsia" w:ascii="宋体" w:hAnsi="宋体"/>
                <w:color w:val="auto"/>
                <w:sz w:val="24"/>
                <w:highlight w:val="none"/>
                <w:u w:val="single"/>
              </w:rPr>
              <w:t>。</w:t>
            </w:r>
          </w:p>
        </w:tc>
        <w:tc>
          <w:tcPr>
            <w:tcW w:w="915" w:type="pct"/>
            <w:noWrap w:val="0"/>
            <w:vAlign w:val="center"/>
          </w:tcPr>
          <w:p>
            <w:pPr>
              <w:keepNext w:val="0"/>
              <w:keepLines w:val="0"/>
              <w:pageBreakBefore w:val="0"/>
              <w:kinsoku/>
              <w:overflowPunct/>
              <w:topLinePunct w:val="0"/>
              <w:autoSpaceDE/>
              <w:autoSpaceDN/>
              <w:bidi w:val="0"/>
              <w:adjustRightInd/>
              <w:spacing w:line="360" w:lineRule="auto"/>
              <w:jc w:val="center"/>
              <w:rPr>
                <w:rFonts w:hint="default" w:ascii="宋体" w:hAnsi="宋体" w:eastAsia="宋体"/>
                <w:color w:val="auto"/>
                <w:sz w:val="24"/>
                <w:szCs w:val="24"/>
                <w:highlight w:val="yellow"/>
                <w:lang w:val="en-US" w:eastAsia="zh-CN"/>
              </w:rPr>
            </w:pPr>
            <w:r>
              <w:rPr>
                <w:rFonts w:hint="eastAsia" w:ascii="宋体" w:hAnsi="宋体" w:cs="Times New Roman"/>
                <w:color w:val="auto"/>
                <w:sz w:val="24"/>
                <w:szCs w:val="24"/>
                <w:highlight w:val="none"/>
                <w:u w:val="none"/>
                <w:lang w:val="en-US" w:eastAsia="zh-CN"/>
              </w:rPr>
              <w:t>4,005,174.46</w:t>
            </w:r>
          </w:p>
        </w:tc>
        <w:tc>
          <w:tcPr>
            <w:tcW w:w="710" w:type="pct"/>
            <w:noWrap w:val="0"/>
            <w:vAlign w:val="center"/>
          </w:tcPr>
          <w:p>
            <w:pPr>
              <w:keepNext w:val="0"/>
              <w:keepLines w:val="0"/>
              <w:pageBreakBefore w:val="0"/>
              <w:kinsoku/>
              <w:overflowPunct/>
              <w:topLinePunct w:val="0"/>
              <w:autoSpaceDE/>
              <w:autoSpaceDN/>
              <w:bidi w:val="0"/>
              <w:adjustRightInd/>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 xml:space="preserve">60 </w:t>
            </w:r>
            <w:r>
              <w:rPr>
                <w:rFonts w:hint="eastAsia" w:ascii="宋体" w:hAnsi="宋体"/>
                <w:color w:val="auto"/>
                <w:sz w:val="24"/>
                <w:szCs w:val="24"/>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0" w:type="pct"/>
            <w:noWrap w:val="0"/>
            <w:vAlign w:val="center"/>
          </w:tcPr>
          <w:p>
            <w:pPr>
              <w:keepNext w:val="0"/>
              <w:keepLines w:val="0"/>
              <w:pageBreakBefore w:val="0"/>
              <w:kinsoku/>
              <w:overflowPunct/>
              <w:topLinePunct w:val="0"/>
              <w:autoSpaceDE/>
              <w:autoSpaceDN/>
              <w:bidi w:val="0"/>
              <w:adjustRightInd/>
              <w:spacing w:line="360" w:lineRule="auto"/>
              <w:jc w:val="center"/>
              <w:rPr>
                <w:rFonts w:hint="eastAsia" w:ascii="宋体" w:hAnsi="宋体" w:eastAsia="宋体"/>
                <w:b/>
                <w:color w:val="auto"/>
                <w:sz w:val="24"/>
                <w:szCs w:val="24"/>
                <w:lang w:val="en-US" w:eastAsia="zh-CN"/>
              </w:rPr>
            </w:pPr>
            <w:r>
              <w:rPr>
                <w:rFonts w:hint="eastAsia" w:ascii="宋体" w:hAnsi="宋体"/>
                <w:b/>
                <w:color w:val="auto"/>
                <w:sz w:val="24"/>
                <w:szCs w:val="24"/>
              </w:rPr>
              <w:t>标段</w:t>
            </w:r>
            <w:r>
              <w:rPr>
                <w:rFonts w:hint="eastAsia" w:ascii="宋体" w:hAnsi="宋体"/>
                <w:b/>
                <w:color w:val="auto"/>
                <w:sz w:val="24"/>
                <w:szCs w:val="24"/>
                <w:lang w:val="en-US" w:eastAsia="zh-CN"/>
              </w:rPr>
              <w:t>二</w:t>
            </w:r>
          </w:p>
        </w:tc>
        <w:tc>
          <w:tcPr>
            <w:tcW w:w="2853" w:type="pct"/>
            <w:noWrap w:val="0"/>
            <w:vAlign w:val="center"/>
          </w:tcPr>
          <w:p>
            <w:pPr>
              <w:keepNext w:val="0"/>
              <w:keepLines w:val="0"/>
              <w:pageBreakBefore w:val="0"/>
              <w:widowControl/>
              <w:suppressLineNumbers w:val="0"/>
              <w:kinsoku/>
              <w:overflowPunct/>
              <w:topLinePunct w:val="0"/>
              <w:autoSpaceDE/>
              <w:autoSpaceDN/>
              <w:bidi w:val="0"/>
              <w:adjustRightInd/>
              <w:spacing w:line="360" w:lineRule="auto"/>
              <w:jc w:val="both"/>
              <w:rPr>
                <w:rFonts w:hint="eastAsia" w:ascii="宋体" w:hAnsi="宋体" w:eastAsia="宋体" w:cs="Times New Roman"/>
                <w:color w:val="auto"/>
                <w:sz w:val="24"/>
                <w:szCs w:val="24"/>
                <w:highlight w:val="none"/>
              </w:rPr>
            </w:pPr>
            <w:r>
              <w:rPr>
                <w:rFonts w:hint="eastAsia" w:ascii="宋体" w:hAnsi="宋体"/>
                <w:color w:val="auto"/>
                <w:sz w:val="24"/>
                <w:highlight w:val="none"/>
                <w:u w:val="single"/>
              </w:rPr>
              <w:t>大学城校区宿舍修缮占地面积约3547平米，建筑面积约24232平米，内容为友苑A区、B区宿舍修缮翻新，</w:t>
            </w:r>
            <w:r>
              <w:rPr>
                <w:rFonts w:hint="eastAsia" w:ascii="宋体" w:hAnsi="宋体"/>
                <w:color w:val="auto"/>
                <w:sz w:val="24"/>
                <w:highlight w:val="none"/>
                <w:u w:val="single"/>
                <w:lang w:val="en-US" w:eastAsia="zh-CN"/>
              </w:rPr>
              <w:t>涉及工程内容包括装修装饰、给水排水、电气等工程</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具体</w:t>
            </w:r>
            <w:r>
              <w:rPr>
                <w:rFonts w:hint="eastAsia" w:ascii="宋体" w:hAnsi="宋体"/>
                <w:color w:val="auto"/>
                <w:sz w:val="24"/>
                <w:highlight w:val="none"/>
                <w:u w:val="single"/>
              </w:rPr>
              <w:t>包括粉刷、防水补漏、水电线路更换等。具体详见图纸及工程量清单。</w:t>
            </w:r>
          </w:p>
        </w:tc>
        <w:tc>
          <w:tcPr>
            <w:tcW w:w="915" w:type="pct"/>
            <w:noWrap w:val="0"/>
            <w:vAlign w:val="center"/>
          </w:tcPr>
          <w:p>
            <w:pPr>
              <w:keepNext w:val="0"/>
              <w:keepLines w:val="0"/>
              <w:pageBreakBefore w:val="0"/>
              <w:kinsoku/>
              <w:overflowPunct/>
              <w:topLinePunct w:val="0"/>
              <w:autoSpaceDE/>
              <w:autoSpaceDN/>
              <w:bidi w:val="0"/>
              <w:adjustRightInd/>
              <w:spacing w:line="360" w:lineRule="auto"/>
              <w:jc w:val="center"/>
              <w:rPr>
                <w:rFonts w:hint="default" w:ascii="宋体" w:hAnsi="宋体" w:eastAsia="宋体"/>
                <w:color w:val="auto"/>
                <w:sz w:val="24"/>
                <w:szCs w:val="24"/>
                <w:highlight w:val="yellow"/>
                <w:lang w:val="en-US" w:eastAsia="zh-CN"/>
              </w:rPr>
            </w:pPr>
            <w:r>
              <w:rPr>
                <w:rFonts w:hint="eastAsia" w:ascii="宋体" w:hAnsi="宋体" w:cs="Times New Roman"/>
                <w:color w:val="auto"/>
                <w:sz w:val="24"/>
                <w:szCs w:val="24"/>
                <w:highlight w:val="none"/>
                <w:lang w:val="en-US" w:eastAsia="zh-CN"/>
              </w:rPr>
              <w:t>3,026,312.02</w:t>
            </w:r>
          </w:p>
        </w:tc>
        <w:tc>
          <w:tcPr>
            <w:tcW w:w="710" w:type="pct"/>
            <w:noWrap w:val="0"/>
            <w:vAlign w:val="center"/>
          </w:tcPr>
          <w:p>
            <w:pPr>
              <w:keepNext w:val="0"/>
              <w:keepLines w:val="0"/>
              <w:pageBreakBefore w:val="0"/>
              <w:kinsoku/>
              <w:overflowPunct/>
              <w:topLinePunct w:val="0"/>
              <w:autoSpaceDE/>
              <w:autoSpaceDN/>
              <w:bidi w:val="0"/>
              <w:adjustRightInd/>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 xml:space="preserve">50 </w:t>
            </w:r>
            <w:r>
              <w:rPr>
                <w:rFonts w:hint="eastAsia" w:ascii="宋体" w:hAnsi="宋体"/>
                <w:color w:val="auto"/>
                <w:sz w:val="24"/>
                <w:szCs w:val="24"/>
                <w:highlight w:val="none"/>
                <w:lang w:val="en-US" w:eastAsia="zh-CN"/>
              </w:rPr>
              <w:t>日历天</w:t>
            </w:r>
          </w:p>
        </w:tc>
      </w:tr>
      <w:bookmarkEnd w:id="0"/>
    </w:tbl>
    <w:p>
      <w:pPr>
        <w:pStyle w:val="5"/>
        <w:rPr>
          <w:color w:val="auto"/>
        </w:rPr>
      </w:pPr>
    </w:p>
    <w:p>
      <w:pPr>
        <w:keepNext w:val="0"/>
        <w:keepLines w:val="0"/>
        <w:pageBreakBefore w:val="0"/>
        <w:widowControl/>
        <w:tabs>
          <w:tab w:val="left" w:pos="704"/>
        </w:tabs>
        <w:kinsoku/>
        <w:wordWrap/>
        <w:overflowPunct/>
        <w:topLinePunct w:val="0"/>
        <w:autoSpaceDE/>
        <w:autoSpaceDN/>
        <w:bidi w:val="0"/>
        <w:adjustRightInd/>
        <w:snapToGrid/>
        <w:spacing w:line="420" w:lineRule="exact"/>
        <w:ind w:firstLine="0" w:firstLineChars="0"/>
        <w:jc w:val="left"/>
        <w:textAlignment w:val="auto"/>
        <w:rPr>
          <w:rFonts w:hint="eastAsia" w:ascii="宋体" w:hAnsi="宋体"/>
          <w:b/>
          <w:bCs/>
          <w:color w:val="auto"/>
          <w:sz w:val="24"/>
          <w:highlight w:val="none"/>
        </w:rPr>
      </w:pPr>
      <w:r>
        <w:rPr>
          <w:rFonts w:hint="eastAsia" w:ascii="宋体" w:hAnsi="宋体" w:cs="宋体"/>
          <w:b/>
          <w:bCs/>
          <w:color w:val="auto"/>
          <w:sz w:val="24"/>
          <w:lang w:val="en-US" w:eastAsia="zh-CN"/>
        </w:rPr>
        <w:t>注：（1）</w:t>
      </w:r>
      <w:r>
        <w:rPr>
          <w:rFonts w:hint="eastAsia" w:ascii="宋体" w:hAnsi="宋体" w:cs="宋体"/>
          <w:b/>
          <w:bCs/>
          <w:color w:val="auto"/>
          <w:sz w:val="24"/>
        </w:rPr>
        <w:t>本次招标分为标段一（广东外语外贸大学学生宿舍修缮（2024年）项目-白云山校区施工总承包）和标段二（广东外语外贸大学学</w:t>
      </w:r>
      <w:r>
        <w:rPr>
          <w:rFonts w:hint="eastAsia" w:ascii="宋体" w:hAnsi="宋体" w:cs="宋体"/>
          <w:b/>
          <w:bCs/>
          <w:color w:val="auto"/>
          <w:sz w:val="24"/>
          <w:highlight w:val="none"/>
        </w:rPr>
        <w:t>生宿舍修缮（2024年）项目-大学城校区施工总承包）两个标段，采取兼投不兼中原则，</w:t>
      </w:r>
      <w:r>
        <w:rPr>
          <w:rFonts w:hint="eastAsia" w:ascii="宋体" w:hAnsi="宋体"/>
          <w:b/>
          <w:bCs/>
          <w:color w:val="auto"/>
          <w:sz w:val="24"/>
          <w:highlight w:val="none"/>
        </w:rPr>
        <w:t>如投标人同时参加</w:t>
      </w:r>
      <w:r>
        <w:rPr>
          <w:rFonts w:hint="eastAsia" w:ascii="宋体" w:hAnsi="宋体"/>
          <w:b/>
          <w:bCs/>
          <w:color w:val="auto"/>
          <w:sz w:val="24"/>
          <w:highlight w:val="none"/>
          <w:lang w:val="en-US" w:eastAsia="zh-CN"/>
        </w:rPr>
        <w:t>两</w:t>
      </w:r>
      <w:r>
        <w:rPr>
          <w:rFonts w:hint="eastAsia" w:ascii="宋体" w:hAnsi="宋体"/>
          <w:b/>
          <w:bCs/>
          <w:color w:val="auto"/>
          <w:sz w:val="24"/>
          <w:highlight w:val="none"/>
        </w:rPr>
        <w:t>个标段投标的，</w:t>
      </w:r>
      <w:r>
        <w:rPr>
          <w:rFonts w:hint="eastAsia" w:ascii="宋体" w:hAnsi="宋体"/>
          <w:b/>
          <w:bCs/>
          <w:color w:val="auto"/>
          <w:sz w:val="24"/>
          <w:highlight w:val="none"/>
          <w:lang w:val="en-US" w:eastAsia="zh-CN"/>
        </w:rPr>
        <w:t>两</w:t>
      </w:r>
      <w:r>
        <w:rPr>
          <w:rFonts w:hint="eastAsia" w:ascii="宋体" w:hAnsi="宋体"/>
          <w:b/>
          <w:bCs/>
          <w:color w:val="auto"/>
          <w:sz w:val="24"/>
          <w:highlight w:val="none"/>
        </w:rPr>
        <w:t>个标段须分别进行投标登记，按标段分别编制投标文件。本次招标的</w:t>
      </w:r>
      <w:r>
        <w:rPr>
          <w:rFonts w:hint="eastAsia" w:ascii="宋体" w:hAnsi="宋体"/>
          <w:b/>
          <w:bCs/>
          <w:color w:val="auto"/>
          <w:sz w:val="24"/>
          <w:highlight w:val="none"/>
          <w:lang w:val="en-US" w:eastAsia="zh-CN"/>
        </w:rPr>
        <w:t>两</w:t>
      </w:r>
      <w:r>
        <w:rPr>
          <w:rFonts w:hint="eastAsia" w:ascii="宋体" w:hAnsi="宋体"/>
          <w:b/>
          <w:bCs/>
          <w:color w:val="auto"/>
          <w:sz w:val="24"/>
          <w:highlight w:val="none"/>
        </w:rPr>
        <w:t>个标段可只委派1名项目负责人、同一个项目管理团队参加投标。</w:t>
      </w:r>
      <w:r>
        <w:rPr>
          <w:rFonts w:hint="eastAsia" w:ascii="宋体" w:hAnsi="宋体" w:cs="宋体"/>
          <w:b/>
          <w:bCs/>
          <w:color w:val="auto"/>
          <w:sz w:val="24"/>
          <w:highlight w:val="none"/>
        </w:rPr>
        <w:t>评标顺序为标段一、标段二，在标段一中被推荐为第一中标候选人的单位不得成为标段二的推荐中标候选人。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rPr>
      </w:pPr>
      <w:r>
        <w:rPr>
          <w:rFonts w:hint="eastAsia" w:ascii="宋体" w:hAns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如果出现某标段的第一中标候选人放弃中标或因其他原因被取消中标资格的，仅在该标段内按照已确定的中标候选人顺序依次上升替补定标，以此类推；若替补上来的中标候选人已成为其他标段的第一中标候选人或中标人，则该单位不得成为该标段的中标人，由该标段排名其后的中标候选人上升替补定标，并以此类推；若该标段所有中标候选人都不能成为中标人，则该标段招标失败，招标人分析招标失败原因，修正招标方案，重新组织招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rPr>
      </w:pPr>
      <w:r>
        <w:rPr>
          <w:rFonts w:hint="eastAsia" w:ascii="宋体" w:hAnsi="宋体"/>
          <w:b/>
          <w:bCs/>
          <w:color w:val="auto"/>
          <w:sz w:val="24"/>
        </w:rPr>
        <w:t>（</w:t>
      </w:r>
      <w:r>
        <w:rPr>
          <w:rFonts w:hint="eastAsia" w:ascii="宋体" w:hAnsi="宋体"/>
          <w:b/>
          <w:bCs/>
          <w:color w:val="auto"/>
          <w:sz w:val="24"/>
          <w:lang w:val="en-US" w:eastAsia="zh-CN"/>
        </w:rPr>
        <w:t>3</w:t>
      </w:r>
      <w:r>
        <w:rPr>
          <w:rFonts w:hint="eastAsia" w:ascii="宋体" w:hAnsi="宋体"/>
          <w:b/>
          <w:bCs/>
          <w:color w:val="auto"/>
          <w:sz w:val="24"/>
        </w:rPr>
        <w:t>）若某标段在确定中标候选人后，因其他原因导致该标段重新招标或中标通知书尚未发出，将不影响其他标段中标人的确定。</w:t>
      </w:r>
    </w:p>
    <w:p>
      <w:pPr>
        <w:widowControl/>
        <w:tabs>
          <w:tab w:val="left" w:pos="704"/>
        </w:tabs>
        <w:spacing w:line="360" w:lineRule="auto"/>
        <w:ind w:firstLine="482" w:firstLineChars="200"/>
        <w:jc w:val="left"/>
        <w:rPr>
          <w:rFonts w:hint="eastAsia" w:ascii="宋体" w:hAnsi="宋体" w:eastAsia="宋体" w:cs="宋体"/>
          <w:b/>
          <w:bCs/>
          <w:color w:val="auto"/>
          <w:sz w:val="24"/>
          <w:lang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4</w:t>
      </w:r>
      <w:r>
        <w:rPr>
          <w:rFonts w:hint="eastAsia" w:ascii="宋体" w:hAnsi="宋体" w:cs="宋体"/>
          <w:b/>
          <w:bCs/>
          <w:color w:val="auto"/>
          <w:sz w:val="24"/>
          <w:lang w:eastAsia="zh-CN"/>
        </w:rPr>
        <w:t>）若某标段招标失败，不影响另一标段的开标、评标、定标等工作，另一标段的中标候选人按评审排名的先后顺序依次确定。若某标段招标失败而重新招标的，另一标段的中标人不能再成为该项目重新招标标段的中标人。</w:t>
      </w:r>
    </w:p>
    <w:p>
      <w:pPr>
        <w:snapToGrid w:val="0"/>
        <w:spacing w:line="360" w:lineRule="auto"/>
        <w:ind w:left="435"/>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六、资金来源：</w:t>
      </w:r>
      <w:r>
        <w:rPr>
          <w:rFonts w:hint="eastAsia" w:ascii="宋体" w:hAnsi="宋体" w:eastAsia="宋体" w:cs="宋体"/>
          <w:color w:val="auto"/>
          <w:kern w:val="0"/>
          <w:sz w:val="24"/>
          <w:szCs w:val="24"/>
          <w:highlight w:val="none"/>
          <w:u w:val="single"/>
          <w:lang w:val="en-US" w:eastAsia="zh-CN"/>
        </w:rPr>
        <w:t>自筹</w:t>
      </w:r>
      <w:r>
        <w:rPr>
          <w:rFonts w:hint="eastAsia" w:ascii="宋体" w:hAnsi="宋体" w:eastAsia="宋体" w:cs="宋体"/>
          <w:color w:val="auto"/>
          <w:kern w:val="0"/>
          <w:sz w:val="24"/>
          <w:szCs w:val="24"/>
          <w:highlight w:val="none"/>
          <w:u w:val="single"/>
        </w:rPr>
        <w:t>资金</w:t>
      </w:r>
      <w:r>
        <w:rPr>
          <w:rFonts w:hint="eastAsia" w:ascii="宋体" w:hAnsi="宋体" w:cs="宋体"/>
          <w:color w:val="auto"/>
          <w:kern w:val="0"/>
          <w:sz w:val="24"/>
          <w:szCs w:val="24"/>
          <w:highlight w:val="none"/>
          <w:u w:val="single"/>
          <w:lang w:eastAsia="zh-CN"/>
        </w:rPr>
        <w:t>。</w:t>
      </w:r>
    </w:p>
    <w:p>
      <w:pPr>
        <w:snapToGrid w:val="0"/>
        <w:spacing w:line="360" w:lineRule="auto"/>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360" w:lineRule="auto"/>
        <w:ind w:left="435"/>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olor w:val="auto"/>
          <w:sz w:val="24"/>
          <w:highlight w:val="none"/>
        </w:rPr>
        <w:t>公告发布日期（含本日）：</w:t>
      </w:r>
      <w:r>
        <w:rPr>
          <w:rFonts w:hint="eastAsia" w:ascii="宋体" w:hAnsi="宋体"/>
          <w:color w:val="auto"/>
          <w:sz w:val="24"/>
          <w:highlight w:val="none"/>
          <w:u w:val="single"/>
          <w:lang w:val="en-US" w:eastAsia="zh-CN"/>
        </w:rPr>
        <w:t>2024</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至</w:t>
      </w:r>
      <w:r>
        <w:rPr>
          <w:rFonts w:hint="eastAsia" w:ascii="宋体" w:hAnsi="宋体"/>
          <w:color w:val="auto"/>
          <w:sz w:val="24"/>
          <w:highlight w:val="none"/>
          <w:u w:val="single"/>
          <w:lang w:val="en-US" w:eastAsia="zh-CN"/>
        </w:rPr>
        <w:t>2024</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360" w:lineRule="auto"/>
        <w:ind w:left="43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ascii="Times New Roman" w:hAnsi="Times New Roman"/>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pPr>
        <w:widowControl/>
        <w:shd w:val="clear" w:color="auto" w:fill="FFFFFF"/>
        <w:snapToGrid w:val="0"/>
        <w:spacing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36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递交投标文件起始时间：</w:t>
      </w:r>
      <w:r>
        <w:rPr>
          <w:rFonts w:hint="eastAsia" w:ascii="宋体" w:hAnsi="宋体"/>
          <w:color w:val="auto"/>
          <w:sz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开标开始时间：</w:t>
      </w:r>
      <w:r>
        <w:rPr>
          <w:rFonts w:hint="eastAsia" w:ascii="宋体" w:hAnsi="宋体"/>
          <w:color w:val="auto"/>
          <w:sz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bCs/>
          <w:color w:val="auto"/>
          <w:sz w:val="24"/>
          <w:highlight w:val="none"/>
        </w:rPr>
        <w:t>投标人通过</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仿宋_GB2312"/>
          <w:color w:val="auto"/>
          <w:sz w:val="24"/>
          <w:szCs w:val="24"/>
          <w:highlight w:val="none"/>
          <w:u w:val="single"/>
        </w:rPr>
        <w:t>广州公共资源交易中心网站</w:t>
      </w:r>
      <w:r>
        <w:rPr>
          <w:rFonts w:hint="eastAsia" w:ascii="宋体" w:hAnsi="宋体" w:cs="仿宋_GB2312"/>
          <w:color w:val="auto"/>
          <w:sz w:val="24"/>
          <w:szCs w:val="24"/>
          <w:highlight w:val="none"/>
        </w:rPr>
        <w:t xml:space="preserve">。 </w:t>
      </w:r>
    </w:p>
    <w:p>
      <w:pPr>
        <w:widowControl/>
        <w:shd w:val="clear" w:color="auto" w:fill="FFFFFF"/>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在投标登记时，投标人应按要求在交易系统中填写《施工项目管理团队人员信息表》（详见附件二），表中的项目管理团队人员信息作为投标文件的一部分，将由交易系统提取后供各相关单位在中标人履约时进行比对、</w:t>
      </w:r>
      <w:r>
        <w:rPr>
          <w:rFonts w:hint="eastAsia" w:ascii="宋体" w:hAnsi="宋体" w:cs="宋体"/>
          <w:color w:val="auto"/>
          <w:sz w:val="24"/>
          <w:szCs w:val="24"/>
          <w:highlight w:val="none"/>
          <w:lang w:eastAsia="zh-CN"/>
        </w:rPr>
        <w:t>核查</w:t>
      </w:r>
      <w:r>
        <w:rPr>
          <w:rFonts w:hint="eastAsia" w:ascii="宋体" w:hAnsi="宋体" w:cs="宋体"/>
          <w:color w:val="auto"/>
          <w:sz w:val="24"/>
          <w:szCs w:val="24"/>
          <w:highlight w:val="none"/>
        </w:rPr>
        <w:t>。</w:t>
      </w:r>
    </w:p>
    <w:p>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pPr>
        <w:spacing w:line="36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投标人参加投标的意思表达清楚，投标人代表被授权有效。</w:t>
      </w:r>
    </w:p>
    <w:p>
      <w:pPr>
        <w:spacing w:line="36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投标人具有独立法人资格，按国家法律经营。</w:t>
      </w:r>
    </w:p>
    <w:p>
      <w:pPr>
        <w:keepNext w:val="0"/>
        <w:keepLines w:val="0"/>
        <w:widowControl w:val="0"/>
        <w:suppressLineNumbers w:val="0"/>
        <w:spacing w:before="0" w:beforeAutospacing="0" w:after="0" w:afterAutospacing="0" w:line="360" w:lineRule="auto"/>
        <w:ind w:left="0" w:right="0" w:firstLine="537" w:firstLineChars="224"/>
        <w:jc w:val="both"/>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eastAsia="宋体" w:cs="宋体"/>
          <w:bCs w:val="0"/>
          <w:color w:val="auto"/>
          <w:kern w:val="0"/>
          <w:sz w:val="24"/>
          <w:szCs w:val="24"/>
          <w:highlight w:val="none"/>
          <w:lang w:val="en-US" w:eastAsia="zh-CN" w:bidi="ar"/>
        </w:rPr>
        <w:t>投标人持有建设行政主管部门颁发的</w:t>
      </w:r>
      <w:r>
        <w:rPr>
          <w:rFonts w:hint="eastAsia" w:ascii="宋体" w:hAnsi="宋体" w:eastAsia="宋体" w:cs="宋体"/>
          <w:b w:val="0"/>
          <w:color w:val="auto"/>
          <w:kern w:val="0"/>
          <w:sz w:val="24"/>
          <w:szCs w:val="24"/>
          <w:highlight w:val="none"/>
          <w:lang w:val="en-US" w:eastAsia="zh-CN" w:bidi="ar"/>
        </w:rPr>
        <w:t>有效期内的</w:t>
      </w:r>
      <w:r>
        <w:rPr>
          <w:rFonts w:hint="eastAsia" w:ascii="宋体" w:hAnsi="宋体" w:eastAsia="宋体" w:cs="宋体"/>
          <w:bCs w:val="0"/>
          <w:color w:val="auto"/>
          <w:kern w:val="0"/>
          <w:sz w:val="24"/>
          <w:szCs w:val="24"/>
          <w:highlight w:val="none"/>
          <w:lang w:val="en-US" w:eastAsia="zh-CN" w:bidi="ar"/>
        </w:rPr>
        <w:t>企业资质证书及安全生产许可证</w:t>
      </w:r>
      <w:r>
        <w:rPr>
          <w:rFonts w:hint="eastAsia" w:ascii="宋体" w:hAnsi="宋体"/>
          <w:color w:val="auto"/>
          <w:sz w:val="24"/>
          <w:highlight w:val="none"/>
        </w:rPr>
        <w:t>；</w:t>
      </w:r>
    </w:p>
    <w:p>
      <w:pPr>
        <w:pStyle w:val="15"/>
        <w:ind w:firstLine="539"/>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投标人应具备以下资质：</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投标人具备有效的</w:t>
      </w:r>
      <w:r>
        <w:rPr>
          <w:rFonts w:hint="eastAsia" w:ascii="宋体" w:hAnsi="宋体" w:eastAsia="宋体"/>
          <w:b/>
          <w:bCs/>
          <w:color w:val="auto"/>
          <w:sz w:val="24"/>
          <w:szCs w:val="24"/>
          <w:highlight w:val="none"/>
          <w:u w:val="single"/>
        </w:rPr>
        <w:t>建筑工程施工总承包叁级（或以上）资质</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投标人拟担任本工程项目负责人的人员为：</w:t>
      </w:r>
      <w:r>
        <w:rPr>
          <w:rFonts w:hint="eastAsia" w:ascii="宋体" w:hAnsi="宋体" w:eastAsia="宋体"/>
          <w:b/>
          <w:bCs w:val="0"/>
          <w:color w:val="auto"/>
          <w:sz w:val="24"/>
          <w:szCs w:val="24"/>
          <w:highlight w:val="none"/>
          <w:u w:val="single"/>
        </w:rPr>
        <w:t>建筑工程专业</w:t>
      </w:r>
      <w:r>
        <w:rPr>
          <w:rFonts w:hint="eastAsia" w:ascii="宋体" w:hAnsi="宋体" w:eastAsia="宋体"/>
          <w:b/>
          <w:bCs w:val="0"/>
          <w:color w:val="auto"/>
          <w:sz w:val="24"/>
          <w:szCs w:val="24"/>
          <w:highlight w:val="none"/>
          <w:u w:val="single"/>
          <w:lang w:eastAsia="zh-CN"/>
        </w:rPr>
        <w:t>二级（</w:t>
      </w:r>
      <w:r>
        <w:rPr>
          <w:rFonts w:hint="eastAsia" w:ascii="宋体" w:hAnsi="宋体" w:eastAsia="宋体"/>
          <w:b/>
          <w:bCs w:val="0"/>
          <w:color w:val="auto"/>
          <w:sz w:val="24"/>
          <w:szCs w:val="24"/>
          <w:highlight w:val="none"/>
          <w:u w:val="single"/>
          <w:lang w:val="en-US" w:eastAsia="zh-CN"/>
        </w:rPr>
        <w:t>或以上</w:t>
      </w:r>
      <w:r>
        <w:rPr>
          <w:rFonts w:hint="eastAsia" w:ascii="宋体" w:hAnsi="宋体" w:eastAsia="宋体"/>
          <w:b/>
          <w:bCs w:val="0"/>
          <w:color w:val="auto"/>
          <w:sz w:val="24"/>
          <w:szCs w:val="24"/>
          <w:highlight w:val="none"/>
          <w:u w:val="single"/>
          <w:lang w:eastAsia="zh-CN"/>
        </w:rPr>
        <w:t>）</w:t>
      </w:r>
      <w:r>
        <w:rPr>
          <w:rFonts w:hint="eastAsia" w:ascii="宋体" w:hAnsi="宋体" w:eastAsia="宋体"/>
          <w:b/>
          <w:bCs w:val="0"/>
          <w:color w:val="auto"/>
          <w:sz w:val="24"/>
          <w:szCs w:val="24"/>
          <w:highlight w:val="none"/>
          <w:u w:val="single"/>
          <w:lang w:val="en-US" w:eastAsia="zh-CN"/>
        </w:rPr>
        <w:t>级别的</w:t>
      </w:r>
      <w:r>
        <w:rPr>
          <w:rFonts w:hint="eastAsia" w:ascii="宋体" w:hAnsi="宋体" w:eastAsia="宋体"/>
          <w:b/>
          <w:bCs w:val="0"/>
          <w:color w:val="auto"/>
          <w:sz w:val="24"/>
          <w:szCs w:val="24"/>
          <w:highlight w:val="none"/>
          <w:u w:val="single"/>
        </w:rPr>
        <w:t>注册建造师</w:t>
      </w:r>
      <w:r>
        <w:rPr>
          <w:rFonts w:hint="eastAsia" w:ascii="宋体" w:hAnsi="宋体" w:eastAsia="宋体" w:cs="宋体"/>
          <w:color w:val="auto"/>
          <w:sz w:val="24"/>
          <w:szCs w:val="24"/>
          <w:highlight w:val="none"/>
        </w:rPr>
        <w:t>。</w:t>
      </w:r>
    </w:p>
    <w:p>
      <w:pPr>
        <w:pStyle w:val="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注：①</w:t>
      </w:r>
      <w:r>
        <w:rPr>
          <w:rFonts w:hint="eastAsia" w:ascii="宋体" w:hAnsi="宋体" w:eastAsia="宋体" w:cs="宋体"/>
          <w:color w:val="auto"/>
          <w:kern w:val="0"/>
          <w:sz w:val="24"/>
          <w:szCs w:val="24"/>
          <w:highlight w:val="none"/>
          <w:lang w:val="en-US" w:eastAsia="zh-CN" w:bidi="ar"/>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w:t>
      </w:r>
    </w:p>
    <w:p>
      <w:pPr>
        <w:pStyle w:val="9"/>
        <w:spacing w:beforeAutospacing="0" w:afterAutospacing="0"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9"/>
        <w:spacing w:beforeAutospacing="0" w:afterAutospacing="0"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9"/>
        <w:spacing w:beforeAutospacing="0" w:afterAutospacing="0" w:line="360" w:lineRule="auto"/>
        <w:ind w:firstLine="480" w:firstLineChars="200"/>
        <w:rPr>
          <w:rFonts w:hint="eastAsia" w:ascii="宋体" w:hAnsi="宋体" w:eastAsia="宋体" w:cs="宋体"/>
          <w:color w:val="auto"/>
          <w:sz w:val="24"/>
          <w:szCs w:val="24"/>
          <w:highlight w:val="none"/>
          <w:lang w:bidi="ar"/>
        </w:rPr>
      </w:pPr>
      <w:r>
        <w:rPr>
          <w:rFonts w:hint="eastAsia" w:cs="宋体"/>
          <w:color w:val="auto"/>
          <w:kern w:val="0"/>
          <w:sz w:val="24"/>
          <w:szCs w:val="24"/>
          <w:highlight w:val="none"/>
          <w:lang w:val="en-US" w:eastAsia="zh-CN" w:bidi="ar"/>
        </w:rPr>
        <w:t>③</w:t>
      </w:r>
      <w:r>
        <w:rPr>
          <w:rFonts w:hint="eastAsia" w:ascii="宋体" w:hAnsi="宋体" w:eastAsia="宋体" w:cs="宋体"/>
          <w:strike w:val="0"/>
          <w:dstrike w:val="0"/>
          <w:color w:val="auto"/>
          <w:kern w:val="0"/>
          <w:sz w:val="24"/>
          <w:szCs w:val="24"/>
          <w:highlight w:val="none"/>
          <w:lang w:val="en-US" w:eastAsia="zh-CN" w:bidi="ar"/>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color w:val="auto"/>
          <w:kern w:val="0"/>
          <w:sz w:val="24"/>
          <w:szCs w:val="24"/>
          <w:highlight w:val="none"/>
          <w:lang w:val="en-US" w:eastAsia="zh-CN" w:bidi="ar"/>
        </w:rPr>
        <w:t>项目负责人在任职期间不得担任专职安全员，项目专职安全员在任职期间也不得担任项目负责人，项目负责人和专职安全员不为同一人</w:t>
      </w:r>
      <w:r>
        <w:rPr>
          <w:rFonts w:hint="eastAsia" w:ascii="宋体" w:hAnsi="宋体" w:eastAsia="宋体" w:cs="宋体"/>
          <w:color w:val="auto"/>
          <w:sz w:val="24"/>
          <w:szCs w:val="24"/>
          <w:highlight w:val="none"/>
          <w:lang w:bidi="ar"/>
        </w:rPr>
        <w:t>。</w:t>
      </w:r>
    </w:p>
    <w:p>
      <w:pPr>
        <w:pStyle w:val="15"/>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lang w:val="en-US" w:eastAsia="zh-CN"/>
        </w:rPr>
        <w:t>.</w:t>
      </w:r>
      <w:r>
        <w:rPr>
          <w:rFonts w:ascii="宋体" w:hAnsi="宋体" w:eastAsia="宋体"/>
          <w:color w:val="auto"/>
          <w:sz w:val="24"/>
          <w:szCs w:val="24"/>
          <w:highlight w:val="none"/>
        </w:rPr>
        <w:t>项目负责人持有</w:t>
      </w:r>
      <w:r>
        <w:rPr>
          <w:rFonts w:hint="eastAsia" w:ascii="宋体" w:hAnsi="宋体" w:eastAsia="宋体"/>
          <w:color w:val="auto"/>
          <w:sz w:val="24"/>
          <w:szCs w:val="24"/>
          <w:highlight w:val="none"/>
          <w:lang w:val="en-US" w:eastAsia="zh-CN"/>
        </w:rPr>
        <w:t>在有效期内的</w:t>
      </w:r>
      <w:r>
        <w:rPr>
          <w:rFonts w:ascii="宋体" w:hAnsi="宋体" w:eastAsia="宋体"/>
          <w:color w:val="auto"/>
          <w:sz w:val="24"/>
          <w:szCs w:val="24"/>
          <w:highlight w:val="none"/>
        </w:rPr>
        <w:t>安全</w:t>
      </w:r>
      <w:r>
        <w:rPr>
          <w:rFonts w:hint="eastAsia" w:ascii="宋体" w:hAnsi="宋体" w:eastAsia="宋体"/>
          <w:color w:val="auto"/>
          <w:sz w:val="24"/>
          <w:szCs w:val="24"/>
          <w:highlight w:val="none"/>
        </w:rPr>
        <w:t>生产</w:t>
      </w:r>
      <w:r>
        <w:rPr>
          <w:rFonts w:ascii="宋体" w:hAnsi="宋体" w:eastAsia="宋体"/>
          <w:color w:val="auto"/>
          <w:sz w:val="24"/>
          <w:szCs w:val="24"/>
          <w:highlight w:val="none"/>
        </w:rPr>
        <w:t>考核合格证（B类）或</w:t>
      </w:r>
      <w:r>
        <w:rPr>
          <w:rFonts w:hint="eastAsia" w:ascii="宋体" w:hAnsi="宋体" w:eastAsia="宋体"/>
          <w:color w:val="auto"/>
          <w:sz w:val="24"/>
          <w:szCs w:val="24"/>
          <w:highlight w:val="none"/>
          <w:u w:val="single"/>
        </w:rPr>
        <w:t>建筑施工企业项目负责人安全生产考核合格证书</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w:t>
      </w:r>
    </w:p>
    <w:p>
      <w:pPr>
        <w:pStyle w:val="15"/>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投标人拟担任本工程技术负责人的资格要求为：</w:t>
      </w:r>
      <w:r>
        <w:rPr>
          <w:rFonts w:hint="eastAsia" w:ascii="宋体" w:hAnsi="宋体" w:eastAsia="宋体"/>
          <w:color w:val="auto"/>
          <w:sz w:val="24"/>
          <w:szCs w:val="24"/>
          <w:highlight w:val="none"/>
          <w:u w:val="single"/>
        </w:rPr>
        <w:t>具有</w:t>
      </w:r>
      <w:r>
        <w:rPr>
          <w:rFonts w:hint="eastAsia" w:ascii="宋体" w:hAnsi="宋体" w:eastAsia="宋体"/>
          <w:b/>
          <w:color w:val="auto"/>
          <w:sz w:val="24"/>
          <w:szCs w:val="24"/>
          <w:highlight w:val="none"/>
          <w:u w:val="single"/>
        </w:rPr>
        <w:t>建筑工程</w:t>
      </w:r>
      <w:r>
        <w:rPr>
          <w:rFonts w:hint="eastAsia" w:ascii="宋体" w:hAnsi="宋体" w:eastAsia="宋体"/>
          <w:color w:val="auto"/>
          <w:sz w:val="24"/>
          <w:szCs w:val="24"/>
          <w:highlight w:val="none"/>
          <w:u w:val="single"/>
        </w:rPr>
        <w:t>相关专业</w:t>
      </w:r>
      <w:r>
        <w:rPr>
          <w:rFonts w:hint="eastAsia" w:ascii="宋体" w:hAnsi="宋体" w:eastAsia="宋体"/>
          <w:b/>
          <w:color w:val="auto"/>
          <w:sz w:val="24"/>
          <w:szCs w:val="24"/>
          <w:highlight w:val="none"/>
          <w:u w:val="single"/>
        </w:rPr>
        <w:t>中级</w:t>
      </w:r>
      <w:r>
        <w:rPr>
          <w:rFonts w:hint="eastAsia" w:ascii="宋体" w:hAnsi="宋体" w:eastAsia="宋体"/>
          <w:color w:val="auto"/>
          <w:sz w:val="24"/>
          <w:szCs w:val="24"/>
          <w:highlight w:val="none"/>
          <w:u w:val="single"/>
        </w:rPr>
        <w:t>或以上技术职称。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s="宋体"/>
          <w:color w:val="auto"/>
          <w:sz w:val="24"/>
          <w:szCs w:val="24"/>
          <w:highlight w:val="none"/>
        </w:rPr>
        <w:t>①</w:t>
      </w:r>
      <w:r>
        <w:rPr>
          <w:rFonts w:hint="eastAsia" w:ascii="宋体" w:hAnsi="宋体"/>
          <w:color w:val="auto"/>
          <w:sz w:val="24"/>
          <w:szCs w:val="24"/>
          <w:highlight w:val="none"/>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pStyle w:val="15"/>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采用其他资质的项目，宜要求技术负责人具备项目相适应专业的中级或以上职称。</w:t>
      </w:r>
    </w:p>
    <w:p>
      <w:pPr>
        <w:spacing w:line="360" w:lineRule="auto"/>
        <w:ind w:firstLine="537" w:firstLineChars="224"/>
        <w:rPr>
          <w:rFonts w:ascii="宋体"/>
          <w:color w:val="auto"/>
          <w:kern w:val="0"/>
          <w:sz w:val="24"/>
          <w:highlight w:val="none"/>
        </w:rPr>
      </w:pPr>
      <w:r>
        <w:rPr>
          <w:rFonts w:hint="eastAsia" w:ascii="宋体" w:hAnsi="宋体"/>
          <w:color w:val="auto"/>
          <w:kern w:val="0"/>
          <w:sz w:val="24"/>
          <w:highlight w:val="none"/>
        </w:rPr>
        <w:t>7</w:t>
      </w:r>
      <w:r>
        <w:rPr>
          <w:rFonts w:hint="eastAsia" w:ascii="宋体" w:hAnsi="宋体"/>
          <w:color w:val="auto"/>
          <w:kern w:val="0"/>
          <w:sz w:val="24"/>
          <w:highlight w:val="none"/>
          <w:lang w:val="en-US" w:eastAsia="zh-CN"/>
        </w:rPr>
        <w:t>.</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s="宋体"/>
          <w:color w:val="auto"/>
          <w:sz w:val="24"/>
          <w:highlight w:val="none"/>
          <w:u w:val="single"/>
        </w:rPr>
        <w:t>或建筑施工企业专职安全生产管理人员安全生产考核合格证书（C3）</w:t>
      </w:r>
      <w:r>
        <w:rPr>
          <w:rFonts w:hint="eastAsia" w:ascii="宋体" w:hAnsi="宋体"/>
          <w:color w:val="auto"/>
          <w:kern w:val="0"/>
          <w:sz w:val="24"/>
          <w:highlight w:val="none"/>
        </w:rPr>
        <w:t>。</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w:t>
      </w:r>
      <w:r>
        <w:rPr>
          <w:rFonts w:hint="eastAsia" w:ascii="宋体" w:hAnsi="宋体"/>
          <w:color w:val="auto"/>
          <w:sz w:val="24"/>
          <w:highlight w:val="none"/>
        </w:rPr>
        <w:t>投标人已按照附件一的内容签署盖章的投标人声明。</w:t>
      </w:r>
    </w:p>
    <w:p>
      <w:pPr>
        <w:spacing w:line="360" w:lineRule="auto"/>
        <w:ind w:firstLine="537" w:firstLineChars="224"/>
        <w:rPr>
          <w:rFonts w:asci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关于联合体投标：</w:t>
      </w:r>
      <w:r>
        <w:rPr>
          <w:rFonts w:hint="eastAsia" w:ascii="宋体" w:hAnsi="宋体"/>
          <w:color w:val="auto"/>
          <w:sz w:val="24"/>
          <w:szCs w:val="24"/>
          <w:highlight w:val="none"/>
          <w:u w:val="single"/>
        </w:rPr>
        <w:t>本项目不接受联合体投标。</w:t>
      </w:r>
    </w:p>
    <w:p>
      <w:pPr>
        <w:spacing w:line="360" w:lineRule="auto"/>
        <w:ind w:firstLine="537" w:firstLineChars="224"/>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0.</w:t>
      </w:r>
      <w:r>
        <w:rPr>
          <w:rFonts w:ascii="宋体" w:hAnsi="宋体"/>
          <w:color w:val="auto"/>
          <w:sz w:val="24"/>
          <w:highlight w:val="none"/>
        </w:rPr>
        <w:t>资格审查前，投标人须在</w:t>
      </w:r>
      <w:r>
        <w:rPr>
          <w:rFonts w:hint="eastAsia" w:ascii="宋体" w:hAnsi="宋体"/>
          <w:color w:val="auto"/>
          <w:sz w:val="24"/>
          <w:highlight w:val="none"/>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pPr>
        <w:spacing w:line="360" w:lineRule="auto"/>
        <w:ind w:firstLine="470" w:firstLineChars="224"/>
        <w:rPr>
          <w:rFonts w:ascii="宋体" w:hAnsi="宋体"/>
          <w:color w:val="auto"/>
          <w:sz w:val="24"/>
          <w:highlight w:val="none"/>
        </w:rPr>
      </w:pPr>
      <w:r>
        <w:rPr>
          <w:color w:val="auto"/>
          <w:highlight w:val="none"/>
        </w:rPr>
        <w:fldChar w:fldCharType="begin"/>
      </w:r>
      <w:r>
        <w:rPr>
          <w:color w:val="auto"/>
          <w:highlight w:val="none"/>
        </w:rPr>
        <w:instrText xml:space="preserve"> HYPERLINK "http://zfcj.gz.gov.cn/zwgk/zsdwxxgkzl/gzsjzyglfwzx/bszy/content/post_8484886.html）" </w:instrText>
      </w:r>
      <w:r>
        <w:rPr>
          <w:color w:val="auto"/>
          <w:highlight w:val="none"/>
        </w:rPr>
        <w:fldChar w:fldCharType="separate"/>
      </w:r>
      <w:r>
        <w:rPr>
          <w:rStyle w:val="14"/>
          <w:rFonts w:ascii="宋体" w:hAnsi="宋体"/>
          <w:color w:val="auto"/>
          <w:sz w:val="24"/>
          <w:highlight w:val="none"/>
        </w:rPr>
        <w:t>http://zfcj.gz.gov.cn/zwgk/zsdwxxgkzl/gzsjzyglfwzx/bszy/content/post_8484886.html）</w:t>
      </w:r>
      <w:r>
        <w:rPr>
          <w:rStyle w:val="14"/>
          <w:rFonts w:ascii="宋体" w:hAnsi="宋体"/>
          <w:color w:val="auto"/>
          <w:sz w:val="24"/>
          <w:highlight w:val="none"/>
        </w:rPr>
        <w:fldChar w:fldCharType="end"/>
      </w:r>
    </w:p>
    <w:p>
      <w:pPr>
        <w:spacing w:line="360" w:lineRule="auto"/>
        <w:ind w:firstLine="537" w:firstLineChars="224"/>
        <w:rPr>
          <w:rFonts w:ascii="宋体" w:hAnsi="宋体"/>
          <w:color w:val="auto"/>
          <w:sz w:val="24"/>
          <w:szCs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szCs w:val="20"/>
          <w:highlight w:val="none"/>
        </w:rPr>
        <w:t>未被列入拖欠农民工工资失信联合惩戒对象名单</w:t>
      </w:r>
      <w:r>
        <w:rPr>
          <w:rFonts w:hint="eastAsia" w:ascii="宋体" w:hAnsi="宋体"/>
          <w:color w:val="auto"/>
          <w:sz w:val="24"/>
          <w:highlight w:val="none"/>
        </w:rPr>
        <w:t>。</w:t>
      </w:r>
    </w:p>
    <w:p>
      <w:pPr>
        <w:pStyle w:val="10"/>
        <w:tabs>
          <w:tab w:val="left" w:pos="7380"/>
        </w:tabs>
        <w:spacing w:after="0" w:line="360" w:lineRule="auto"/>
        <w:ind w:firstLine="523" w:firstLineChars="218"/>
        <w:rPr>
          <w:rFonts w:ascii="宋体"/>
          <w:color w:val="auto"/>
          <w:sz w:val="24"/>
          <w:highlight w:val="none"/>
        </w:rPr>
      </w:pPr>
      <w:r>
        <w:rPr>
          <w:rFonts w:hint="eastAsia" w:ascii="宋体" w:hAnsi="宋体"/>
          <w:color w:val="auto"/>
          <w:sz w:val="24"/>
          <w:highlight w:val="none"/>
        </w:rPr>
        <w:t>注：未在招标公告第九条单列的资审合格条件，不作为资审不合格的依据。</w:t>
      </w:r>
    </w:p>
    <w:p>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cs="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十二、满足资格审查合格条件的投标人不足3名或通过有效性审查的投标人不足3名时招标失败。招标人分析招标失败原因，修正招标方案，报有关管理部门核准后，重新组织招标。</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color w:val="auto"/>
          <w:sz w:val="24"/>
          <w:szCs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w:t>
      </w:r>
      <w:r>
        <w:rPr>
          <w:rFonts w:hint="eastAsia" w:ascii="宋体" w:hAnsi="宋体"/>
          <w:color w:val="auto"/>
          <w:sz w:val="24"/>
          <w:highlight w:val="none"/>
          <w:lang w:eastAsia="zh-CN"/>
        </w:rPr>
        <w:t>传文</w:t>
      </w:r>
      <w:r>
        <w:rPr>
          <w:rFonts w:hint="eastAsia" w:ascii="宋体" w:hAnsi="宋体"/>
          <w:color w:val="auto"/>
          <w:sz w:val="24"/>
          <w:highlight w:val="none"/>
        </w:rPr>
        <w:t>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left="239" w:leftChars="114" w:firstLine="297" w:firstLineChars="124"/>
        <w:rPr>
          <w:rFonts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pPr>
        <w:spacing w:line="360" w:lineRule="auto"/>
        <w:ind w:left="239" w:leftChars="114" w:firstLine="297" w:firstLineChars="124"/>
        <w:rPr>
          <w:rFonts w:hint="eastAsia" w:ascii="宋体" w:hAnsi="宋体" w:eastAsia="宋体"/>
          <w:color w:val="auto"/>
          <w:sz w:val="24"/>
          <w:highlight w:val="none"/>
          <w:lang w:eastAsia="zh-CN"/>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广东外语外贸大学</w:t>
      </w:r>
    </w:p>
    <w:p>
      <w:pPr>
        <w:spacing w:line="360" w:lineRule="auto"/>
        <w:ind w:left="239" w:leftChars="114" w:firstLine="297" w:firstLineChars="124"/>
        <w:rPr>
          <w:rFonts w:hint="eastAsia" w:ascii="宋体" w:hAnsi="宋体" w:eastAsia="宋体"/>
          <w:color w:val="auto"/>
          <w:sz w:val="24"/>
          <w:highlight w:val="none"/>
          <w:lang w:eastAsia="zh-CN"/>
        </w:rPr>
      </w:pPr>
      <w:r>
        <w:rPr>
          <w:rFonts w:hint="eastAsia" w:ascii="宋体" w:hAnsi="宋体"/>
          <w:color w:val="auto"/>
          <w:sz w:val="24"/>
          <w:highlight w:val="none"/>
        </w:rPr>
        <w:t>异议受理电话：</w:t>
      </w:r>
      <w:r>
        <w:rPr>
          <w:rFonts w:hint="eastAsia" w:ascii="宋体" w:hAnsi="宋体"/>
          <w:color w:val="auto"/>
          <w:sz w:val="24"/>
          <w:highlight w:val="none"/>
          <w:u w:val="single"/>
          <w:lang w:eastAsia="zh-CN"/>
        </w:rPr>
        <w:t>020-36207135</w:t>
      </w:r>
    </w:p>
    <w:p>
      <w:pPr>
        <w:spacing w:line="360" w:lineRule="auto"/>
        <w:ind w:left="239" w:leftChars="114" w:firstLine="297" w:firstLineChars="124"/>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olor w:val="auto"/>
          <w:sz w:val="24"/>
          <w:highlight w:val="none"/>
          <w:u w:val="single"/>
          <w:lang w:eastAsia="zh-CN"/>
        </w:rPr>
        <w:t>广州市白云区白云大道北2号</w:t>
      </w:r>
    </w:p>
    <w:p>
      <w:pPr>
        <w:spacing w:line="360" w:lineRule="auto"/>
        <w:ind w:left="239" w:leftChars="114" w:firstLine="297" w:firstLineChars="124"/>
        <w:rPr>
          <w:rFonts w:ascii="宋体" w:hAnsi="宋体"/>
          <w:color w:val="auto"/>
          <w:sz w:val="24"/>
          <w:highlight w:val="non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left="239" w:leftChars="114" w:firstLine="297" w:firstLineChars="124"/>
        <w:rPr>
          <w:rFonts w:ascii="宋体"/>
          <w:color w:val="auto"/>
          <w:sz w:val="24"/>
          <w:highlight w:val="none"/>
        </w:rPr>
      </w:pPr>
      <w:r>
        <w:rPr>
          <w:rFonts w:hint="eastAsia" w:ascii="宋体" w:hAnsi="宋体"/>
          <w:color w:val="auto"/>
          <w:sz w:val="24"/>
          <w:highlight w:val="none"/>
        </w:rPr>
        <w:t>十六、本公告在广州公共资源交易中心网站（网址：http://www.gzggzy.cn）、广东省招标投标监管网（网址：</w:t>
      </w:r>
      <w:r>
        <w:rPr>
          <w:rFonts w:ascii="宋体" w:hAnsi="宋体"/>
          <w:color w:val="auto"/>
          <w:sz w:val="24"/>
          <w:highlight w:val="none"/>
        </w:rPr>
        <w:t>http://zbtb.gd.gov.cn</w:t>
      </w:r>
      <w:r>
        <w:rPr>
          <w:rFonts w:hint="eastAsia" w:ascii="宋体" w:hAnsi="宋体"/>
          <w:color w:val="auto"/>
          <w:sz w:val="24"/>
          <w:highlight w:val="none"/>
        </w:rPr>
        <w:t>）和中国招标投标公共服务平台（网址：http://www.cebpubservice.com/）发布，本公告的修改、补充，在广州公共资源交易中心网站发布。</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color w:val="auto"/>
          <w:sz w:val="24"/>
          <w:highlight w:val="none"/>
        </w:rPr>
      </w:pPr>
      <w:r>
        <w:rPr>
          <w:rFonts w:hint="eastAsia" w:ascii="宋体"/>
          <w:color w:val="auto"/>
          <w:sz w:val="24"/>
          <w:highlight w:val="none"/>
        </w:rPr>
        <w:t>十九、《投诉处理决定书》和《行政处理决定书》在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pPr>
        <w:spacing w:line="360" w:lineRule="auto"/>
        <w:ind w:firstLine="537" w:firstLineChars="224"/>
        <w:rPr>
          <w:rFonts w:ascii="宋体"/>
          <w:color w:val="auto"/>
          <w:sz w:val="24"/>
          <w:highlight w:val="none"/>
        </w:rPr>
      </w:pPr>
      <w:r>
        <w:rPr>
          <w:rFonts w:hint="eastAsia" w:ascii="宋体"/>
          <w:color w:val="auto"/>
          <w:sz w:val="24"/>
          <w:highlight w:val="none"/>
        </w:rPr>
        <w:t>特别提示：投标人在本项目招标人的工程项目中存在下列行为的，将被拒绝</w:t>
      </w:r>
      <w:r>
        <w:rPr>
          <w:rFonts w:hint="eastAsia" w:ascii="宋体"/>
          <w:color w:val="auto"/>
          <w:sz w:val="24"/>
          <w:highlight w:val="none"/>
          <w:u w:val="single"/>
        </w:rPr>
        <w:t>一年内</w:t>
      </w:r>
      <w:r>
        <w:rPr>
          <w:rFonts w:hint="eastAsia" w:ascii="宋体"/>
          <w:color w:val="auto"/>
          <w:sz w:val="24"/>
          <w:highlight w:val="none"/>
        </w:rPr>
        <w:t>参与招标人后续工程投标。（</w:t>
      </w:r>
      <w:r>
        <w:rPr>
          <w:rFonts w:hint="eastAsia" w:ascii="宋体"/>
          <w:color w:val="auto"/>
          <w:sz w:val="24"/>
          <w:highlight w:val="none"/>
          <w:u w:val="single"/>
        </w:rPr>
        <w:t>注：拒绝投标时限自招标人发出通知之日起计</w:t>
      </w:r>
      <w:r>
        <w:rPr>
          <w:rFonts w:hint="eastAsia" w:ascii="宋体"/>
          <w:color w:val="auto"/>
          <w:sz w:val="24"/>
          <w:highlight w:val="none"/>
        </w:rPr>
        <w:t>）：</w:t>
      </w:r>
    </w:p>
    <w:p>
      <w:pPr>
        <w:spacing w:line="360" w:lineRule="auto"/>
        <w:ind w:firstLine="537" w:firstLineChars="224"/>
        <w:rPr>
          <w:rFonts w:ascii="宋体"/>
          <w:color w:val="auto"/>
          <w:sz w:val="24"/>
          <w:highlight w:val="none"/>
        </w:rPr>
      </w:pPr>
      <w:r>
        <w:rPr>
          <w:rFonts w:hint="eastAsia" w:ascii="宋体"/>
          <w:color w:val="auto"/>
          <w:sz w:val="24"/>
          <w:highlight w:val="none"/>
        </w:rPr>
        <w:t>1.将中标工程转包或者违法分包的；</w:t>
      </w:r>
    </w:p>
    <w:p>
      <w:pPr>
        <w:spacing w:line="360" w:lineRule="auto"/>
        <w:ind w:firstLine="537" w:firstLineChars="224"/>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pPr>
        <w:spacing w:line="360" w:lineRule="auto"/>
        <w:ind w:firstLine="537" w:firstLineChars="224"/>
        <w:rPr>
          <w:rFonts w:ascii="宋体"/>
          <w:color w:val="auto"/>
          <w:sz w:val="24"/>
          <w:highlight w:val="none"/>
        </w:rPr>
      </w:pPr>
      <w:r>
        <w:rPr>
          <w:rFonts w:hint="eastAsia" w:ascii="宋体"/>
          <w:color w:val="auto"/>
          <w:sz w:val="24"/>
          <w:highlight w:val="none"/>
        </w:rPr>
        <w:t>3.存在围标或串标情形的；</w:t>
      </w:r>
    </w:p>
    <w:p>
      <w:pPr>
        <w:spacing w:line="360" w:lineRule="auto"/>
        <w:ind w:firstLine="537" w:firstLineChars="224"/>
        <w:rPr>
          <w:rFonts w:ascii="宋体"/>
          <w:color w:val="auto"/>
          <w:sz w:val="24"/>
          <w:highlight w:val="none"/>
        </w:rPr>
      </w:pPr>
      <w:r>
        <w:rPr>
          <w:rFonts w:hint="eastAsia" w:ascii="宋体"/>
          <w:color w:val="auto"/>
          <w:sz w:val="24"/>
          <w:highlight w:val="none"/>
        </w:rPr>
        <w:t>4.在投标文件中提供虚假材料的；</w:t>
      </w:r>
    </w:p>
    <w:p>
      <w:pPr>
        <w:spacing w:line="360" w:lineRule="auto"/>
        <w:ind w:firstLine="537" w:firstLineChars="224"/>
        <w:rPr>
          <w:rFonts w:ascii="宋体"/>
          <w:color w:val="auto"/>
          <w:sz w:val="24"/>
          <w:highlight w:val="none"/>
        </w:rPr>
      </w:pPr>
      <w:r>
        <w:rPr>
          <w:rFonts w:hint="eastAsia" w:ascii="宋体"/>
          <w:color w:val="auto"/>
          <w:sz w:val="24"/>
          <w:highlight w:val="none"/>
        </w:rPr>
        <w:t>5.存在行贿情形的；</w:t>
      </w:r>
    </w:p>
    <w:p>
      <w:pPr>
        <w:spacing w:line="360" w:lineRule="auto"/>
        <w:ind w:firstLine="537" w:firstLineChars="224"/>
        <w:rPr>
          <w:rFonts w:ascii="宋体"/>
          <w:color w:val="auto"/>
          <w:sz w:val="24"/>
          <w:highlight w:val="none"/>
        </w:rPr>
      </w:pPr>
      <w:r>
        <w:rPr>
          <w:rFonts w:hint="eastAsia" w:ascii="宋体"/>
          <w:color w:val="auto"/>
          <w:sz w:val="24"/>
          <w:highlight w:val="none"/>
        </w:rPr>
        <w:t>6.拖欠农民工工资的；</w:t>
      </w:r>
    </w:p>
    <w:p>
      <w:pPr>
        <w:spacing w:line="360" w:lineRule="auto"/>
        <w:ind w:firstLine="537" w:firstLineChars="224"/>
        <w:rPr>
          <w:rFonts w:ascii="宋体"/>
          <w:color w:val="auto"/>
          <w:sz w:val="24"/>
          <w:highlight w:val="none"/>
        </w:rPr>
      </w:pPr>
      <w:r>
        <w:rPr>
          <w:rFonts w:hint="eastAsia" w:ascii="宋体"/>
          <w:color w:val="auto"/>
          <w:sz w:val="24"/>
          <w:highlight w:val="none"/>
        </w:rPr>
        <w:t>7.未按照国家、省、市有关建筑施工实名制管理和工人工资支付分账管理的规定执行，被行政监管部门处罚的；</w:t>
      </w:r>
    </w:p>
    <w:p>
      <w:pPr>
        <w:spacing w:line="360" w:lineRule="auto"/>
        <w:ind w:firstLine="537" w:firstLineChars="224"/>
        <w:rPr>
          <w:rFonts w:ascii="宋体"/>
          <w:color w:val="auto"/>
          <w:sz w:val="24"/>
          <w:highlight w:val="none"/>
        </w:rPr>
      </w:pPr>
      <w:r>
        <w:rPr>
          <w:rFonts w:hint="eastAsia" w:ascii="宋体"/>
          <w:color w:val="auto"/>
          <w:sz w:val="24"/>
          <w:highlight w:val="none"/>
        </w:rPr>
        <w:t>8.中标人在项目实施过程中选取的专业分包单位或劳务企业或劳务班组长与投标时不一致的（如有）；</w:t>
      </w:r>
    </w:p>
    <w:p>
      <w:pPr>
        <w:spacing w:line="360" w:lineRule="auto"/>
        <w:ind w:firstLine="537" w:firstLineChars="224"/>
        <w:rPr>
          <w:rFonts w:ascii="宋体"/>
          <w:color w:val="auto"/>
          <w:sz w:val="24"/>
          <w:highlight w:val="none"/>
        </w:rPr>
      </w:pPr>
      <w:r>
        <w:rPr>
          <w:rFonts w:hint="eastAsia" w:ascii="宋体"/>
          <w:color w:val="auto"/>
          <w:sz w:val="24"/>
          <w:highlight w:val="none"/>
          <w:u w:val="single"/>
        </w:rPr>
        <w:t>9.存在因过错行为被生效法律文书认定承担违约或侵权责任的。</w:t>
      </w:r>
    </w:p>
    <w:p>
      <w:pPr>
        <w:spacing w:line="360" w:lineRule="auto"/>
        <w:ind w:right="1348" w:rightChars="642" w:firstLine="5760" w:firstLineChars="2400"/>
        <w:rPr>
          <w:rFonts w:ascii="宋体" w:hAnsi="宋体"/>
          <w:color w:val="auto"/>
          <w:sz w:val="24"/>
          <w:highlight w:val="none"/>
        </w:rPr>
      </w:pPr>
    </w:p>
    <w:p>
      <w:pPr>
        <w:spacing w:line="360" w:lineRule="auto"/>
        <w:ind w:right="1348" w:rightChars="642"/>
        <w:jc w:val="right"/>
        <w:rPr>
          <w:rFonts w:hint="eastAsia" w:ascii="宋体" w:eastAsia="宋体"/>
          <w:color w:val="auto"/>
          <w:sz w:val="24"/>
          <w:highlight w:val="none"/>
          <w:lang w:eastAsia="zh-CN"/>
        </w:rPr>
      </w:pPr>
      <w:r>
        <w:rPr>
          <w:rFonts w:hint="eastAsia" w:ascii="宋体" w:hAnsi="宋体"/>
          <w:color w:val="auto"/>
          <w:sz w:val="24"/>
          <w:highlight w:val="none"/>
        </w:rPr>
        <w:t>招标人名称：</w:t>
      </w:r>
      <w:r>
        <w:rPr>
          <w:rFonts w:hint="eastAsia" w:ascii="宋体" w:hAnsi="宋体" w:cs="宋体"/>
          <w:color w:val="auto"/>
          <w:kern w:val="0"/>
          <w:sz w:val="24"/>
          <w:szCs w:val="24"/>
          <w:highlight w:val="none"/>
          <w:u w:val="single"/>
          <w:shd w:val="clear" w:color="auto" w:fill="FFFFFF"/>
          <w:lang w:eastAsia="zh-CN" w:bidi="ar"/>
        </w:rPr>
        <w:t>广东外语外贸大学</w:t>
      </w:r>
    </w:p>
    <w:p>
      <w:pPr>
        <w:spacing w:line="360" w:lineRule="auto"/>
        <w:ind w:right="1348" w:rightChars="642"/>
        <w:jc w:val="right"/>
        <w:rPr>
          <w:rFonts w:ascii="宋体"/>
          <w:color w:val="auto"/>
          <w:sz w:val="24"/>
          <w:highlight w:val="none"/>
        </w:rPr>
      </w:pPr>
      <w:r>
        <w:rPr>
          <w:rFonts w:hint="eastAsia" w:ascii="宋体" w:hAnsi="宋体"/>
          <w:color w:val="auto"/>
          <w:sz w:val="24"/>
          <w:highlight w:val="none"/>
        </w:rPr>
        <w:t>招标代理名称</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u w:val="single"/>
        </w:rPr>
        <w:t>北京中交建设工程咨询有限公司</w:t>
      </w:r>
    </w:p>
    <w:p>
      <w:pPr>
        <w:spacing w:line="360" w:lineRule="auto"/>
        <w:ind w:right="1348" w:rightChars="642" w:firstLine="4860" w:firstLineChars="2025"/>
        <w:jc w:val="right"/>
        <w:rPr>
          <w:rFonts w:hint="eastAsia" w:ascii="宋体" w:hAnsi="宋体"/>
          <w:color w:val="auto"/>
          <w:sz w:val="24"/>
          <w:highlight w:val="none"/>
        </w:rPr>
      </w:pPr>
      <w:r>
        <w:rPr>
          <w:rFonts w:hint="eastAsia" w:ascii="宋体" w:hAnsi="宋体"/>
          <w:color w:val="auto"/>
          <w:sz w:val="24"/>
          <w:highlight w:val="none"/>
          <w:u w:val="single"/>
        </w:rPr>
        <w:t>202</w:t>
      </w:r>
      <w:r>
        <w:rPr>
          <w:rFonts w:hint="default" w:ascii="宋体" w:hAnsi="宋体"/>
          <w:color w:val="auto"/>
          <w:sz w:val="24"/>
          <w:highlight w:val="none"/>
          <w:u w:val="single"/>
        </w:rPr>
        <w:t>4</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right="1348" w:rightChars="642" w:firstLine="4860" w:firstLineChars="2025"/>
        <w:jc w:val="center"/>
        <w:rPr>
          <w:rFonts w:hint="eastAsia" w:ascii="宋体" w:hAnsi="宋体"/>
          <w:color w:val="auto"/>
          <w:sz w:val="24"/>
          <w:highlight w:val="none"/>
        </w:rPr>
      </w:pPr>
    </w:p>
    <w:p>
      <w:pPr>
        <w:spacing w:line="480" w:lineRule="auto"/>
        <w:ind w:firstLine="537" w:firstLineChars="224"/>
        <w:rPr>
          <w:rFonts w:ascii="宋体"/>
          <w:color w:val="auto"/>
          <w:sz w:val="24"/>
          <w:highlight w:val="none"/>
        </w:rPr>
        <w:sectPr>
          <w:headerReference r:id="rId3" w:type="default"/>
          <w:footerReference r:id="rId4" w:type="default"/>
          <w:footerReference r:id="rId5" w:type="even"/>
          <w:endnotePr>
            <w:numFmt w:val="decimal"/>
          </w:endnotePr>
          <w:pgSz w:w="11906" w:h="16838"/>
          <w:pgMar w:top="1440" w:right="1440" w:bottom="1440" w:left="144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rPr>
          <w:b/>
          <w:color w:val="auto"/>
          <w:sz w:val="44"/>
          <w:highlight w:val="none"/>
        </w:rPr>
      </w:pPr>
      <w:r>
        <w:rPr>
          <w:rFonts w:hint="eastAsia" w:ascii="宋体" w:hAnsi="宋体"/>
          <w:color w:val="auto"/>
          <w:sz w:val="24"/>
          <w:highlight w:val="none"/>
        </w:rPr>
        <w:t>附件一：</w:t>
      </w:r>
    </w:p>
    <w:p>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pPr>
        <w:jc w:val="center"/>
        <w:rPr>
          <w:b/>
          <w:color w:val="auto"/>
          <w:sz w:val="44"/>
          <w:szCs w:val="44"/>
          <w:highlight w:val="none"/>
        </w:rPr>
      </w:pPr>
    </w:p>
    <w:p>
      <w:pPr>
        <w:pStyle w:val="15"/>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广州市住房和城乡建设局、本招标项目招标人及招标监管机构：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（项目名称）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4"/>
          <w:szCs w:val="24"/>
          <w:highlight w:val="none"/>
        </w:rPr>
        <w:t xml:space="preserve">） </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pPr>
        <w:pStyle w:val="15"/>
        <w:numPr>
          <w:ilvl w:val="0"/>
          <w:numId w:val="1"/>
        </w:numPr>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本公司保证：本项目拟派的项目负责人没有在其他在建项目中任施工单位项目负责人，本项目拟派的专职安全员没有在其他在建项目中任职。</w:t>
      </w:r>
    </w:p>
    <w:p>
      <w:pPr>
        <w:pStyle w:val="15"/>
        <w:numPr>
          <w:ilvl w:val="0"/>
          <w:numId w:val="1"/>
        </w:numPr>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w:t>
      </w:r>
      <w:r>
        <w:rPr>
          <w:rFonts w:hint="default" w:ascii="宋体" w:hAnsi="宋体" w:eastAsia="宋体"/>
          <w:color w:val="auto"/>
          <w:sz w:val="24"/>
          <w:szCs w:val="24"/>
          <w:highlight w:val="none"/>
        </w:rPr>
        <w:t>中标后按招标文件第一章中投标须知前附表第35条的规定执行，落实中小企业承担的合同份额，</w:t>
      </w:r>
      <w:r>
        <w:rPr>
          <w:rFonts w:hint="eastAsia" w:ascii="宋体" w:hAnsi="宋体" w:eastAsia="宋体"/>
          <w:color w:val="auto"/>
          <w:sz w:val="24"/>
          <w:szCs w:val="24"/>
          <w:highlight w:val="none"/>
        </w:rPr>
        <w:t>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15"/>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八、与本公司单位负责人为同一人或者与本公司存在控股、管理关系的其他单位包括：</w:t>
      </w:r>
      <w:r>
        <w:rPr>
          <w:rFonts w:hint="eastAsia"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rPr>
        <w:t>。（注：本条由投标人如实填写，如有，应列出全部满足招标公告资质要求的相关单位的名称；如无，则填写“无”。）</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5"/>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5"/>
        <w:ind w:firstLine="720" w:firstLineChars="300"/>
        <w:jc w:val="left"/>
        <w:rPr>
          <w:rFonts w:ascii="宋体" w:hAnsi="宋体" w:eastAsia="宋体"/>
          <w:color w:val="auto"/>
          <w:sz w:val="24"/>
          <w:szCs w:val="24"/>
          <w:highlight w:val="none"/>
        </w:rPr>
      </w:pP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16"/>
        <w:ind w:left="0" w:right="0"/>
        <w:jc w:val="both"/>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pPr>
        <w:pStyle w:val="15"/>
        <w:ind w:right="0"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w:t>
      </w:r>
    </w:p>
    <w:p>
      <w:pPr>
        <w:pStyle w:val="15"/>
        <w:ind w:right="0"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pPr>
        <w:pStyle w:val="15"/>
        <w:ind w:right="0" w:firstLine="2160" w:firstLineChars="9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pPr>
        <w:pStyle w:val="15"/>
        <w:ind w:right="0"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pPr>
        <w:spacing w:line="360" w:lineRule="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pPr>
        <w:widowControl/>
        <w:snapToGrid w:val="0"/>
        <w:spacing w:line="360" w:lineRule="auto"/>
        <w:ind w:right="0"/>
        <w:jc w:val="left"/>
        <w:rPr>
          <w:rFonts w:ascii="宋体" w:hAnsi="宋体"/>
          <w:color w:val="auto"/>
          <w:sz w:val="24"/>
          <w:szCs w:val="24"/>
          <w:highlight w:val="none"/>
        </w:rPr>
      </w:pPr>
      <w:r>
        <w:rPr>
          <w:rFonts w:hint="eastAsia" w:ascii="宋体" w:hAnsi="宋体"/>
          <w:color w:val="auto"/>
          <w:sz w:val="24"/>
          <w:szCs w:val="24"/>
          <w:highlight w:val="none"/>
        </w:rPr>
        <w:t>注：招标人应当要求投标人的项目负责人和技术负责人签字。</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pStyle w:val="5"/>
        <w:rPr>
          <w:rFonts w:hAnsi="宋体"/>
          <w:color w:val="auto"/>
          <w:szCs w:val="21"/>
          <w:highlight w:val="none"/>
        </w:rPr>
      </w:pPr>
    </w:p>
    <w:p>
      <w:pPr>
        <w:spacing w:line="360" w:lineRule="auto"/>
        <w:rPr>
          <w:rFonts w:ascii="宋体" w:hAnsi="宋体"/>
          <w:color w:val="auto"/>
          <w:sz w:val="24"/>
          <w:highlight w:val="none"/>
        </w:rPr>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cols w:space="425" w:num="1"/>
          <w:titlePg/>
          <w:docGrid w:type="lines" w:linePitch="312" w:charSpace="0"/>
        </w:sectPr>
      </w:pPr>
    </w:p>
    <w:p>
      <w:pPr>
        <w:spacing w:line="360" w:lineRule="auto"/>
        <w:rPr>
          <w:b/>
          <w:color w:val="auto"/>
          <w:sz w:val="44"/>
          <w:highlight w:val="none"/>
        </w:rPr>
      </w:pPr>
      <w:r>
        <w:rPr>
          <w:rFonts w:hint="eastAsia" w:ascii="宋体" w:hAnsi="宋体"/>
          <w:color w:val="auto"/>
          <w:sz w:val="24"/>
          <w:highlight w:val="none"/>
        </w:rPr>
        <w:t>附件二：</w:t>
      </w:r>
    </w:p>
    <w:p>
      <w:pPr>
        <w:jc w:val="center"/>
        <w:rPr>
          <w:rFonts w:ascii="Arial" w:hAnsi="Arial"/>
          <w:b/>
          <w:color w:val="auto"/>
          <w:kern w:val="44"/>
          <w:sz w:val="28"/>
          <w:szCs w:val="28"/>
          <w:highlight w:val="none"/>
        </w:rPr>
      </w:pPr>
      <w:r>
        <w:rPr>
          <w:rFonts w:hint="eastAsia" w:ascii="Arial" w:hAnsi="Arial"/>
          <w:b/>
          <w:color w:val="auto"/>
          <w:kern w:val="44"/>
          <w:sz w:val="28"/>
          <w:szCs w:val="28"/>
          <w:highlight w:val="none"/>
        </w:rPr>
        <w:t>施工项目管理团队人员信息表</w:t>
      </w:r>
    </w:p>
    <w:tbl>
      <w:tblPr>
        <w:tblStyle w:val="11"/>
        <w:tblW w:w="8675" w:type="dxa"/>
        <w:tblInd w:w="0" w:type="dxa"/>
        <w:tblLayout w:type="fixed"/>
        <w:tblCellMar>
          <w:top w:w="0" w:type="dxa"/>
          <w:left w:w="0" w:type="dxa"/>
          <w:bottom w:w="0" w:type="dxa"/>
          <w:right w:w="0" w:type="dxa"/>
        </w:tblCellMar>
      </w:tblPr>
      <w:tblGrid>
        <w:gridCol w:w="658"/>
        <w:gridCol w:w="1447"/>
        <w:gridCol w:w="1933"/>
        <w:gridCol w:w="1620"/>
        <w:gridCol w:w="3017"/>
      </w:tblGrid>
      <w:tr>
        <w:tblPrEx>
          <w:tblCellMar>
            <w:top w:w="0" w:type="dxa"/>
            <w:left w:w="0" w:type="dxa"/>
            <w:bottom w:w="0" w:type="dxa"/>
            <w:right w:w="0" w:type="dxa"/>
          </w:tblCellMar>
        </w:tblPrEx>
        <w:trPr>
          <w:trHeight w:val="617" w:hRule="atLeast"/>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sz w:val="24"/>
                <w:szCs w:val="24"/>
              </w:rPr>
            </w:pPr>
            <w:r>
              <w:rPr>
                <w:rFonts w:hint="eastAsia" w:ascii="仿宋" w:hAnsi="仿宋" w:eastAsia="仿宋" w:cs="仿宋"/>
                <w:b/>
                <w:kern w:val="0"/>
                <w:sz w:val="24"/>
                <w:szCs w:val="24"/>
              </w:rPr>
              <w:t>序号</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sz w:val="24"/>
                <w:szCs w:val="24"/>
              </w:rPr>
            </w:pPr>
            <w:r>
              <w:rPr>
                <w:rFonts w:hint="eastAsia" w:ascii="仿宋" w:hAnsi="仿宋" w:eastAsia="仿宋" w:cs="仿宋"/>
                <w:b/>
                <w:kern w:val="0"/>
                <w:sz w:val="24"/>
                <w:szCs w:val="24"/>
              </w:rPr>
              <w:t>姓名</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sz w:val="24"/>
                <w:szCs w:val="24"/>
              </w:rPr>
            </w:pPr>
            <w:r>
              <w:rPr>
                <w:rFonts w:hint="eastAsia" w:ascii="仿宋" w:hAnsi="仿宋" w:eastAsia="仿宋" w:cs="仿宋"/>
                <w:b/>
                <w:kern w:val="0"/>
                <w:sz w:val="24"/>
                <w:szCs w:val="24"/>
              </w:rPr>
              <w:t>岗位</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sz w:val="24"/>
                <w:szCs w:val="24"/>
              </w:rPr>
            </w:pPr>
            <w:r>
              <w:rPr>
                <w:rFonts w:hint="eastAsia" w:ascii="仿宋" w:hAnsi="仿宋" w:eastAsia="仿宋" w:cs="仿宋"/>
                <w:b/>
                <w:kern w:val="0"/>
                <w:sz w:val="24"/>
                <w:szCs w:val="24"/>
              </w:rPr>
              <w:t>职称</w:t>
            </w:r>
          </w:p>
        </w:tc>
        <w:tc>
          <w:tcPr>
            <w:tcW w:w="3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sz w:val="24"/>
                <w:szCs w:val="24"/>
              </w:rPr>
            </w:pPr>
            <w:r>
              <w:rPr>
                <w:rFonts w:hint="eastAsia" w:ascii="仿宋" w:hAnsi="仿宋" w:eastAsia="仿宋" w:cs="仿宋"/>
                <w:b/>
                <w:kern w:val="0"/>
                <w:sz w:val="24"/>
                <w:szCs w:val="24"/>
              </w:rPr>
              <w:t>职称证书或资格证书编号</w:t>
            </w:r>
          </w:p>
        </w:tc>
      </w:tr>
      <w:tr>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73" w:leftChars="-35" w:right="-61" w:rightChars="-29"/>
              <w:jc w:val="center"/>
              <w:rPr>
                <w:rFonts w:ascii="仿宋" w:hAnsi="仿宋" w:eastAsia="仿宋" w:cs="仿宋"/>
                <w:sz w:val="24"/>
                <w:szCs w:val="24"/>
              </w:rPr>
            </w:pPr>
            <w:r>
              <w:rPr>
                <w:rFonts w:hint="eastAsia" w:ascii="宋体" w:hAnsi="宋体" w:cs="宋体"/>
                <w:sz w:val="24"/>
                <w:szCs w:val="24"/>
              </w:rPr>
              <w:t>1</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73" w:leftChars="-35" w:right="-61" w:rightChars="-29"/>
              <w:jc w:val="center"/>
              <w:rPr>
                <w:rFonts w:ascii="仿宋" w:hAnsi="仿宋" w:eastAsia="仿宋" w:cs="仿宋"/>
                <w:sz w:val="24"/>
                <w:szCs w:val="24"/>
              </w:rPr>
            </w:pPr>
            <w:r>
              <w:rPr>
                <w:rFonts w:hint="eastAsia" w:ascii="宋体" w:hAnsi="宋体" w:cs="宋体"/>
                <w:szCs w:val="21"/>
              </w:rPr>
              <w:t>技术负责人</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3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73" w:leftChars="-35" w:right="-61" w:rightChars="-29"/>
              <w:jc w:val="center"/>
              <w:rPr>
                <w:rFonts w:ascii="仿宋" w:hAnsi="仿宋" w:eastAsia="仿宋" w:cs="仿宋"/>
                <w:sz w:val="24"/>
                <w:szCs w:val="24"/>
              </w:rPr>
            </w:pPr>
            <w:r>
              <w:rPr>
                <w:rFonts w:hint="eastAsia" w:ascii="宋体" w:hAnsi="宋体" w:cs="宋体"/>
                <w:sz w:val="24"/>
                <w:szCs w:val="24"/>
              </w:rPr>
              <w:t>2</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s="仿宋"/>
                <w:sz w:val="24"/>
                <w:szCs w:val="24"/>
              </w:rPr>
            </w:pPr>
            <w:r>
              <w:rPr>
                <w:rFonts w:hint="eastAsia" w:ascii="宋体" w:hAnsi="宋体" w:cs="宋体"/>
                <w:szCs w:val="21"/>
              </w:rPr>
              <w:t>安全负责人</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3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73" w:leftChars="-35" w:right="-61" w:rightChars="-29"/>
              <w:jc w:val="center"/>
              <w:rPr>
                <w:rFonts w:ascii="仿宋" w:hAnsi="仿宋" w:eastAsia="仿宋" w:cs="仿宋"/>
                <w:sz w:val="24"/>
                <w:szCs w:val="24"/>
              </w:rPr>
            </w:pPr>
            <w:r>
              <w:rPr>
                <w:rFonts w:hint="eastAsia" w:ascii="宋体" w:hAnsi="宋体" w:cs="宋体"/>
                <w:sz w:val="24"/>
                <w:szCs w:val="24"/>
              </w:rPr>
              <w:t>3</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s="仿宋"/>
                <w:sz w:val="24"/>
                <w:szCs w:val="24"/>
              </w:rPr>
            </w:pPr>
            <w:r>
              <w:rPr>
                <w:rFonts w:hint="eastAsia" w:ascii="宋体" w:hAnsi="宋体" w:cs="宋体"/>
                <w:szCs w:val="21"/>
              </w:rPr>
              <w:t>质量负责人</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3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73" w:leftChars="-35" w:right="-61" w:rightChars="-29"/>
              <w:jc w:val="center"/>
              <w:rPr>
                <w:rFonts w:ascii="仿宋" w:hAnsi="仿宋" w:eastAsia="仿宋" w:cs="仿宋"/>
                <w:sz w:val="24"/>
                <w:szCs w:val="24"/>
              </w:rPr>
            </w:pPr>
            <w:r>
              <w:rPr>
                <w:rFonts w:hint="eastAsia" w:ascii="宋体" w:hAnsi="宋体" w:cs="宋体"/>
                <w:sz w:val="24"/>
                <w:szCs w:val="24"/>
              </w:rPr>
              <w:t>4</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仿宋" w:hAnsi="仿宋" w:eastAsia="仿宋" w:cs="仿宋"/>
                <w:sz w:val="24"/>
                <w:szCs w:val="24"/>
              </w:rPr>
            </w:pPr>
            <w:r>
              <w:rPr>
                <w:rFonts w:hint="eastAsia" w:ascii="宋体" w:hAnsi="宋体" w:cs="宋体"/>
                <w:szCs w:val="21"/>
              </w:rPr>
              <w:t>造价负责人</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3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73" w:leftChars="-35" w:right="-61" w:rightChars="-29"/>
              <w:jc w:val="center"/>
              <w:rPr>
                <w:rFonts w:ascii="宋体" w:hAnsi="宋体" w:cs="宋体"/>
                <w:sz w:val="24"/>
                <w:szCs w:val="24"/>
              </w:rPr>
            </w:pPr>
            <w:r>
              <w:rPr>
                <w:rFonts w:hint="eastAsia" w:ascii="宋体" w:hAnsi="宋体" w:cs="宋体"/>
                <w:sz w:val="24"/>
                <w:szCs w:val="24"/>
              </w:rPr>
              <w:t>...</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center"/>
              <w:rPr>
                <w:rFonts w:ascii="宋体" w:hAnsi="宋体" w:cs="宋体"/>
                <w:szCs w:val="21"/>
              </w:rPr>
            </w:pPr>
            <w:r>
              <w:rPr>
                <w:rFonts w:hint="eastAsia" w:ascii="宋体" w:hAnsi="宋体" w:cs="宋体"/>
                <w:szCs w:val="21"/>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c>
          <w:tcPr>
            <w:tcW w:w="3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trHeight w:val="415" w:hRule="atLeast"/>
        </w:trPr>
        <w:tc>
          <w:tcPr>
            <w:tcW w:w="86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76" w:lineRule="auto"/>
              <w:jc w:val="left"/>
              <w:rPr>
                <w:rFonts w:ascii="宋体" w:hAnsi="宋体" w:cs="宋体"/>
                <w:szCs w:val="21"/>
              </w:rPr>
            </w:pPr>
            <w:r>
              <w:rPr>
                <w:rFonts w:hint="eastAsia" w:ascii="宋体" w:hAnsi="宋体" w:cs="宋体"/>
                <w:szCs w:val="21"/>
              </w:rPr>
              <w:t>备注：</w:t>
            </w:r>
          </w:p>
          <w:p>
            <w:pPr>
              <w:widowControl/>
              <w:spacing w:line="276" w:lineRule="auto"/>
              <w:jc w:val="left"/>
              <w:rPr>
                <w:rFonts w:ascii="宋体" w:hAnsi="宋体" w:cs="宋体"/>
                <w:szCs w:val="21"/>
              </w:rPr>
            </w:pPr>
            <w:r>
              <w:rPr>
                <w:rFonts w:hint="eastAsia" w:ascii="宋体" w:hAnsi="宋体" w:cs="宋体"/>
                <w:szCs w:val="21"/>
              </w:rPr>
              <w:t>1、“岗位”要求</w:t>
            </w:r>
            <w:r>
              <w:rPr>
                <w:rFonts w:hint="eastAsia" w:ascii="宋体" w:hAnsi="宋体" w:cs="宋体"/>
                <w:b/>
                <w:szCs w:val="21"/>
              </w:rPr>
              <w:t>（除项目负责人和专职安全员外）</w:t>
            </w:r>
            <w:r>
              <w:rPr>
                <w:rFonts w:hint="eastAsia" w:ascii="宋体" w:hAnsi="宋体" w:cs="宋体"/>
                <w:szCs w:val="21"/>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w:t>
            </w:r>
            <w:r>
              <w:rPr>
                <w:rFonts w:hint="eastAsia" w:ascii="宋体" w:hAnsi="宋体" w:cs="宋体"/>
                <w:b/>
                <w:szCs w:val="21"/>
                <w:u w:val="single"/>
              </w:rPr>
              <w:t>投标人在投标登记时，应按《施工项目管理团队人员信息表》人员要求在交易系统中填写，表中的项目管理团队人员信息作为投标文件的一部分，将由交易系统提取后供各相关单位在中标人履约时进行比对、查核。</w:t>
            </w:r>
          </w:p>
          <w:p>
            <w:pPr>
              <w:widowControl/>
              <w:spacing w:line="276" w:lineRule="auto"/>
              <w:jc w:val="left"/>
              <w:rPr>
                <w:rFonts w:ascii="宋体" w:hAnsi="宋体" w:cs="宋体"/>
                <w:szCs w:val="21"/>
              </w:rPr>
            </w:pPr>
            <w:r>
              <w:rPr>
                <w:rFonts w:hint="eastAsia" w:ascii="宋体" w:hAnsi="宋体" w:cs="宋体"/>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rPr>
                <w:rFonts w:ascii="仿宋" w:hAnsi="仿宋" w:eastAsia="仿宋" w:cs="仿宋"/>
                <w:sz w:val="28"/>
                <w:szCs w:val="28"/>
              </w:rPr>
            </w:pPr>
            <w:r>
              <w:rPr>
                <w:rFonts w:hint="eastAsia" w:ascii="宋体" w:hAnsi="宋体" w:cs="宋体"/>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rFonts w:ascii="宋体" w:hAnsi="宋体"/>
        </w:rPr>
      </w:pPr>
      <w:r>
        <w:rPr>
          <w:rFonts w:hint="eastAsia" w:ascii="宋体" w:hAnsi="宋体"/>
        </w:rPr>
        <w:t>注：投标人按本表格式可自行扩展填写。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2"/>
      <w:jc w:val="right"/>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92"/>
                            <w:jc w:val="right"/>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ind w:firstLine="392"/>
                      <w:jc w:val="right"/>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2"/>
      <w:rPr>
        <w:rStyle w:val="13"/>
      </w:rPr>
    </w:pPr>
    <w:r>
      <w:rPr>
        <w:rStyle w:val="13"/>
      </w:rPr>
      <w:fldChar w:fldCharType="begin"/>
    </w:r>
    <w:r>
      <w:rPr>
        <w:rStyle w:val="13"/>
      </w:rPr>
      <w:instrText xml:space="preserve">PAGE  </w:instrText>
    </w:r>
    <w:r>
      <w:rPr>
        <w:rStyle w:val="13"/>
      </w:rPr>
      <w:fldChar w:fldCharType="separate"/>
    </w:r>
    <w:r>
      <w:rPr>
        <w:rStyle w:val="13"/>
        <w:rFonts w:hint="eastAsia"/>
      </w:rPr>
      <w:t>一</w:t>
    </w:r>
    <w:r>
      <w:rPr>
        <w:rStyle w:val="13"/>
      </w:rPr>
      <w:t>–2</w:t>
    </w:r>
    <w:r>
      <w:rPr>
        <w:rStyle w:val="13"/>
      </w:rPr>
      <w:fldChar w:fldCharType="end"/>
    </w:r>
  </w:p>
  <w:p>
    <w:pPr>
      <w:pStyle w:val="6"/>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92"/>
                          </w:pPr>
                          <w:r>
                            <w:rPr>
                              <w:rStyle w:val="13"/>
                            </w:rPr>
                            <w:fldChar w:fldCharType="begin"/>
                          </w:r>
                          <w:r>
                            <w:rPr>
                              <w:rStyle w:val="13"/>
                            </w:rPr>
                            <w:instrText xml:space="preserve"> PAGE </w:instrText>
                          </w:r>
                          <w:r>
                            <w:rPr>
                              <w:rStyle w:val="13"/>
                            </w:rPr>
                            <w:fldChar w:fldCharType="separate"/>
                          </w:r>
                          <w:r>
                            <w:rPr>
                              <w:rStyle w:val="13"/>
                            </w:rPr>
                            <w:t>11</w:t>
                          </w:r>
                          <w:r>
                            <w:rPr>
                              <w:rStyle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ind w:firstLine="392"/>
                    </w:pPr>
                    <w:r>
                      <w:rPr>
                        <w:rStyle w:val="13"/>
                      </w:rPr>
                      <w:fldChar w:fldCharType="begin"/>
                    </w:r>
                    <w:r>
                      <w:rPr>
                        <w:rStyle w:val="13"/>
                      </w:rPr>
                      <w:instrText xml:space="preserve"> PAGE </w:instrText>
                    </w:r>
                    <w:r>
                      <w:rPr>
                        <w:rStyle w:val="13"/>
                      </w:rPr>
                      <w:fldChar w:fldCharType="separate"/>
                    </w:r>
                    <w:r>
                      <w:rPr>
                        <w:rStyle w:val="13"/>
                      </w:rPr>
                      <w:t>11</w:t>
                    </w:r>
                    <w:r>
                      <w:rPr>
                        <w:rStyle w:val="13"/>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7902"/>
        <w:tab w:val="clear" w:pos="4153"/>
      </w:tabs>
      <w:jc w:val="both"/>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ZWI3NTMzNGJjMThjY2Q5NDk1NjVjYTViNjA3NmIifQ=="/>
  </w:docVars>
  <w:rsids>
    <w:rsidRoot w:val="00172A27"/>
    <w:rsid w:val="090E6DE2"/>
    <w:rsid w:val="09336848"/>
    <w:rsid w:val="09A14DD0"/>
    <w:rsid w:val="0F012A51"/>
    <w:rsid w:val="0F6F3752"/>
    <w:rsid w:val="100E361B"/>
    <w:rsid w:val="115C0F8C"/>
    <w:rsid w:val="12D93E44"/>
    <w:rsid w:val="17BD6C8D"/>
    <w:rsid w:val="18DC3ED9"/>
    <w:rsid w:val="1AAD0B37"/>
    <w:rsid w:val="1C9630F0"/>
    <w:rsid w:val="1D337485"/>
    <w:rsid w:val="1D6F5DB7"/>
    <w:rsid w:val="1F231175"/>
    <w:rsid w:val="1FCC7170"/>
    <w:rsid w:val="241C04A9"/>
    <w:rsid w:val="2D181CD0"/>
    <w:rsid w:val="30D55F5D"/>
    <w:rsid w:val="37D34CC6"/>
    <w:rsid w:val="37FD313D"/>
    <w:rsid w:val="388A19DB"/>
    <w:rsid w:val="3CCA4B6A"/>
    <w:rsid w:val="41C74484"/>
    <w:rsid w:val="47B47812"/>
    <w:rsid w:val="4A797C58"/>
    <w:rsid w:val="4B696A50"/>
    <w:rsid w:val="4D0A1EC4"/>
    <w:rsid w:val="502D7706"/>
    <w:rsid w:val="51DD6DA4"/>
    <w:rsid w:val="52B90291"/>
    <w:rsid w:val="540B6C9E"/>
    <w:rsid w:val="567C1228"/>
    <w:rsid w:val="5A616276"/>
    <w:rsid w:val="5AA65046"/>
    <w:rsid w:val="5B1769FD"/>
    <w:rsid w:val="5C913A7B"/>
    <w:rsid w:val="5D855913"/>
    <w:rsid w:val="5ED65B32"/>
    <w:rsid w:val="616C4458"/>
    <w:rsid w:val="61BD501B"/>
    <w:rsid w:val="65705E4D"/>
    <w:rsid w:val="6688474A"/>
    <w:rsid w:val="6A6C6A6C"/>
    <w:rsid w:val="6BF74B33"/>
    <w:rsid w:val="6ED54515"/>
    <w:rsid w:val="6F90355D"/>
    <w:rsid w:val="70E24D2F"/>
    <w:rsid w:val="71BF1F32"/>
    <w:rsid w:val="72C708B1"/>
    <w:rsid w:val="73F8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szCs w:val="20"/>
    </w:rPr>
  </w:style>
  <w:style w:type="paragraph" w:styleId="3">
    <w:name w:val="annotation text"/>
    <w:basedOn w:val="1"/>
    <w:autoRedefine/>
    <w:qFormat/>
    <w:uiPriority w:val="0"/>
    <w:pPr>
      <w:spacing w:line="360" w:lineRule="auto"/>
      <w:ind w:firstLine="523" w:firstLineChars="218"/>
      <w:jc w:val="left"/>
    </w:pPr>
    <w:rPr>
      <w:rFonts w:ascii="宋体" w:hAnsi="宋体"/>
      <w:sz w:val="24"/>
      <w:szCs w:val="24"/>
    </w:rPr>
  </w:style>
  <w:style w:type="paragraph" w:styleId="4">
    <w:name w:val="Body Text"/>
    <w:basedOn w:val="1"/>
    <w:autoRedefine/>
    <w:qFormat/>
    <w:uiPriority w:val="0"/>
    <w:pPr>
      <w:spacing w:after="120"/>
    </w:pPr>
    <w:rPr>
      <w:rFonts w:ascii="Times New Roman" w:hAnsi="Times New Roman"/>
      <w:szCs w:val="20"/>
    </w:rPr>
  </w:style>
  <w:style w:type="paragraph" w:styleId="5">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6">
    <w:name w:val="footer"/>
    <w:basedOn w:val="1"/>
    <w:autoRedefine/>
    <w:unhideWhenUsed/>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qFormat/>
    <w:uiPriority w:val="0"/>
    <w:rPr>
      <w:rFonts w:ascii="宋体" w:hAnsi="宋体"/>
      <w:szCs w:val="24"/>
      <w:u w:val="single"/>
    </w:r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0">
    <w:name w:val="Body Text First Indent"/>
    <w:basedOn w:val="4"/>
    <w:autoRedefine/>
    <w:qFormat/>
    <w:uiPriority w:val="0"/>
    <w:pPr>
      <w:ind w:firstLine="420"/>
    </w:pPr>
  </w:style>
  <w:style w:type="character" w:styleId="13">
    <w:name w:val="page number"/>
    <w:autoRedefine/>
    <w:qFormat/>
    <w:uiPriority w:val="0"/>
    <w:rPr>
      <w:rFonts w:cs="Times New Roman"/>
    </w:rPr>
  </w:style>
  <w:style w:type="character" w:styleId="14">
    <w:name w:val="Hyperlink"/>
    <w:autoRedefine/>
    <w:qFormat/>
    <w:uiPriority w:val="99"/>
    <w:rPr>
      <w:color w:val="0000FF"/>
      <w:u w:val="single"/>
    </w:rPr>
  </w:style>
  <w:style w:type="paragraph" w:customStyle="1" w:styleId="1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autoRedefine/>
    <w:qFormat/>
    <w:uiPriority w:val="0"/>
    <w:pPr>
      <w:ind w:left="4094" w:right="607" w:firstLine="0"/>
      <w:jc w:val="center"/>
    </w:pPr>
  </w:style>
  <w:style w:type="paragraph" w:customStyle="1" w:styleId="17">
    <w:name w:val="Default"/>
    <w:autoRedefine/>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8532</Words>
  <Characters>9048</Characters>
  <Lines>0</Lines>
  <Paragraphs>0</Paragraphs>
  <TotalTime>1</TotalTime>
  <ScaleCrop>false</ScaleCrop>
  <LinksUpToDate>false</LinksUpToDate>
  <CharactersWithSpaces>9362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2024-02-09T00:18:00Z</dcterms:created>
  <dc:creator>Y.sisi</dc:creator>
  <cp:lastModifiedBy>凌穆轩</cp:lastModifiedBy>
  <dcterms:modified xsi:type="dcterms:W3CDTF">2024-05-17T03:55:41Z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6535C59D74A144B78134FF5B44B8EE48_13</vt:lpwstr>
  </property>
</Properties>
</file>