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auto"/>
          <w:sz w:val="48"/>
          <w:szCs w:val="48"/>
          <w:highlight w:val="none"/>
        </w:rPr>
      </w:pPr>
    </w:p>
    <w:p>
      <w:pPr>
        <w:pStyle w:val="2"/>
        <w:rPr>
          <w:color w:val="auto"/>
          <w:highlight w:val="none"/>
        </w:rPr>
      </w:pPr>
    </w:p>
    <w:p>
      <w:pPr>
        <w:spacing w:line="360" w:lineRule="auto"/>
        <w:jc w:val="center"/>
        <w:rPr>
          <w:b/>
          <w:bCs w:val="0"/>
          <w:color w:val="auto"/>
          <w:sz w:val="62"/>
          <w:szCs w:val="62"/>
          <w:highlight w:val="none"/>
          <w:u w:val="single"/>
        </w:rPr>
      </w:pPr>
      <w:r>
        <w:rPr>
          <w:rFonts w:hint="eastAsia" w:ascii="宋体" w:hAnsi="宋体"/>
          <w:b/>
          <w:bCs w:val="0"/>
          <w:color w:val="auto"/>
          <w:sz w:val="62"/>
          <w:szCs w:val="62"/>
          <w:highlight w:val="none"/>
          <w:lang w:eastAsia="zh-CN"/>
        </w:rPr>
        <w:t>广东外语外贸大学学生宿舍修缮（2024年）项目施工总承包</w:t>
      </w:r>
    </w:p>
    <w:p>
      <w:pPr>
        <w:spacing w:line="360" w:lineRule="auto"/>
        <w:jc w:val="center"/>
        <w:rPr>
          <w:color w:val="auto"/>
          <w:sz w:val="36"/>
          <w:highlight w:val="none"/>
          <w:u w:val="single"/>
        </w:rPr>
      </w:pPr>
    </w:p>
    <w:p>
      <w:pPr>
        <w:pStyle w:val="5"/>
        <w:rPr>
          <w:color w:val="auto"/>
          <w:sz w:val="36"/>
          <w:highlight w:val="none"/>
          <w:u w:val="single"/>
        </w:rPr>
      </w:pPr>
    </w:p>
    <w:p>
      <w:pPr>
        <w:pStyle w:val="5"/>
        <w:spacing w:line="360" w:lineRule="auto"/>
        <w:rPr>
          <w:color w:val="auto"/>
          <w:sz w:val="36"/>
          <w:highlight w:val="none"/>
          <w:u w:val="single"/>
        </w:rPr>
      </w:pPr>
    </w:p>
    <w:p>
      <w:pPr>
        <w:pStyle w:val="5"/>
        <w:spacing w:line="360" w:lineRule="auto"/>
        <w:rPr>
          <w:color w:val="auto"/>
          <w:sz w:val="36"/>
          <w:highlight w:val="none"/>
          <w:u w:val="single"/>
        </w:rPr>
      </w:pPr>
    </w:p>
    <w:p>
      <w:pPr>
        <w:spacing w:line="360" w:lineRule="auto"/>
        <w:jc w:val="center"/>
        <w:rPr>
          <w:rFonts w:ascii="宋体" w:hAnsi="宋体"/>
          <w:b/>
          <w:bCs/>
          <w:color w:val="auto"/>
          <w:spacing w:val="26"/>
          <w:sz w:val="144"/>
          <w:szCs w:val="144"/>
          <w:highlight w:val="none"/>
        </w:rPr>
      </w:pPr>
      <w:r>
        <w:rPr>
          <w:rFonts w:hint="eastAsia" w:ascii="宋体" w:hAnsi="宋体"/>
          <w:b/>
          <w:bCs/>
          <w:color w:val="auto"/>
          <w:spacing w:val="26"/>
          <w:sz w:val="96"/>
          <w:szCs w:val="144"/>
          <w:highlight w:val="none"/>
        </w:rPr>
        <w:t>招标公告</w:t>
      </w:r>
    </w:p>
    <w:p>
      <w:pPr>
        <w:spacing w:line="360" w:lineRule="auto"/>
        <w:rPr>
          <w:color w:val="auto"/>
          <w:sz w:val="32"/>
          <w:highlight w:val="none"/>
        </w:rPr>
      </w:pPr>
    </w:p>
    <w:p>
      <w:pPr>
        <w:pStyle w:val="5"/>
        <w:spacing w:line="360" w:lineRule="auto"/>
        <w:rPr>
          <w:color w:val="auto"/>
          <w:highlight w:val="none"/>
        </w:rPr>
      </w:pPr>
    </w:p>
    <w:p>
      <w:pPr>
        <w:spacing w:line="360" w:lineRule="auto"/>
        <w:rPr>
          <w:color w:val="auto"/>
          <w:sz w:val="52"/>
          <w:highlight w:val="none"/>
        </w:rPr>
      </w:pPr>
    </w:p>
    <w:p>
      <w:pPr>
        <w:spacing w:line="360" w:lineRule="auto"/>
        <w:rPr>
          <w:color w:val="auto"/>
          <w:sz w:val="52"/>
          <w:highlight w:val="none"/>
        </w:rPr>
      </w:pPr>
    </w:p>
    <w:p>
      <w:pPr>
        <w:spacing w:line="360" w:lineRule="auto"/>
        <w:rPr>
          <w:color w:val="auto"/>
          <w:sz w:val="52"/>
          <w:highlight w:val="none"/>
        </w:rPr>
      </w:pPr>
    </w:p>
    <w:p>
      <w:pPr>
        <w:spacing w:line="360" w:lineRule="auto"/>
        <w:ind w:firstLine="1280" w:firstLineChars="400"/>
        <w:jc w:val="left"/>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rPr>
        <w:t>招标单位：</w:t>
      </w:r>
      <w:r>
        <w:rPr>
          <w:rFonts w:hint="eastAsia" w:ascii="宋体" w:hAnsi="宋体" w:cs="宋体"/>
          <w:color w:val="auto"/>
          <w:sz w:val="32"/>
          <w:szCs w:val="32"/>
          <w:highlight w:val="none"/>
          <w:u w:val="single"/>
          <w:lang w:eastAsia="zh-CN"/>
        </w:rPr>
        <w:t>广东外语外贸大学</w:t>
      </w:r>
    </w:p>
    <w:p>
      <w:pPr>
        <w:spacing w:line="360" w:lineRule="auto"/>
        <w:ind w:firstLine="1280" w:firstLineChars="400"/>
        <w:jc w:val="left"/>
        <w:rPr>
          <w:rFonts w:ascii="宋体" w:hAnsi="宋体" w:cs="宋体"/>
          <w:color w:val="auto"/>
          <w:sz w:val="32"/>
          <w:szCs w:val="32"/>
          <w:highlight w:val="none"/>
        </w:rPr>
      </w:pPr>
      <w:r>
        <w:rPr>
          <w:rFonts w:hint="eastAsia" w:ascii="宋体" w:hAnsi="宋体" w:cs="宋体"/>
          <w:color w:val="auto"/>
          <w:sz w:val="32"/>
          <w:szCs w:val="32"/>
          <w:highlight w:val="none"/>
        </w:rPr>
        <w:t>招标代理机构：</w:t>
      </w:r>
      <w:r>
        <w:rPr>
          <w:rFonts w:hint="eastAsia" w:ascii="宋体" w:hAnsi="宋体" w:cs="宋体"/>
          <w:color w:val="auto"/>
          <w:sz w:val="32"/>
          <w:szCs w:val="32"/>
          <w:highlight w:val="none"/>
          <w:u w:val="single"/>
        </w:rPr>
        <w:t>北京中交建设工程咨询有限公司</w:t>
      </w:r>
    </w:p>
    <w:p>
      <w:pPr>
        <w:widowControl/>
        <w:snapToGrid w:val="0"/>
        <w:spacing w:line="480" w:lineRule="auto"/>
        <w:ind w:right="102" w:firstLine="1280" w:firstLineChars="400"/>
        <w:jc w:val="left"/>
        <w:rPr>
          <w:rFonts w:ascii="宋体" w:hAnsi="宋体" w:cs="宋体"/>
          <w:color w:val="auto"/>
          <w:sz w:val="32"/>
          <w:szCs w:val="32"/>
          <w:highlight w:val="none"/>
        </w:rPr>
      </w:pPr>
      <w:r>
        <w:rPr>
          <w:rFonts w:hint="eastAsia" w:ascii="宋体" w:hAnsi="宋体" w:cs="宋体"/>
          <w:color w:val="auto"/>
          <w:sz w:val="32"/>
          <w:szCs w:val="32"/>
          <w:highlight w:val="none"/>
        </w:rPr>
        <w:t>日    期：</w:t>
      </w:r>
      <w:r>
        <w:rPr>
          <w:rFonts w:hint="eastAsia" w:ascii="宋体" w:hAnsi="宋体" w:cs="宋体"/>
          <w:color w:val="auto"/>
          <w:sz w:val="32"/>
          <w:szCs w:val="32"/>
          <w:highlight w:val="none"/>
          <w:u w:val="single"/>
        </w:rPr>
        <w:t>2</w:t>
      </w:r>
      <w:r>
        <w:rPr>
          <w:rFonts w:ascii="宋体" w:hAnsi="宋体" w:cs="宋体"/>
          <w:color w:val="auto"/>
          <w:sz w:val="32"/>
          <w:szCs w:val="32"/>
          <w:highlight w:val="none"/>
          <w:u w:val="single"/>
        </w:rPr>
        <w:t>024</w:t>
      </w:r>
      <w:r>
        <w:rPr>
          <w:rFonts w:hint="eastAsia" w:ascii="宋体" w:hAnsi="宋体" w:cs="宋体"/>
          <w:color w:val="auto"/>
          <w:sz w:val="32"/>
          <w:szCs w:val="32"/>
          <w:highlight w:val="none"/>
        </w:rPr>
        <w:t>年</w:t>
      </w:r>
      <w:r>
        <w:rPr>
          <w:rFonts w:hint="eastAsia" w:ascii="宋体" w:hAnsi="宋体" w:cs="宋体"/>
          <w:color w:val="auto"/>
          <w:sz w:val="32"/>
          <w:szCs w:val="32"/>
          <w:highlight w:val="none"/>
          <w:u w:val="single"/>
          <w:lang w:val="en-US" w:eastAsia="zh-CN"/>
        </w:rPr>
        <w:t>5</w:t>
      </w:r>
      <w:r>
        <w:rPr>
          <w:rFonts w:hint="eastAsia" w:ascii="宋体" w:hAnsi="宋体" w:cs="宋体"/>
          <w:color w:val="auto"/>
          <w:sz w:val="32"/>
          <w:szCs w:val="32"/>
          <w:highlight w:val="none"/>
        </w:rPr>
        <w:t>月</w:t>
      </w:r>
    </w:p>
    <w:p>
      <w:pPr>
        <w:rPr>
          <w:rFonts w:hint="default"/>
          <w:b/>
          <w:bCs/>
          <w:color w:val="auto"/>
          <w:sz w:val="32"/>
          <w:szCs w:val="32"/>
          <w:highlight w:val="none"/>
        </w:rPr>
      </w:pPr>
      <w:r>
        <w:rPr>
          <w:rFonts w:hint="default"/>
          <w:b/>
          <w:bCs/>
          <w:color w:val="auto"/>
          <w:sz w:val="32"/>
          <w:szCs w:val="32"/>
          <w:highlight w:val="none"/>
        </w:rPr>
        <w:br w:type="page"/>
      </w:r>
    </w:p>
    <w:p>
      <w:pPr>
        <w:pStyle w:val="8"/>
        <w:spacing w:line="360" w:lineRule="auto"/>
        <w:jc w:val="center"/>
        <w:rPr>
          <w:rFonts w:hint="eastAsia"/>
          <w:b/>
          <w:bCs/>
          <w:color w:val="auto"/>
          <w:sz w:val="32"/>
          <w:szCs w:val="32"/>
          <w:highlight w:val="none"/>
          <w:lang w:eastAsia="zh-CN"/>
        </w:rPr>
      </w:pPr>
      <w:r>
        <w:rPr>
          <w:rFonts w:hint="eastAsia"/>
          <w:b/>
          <w:bCs/>
          <w:color w:val="auto"/>
          <w:sz w:val="32"/>
          <w:szCs w:val="32"/>
          <w:highlight w:val="none"/>
          <w:lang w:eastAsia="zh-CN"/>
        </w:rPr>
        <w:t>广东外语外贸大学学生宿舍修缮（2024年）项目施工总承包</w:t>
      </w:r>
    </w:p>
    <w:p>
      <w:pPr>
        <w:pStyle w:val="8"/>
        <w:spacing w:line="360" w:lineRule="auto"/>
        <w:jc w:val="center"/>
        <w:rPr>
          <w:color w:val="auto"/>
          <w:sz w:val="24"/>
          <w:highlight w:val="none"/>
        </w:rPr>
      </w:pPr>
      <w:r>
        <w:rPr>
          <w:rFonts w:hint="eastAsia"/>
          <w:b/>
          <w:bCs/>
          <w:color w:val="auto"/>
          <w:sz w:val="32"/>
          <w:szCs w:val="32"/>
          <w:highlight w:val="none"/>
        </w:rPr>
        <w:t>招标公告</w:t>
      </w:r>
    </w:p>
    <w:p>
      <w:pPr>
        <w:spacing w:line="360" w:lineRule="auto"/>
        <w:ind w:left="0" w:leftChars="0" w:firstLine="480" w:firstLineChars="200"/>
        <w:rPr>
          <w:color w:val="auto"/>
          <w:sz w:val="24"/>
          <w:highlight w:val="none"/>
        </w:rPr>
      </w:pPr>
    </w:p>
    <w:p>
      <w:pPr>
        <w:spacing w:line="360" w:lineRule="auto"/>
        <w:ind w:left="0" w:leftChars="0" w:firstLine="480" w:firstLineChars="200"/>
        <w:rPr>
          <w:rFonts w:ascii="宋体" w:hAnsi="宋体"/>
          <w:color w:val="auto"/>
          <w:sz w:val="24"/>
          <w:highlight w:val="none"/>
        </w:rPr>
      </w:pPr>
      <w:r>
        <w:rPr>
          <w:rFonts w:hint="eastAsia" w:ascii="宋体" w:hAnsi="宋体"/>
          <w:color w:val="auto"/>
          <w:sz w:val="24"/>
          <w:highlight w:val="none"/>
        </w:rPr>
        <w:t>根据广东省企业投资项目备案证</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项目代码：</w:t>
      </w:r>
      <w:r>
        <w:rPr>
          <w:rFonts w:hint="eastAsia" w:ascii="宋体" w:hAnsi="宋体" w:cs="宋体"/>
          <w:bCs/>
          <w:sz w:val="24"/>
          <w:szCs w:val="24"/>
          <w:u w:val="single"/>
          <w:lang w:val="en-US" w:eastAsia="zh-CN"/>
        </w:rPr>
        <w:t>2403-440111-04-01-632489、2403-440113-04-01-358965</w:t>
      </w:r>
      <w:r>
        <w:rPr>
          <w:rFonts w:hint="eastAsia" w:ascii="宋体" w:hAnsi="宋体"/>
          <w:color w:val="auto"/>
          <w:sz w:val="24"/>
          <w:highlight w:val="none"/>
          <w:lang w:eastAsia="zh-CN"/>
        </w:rPr>
        <w:t>）</w:t>
      </w:r>
      <w:r>
        <w:rPr>
          <w:rFonts w:hint="eastAsia" w:ascii="宋体" w:hAnsi="宋体"/>
          <w:color w:val="auto"/>
          <w:sz w:val="24"/>
          <w:highlight w:val="none"/>
        </w:rPr>
        <w:t>批准，并且图纸和技术资料满足施工需要，</w:t>
      </w:r>
      <w:r>
        <w:rPr>
          <w:rFonts w:hint="eastAsia" w:ascii="宋体" w:hAnsi="宋体" w:cs="宋体"/>
          <w:color w:val="auto"/>
          <w:sz w:val="24"/>
          <w:szCs w:val="24"/>
          <w:highlight w:val="none"/>
          <w:u w:val="single"/>
          <w:lang w:eastAsia="zh-CN"/>
        </w:rPr>
        <w:t>广东外语外贸大学</w:t>
      </w:r>
      <w:r>
        <w:rPr>
          <w:rFonts w:hint="eastAsia" w:ascii="宋体" w:hAnsi="宋体"/>
          <w:color w:val="auto"/>
          <w:sz w:val="24"/>
          <w:highlight w:val="none"/>
        </w:rPr>
        <w:t>现对</w:t>
      </w:r>
      <w:r>
        <w:rPr>
          <w:rFonts w:hint="eastAsia"/>
          <w:color w:val="auto"/>
          <w:sz w:val="24"/>
          <w:highlight w:val="none"/>
          <w:u w:val="single"/>
          <w:lang w:eastAsia="zh-CN"/>
        </w:rPr>
        <w:t>广东外语外贸大学学生宿舍修缮（2024年）项目施工总承包</w:t>
      </w:r>
      <w:r>
        <w:rPr>
          <w:rFonts w:hint="eastAsia" w:ascii="宋体" w:hAnsi="宋体"/>
          <w:color w:val="auto"/>
          <w:sz w:val="24"/>
          <w:highlight w:val="none"/>
        </w:rPr>
        <w:t>工程施工进行施工</w:t>
      </w:r>
      <w:r>
        <w:rPr>
          <w:rFonts w:hint="eastAsia"/>
          <w:color w:val="auto"/>
          <w:sz w:val="24"/>
          <w:highlight w:val="none"/>
        </w:rPr>
        <w:t>总承包</w:t>
      </w:r>
      <w:r>
        <w:rPr>
          <w:rFonts w:hint="eastAsia" w:ascii="宋体" w:hAnsi="宋体"/>
          <w:color w:val="auto"/>
          <w:sz w:val="24"/>
          <w:highlight w:val="none"/>
        </w:rPr>
        <w:t>公开招标，选定承包人。</w:t>
      </w:r>
    </w:p>
    <w:p>
      <w:pPr>
        <w:tabs>
          <w:tab w:val="center" w:pos="4415"/>
        </w:tabs>
        <w:spacing w:line="360" w:lineRule="auto"/>
        <w:ind w:firstLine="537" w:firstLineChars="224"/>
        <w:rPr>
          <w:rFonts w:hint="eastAsia" w:ascii="宋体" w:hAnsi="宋体"/>
          <w:color w:val="auto"/>
          <w:sz w:val="24"/>
          <w:highlight w:val="none"/>
        </w:rPr>
      </w:pPr>
      <w:r>
        <w:rPr>
          <w:rFonts w:hint="eastAsia" w:ascii="宋体" w:hAnsi="宋体"/>
          <w:color w:val="auto"/>
          <w:sz w:val="24"/>
          <w:highlight w:val="none"/>
        </w:rPr>
        <w:t>一、工程名称：</w:t>
      </w:r>
    </w:p>
    <w:p>
      <w:pPr>
        <w:keepNext w:val="0"/>
        <w:keepLines w:val="0"/>
        <w:pageBreakBefore w:val="0"/>
        <w:widowControl w:val="0"/>
        <w:numPr>
          <w:ilvl w:val="0"/>
          <w:numId w:val="0"/>
        </w:numPr>
        <w:tabs>
          <w:tab w:val="center" w:pos="4415"/>
        </w:tabs>
        <w:kinsoku/>
        <w:wordWrap/>
        <w:overflowPunct/>
        <w:topLinePunct w:val="0"/>
        <w:autoSpaceDE/>
        <w:autoSpaceDN/>
        <w:bidi w:val="0"/>
        <w:adjustRightInd/>
        <w:snapToGrid/>
        <w:spacing w:line="360" w:lineRule="auto"/>
        <w:ind w:firstLine="960" w:firstLineChars="400"/>
        <w:textAlignment w:val="auto"/>
        <w:rPr>
          <w:rFonts w:hint="eastAsia" w:ascii="宋体" w:hAnsi="宋体" w:cs="宋体"/>
          <w:bCs/>
          <w:sz w:val="24"/>
          <w:szCs w:val="24"/>
          <w:u w:val="single"/>
          <w:lang w:val="en-US" w:eastAsia="zh-CN"/>
        </w:rPr>
      </w:pPr>
      <w:r>
        <w:rPr>
          <w:rFonts w:hint="eastAsia" w:ascii="宋体" w:hAnsi="宋体" w:cs="宋体"/>
          <w:bCs/>
          <w:sz w:val="24"/>
          <w:szCs w:val="24"/>
          <w:u w:val="single"/>
          <w:lang w:val="en-US" w:eastAsia="zh-CN"/>
        </w:rPr>
        <w:t>标段一工程名称：广东外语外贸大学学生宿舍修缮（2024年）项目-白云山校区施工总承包</w:t>
      </w:r>
    </w:p>
    <w:p>
      <w:pPr>
        <w:keepNext w:val="0"/>
        <w:keepLines w:val="0"/>
        <w:pageBreakBefore w:val="0"/>
        <w:widowControl w:val="0"/>
        <w:numPr>
          <w:ilvl w:val="0"/>
          <w:numId w:val="0"/>
        </w:numPr>
        <w:tabs>
          <w:tab w:val="center" w:pos="4415"/>
        </w:tabs>
        <w:kinsoku/>
        <w:wordWrap/>
        <w:overflowPunct/>
        <w:topLinePunct w:val="0"/>
        <w:autoSpaceDE/>
        <w:autoSpaceDN/>
        <w:bidi w:val="0"/>
        <w:adjustRightInd/>
        <w:snapToGrid/>
        <w:spacing w:line="360" w:lineRule="auto"/>
        <w:ind w:firstLine="960" w:firstLineChars="400"/>
        <w:textAlignment w:val="auto"/>
        <w:rPr>
          <w:rFonts w:hint="default" w:ascii="宋体" w:hAnsi="宋体" w:eastAsia="宋体" w:cs="宋体"/>
          <w:bCs/>
          <w:sz w:val="24"/>
          <w:szCs w:val="24"/>
          <w:u w:val="single"/>
          <w:lang w:val="en-US" w:eastAsia="zh-CN"/>
        </w:rPr>
      </w:pPr>
      <w:r>
        <w:rPr>
          <w:rFonts w:hint="eastAsia" w:ascii="宋体" w:hAnsi="宋体" w:cs="宋体"/>
          <w:bCs/>
          <w:sz w:val="24"/>
          <w:szCs w:val="24"/>
          <w:u w:val="single"/>
          <w:lang w:val="en-US" w:eastAsia="zh-CN"/>
        </w:rPr>
        <w:t>标段二工程名称：广东外语外贸大学学生宿舍修缮（2024年）项目-大学城校区施工总承包</w:t>
      </w:r>
    </w:p>
    <w:p>
      <w:pPr>
        <w:tabs>
          <w:tab w:val="center" w:pos="4415"/>
        </w:tabs>
        <w:spacing w:line="360" w:lineRule="auto"/>
        <w:ind w:firstLine="1017" w:firstLineChars="424"/>
        <w:rPr>
          <w:rFonts w:hint="eastAsia" w:ascii="宋体"/>
          <w:color w:val="auto"/>
          <w:sz w:val="24"/>
          <w:highlight w:val="none"/>
        </w:rPr>
      </w:pPr>
      <w:r>
        <w:rPr>
          <w:rFonts w:hint="eastAsia" w:ascii="宋体"/>
          <w:color w:val="auto"/>
          <w:sz w:val="24"/>
          <w:highlight w:val="none"/>
        </w:rPr>
        <w:t>项目代码：</w:t>
      </w:r>
    </w:p>
    <w:p>
      <w:pPr>
        <w:keepNext w:val="0"/>
        <w:keepLines w:val="0"/>
        <w:pageBreakBefore w:val="0"/>
        <w:widowControl w:val="0"/>
        <w:numPr>
          <w:ilvl w:val="0"/>
          <w:numId w:val="0"/>
        </w:numPr>
        <w:tabs>
          <w:tab w:val="center" w:pos="4415"/>
        </w:tabs>
        <w:kinsoku/>
        <w:wordWrap/>
        <w:overflowPunct/>
        <w:topLinePunct w:val="0"/>
        <w:autoSpaceDE/>
        <w:autoSpaceDN/>
        <w:bidi w:val="0"/>
        <w:adjustRightInd/>
        <w:snapToGrid/>
        <w:spacing w:line="360" w:lineRule="auto"/>
        <w:ind w:firstLine="960" w:firstLineChars="400"/>
        <w:textAlignment w:val="auto"/>
        <w:rPr>
          <w:rFonts w:hint="eastAsia" w:ascii="宋体" w:hAnsi="宋体" w:cs="宋体"/>
          <w:bCs/>
          <w:sz w:val="24"/>
          <w:szCs w:val="24"/>
          <w:u w:val="single"/>
          <w:lang w:val="en-US" w:eastAsia="zh-CN"/>
        </w:rPr>
      </w:pPr>
      <w:r>
        <w:rPr>
          <w:rFonts w:hint="eastAsia" w:ascii="宋体" w:hAnsi="宋体" w:cs="宋体"/>
          <w:bCs/>
          <w:sz w:val="24"/>
          <w:szCs w:val="24"/>
          <w:u w:val="single"/>
          <w:lang w:val="en-US" w:eastAsia="zh-CN"/>
        </w:rPr>
        <w:t>标段一项目代码：2403-440111-04-01-632489</w:t>
      </w:r>
    </w:p>
    <w:p>
      <w:pPr>
        <w:keepNext w:val="0"/>
        <w:keepLines w:val="0"/>
        <w:pageBreakBefore w:val="0"/>
        <w:widowControl w:val="0"/>
        <w:numPr>
          <w:ilvl w:val="0"/>
          <w:numId w:val="0"/>
        </w:numPr>
        <w:tabs>
          <w:tab w:val="center" w:pos="4415"/>
        </w:tabs>
        <w:kinsoku/>
        <w:wordWrap/>
        <w:overflowPunct/>
        <w:topLinePunct w:val="0"/>
        <w:autoSpaceDE/>
        <w:autoSpaceDN/>
        <w:bidi w:val="0"/>
        <w:adjustRightInd/>
        <w:snapToGrid/>
        <w:spacing w:line="360" w:lineRule="auto"/>
        <w:ind w:firstLine="960" w:firstLineChars="400"/>
        <w:textAlignment w:val="auto"/>
        <w:rPr>
          <w:rFonts w:hint="default" w:ascii="宋体" w:hAnsi="宋体" w:eastAsia="宋体" w:cs="宋体"/>
          <w:bCs/>
          <w:sz w:val="24"/>
          <w:szCs w:val="24"/>
          <w:u w:val="single"/>
          <w:lang w:val="en-US" w:eastAsia="zh-CN"/>
        </w:rPr>
      </w:pPr>
      <w:r>
        <w:rPr>
          <w:rFonts w:hint="eastAsia" w:ascii="宋体" w:hAnsi="宋体" w:cs="宋体"/>
          <w:bCs/>
          <w:sz w:val="24"/>
          <w:szCs w:val="24"/>
          <w:u w:val="single"/>
          <w:lang w:val="en-US" w:eastAsia="zh-CN"/>
        </w:rPr>
        <w:t>标段二项目代码：2403-440113-04-01-358965</w:t>
      </w:r>
    </w:p>
    <w:p>
      <w:pPr>
        <w:spacing w:line="360" w:lineRule="auto"/>
        <w:ind w:firstLine="537" w:firstLineChars="224"/>
        <w:rPr>
          <w:rFonts w:hint="eastAsia" w:ascii="宋体" w:eastAsia="宋体"/>
          <w:color w:val="auto"/>
          <w:sz w:val="24"/>
          <w:highlight w:val="none"/>
          <w:u w:val="single"/>
          <w:lang w:eastAsia="zh-CN"/>
        </w:rPr>
      </w:pPr>
      <w:r>
        <w:rPr>
          <w:rFonts w:hint="eastAsia" w:ascii="宋体" w:hAnsi="宋体"/>
          <w:color w:val="auto"/>
          <w:sz w:val="24"/>
          <w:highlight w:val="none"/>
        </w:rPr>
        <w:t>二、招标单位：</w:t>
      </w:r>
      <w:r>
        <w:rPr>
          <w:rFonts w:hint="eastAsia" w:ascii="宋体" w:hAnsi="宋体" w:cs="宋体"/>
          <w:color w:val="auto"/>
          <w:sz w:val="24"/>
          <w:szCs w:val="24"/>
          <w:highlight w:val="none"/>
          <w:u w:val="single"/>
          <w:lang w:eastAsia="zh-CN"/>
        </w:rPr>
        <w:t>广东外语外贸大学</w:t>
      </w:r>
    </w:p>
    <w:p>
      <w:pPr>
        <w:spacing w:line="360" w:lineRule="auto"/>
        <w:ind w:firstLine="537" w:firstLineChars="224"/>
        <w:rPr>
          <w:rFonts w:hint="eastAsia" w:ascii="宋体" w:hAnsi="宋体" w:eastAsia="宋体"/>
          <w:color w:val="auto"/>
          <w:sz w:val="24"/>
          <w:highlight w:val="none"/>
          <w:u w:val="single"/>
          <w:lang w:eastAsia="zh-CN"/>
        </w:rPr>
      </w:pPr>
      <w:r>
        <w:rPr>
          <w:rFonts w:ascii="宋体" w:hAnsi="宋体"/>
          <w:color w:val="auto"/>
          <w:sz w:val="24"/>
          <w:highlight w:val="none"/>
        </w:rPr>
        <w:t xml:space="preserve">    </w:t>
      </w:r>
      <w:r>
        <w:rPr>
          <w:rFonts w:hint="eastAsia" w:ascii="宋体" w:hAnsi="宋体"/>
          <w:color w:val="auto"/>
          <w:sz w:val="24"/>
          <w:highlight w:val="none"/>
        </w:rPr>
        <w:t>联系人：</w:t>
      </w:r>
      <w:r>
        <w:rPr>
          <w:rFonts w:hint="eastAsia" w:ascii="宋体" w:hAnsi="宋体"/>
          <w:color w:val="auto"/>
          <w:sz w:val="24"/>
          <w:highlight w:val="none"/>
          <w:u w:val="single"/>
          <w:lang w:eastAsia="zh-CN"/>
        </w:rPr>
        <w:t>潘老师</w:t>
      </w:r>
      <w:r>
        <w:rPr>
          <w:rFonts w:ascii="宋体" w:hAnsi="宋体"/>
          <w:color w:val="auto"/>
          <w:sz w:val="24"/>
          <w:highlight w:val="none"/>
        </w:rPr>
        <w:t xml:space="preserve">      </w:t>
      </w:r>
      <w:r>
        <w:rPr>
          <w:rFonts w:hint="eastAsia" w:ascii="宋体" w:hAnsi="宋体"/>
          <w:color w:val="auto"/>
          <w:sz w:val="24"/>
          <w:highlight w:val="none"/>
        </w:rPr>
        <w:t>联系电话：</w:t>
      </w:r>
      <w:r>
        <w:rPr>
          <w:rFonts w:hint="eastAsia" w:ascii="宋体" w:hAnsi="宋体"/>
          <w:color w:val="auto"/>
          <w:sz w:val="24"/>
          <w:highlight w:val="none"/>
          <w:u w:val="single"/>
          <w:lang w:eastAsia="zh-CN"/>
        </w:rPr>
        <w:t>020-36207135</w:t>
      </w:r>
    </w:p>
    <w:p>
      <w:pPr>
        <w:spacing w:line="360" w:lineRule="auto"/>
        <w:ind w:firstLine="1015" w:firstLineChars="423"/>
        <w:rPr>
          <w:rFonts w:hint="eastAsia" w:ascii="宋体" w:hAnsi="宋体" w:eastAsia="宋体"/>
          <w:color w:val="auto"/>
          <w:sz w:val="24"/>
          <w:highlight w:val="none"/>
          <w:u w:val="single"/>
          <w:lang w:eastAsia="zh-CN"/>
        </w:rPr>
      </w:pPr>
      <w:r>
        <w:rPr>
          <w:rFonts w:hint="eastAsia" w:ascii="宋体" w:hAnsi="宋体"/>
          <w:color w:val="auto"/>
          <w:sz w:val="24"/>
          <w:highlight w:val="none"/>
        </w:rPr>
        <w:t>联系地址：</w:t>
      </w:r>
      <w:r>
        <w:rPr>
          <w:rFonts w:hint="eastAsia" w:ascii="宋体" w:hAnsi="宋体"/>
          <w:color w:val="auto"/>
          <w:sz w:val="24"/>
          <w:highlight w:val="none"/>
          <w:u w:val="single"/>
          <w:lang w:eastAsia="zh-CN"/>
        </w:rPr>
        <w:t>广州市白云区白云大道北2号</w:t>
      </w:r>
    </w:p>
    <w:p>
      <w:pPr>
        <w:spacing w:line="360" w:lineRule="auto"/>
        <w:ind w:left="420" w:leftChars="200" w:firstLine="537" w:firstLineChars="224"/>
        <w:rPr>
          <w:rFonts w:ascii="宋体"/>
          <w:color w:val="auto"/>
          <w:sz w:val="24"/>
          <w:highlight w:val="none"/>
          <w:u w:val="single"/>
        </w:rPr>
      </w:pPr>
      <w:r>
        <w:rPr>
          <w:rFonts w:hint="eastAsia" w:ascii="宋体" w:hAnsi="宋体"/>
          <w:color w:val="auto"/>
          <w:sz w:val="24"/>
          <w:highlight w:val="none"/>
        </w:rPr>
        <w:t>招标代理机构：</w:t>
      </w:r>
      <w:r>
        <w:rPr>
          <w:rFonts w:hint="eastAsia" w:ascii="宋体" w:hAnsi="宋体"/>
          <w:color w:val="auto"/>
          <w:sz w:val="24"/>
          <w:szCs w:val="24"/>
          <w:highlight w:val="none"/>
          <w:u w:val="single"/>
        </w:rPr>
        <w:t>北京中交建设工程咨询有限公司</w:t>
      </w:r>
    </w:p>
    <w:p>
      <w:pPr>
        <w:spacing w:line="360" w:lineRule="auto"/>
        <w:ind w:firstLine="537" w:firstLineChars="224"/>
        <w:rPr>
          <w:rFonts w:hint="default" w:ascii="宋体" w:hAnsi="宋体" w:eastAsia="宋体"/>
          <w:color w:val="auto"/>
          <w:sz w:val="24"/>
          <w:highlight w:val="none"/>
          <w:u w:val="single"/>
          <w:lang w:val="en-US" w:eastAsia="zh-CN"/>
        </w:rPr>
      </w:pPr>
      <w:r>
        <w:rPr>
          <w:rFonts w:ascii="宋体" w:hAnsi="宋体"/>
          <w:color w:val="auto"/>
          <w:sz w:val="24"/>
          <w:highlight w:val="none"/>
        </w:rPr>
        <w:t xml:space="preserve">    </w:t>
      </w:r>
      <w:r>
        <w:rPr>
          <w:rFonts w:hint="eastAsia" w:ascii="宋体" w:hAnsi="宋体"/>
          <w:color w:val="auto"/>
          <w:sz w:val="24"/>
          <w:highlight w:val="none"/>
        </w:rPr>
        <w:t>联系人：</w:t>
      </w:r>
      <w:r>
        <w:rPr>
          <w:rFonts w:hint="eastAsia" w:ascii="宋体" w:hAnsi="宋体"/>
          <w:color w:val="auto"/>
          <w:sz w:val="24"/>
          <w:highlight w:val="none"/>
          <w:u w:val="single"/>
          <w:lang w:val="en-US" w:eastAsia="zh-CN"/>
        </w:rPr>
        <w:t>罗</w:t>
      </w:r>
      <w:r>
        <w:rPr>
          <w:rFonts w:hint="eastAsia" w:ascii="宋体" w:hAnsi="宋体"/>
          <w:color w:val="auto"/>
          <w:sz w:val="24"/>
          <w:highlight w:val="none"/>
          <w:u w:val="single"/>
        </w:rPr>
        <w:t>工</w:t>
      </w:r>
      <w:r>
        <w:rPr>
          <w:rFonts w:hint="eastAsia" w:ascii="宋体" w:hAnsi="宋体"/>
          <w:color w:val="auto"/>
          <w:sz w:val="24"/>
          <w:highlight w:val="none"/>
          <w:u w:val="single"/>
          <w:lang w:eastAsia="zh-CN"/>
        </w:rPr>
        <w:t>、</w:t>
      </w:r>
      <w:r>
        <w:rPr>
          <w:rFonts w:hint="eastAsia" w:ascii="宋体" w:hAnsi="宋体"/>
          <w:color w:val="auto"/>
          <w:sz w:val="24"/>
          <w:highlight w:val="none"/>
          <w:u w:val="single"/>
          <w:lang w:val="en-US" w:eastAsia="zh-CN"/>
        </w:rPr>
        <w:t>方工</w:t>
      </w:r>
      <w:r>
        <w:rPr>
          <w:rFonts w:ascii="宋体" w:hAnsi="宋体"/>
          <w:color w:val="auto"/>
          <w:sz w:val="24"/>
          <w:highlight w:val="none"/>
        </w:rPr>
        <w:t xml:space="preserve">      </w:t>
      </w:r>
      <w:r>
        <w:rPr>
          <w:rFonts w:hint="eastAsia" w:ascii="宋体" w:hAnsi="宋体"/>
          <w:color w:val="auto"/>
          <w:sz w:val="24"/>
          <w:highlight w:val="none"/>
        </w:rPr>
        <w:t>联系电话：</w:t>
      </w:r>
      <w:r>
        <w:rPr>
          <w:rFonts w:hint="eastAsia" w:ascii="宋体" w:hAnsi="宋体"/>
          <w:color w:val="auto"/>
          <w:sz w:val="24"/>
          <w:highlight w:val="none"/>
          <w:u w:val="single"/>
          <w:lang w:eastAsia="zh-CN"/>
        </w:rPr>
        <w:t>020-87575800转8</w:t>
      </w:r>
      <w:r>
        <w:rPr>
          <w:rFonts w:hint="eastAsia" w:ascii="宋体" w:hAnsi="宋体"/>
          <w:color w:val="auto"/>
          <w:sz w:val="24"/>
          <w:highlight w:val="none"/>
          <w:u w:val="single"/>
          <w:lang w:val="en-US" w:eastAsia="zh-CN"/>
        </w:rPr>
        <w:t>10</w:t>
      </w:r>
    </w:p>
    <w:p>
      <w:pPr>
        <w:spacing w:line="360" w:lineRule="auto"/>
        <w:ind w:firstLine="1015" w:firstLineChars="423"/>
        <w:rPr>
          <w:color w:val="auto"/>
          <w:highlight w:val="none"/>
        </w:rPr>
      </w:pPr>
      <w:r>
        <w:rPr>
          <w:rFonts w:hint="eastAsia" w:ascii="宋体" w:hAnsi="宋体"/>
          <w:color w:val="auto"/>
          <w:sz w:val="24"/>
          <w:highlight w:val="none"/>
        </w:rPr>
        <w:t>联系地址：</w:t>
      </w:r>
      <w:r>
        <w:rPr>
          <w:rFonts w:hint="eastAsia" w:ascii="宋体" w:hAnsi="宋体" w:eastAsia="宋体" w:cs="宋体"/>
          <w:color w:val="auto"/>
          <w:sz w:val="24"/>
          <w:highlight w:val="none"/>
          <w:u w:val="single"/>
        </w:rPr>
        <w:t>广州市天河区黄埔大道西159号富星商贸大厦西塔7楼</w:t>
      </w:r>
    </w:p>
    <w:p>
      <w:pPr>
        <w:spacing w:line="360" w:lineRule="auto"/>
        <w:ind w:firstLine="537" w:firstLineChars="224"/>
        <w:rPr>
          <w:rFonts w:asci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招标监督机构：</w:t>
      </w:r>
      <w:r>
        <w:rPr>
          <w:rFonts w:hint="eastAsia" w:ascii="宋体" w:hAnsi="宋体"/>
          <w:color w:val="auto"/>
          <w:sz w:val="24"/>
          <w:highlight w:val="none"/>
          <w:u w:val="single"/>
        </w:rPr>
        <w:t>广州市建设工程招标管理办公室</w:t>
      </w:r>
    </w:p>
    <w:p>
      <w:pPr>
        <w:spacing w:line="360" w:lineRule="auto"/>
        <w:ind w:firstLine="537" w:firstLineChars="224"/>
        <w:rPr>
          <w:rFonts w:ascii="宋体" w:hAnsi="宋体"/>
          <w:color w:val="auto"/>
          <w:sz w:val="24"/>
          <w:highlight w:val="none"/>
          <w:u w:val="single"/>
        </w:rPr>
      </w:pPr>
      <w:r>
        <w:rPr>
          <w:rFonts w:ascii="宋体" w:hAnsi="宋体"/>
          <w:color w:val="auto"/>
          <w:sz w:val="24"/>
          <w:highlight w:val="none"/>
        </w:rPr>
        <w:t xml:space="preserve">    </w:t>
      </w:r>
      <w:r>
        <w:rPr>
          <w:rFonts w:hint="eastAsia" w:ascii="宋体" w:hAnsi="宋体"/>
          <w:color w:val="auto"/>
          <w:sz w:val="24"/>
          <w:highlight w:val="none"/>
        </w:rPr>
        <w:t>监督电话：</w:t>
      </w:r>
      <w:r>
        <w:rPr>
          <w:rFonts w:ascii="宋体" w:hAnsi="宋体"/>
          <w:color w:val="auto"/>
          <w:sz w:val="24"/>
          <w:highlight w:val="none"/>
          <w:u w:val="single"/>
        </w:rPr>
        <w:t>020-288662</w:t>
      </w:r>
      <w:r>
        <w:rPr>
          <w:rFonts w:hint="eastAsia" w:ascii="宋体" w:hAnsi="宋体"/>
          <w:color w:val="auto"/>
          <w:sz w:val="24"/>
          <w:highlight w:val="none"/>
          <w:u w:val="single"/>
        </w:rPr>
        <w:t>13</w:t>
      </w:r>
    </w:p>
    <w:p>
      <w:pPr>
        <w:spacing w:line="360" w:lineRule="auto"/>
        <w:ind w:firstLine="1015" w:firstLineChars="423"/>
        <w:rPr>
          <w:color w:val="auto"/>
          <w:highlight w:val="none"/>
        </w:rPr>
      </w:pPr>
      <w:r>
        <w:rPr>
          <w:rFonts w:hint="eastAsia" w:ascii="宋体" w:hAnsi="宋体"/>
          <w:color w:val="auto"/>
          <w:sz w:val="24"/>
          <w:highlight w:val="none"/>
        </w:rPr>
        <w:t>联系地址：</w:t>
      </w:r>
      <w:r>
        <w:rPr>
          <w:rFonts w:hint="eastAsia" w:asciiTheme="minorEastAsia" w:hAnsiTheme="minorEastAsia" w:eastAsiaTheme="minorEastAsia" w:cstheme="minorEastAsia"/>
          <w:color w:val="auto"/>
          <w:sz w:val="24"/>
          <w:highlight w:val="none"/>
          <w:u w:val="single"/>
        </w:rPr>
        <w:t>广州市天河区天润路333号3楼</w:t>
      </w:r>
    </w:p>
    <w:p>
      <w:pPr>
        <w:spacing w:line="360" w:lineRule="auto"/>
        <w:ind w:firstLine="537" w:firstLineChars="224"/>
        <w:rPr>
          <w:rFonts w:hint="eastAsia" w:ascii="宋体" w:hAnsi="宋体"/>
          <w:color w:val="auto"/>
          <w:sz w:val="24"/>
          <w:highlight w:val="none"/>
        </w:rPr>
      </w:pPr>
      <w:r>
        <w:rPr>
          <w:rFonts w:hint="eastAsia" w:ascii="宋体" w:hAnsi="宋体"/>
          <w:color w:val="auto"/>
          <w:sz w:val="24"/>
          <w:highlight w:val="none"/>
        </w:rPr>
        <w:t>三、建设地点：</w:t>
      </w:r>
    </w:p>
    <w:p>
      <w:pPr>
        <w:spacing w:line="360" w:lineRule="auto"/>
        <w:ind w:firstLine="1015" w:firstLineChars="423"/>
        <w:rPr>
          <w:rFonts w:hint="eastAsia" w:ascii="宋体" w:hAnsi="宋体" w:eastAsia="宋体" w:cs="Times New Roman"/>
          <w:color w:val="auto"/>
          <w:sz w:val="24"/>
          <w:highlight w:val="none"/>
          <w:u w:val="single"/>
        </w:rPr>
      </w:pPr>
      <w:r>
        <w:rPr>
          <w:rFonts w:hint="eastAsia" w:ascii="宋体" w:hAnsi="宋体" w:eastAsia="宋体" w:cs="Times New Roman"/>
          <w:color w:val="auto"/>
          <w:sz w:val="24"/>
          <w:highlight w:val="none"/>
        </w:rPr>
        <w:t>标段一：</w:t>
      </w:r>
      <w:r>
        <w:rPr>
          <w:rFonts w:hint="eastAsia" w:ascii="宋体" w:hAnsi="宋体" w:eastAsia="宋体" w:cs="Times New Roman"/>
          <w:color w:val="auto"/>
          <w:sz w:val="24"/>
          <w:highlight w:val="none"/>
          <w:u w:val="single"/>
        </w:rPr>
        <w:t>广东外语外贸大学白云山校区</w:t>
      </w:r>
    </w:p>
    <w:p>
      <w:pPr>
        <w:spacing w:line="360" w:lineRule="auto"/>
        <w:ind w:firstLine="1015" w:firstLineChars="423"/>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标段二：</w:t>
      </w:r>
      <w:r>
        <w:rPr>
          <w:rFonts w:hint="eastAsia" w:ascii="宋体" w:hAnsi="宋体" w:eastAsia="宋体" w:cs="Times New Roman"/>
          <w:color w:val="auto"/>
          <w:sz w:val="24"/>
          <w:highlight w:val="none"/>
          <w:u w:val="single"/>
        </w:rPr>
        <w:t>广东外语外贸大学大学城校区</w:t>
      </w:r>
    </w:p>
    <w:p>
      <w:pPr>
        <w:numPr>
          <w:ilvl w:val="0"/>
          <w:numId w:val="0"/>
        </w:numPr>
        <w:spacing w:line="360" w:lineRule="auto"/>
        <w:ind w:firstLine="537" w:firstLineChars="224"/>
        <w:rPr>
          <w:rFonts w:hint="eastAsia" w:ascii="宋体" w:hAnsi="宋体"/>
          <w:color w:val="auto"/>
          <w:sz w:val="24"/>
          <w:highlight w:val="none"/>
        </w:rPr>
      </w:pPr>
      <w:r>
        <w:rPr>
          <w:rFonts w:hint="eastAsia" w:ascii="宋体" w:hAnsi="宋体" w:eastAsia="宋体" w:cs="Times New Roman"/>
          <w:color w:val="auto"/>
          <w:kern w:val="2"/>
          <w:sz w:val="24"/>
          <w:szCs w:val="22"/>
          <w:lang w:val="en-US" w:eastAsia="zh-CN" w:bidi="ar-SA"/>
        </w:rPr>
        <w:t>四、</w:t>
      </w:r>
      <w:r>
        <w:rPr>
          <w:rFonts w:hint="eastAsia" w:ascii="宋体" w:hAnsi="宋体"/>
          <w:color w:val="auto"/>
          <w:sz w:val="24"/>
          <w:highlight w:val="none"/>
        </w:rPr>
        <w:t>项目概况：</w:t>
      </w:r>
    </w:p>
    <w:p>
      <w:pPr>
        <w:numPr>
          <w:ilvl w:val="0"/>
          <w:numId w:val="0"/>
        </w:numPr>
        <w:spacing w:line="360" w:lineRule="auto"/>
        <w:ind w:firstLine="537" w:firstLineChars="224"/>
        <w:rPr>
          <w:rFonts w:hint="eastAsia" w:ascii="宋体" w:hAnsi="宋体"/>
          <w:color w:val="auto"/>
          <w:sz w:val="24"/>
          <w:highlight w:val="none"/>
          <w:u w:val="single"/>
        </w:rPr>
      </w:pPr>
      <w:r>
        <w:rPr>
          <w:rFonts w:hint="eastAsia" w:ascii="宋体" w:hAnsi="宋体"/>
          <w:color w:val="auto"/>
          <w:sz w:val="24"/>
          <w:highlight w:val="none"/>
          <w:u w:val="single"/>
        </w:rPr>
        <w:t>白云山校区宿舍修缮占地面积约700平米，建筑面积约2300平米，内容为对学生宿舍第7栋宿舍修缮翻新</w:t>
      </w:r>
      <w:r>
        <w:rPr>
          <w:rFonts w:hint="eastAsia" w:ascii="宋体" w:hAnsi="宋体"/>
          <w:color w:val="auto"/>
          <w:sz w:val="24"/>
          <w:highlight w:val="none"/>
          <w:u w:val="single"/>
          <w:lang w:eastAsia="zh-CN"/>
        </w:rPr>
        <w:t>，</w:t>
      </w:r>
      <w:r>
        <w:rPr>
          <w:rFonts w:hint="eastAsia" w:ascii="宋体" w:hAnsi="宋体"/>
          <w:color w:val="auto"/>
          <w:sz w:val="24"/>
          <w:highlight w:val="none"/>
          <w:u w:val="single"/>
          <w:lang w:val="en-US" w:eastAsia="zh-CN"/>
        </w:rPr>
        <w:t>涉及工程内容包括主体结构、装修装饰、给水排水、电气、防雷等工程</w:t>
      </w:r>
      <w:r>
        <w:rPr>
          <w:rFonts w:hint="eastAsia" w:ascii="宋体" w:hAnsi="宋体"/>
          <w:color w:val="auto"/>
          <w:sz w:val="24"/>
          <w:highlight w:val="none"/>
          <w:u w:val="single"/>
        </w:rPr>
        <w:t>，</w:t>
      </w:r>
      <w:r>
        <w:rPr>
          <w:rFonts w:hint="eastAsia" w:ascii="宋体" w:hAnsi="宋体"/>
          <w:color w:val="auto"/>
          <w:sz w:val="24"/>
          <w:highlight w:val="none"/>
          <w:u w:val="single"/>
          <w:lang w:val="en-US" w:eastAsia="zh-CN"/>
        </w:rPr>
        <w:t>具体</w:t>
      </w:r>
      <w:r>
        <w:rPr>
          <w:rFonts w:hint="eastAsia" w:ascii="宋体" w:hAnsi="宋体"/>
          <w:color w:val="auto"/>
          <w:sz w:val="24"/>
          <w:highlight w:val="none"/>
          <w:u w:val="single"/>
        </w:rPr>
        <w:t>包括原公共卫生间改造成宿舍</w:t>
      </w:r>
      <w:r>
        <w:rPr>
          <w:rFonts w:hint="eastAsia" w:ascii="宋体" w:hAnsi="宋体"/>
          <w:color w:val="auto"/>
          <w:sz w:val="24"/>
          <w:highlight w:val="none"/>
          <w:u w:val="single"/>
          <w:lang w:val="en-US" w:eastAsia="zh-CN"/>
        </w:rPr>
        <w:t>与</w:t>
      </w:r>
      <w:r>
        <w:rPr>
          <w:rFonts w:hint="eastAsia" w:ascii="宋体" w:hAnsi="宋体"/>
          <w:color w:val="auto"/>
          <w:sz w:val="24"/>
          <w:highlight w:val="none"/>
          <w:u w:val="single"/>
        </w:rPr>
        <w:t>独立卫生间，</w:t>
      </w:r>
      <w:r>
        <w:rPr>
          <w:rFonts w:hint="eastAsia" w:ascii="宋体" w:hAnsi="宋体"/>
          <w:color w:val="auto"/>
          <w:sz w:val="24"/>
          <w:highlight w:val="none"/>
          <w:u w:val="single"/>
          <w:lang w:val="en-US" w:eastAsia="zh-CN"/>
        </w:rPr>
        <w:t>宿舍北侧加建阳台及</w:t>
      </w:r>
      <w:r>
        <w:rPr>
          <w:rFonts w:hint="eastAsia" w:ascii="宋体" w:hAnsi="宋体"/>
          <w:color w:val="auto"/>
          <w:sz w:val="24"/>
          <w:highlight w:val="none"/>
          <w:u w:val="single"/>
        </w:rPr>
        <w:t>独立卫生间</w:t>
      </w:r>
      <w:r>
        <w:rPr>
          <w:rFonts w:hint="eastAsia" w:ascii="宋体" w:hAnsi="宋体"/>
          <w:color w:val="auto"/>
          <w:sz w:val="24"/>
          <w:highlight w:val="none"/>
          <w:u w:val="single"/>
          <w:lang w:eastAsia="zh-CN"/>
        </w:rPr>
        <w:t>（</w:t>
      </w:r>
      <w:r>
        <w:rPr>
          <w:rFonts w:hint="eastAsia" w:ascii="宋体" w:hAnsi="宋体"/>
          <w:color w:val="auto"/>
          <w:sz w:val="24"/>
          <w:highlight w:val="none"/>
          <w:u w:val="single"/>
          <w:lang w:val="en-US" w:eastAsia="zh-CN"/>
        </w:rPr>
        <w:t>含基础、结构、装饰、水电各专业</w:t>
      </w:r>
      <w:r>
        <w:rPr>
          <w:rFonts w:hint="eastAsia" w:ascii="宋体" w:hAnsi="宋体"/>
          <w:color w:val="auto"/>
          <w:sz w:val="24"/>
          <w:highlight w:val="none"/>
          <w:u w:val="single"/>
          <w:lang w:eastAsia="zh-CN"/>
        </w:rPr>
        <w:t>）</w:t>
      </w:r>
      <w:r>
        <w:rPr>
          <w:rFonts w:hint="eastAsia" w:ascii="宋体" w:hAnsi="宋体"/>
          <w:color w:val="auto"/>
          <w:sz w:val="24"/>
          <w:highlight w:val="none"/>
          <w:u w:val="single"/>
        </w:rPr>
        <w:t>、</w:t>
      </w:r>
      <w:r>
        <w:rPr>
          <w:rFonts w:hint="eastAsia" w:ascii="宋体" w:hAnsi="宋体"/>
          <w:color w:val="auto"/>
          <w:sz w:val="24"/>
          <w:highlight w:val="none"/>
          <w:u w:val="single"/>
          <w:lang w:val="en-US" w:eastAsia="zh-CN"/>
        </w:rPr>
        <w:t>全部门窗更换，室内调整插座位、网络端口等。</w:t>
      </w:r>
      <w:r>
        <w:rPr>
          <w:rFonts w:hint="eastAsia" w:ascii="宋体" w:hAnsi="宋体"/>
          <w:color w:val="auto"/>
          <w:sz w:val="24"/>
          <w:highlight w:val="none"/>
          <w:u w:val="single"/>
        </w:rPr>
        <w:t>具体详见图纸及工程量清单。</w:t>
      </w:r>
    </w:p>
    <w:p>
      <w:pPr>
        <w:numPr>
          <w:ilvl w:val="0"/>
          <w:numId w:val="0"/>
        </w:numPr>
        <w:spacing w:line="360" w:lineRule="auto"/>
        <w:ind w:firstLine="537" w:firstLineChars="224"/>
        <w:rPr>
          <w:rFonts w:hint="eastAsia" w:ascii="宋体" w:hAnsi="宋体"/>
          <w:color w:val="auto"/>
          <w:sz w:val="24"/>
          <w:highlight w:val="none"/>
          <w:u w:val="single"/>
        </w:rPr>
      </w:pPr>
      <w:r>
        <w:rPr>
          <w:rFonts w:hint="eastAsia" w:ascii="宋体" w:hAnsi="宋体"/>
          <w:color w:val="auto"/>
          <w:sz w:val="24"/>
          <w:highlight w:val="none"/>
          <w:u w:val="single"/>
        </w:rPr>
        <w:t>大学城校区宿舍修缮占地面积约3547平米，建筑面积约24232平米，内容为友苑A区、B区宿舍修缮翻新，</w:t>
      </w:r>
      <w:r>
        <w:rPr>
          <w:rFonts w:hint="eastAsia" w:ascii="宋体" w:hAnsi="宋体"/>
          <w:color w:val="auto"/>
          <w:sz w:val="24"/>
          <w:highlight w:val="none"/>
          <w:u w:val="single"/>
          <w:lang w:val="en-US" w:eastAsia="zh-CN"/>
        </w:rPr>
        <w:t>涉及工程内容包括装修装饰、给水排水、电气等工程</w:t>
      </w:r>
      <w:r>
        <w:rPr>
          <w:rFonts w:hint="eastAsia" w:ascii="宋体" w:hAnsi="宋体"/>
          <w:color w:val="auto"/>
          <w:sz w:val="24"/>
          <w:highlight w:val="none"/>
          <w:u w:val="single"/>
        </w:rPr>
        <w:t>，</w:t>
      </w:r>
      <w:r>
        <w:rPr>
          <w:rFonts w:hint="eastAsia" w:ascii="宋体" w:hAnsi="宋体"/>
          <w:color w:val="auto"/>
          <w:sz w:val="24"/>
          <w:highlight w:val="none"/>
          <w:u w:val="single"/>
          <w:lang w:val="en-US" w:eastAsia="zh-CN"/>
        </w:rPr>
        <w:t>具体</w:t>
      </w:r>
      <w:r>
        <w:rPr>
          <w:rFonts w:hint="eastAsia" w:ascii="宋体" w:hAnsi="宋体"/>
          <w:color w:val="auto"/>
          <w:sz w:val="24"/>
          <w:highlight w:val="none"/>
          <w:u w:val="single"/>
        </w:rPr>
        <w:t>包括粉刷、防水补漏、水电线路更换等。具体详见图纸及工程量清单。</w:t>
      </w:r>
    </w:p>
    <w:p>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五、标段划分及招标内容、规模和最高投标限价：</w:t>
      </w:r>
    </w:p>
    <w:p>
      <w:pPr>
        <w:spacing w:line="360" w:lineRule="auto"/>
        <w:ind w:firstLine="537" w:firstLineChars="224"/>
        <w:rPr>
          <w:rFonts w:hint="eastAsia" w:ascii="宋体" w:hAnsi="宋体"/>
          <w:color w:val="auto"/>
          <w:sz w:val="24"/>
          <w:highlight w:val="none"/>
        </w:rPr>
      </w:pPr>
      <w:r>
        <w:rPr>
          <w:rFonts w:hint="eastAsia" w:ascii="宋体" w:hAnsi="宋体"/>
          <w:color w:val="auto"/>
          <w:sz w:val="24"/>
          <w:highlight w:val="none"/>
        </w:rPr>
        <w:t>1、本工程划分为</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2</w:t>
      </w:r>
      <w:r>
        <w:rPr>
          <w:rFonts w:hint="eastAsia" w:ascii="宋体" w:hAnsi="宋体"/>
          <w:color w:val="auto"/>
          <w:sz w:val="24"/>
          <w:highlight w:val="none"/>
          <w:u w:val="single"/>
        </w:rPr>
        <w:t xml:space="preserve"> </w:t>
      </w:r>
      <w:r>
        <w:rPr>
          <w:rFonts w:hint="eastAsia" w:ascii="宋体" w:hAnsi="宋体"/>
          <w:color w:val="auto"/>
          <w:sz w:val="24"/>
          <w:highlight w:val="none"/>
        </w:rPr>
        <w:t>个标段。</w:t>
      </w:r>
    </w:p>
    <w:p>
      <w:pPr>
        <w:pStyle w:val="2"/>
        <w:rPr>
          <w:rFonts w:hint="eastAsia"/>
          <w:color w:val="auto"/>
        </w:rPr>
      </w:pPr>
    </w:p>
    <w:tbl>
      <w:tblPr>
        <w:tblStyle w:val="11"/>
        <w:tblW w:w="50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5352"/>
        <w:gridCol w:w="1717"/>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520" w:type="pct"/>
            <w:noWrap w:val="0"/>
            <w:vAlign w:val="center"/>
          </w:tcPr>
          <w:p>
            <w:pPr>
              <w:keepNext w:val="0"/>
              <w:keepLines w:val="0"/>
              <w:pageBreakBefore w:val="0"/>
              <w:kinsoku/>
              <w:overflowPunct/>
              <w:topLinePunct w:val="0"/>
              <w:autoSpaceDE/>
              <w:autoSpaceDN/>
              <w:bidi w:val="0"/>
              <w:adjustRightInd/>
              <w:spacing w:line="360" w:lineRule="auto"/>
              <w:jc w:val="center"/>
              <w:rPr>
                <w:rFonts w:ascii="宋体" w:hAnsi="宋体"/>
                <w:b/>
                <w:color w:val="auto"/>
                <w:sz w:val="24"/>
                <w:szCs w:val="24"/>
              </w:rPr>
            </w:pPr>
            <w:r>
              <w:rPr>
                <w:rFonts w:hint="eastAsia" w:ascii="宋体" w:hAnsi="宋体"/>
                <w:b/>
                <w:color w:val="auto"/>
                <w:sz w:val="24"/>
                <w:szCs w:val="24"/>
              </w:rPr>
              <w:t>标段划分</w:t>
            </w:r>
          </w:p>
        </w:tc>
        <w:tc>
          <w:tcPr>
            <w:tcW w:w="2853" w:type="pct"/>
            <w:noWrap w:val="0"/>
            <w:vAlign w:val="center"/>
          </w:tcPr>
          <w:p>
            <w:pPr>
              <w:keepNext w:val="0"/>
              <w:keepLines w:val="0"/>
              <w:pageBreakBefore w:val="0"/>
              <w:kinsoku/>
              <w:overflowPunct/>
              <w:topLinePunct w:val="0"/>
              <w:autoSpaceDE/>
              <w:autoSpaceDN/>
              <w:bidi w:val="0"/>
              <w:adjustRightInd/>
              <w:spacing w:line="360" w:lineRule="auto"/>
              <w:jc w:val="center"/>
              <w:rPr>
                <w:rFonts w:hint="default" w:ascii="宋体" w:hAnsi="宋体" w:eastAsia="宋体"/>
                <w:b/>
                <w:color w:val="auto"/>
                <w:sz w:val="24"/>
                <w:szCs w:val="24"/>
                <w:lang w:val="en-US" w:eastAsia="zh-CN"/>
              </w:rPr>
            </w:pPr>
            <w:r>
              <w:rPr>
                <w:rFonts w:hint="eastAsia" w:ascii="宋体" w:hAnsi="宋体"/>
                <w:b/>
                <w:color w:val="auto"/>
                <w:sz w:val="24"/>
                <w:szCs w:val="24"/>
                <w:lang w:val="en-US" w:eastAsia="zh-CN"/>
              </w:rPr>
              <w:t>标段内容</w:t>
            </w:r>
          </w:p>
        </w:tc>
        <w:tc>
          <w:tcPr>
            <w:tcW w:w="915" w:type="pct"/>
            <w:noWrap w:val="0"/>
            <w:vAlign w:val="center"/>
          </w:tcPr>
          <w:p>
            <w:pPr>
              <w:keepNext w:val="0"/>
              <w:keepLines w:val="0"/>
              <w:pageBreakBefore w:val="0"/>
              <w:kinsoku/>
              <w:overflowPunct/>
              <w:topLinePunct w:val="0"/>
              <w:autoSpaceDE/>
              <w:autoSpaceDN/>
              <w:bidi w:val="0"/>
              <w:adjustRightInd/>
              <w:spacing w:line="360" w:lineRule="auto"/>
              <w:jc w:val="center"/>
              <w:rPr>
                <w:rFonts w:hint="eastAsia" w:ascii="宋体" w:hAnsi="宋体"/>
                <w:b/>
                <w:color w:val="auto"/>
                <w:sz w:val="24"/>
                <w:szCs w:val="24"/>
                <w:highlight w:val="yellow"/>
              </w:rPr>
            </w:pPr>
            <w:r>
              <w:rPr>
                <w:rFonts w:hint="eastAsia" w:ascii="宋体" w:hAnsi="宋体"/>
                <w:b/>
                <w:color w:val="auto"/>
                <w:sz w:val="24"/>
                <w:szCs w:val="24"/>
                <w:highlight w:val="none"/>
              </w:rPr>
              <w:t>最高投标限价（元）</w:t>
            </w:r>
          </w:p>
        </w:tc>
        <w:tc>
          <w:tcPr>
            <w:tcW w:w="710" w:type="pct"/>
            <w:noWrap w:val="0"/>
            <w:vAlign w:val="center"/>
          </w:tcPr>
          <w:p>
            <w:pPr>
              <w:keepNext w:val="0"/>
              <w:keepLines w:val="0"/>
              <w:pageBreakBefore w:val="0"/>
              <w:kinsoku/>
              <w:overflowPunct/>
              <w:topLinePunct w:val="0"/>
              <w:autoSpaceDE/>
              <w:autoSpaceDN/>
              <w:bidi w:val="0"/>
              <w:adjustRightInd/>
              <w:spacing w:line="360" w:lineRule="auto"/>
              <w:jc w:val="center"/>
              <w:rPr>
                <w:rFonts w:hint="eastAsia" w:ascii="宋体" w:hAnsi="宋体" w:eastAsia="宋体"/>
                <w:b/>
                <w:color w:val="auto"/>
                <w:sz w:val="24"/>
                <w:szCs w:val="24"/>
                <w:highlight w:val="none"/>
                <w:lang w:val="en-US" w:eastAsia="zh-CN"/>
              </w:rPr>
            </w:pPr>
            <w:r>
              <w:rPr>
                <w:rFonts w:hint="eastAsia" w:ascii="宋体" w:hAnsi="宋体"/>
                <w:b/>
                <w:color w:val="auto"/>
                <w:sz w:val="24"/>
                <w:szCs w:val="24"/>
                <w:highlight w:val="none"/>
                <w:lang w:val="en-US" w:eastAsia="zh-CN"/>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520" w:type="pct"/>
            <w:noWrap w:val="0"/>
            <w:vAlign w:val="center"/>
          </w:tcPr>
          <w:p>
            <w:pPr>
              <w:keepNext w:val="0"/>
              <w:keepLines w:val="0"/>
              <w:pageBreakBefore w:val="0"/>
              <w:kinsoku/>
              <w:overflowPunct/>
              <w:topLinePunct w:val="0"/>
              <w:autoSpaceDE/>
              <w:autoSpaceDN/>
              <w:bidi w:val="0"/>
              <w:adjustRightInd/>
              <w:spacing w:line="360" w:lineRule="auto"/>
              <w:jc w:val="center"/>
              <w:rPr>
                <w:rFonts w:hint="eastAsia" w:ascii="宋体" w:hAnsi="宋体" w:eastAsia="宋体"/>
                <w:b/>
                <w:color w:val="auto"/>
                <w:sz w:val="24"/>
                <w:szCs w:val="24"/>
                <w:lang w:eastAsia="zh-CN"/>
              </w:rPr>
            </w:pPr>
            <w:bookmarkStart w:id="0" w:name="OLE_LINK1" w:colFirst="2" w:colLast="2"/>
            <w:r>
              <w:rPr>
                <w:rFonts w:hint="eastAsia" w:ascii="宋体" w:hAnsi="宋体"/>
                <w:b/>
                <w:color w:val="auto"/>
                <w:sz w:val="24"/>
                <w:szCs w:val="24"/>
              </w:rPr>
              <w:t>标段</w:t>
            </w:r>
            <w:r>
              <w:rPr>
                <w:rFonts w:hint="eastAsia" w:ascii="宋体" w:hAnsi="宋体"/>
                <w:b/>
                <w:color w:val="auto"/>
                <w:sz w:val="24"/>
                <w:szCs w:val="24"/>
                <w:lang w:val="en-US" w:eastAsia="zh-CN"/>
              </w:rPr>
              <w:t>一</w:t>
            </w:r>
          </w:p>
        </w:tc>
        <w:tc>
          <w:tcPr>
            <w:tcW w:w="2853" w:type="pct"/>
            <w:noWrap w:val="0"/>
            <w:vAlign w:val="center"/>
          </w:tcPr>
          <w:p>
            <w:pPr>
              <w:keepNext w:val="0"/>
              <w:keepLines w:val="0"/>
              <w:pageBreakBefore w:val="0"/>
              <w:widowControl/>
              <w:numPr>
                <w:ilvl w:val="0"/>
                <w:numId w:val="0"/>
              </w:numPr>
              <w:suppressLineNumbers w:val="0"/>
              <w:kinsoku/>
              <w:overflowPunct/>
              <w:topLinePunct w:val="0"/>
              <w:autoSpaceDE/>
              <w:autoSpaceDN/>
              <w:bidi w:val="0"/>
              <w:adjustRightInd/>
              <w:spacing w:line="360" w:lineRule="auto"/>
              <w:ind w:firstLine="537" w:firstLineChars="224"/>
              <w:jc w:val="left"/>
              <w:rPr>
                <w:rFonts w:ascii="宋体" w:hAnsi="宋体"/>
                <w:color w:val="auto"/>
                <w:sz w:val="24"/>
                <w:szCs w:val="24"/>
                <w:highlight w:val="none"/>
              </w:rPr>
            </w:pPr>
            <w:r>
              <w:rPr>
                <w:rFonts w:hint="eastAsia" w:ascii="宋体" w:hAnsi="宋体"/>
                <w:color w:val="auto"/>
                <w:sz w:val="24"/>
                <w:highlight w:val="none"/>
                <w:u w:val="single"/>
              </w:rPr>
              <w:t>白云山校区宿舍修缮占地面积约700平米，建筑面积约2300平米，内容为对学生宿舍第7栋宿舍修缮翻新</w:t>
            </w:r>
            <w:r>
              <w:rPr>
                <w:rFonts w:hint="eastAsia" w:ascii="宋体" w:hAnsi="宋体"/>
                <w:color w:val="auto"/>
                <w:sz w:val="24"/>
                <w:highlight w:val="none"/>
                <w:u w:val="single"/>
                <w:lang w:eastAsia="zh-CN"/>
              </w:rPr>
              <w:t>，</w:t>
            </w:r>
            <w:r>
              <w:rPr>
                <w:rFonts w:hint="eastAsia" w:ascii="宋体" w:hAnsi="宋体"/>
                <w:color w:val="auto"/>
                <w:sz w:val="24"/>
                <w:highlight w:val="none"/>
                <w:u w:val="single"/>
                <w:lang w:val="en-US" w:eastAsia="zh-CN"/>
              </w:rPr>
              <w:t>涉及工程内容包括主体结构、装修装饰、给水排水、电气、防雷等工程</w:t>
            </w:r>
            <w:r>
              <w:rPr>
                <w:rFonts w:hint="eastAsia" w:ascii="宋体" w:hAnsi="宋体"/>
                <w:color w:val="auto"/>
                <w:sz w:val="24"/>
                <w:highlight w:val="none"/>
                <w:u w:val="single"/>
              </w:rPr>
              <w:t>，</w:t>
            </w:r>
            <w:r>
              <w:rPr>
                <w:rFonts w:hint="eastAsia" w:ascii="宋体" w:hAnsi="宋体"/>
                <w:color w:val="auto"/>
                <w:sz w:val="24"/>
                <w:highlight w:val="none"/>
                <w:u w:val="single"/>
                <w:lang w:val="en-US" w:eastAsia="zh-CN"/>
              </w:rPr>
              <w:t>具体</w:t>
            </w:r>
            <w:r>
              <w:rPr>
                <w:rFonts w:hint="eastAsia" w:ascii="宋体" w:hAnsi="宋体"/>
                <w:color w:val="auto"/>
                <w:sz w:val="24"/>
                <w:highlight w:val="none"/>
                <w:u w:val="single"/>
              </w:rPr>
              <w:t>包括原公共卫生间改造成宿舍</w:t>
            </w:r>
            <w:r>
              <w:rPr>
                <w:rFonts w:hint="eastAsia" w:ascii="宋体" w:hAnsi="宋体"/>
                <w:color w:val="auto"/>
                <w:sz w:val="24"/>
                <w:highlight w:val="none"/>
                <w:u w:val="single"/>
                <w:lang w:val="en-US" w:eastAsia="zh-CN"/>
              </w:rPr>
              <w:t>与</w:t>
            </w:r>
            <w:r>
              <w:rPr>
                <w:rFonts w:hint="eastAsia" w:ascii="宋体" w:hAnsi="宋体"/>
                <w:color w:val="auto"/>
                <w:sz w:val="24"/>
                <w:highlight w:val="none"/>
                <w:u w:val="single"/>
              </w:rPr>
              <w:t>独立卫生间，</w:t>
            </w:r>
            <w:r>
              <w:rPr>
                <w:rFonts w:hint="eastAsia" w:ascii="宋体" w:hAnsi="宋体"/>
                <w:color w:val="auto"/>
                <w:sz w:val="24"/>
                <w:highlight w:val="none"/>
                <w:u w:val="single"/>
                <w:lang w:val="en-US" w:eastAsia="zh-CN"/>
              </w:rPr>
              <w:t>宿舍北侧加建阳台及</w:t>
            </w:r>
            <w:r>
              <w:rPr>
                <w:rFonts w:hint="eastAsia" w:ascii="宋体" w:hAnsi="宋体"/>
                <w:color w:val="auto"/>
                <w:sz w:val="24"/>
                <w:highlight w:val="none"/>
                <w:u w:val="single"/>
              </w:rPr>
              <w:t>独立卫生间</w:t>
            </w:r>
            <w:r>
              <w:rPr>
                <w:rFonts w:hint="eastAsia" w:ascii="宋体" w:hAnsi="宋体"/>
                <w:color w:val="auto"/>
                <w:sz w:val="24"/>
                <w:highlight w:val="none"/>
                <w:u w:val="single"/>
                <w:lang w:eastAsia="zh-CN"/>
              </w:rPr>
              <w:t>（</w:t>
            </w:r>
            <w:r>
              <w:rPr>
                <w:rFonts w:hint="eastAsia" w:ascii="宋体" w:hAnsi="宋体"/>
                <w:color w:val="auto"/>
                <w:sz w:val="24"/>
                <w:highlight w:val="none"/>
                <w:u w:val="single"/>
                <w:lang w:val="en-US" w:eastAsia="zh-CN"/>
              </w:rPr>
              <w:t>含基础、结构、装饰、水电各专业</w:t>
            </w:r>
            <w:r>
              <w:rPr>
                <w:rFonts w:hint="eastAsia" w:ascii="宋体" w:hAnsi="宋体"/>
                <w:color w:val="auto"/>
                <w:sz w:val="24"/>
                <w:highlight w:val="none"/>
                <w:u w:val="single"/>
                <w:lang w:eastAsia="zh-CN"/>
              </w:rPr>
              <w:t>）</w:t>
            </w:r>
            <w:r>
              <w:rPr>
                <w:rFonts w:hint="eastAsia" w:ascii="宋体" w:hAnsi="宋体"/>
                <w:color w:val="auto"/>
                <w:sz w:val="24"/>
                <w:highlight w:val="none"/>
                <w:u w:val="single"/>
              </w:rPr>
              <w:t>、</w:t>
            </w:r>
            <w:r>
              <w:rPr>
                <w:rFonts w:hint="eastAsia" w:ascii="宋体" w:hAnsi="宋体"/>
                <w:color w:val="auto"/>
                <w:sz w:val="24"/>
                <w:highlight w:val="none"/>
                <w:u w:val="single"/>
                <w:lang w:val="en-US" w:eastAsia="zh-CN"/>
              </w:rPr>
              <w:t>全部门窗更换，室内调整插座位、网络端口等。</w:t>
            </w:r>
            <w:r>
              <w:rPr>
                <w:rFonts w:hint="eastAsia" w:ascii="宋体" w:hAnsi="宋体"/>
                <w:color w:val="auto"/>
                <w:sz w:val="24"/>
                <w:highlight w:val="none"/>
                <w:u w:val="single"/>
              </w:rPr>
              <w:t>具体详见图纸及工程量清单</w:t>
            </w:r>
            <w:bookmarkStart w:id="1" w:name="_GoBack"/>
            <w:bookmarkEnd w:id="1"/>
            <w:r>
              <w:rPr>
                <w:rFonts w:hint="eastAsia" w:ascii="宋体" w:hAnsi="宋体"/>
                <w:color w:val="auto"/>
                <w:sz w:val="24"/>
                <w:highlight w:val="none"/>
                <w:u w:val="single"/>
              </w:rPr>
              <w:t>。</w:t>
            </w:r>
          </w:p>
        </w:tc>
        <w:tc>
          <w:tcPr>
            <w:tcW w:w="915" w:type="pct"/>
            <w:noWrap w:val="0"/>
            <w:vAlign w:val="center"/>
          </w:tcPr>
          <w:p>
            <w:pPr>
              <w:keepNext w:val="0"/>
              <w:keepLines w:val="0"/>
              <w:pageBreakBefore w:val="0"/>
              <w:kinsoku/>
              <w:overflowPunct/>
              <w:topLinePunct w:val="0"/>
              <w:autoSpaceDE/>
              <w:autoSpaceDN/>
              <w:bidi w:val="0"/>
              <w:adjustRightInd/>
              <w:spacing w:line="360" w:lineRule="auto"/>
              <w:jc w:val="center"/>
              <w:rPr>
                <w:rFonts w:hint="default" w:ascii="宋体" w:hAnsi="宋体" w:eastAsia="宋体"/>
                <w:color w:val="auto"/>
                <w:sz w:val="24"/>
                <w:szCs w:val="24"/>
                <w:highlight w:val="yellow"/>
                <w:lang w:val="en-US" w:eastAsia="zh-CN"/>
              </w:rPr>
            </w:pPr>
            <w:r>
              <w:rPr>
                <w:rFonts w:hint="eastAsia" w:ascii="宋体" w:hAnsi="宋体" w:cs="Times New Roman"/>
                <w:color w:val="auto"/>
                <w:sz w:val="24"/>
                <w:szCs w:val="24"/>
                <w:highlight w:val="none"/>
                <w:u w:val="none"/>
                <w:lang w:val="en-US" w:eastAsia="zh-CN"/>
              </w:rPr>
              <w:t>4,005,174.46</w:t>
            </w:r>
          </w:p>
        </w:tc>
        <w:tc>
          <w:tcPr>
            <w:tcW w:w="710" w:type="pct"/>
            <w:noWrap w:val="0"/>
            <w:vAlign w:val="center"/>
          </w:tcPr>
          <w:p>
            <w:pPr>
              <w:keepNext w:val="0"/>
              <w:keepLines w:val="0"/>
              <w:pageBreakBefore w:val="0"/>
              <w:kinsoku/>
              <w:overflowPunct/>
              <w:topLinePunct w:val="0"/>
              <w:autoSpaceDE/>
              <w:autoSpaceDN/>
              <w:bidi w:val="0"/>
              <w:adjustRightInd/>
              <w:spacing w:line="360" w:lineRule="auto"/>
              <w:jc w:val="left"/>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 xml:space="preserve">60 </w:t>
            </w:r>
            <w:r>
              <w:rPr>
                <w:rFonts w:hint="eastAsia" w:ascii="宋体" w:hAnsi="宋体"/>
                <w:color w:val="auto"/>
                <w:sz w:val="24"/>
                <w:szCs w:val="24"/>
                <w:highlight w:val="none"/>
                <w:lang w:val="en-US"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20" w:type="pct"/>
            <w:noWrap w:val="0"/>
            <w:vAlign w:val="center"/>
          </w:tcPr>
          <w:p>
            <w:pPr>
              <w:keepNext w:val="0"/>
              <w:keepLines w:val="0"/>
              <w:pageBreakBefore w:val="0"/>
              <w:kinsoku/>
              <w:overflowPunct/>
              <w:topLinePunct w:val="0"/>
              <w:autoSpaceDE/>
              <w:autoSpaceDN/>
              <w:bidi w:val="0"/>
              <w:adjustRightInd/>
              <w:spacing w:line="360" w:lineRule="auto"/>
              <w:jc w:val="center"/>
              <w:rPr>
                <w:rFonts w:hint="eastAsia" w:ascii="宋体" w:hAnsi="宋体" w:eastAsia="宋体"/>
                <w:b/>
                <w:color w:val="auto"/>
                <w:sz w:val="24"/>
                <w:szCs w:val="24"/>
                <w:lang w:val="en-US" w:eastAsia="zh-CN"/>
              </w:rPr>
            </w:pPr>
            <w:r>
              <w:rPr>
                <w:rFonts w:hint="eastAsia" w:ascii="宋体" w:hAnsi="宋体"/>
                <w:b/>
                <w:color w:val="auto"/>
                <w:sz w:val="24"/>
                <w:szCs w:val="24"/>
              </w:rPr>
              <w:t>标段</w:t>
            </w:r>
            <w:r>
              <w:rPr>
                <w:rFonts w:hint="eastAsia" w:ascii="宋体" w:hAnsi="宋体"/>
                <w:b/>
                <w:color w:val="auto"/>
                <w:sz w:val="24"/>
                <w:szCs w:val="24"/>
                <w:lang w:val="en-US" w:eastAsia="zh-CN"/>
              </w:rPr>
              <w:t>二</w:t>
            </w:r>
          </w:p>
        </w:tc>
        <w:tc>
          <w:tcPr>
            <w:tcW w:w="2853" w:type="pct"/>
            <w:noWrap w:val="0"/>
            <w:vAlign w:val="center"/>
          </w:tcPr>
          <w:p>
            <w:pPr>
              <w:keepNext w:val="0"/>
              <w:keepLines w:val="0"/>
              <w:pageBreakBefore w:val="0"/>
              <w:widowControl/>
              <w:suppressLineNumbers w:val="0"/>
              <w:kinsoku/>
              <w:overflowPunct/>
              <w:topLinePunct w:val="0"/>
              <w:autoSpaceDE/>
              <w:autoSpaceDN/>
              <w:bidi w:val="0"/>
              <w:adjustRightInd/>
              <w:spacing w:line="360" w:lineRule="auto"/>
              <w:jc w:val="both"/>
              <w:rPr>
                <w:rFonts w:hint="eastAsia" w:ascii="宋体" w:hAnsi="宋体" w:eastAsia="宋体" w:cs="Times New Roman"/>
                <w:color w:val="auto"/>
                <w:sz w:val="24"/>
                <w:szCs w:val="24"/>
                <w:highlight w:val="none"/>
              </w:rPr>
            </w:pPr>
            <w:r>
              <w:rPr>
                <w:rFonts w:hint="eastAsia" w:ascii="宋体" w:hAnsi="宋体"/>
                <w:color w:val="auto"/>
                <w:sz w:val="24"/>
                <w:highlight w:val="none"/>
                <w:u w:val="single"/>
              </w:rPr>
              <w:t>大学城校区宿舍修缮占地面积约3547平米，建筑面积约24232平米，内容为友苑A区、B区宿舍修缮翻新，</w:t>
            </w:r>
            <w:r>
              <w:rPr>
                <w:rFonts w:hint="eastAsia" w:ascii="宋体" w:hAnsi="宋体"/>
                <w:color w:val="auto"/>
                <w:sz w:val="24"/>
                <w:highlight w:val="none"/>
                <w:u w:val="single"/>
                <w:lang w:val="en-US" w:eastAsia="zh-CN"/>
              </w:rPr>
              <w:t>涉及工程内容包括装修装饰、给水排水、电气等工程</w:t>
            </w:r>
            <w:r>
              <w:rPr>
                <w:rFonts w:hint="eastAsia" w:ascii="宋体" w:hAnsi="宋体"/>
                <w:color w:val="auto"/>
                <w:sz w:val="24"/>
                <w:highlight w:val="none"/>
                <w:u w:val="single"/>
              </w:rPr>
              <w:t>，</w:t>
            </w:r>
            <w:r>
              <w:rPr>
                <w:rFonts w:hint="eastAsia" w:ascii="宋体" w:hAnsi="宋体"/>
                <w:color w:val="auto"/>
                <w:sz w:val="24"/>
                <w:highlight w:val="none"/>
                <w:u w:val="single"/>
                <w:lang w:val="en-US" w:eastAsia="zh-CN"/>
              </w:rPr>
              <w:t>具体</w:t>
            </w:r>
            <w:r>
              <w:rPr>
                <w:rFonts w:hint="eastAsia" w:ascii="宋体" w:hAnsi="宋体"/>
                <w:color w:val="auto"/>
                <w:sz w:val="24"/>
                <w:highlight w:val="none"/>
                <w:u w:val="single"/>
              </w:rPr>
              <w:t>包括粉刷、防水补漏、水电线路更换等。具体详见图纸及工程量清单。</w:t>
            </w:r>
          </w:p>
        </w:tc>
        <w:tc>
          <w:tcPr>
            <w:tcW w:w="915" w:type="pct"/>
            <w:noWrap w:val="0"/>
            <w:vAlign w:val="center"/>
          </w:tcPr>
          <w:p>
            <w:pPr>
              <w:keepNext w:val="0"/>
              <w:keepLines w:val="0"/>
              <w:pageBreakBefore w:val="0"/>
              <w:kinsoku/>
              <w:overflowPunct/>
              <w:topLinePunct w:val="0"/>
              <w:autoSpaceDE/>
              <w:autoSpaceDN/>
              <w:bidi w:val="0"/>
              <w:adjustRightInd/>
              <w:spacing w:line="360" w:lineRule="auto"/>
              <w:jc w:val="center"/>
              <w:rPr>
                <w:rFonts w:hint="default" w:ascii="宋体" w:hAnsi="宋体" w:eastAsia="宋体"/>
                <w:color w:val="auto"/>
                <w:sz w:val="24"/>
                <w:szCs w:val="24"/>
                <w:highlight w:val="yellow"/>
                <w:lang w:val="en-US" w:eastAsia="zh-CN"/>
              </w:rPr>
            </w:pPr>
            <w:r>
              <w:rPr>
                <w:rFonts w:hint="eastAsia" w:ascii="宋体" w:hAnsi="宋体" w:cs="Times New Roman"/>
                <w:color w:val="auto"/>
                <w:sz w:val="24"/>
                <w:szCs w:val="24"/>
                <w:highlight w:val="none"/>
                <w:lang w:val="en-US" w:eastAsia="zh-CN"/>
              </w:rPr>
              <w:t>3,026,312.02</w:t>
            </w:r>
          </w:p>
        </w:tc>
        <w:tc>
          <w:tcPr>
            <w:tcW w:w="710" w:type="pct"/>
            <w:noWrap w:val="0"/>
            <w:vAlign w:val="center"/>
          </w:tcPr>
          <w:p>
            <w:pPr>
              <w:keepNext w:val="0"/>
              <w:keepLines w:val="0"/>
              <w:pageBreakBefore w:val="0"/>
              <w:kinsoku/>
              <w:overflowPunct/>
              <w:topLinePunct w:val="0"/>
              <w:autoSpaceDE/>
              <w:autoSpaceDN/>
              <w:bidi w:val="0"/>
              <w:adjustRightInd/>
              <w:spacing w:line="360" w:lineRule="auto"/>
              <w:jc w:val="left"/>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 xml:space="preserve">50 </w:t>
            </w:r>
            <w:r>
              <w:rPr>
                <w:rFonts w:hint="eastAsia" w:ascii="宋体" w:hAnsi="宋体"/>
                <w:color w:val="auto"/>
                <w:sz w:val="24"/>
                <w:szCs w:val="24"/>
                <w:highlight w:val="none"/>
                <w:lang w:val="en-US" w:eastAsia="zh-CN"/>
              </w:rPr>
              <w:t>日历天</w:t>
            </w:r>
          </w:p>
        </w:tc>
      </w:tr>
      <w:bookmarkEnd w:id="0"/>
    </w:tbl>
    <w:p>
      <w:pPr>
        <w:pStyle w:val="5"/>
        <w:rPr>
          <w:color w:val="auto"/>
        </w:rPr>
      </w:pPr>
    </w:p>
    <w:p>
      <w:pPr>
        <w:keepNext w:val="0"/>
        <w:keepLines w:val="0"/>
        <w:pageBreakBefore w:val="0"/>
        <w:widowControl/>
        <w:tabs>
          <w:tab w:val="left" w:pos="704"/>
        </w:tabs>
        <w:kinsoku/>
        <w:wordWrap/>
        <w:overflowPunct/>
        <w:topLinePunct w:val="0"/>
        <w:autoSpaceDE/>
        <w:autoSpaceDN/>
        <w:bidi w:val="0"/>
        <w:adjustRightInd/>
        <w:snapToGrid/>
        <w:spacing w:line="420" w:lineRule="exact"/>
        <w:ind w:firstLine="0" w:firstLineChars="0"/>
        <w:jc w:val="left"/>
        <w:textAlignment w:val="auto"/>
        <w:rPr>
          <w:rFonts w:hint="eastAsia" w:ascii="宋体" w:hAnsi="宋体"/>
          <w:b/>
          <w:bCs/>
          <w:color w:val="auto"/>
          <w:sz w:val="24"/>
          <w:highlight w:val="none"/>
        </w:rPr>
      </w:pPr>
      <w:r>
        <w:rPr>
          <w:rFonts w:hint="eastAsia" w:ascii="宋体" w:hAnsi="宋体" w:cs="宋体"/>
          <w:b/>
          <w:bCs/>
          <w:color w:val="auto"/>
          <w:sz w:val="24"/>
          <w:lang w:val="en-US" w:eastAsia="zh-CN"/>
        </w:rPr>
        <w:t>注：（1）</w:t>
      </w:r>
      <w:r>
        <w:rPr>
          <w:rFonts w:hint="eastAsia" w:ascii="宋体" w:hAnsi="宋体" w:cs="宋体"/>
          <w:b/>
          <w:bCs/>
          <w:color w:val="auto"/>
          <w:sz w:val="24"/>
        </w:rPr>
        <w:t>本次招标分为标段一（广东外语外贸大学学生宿舍修缮（2024年）项目-白云山校区施工总承包）和标段二（广东外语外贸大学学</w:t>
      </w:r>
      <w:r>
        <w:rPr>
          <w:rFonts w:hint="eastAsia" w:ascii="宋体" w:hAnsi="宋体" w:cs="宋体"/>
          <w:b/>
          <w:bCs/>
          <w:color w:val="auto"/>
          <w:sz w:val="24"/>
          <w:highlight w:val="none"/>
        </w:rPr>
        <w:t>生宿舍修缮（2024年）项目-大学城校区施工总承包）两个标段，采取兼投不兼中原则，</w:t>
      </w:r>
      <w:r>
        <w:rPr>
          <w:rFonts w:hint="eastAsia" w:ascii="宋体" w:hAnsi="宋体"/>
          <w:b/>
          <w:bCs/>
          <w:color w:val="auto"/>
          <w:sz w:val="24"/>
          <w:highlight w:val="none"/>
        </w:rPr>
        <w:t>如投标人同时参加</w:t>
      </w:r>
      <w:r>
        <w:rPr>
          <w:rFonts w:hint="eastAsia" w:ascii="宋体" w:hAnsi="宋体"/>
          <w:b/>
          <w:bCs/>
          <w:color w:val="auto"/>
          <w:sz w:val="24"/>
          <w:highlight w:val="none"/>
          <w:lang w:val="en-US" w:eastAsia="zh-CN"/>
        </w:rPr>
        <w:t>两</w:t>
      </w:r>
      <w:r>
        <w:rPr>
          <w:rFonts w:hint="eastAsia" w:ascii="宋体" w:hAnsi="宋体"/>
          <w:b/>
          <w:bCs/>
          <w:color w:val="auto"/>
          <w:sz w:val="24"/>
          <w:highlight w:val="none"/>
        </w:rPr>
        <w:t>个标段投标的，</w:t>
      </w:r>
      <w:r>
        <w:rPr>
          <w:rFonts w:hint="eastAsia" w:ascii="宋体" w:hAnsi="宋体"/>
          <w:b/>
          <w:bCs/>
          <w:color w:val="auto"/>
          <w:sz w:val="24"/>
          <w:highlight w:val="none"/>
          <w:lang w:val="en-US" w:eastAsia="zh-CN"/>
        </w:rPr>
        <w:t>两</w:t>
      </w:r>
      <w:r>
        <w:rPr>
          <w:rFonts w:hint="eastAsia" w:ascii="宋体" w:hAnsi="宋体"/>
          <w:b/>
          <w:bCs/>
          <w:color w:val="auto"/>
          <w:sz w:val="24"/>
          <w:highlight w:val="none"/>
        </w:rPr>
        <w:t>个标段须分别进行投标登记，按标段分别编制投标文件。本次招标的</w:t>
      </w:r>
      <w:r>
        <w:rPr>
          <w:rFonts w:hint="eastAsia" w:ascii="宋体" w:hAnsi="宋体"/>
          <w:b/>
          <w:bCs/>
          <w:color w:val="auto"/>
          <w:sz w:val="24"/>
          <w:highlight w:val="none"/>
          <w:lang w:val="en-US" w:eastAsia="zh-CN"/>
        </w:rPr>
        <w:t>两</w:t>
      </w:r>
      <w:r>
        <w:rPr>
          <w:rFonts w:hint="eastAsia" w:ascii="宋体" w:hAnsi="宋体"/>
          <w:b/>
          <w:bCs/>
          <w:color w:val="auto"/>
          <w:sz w:val="24"/>
          <w:highlight w:val="none"/>
        </w:rPr>
        <w:t>个标段可只委派1名项目负责人、同一个项目管理团队参加投标。</w:t>
      </w:r>
      <w:r>
        <w:rPr>
          <w:rFonts w:hint="eastAsia" w:ascii="宋体" w:hAnsi="宋体" w:cs="宋体"/>
          <w:b/>
          <w:bCs/>
          <w:color w:val="auto"/>
          <w:sz w:val="24"/>
          <w:highlight w:val="none"/>
        </w:rPr>
        <w:t>评标顺序为标段一、标段二，在标段一中被推荐为第一中标候选人的单位不得成为标段二的推荐中标候选人。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b/>
          <w:bCs/>
          <w:color w:val="auto"/>
          <w:sz w:val="24"/>
        </w:rPr>
      </w:pPr>
      <w:r>
        <w:rPr>
          <w:rFonts w:hint="eastAsia" w:ascii="宋体" w:hAnsi="宋体"/>
          <w:b/>
          <w:bCs/>
          <w:color w:val="auto"/>
          <w:sz w:val="24"/>
        </w:rPr>
        <w:t>（</w:t>
      </w:r>
      <w:r>
        <w:rPr>
          <w:rFonts w:hint="eastAsia" w:ascii="宋体" w:hAnsi="宋体"/>
          <w:b/>
          <w:bCs/>
          <w:color w:val="auto"/>
          <w:sz w:val="24"/>
          <w:lang w:val="en-US" w:eastAsia="zh-CN"/>
        </w:rPr>
        <w:t>2</w:t>
      </w:r>
      <w:r>
        <w:rPr>
          <w:rFonts w:hint="eastAsia" w:ascii="宋体" w:hAnsi="宋体"/>
          <w:b/>
          <w:bCs/>
          <w:color w:val="auto"/>
          <w:sz w:val="24"/>
        </w:rPr>
        <w:t>）如果出现某标段的第一中标候选人放弃中标或因其他原因被取消中标资格的，仅在该标段内按照已确定的中标候选人顺序依次上升替补定标，以此类推；若替补上来的中标候选人已成为其他标段的第一中标候选人或中标人，则该单位不得成为该标段的中标人，由该标段排名其后的中标候选人上升替补定标，并以此类推；若该标段所有中标候选人都不能成为中标人，则该标段招标失败，招标人分析招标失败原因，修正招标方案，重新组织招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b/>
          <w:bCs/>
          <w:color w:val="auto"/>
          <w:sz w:val="24"/>
        </w:rPr>
      </w:pPr>
      <w:r>
        <w:rPr>
          <w:rFonts w:hint="eastAsia" w:ascii="宋体" w:hAnsi="宋体"/>
          <w:b/>
          <w:bCs/>
          <w:color w:val="auto"/>
          <w:sz w:val="24"/>
        </w:rPr>
        <w:t>（</w:t>
      </w:r>
      <w:r>
        <w:rPr>
          <w:rFonts w:hint="eastAsia" w:ascii="宋体" w:hAnsi="宋体"/>
          <w:b/>
          <w:bCs/>
          <w:color w:val="auto"/>
          <w:sz w:val="24"/>
          <w:lang w:val="en-US" w:eastAsia="zh-CN"/>
        </w:rPr>
        <w:t>3</w:t>
      </w:r>
      <w:r>
        <w:rPr>
          <w:rFonts w:hint="eastAsia" w:ascii="宋体" w:hAnsi="宋体"/>
          <w:b/>
          <w:bCs/>
          <w:color w:val="auto"/>
          <w:sz w:val="24"/>
        </w:rPr>
        <w:t>）若某标段在确定中标候选人后，因其他原因导致该标段重新招标或中标通知书尚未发出，将不影响其他标段中标人的确定。</w:t>
      </w:r>
    </w:p>
    <w:p>
      <w:pPr>
        <w:widowControl/>
        <w:tabs>
          <w:tab w:val="left" w:pos="704"/>
        </w:tabs>
        <w:spacing w:line="360" w:lineRule="auto"/>
        <w:ind w:firstLine="482" w:firstLineChars="200"/>
        <w:jc w:val="left"/>
        <w:rPr>
          <w:rFonts w:hint="eastAsia" w:ascii="宋体" w:hAnsi="宋体" w:eastAsia="宋体" w:cs="宋体"/>
          <w:b/>
          <w:bCs/>
          <w:color w:val="auto"/>
          <w:sz w:val="24"/>
          <w:lang w:eastAsia="zh-CN"/>
        </w:rPr>
      </w:pPr>
      <w:r>
        <w:rPr>
          <w:rFonts w:hint="eastAsia" w:ascii="宋体" w:hAnsi="宋体" w:cs="宋体"/>
          <w:b/>
          <w:bCs/>
          <w:color w:val="auto"/>
          <w:sz w:val="24"/>
          <w:lang w:eastAsia="zh-CN"/>
        </w:rPr>
        <w:t>（</w:t>
      </w:r>
      <w:r>
        <w:rPr>
          <w:rFonts w:hint="eastAsia" w:ascii="宋体" w:hAnsi="宋体" w:cs="宋体"/>
          <w:b/>
          <w:bCs/>
          <w:color w:val="auto"/>
          <w:sz w:val="24"/>
          <w:lang w:val="en-US" w:eastAsia="zh-CN"/>
        </w:rPr>
        <w:t>4</w:t>
      </w:r>
      <w:r>
        <w:rPr>
          <w:rFonts w:hint="eastAsia" w:ascii="宋体" w:hAnsi="宋体" w:cs="宋体"/>
          <w:b/>
          <w:bCs/>
          <w:color w:val="auto"/>
          <w:sz w:val="24"/>
          <w:lang w:eastAsia="zh-CN"/>
        </w:rPr>
        <w:t>）若某标段招标失败，不影响另一标段的开标、评标、定标等工作，另一标段的中标候选人按评审排名的先后顺序依次确定。若某标段招标失败而重新招标的，另一标段的中标人不能再成为该项目重新招标标段的中标人。</w:t>
      </w:r>
    </w:p>
    <w:p>
      <w:pPr>
        <w:snapToGrid w:val="0"/>
        <w:spacing w:line="360" w:lineRule="auto"/>
        <w:ind w:left="435"/>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六、资金来源：</w:t>
      </w:r>
      <w:r>
        <w:rPr>
          <w:rFonts w:hint="eastAsia" w:ascii="宋体" w:hAnsi="宋体" w:eastAsia="宋体" w:cs="宋体"/>
          <w:color w:val="auto"/>
          <w:kern w:val="0"/>
          <w:sz w:val="24"/>
          <w:szCs w:val="24"/>
          <w:highlight w:val="none"/>
          <w:u w:val="single"/>
          <w:lang w:val="en-US" w:eastAsia="zh-CN"/>
        </w:rPr>
        <w:t>自筹</w:t>
      </w:r>
      <w:r>
        <w:rPr>
          <w:rFonts w:hint="eastAsia" w:ascii="宋体" w:hAnsi="宋体" w:eastAsia="宋体" w:cs="宋体"/>
          <w:color w:val="auto"/>
          <w:kern w:val="0"/>
          <w:sz w:val="24"/>
          <w:szCs w:val="24"/>
          <w:highlight w:val="none"/>
          <w:u w:val="single"/>
        </w:rPr>
        <w:t>资金</w:t>
      </w:r>
      <w:r>
        <w:rPr>
          <w:rFonts w:hint="eastAsia" w:ascii="宋体" w:hAnsi="宋体" w:cs="宋体"/>
          <w:color w:val="auto"/>
          <w:kern w:val="0"/>
          <w:sz w:val="24"/>
          <w:szCs w:val="24"/>
          <w:highlight w:val="none"/>
          <w:u w:val="single"/>
          <w:lang w:eastAsia="zh-CN"/>
        </w:rPr>
        <w:t>。</w:t>
      </w:r>
    </w:p>
    <w:p>
      <w:pPr>
        <w:snapToGrid w:val="0"/>
        <w:spacing w:line="360" w:lineRule="auto"/>
        <w:ind w:left="435"/>
        <w:rPr>
          <w:rFonts w:ascii="宋体" w:hAnsi="宋体" w:cs="宋体"/>
          <w:color w:val="auto"/>
          <w:sz w:val="24"/>
          <w:szCs w:val="24"/>
          <w:highlight w:val="none"/>
        </w:rPr>
      </w:pPr>
      <w:r>
        <w:rPr>
          <w:rFonts w:hint="eastAsia" w:ascii="宋体" w:hAnsi="宋体" w:cs="宋体"/>
          <w:color w:val="auto"/>
          <w:kern w:val="0"/>
          <w:sz w:val="24"/>
          <w:szCs w:val="24"/>
          <w:highlight w:val="none"/>
        </w:rPr>
        <w:t>七、</w:t>
      </w:r>
      <w:r>
        <w:rPr>
          <w:rFonts w:hint="eastAsia" w:ascii="宋体" w:hAnsi="宋体"/>
          <w:color w:val="auto"/>
          <w:sz w:val="24"/>
          <w:highlight w:val="none"/>
        </w:rPr>
        <w:t>公告发布日期、</w:t>
      </w:r>
      <w:r>
        <w:rPr>
          <w:rFonts w:hint="eastAsia" w:ascii="宋体" w:hAnsi="宋体" w:cs="宋体"/>
          <w:color w:val="auto"/>
          <w:sz w:val="24"/>
          <w:szCs w:val="24"/>
          <w:highlight w:val="none"/>
        </w:rPr>
        <w:t>递交投标文件时间与开标时间：</w:t>
      </w:r>
    </w:p>
    <w:p>
      <w:pPr>
        <w:snapToGrid w:val="0"/>
        <w:spacing w:line="360" w:lineRule="auto"/>
        <w:ind w:left="435"/>
        <w:rPr>
          <w:rFonts w:ascii="宋体" w:hAnsi="宋体"/>
          <w:color w:val="auto"/>
          <w:sz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w:t>
      </w:r>
      <w:r>
        <w:rPr>
          <w:rFonts w:hint="eastAsia" w:ascii="宋体" w:hAnsi="宋体"/>
          <w:color w:val="auto"/>
          <w:sz w:val="24"/>
          <w:highlight w:val="none"/>
        </w:rPr>
        <w:t>公告发布日期（含本日）：</w:t>
      </w:r>
      <w:r>
        <w:rPr>
          <w:rFonts w:hint="eastAsia" w:ascii="宋体" w:hAnsi="宋体"/>
          <w:color w:val="auto"/>
          <w:sz w:val="24"/>
          <w:highlight w:val="none"/>
          <w:u w:val="single"/>
          <w:lang w:val="en-US" w:eastAsia="zh-CN"/>
        </w:rPr>
        <w:t>2024</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rPr>
        <w:t>日</w:t>
      </w:r>
      <w:r>
        <w:rPr>
          <w:rFonts w:ascii="宋体" w:hAnsi="宋体"/>
          <w:color w:val="auto"/>
          <w:sz w:val="24"/>
          <w:highlight w:val="none"/>
        </w:rPr>
        <w:t xml:space="preserve">  </w:t>
      </w:r>
      <w:r>
        <w:rPr>
          <w:rFonts w:hint="eastAsia" w:ascii="宋体" w:hAnsi="宋体"/>
          <w:color w:val="auto"/>
          <w:sz w:val="24"/>
          <w:highlight w:val="none"/>
        </w:rPr>
        <w:t>至</w:t>
      </w:r>
      <w:r>
        <w:rPr>
          <w:rFonts w:hint="eastAsia" w:ascii="宋体" w:hAnsi="宋体"/>
          <w:color w:val="auto"/>
          <w:sz w:val="24"/>
          <w:highlight w:val="none"/>
          <w:u w:val="single"/>
          <w:lang w:val="en-US" w:eastAsia="zh-CN"/>
        </w:rPr>
        <w:t>2024</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rPr>
        <w:t>日</w:t>
      </w:r>
    </w:p>
    <w:p>
      <w:pPr>
        <w:snapToGrid w:val="0"/>
        <w:spacing w:line="360" w:lineRule="auto"/>
        <w:ind w:left="435"/>
        <w:rPr>
          <w:rFonts w:ascii="宋体" w:cs="宋体"/>
          <w:color w:val="auto"/>
          <w:kern w:val="0"/>
          <w:sz w:val="24"/>
          <w:szCs w:val="24"/>
          <w:highlight w:val="none"/>
        </w:rPr>
      </w:pPr>
      <w:r>
        <w:rPr>
          <w:rFonts w:hint="eastAsia" w:ascii="宋体" w:hAnsi="宋体"/>
          <w:color w:val="auto"/>
          <w:sz w:val="24"/>
          <w:highlight w:val="none"/>
        </w:rPr>
        <w:t>凡有意参加投标者，请登录</w:t>
      </w:r>
      <w:r>
        <w:rPr>
          <w:rFonts w:ascii="Times New Roman" w:hAnsi="Times New Roman"/>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olor w:val="auto"/>
          <w:sz w:val="24"/>
          <w:highlight w:val="none"/>
        </w:rPr>
        <w:t>网站下载电子招标文件。</w:t>
      </w:r>
    </w:p>
    <w:p>
      <w:pPr>
        <w:widowControl/>
        <w:shd w:val="clear" w:color="auto" w:fill="FFFFFF"/>
        <w:snapToGrid w:val="0"/>
        <w:spacing w:line="360" w:lineRule="auto"/>
        <w:jc w:val="left"/>
        <w:rPr>
          <w:rFonts w:ascii="宋体" w:hAnsi="宋体" w:cs="宋体"/>
          <w:color w:val="auto"/>
          <w:kern w:val="0"/>
          <w:sz w:val="24"/>
          <w:szCs w:val="24"/>
          <w:highlight w:val="none"/>
        </w:rPr>
      </w:pP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注：发布招标公告的时间为招标公告发出之日起至投标截止时间止。</w:t>
      </w:r>
    </w:p>
    <w:p>
      <w:pPr>
        <w:widowControl/>
        <w:shd w:val="clear" w:color="auto" w:fill="FFFFFF"/>
        <w:snapToGrid w:val="0"/>
        <w:spacing w:line="360" w:lineRule="auto"/>
        <w:ind w:left="809" w:leftChars="214" w:hanging="360" w:hangingChars="150"/>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递交投标文件起始时间：</w:t>
      </w:r>
      <w:r>
        <w:rPr>
          <w:rFonts w:hint="eastAsia" w:ascii="宋体" w:hAnsi="宋体"/>
          <w:color w:val="auto"/>
          <w:sz w:val="24"/>
          <w:highlight w:val="none"/>
          <w:u w:val="single"/>
          <w:lang w:val="en-US" w:eastAsia="zh-CN"/>
        </w:rPr>
        <w:t>2024</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时</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分</w:t>
      </w:r>
      <w:r>
        <w:rPr>
          <w:rFonts w:hint="eastAsia" w:ascii="宋体" w:hAnsi="宋体" w:cs="宋体"/>
          <w:color w:val="auto"/>
          <w:sz w:val="24"/>
          <w:szCs w:val="24"/>
          <w:highlight w:val="none"/>
        </w:rPr>
        <w:t>；</w:t>
      </w:r>
    </w:p>
    <w:p>
      <w:pPr>
        <w:widowControl/>
        <w:shd w:val="clear" w:color="auto" w:fill="FFFFFF"/>
        <w:snapToGrid w:val="0"/>
        <w:spacing w:line="360" w:lineRule="auto"/>
        <w:ind w:left="764" w:leftChars="364" w:firstLine="1440" w:firstLineChars="600"/>
        <w:jc w:val="left"/>
        <w:rPr>
          <w:rFonts w:ascii="宋体" w:hAnsi="宋体" w:cs="宋体"/>
          <w:color w:val="auto"/>
          <w:sz w:val="24"/>
          <w:szCs w:val="24"/>
          <w:highlight w:val="none"/>
        </w:rPr>
      </w:pPr>
      <w:r>
        <w:rPr>
          <w:rFonts w:hint="eastAsia" w:ascii="宋体" w:hAnsi="宋体" w:cs="宋体"/>
          <w:color w:val="auto"/>
          <w:sz w:val="24"/>
          <w:szCs w:val="24"/>
          <w:highlight w:val="none"/>
        </w:rPr>
        <w:t>截止时间：</w:t>
      </w:r>
      <w:r>
        <w:rPr>
          <w:rFonts w:hint="eastAsia" w:ascii="宋体" w:hAnsi="宋体"/>
          <w:color w:val="auto"/>
          <w:sz w:val="24"/>
          <w:highlight w:val="none"/>
          <w:u w:val="single"/>
          <w:lang w:val="en-US" w:eastAsia="zh-CN"/>
        </w:rPr>
        <w:t>2024</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分</w:t>
      </w:r>
      <w:r>
        <w:rPr>
          <w:rFonts w:hint="eastAsia" w:ascii="宋体" w:hAnsi="宋体" w:cs="宋体"/>
          <w:color w:val="auto"/>
          <w:sz w:val="24"/>
          <w:szCs w:val="24"/>
          <w:highlight w:val="none"/>
        </w:rPr>
        <w:t>。</w:t>
      </w:r>
    </w:p>
    <w:p>
      <w:pPr>
        <w:widowControl/>
        <w:shd w:val="clear" w:color="auto" w:fill="FFFFFF"/>
        <w:snapToGrid w:val="0"/>
        <w:spacing w:line="360" w:lineRule="auto"/>
        <w:ind w:firstLine="480"/>
        <w:jc w:val="left"/>
        <w:rPr>
          <w:rFonts w:ascii="宋体" w:hAnsi="宋体" w:cs="宋体"/>
          <w:color w:val="auto"/>
          <w:sz w:val="24"/>
          <w:szCs w:val="24"/>
          <w:highlight w:val="none"/>
          <w:u w:val="singl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开标开始时间：</w:t>
      </w:r>
      <w:r>
        <w:rPr>
          <w:rFonts w:hint="eastAsia" w:ascii="宋体" w:hAnsi="宋体"/>
          <w:color w:val="auto"/>
          <w:sz w:val="24"/>
          <w:highlight w:val="none"/>
          <w:u w:val="single"/>
          <w:lang w:val="en-US" w:eastAsia="zh-CN"/>
        </w:rPr>
        <w:t>2024</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分</w:t>
      </w:r>
      <w:r>
        <w:rPr>
          <w:rFonts w:hint="eastAsia" w:ascii="宋体" w:hAnsi="宋体" w:cs="宋体"/>
          <w:color w:val="auto"/>
          <w:sz w:val="24"/>
          <w:szCs w:val="24"/>
          <w:highlight w:val="none"/>
        </w:rPr>
        <w:t>。</w:t>
      </w:r>
    </w:p>
    <w:p>
      <w:pPr>
        <w:widowControl/>
        <w:shd w:val="clear" w:color="auto" w:fill="FFFFFF"/>
        <w:snapToGrid w:val="0"/>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rPr>
        <w:t xml:space="preserve"> </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4</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递交投标文件截止时间与开标时间是否有变化，请密切留意招标答疑中的相关信息。递交投标文件截止时间后，开标时间因故推迟的，相关评标信息仍以原递交投标文件截止时间的信息为准。</w:t>
      </w:r>
    </w:p>
    <w:p>
      <w:pPr>
        <w:snapToGrid w:val="0"/>
        <w:spacing w:line="360" w:lineRule="auto"/>
        <w:ind w:firstLine="480" w:firstLineChars="200"/>
        <w:rPr>
          <w:rFonts w:ascii="宋体" w:hAnsi="宋体"/>
          <w:color w:val="auto"/>
          <w:sz w:val="24"/>
          <w:szCs w:val="24"/>
          <w:highlight w:val="none"/>
          <w:u w:val="single"/>
        </w:rPr>
      </w:pPr>
      <w:r>
        <w:rPr>
          <w:rFonts w:hint="eastAsia" w:ascii="宋体" w:hAnsi="宋体" w:cs="宋体"/>
          <w:color w:val="auto"/>
          <w:sz w:val="24"/>
          <w:szCs w:val="24"/>
          <w:highlight w:val="none"/>
        </w:rPr>
        <w:t>5</w:t>
      </w:r>
      <w:r>
        <w:rPr>
          <w:rFonts w:hint="eastAsia" w:ascii="宋体" w:hAnsi="宋体" w:cs="宋体"/>
          <w:color w:val="auto"/>
          <w:sz w:val="24"/>
          <w:szCs w:val="24"/>
          <w:highlight w:val="none"/>
          <w:lang w:val="en-US" w:eastAsia="zh-CN"/>
        </w:rPr>
        <w:t>.</w:t>
      </w:r>
      <w:r>
        <w:rPr>
          <w:rFonts w:hint="eastAsia" w:ascii="宋体" w:hAnsi="宋体"/>
          <w:bCs/>
          <w:color w:val="auto"/>
          <w:sz w:val="24"/>
          <w:highlight w:val="none"/>
        </w:rPr>
        <w:t>投标人通过</w:t>
      </w:r>
      <w:r>
        <w:rPr>
          <w:rFonts w:hint="eastAsia"/>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olor w:val="auto"/>
          <w:sz w:val="24"/>
          <w:highlight w:val="none"/>
        </w:rPr>
        <w:t>递交电子投标文件。</w:t>
      </w:r>
      <w:r>
        <w:rPr>
          <w:rFonts w:hint="eastAsia" w:ascii="宋体" w:hAnsi="宋体" w:cs="仿宋_GB2312"/>
          <w:color w:val="auto"/>
          <w:sz w:val="24"/>
          <w:szCs w:val="24"/>
          <w:highlight w:val="none"/>
        </w:rPr>
        <w:t>投标人应在递交投标文件截止时间前，登录</w:t>
      </w:r>
      <w:r>
        <w:rPr>
          <w:rFonts w:hint="eastAsia"/>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s="仿宋_GB2312"/>
          <w:color w:val="auto"/>
          <w:sz w:val="24"/>
          <w:szCs w:val="24"/>
          <w:highlight w:val="none"/>
        </w:rPr>
        <w:t>网站办理网上投标登记手续。按照交易平台关于全流程电子化项目的相关指南进行操作。详见：</w:t>
      </w:r>
      <w:r>
        <w:rPr>
          <w:rFonts w:hint="eastAsia" w:ascii="宋体" w:hAnsi="宋体" w:cs="仿宋_GB2312"/>
          <w:color w:val="auto"/>
          <w:sz w:val="24"/>
          <w:szCs w:val="24"/>
          <w:highlight w:val="none"/>
          <w:u w:val="single"/>
        </w:rPr>
        <w:t>广州公共资源交易中心网站</w:t>
      </w:r>
      <w:r>
        <w:rPr>
          <w:rFonts w:hint="eastAsia" w:ascii="宋体" w:hAnsi="宋体" w:cs="仿宋_GB2312"/>
          <w:color w:val="auto"/>
          <w:sz w:val="24"/>
          <w:szCs w:val="24"/>
          <w:highlight w:val="none"/>
        </w:rPr>
        <w:t xml:space="preserve">。 </w:t>
      </w:r>
    </w:p>
    <w:p>
      <w:pPr>
        <w:widowControl/>
        <w:shd w:val="clear" w:color="auto" w:fill="FFFFFF"/>
        <w:snapToGrid w:val="0"/>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rPr>
        <w:t>6</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在投标登记时，投标人应按要求在交易系统中填写《施工项目管理团队人员信息表》（详见附件二），表中的项目管理团队人员信息作为投标文件的一部分，将由交易系统提取后供各相关单位在中标人履约时进行比对、</w:t>
      </w:r>
      <w:r>
        <w:rPr>
          <w:rFonts w:hint="eastAsia" w:ascii="宋体" w:hAnsi="宋体" w:cs="宋体"/>
          <w:color w:val="auto"/>
          <w:sz w:val="24"/>
          <w:szCs w:val="24"/>
          <w:highlight w:val="none"/>
          <w:lang w:eastAsia="zh-CN"/>
        </w:rPr>
        <w:t>核查</w:t>
      </w:r>
      <w:r>
        <w:rPr>
          <w:rFonts w:hint="eastAsia" w:ascii="宋体" w:hAnsi="宋体" w:cs="宋体"/>
          <w:color w:val="auto"/>
          <w:sz w:val="24"/>
          <w:szCs w:val="24"/>
          <w:highlight w:val="none"/>
        </w:rPr>
        <w:t>。</w:t>
      </w:r>
    </w:p>
    <w:p>
      <w:pPr>
        <w:widowControl/>
        <w:shd w:val="clear" w:color="auto" w:fill="FFFFFF"/>
        <w:snapToGrid w:val="0"/>
        <w:spacing w:line="360" w:lineRule="auto"/>
        <w:ind w:firstLine="480" w:firstLineChars="200"/>
        <w:jc w:val="left"/>
        <w:rPr>
          <w:rFonts w:ascii="宋体" w:cs="宋体"/>
          <w:color w:val="auto"/>
          <w:kern w:val="0"/>
          <w:sz w:val="24"/>
          <w:szCs w:val="24"/>
          <w:highlight w:val="none"/>
        </w:rPr>
      </w:pPr>
      <w:r>
        <w:rPr>
          <w:rFonts w:hint="eastAsia" w:ascii="宋体" w:hAnsi="宋体" w:cs="宋体"/>
          <w:color w:val="auto"/>
          <w:kern w:val="0"/>
          <w:sz w:val="24"/>
          <w:szCs w:val="24"/>
          <w:highlight w:val="none"/>
        </w:rPr>
        <w:t>八、招标文件获取方式：</w:t>
      </w:r>
    </w:p>
    <w:p>
      <w:pPr>
        <w:widowControl/>
        <w:shd w:val="clear" w:color="auto" w:fill="FFFFFF"/>
        <w:snapToGrid w:val="0"/>
        <w:spacing w:line="360" w:lineRule="auto"/>
        <w:ind w:firstLine="480" w:firstLineChars="200"/>
        <w:jc w:val="left"/>
        <w:rPr>
          <w:rFonts w:ascii="宋体" w:cs="宋体"/>
          <w:color w:val="auto"/>
          <w:kern w:val="0"/>
          <w:sz w:val="24"/>
          <w:szCs w:val="24"/>
          <w:highlight w:val="none"/>
        </w:rPr>
      </w:pPr>
      <w:r>
        <w:rPr>
          <w:rFonts w:hint="eastAsia" w:ascii="宋体" w:hAnsi="宋体" w:cs="宋体"/>
          <w:color w:val="auto"/>
          <w:kern w:val="0"/>
          <w:sz w:val="24"/>
          <w:szCs w:val="24"/>
          <w:highlight w:val="none"/>
        </w:rPr>
        <w:t>本项目招标文件随招标公告一并在</w:t>
      </w:r>
      <w:r>
        <w:rPr>
          <w:rFonts w:hint="eastAsia"/>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olor w:val="auto"/>
          <w:sz w:val="24"/>
          <w:highlight w:val="none"/>
        </w:rPr>
        <w:t>网站发布。招标文件</w:t>
      </w:r>
      <w:r>
        <w:rPr>
          <w:rFonts w:hint="eastAsia" w:ascii="宋体" w:hAnsi="宋体" w:cs="宋体"/>
          <w:color w:val="auto"/>
          <w:kern w:val="0"/>
          <w:sz w:val="24"/>
          <w:szCs w:val="24"/>
          <w:highlight w:val="none"/>
        </w:rPr>
        <w:t>一经在</w:t>
      </w:r>
      <w:r>
        <w:rPr>
          <w:rFonts w:hint="eastAsia"/>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s="宋体"/>
          <w:color w:val="auto"/>
          <w:kern w:val="0"/>
          <w:sz w:val="24"/>
          <w:szCs w:val="24"/>
          <w:highlight w:val="none"/>
        </w:rPr>
        <w:t>发布，视为发售给投标人，招标文件由投标人自行在</w:t>
      </w:r>
      <w:r>
        <w:rPr>
          <w:rFonts w:hint="eastAsia"/>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s="宋体"/>
          <w:color w:val="auto"/>
          <w:kern w:val="0"/>
          <w:sz w:val="24"/>
          <w:szCs w:val="24"/>
          <w:highlight w:val="none"/>
        </w:rPr>
        <w:t>网站下载。</w:t>
      </w:r>
    </w:p>
    <w:p>
      <w:pPr>
        <w:spacing w:line="360" w:lineRule="auto"/>
        <w:ind w:firstLine="537" w:firstLineChars="224"/>
        <w:rPr>
          <w:rFonts w:ascii="宋体"/>
          <w:color w:val="auto"/>
          <w:sz w:val="24"/>
          <w:highlight w:val="none"/>
        </w:rPr>
      </w:pPr>
      <w:r>
        <w:rPr>
          <w:rFonts w:hint="eastAsia" w:ascii="宋体" w:hAnsi="宋体"/>
          <w:color w:val="auto"/>
          <w:sz w:val="24"/>
          <w:highlight w:val="none"/>
        </w:rPr>
        <w:t>九、投标人合格条件：</w:t>
      </w:r>
    </w:p>
    <w:p>
      <w:pPr>
        <w:spacing w:line="360" w:lineRule="auto"/>
        <w:ind w:firstLine="537" w:firstLineChars="224"/>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w:t>
      </w:r>
      <w:r>
        <w:rPr>
          <w:rFonts w:hint="eastAsia" w:ascii="宋体" w:hAnsi="宋体"/>
          <w:color w:val="auto"/>
          <w:sz w:val="24"/>
          <w:highlight w:val="none"/>
        </w:rPr>
        <w:t>投标人参加投标的意思表达清楚，投标人代表被授权有效。</w:t>
      </w:r>
    </w:p>
    <w:p>
      <w:pPr>
        <w:spacing w:line="360" w:lineRule="auto"/>
        <w:ind w:firstLine="537" w:firstLineChars="224"/>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lang w:val="en-US" w:eastAsia="zh-CN"/>
        </w:rPr>
        <w:t>.</w:t>
      </w:r>
      <w:r>
        <w:rPr>
          <w:rFonts w:hint="eastAsia" w:ascii="宋体" w:hAnsi="宋体"/>
          <w:color w:val="auto"/>
          <w:sz w:val="24"/>
          <w:highlight w:val="none"/>
        </w:rPr>
        <w:t>投标人具有独立法人资格，按国家法律经营。</w:t>
      </w:r>
    </w:p>
    <w:p>
      <w:pPr>
        <w:keepNext w:val="0"/>
        <w:keepLines w:val="0"/>
        <w:widowControl w:val="0"/>
        <w:suppressLineNumbers w:val="0"/>
        <w:spacing w:before="0" w:beforeAutospacing="0" w:after="0" w:afterAutospacing="0" w:line="360" w:lineRule="auto"/>
        <w:ind w:left="0" w:right="0" w:firstLine="537" w:firstLineChars="224"/>
        <w:jc w:val="both"/>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lang w:val="en-US" w:eastAsia="zh-CN"/>
        </w:rPr>
        <w:t>.</w:t>
      </w:r>
      <w:r>
        <w:rPr>
          <w:rFonts w:hint="eastAsia" w:ascii="宋体" w:hAnsi="宋体" w:eastAsia="宋体" w:cs="宋体"/>
          <w:bCs w:val="0"/>
          <w:color w:val="auto"/>
          <w:kern w:val="0"/>
          <w:sz w:val="24"/>
          <w:szCs w:val="24"/>
          <w:highlight w:val="none"/>
          <w:lang w:val="en-US" w:eastAsia="zh-CN" w:bidi="ar"/>
        </w:rPr>
        <w:t>投标人持有建设行政主管部门颁发的</w:t>
      </w:r>
      <w:r>
        <w:rPr>
          <w:rFonts w:hint="eastAsia" w:ascii="宋体" w:hAnsi="宋体" w:eastAsia="宋体" w:cs="宋体"/>
          <w:b w:val="0"/>
          <w:color w:val="auto"/>
          <w:kern w:val="0"/>
          <w:sz w:val="24"/>
          <w:szCs w:val="24"/>
          <w:highlight w:val="none"/>
          <w:lang w:val="en-US" w:eastAsia="zh-CN" w:bidi="ar"/>
        </w:rPr>
        <w:t>有效期内的</w:t>
      </w:r>
      <w:r>
        <w:rPr>
          <w:rFonts w:hint="eastAsia" w:ascii="宋体" w:hAnsi="宋体" w:eastAsia="宋体" w:cs="宋体"/>
          <w:bCs w:val="0"/>
          <w:color w:val="auto"/>
          <w:kern w:val="0"/>
          <w:sz w:val="24"/>
          <w:szCs w:val="24"/>
          <w:highlight w:val="none"/>
          <w:lang w:val="en-US" w:eastAsia="zh-CN" w:bidi="ar"/>
        </w:rPr>
        <w:t>企业资质证书及安全生产许可证</w:t>
      </w:r>
      <w:r>
        <w:rPr>
          <w:rFonts w:hint="eastAsia" w:ascii="宋体" w:hAnsi="宋体"/>
          <w:color w:val="auto"/>
          <w:sz w:val="24"/>
          <w:highlight w:val="none"/>
        </w:rPr>
        <w:t>；</w:t>
      </w:r>
    </w:p>
    <w:p>
      <w:pPr>
        <w:pStyle w:val="15"/>
        <w:ind w:firstLine="539"/>
        <w:rPr>
          <w:rFonts w:ascii="宋体" w:hAnsi="宋体" w:eastAsia="宋体"/>
          <w:color w:val="auto"/>
          <w:sz w:val="24"/>
          <w:szCs w:val="24"/>
          <w:highlight w:val="none"/>
        </w:rPr>
      </w:pPr>
      <w:r>
        <w:rPr>
          <w:rFonts w:ascii="宋体" w:hAnsi="宋体" w:eastAsia="宋体"/>
          <w:color w:val="auto"/>
          <w:sz w:val="24"/>
          <w:szCs w:val="24"/>
          <w:highlight w:val="none"/>
        </w:rPr>
        <w:t>4</w:t>
      </w:r>
      <w:r>
        <w:rPr>
          <w:rFonts w:hint="eastAsia" w:ascii="宋体" w:hAnsi="宋体" w:eastAsia="宋体"/>
          <w:color w:val="auto"/>
          <w:sz w:val="24"/>
          <w:szCs w:val="24"/>
          <w:highlight w:val="none"/>
          <w:lang w:val="en-US" w:eastAsia="zh-CN"/>
        </w:rPr>
        <w:t>.</w:t>
      </w:r>
      <w:r>
        <w:rPr>
          <w:rFonts w:hint="eastAsia" w:ascii="宋体" w:hAnsi="宋体" w:eastAsia="宋体"/>
          <w:color w:val="auto"/>
          <w:sz w:val="24"/>
          <w:szCs w:val="24"/>
          <w:highlight w:val="none"/>
        </w:rPr>
        <w:t>投标人应具备以下资质：</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投标人具备有效的</w:t>
      </w:r>
      <w:r>
        <w:rPr>
          <w:rFonts w:hint="eastAsia" w:ascii="宋体" w:hAnsi="宋体" w:eastAsia="宋体"/>
          <w:b/>
          <w:bCs/>
          <w:color w:val="auto"/>
          <w:sz w:val="24"/>
          <w:szCs w:val="24"/>
          <w:highlight w:val="none"/>
          <w:u w:val="single"/>
        </w:rPr>
        <w:t>建筑工程施工总承包叁级（或以上）资质</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投标人拟担任本工程项目负责人的人员为：</w:t>
      </w:r>
      <w:r>
        <w:rPr>
          <w:rFonts w:hint="eastAsia" w:ascii="宋体" w:hAnsi="宋体" w:eastAsia="宋体"/>
          <w:b/>
          <w:bCs w:val="0"/>
          <w:color w:val="auto"/>
          <w:sz w:val="24"/>
          <w:szCs w:val="24"/>
          <w:highlight w:val="none"/>
          <w:u w:val="single"/>
        </w:rPr>
        <w:t>建筑工程专业</w:t>
      </w:r>
      <w:r>
        <w:rPr>
          <w:rFonts w:hint="eastAsia" w:ascii="宋体" w:hAnsi="宋体" w:eastAsia="宋体"/>
          <w:b/>
          <w:bCs w:val="0"/>
          <w:color w:val="auto"/>
          <w:sz w:val="24"/>
          <w:szCs w:val="24"/>
          <w:highlight w:val="none"/>
          <w:u w:val="single"/>
          <w:lang w:eastAsia="zh-CN"/>
        </w:rPr>
        <w:t>二级（</w:t>
      </w:r>
      <w:r>
        <w:rPr>
          <w:rFonts w:hint="eastAsia" w:ascii="宋体" w:hAnsi="宋体" w:eastAsia="宋体"/>
          <w:b/>
          <w:bCs w:val="0"/>
          <w:color w:val="auto"/>
          <w:sz w:val="24"/>
          <w:szCs w:val="24"/>
          <w:highlight w:val="none"/>
          <w:u w:val="single"/>
          <w:lang w:val="en-US" w:eastAsia="zh-CN"/>
        </w:rPr>
        <w:t>或以上</w:t>
      </w:r>
      <w:r>
        <w:rPr>
          <w:rFonts w:hint="eastAsia" w:ascii="宋体" w:hAnsi="宋体" w:eastAsia="宋体"/>
          <w:b/>
          <w:bCs w:val="0"/>
          <w:color w:val="auto"/>
          <w:sz w:val="24"/>
          <w:szCs w:val="24"/>
          <w:highlight w:val="none"/>
          <w:u w:val="single"/>
          <w:lang w:eastAsia="zh-CN"/>
        </w:rPr>
        <w:t>）</w:t>
      </w:r>
      <w:r>
        <w:rPr>
          <w:rFonts w:hint="eastAsia" w:ascii="宋体" w:hAnsi="宋体" w:eastAsia="宋体"/>
          <w:b/>
          <w:bCs w:val="0"/>
          <w:color w:val="auto"/>
          <w:sz w:val="24"/>
          <w:szCs w:val="24"/>
          <w:highlight w:val="none"/>
          <w:u w:val="single"/>
          <w:lang w:val="en-US" w:eastAsia="zh-CN"/>
        </w:rPr>
        <w:t>级别的</w:t>
      </w:r>
      <w:r>
        <w:rPr>
          <w:rFonts w:hint="eastAsia" w:ascii="宋体" w:hAnsi="宋体" w:eastAsia="宋体"/>
          <w:b/>
          <w:bCs w:val="0"/>
          <w:color w:val="auto"/>
          <w:sz w:val="24"/>
          <w:szCs w:val="24"/>
          <w:highlight w:val="none"/>
          <w:u w:val="single"/>
        </w:rPr>
        <w:t>注册建造师</w:t>
      </w:r>
      <w:r>
        <w:rPr>
          <w:rFonts w:hint="eastAsia" w:ascii="宋体" w:hAnsi="宋体" w:eastAsia="宋体" w:cs="宋体"/>
          <w:color w:val="auto"/>
          <w:sz w:val="24"/>
          <w:szCs w:val="24"/>
          <w:highlight w:val="none"/>
        </w:rPr>
        <w:t>。</w:t>
      </w:r>
    </w:p>
    <w:p>
      <w:pPr>
        <w:pStyle w:val="9"/>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sz w:val="24"/>
          <w:szCs w:val="24"/>
          <w:highlight w:val="none"/>
        </w:rPr>
      </w:pPr>
      <w:r>
        <w:rPr>
          <w:rFonts w:hint="eastAsia" w:ascii="宋体" w:hAnsi="宋体" w:eastAsia="宋体"/>
          <w:color w:val="auto"/>
          <w:sz w:val="24"/>
          <w:szCs w:val="24"/>
          <w:highlight w:val="none"/>
        </w:rPr>
        <w:t>注：①</w:t>
      </w:r>
      <w:r>
        <w:rPr>
          <w:rFonts w:hint="eastAsia" w:ascii="宋体" w:hAnsi="宋体" w:eastAsia="宋体" w:cs="宋体"/>
          <w:color w:val="auto"/>
          <w:kern w:val="0"/>
          <w:sz w:val="24"/>
          <w:szCs w:val="24"/>
          <w:highlight w:val="none"/>
          <w:lang w:val="en-US" w:eastAsia="zh-CN" w:bidi="ar"/>
        </w:rPr>
        <w:t>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的要求设置。招标内容含有设计要求，且设计要求仅为深化设计的，在投标人的资质设置要求中，不允许设置设计资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投标人还应当符合《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住房城乡建设部办公厅关于做好有关建设工程企业资质证书换领和延续工作的通知》（建办市〔2023〕47号）等相关规定。根据上述文件的要求，投标人需办理企业资质有效期延续的，应当按照相关规定及时办理。</w:t>
      </w:r>
    </w:p>
    <w:p>
      <w:pPr>
        <w:pStyle w:val="9"/>
        <w:spacing w:beforeAutospacing="0" w:afterAutospacing="0" w:line="360" w:lineRule="auto"/>
        <w:ind w:firstLine="480" w:firstLineChars="20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②根据《住房和城乡建设部办公厅关于全面实行一级建造师电子注册证书的通知》（建办市〔2021〕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pPr>
        <w:pStyle w:val="9"/>
        <w:spacing w:beforeAutospacing="0" w:afterAutospacing="0" w:line="360" w:lineRule="auto"/>
        <w:ind w:firstLine="480" w:firstLineChars="20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pPr>
        <w:pStyle w:val="9"/>
        <w:spacing w:beforeAutospacing="0" w:afterAutospacing="0" w:line="360" w:lineRule="auto"/>
        <w:ind w:firstLine="480" w:firstLineChars="200"/>
        <w:rPr>
          <w:rFonts w:hint="eastAsia" w:ascii="宋体" w:hAnsi="宋体" w:eastAsia="宋体" w:cs="宋体"/>
          <w:color w:val="auto"/>
          <w:sz w:val="24"/>
          <w:szCs w:val="24"/>
          <w:highlight w:val="none"/>
          <w:lang w:bidi="ar"/>
        </w:rPr>
      </w:pPr>
      <w:r>
        <w:rPr>
          <w:rFonts w:hint="eastAsia" w:cs="宋体"/>
          <w:color w:val="auto"/>
          <w:kern w:val="0"/>
          <w:sz w:val="24"/>
          <w:szCs w:val="24"/>
          <w:highlight w:val="none"/>
          <w:lang w:val="en-US" w:eastAsia="zh-CN" w:bidi="ar"/>
        </w:rPr>
        <w:t>③</w:t>
      </w:r>
      <w:r>
        <w:rPr>
          <w:rFonts w:hint="eastAsia" w:ascii="宋体" w:hAnsi="宋体" w:eastAsia="宋体" w:cs="宋体"/>
          <w:strike w:val="0"/>
          <w:dstrike w:val="0"/>
          <w:color w:val="auto"/>
          <w:kern w:val="0"/>
          <w:sz w:val="24"/>
          <w:szCs w:val="24"/>
          <w:highlight w:val="none"/>
          <w:lang w:val="en-US" w:eastAsia="zh-CN" w:bidi="ar"/>
        </w:rPr>
        <w:t>根据广东省住建厅《关于明确二级建造师注册执业有关问题的通知》（粤建市函〔2023〕469号），二级建造师应在考试取得执业资格的省、自治区、直辖市申请注册，二级注册建造师可随注册企业在全国范围内执业。</w:t>
      </w:r>
      <w:r>
        <w:rPr>
          <w:rFonts w:hint="eastAsia" w:ascii="宋体" w:hAnsi="宋体" w:eastAsia="宋体" w:cs="宋体"/>
          <w:color w:val="auto"/>
          <w:kern w:val="0"/>
          <w:sz w:val="24"/>
          <w:szCs w:val="24"/>
          <w:highlight w:val="none"/>
          <w:lang w:val="en-US" w:eastAsia="zh-CN" w:bidi="ar"/>
        </w:rPr>
        <w:t>项目负责人在任职期间不得担任专职安全员，项目专职安全员在任职期间也不得担任项目负责人，项目负责人和专职安全员不为同一人</w:t>
      </w:r>
      <w:r>
        <w:rPr>
          <w:rFonts w:hint="eastAsia" w:ascii="宋体" w:hAnsi="宋体" w:eastAsia="宋体" w:cs="宋体"/>
          <w:color w:val="auto"/>
          <w:sz w:val="24"/>
          <w:szCs w:val="24"/>
          <w:highlight w:val="none"/>
          <w:lang w:bidi="ar"/>
        </w:rPr>
        <w:t>。</w:t>
      </w:r>
    </w:p>
    <w:p>
      <w:pPr>
        <w:pStyle w:val="15"/>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5</w:t>
      </w:r>
      <w:r>
        <w:rPr>
          <w:rFonts w:hint="eastAsia" w:ascii="宋体" w:hAnsi="宋体" w:eastAsia="宋体"/>
          <w:color w:val="auto"/>
          <w:sz w:val="24"/>
          <w:szCs w:val="24"/>
          <w:highlight w:val="none"/>
          <w:lang w:val="en-US" w:eastAsia="zh-CN"/>
        </w:rPr>
        <w:t>.</w:t>
      </w:r>
      <w:r>
        <w:rPr>
          <w:rFonts w:ascii="宋体" w:hAnsi="宋体" w:eastAsia="宋体"/>
          <w:color w:val="auto"/>
          <w:sz w:val="24"/>
          <w:szCs w:val="24"/>
          <w:highlight w:val="none"/>
        </w:rPr>
        <w:t>项目负责人持有</w:t>
      </w:r>
      <w:r>
        <w:rPr>
          <w:rFonts w:hint="eastAsia" w:ascii="宋体" w:hAnsi="宋体" w:eastAsia="宋体"/>
          <w:color w:val="auto"/>
          <w:sz w:val="24"/>
          <w:szCs w:val="24"/>
          <w:highlight w:val="none"/>
          <w:lang w:val="en-US" w:eastAsia="zh-CN"/>
        </w:rPr>
        <w:t>在有效期内的</w:t>
      </w:r>
      <w:r>
        <w:rPr>
          <w:rFonts w:ascii="宋体" w:hAnsi="宋体" w:eastAsia="宋体"/>
          <w:color w:val="auto"/>
          <w:sz w:val="24"/>
          <w:szCs w:val="24"/>
          <w:highlight w:val="none"/>
        </w:rPr>
        <w:t>安全</w:t>
      </w:r>
      <w:r>
        <w:rPr>
          <w:rFonts w:hint="eastAsia" w:ascii="宋体" w:hAnsi="宋体" w:eastAsia="宋体"/>
          <w:color w:val="auto"/>
          <w:sz w:val="24"/>
          <w:szCs w:val="24"/>
          <w:highlight w:val="none"/>
        </w:rPr>
        <w:t>生产</w:t>
      </w:r>
      <w:r>
        <w:rPr>
          <w:rFonts w:ascii="宋体" w:hAnsi="宋体" w:eastAsia="宋体"/>
          <w:color w:val="auto"/>
          <w:sz w:val="24"/>
          <w:szCs w:val="24"/>
          <w:highlight w:val="none"/>
        </w:rPr>
        <w:t>考核合格证（B类）或</w:t>
      </w:r>
      <w:r>
        <w:rPr>
          <w:rFonts w:hint="eastAsia" w:ascii="宋体" w:hAnsi="宋体" w:eastAsia="宋体"/>
          <w:color w:val="auto"/>
          <w:sz w:val="24"/>
          <w:szCs w:val="24"/>
          <w:highlight w:val="none"/>
          <w:u w:val="single"/>
        </w:rPr>
        <w:t>建筑施工企业项目负责人安全生产考核合格证书</w:t>
      </w:r>
      <w:r>
        <w:rPr>
          <w:rFonts w:hint="eastAsia" w:ascii="宋体" w:hAnsi="宋体" w:eastAsia="宋体"/>
          <w:color w:val="auto"/>
          <w:sz w:val="24"/>
          <w:szCs w:val="24"/>
          <w:highlight w:val="none"/>
        </w:rPr>
        <w:t>；</w:t>
      </w:r>
      <w:r>
        <w:rPr>
          <w:rFonts w:ascii="宋体" w:hAnsi="宋体" w:eastAsia="宋体"/>
          <w:color w:val="auto"/>
          <w:sz w:val="24"/>
          <w:szCs w:val="24"/>
          <w:highlight w:val="none"/>
        </w:rPr>
        <w:t xml:space="preserve"> </w:t>
      </w:r>
    </w:p>
    <w:p>
      <w:pPr>
        <w:pStyle w:val="15"/>
        <w:ind w:firstLine="480" w:firstLineChars="200"/>
        <w:rPr>
          <w:rFonts w:ascii="宋体" w:hAnsi="宋体" w:eastAsia="宋体"/>
          <w:color w:val="auto"/>
          <w:sz w:val="24"/>
          <w:szCs w:val="24"/>
          <w:highlight w:val="none"/>
          <w:u w:val="single"/>
        </w:rPr>
      </w:pPr>
      <w:r>
        <w:rPr>
          <w:rFonts w:hint="eastAsia" w:ascii="宋体" w:hAnsi="宋体" w:eastAsia="宋体"/>
          <w:color w:val="auto"/>
          <w:sz w:val="24"/>
          <w:szCs w:val="24"/>
          <w:highlight w:val="none"/>
        </w:rPr>
        <w:t>6</w:t>
      </w:r>
      <w:r>
        <w:rPr>
          <w:rFonts w:hint="eastAsia" w:ascii="宋体" w:hAnsi="宋体" w:eastAsia="宋体"/>
          <w:color w:val="auto"/>
          <w:sz w:val="24"/>
          <w:szCs w:val="24"/>
          <w:highlight w:val="none"/>
          <w:lang w:val="en-US" w:eastAsia="zh-CN"/>
        </w:rPr>
        <w:t>.</w:t>
      </w:r>
      <w:r>
        <w:rPr>
          <w:rFonts w:hint="eastAsia" w:ascii="宋体" w:hAnsi="宋体" w:eastAsia="宋体"/>
          <w:color w:val="auto"/>
          <w:sz w:val="24"/>
          <w:szCs w:val="24"/>
          <w:highlight w:val="none"/>
        </w:rPr>
        <w:t>投标人拟担任本工程技术负责人的资格要求为：</w:t>
      </w:r>
      <w:r>
        <w:rPr>
          <w:rFonts w:hint="eastAsia" w:ascii="宋体" w:hAnsi="宋体" w:eastAsia="宋体"/>
          <w:color w:val="auto"/>
          <w:sz w:val="24"/>
          <w:szCs w:val="24"/>
          <w:highlight w:val="none"/>
          <w:u w:val="single"/>
        </w:rPr>
        <w:t>具有</w:t>
      </w:r>
      <w:r>
        <w:rPr>
          <w:rFonts w:hint="eastAsia" w:ascii="宋体" w:hAnsi="宋体" w:eastAsia="宋体"/>
          <w:b/>
          <w:color w:val="auto"/>
          <w:sz w:val="24"/>
          <w:szCs w:val="24"/>
          <w:highlight w:val="none"/>
          <w:u w:val="single"/>
        </w:rPr>
        <w:t>建筑工程</w:t>
      </w:r>
      <w:r>
        <w:rPr>
          <w:rFonts w:hint="eastAsia" w:ascii="宋体" w:hAnsi="宋体" w:eastAsia="宋体"/>
          <w:color w:val="auto"/>
          <w:sz w:val="24"/>
          <w:szCs w:val="24"/>
          <w:highlight w:val="none"/>
          <w:u w:val="single"/>
        </w:rPr>
        <w:t>相关专业</w:t>
      </w:r>
      <w:r>
        <w:rPr>
          <w:rFonts w:hint="eastAsia" w:ascii="宋体" w:hAnsi="宋体" w:eastAsia="宋体"/>
          <w:b/>
          <w:color w:val="auto"/>
          <w:sz w:val="24"/>
          <w:szCs w:val="24"/>
          <w:highlight w:val="none"/>
          <w:u w:val="single"/>
        </w:rPr>
        <w:t>中级</w:t>
      </w:r>
      <w:r>
        <w:rPr>
          <w:rFonts w:hint="eastAsia" w:ascii="宋体" w:hAnsi="宋体" w:eastAsia="宋体"/>
          <w:color w:val="auto"/>
          <w:sz w:val="24"/>
          <w:szCs w:val="24"/>
          <w:highlight w:val="none"/>
          <w:u w:val="single"/>
        </w:rPr>
        <w:t>或以上技术职称。</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注：</w:t>
      </w:r>
      <w:r>
        <w:rPr>
          <w:rFonts w:hint="eastAsia" w:ascii="宋体" w:hAnsi="宋体" w:cs="宋体"/>
          <w:color w:val="auto"/>
          <w:sz w:val="24"/>
          <w:szCs w:val="24"/>
          <w:highlight w:val="none"/>
        </w:rPr>
        <w:t>①</w:t>
      </w:r>
      <w:r>
        <w:rPr>
          <w:rFonts w:hint="eastAsia" w:ascii="宋体" w:hAnsi="宋体"/>
          <w:color w:val="auto"/>
          <w:sz w:val="24"/>
          <w:szCs w:val="24"/>
          <w:highlight w:val="none"/>
        </w:rPr>
        <w:t>采用施工总承包资质二级或以上的项目及地基基础工程、桥梁工程、隧道工程、钢结构工程、古建筑工程、输变电工程、环保工程专业承包资质二级或以上的项目，和采用建筑装修装饰工程、建筑机电安装工程、建筑幕墙工程、城市及道路照明工程、消防设施工程、电子与智能化工程专业承包资质一级的项目，宜要求技术负责人具备项目相适应专业的高级职称；</w:t>
      </w:r>
    </w:p>
    <w:p>
      <w:pPr>
        <w:pStyle w:val="15"/>
        <w:ind w:firstLine="480" w:firstLineChars="200"/>
        <w:rPr>
          <w:rFonts w:ascii="宋体" w:hAnsi="宋体" w:eastAsia="宋体"/>
          <w:color w:val="auto"/>
          <w:sz w:val="24"/>
          <w:szCs w:val="24"/>
          <w:highlight w:val="none"/>
        </w:rPr>
      </w:pPr>
      <w:r>
        <w:rPr>
          <w:rFonts w:hint="eastAsia" w:ascii="宋体" w:hAnsi="宋体" w:eastAsia="宋体" w:cs="宋体"/>
          <w:color w:val="auto"/>
          <w:sz w:val="24"/>
          <w:szCs w:val="24"/>
          <w:highlight w:val="none"/>
        </w:rPr>
        <w:t>②</w:t>
      </w:r>
      <w:r>
        <w:rPr>
          <w:rFonts w:hint="eastAsia" w:ascii="宋体" w:hAnsi="宋体" w:eastAsia="宋体"/>
          <w:color w:val="auto"/>
          <w:sz w:val="24"/>
          <w:szCs w:val="24"/>
          <w:highlight w:val="none"/>
        </w:rPr>
        <w:t>采用其他资质的项目，宜要求技术负责人具备项目相适应专业的中级或以上职称。</w:t>
      </w:r>
    </w:p>
    <w:p>
      <w:pPr>
        <w:spacing w:line="360" w:lineRule="auto"/>
        <w:ind w:firstLine="537" w:firstLineChars="224"/>
        <w:rPr>
          <w:rFonts w:ascii="宋体"/>
          <w:color w:val="auto"/>
          <w:kern w:val="0"/>
          <w:sz w:val="24"/>
          <w:highlight w:val="none"/>
        </w:rPr>
      </w:pPr>
      <w:r>
        <w:rPr>
          <w:rFonts w:hint="eastAsia" w:ascii="宋体" w:hAnsi="宋体"/>
          <w:color w:val="auto"/>
          <w:kern w:val="0"/>
          <w:sz w:val="24"/>
          <w:highlight w:val="none"/>
        </w:rPr>
        <w:t>7</w:t>
      </w:r>
      <w:r>
        <w:rPr>
          <w:rFonts w:hint="eastAsia" w:ascii="宋体" w:hAnsi="宋体"/>
          <w:color w:val="auto"/>
          <w:kern w:val="0"/>
          <w:sz w:val="24"/>
          <w:highlight w:val="none"/>
          <w:lang w:val="en-US" w:eastAsia="zh-CN"/>
        </w:rPr>
        <w:t>.</w:t>
      </w:r>
      <w:r>
        <w:rPr>
          <w:rFonts w:hint="eastAsia" w:ascii="宋体" w:hAnsi="宋体"/>
          <w:color w:val="auto"/>
          <w:sz w:val="24"/>
          <w:szCs w:val="24"/>
          <w:highlight w:val="none"/>
        </w:rPr>
        <w:t>专职安全员须具有安全生产考核合格证（</w:t>
      </w:r>
      <w:r>
        <w:rPr>
          <w:rFonts w:ascii="宋体" w:hAnsi="宋体"/>
          <w:color w:val="auto"/>
          <w:sz w:val="24"/>
          <w:szCs w:val="24"/>
          <w:highlight w:val="none"/>
        </w:rPr>
        <w:t>C</w:t>
      </w:r>
      <w:r>
        <w:rPr>
          <w:rFonts w:hint="eastAsia" w:ascii="宋体" w:hAnsi="宋体"/>
          <w:color w:val="auto"/>
          <w:sz w:val="24"/>
          <w:szCs w:val="24"/>
          <w:highlight w:val="none"/>
        </w:rPr>
        <w:t>类）</w:t>
      </w:r>
      <w:r>
        <w:rPr>
          <w:rFonts w:hint="eastAsia" w:ascii="宋体" w:hAnsi="宋体" w:cs="宋体"/>
          <w:color w:val="auto"/>
          <w:sz w:val="24"/>
          <w:highlight w:val="none"/>
          <w:u w:val="single"/>
        </w:rPr>
        <w:t>或建筑施工企业专职安全生产管理人员安全生产考核合格证书（C3）</w:t>
      </w:r>
      <w:r>
        <w:rPr>
          <w:rFonts w:hint="eastAsia" w:ascii="宋体" w:hAnsi="宋体"/>
          <w:color w:val="auto"/>
          <w:kern w:val="0"/>
          <w:sz w:val="24"/>
          <w:highlight w:val="none"/>
        </w:rPr>
        <w:t>。</w:t>
      </w:r>
    </w:p>
    <w:p>
      <w:pPr>
        <w:spacing w:line="360" w:lineRule="auto"/>
        <w:ind w:firstLine="537" w:firstLineChars="224"/>
        <w:rPr>
          <w:rFonts w:ascii="宋体"/>
          <w:color w:val="auto"/>
          <w:sz w:val="24"/>
          <w:highlight w:val="none"/>
        </w:rPr>
      </w:pPr>
      <w:r>
        <w:rPr>
          <w:rFonts w:hint="eastAsia" w:ascii="宋体" w:hAnsi="宋体"/>
          <w:color w:val="auto"/>
          <w:sz w:val="24"/>
          <w:highlight w:val="none"/>
        </w:rPr>
        <w:t>8</w:t>
      </w:r>
      <w:r>
        <w:rPr>
          <w:rFonts w:hint="eastAsia" w:ascii="宋体" w:hAnsi="宋体"/>
          <w:color w:val="auto"/>
          <w:sz w:val="24"/>
          <w:highlight w:val="none"/>
          <w:lang w:val="en-US" w:eastAsia="zh-CN"/>
        </w:rPr>
        <w:t>.</w:t>
      </w:r>
      <w:r>
        <w:rPr>
          <w:rFonts w:hint="eastAsia" w:ascii="宋体" w:hAnsi="宋体"/>
          <w:color w:val="auto"/>
          <w:sz w:val="24"/>
          <w:highlight w:val="none"/>
        </w:rPr>
        <w:t>投标人已按照附件一的内容签署盖章的投标人声明。</w:t>
      </w:r>
    </w:p>
    <w:p>
      <w:pPr>
        <w:spacing w:line="360" w:lineRule="auto"/>
        <w:ind w:firstLine="537" w:firstLineChars="224"/>
        <w:rPr>
          <w:rFonts w:ascii="宋体"/>
          <w:color w:val="auto"/>
          <w:sz w:val="24"/>
          <w:szCs w:val="24"/>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关于联合体投标：</w:t>
      </w:r>
      <w:r>
        <w:rPr>
          <w:rFonts w:hint="eastAsia" w:ascii="宋体" w:hAnsi="宋体"/>
          <w:color w:val="auto"/>
          <w:sz w:val="24"/>
          <w:szCs w:val="24"/>
          <w:highlight w:val="none"/>
          <w:u w:val="single"/>
        </w:rPr>
        <w:t>本项目不接受联合体投标。</w:t>
      </w:r>
    </w:p>
    <w:p>
      <w:pPr>
        <w:spacing w:line="360" w:lineRule="auto"/>
        <w:ind w:firstLine="537" w:firstLineChars="224"/>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0.</w:t>
      </w:r>
      <w:r>
        <w:rPr>
          <w:rFonts w:ascii="宋体" w:hAnsi="宋体"/>
          <w:color w:val="auto"/>
          <w:sz w:val="24"/>
          <w:highlight w:val="none"/>
        </w:rPr>
        <w:t>资格审查前，投标人须在</w:t>
      </w:r>
      <w:r>
        <w:rPr>
          <w:rFonts w:hint="eastAsia" w:ascii="宋体" w:hAnsi="宋体"/>
          <w:color w:val="auto"/>
          <w:sz w:val="24"/>
          <w:highlight w:val="none"/>
        </w:rPr>
        <w:t>广州市住房和城乡建设局建立企业信用档案及拟担任本工程项目负责人、专职安全员须是本企业信用档案中的在册人员。企业信用档案取自投标截止时间投标人在信用管理平台的信息，投标人无需提交相关资料，若招标人延长递交投标文件截止时间的，信用档案信息的评审时点也相应延长。信用档案办理详见《广州市住建行业信用管理平台施工企业信息录入指引》</w:t>
      </w:r>
    </w:p>
    <w:p>
      <w:pPr>
        <w:spacing w:line="360" w:lineRule="auto"/>
        <w:ind w:firstLine="470" w:firstLineChars="224"/>
        <w:rPr>
          <w:rFonts w:ascii="宋体" w:hAnsi="宋体"/>
          <w:color w:val="auto"/>
          <w:sz w:val="24"/>
          <w:highlight w:val="none"/>
        </w:rPr>
      </w:pPr>
      <w:r>
        <w:rPr>
          <w:color w:val="auto"/>
          <w:highlight w:val="none"/>
        </w:rPr>
        <w:fldChar w:fldCharType="begin"/>
      </w:r>
      <w:r>
        <w:rPr>
          <w:color w:val="auto"/>
          <w:highlight w:val="none"/>
        </w:rPr>
        <w:instrText xml:space="preserve"> HYPERLINK "http://zfcj.gz.gov.cn/zwgk/zsdwxxgkzl/gzsjzyglfwzx/bszy/content/post_8484886.html）" </w:instrText>
      </w:r>
      <w:r>
        <w:rPr>
          <w:color w:val="auto"/>
          <w:highlight w:val="none"/>
        </w:rPr>
        <w:fldChar w:fldCharType="separate"/>
      </w:r>
      <w:r>
        <w:rPr>
          <w:rStyle w:val="14"/>
          <w:rFonts w:ascii="宋体" w:hAnsi="宋体"/>
          <w:color w:val="auto"/>
          <w:sz w:val="24"/>
          <w:highlight w:val="none"/>
        </w:rPr>
        <w:t>http://zfcj.gz.gov.cn/zwgk/zsdwxxgkzl/gzsjzyglfwzx/bszy/content/post_8484886.html）</w:t>
      </w:r>
      <w:r>
        <w:rPr>
          <w:rStyle w:val="14"/>
          <w:rFonts w:ascii="宋体" w:hAnsi="宋体"/>
          <w:color w:val="auto"/>
          <w:sz w:val="24"/>
          <w:highlight w:val="none"/>
        </w:rPr>
        <w:fldChar w:fldCharType="end"/>
      </w:r>
    </w:p>
    <w:p>
      <w:pPr>
        <w:spacing w:line="360" w:lineRule="auto"/>
        <w:ind w:firstLine="537" w:firstLineChars="224"/>
        <w:rPr>
          <w:rFonts w:ascii="宋体" w:hAnsi="宋体"/>
          <w:color w:val="auto"/>
          <w:sz w:val="24"/>
          <w:szCs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1.</w:t>
      </w:r>
      <w:r>
        <w:rPr>
          <w:rFonts w:hint="eastAsia" w:ascii="宋体" w:hAnsi="宋体"/>
          <w:color w:val="auto"/>
          <w:sz w:val="24"/>
          <w:szCs w:val="24"/>
          <w:highlight w:val="none"/>
        </w:rPr>
        <w:t>投标人未出现以下情形：与其它投标人的单位负责人为同一人或者存在控股、管理关系的（按投标人提供的《投标人声明》第八条内容进行评审）。如不同投标申请人出现单位负责人为同一人或者存在控股、管理关系的情形，则</w:t>
      </w:r>
      <w:r>
        <w:rPr>
          <w:rFonts w:hint="eastAsia" w:ascii="宋体" w:hAnsi="宋体"/>
          <w:color w:val="auto"/>
          <w:sz w:val="24"/>
          <w:szCs w:val="24"/>
          <w:highlight w:val="none"/>
          <w:u w:val="single"/>
        </w:rPr>
        <w:t>相关投标均无效</w:t>
      </w:r>
      <w:r>
        <w:rPr>
          <w:rFonts w:hint="eastAsia" w:ascii="宋体" w:hAnsi="宋体"/>
          <w:color w:val="auto"/>
          <w:sz w:val="24"/>
          <w:szCs w:val="24"/>
          <w:highlight w:val="none"/>
        </w:rPr>
        <w:t>。</w:t>
      </w:r>
    </w:p>
    <w:p>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3.</w:t>
      </w:r>
      <w:r>
        <w:rPr>
          <w:rFonts w:hint="eastAsia" w:ascii="宋体" w:hAnsi="宋体"/>
          <w:color w:val="auto"/>
          <w:sz w:val="24"/>
          <w:szCs w:val="20"/>
          <w:highlight w:val="none"/>
        </w:rPr>
        <w:t>未被列入拖欠农民工工资失信联合惩戒对象名单</w:t>
      </w:r>
      <w:r>
        <w:rPr>
          <w:rFonts w:hint="eastAsia" w:ascii="宋体" w:hAnsi="宋体"/>
          <w:color w:val="auto"/>
          <w:sz w:val="24"/>
          <w:highlight w:val="none"/>
        </w:rPr>
        <w:t>。</w:t>
      </w:r>
    </w:p>
    <w:p>
      <w:pPr>
        <w:pStyle w:val="10"/>
        <w:tabs>
          <w:tab w:val="left" w:pos="7380"/>
        </w:tabs>
        <w:spacing w:after="0" w:line="360" w:lineRule="auto"/>
        <w:ind w:firstLine="523" w:firstLineChars="218"/>
        <w:rPr>
          <w:rFonts w:ascii="宋体"/>
          <w:color w:val="auto"/>
          <w:sz w:val="24"/>
          <w:highlight w:val="none"/>
        </w:rPr>
      </w:pPr>
      <w:r>
        <w:rPr>
          <w:rFonts w:hint="eastAsia" w:ascii="宋体" w:hAnsi="宋体"/>
          <w:color w:val="auto"/>
          <w:sz w:val="24"/>
          <w:highlight w:val="none"/>
        </w:rPr>
        <w:t>注：未在招标公告第九条单列的资审合格条件，不作为资审不合格的依据。</w:t>
      </w:r>
    </w:p>
    <w:p>
      <w:pPr>
        <w:snapToGrid w:val="0"/>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rPr>
        <w:t>十、资格审查方式：</w:t>
      </w:r>
    </w:p>
    <w:p>
      <w:pPr>
        <w:widowControl/>
        <w:snapToGrid w:val="0"/>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rPr>
        <w:t>本工程采用资格后审方式，由评标委员会负责资格审查。</w:t>
      </w:r>
    </w:p>
    <w:p>
      <w:pPr>
        <w:snapToGrid w:val="0"/>
        <w:spacing w:line="360" w:lineRule="auto"/>
        <w:rPr>
          <w:rFonts w:ascii="宋体" w:hAnsi="宋体"/>
          <w:color w:val="auto"/>
          <w:sz w:val="24"/>
          <w:highlight w:val="none"/>
        </w:rPr>
      </w:pPr>
      <w:r>
        <w:rPr>
          <w:rFonts w:hint="eastAsia" w:ascii="宋体" w:hAnsi="宋体"/>
          <w:color w:val="auto"/>
          <w:sz w:val="24"/>
          <w:highlight w:val="none"/>
        </w:rPr>
        <w:t xml:space="preserve">    十一、资格审查结果将在</w:t>
      </w:r>
      <w:r>
        <w:rPr>
          <w:rFonts w:hint="eastAsia" w:ascii="宋体" w:hAnsi="宋体" w:cs="宋体"/>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olor w:val="auto"/>
          <w:sz w:val="24"/>
          <w:highlight w:val="none"/>
        </w:rPr>
        <w:t>和广东省招标投标监管网公示，</w:t>
      </w:r>
      <w:r>
        <w:rPr>
          <w:rFonts w:hint="eastAsia" w:ascii="宋体" w:hAnsi="宋体"/>
          <w:bCs/>
          <w:color w:val="auto"/>
          <w:sz w:val="24"/>
          <w:highlight w:val="none"/>
        </w:rPr>
        <w:t>公示时间不得少于3日。</w:t>
      </w:r>
    </w:p>
    <w:p>
      <w:pPr>
        <w:snapToGrid w:val="0"/>
        <w:spacing w:line="360" w:lineRule="auto"/>
        <w:rPr>
          <w:rFonts w:ascii="宋体" w:hAnsi="宋体"/>
          <w:color w:val="auto"/>
          <w:sz w:val="24"/>
          <w:highlight w:val="none"/>
        </w:rPr>
      </w:pPr>
      <w:r>
        <w:rPr>
          <w:rFonts w:hint="eastAsia" w:ascii="宋体" w:hAnsi="宋体"/>
          <w:color w:val="auto"/>
          <w:sz w:val="24"/>
          <w:highlight w:val="none"/>
        </w:rPr>
        <w:t xml:space="preserve">    十二、满足资格审查合格条件的投标人不足3名或通过有效性审查的投标人不足3名时招标失败。招标人分析招标失败原因，修正招标方案，报有关管理部门核准后，重新组织招标。</w:t>
      </w:r>
    </w:p>
    <w:p>
      <w:pPr>
        <w:spacing w:line="360" w:lineRule="auto"/>
        <w:ind w:firstLine="537" w:firstLineChars="224"/>
        <w:rPr>
          <w:rFonts w:ascii="宋体"/>
          <w:color w:val="auto"/>
          <w:sz w:val="24"/>
          <w:highlight w:val="none"/>
        </w:rPr>
      </w:pPr>
      <w:r>
        <w:rPr>
          <w:rFonts w:hint="eastAsia" w:ascii="宋体" w:hAnsi="宋体"/>
          <w:color w:val="auto"/>
          <w:sz w:val="24"/>
          <w:highlight w:val="none"/>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spacing w:line="360" w:lineRule="auto"/>
        <w:ind w:firstLine="480" w:firstLineChars="200"/>
        <w:rPr>
          <w:rFonts w:ascii="宋体"/>
          <w:color w:val="auto"/>
          <w:sz w:val="24"/>
          <w:szCs w:val="24"/>
          <w:highlight w:val="none"/>
        </w:rPr>
      </w:pPr>
      <w:r>
        <w:rPr>
          <w:rFonts w:hint="eastAsia" w:ascii="宋体" w:hAnsi="宋体"/>
          <w:color w:val="auto"/>
          <w:sz w:val="24"/>
          <w:highlight w:val="none"/>
        </w:rPr>
        <w:t>十四、投标文件全部采用电子文档，投标人按招标文件要求提交投标文件。若投标文件中的部分内容要求取自广州市住建行业信用管理平台的，则投标人选择平台中记录的该部分上传件将被视为投标人递交投标文件的一部分，不需重复提交（类似工程业绩需提供项目名称及项目编号）。评标委员会对该部分资料的审查将以递交投标文件截止时间在广州市住建行业信用管理平台内上</w:t>
      </w:r>
      <w:r>
        <w:rPr>
          <w:rFonts w:hint="eastAsia" w:ascii="宋体" w:hAnsi="宋体"/>
          <w:color w:val="auto"/>
          <w:sz w:val="24"/>
          <w:highlight w:val="none"/>
          <w:lang w:eastAsia="zh-CN"/>
        </w:rPr>
        <w:t>传文</w:t>
      </w:r>
      <w:r>
        <w:rPr>
          <w:rFonts w:hint="eastAsia" w:ascii="宋体" w:hAnsi="宋体"/>
          <w:color w:val="auto"/>
          <w:sz w:val="24"/>
          <w:highlight w:val="none"/>
        </w:rPr>
        <w:t>件为依据。若招标人延长递交投标文件截止时间的，以上资料的评审时点也相应延长。投标人应及时维护其在广州市住建行业信用管理平台登记的信息及上传件，确保各项信息及上传件在有效期内。</w:t>
      </w:r>
    </w:p>
    <w:p>
      <w:pPr>
        <w:spacing w:line="360" w:lineRule="auto"/>
        <w:ind w:left="239" w:leftChars="114" w:firstLine="297" w:firstLineChars="124"/>
        <w:rPr>
          <w:rFonts w:ascii="宋体" w:hAnsi="宋体"/>
          <w:color w:val="auto"/>
          <w:sz w:val="24"/>
          <w:highlight w:val="none"/>
        </w:rPr>
      </w:pPr>
      <w:r>
        <w:rPr>
          <w:rFonts w:hint="eastAsia" w:ascii="宋体" w:hAnsi="宋体"/>
          <w:color w:val="auto"/>
          <w:sz w:val="24"/>
          <w:highlight w:val="none"/>
        </w:rPr>
        <w:t>十五、潜在投标人或利害关系人对本招标公告及招标文件有异议的，应当在投标截止时间10日前向招标人书面提出。</w:t>
      </w:r>
    </w:p>
    <w:p>
      <w:pPr>
        <w:spacing w:line="360" w:lineRule="auto"/>
        <w:ind w:left="239" w:leftChars="114" w:firstLine="297" w:firstLineChars="124"/>
        <w:rPr>
          <w:rFonts w:hint="eastAsia" w:ascii="宋体" w:hAnsi="宋体" w:eastAsia="宋体"/>
          <w:color w:val="auto"/>
          <w:sz w:val="24"/>
          <w:highlight w:val="none"/>
          <w:lang w:eastAsia="zh-CN"/>
        </w:rPr>
      </w:pPr>
      <w:r>
        <w:rPr>
          <w:rFonts w:hint="eastAsia" w:ascii="宋体" w:hAnsi="宋体"/>
          <w:color w:val="auto"/>
          <w:sz w:val="24"/>
          <w:highlight w:val="none"/>
        </w:rPr>
        <w:t>异议受理部门：</w:t>
      </w:r>
      <w:r>
        <w:rPr>
          <w:rFonts w:hint="eastAsia" w:ascii="宋体" w:hAnsi="宋体"/>
          <w:color w:val="auto"/>
          <w:sz w:val="24"/>
          <w:highlight w:val="none"/>
          <w:u w:val="single"/>
          <w:lang w:eastAsia="zh-CN"/>
        </w:rPr>
        <w:t>广东外语外贸大学</w:t>
      </w:r>
    </w:p>
    <w:p>
      <w:pPr>
        <w:spacing w:line="360" w:lineRule="auto"/>
        <w:ind w:left="239" w:leftChars="114" w:firstLine="297" w:firstLineChars="124"/>
        <w:rPr>
          <w:rFonts w:hint="eastAsia" w:ascii="宋体" w:hAnsi="宋体" w:eastAsia="宋体"/>
          <w:color w:val="auto"/>
          <w:sz w:val="24"/>
          <w:highlight w:val="none"/>
          <w:lang w:eastAsia="zh-CN"/>
        </w:rPr>
      </w:pPr>
      <w:r>
        <w:rPr>
          <w:rFonts w:hint="eastAsia" w:ascii="宋体" w:hAnsi="宋体"/>
          <w:color w:val="auto"/>
          <w:sz w:val="24"/>
          <w:highlight w:val="none"/>
        </w:rPr>
        <w:t>异议受理电话：</w:t>
      </w:r>
      <w:r>
        <w:rPr>
          <w:rFonts w:hint="eastAsia" w:ascii="宋体" w:hAnsi="宋体"/>
          <w:color w:val="auto"/>
          <w:sz w:val="24"/>
          <w:highlight w:val="none"/>
          <w:u w:val="single"/>
          <w:lang w:eastAsia="zh-CN"/>
        </w:rPr>
        <w:t>020-36207135</w:t>
      </w:r>
    </w:p>
    <w:p>
      <w:pPr>
        <w:spacing w:line="360" w:lineRule="auto"/>
        <w:ind w:left="239" w:leftChars="114" w:firstLine="297" w:firstLineChars="124"/>
        <w:rPr>
          <w:rFonts w:hint="eastAsia" w:ascii="宋体" w:hAnsi="宋体" w:eastAsia="宋体"/>
          <w:color w:val="auto"/>
          <w:sz w:val="24"/>
          <w:highlight w:val="none"/>
          <w:lang w:eastAsia="zh-CN"/>
        </w:rPr>
      </w:pPr>
      <w:r>
        <w:rPr>
          <w:rFonts w:hint="eastAsia" w:ascii="宋体" w:hAnsi="宋体"/>
          <w:color w:val="auto"/>
          <w:sz w:val="24"/>
          <w:highlight w:val="none"/>
        </w:rPr>
        <w:t>地址：</w:t>
      </w:r>
      <w:r>
        <w:rPr>
          <w:rFonts w:hint="eastAsia" w:ascii="宋体" w:hAnsi="宋体"/>
          <w:color w:val="auto"/>
          <w:sz w:val="24"/>
          <w:highlight w:val="none"/>
          <w:u w:val="single"/>
          <w:lang w:eastAsia="zh-CN"/>
        </w:rPr>
        <w:t>广州市白云区白云大道北2号</w:t>
      </w:r>
    </w:p>
    <w:p>
      <w:pPr>
        <w:spacing w:line="360" w:lineRule="auto"/>
        <w:ind w:left="239" w:leftChars="114" w:firstLine="297" w:firstLineChars="124"/>
        <w:rPr>
          <w:rFonts w:ascii="宋体" w:hAnsi="宋体"/>
          <w:color w:val="auto"/>
          <w:sz w:val="24"/>
          <w:highlight w:val="none"/>
        </w:rPr>
      </w:pPr>
      <w:r>
        <w:rPr>
          <w:rFonts w:hint="eastAsia" w:ascii="宋体" w:hAnsi="宋体"/>
          <w:color w:val="auto"/>
          <w:sz w:val="24"/>
          <w:highlight w:val="none"/>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spacing w:line="360" w:lineRule="auto"/>
        <w:ind w:left="239" w:leftChars="114" w:firstLine="297" w:firstLineChars="124"/>
        <w:rPr>
          <w:rFonts w:ascii="宋体"/>
          <w:color w:val="auto"/>
          <w:sz w:val="24"/>
          <w:highlight w:val="none"/>
        </w:rPr>
      </w:pPr>
      <w:r>
        <w:rPr>
          <w:rFonts w:hint="eastAsia" w:ascii="宋体" w:hAnsi="宋体"/>
          <w:color w:val="auto"/>
          <w:sz w:val="24"/>
          <w:highlight w:val="none"/>
        </w:rPr>
        <w:t>十六、本公告在广州公共资源交易中心网站（网址：http://www.gzggzy.cn）、广东省招标投标监管网（网址：</w:t>
      </w:r>
      <w:r>
        <w:rPr>
          <w:rFonts w:ascii="宋体" w:hAnsi="宋体"/>
          <w:color w:val="auto"/>
          <w:sz w:val="24"/>
          <w:highlight w:val="none"/>
        </w:rPr>
        <w:t>http://zbtb.gd.gov.cn</w:t>
      </w:r>
      <w:r>
        <w:rPr>
          <w:rFonts w:hint="eastAsia" w:ascii="宋体" w:hAnsi="宋体"/>
          <w:color w:val="auto"/>
          <w:sz w:val="24"/>
          <w:highlight w:val="none"/>
        </w:rPr>
        <w:t>）和中国招标投标公共服务平台（网址：http://www.cebpubservice.com/）发布，本公告的修改、补充，在广州公共资源交易中心网站发布。</w:t>
      </w:r>
    </w:p>
    <w:p>
      <w:pPr>
        <w:spacing w:line="360" w:lineRule="auto"/>
        <w:ind w:firstLine="537" w:firstLineChars="224"/>
        <w:rPr>
          <w:rFonts w:ascii="宋体"/>
          <w:color w:val="auto"/>
          <w:sz w:val="24"/>
          <w:highlight w:val="none"/>
        </w:rPr>
      </w:pPr>
      <w:r>
        <w:rPr>
          <w:rFonts w:hint="eastAsia" w:ascii="宋体" w:hAnsi="宋体"/>
          <w:color w:val="auto"/>
          <w:sz w:val="24"/>
          <w:highlight w:val="none"/>
        </w:rPr>
        <w:t>十七、本招标公告及招标文件使用GZZB2018-3招标文件范本。本公告与范本内容不同之处均以下划线标明，所有标明下划线部分属于本公告的组成部分，同其他部分具有同样的效力。</w:t>
      </w:r>
    </w:p>
    <w:p>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十八、招标公告网上发布时，同时发布招标文件、施工图纸、最高投标限价。本工程根据国家和省有关计价规范设置最高投标限价。招标公告发布之日起计算编制投标文件时间，编制投标文件的时间不得少于20天。</w:t>
      </w:r>
    </w:p>
    <w:p>
      <w:pPr>
        <w:spacing w:line="360" w:lineRule="auto"/>
        <w:ind w:firstLine="537" w:firstLineChars="224"/>
        <w:rPr>
          <w:rFonts w:ascii="宋体"/>
          <w:color w:val="auto"/>
          <w:sz w:val="24"/>
          <w:highlight w:val="none"/>
        </w:rPr>
      </w:pPr>
      <w:r>
        <w:rPr>
          <w:rFonts w:hint="eastAsia" w:ascii="宋体"/>
          <w:color w:val="auto"/>
          <w:sz w:val="24"/>
          <w:highlight w:val="none"/>
        </w:rPr>
        <w:t>十九、《投诉处理决定书》和《行政处理决定书》在</w:t>
      </w:r>
      <w:r>
        <w:rPr>
          <w:rFonts w:hint="eastAsia" w:ascii="宋体" w:hAnsi="宋体"/>
          <w:color w:val="auto"/>
          <w:sz w:val="24"/>
          <w:highlight w:val="none"/>
        </w:rPr>
        <w:t>广州市住房和城乡建设局</w:t>
      </w:r>
      <w:r>
        <w:rPr>
          <w:rFonts w:hint="eastAsia" w:ascii="宋体"/>
          <w:color w:val="auto"/>
          <w:sz w:val="24"/>
          <w:highlight w:val="none"/>
        </w:rPr>
        <w:t>网站上公布的，视为送达其他与决定书有关的当事人。</w:t>
      </w:r>
    </w:p>
    <w:p>
      <w:pPr>
        <w:spacing w:line="360" w:lineRule="auto"/>
        <w:ind w:firstLine="537" w:firstLineChars="224"/>
        <w:rPr>
          <w:rFonts w:ascii="宋体"/>
          <w:color w:val="auto"/>
          <w:sz w:val="24"/>
          <w:highlight w:val="none"/>
        </w:rPr>
      </w:pPr>
      <w:r>
        <w:rPr>
          <w:rFonts w:hint="eastAsia" w:ascii="宋体"/>
          <w:color w:val="auto"/>
          <w:sz w:val="24"/>
          <w:highlight w:val="none"/>
        </w:rPr>
        <w:t>特别提示：投标人在本项目招标人的工程项目中存在下列行为的，将被拒绝</w:t>
      </w:r>
      <w:r>
        <w:rPr>
          <w:rFonts w:hint="eastAsia" w:ascii="宋体"/>
          <w:color w:val="auto"/>
          <w:sz w:val="24"/>
          <w:highlight w:val="none"/>
          <w:u w:val="single"/>
        </w:rPr>
        <w:t>一年内</w:t>
      </w:r>
      <w:r>
        <w:rPr>
          <w:rFonts w:hint="eastAsia" w:ascii="宋体"/>
          <w:color w:val="auto"/>
          <w:sz w:val="24"/>
          <w:highlight w:val="none"/>
        </w:rPr>
        <w:t>参与招标人后续工程投标。（</w:t>
      </w:r>
      <w:r>
        <w:rPr>
          <w:rFonts w:hint="eastAsia" w:ascii="宋体"/>
          <w:color w:val="auto"/>
          <w:sz w:val="24"/>
          <w:highlight w:val="none"/>
          <w:u w:val="single"/>
        </w:rPr>
        <w:t>注：拒绝投标时限自招标人发出通知之日起计</w:t>
      </w:r>
      <w:r>
        <w:rPr>
          <w:rFonts w:hint="eastAsia" w:ascii="宋体"/>
          <w:color w:val="auto"/>
          <w:sz w:val="24"/>
          <w:highlight w:val="none"/>
        </w:rPr>
        <w:t>）：</w:t>
      </w:r>
    </w:p>
    <w:p>
      <w:pPr>
        <w:spacing w:line="360" w:lineRule="auto"/>
        <w:ind w:firstLine="537" w:firstLineChars="224"/>
        <w:rPr>
          <w:rFonts w:ascii="宋体"/>
          <w:color w:val="auto"/>
          <w:sz w:val="24"/>
          <w:highlight w:val="none"/>
        </w:rPr>
      </w:pPr>
      <w:r>
        <w:rPr>
          <w:rFonts w:hint="eastAsia" w:ascii="宋体"/>
          <w:color w:val="auto"/>
          <w:sz w:val="24"/>
          <w:highlight w:val="none"/>
        </w:rPr>
        <w:t>1.将中标工程转包或者违法分包的；</w:t>
      </w:r>
    </w:p>
    <w:p>
      <w:pPr>
        <w:spacing w:line="360" w:lineRule="auto"/>
        <w:ind w:firstLine="537" w:firstLineChars="224"/>
        <w:rPr>
          <w:rFonts w:ascii="宋体"/>
          <w:color w:val="auto"/>
          <w:sz w:val="24"/>
          <w:highlight w:val="none"/>
        </w:rPr>
      </w:pPr>
      <w:r>
        <w:rPr>
          <w:rFonts w:hint="eastAsia" w:ascii="宋体"/>
          <w:color w:val="auto"/>
          <w:sz w:val="24"/>
          <w:highlight w:val="none"/>
        </w:rPr>
        <w:t>2.在中标工程中不执行质量、安全生产相关规定的，造成质量或安全事故的；</w:t>
      </w:r>
    </w:p>
    <w:p>
      <w:pPr>
        <w:spacing w:line="360" w:lineRule="auto"/>
        <w:ind w:firstLine="537" w:firstLineChars="224"/>
        <w:rPr>
          <w:rFonts w:ascii="宋体"/>
          <w:color w:val="auto"/>
          <w:sz w:val="24"/>
          <w:highlight w:val="none"/>
        </w:rPr>
      </w:pPr>
      <w:r>
        <w:rPr>
          <w:rFonts w:hint="eastAsia" w:ascii="宋体"/>
          <w:color w:val="auto"/>
          <w:sz w:val="24"/>
          <w:highlight w:val="none"/>
        </w:rPr>
        <w:t>3.存在围标或串标情形的；</w:t>
      </w:r>
    </w:p>
    <w:p>
      <w:pPr>
        <w:spacing w:line="360" w:lineRule="auto"/>
        <w:ind w:firstLine="537" w:firstLineChars="224"/>
        <w:rPr>
          <w:rFonts w:ascii="宋体"/>
          <w:color w:val="auto"/>
          <w:sz w:val="24"/>
          <w:highlight w:val="none"/>
        </w:rPr>
      </w:pPr>
      <w:r>
        <w:rPr>
          <w:rFonts w:hint="eastAsia" w:ascii="宋体"/>
          <w:color w:val="auto"/>
          <w:sz w:val="24"/>
          <w:highlight w:val="none"/>
        </w:rPr>
        <w:t>4.在投标文件中提供虚假材料的；</w:t>
      </w:r>
    </w:p>
    <w:p>
      <w:pPr>
        <w:spacing w:line="360" w:lineRule="auto"/>
        <w:ind w:firstLine="537" w:firstLineChars="224"/>
        <w:rPr>
          <w:rFonts w:ascii="宋体"/>
          <w:color w:val="auto"/>
          <w:sz w:val="24"/>
          <w:highlight w:val="none"/>
        </w:rPr>
      </w:pPr>
      <w:r>
        <w:rPr>
          <w:rFonts w:hint="eastAsia" w:ascii="宋体"/>
          <w:color w:val="auto"/>
          <w:sz w:val="24"/>
          <w:highlight w:val="none"/>
        </w:rPr>
        <w:t>5.存在行贿情形的；</w:t>
      </w:r>
    </w:p>
    <w:p>
      <w:pPr>
        <w:spacing w:line="360" w:lineRule="auto"/>
        <w:ind w:firstLine="537" w:firstLineChars="224"/>
        <w:rPr>
          <w:rFonts w:ascii="宋体"/>
          <w:color w:val="auto"/>
          <w:sz w:val="24"/>
          <w:highlight w:val="none"/>
        </w:rPr>
      </w:pPr>
      <w:r>
        <w:rPr>
          <w:rFonts w:hint="eastAsia" w:ascii="宋体"/>
          <w:color w:val="auto"/>
          <w:sz w:val="24"/>
          <w:highlight w:val="none"/>
        </w:rPr>
        <w:t>6.拖欠农民工工资的；</w:t>
      </w:r>
    </w:p>
    <w:p>
      <w:pPr>
        <w:spacing w:line="360" w:lineRule="auto"/>
        <w:ind w:firstLine="537" w:firstLineChars="224"/>
        <w:rPr>
          <w:rFonts w:ascii="宋体"/>
          <w:color w:val="auto"/>
          <w:sz w:val="24"/>
          <w:highlight w:val="none"/>
        </w:rPr>
      </w:pPr>
      <w:r>
        <w:rPr>
          <w:rFonts w:hint="eastAsia" w:ascii="宋体"/>
          <w:color w:val="auto"/>
          <w:sz w:val="24"/>
          <w:highlight w:val="none"/>
        </w:rPr>
        <w:t>7.未按照国家、省、市有关建筑施工实名制管理和工人工资支付分账管理的规定执行，被行政监管部门处罚的；</w:t>
      </w:r>
    </w:p>
    <w:p>
      <w:pPr>
        <w:spacing w:line="360" w:lineRule="auto"/>
        <w:ind w:firstLine="537" w:firstLineChars="224"/>
        <w:rPr>
          <w:rFonts w:ascii="宋体"/>
          <w:color w:val="auto"/>
          <w:sz w:val="24"/>
          <w:highlight w:val="none"/>
        </w:rPr>
      </w:pPr>
      <w:r>
        <w:rPr>
          <w:rFonts w:hint="eastAsia" w:ascii="宋体"/>
          <w:color w:val="auto"/>
          <w:sz w:val="24"/>
          <w:highlight w:val="none"/>
        </w:rPr>
        <w:t>8.中标人在项目实施过程中选取的专业分包单位或劳务企业或劳务班组长与投标时不一致的（如有）；</w:t>
      </w:r>
    </w:p>
    <w:p>
      <w:pPr>
        <w:spacing w:line="360" w:lineRule="auto"/>
        <w:ind w:firstLine="537" w:firstLineChars="224"/>
        <w:rPr>
          <w:rFonts w:ascii="宋体"/>
          <w:color w:val="auto"/>
          <w:sz w:val="24"/>
          <w:highlight w:val="none"/>
        </w:rPr>
      </w:pPr>
      <w:r>
        <w:rPr>
          <w:rFonts w:hint="eastAsia" w:ascii="宋体"/>
          <w:color w:val="auto"/>
          <w:sz w:val="24"/>
          <w:highlight w:val="none"/>
          <w:u w:val="single"/>
        </w:rPr>
        <w:t>9.存在因过错行为被生效法律文书认定承担违约或侵权责任的。</w:t>
      </w:r>
    </w:p>
    <w:p>
      <w:pPr>
        <w:spacing w:line="360" w:lineRule="auto"/>
        <w:ind w:right="1348" w:rightChars="642" w:firstLine="5760" w:firstLineChars="2400"/>
        <w:rPr>
          <w:rFonts w:ascii="宋体" w:hAnsi="宋体"/>
          <w:color w:val="auto"/>
          <w:sz w:val="24"/>
          <w:highlight w:val="none"/>
        </w:rPr>
      </w:pPr>
    </w:p>
    <w:p>
      <w:pPr>
        <w:spacing w:line="360" w:lineRule="auto"/>
        <w:ind w:right="1348" w:rightChars="642"/>
        <w:jc w:val="right"/>
        <w:rPr>
          <w:rFonts w:hint="eastAsia" w:ascii="宋体" w:eastAsia="宋体"/>
          <w:color w:val="auto"/>
          <w:sz w:val="24"/>
          <w:highlight w:val="none"/>
          <w:lang w:eastAsia="zh-CN"/>
        </w:rPr>
      </w:pPr>
      <w:r>
        <w:rPr>
          <w:rFonts w:hint="eastAsia" w:ascii="宋体" w:hAnsi="宋体"/>
          <w:color w:val="auto"/>
          <w:sz w:val="24"/>
          <w:highlight w:val="none"/>
        </w:rPr>
        <w:t>招标人名称：</w:t>
      </w:r>
      <w:r>
        <w:rPr>
          <w:rFonts w:hint="eastAsia" w:ascii="宋体" w:hAnsi="宋体" w:cs="宋体"/>
          <w:color w:val="auto"/>
          <w:kern w:val="0"/>
          <w:sz w:val="24"/>
          <w:szCs w:val="24"/>
          <w:highlight w:val="none"/>
          <w:u w:val="single"/>
          <w:shd w:val="clear" w:color="auto" w:fill="FFFFFF"/>
          <w:lang w:eastAsia="zh-CN" w:bidi="ar"/>
        </w:rPr>
        <w:t>广东外语外贸大学</w:t>
      </w:r>
    </w:p>
    <w:p>
      <w:pPr>
        <w:spacing w:line="360" w:lineRule="auto"/>
        <w:ind w:right="1348" w:rightChars="642"/>
        <w:jc w:val="right"/>
        <w:rPr>
          <w:rFonts w:ascii="宋体"/>
          <w:color w:val="auto"/>
          <w:sz w:val="24"/>
          <w:highlight w:val="none"/>
        </w:rPr>
      </w:pPr>
      <w:r>
        <w:rPr>
          <w:rFonts w:hint="eastAsia" w:ascii="宋体" w:hAnsi="宋体"/>
          <w:color w:val="auto"/>
          <w:sz w:val="24"/>
          <w:highlight w:val="none"/>
        </w:rPr>
        <w:t>招标代理名称</w:t>
      </w:r>
      <w:r>
        <w:rPr>
          <w:rFonts w:hint="eastAsia" w:ascii="宋体" w:hAnsi="宋体" w:cs="宋体"/>
          <w:color w:val="auto"/>
          <w:kern w:val="0"/>
          <w:sz w:val="24"/>
          <w:szCs w:val="24"/>
          <w:highlight w:val="none"/>
        </w:rPr>
        <w:t>:</w:t>
      </w:r>
      <w:r>
        <w:rPr>
          <w:rFonts w:hint="eastAsia" w:ascii="宋体" w:hAnsi="宋体" w:cs="宋体"/>
          <w:color w:val="auto"/>
          <w:sz w:val="24"/>
          <w:szCs w:val="24"/>
          <w:highlight w:val="none"/>
          <w:u w:val="single"/>
        </w:rPr>
        <w:t>北京中交建设工程咨询有限公司</w:t>
      </w:r>
    </w:p>
    <w:p>
      <w:pPr>
        <w:spacing w:line="360" w:lineRule="auto"/>
        <w:ind w:right="1348" w:rightChars="642" w:firstLine="4860" w:firstLineChars="2025"/>
        <w:jc w:val="right"/>
        <w:rPr>
          <w:rFonts w:hint="eastAsia" w:ascii="宋体" w:hAnsi="宋体"/>
          <w:color w:val="auto"/>
          <w:sz w:val="24"/>
          <w:highlight w:val="none"/>
        </w:rPr>
      </w:pPr>
      <w:r>
        <w:rPr>
          <w:rFonts w:hint="eastAsia" w:ascii="宋体" w:hAnsi="宋体"/>
          <w:color w:val="auto"/>
          <w:sz w:val="24"/>
          <w:highlight w:val="none"/>
          <w:u w:val="single"/>
        </w:rPr>
        <w:t>202</w:t>
      </w:r>
      <w:r>
        <w:rPr>
          <w:rFonts w:hint="default" w:ascii="宋体" w:hAnsi="宋体"/>
          <w:color w:val="auto"/>
          <w:sz w:val="24"/>
          <w:highlight w:val="none"/>
          <w:u w:val="single"/>
        </w:rPr>
        <w:t>4</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ind w:right="1348" w:rightChars="642" w:firstLine="4860" w:firstLineChars="2025"/>
        <w:jc w:val="center"/>
        <w:rPr>
          <w:rFonts w:hint="eastAsia" w:ascii="宋体" w:hAnsi="宋体"/>
          <w:color w:val="auto"/>
          <w:sz w:val="24"/>
          <w:highlight w:val="none"/>
        </w:rPr>
      </w:pPr>
    </w:p>
    <w:p>
      <w:pPr>
        <w:spacing w:line="480" w:lineRule="auto"/>
        <w:ind w:firstLine="537" w:firstLineChars="224"/>
        <w:rPr>
          <w:rFonts w:ascii="宋体"/>
          <w:color w:val="auto"/>
          <w:sz w:val="24"/>
          <w:highlight w:val="none"/>
        </w:rPr>
        <w:sectPr>
          <w:headerReference r:id="rId3" w:type="default"/>
          <w:footerReference r:id="rId4" w:type="default"/>
          <w:footerReference r:id="rId5" w:type="even"/>
          <w:endnotePr>
            <w:numFmt w:val="decimal"/>
          </w:endnotePr>
          <w:pgSz w:w="11906" w:h="16838"/>
          <w:pgMar w:top="1440" w:right="1440" w:bottom="1440" w:left="144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spacing w:line="360" w:lineRule="auto"/>
        <w:rPr>
          <w:b/>
          <w:color w:val="auto"/>
          <w:sz w:val="44"/>
          <w:highlight w:val="none"/>
        </w:rPr>
      </w:pPr>
      <w:r>
        <w:rPr>
          <w:rFonts w:hint="eastAsia" w:ascii="宋体" w:hAnsi="宋体"/>
          <w:color w:val="auto"/>
          <w:sz w:val="24"/>
          <w:highlight w:val="none"/>
        </w:rPr>
        <w:t>附件一：</w:t>
      </w:r>
    </w:p>
    <w:p>
      <w:pPr>
        <w:jc w:val="center"/>
        <w:rPr>
          <w:b/>
          <w:color w:val="auto"/>
          <w:sz w:val="44"/>
          <w:szCs w:val="44"/>
          <w:highlight w:val="none"/>
        </w:rPr>
      </w:pPr>
      <w:r>
        <w:rPr>
          <w:rFonts w:hint="eastAsia"/>
          <w:b/>
          <w:color w:val="auto"/>
          <w:kern w:val="0"/>
          <w:sz w:val="44"/>
          <w:szCs w:val="44"/>
          <w:highlight w:val="none"/>
        </w:rPr>
        <w:t>投标人</w:t>
      </w:r>
      <w:r>
        <w:rPr>
          <w:rFonts w:hint="eastAsia"/>
          <w:b/>
          <w:color w:val="auto"/>
          <w:sz w:val="44"/>
          <w:szCs w:val="44"/>
          <w:highlight w:val="none"/>
        </w:rPr>
        <w:t>声明</w:t>
      </w:r>
    </w:p>
    <w:p>
      <w:pPr>
        <w:jc w:val="center"/>
        <w:rPr>
          <w:b/>
          <w:color w:val="auto"/>
          <w:sz w:val="44"/>
          <w:szCs w:val="44"/>
          <w:highlight w:val="none"/>
        </w:rPr>
      </w:pPr>
    </w:p>
    <w:p>
      <w:pPr>
        <w:pStyle w:val="15"/>
        <w:ind w:firstLine="0"/>
        <w:rPr>
          <w:rFonts w:ascii="宋体" w:hAnsi="宋体" w:eastAsia="宋体"/>
          <w:color w:val="auto"/>
          <w:sz w:val="24"/>
          <w:szCs w:val="24"/>
          <w:highlight w:val="none"/>
        </w:rPr>
      </w:pPr>
      <w:r>
        <w:rPr>
          <w:rFonts w:hint="eastAsia" w:ascii="宋体" w:hAnsi="宋体" w:eastAsia="宋体"/>
          <w:color w:val="auto"/>
          <w:sz w:val="24"/>
          <w:szCs w:val="24"/>
          <w:highlight w:val="none"/>
        </w:rPr>
        <w:t>广州市住房和城乡建设局、本招标项目招标人及招标监管机构：</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本公司就参加</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rPr>
        <w:t xml:space="preserve">（项目名称） </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投标工作，作出郑重声明：</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一、本公司保证投标文件及其后提供的一切材料都是真实的。如我司成为本项目中标候选人，我司同意并授权招标人将我司投标文件商务部分的人员、业绩、奖项等资料进行公开。</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二、本公司保证在本项目投标中不与其他单位围标、串标，不出让投标资格，不向招标人或评标委员会成员行贿。</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三、本公司不存在下列情形之一：</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（一）为招标人不具有独立法人资格的附属机构（单位）；</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（二）为本标段前期准备提供设计或咨询服务或者与本项目设计人或提供咨询服务的机构存在附属关系的；</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（三）为本标段监理人或者与本标段监理人存在隶属关系或者其他利害关系；</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（四）为本标段的代建人；</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（五）为本标段提供招标代理服务的；</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（六）与本标段的监理人或代建人或招标代理机构同为一个法定代表人的；</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（七）与本标段的监理人或代建人或招标代理机构互相控股或参股的；</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（八）与本标段的监理人或代建人或招标代理机构相互任职或工作的；</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（九）与本标段的检测机构有隶属关系或者其他利害关系；</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（十）与招标人存在利害关系且可能影响招标公正性； </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（十一）被依法暂停或取消投标资格的；（</w:t>
      </w:r>
      <w:r>
        <w:rPr>
          <w:rFonts w:hint="eastAsia" w:ascii="宋体" w:hAnsi="宋体" w:eastAsia="宋体"/>
          <w:color w:val="auto"/>
          <w:sz w:val="24"/>
          <w:szCs w:val="24"/>
          <w:highlight w:val="none"/>
          <w:lang w:val="zh-CN"/>
        </w:rPr>
        <w:t>本项事实应当以根据《中华人民共和国行政处罚法》依法作出并已经生效的行政处罚决定为认定依据。行政处罚决定中已经明确的暂停或取消投标资格的区域范围不包含本标段建设地点的，不受该项规定限制</w:t>
      </w:r>
      <w:r>
        <w:rPr>
          <w:rFonts w:hint="eastAsia" w:ascii="宋体" w:hAnsi="宋体" w:eastAsia="宋体"/>
          <w:color w:val="auto"/>
          <w:sz w:val="24"/>
          <w:szCs w:val="24"/>
          <w:highlight w:val="none"/>
        </w:rPr>
        <w:t xml:space="preserve">） </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（十二）被责令停产停业、暂扣或者吊销许可证、暂扣或者吊销执照的（</w:t>
      </w:r>
      <w:r>
        <w:rPr>
          <w:rFonts w:hint="eastAsia" w:ascii="宋体" w:hAnsi="宋体" w:eastAsia="宋体"/>
          <w:color w:val="auto"/>
          <w:sz w:val="24"/>
          <w:szCs w:val="24"/>
          <w:highlight w:val="none"/>
          <w:lang w:val="zh-CN"/>
        </w:rPr>
        <w:t>本项事实应当以根据《中华人民共和国行政处罚法》依法作出并已经生效的行政处罚决定为认定依据。</w:t>
      </w:r>
      <w:r>
        <w:rPr>
          <w:rFonts w:hint="eastAsia" w:ascii="宋体" w:hAnsi="宋体" w:eastAsia="宋体"/>
          <w:color w:val="auto"/>
          <w:sz w:val="24"/>
          <w:szCs w:val="24"/>
          <w:highlight w:val="none"/>
        </w:rPr>
        <w:t>）；</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（十三）进入清算程序，或被宣布破产，或其他丧失履约能力的情形；</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（十四）在最近三年内有严重违约或重大工程质量问题的；（</w:t>
      </w:r>
      <w:r>
        <w:rPr>
          <w:rFonts w:hint="eastAsia" w:ascii="宋体" w:hAnsi="宋体" w:eastAsia="宋体"/>
          <w:color w:val="auto"/>
          <w:sz w:val="24"/>
          <w:szCs w:val="24"/>
          <w:highlight w:val="none"/>
          <w:lang w:val="zh-CN"/>
        </w:rPr>
        <w:t>“严重违约”事实应当以</w:t>
      </w:r>
      <w:r>
        <w:rPr>
          <w:rFonts w:hint="eastAsia" w:ascii="宋体" w:hAnsi="宋体" w:eastAsia="宋体"/>
          <w:color w:val="auto"/>
          <w:sz w:val="24"/>
          <w:szCs w:val="24"/>
          <w:highlight w:val="none"/>
        </w:rPr>
        <w:t>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（十五）法律法规规定的其他情形。</w:t>
      </w:r>
    </w:p>
    <w:p>
      <w:pPr>
        <w:pStyle w:val="15"/>
        <w:numPr>
          <w:ilvl w:val="0"/>
          <w:numId w:val="1"/>
        </w:numPr>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本公司保证：本项目拟派的项目负责人没有在其他在建项目中任施工单位项目负责人，本项目拟派的专职安全员没有在其他在建项目中任职。</w:t>
      </w:r>
    </w:p>
    <w:p>
      <w:pPr>
        <w:pStyle w:val="15"/>
        <w:numPr>
          <w:ilvl w:val="0"/>
          <w:numId w:val="1"/>
        </w:numPr>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六、本公司承诺，</w:t>
      </w:r>
      <w:r>
        <w:rPr>
          <w:rFonts w:hint="default" w:ascii="宋体" w:hAnsi="宋体" w:eastAsia="宋体"/>
          <w:color w:val="auto"/>
          <w:sz w:val="24"/>
          <w:szCs w:val="24"/>
          <w:highlight w:val="none"/>
        </w:rPr>
        <w:t>中标后按招标文件第一章中投标须知前附表第35条的规定执行，落实中小企业承担的合同份额，</w:t>
      </w:r>
      <w:r>
        <w:rPr>
          <w:rFonts w:hint="eastAsia" w:ascii="宋体" w:hAnsi="宋体" w:eastAsia="宋体"/>
          <w:color w:val="auto"/>
          <w:sz w:val="24"/>
          <w:szCs w:val="24"/>
          <w:highlight w:val="none"/>
        </w:rPr>
        <w:t>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适用于施工总承包招标项目）。</w:t>
      </w:r>
    </w:p>
    <w:p>
      <w:pPr>
        <w:pStyle w:val="15"/>
        <w:ind w:firstLine="482" w:firstLineChars="200"/>
        <w:rPr>
          <w:rFonts w:ascii="宋体" w:hAnsi="宋体" w:eastAsia="宋体"/>
          <w:b/>
          <w:color w:val="auto"/>
          <w:sz w:val="24"/>
          <w:szCs w:val="24"/>
          <w:highlight w:val="none"/>
        </w:rPr>
      </w:pPr>
      <w:r>
        <w:rPr>
          <w:rFonts w:hint="eastAsia" w:ascii="宋体" w:hAnsi="宋体" w:eastAsia="宋体"/>
          <w:b/>
          <w:color w:val="auto"/>
          <w:sz w:val="24"/>
          <w:szCs w:val="24"/>
          <w:highlight w:val="none"/>
        </w:rPr>
        <w:t>八、与本公司单位负责人为同一人或者与本公司存在控股、管理关系的其他单位包括：</w:t>
      </w:r>
      <w:r>
        <w:rPr>
          <w:rFonts w:hint="eastAsia" w:ascii="宋体" w:hAnsi="宋体" w:eastAsia="宋体"/>
          <w:b/>
          <w:color w:val="auto"/>
          <w:sz w:val="24"/>
          <w:szCs w:val="24"/>
          <w:highlight w:val="none"/>
          <w:u w:val="single"/>
        </w:rPr>
        <w:t xml:space="preserve">                </w:t>
      </w:r>
      <w:r>
        <w:rPr>
          <w:rFonts w:hint="eastAsia" w:ascii="宋体" w:hAnsi="宋体" w:eastAsia="宋体"/>
          <w:b/>
          <w:color w:val="auto"/>
          <w:sz w:val="24"/>
          <w:szCs w:val="24"/>
          <w:highlight w:val="none"/>
        </w:rPr>
        <w:t>。（注：本条由投标人如实填写，如有，应列出全部满足招标公告资质要求的相关单位的名称；如无，则填写“无”。）</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九、本公司拟委派专职安全员兼任本工程的工地余泥渣土运输与排放管理员，严格遵守建设工程余泥渣土运输与排放管理制度，执行“一不准进、三不准出”规定，选择合法的余泥渣土运输单位及排放点。</w:t>
      </w:r>
    </w:p>
    <w:p>
      <w:pPr>
        <w:pStyle w:val="15"/>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pStyle w:val="15"/>
        <w:ind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十一、本公司违反上述保证，或本声明陈述与事实不符，一经查实将按相关规定进行信用记录。本公司对失信行为产生的一切后果已知悉。其中，本声明陈述与事实不符的，属于弄虚作假骗取中标，将依法接受监管部门的处罚。</w:t>
      </w:r>
    </w:p>
    <w:p>
      <w:pPr>
        <w:pStyle w:val="15"/>
        <w:ind w:firstLine="720" w:firstLineChars="300"/>
        <w:jc w:val="left"/>
        <w:rPr>
          <w:rFonts w:ascii="宋体" w:hAnsi="宋体" w:eastAsia="宋体"/>
          <w:color w:val="auto"/>
          <w:sz w:val="24"/>
          <w:szCs w:val="24"/>
          <w:highlight w:val="none"/>
        </w:rPr>
      </w:pPr>
    </w:p>
    <w:p>
      <w:pPr>
        <w:pStyle w:val="15"/>
        <w:rPr>
          <w:rFonts w:ascii="宋体" w:hAnsi="宋体" w:eastAsia="宋体"/>
          <w:color w:val="auto"/>
          <w:sz w:val="24"/>
          <w:szCs w:val="24"/>
          <w:highlight w:val="none"/>
        </w:rPr>
      </w:pPr>
      <w:r>
        <w:rPr>
          <w:rFonts w:hint="eastAsia" w:ascii="宋体" w:hAnsi="宋体" w:eastAsia="宋体"/>
          <w:color w:val="auto"/>
          <w:sz w:val="24"/>
          <w:szCs w:val="24"/>
          <w:highlight w:val="none"/>
        </w:rPr>
        <w:t>特此声明</w:t>
      </w:r>
    </w:p>
    <w:p>
      <w:pPr>
        <w:pStyle w:val="16"/>
        <w:ind w:left="0" w:right="0"/>
        <w:jc w:val="both"/>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 xml:space="preserve">            声明企业：</w:t>
      </w:r>
    </w:p>
    <w:p>
      <w:pPr>
        <w:pStyle w:val="15"/>
        <w:ind w:right="0" w:firstLine="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法定代表人签字：</w:t>
      </w:r>
    </w:p>
    <w:p>
      <w:pPr>
        <w:pStyle w:val="15"/>
        <w:ind w:right="0" w:firstLine="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项目负责人签字:</w:t>
      </w:r>
    </w:p>
    <w:p>
      <w:pPr>
        <w:pStyle w:val="15"/>
        <w:ind w:right="0" w:firstLine="2160" w:firstLineChars="9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技术负责人签字：</w:t>
      </w:r>
    </w:p>
    <w:p>
      <w:pPr>
        <w:pStyle w:val="15"/>
        <w:ind w:right="0" w:firstLine="2160" w:firstLineChars="900"/>
        <w:jc w:val="right"/>
        <w:rPr>
          <w:rFonts w:ascii="宋体" w:hAnsi="宋体" w:eastAsia="宋体"/>
          <w:color w:val="auto"/>
          <w:sz w:val="24"/>
          <w:szCs w:val="24"/>
          <w:highlight w:val="none"/>
        </w:rPr>
      </w:pPr>
      <w:r>
        <w:rPr>
          <w:rFonts w:hint="eastAsia" w:ascii="宋体" w:hAnsi="宋体" w:eastAsia="宋体"/>
          <w:color w:val="auto"/>
          <w:sz w:val="24"/>
          <w:szCs w:val="24"/>
          <w:highlight w:val="none"/>
        </w:rPr>
        <w:t>年</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月</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日</w:t>
      </w:r>
    </w:p>
    <w:p>
      <w:pPr>
        <w:spacing w:line="360" w:lineRule="auto"/>
        <w:rPr>
          <w:rFonts w:ascii="宋体"/>
          <w:color w:val="auto"/>
          <w:sz w:val="24"/>
          <w:szCs w:val="24"/>
          <w:highlight w:val="none"/>
        </w:rPr>
      </w:pPr>
      <w:r>
        <w:rPr>
          <w:rFonts w:hint="eastAsia" w:ascii="宋体" w:hAnsi="宋体"/>
          <w:color w:val="auto"/>
          <w:sz w:val="24"/>
          <w:szCs w:val="24"/>
          <w:highlight w:val="none"/>
        </w:rPr>
        <w:t xml:space="preserve">                                                       </w:t>
      </w:r>
      <w:r>
        <w:rPr>
          <w:rFonts w:hint="eastAsia" w:ascii="宋体" w:hAnsi="宋体"/>
          <w:color w:val="auto"/>
          <w:kern w:val="0"/>
          <w:sz w:val="24"/>
          <w:szCs w:val="24"/>
          <w:highlight w:val="none"/>
        </w:rPr>
        <w:t>（企业公章）</w:t>
      </w:r>
    </w:p>
    <w:p>
      <w:pPr>
        <w:widowControl/>
        <w:snapToGrid w:val="0"/>
        <w:spacing w:line="360" w:lineRule="auto"/>
        <w:ind w:right="0"/>
        <w:jc w:val="left"/>
        <w:rPr>
          <w:rFonts w:ascii="宋体" w:hAnsi="宋体"/>
          <w:color w:val="auto"/>
          <w:sz w:val="24"/>
          <w:szCs w:val="24"/>
          <w:highlight w:val="none"/>
        </w:rPr>
      </w:pPr>
      <w:r>
        <w:rPr>
          <w:rFonts w:hint="eastAsia" w:ascii="宋体" w:hAnsi="宋体"/>
          <w:color w:val="auto"/>
          <w:sz w:val="24"/>
          <w:szCs w:val="24"/>
          <w:highlight w:val="none"/>
        </w:rPr>
        <w:t>注：招标人应当要求投标人的项目负责人和技术负责人签字。</w:t>
      </w:r>
    </w:p>
    <w:p>
      <w:pPr>
        <w:spacing w:line="360" w:lineRule="auto"/>
        <w:rPr>
          <w:rFonts w:ascii="宋体" w:hAnsi="宋体"/>
          <w:color w:val="auto"/>
          <w:szCs w:val="21"/>
          <w:highlight w:val="none"/>
        </w:rPr>
      </w:pPr>
      <w:r>
        <w:rPr>
          <w:rFonts w:hint="eastAsia" w:ascii="宋体" w:hAnsi="宋体"/>
          <w:color w:val="auto"/>
          <w:szCs w:val="21"/>
          <w:highlight w:val="none"/>
        </w:rPr>
        <w:t xml:space="preserve"> </w:t>
      </w:r>
    </w:p>
    <w:p>
      <w:pPr>
        <w:spacing w:line="360" w:lineRule="auto"/>
        <w:rPr>
          <w:rFonts w:ascii="宋体" w:hAnsi="宋体"/>
          <w:color w:val="auto"/>
          <w:szCs w:val="21"/>
          <w:highlight w:val="none"/>
        </w:rPr>
      </w:pPr>
    </w:p>
    <w:p>
      <w:pPr>
        <w:pStyle w:val="5"/>
        <w:rPr>
          <w:rFonts w:hAnsi="宋体"/>
          <w:color w:val="auto"/>
          <w:szCs w:val="21"/>
          <w:highlight w:val="none"/>
        </w:rPr>
      </w:pPr>
    </w:p>
    <w:p>
      <w:pPr>
        <w:pStyle w:val="5"/>
        <w:rPr>
          <w:rFonts w:hAnsi="宋体"/>
          <w:color w:val="auto"/>
          <w:szCs w:val="21"/>
          <w:highlight w:val="none"/>
        </w:rPr>
      </w:pPr>
    </w:p>
    <w:p>
      <w:pPr>
        <w:pStyle w:val="5"/>
        <w:rPr>
          <w:rFonts w:hAnsi="宋体"/>
          <w:color w:val="auto"/>
          <w:szCs w:val="21"/>
          <w:highlight w:val="none"/>
        </w:rPr>
      </w:pPr>
    </w:p>
    <w:p>
      <w:pPr>
        <w:pStyle w:val="5"/>
        <w:rPr>
          <w:rFonts w:hAnsi="宋体"/>
          <w:color w:val="auto"/>
          <w:szCs w:val="21"/>
          <w:highlight w:val="none"/>
        </w:rPr>
      </w:pPr>
    </w:p>
    <w:p>
      <w:pPr>
        <w:pStyle w:val="5"/>
        <w:rPr>
          <w:rFonts w:hAnsi="宋体"/>
          <w:color w:val="auto"/>
          <w:szCs w:val="21"/>
          <w:highlight w:val="none"/>
        </w:rPr>
      </w:pPr>
    </w:p>
    <w:p>
      <w:pPr>
        <w:pStyle w:val="5"/>
        <w:rPr>
          <w:rFonts w:hAnsi="宋体"/>
          <w:color w:val="auto"/>
          <w:szCs w:val="21"/>
          <w:highlight w:val="none"/>
        </w:rPr>
      </w:pPr>
    </w:p>
    <w:p>
      <w:pPr>
        <w:pStyle w:val="5"/>
        <w:rPr>
          <w:rFonts w:hAnsi="宋体"/>
          <w:color w:val="auto"/>
          <w:szCs w:val="21"/>
          <w:highlight w:val="none"/>
        </w:rPr>
      </w:pPr>
    </w:p>
    <w:p>
      <w:pPr>
        <w:pStyle w:val="5"/>
        <w:rPr>
          <w:rFonts w:hAnsi="宋体"/>
          <w:color w:val="auto"/>
          <w:szCs w:val="21"/>
          <w:highlight w:val="none"/>
        </w:rPr>
      </w:pPr>
    </w:p>
    <w:p>
      <w:pPr>
        <w:pStyle w:val="5"/>
        <w:rPr>
          <w:rFonts w:hAnsi="宋体"/>
          <w:color w:val="auto"/>
          <w:szCs w:val="21"/>
          <w:highlight w:val="none"/>
        </w:rPr>
      </w:pPr>
    </w:p>
    <w:p>
      <w:pPr>
        <w:pStyle w:val="5"/>
        <w:rPr>
          <w:rFonts w:hAnsi="宋体"/>
          <w:color w:val="auto"/>
          <w:szCs w:val="21"/>
          <w:highlight w:val="none"/>
        </w:rPr>
      </w:pPr>
    </w:p>
    <w:p>
      <w:pPr>
        <w:pStyle w:val="5"/>
        <w:rPr>
          <w:rFonts w:hAnsi="宋体"/>
          <w:color w:val="auto"/>
          <w:szCs w:val="21"/>
          <w:highlight w:val="none"/>
        </w:rPr>
      </w:pPr>
    </w:p>
    <w:p>
      <w:pPr>
        <w:spacing w:line="360" w:lineRule="auto"/>
        <w:rPr>
          <w:rFonts w:ascii="宋体" w:hAnsi="宋体"/>
          <w:color w:val="auto"/>
          <w:sz w:val="24"/>
          <w:highlight w:val="none"/>
        </w:rPr>
        <w:sectPr>
          <w:headerReference r:id="rId8" w:type="first"/>
          <w:footerReference r:id="rId11" w:type="first"/>
          <w:headerReference r:id="rId6" w:type="default"/>
          <w:footerReference r:id="rId9" w:type="default"/>
          <w:headerReference r:id="rId7" w:type="even"/>
          <w:footerReference r:id="rId10" w:type="even"/>
          <w:endnotePr>
            <w:numFmt w:val="decimal"/>
          </w:endnotePr>
          <w:pgSz w:w="11906" w:h="16838"/>
          <w:pgMar w:top="1134" w:right="1418" w:bottom="1247" w:left="1418" w:header="851" w:footer="907" w:gutter="0"/>
          <w:pgBorders>
            <w:top w:val="none" w:sz="0" w:space="0"/>
            <w:left w:val="none" w:sz="0" w:space="0"/>
            <w:bottom w:val="none" w:sz="0" w:space="0"/>
            <w:right w:val="none" w:sz="0" w:space="0"/>
          </w:pgBorders>
          <w:cols w:space="425" w:num="1"/>
          <w:titlePg/>
          <w:docGrid w:type="lines" w:linePitch="312" w:charSpace="0"/>
        </w:sectPr>
      </w:pPr>
    </w:p>
    <w:p>
      <w:pPr>
        <w:spacing w:line="360" w:lineRule="auto"/>
        <w:rPr>
          <w:b/>
          <w:color w:val="auto"/>
          <w:sz w:val="44"/>
          <w:highlight w:val="none"/>
        </w:rPr>
      </w:pPr>
      <w:r>
        <w:rPr>
          <w:rFonts w:hint="eastAsia" w:ascii="宋体" w:hAnsi="宋体"/>
          <w:color w:val="auto"/>
          <w:sz w:val="24"/>
          <w:highlight w:val="none"/>
        </w:rPr>
        <w:t>附件二：</w:t>
      </w:r>
    </w:p>
    <w:p>
      <w:pPr>
        <w:jc w:val="center"/>
        <w:rPr>
          <w:rFonts w:ascii="Arial" w:hAnsi="Arial"/>
          <w:b/>
          <w:color w:val="auto"/>
          <w:kern w:val="44"/>
          <w:sz w:val="28"/>
          <w:szCs w:val="28"/>
          <w:highlight w:val="none"/>
        </w:rPr>
      </w:pPr>
      <w:r>
        <w:rPr>
          <w:rFonts w:hint="eastAsia" w:ascii="Arial" w:hAnsi="Arial"/>
          <w:b/>
          <w:color w:val="auto"/>
          <w:kern w:val="44"/>
          <w:sz w:val="28"/>
          <w:szCs w:val="28"/>
          <w:highlight w:val="none"/>
        </w:rPr>
        <w:t>施工项目管理团队人员信息表</w:t>
      </w:r>
    </w:p>
    <w:tbl>
      <w:tblPr>
        <w:tblStyle w:val="11"/>
        <w:tblW w:w="8675" w:type="dxa"/>
        <w:tblInd w:w="0" w:type="dxa"/>
        <w:tblLayout w:type="fixed"/>
        <w:tblCellMar>
          <w:top w:w="0" w:type="dxa"/>
          <w:left w:w="0" w:type="dxa"/>
          <w:bottom w:w="0" w:type="dxa"/>
          <w:right w:w="0" w:type="dxa"/>
        </w:tblCellMar>
      </w:tblPr>
      <w:tblGrid>
        <w:gridCol w:w="658"/>
        <w:gridCol w:w="1447"/>
        <w:gridCol w:w="1933"/>
        <w:gridCol w:w="1620"/>
        <w:gridCol w:w="3017"/>
      </w:tblGrid>
      <w:tr>
        <w:tblPrEx>
          <w:tblCellMar>
            <w:top w:w="0" w:type="dxa"/>
            <w:left w:w="0" w:type="dxa"/>
            <w:bottom w:w="0" w:type="dxa"/>
            <w:right w:w="0" w:type="dxa"/>
          </w:tblCellMar>
        </w:tblPrEx>
        <w:trPr>
          <w:trHeight w:val="617" w:hRule="atLeast"/>
        </w:trPr>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b/>
                <w:sz w:val="24"/>
                <w:szCs w:val="24"/>
              </w:rPr>
            </w:pPr>
            <w:r>
              <w:rPr>
                <w:rFonts w:hint="eastAsia" w:ascii="仿宋" w:hAnsi="仿宋" w:eastAsia="仿宋" w:cs="仿宋"/>
                <w:b/>
                <w:kern w:val="0"/>
                <w:sz w:val="24"/>
                <w:szCs w:val="24"/>
              </w:rPr>
              <w:t>序号</w:t>
            </w:r>
          </w:p>
        </w:tc>
        <w:tc>
          <w:tcPr>
            <w:tcW w:w="1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b/>
                <w:sz w:val="24"/>
                <w:szCs w:val="24"/>
              </w:rPr>
            </w:pPr>
            <w:r>
              <w:rPr>
                <w:rFonts w:hint="eastAsia" w:ascii="仿宋" w:hAnsi="仿宋" w:eastAsia="仿宋" w:cs="仿宋"/>
                <w:b/>
                <w:kern w:val="0"/>
                <w:sz w:val="24"/>
                <w:szCs w:val="24"/>
              </w:rPr>
              <w:t>姓名</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b/>
                <w:sz w:val="24"/>
                <w:szCs w:val="24"/>
              </w:rPr>
            </w:pPr>
            <w:r>
              <w:rPr>
                <w:rFonts w:hint="eastAsia" w:ascii="仿宋" w:hAnsi="仿宋" w:eastAsia="仿宋" w:cs="仿宋"/>
                <w:b/>
                <w:kern w:val="0"/>
                <w:sz w:val="24"/>
                <w:szCs w:val="24"/>
              </w:rPr>
              <w:t>岗位</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b/>
                <w:sz w:val="24"/>
                <w:szCs w:val="24"/>
              </w:rPr>
            </w:pPr>
            <w:r>
              <w:rPr>
                <w:rFonts w:hint="eastAsia" w:ascii="仿宋" w:hAnsi="仿宋" w:eastAsia="仿宋" w:cs="仿宋"/>
                <w:b/>
                <w:kern w:val="0"/>
                <w:sz w:val="24"/>
                <w:szCs w:val="24"/>
              </w:rPr>
              <w:t>职称</w:t>
            </w:r>
          </w:p>
        </w:tc>
        <w:tc>
          <w:tcPr>
            <w:tcW w:w="3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b/>
                <w:sz w:val="24"/>
                <w:szCs w:val="24"/>
              </w:rPr>
            </w:pPr>
            <w:r>
              <w:rPr>
                <w:rFonts w:hint="eastAsia" w:ascii="仿宋" w:hAnsi="仿宋" w:eastAsia="仿宋" w:cs="仿宋"/>
                <w:b/>
                <w:kern w:val="0"/>
                <w:sz w:val="24"/>
                <w:szCs w:val="24"/>
              </w:rPr>
              <w:t>职称证书或资格证书编号</w:t>
            </w:r>
          </w:p>
        </w:tc>
      </w:tr>
      <w:tr>
        <w:tblPrEx>
          <w:tblCellMar>
            <w:top w:w="0" w:type="dxa"/>
            <w:left w:w="0" w:type="dxa"/>
            <w:bottom w:w="0" w:type="dxa"/>
            <w:right w:w="0" w:type="dxa"/>
          </w:tblCellMar>
        </w:tblPrEx>
        <w:trPr>
          <w:trHeight w:val="480" w:hRule="atLeast"/>
        </w:trPr>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73" w:leftChars="-35" w:right="-61" w:rightChars="-29"/>
              <w:jc w:val="center"/>
              <w:rPr>
                <w:rFonts w:ascii="仿宋" w:hAnsi="仿宋" w:eastAsia="仿宋" w:cs="仿宋"/>
                <w:sz w:val="24"/>
                <w:szCs w:val="24"/>
              </w:rPr>
            </w:pPr>
            <w:r>
              <w:rPr>
                <w:rFonts w:hint="eastAsia" w:ascii="宋体" w:hAnsi="宋体" w:cs="宋体"/>
                <w:sz w:val="24"/>
                <w:szCs w:val="24"/>
              </w:rPr>
              <w:t>1</w:t>
            </w:r>
          </w:p>
        </w:tc>
        <w:tc>
          <w:tcPr>
            <w:tcW w:w="1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sz w:val="24"/>
                <w:szCs w:val="24"/>
              </w:rPr>
            </w:pP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73" w:leftChars="-35" w:right="-61" w:rightChars="-29"/>
              <w:jc w:val="center"/>
              <w:rPr>
                <w:rFonts w:ascii="仿宋" w:hAnsi="仿宋" w:eastAsia="仿宋" w:cs="仿宋"/>
                <w:sz w:val="24"/>
                <w:szCs w:val="24"/>
              </w:rPr>
            </w:pPr>
            <w:r>
              <w:rPr>
                <w:rFonts w:hint="eastAsia" w:ascii="宋体" w:hAnsi="宋体" w:cs="宋体"/>
                <w:szCs w:val="21"/>
              </w:rPr>
              <w:t>技术负责人</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sz w:val="24"/>
                <w:szCs w:val="24"/>
              </w:rPr>
            </w:pPr>
          </w:p>
        </w:tc>
        <w:tc>
          <w:tcPr>
            <w:tcW w:w="3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73" w:leftChars="-35" w:right="-61" w:rightChars="-29"/>
              <w:jc w:val="center"/>
              <w:rPr>
                <w:rFonts w:ascii="仿宋" w:hAnsi="仿宋" w:eastAsia="仿宋" w:cs="仿宋"/>
                <w:sz w:val="24"/>
                <w:szCs w:val="24"/>
              </w:rPr>
            </w:pPr>
            <w:r>
              <w:rPr>
                <w:rFonts w:hint="eastAsia" w:ascii="宋体" w:hAnsi="宋体" w:cs="宋体"/>
                <w:sz w:val="24"/>
                <w:szCs w:val="24"/>
              </w:rPr>
              <w:t>2</w:t>
            </w:r>
          </w:p>
        </w:tc>
        <w:tc>
          <w:tcPr>
            <w:tcW w:w="1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sz w:val="24"/>
                <w:szCs w:val="24"/>
              </w:rPr>
            </w:pP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s="仿宋"/>
                <w:sz w:val="24"/>
                <w:szCs w:val="24"/>
              </w:rPr>
            </w:pPr>
            <w:r>
              <w:rPr>
                <w:rFonts w:hint="eastAsia" w:ascii="宋体" w:hAnsi="宋体" w:cs="宋体"/>
                <w:szCs w:val="21"/>
              </w:rPr>
              <w:t>安全负责人</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sz w:val="24"/>
                <w:szCs w:val="24"/>
              </w:rPr>
            </w:pPr>
          </w:p>
        </w:tc>
        <w:tc>
          <w:tcPr>
            <w:tcW w:w="3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73" w:leftChars="-35" w:right="-61" w:rightChars="-29"/>
              <w:jc w:val="center"/>
              <w:rPr>
                <w:rFonts w:ascii="仿宋" w:hAnsi="仿宋" w:eastAsia="仿宋" w:cs="仿宋"/>
                <w:sz w:val="24"/>
                <w:szCs w:val="24"/>
              </w:rPr>
            </w:pPr>
            <w:r>
              <w:rPr>
                <w:rFonts w:hint="eastAsia" w:ascii="宋体" w:hAnsi="宋体" w:cs="宋体"/>
                <w:sz w:val="24"/>
                <w:szCs w:val="24"/>
              </w:rPr>
              <w:t>3</w:t>
            </w:r>
          </w:p>
        </w:tc>
        <w:tc>
          <w:tcPr>
            <w:tcW w:w="1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sz w:val="24"/>
                <w:szCs w:val="24"/>
              </w:rPr>
            </w:pP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s="仿宋"/>
                <w:sz w:val="24"/>
                <w:szCs w:val="24"/>
              </w:rPr>
            </w:pPr>
            <w:r>
              <w:rPr>
                <w:rFonts w:hint="eastAsia" w:ascii="宋体" w:hAnsi="宋体" w:cs="宋体"/>
                <w:szCs w:val="21"/>
              </w:rPr>
              <w:t>质量负责人</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sz w:val="24"/>
                <w:szCs w:val="24"/>
              </w:rPr>
            </w:pPr>
          </w:p>
        </w:tc>
        <w:tc>
          <w:tcPr>
            <w:tcW w:w="3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73" w:leftChars="-35" w:right="-61" w:rightChars="-29"/>
              <w:jc w:val="center"/>
              <w:rPr>
                <w:rFonts w:ascii="仿宋" w:hAnsi="仿宋" w:eastAsia="仿宋" w:cs="仿宋"/>
                <w:sz w:val="24"/>
                <w:szCs w:val="24"/>
              </w:rPr>
            </w:pPr>
            <w:r>
              <w:rPr>
                <w:rFonts w:hint="eastAsia" w:ascii="宋体" w:hAnsi="宋体" w:cs="宋体"/>
                <w:sz w:val="24"/>
                <w:szCs w:val="24"/>
              </w:rPr>
              <w:t>4</w:t>
            </w:r>
          </w:p>
        </w:tc>
        <w:tc>
          <w:tcPr>
            <w:tcW w:w="1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sz w:val="24"/>
                <w:szCs w:val="24"/>
              </w:rPr>
            </w:pP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s="仿宋"/>
                <w:sz w:val="24"/>
                <w:szCs w:val="24"/>
              </w:rPr>
            </w:pPr>
            <w:r>
              <w:rPr>
                <w:rFonts w:hint="eastAsia" w:ascii="宋体" w:hAnsi="宋体" w:cs="宋体"/>
                <w:szCs w:val="21"/>
              </w:rPr>
              <w:t>造价负责人</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sz w:val="24"/>
                <w:szCs w:val="24"/>
              </w:rPr>
            </w:pPr>
          </w:p>
        </w:tc>
        <w:tc>
          <w:tcPr>
            <w:tcW w:w="3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73" w:leftChars="-35" w:right="-61" w:rightChars="-29"/>
              <w:jc w:val="center"/>
              <w:rPr>
                <w:rFonts w:ascii="宋体" w:hAnsi="宋体" w:cs="宋体"/>
                <w:sz w:val="24"/>
                <w:szCs w:val="24"/>
              </w:rPr>
            </w:pPr>
            <w:r>
              <w:rPr>
                <w:rFonts w:hint="eastAsia" w:ascii="宋体" w:hAnsi="宋体" w:cs="宋体"/>
                <w:sz w:val="24"/>
                <w:szCs w:val="24"/>
              </w:rPr>
              <w:t>...</w:t>
            </w:r>
          </w:p>
        </w:tc>
        <w:tc>
          <w:tcPr>
            <w:tcW w:w="1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sz w:val="24"/>
                <w:szCs w:val="24"/>
              </w:rPr>
            </w:pP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宋体" w:hAnsi="宋体" w:cs="宋体"/>
                <w:szCs w:val="21"/>
              </w:rPr>
            </w:pPr>
            <w:r>
              <w:rPr>
                <w:rFonts w:hint="eastAsia" w:ascii="宋体" w:hAnsi="宋体" w:cs="宋体"/>
                <w:szCs w:val="21"/>
              </w:rPr>
              <w:t>...</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sz w:val="24"/>
                <w:szCs w:val="24"/>
              </w:rPr>
            </w:pPr>
          </w:p>
        </w:tc>
        <w:tc>
          <w:tcPr>
            <w:tcW w:w="3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415" w:hRule="atLeast"/>
        </w:trPr>
        <w:tc>
          <w:tcPr>
            <w:tcW w:w="86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left"/>
              <w:rPr>
                <w:rFonts w:ascii="宋体" w:hAnsi="宋体" w:cs="宋体"/>
                <w:szCs w:val="21"/>
              </w:rPr>
            </w:pPr>
            <w:r>
              <w:rPr>
                <w:rFonts w:hint="eastAsia" w:ascii="宋体" w:hAnsi="宋体" w:cs="宋体"/>
                <w:szCs w:val="21"/>
              </w:rPr>
              <w:t>备注：</w:t>
            </w:r>
          </w:p>
          <w:p>
            <w:pPr>
              <w:widowControl/>
              <w:spacing w:line="276" w:lineRule="auto"/>
              <w:jc w:val="left"/>
              <w:rPr>
                <w:rFonts w:ascii="宋体" w:hAnsi="宋体" w:cs="宋体"/>
                <w:szCs w:val="21"/>
              </w:rPr>
            </w:pPr>
            <w:r>
              <w:rPr>
                <w:rFonts w:hint="eastAsia" w:ascii="宋体" w:hAnsi="宋体" w:cs="宋体"/>
                <w:szCs w:val="21"/>
              </w:rPr>
              <w:t>1、“岗位”要求</w:t>
            </w:r>
            <w:r>
              <w:rPr>
                <w:rFonts w:hint="eastAsia" w:ascii="宋体" w:hAnsi="宋体" w:cs="宋体"/>
                <w:b/>
                <w:szCs w:val="21"/>
              </w:rPr>
              <w:t>（除项目负责人和专职安全员外）</w:t>
            </w:r>
            <w:r>
              <w:rPr>
                <w:rFonts w:hint="eastAsia" w:ascii="宋体" w:hAnsi="宋体" w:cs="宋体"/>
                <w:szCs w:val="21"/>
              </w:rPr>
              <w:t>由招标人根据项目管理需要在本表备注中明确提出，如：拟派驻施工现场的指挥长、技术负责人、质量负责人、安全负责人、造价负责人、土建工程师、机电工程师、给排水工程师、装饰装修工程师、造价工程师、质量工程师、施工员、质量员、安全员、资料员等。</w:t>
            </w:r>
            <w:r>
              <w:rPr>
                <w:rFonts w:hint="eastAsia" w:ascii="宋体" w:hAnsi="宋体" w:cs="宋体"/>
                <w:b/>
                <w:szCs w:val="21"/>
                <w:u w:val="single"/>
              </w:rPr>
              <w:t>投标人在投标登记时，应按《施工项目管理团队人员信息表》人员要求在交易系统中填写，表中的项目管理团队人员信息作为投标文件的一部分，将由交易系统提取后供各相关单位在中标人履约时进行比对、查核。</w:t>
            </w:r>
          </w:p>
          <w:p>
            <w:pPr>
              <w:widowControl/>
              <w:spacing w:line="276" w:lineRule="auto"/>
              <w:jc w:val="left"/>
              <w:rPr>
                <w:rFonts w:ascii="宋体" w:hAnsi="宋体" w:cs="宋体"/>
                <w:szCs w:val="21"/>
              </w:rPr>
            </w:pPr>
            <w:r>
              <w:rPr>
                <w:rFonts w:hint="eastAsia" w:ascii="宋体" w:hAnsi="宋体" w:cs="宋体"/>
                <w:szCs w:val="21"/>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pPr>
              <w:widowControl/>
              <w:jc w:val="left"/>
              <w:rPr>
                <w:rFonts w:ascii="仿宋" w:hAnsi="仿宋" w:eastAsia="仿宋" w:cs="仿宋"/>
                <w:sz w:val="28"/>
                <w:szCs w:val="28"/>
              </w:rPr>
            </w:pPr>
            <w:r>
              <w:rPr>
                <w:rFonts w:hint="eastAsia" w:ascii="宋体" w:hAnsi="宋体" w:cs="宋体"/>
                <w:szCs w:val="21"/>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tbl>
    <w:p>
      <w:pPr>
        <w:rPr>
          <w:rFonts w:ascii="宋体" w:hAnsi="宋体"/>
        </w:rPr>
      </w:pPr>
      <w:r>
        <w:rPr>
          <w:rFonts w:hint="eastAsia" w:ascii="宋体" w:hAnsi="宋体"/>
        </w:rPr>
        <w:t>注：投标人按本表格式可自行扩展填写。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3"/>
                            </w:rPr>
                          </w:pPr>
                          <w:r>
                            <w:rPr>
                              <w:rStyle w:val="13"/>
                            </w:rPr>
                            <w:fldChar w:fldCharType="begin"/>
                          </w:r>
                          <w:r>
                            <w:rPr>
                              <w:rStyle w:val="13"/>
                            </w:rPr>
                            <w:instrText xml:space="preserve">PAGE  </w:instrText>
                          </w:r>
                          <w:r>
                            <w:rPr>
                              <w:rStyle w:val="13"/>
                            </w:rPr>
                            <w:fldChar w:fldCharType="separate"/>
                          </w:r>
                          <w:r>
                            <w:rPr>
                              <w:rStyle w:val="13"/>
                            </w:rPr>
                            <w:t>7</w:t>
                          </w:r>
                          <w:r>
                            <w:rPr>
                              <w:rStyle w:val="13"/>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rPr>
                        <w:rStyle w:val="13"/>
                      </w:rPr>
                    </w:pPr>
                    <w:r>
                      <w:rPr>
                        <w:rStyle w:val="13"/>
                      </w:rPr>
                      <w:fldChar w:fldCharType="begin"/>
                    </w:r>
                    <w:r>
                      <w:rPr>
                        <w:rStyle w:val="13"/>
                      </w:rPr>
                      <w:instrText xml:space="preserve">PAGE  </w:instrText>
                    </w:r>
                    <w:r>
                      <w:rPr>
                        <w:rStyle w:val="13"/>
                      </w:rPr>
                      <w:fldChar w:fldCharType="separate"/>
                    </w:r>
                    <w:r>
                      <w:rPr>
                        <w:rStyle w:val="13"/>
                      </w:rPr>
                      <w:t>7</w:t>
                    </w:r>
                    <w:r>
                      <w:rPr>
                        <w:rStyle w:val="13"/>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92"/>
      <w:jc w:val="right"/>
      <w:rPr>
        <w:rStyle w:val="13"/>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92"/>
                            <w:jc w:val="right"/>
                          </w:pPr>
                          <w:r>
                            <w:rPr>
                              <w:rStyle w:val="13"/>
                            </w:rPr>
                            <w:fldChar w:fldCharType="begin"/>
                          </w:r>
                          <w:r>
                            <w:rPr>
                              <w:rStyle w:val="13"/>
                            </w:rPr>
                            <w:instrText xml:space="preserve">PAGE  </w:instrText>
                          </w:r>
                          <w:r>
                            <w:rPr>
                              <w:rStyle w:val="13"/>
                            </w:rPr>
                            <w:fldChar w:fldCharType="separate"/>
                          </w:r>
                          <w:r>
                            <w:rPr>
                              <w:rStyle w:val="13"/>
                            </w:rPr>
                            <w:t>12</w:t>
                          </w:r>
                          <w:r>
                            <w:rPr>
                              <w:rStyle w:val="1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ind w:firstLine="392"/>
                      <w:jc w:val="right"/>
                    </w:pPr>
                    <w:r>
                      <w:rPr>
                        <w:rStyle w:val="13"/>
                      </w:rPr>
                      <w:fldChar w:fldCharType="begin"/>
                    </w:r>
                    <w:r>
                      <w:rPr>
                        <w:rStyle w:val="13"/>
                      </w:rPr>
                      <w:instrText xml:space="preserve">PAGE  </w:instrText>
                    </w:r>
                    <w:r>
                      <w:rPr>
                        <w:rStyle w:val="13"/>
                      </w:rPr>
                      <w:fldChar w:fldCharType="separate"/>
                    </w:r>
                    <w:r>
                      <w:rPr>
                        <w:rStyle w:val="13"/>
                      </w:rPr>
                      <w:t>12</w:t>
                    </w:r>
                    <w:r>
                      <w:rPr>
                        <w:rStyle w:val="13"/>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92"/>
      <w:rPr>
        <w:rStyle w:val="13"/>
      </w:rPr>
    </w:pPr>
    <w:r>
      <w:rPr>
        <w:rStyle w:val="13"/>
      </w:rPr>
      <w:fldChar w:fldCharType="begin"/>
    </w:r>
    <w:r>
      <w:rPr>
        <w:rStyle w:val="13"/>
      </w:rPr>
      <w:instrText xml:space="preserve">PAGE  </w:instrText>
    </w:r>
    <w:r>
      <w:rPr>
        <w:rStyle w:val="13"/>
      </w:rPr>
      <w:fldChar w:fldCharType="separate"/>
    </w:r>
    <w:r>
      <w:rPr>
        <w:rStyle w:val="13"/>
        <w:rFonts w:hint="eastAsia"/>
      </w:rPr>
      <w:t>一</w:t>
    </w:r>
    <w:r>
      <w:rPr>
        <w:rStyle w:val="13"/>
      </w:rPr>
      <w:t>–2</w:t>
    </w:r>
    <w:r>
      <w:rPr>
        <w:rStyle w:val="13"/>
      </w:rPr>
      <w:fldChar w:fldCharType="end"/>
    </w:r>
  </w:p>
  <w:p>
    <w:pPr>
      <w:pStyle w:val="6"/>
      <w:ind w:firstLine="392"/>
    </w:pPr>
    <w:r>
      <w:rPr>
        <w:kern w:val="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9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92"/>
                          </w:pPr>
                          <w:r>
                            <w:rPr>
                              <w:rStyle w:val="13"/>
                            </w:rPr>
                            <w:fldChar w:fldCharType="begin"/>
                          </w:r>
                          <w:r>
                            <w:rPr>
                              <w:rStyle w:val="13"/>
                            </w:rPr>
                            <w:instrText xml:space="preserve"> PAGE </w:instrText>
                          </w:r>
                          <w:r>
                            <w:rPr>
                              <w:rStyle w:val="13"/>
                            </w:rPr>
                            <w:fldChar w:fldCharType="separate"/>
                          </w:r>
                          <w:r>
                            <w:rPr>
                              <w:rStyle w:val="13"/>
                            </w:rPr>
                            <w:t>11</w:t>
                          </w:r>
                          <w:r>
                            <w:rPr>
                              <w:rStyle w:val="1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6"/>
                      <w:ind w:firstLine="392"/>
                    </w:pPr>
                    <w:r>
                      <w:rPr>
                        <w:rStyle w:val="13"/>
                      </w:rPr>
                      <w:fldChar w:fldCharType="begin"/>
                    </w:r>
                    <w:r>
                      <w:rPr>
                        <w:rStyle w:val="13"/>
                      </w:rPr>
                      <w:instrText xml:space="preserve"> PAGE </w:instrText>
                    </w:r>
                    <w:r>
                      <w:rPr>
                        <w:rStyle w:val="13"/>
                      </w:rPr>
                      <w:fldChar w:fldCharType="separate"/>
                    </w:r>
                    <w:r>
                      <w:rPr>
                        <w:rStyle w:val="13"/>
                      </w:rPr>
                      <w:t>11</w:t>
                    </w:r>
                    <w:r>
                      <w:rPr>
                        <w:rStyle w:val="13"/>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9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92"/>
    </w:pPr>
    <w:r>
      <w:rPr>
        <w:rFonts w:hint="eastAsia"/>
      </w:rPr>
      <w:t>横枝岗路道路排水改造工程招标文件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7902"/>
        <w:tab w:val="clear" w:pos="4153"/>
      </w:tabs>
      <w:jc w:val="both"/>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4AC7DA"/>
    <w:multiLevelType w:val="singleLevel"/>
    <w:tmpl w:val="984AC7D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jZWI3NTMzNGJjMThjY2Q5NDk1NjVjYTViNjA3NmIifQ=="/>
  </w:docVars>
  <w:rsids>
    <w:rsidRoot w:val="00172A27"/>
    <w:rsid w:val="090E6DE2"/>
    <w:rsid w:val="09336848"/>
    <w:rsid w:val="09A14DD0"/>
    <w:rsid w:val="0F012A51"/>
    <w:rsid w:val="0F6F3752"/>
    <w:rsid w:val="100E361B"/>
    <w:rsid w:val="115C0F8C"/>
    <w:rsid w:val="12D93E44"/>
    <w:rsid w:val="17BD6C8D"/>
    <w:rsid w:val="18DC3ED9"/>
    <w:rsid w:val="1AAD0B37"/>
    <w:rsid w:val="1C9630F0"/>
    <w:rsid w:val="1D337485"/>
    <w:rsid w:val="1D6F5DB7"/>
    <w:rsid w:val="1F231175"/>
    <w:rsid w:val="1FCC7170"/>
    <w:rsid w:val="241C04A9"/>
    <w:rsid w:val="2D181CD0"/>
    <w:rsid w:val="30D55F5D"/>
    <w:rsid w:val="37D34CC6"/>
    <w:rsid w:val="37FD313D"/>
    <w:rsid w:val="388A19DB"/>
    <w:rsid w:val="3CCA4B6A"/>
    <w:rsid w:val="41C74484"/>
    <w:rsid w:val="47B47812"/>
    <w:rsid w:val="4A797C58"/>
    <w:rsid w:val="4B696A50"/>
    <w:rsid w:val="4D0A1EC4"/>
    <w:rsid w:val="502D7706"/>
    <w:rsid w:val="51DD6DA4"/>
    <w:rsid w:val="52B90291"/>
    <w:rsid w:val="540B6C9E"/>
    <w:rsid w:val="567C1228"/>
    <w:rsid w:val="5A616276"/>
    <w:rsid w:val="5AA65046"/>
    <w:rsid w:val="5B1769FD"/>
    <w:rsid w:val="5C913A7B"/>
    <w:rsid w:val="5D855913"/>
    <w:rsid w:val="5ED65B32"/>
    <w:rsid w:val="616C4458"/>
    <w:rsid w:val="61BD501B"/>
    <w:rsid w:val="65705E4D"/>
    <w:rsid w:val="6688474A"/>
    <w:rsid w:val="6A6C6A6C"/>
    <w:rsid w:val="6BF74B33"/>
    <w:rsid w:val="6ED54515"/>
    <w:rsid w:val="6F90355D"/>
    <w:rsid w:val="70E24D2F"/>
    <w:rsid w:val="71BF1F32"/>
    <w:rsid w:val="72C708B1"/>
    <w:rsid w:val="73F81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420"/>
    </w:pPr>
    <w:rPr>
      <w:rFonts w:ascii="Times New Roman" w:hAnsi="Times New Roman"/>
      <w:szCs w:val="20"/>
    </w:rPr>
  </w:style>
  <w:style w:type="paragraph" w:styleId="3">
    <w:name w:val="annotation text"/>
    <w:basedOn w:val="1"/>
    <w:autoRedefine/>
    <w:qFormat/>
    <w:uiPriority w:val="0"/>
    <w:pPr>
      <w:spacing w:line="360" w:lineRule="auto"/>
      <w:ind w:firstLine="523" w:firstLineChars="218"/>
      <w:jc w:val="left"/>
    </w:pPr>
    <w:rPr>
      <w:rFonts w:ascii="宋体" w:hAnsi="宋体"/>
      <w:sz w:val="24"/>
      <w:szCs w:val="24"/>
    </w:rPr>
  </w:style>
  <w:style w:type="paragraph" w:styleId="4">
    <w:name w:val="Body Text"/>
    <w:basedOn w:val="1"/>
    <w:autoRedefine/>
    <w:qFormat/>
    <w:uiPriority w:val="0"/>
    <w:pPr>
      <w:spacing w:after="120"/>
    </w:pPr>
    <w:rPr>
      <w:rFonts w:ascii="Times New Roman" w:hAnsi="Times New Roman"/>
      <w:szCs w:val="20"/>
    </w:rPr>
  </w:style>
  <w:style w:type="paragraph" w:styleId="5">
    <w:name w:val="Plain Text"/>
    <w:basedOn w:val="1"/>
    <w:autoRedefine/>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2"/>
      <w:sz w:val="21"/>
      <w:szCs w:val="21"/>
      <w:lang w:val="en-US" w:eastAsia="zh-CN" w:bidi="ar"/>
    </w:rPr>
  </w:style>
  <w:style w:type="paragraph" w:styleId="6">
    <w:name w:val="footer"/>
    <w:basedOn w:val="1"/>
    <w:autoRedefine/>
    <w:unhideWhenUsed/>
    <w:qFormat/>
    <w:uiPriority w:val="0"/>
    <w:pPr>
      <w:tabs>
        <w:tab w:val="center" w:pos="4153"/>
        <w:tab w:val="right" w:pos="8306"/>
      </w:tabs>
      <w:snapToGrid w:val="0"/>
      <w:jc w:val="left"/>
    </w:pPr>
    <w:rPr>
      <w:sz w:val="18"/>
      <w:szCs w:val="18"/>
    </w:rPr>
  </w:style>
  <w:style w:type="paragraph" w:styleId="7">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autoRedefine/>
    <w:qFormat/>
    <w:uiPriority w:val="0"/>
    <w:rPr>
      <w:rFonts w:ascii="宋体" w:hAnsi="宋体"/>
      <w:szCs w:val="24"/>
      <w:u w:val="single"/>
    </w:rPr>
  </w:style>
  <w:style w:type="paragraph" w:styleId="9">
    <w:name w:val="Normal (Web)"/>
    <w:basedOn w:val="1"/>
    <w:autoRedefine/>
    <w:qFormat/>
    <w:uiPriority w:val="0"/>
    <w:pPr>
      <w:widowControl/>
      <w:spacing w:before="100" w:beforeAutospacing="1" w:after="100" w:afterAutospacing="1"/>
      <w:jc w:val="left"/>
    </w:pPr>
    <w:rPr>
      <w:rFonts w:ascii="宋体" w:hAnsi="宋体"/>
      <w:kern w:val="0"/>
      <w:sz w:val="24"/>
      <w:szCs w:val="24"/>
    </w:rPr>
  </w:style>
  <w:style w:type="paragraph" w:styleId="10">
    <w:name w:val="Body Text First Indent"/>
    <w:basedOn w:val="4"/>
    <w:autoRedefine/>
    <w:qFormat/>
    <w:uiPriority w:val="0"/>
    <w:pPr>
      <w:ind w:firstLine="420"/>
    </w:pPr>
  </w:style>
  <w:style w:type="character" w:styleId="13">
    <w:name w:val="page number"/>
    <w:autoRedefine/>
    <w:qFormat/>
    <w:uiPriority w:val="0"/>
    <w:rPr>
      <w:rFonts w:cs="Times New Roman"/>
    </w:rPr>
  </w:style>
  <w:style w:type="character" w:styleId="14">
    <w:name w:val="Hyperlink"/>
    <w:autoRedefine/>
    <w:qFormat/>
    <w:uiPriority w:val="99"/>
    <w:rPr>
      <w:color w:val="0000FF"/>
      <w:u w:val="single"/>
    </w:rPr>
  </w:style>
  <w:style w:type="paragraph" w:customStyle="1" w:styleId="15">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6">
    <w:name w:val="发文落款"/>
    <w:basedOn w:val="15"/>
    <w:autoRedefine/>
    <w:qFormat/>
    <w:uiPriority w:val="0"/>
    <w:pPr>
      <w:ind w:left="4094" w:right="607" w:firstLine="0"/>
      <w:jc w:val="center"/>
    </w:pPr>
  </w:style>
  <w:style w:type="paragraph" w:customStyle="1" w:styleId="17">
    <w:name w:val="Default"/>
    <w:autoRedefine/>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8532</Words>
  <Characters>9048</Characters>
  <Lines>0</Lines>
  <Paragraphs>0</Paragraphs>
  <TotalTime>1</TotalTime>
  <ScaleCrop>false</ScaleCrop>
  <LinksUpToDate>false</LinksUpToDate>
  <CharactersWithSpaces>9362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2024-02-09T00:18:00Z</dcterms:created>
  <dc:creator>Y.sisi</dc:creator>
  <cp:lastModifiedBy>凌穆轩</cp:lastModifiedBy>
  <dcterms:modified xsi:type="dcterms:W3CDTF">2024-05-17T03:55:41Z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6535C59D74A144B78134FF5B44B8EE48_13</vt:lpwstr>
  </property>
</Properties>
</file>