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jc w:val="center"/>
        <w:rPr>
          <w:rFonts w:hint="eastAsia" w:ascii="宋体" w:hAnsi="宋体" w:eastAsia="宋体" w:cs="宋体"/>
          <w:b/>
          <w:color w:val="auto"/>
          <w:sz w:val="28"/>
          <w:szCs w:val="28"/>
          <w:highlight w:val="none"/>
          <w:lang w:eastAsia="zh-CN"/>
        </w:rPr>
      </w:pPr>
      <w:bookmarkStart w:id="0" w:name="_Toc221949921"/>
      <w:r>
        <w:rPr>
          <w:rFonts w:hint="eastAsia" w:ascii="宋体" w:hAnsi="宋体" w:eastAsia="宋体" w:cs="宋体"/>
          <w:b/>
          <w:color w:val="auto"/>
          <w:sz w:val="28"/>
          <w:szCs w:val="28"/>
          <w:highlight w:val="none"/>
          <w:lang w:eastAsia="zh-CN"/>
        </w:rPr>
        <w:t>2024年度广州市增城区石滩镇高标准农田改造提升建设项目</w:t>
      </w:r>
    </w:p>
    <w:p>
      <w:pPr>
        <w:spacing w:beforeLines="0" w:afterLines="0"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施工招标公告</w:t>
      </w:r>
      <w:bookmarkEnd w:id="0"/>
    </w:p>
    <w:p>
      <w:pPr>
        <w:pStyle w:val="12"/>
        <w:keepNext w:val="0"/>
        <w:keepLines w:val="0"/>
        <w:spacing w:before="0" w:beforeLines="0" w:afterLines="0" w:line="360" w:lineRule="auto"/>
        <w:outlineLvl w:val="2"/>
        <w:rPr>
          <w:rFonts w:hint="eastAsia" w:ascii="宋体" w:hAnsi="宋体" w:eastAsia="宋体" w:cs="宋体"/>
          <w:color w:val="auto"/>
          <w:highlight w:val="none"/>
        </w:rPr>
      </w:pPr>
      <w:bookmarkStart w:id="1" w:name="_Toc28539"/>
      <w:bookmarkStart w:id="2" w:name="_Toc26189"/>
      <w:bookmarkStart w:id="3" w:name="_Toc229305323"/>
      <w:bookmarkStart w:id="4" w:name="_Toc32316"/>
      <w:bookmarkStart w:id="5" w:name="_Toc1650171334"/>
      <w:bookmarkStart w:id="6" w:name="_Toc40953892"/>
      <w:bookmarkStart w:id="7" w:name="_Toc222030965"/>
      <w:bookmarkStart w:id="8" w:name="_Toc387753532"/>
      <w:bookmarkStart w:id="9" w:name="_Toc29060"/>
      <w:bookmarkStart w:id="10" w:name="_Toc144974480"/>
      <w:bookmarkStart w:id="11" w:name="_Toc221949922"/>
      <w:bookmarkStart w:id="12" w:name="_Toc222032632"/>
      <w:bookmarkStart w:id="13" w:name="_Toc3041"/>
      <w:bookmarkStart w:id="14" w:name="_Toc222033814"/>
      <w:bookmarkStart w:id="15" w:name="_Toc18551"/>
      <w:bookmarkStart w:id="16" w:name="_Toc28236"/>
      <w:bookmarkStart w:id="17" w:name="_Toc168476029"/>
      <w:bookmarkStart w:id="18" w:name="_Toc168475626"/>
      <w:bookmarkStart w:id="19" w:name="_Toc222029463"/>
      <w:r>
        <w:rPr>
          <w:rFonts w:hint="eastAsia" w:ascii="宋体" w:hAnsi="宋体" w:eastAsia="宋体" w:cs="宋体"/>
          <w:color w:val="auto"/>
          <w:highlight w:val="none"/>
        </w:rPr>
        <w:t>1. 招标条件</w:t>
      </w:r>
      <w:bookmarkEnd w:id="1"/>
      <w:bookmarkEnd w:id="2"/>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2024年度广州市增城区石滩镇高标准农田改造提升建设项目</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广州市增城区发展和改革局</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穗增发改投批</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2024</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30号</w:t>
      </w:r>
      <w:r>
        <w:rPr>
          <w:rFonts w:hint="eastAsia" w:ascii="宋体" w:hAnsi="宋体" w:eastAsia="宋体" w:cs="宋体"/>
          <w:color w:val="auto"/>
          <w:sz w:val="21"/>
          <w:szCs w:val="21"/>
          <w:highlight w:val="none"/>
        </w:rPr>
        <w:t>批准建设，建设资金来自</w:t>
      </w:r>
      <w:r>
        <w:rPr>
          <w:rFonts w:hint="eastAsia" w:ascii="宋体" w:hAnsi="宋体" w:cs="宋体"/>
          <w:color w:val="auto"/>
          <w:sz w:val="21"/>
          <w:szCs w:val="21"/>
          <w:highlight w:val="none"/>
          <w:u w:val="single"/>
          <w:lang w:val="en-US" w:eastAsia="zh-CN"/>
        </w:rPr>
        <w:t>国债补助资金和广州市财政投资统筹解决</w:t>
      </w:r>
      <w:r>
        <w:rPr>
          <w:rFonts w:hint="eastAsia" w:ascii="宋体" w:hAnsi="宋体" w:eastAsia="宋体" w:cs="宋体"/>
          <w:color w:val="auto"/>
          <w:sz w:val="21"/>
          <w:szCs w:val="21"/>
          <w:highlight w:val="none"/>
        </w:rPr>
        <w:t>，项目出资比例为</w:t>
      </w:r>
      <w:r>
        <w:rPr>
          <w:rFonts w:hint="eastAsia" w:ascii="宋体" w:hAnsi="宋体" w:eastAsia="宋体" w:cs="宋体"/>
          <w:color w:val="auto"/>
          <w:sz w:val="21"/>
          <w:szCs w:val="21"/>
          <w:highlight w:val="none"/>
          <w:u w:val="single"/>
        </w:rPr>
        <w:t>100%</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lang w:eastAsia="zh-CN"/>
        </w:rPr>
        <w:t>广州市增城区石滩镇人民政府</w:t>
      </w:r>
      <w:r>
        <w:rPr>
          <w:rFonts w:hint="eastAsia" w:ascii="宋体" w:hAnsi="宋体" w:eastAsia="宋体" w:cs="宋体"/>
          <w:color w:val="auto"/>
          <w:sz w:val="21"/>
          <w:szCs w:val="21"/>
          <w:highlight w:val="none"/>
        </w:rPr>
        <w:t>，招标代理机构为</w:t>
      </w:r>
      <w:r>
        <w:rPr>
          <w:rFonts w:hint="eastAsia" w:ascii="宋体" w:hAnsi="宋体" w:eastAsia="宋体" w:cs="宋体"/>
          <w:color w:val="auto"/>
          <w:sz w:val="21"/>
          <w:szCs w:val="21"/>
          <w:highlight w:val="none"/>
          <w:u w:val="single"/>
          <w:lang w:eastAsia="zh-CN"/>
        </w:rPr>
        <w:t>广东兆兴工程服务有限公司</w:t>
      </w:r>
      <w:r>
        <w:rPr>
          <w:rFonts w:hint="eastAsia" w:ascii="宋体" w:hAnsi="宋体" w:eastAsia="宋体" w:cs="宋体"/>
          <w:color w:val="auto"/>
          <w:sz w:val="21"/>
          <w:szCs w:val="21"/>
          <w:highlight w:val="none"/>
        </w:rPr>
        <w:t>。项目已具备招标条件，现对本项目施工进行公开招标。</w:t>
      </w:r>
    </w:p>
    <w:p>
      <w:pPr>
        <w:pStyle w:val="12"/>
        <w:keepNext w:val="0"/>
        <w:keepLines w:val="0"/>
        <w:spacing w:before="0" w:beforeLines="0" w:afterLines="0" w:line="360" w:lineRule="auto"/>
        <w:outlineLvl w:val="2"/>
        <w:rPr>
          <w:rFonts w:hint="eastAsia" w:ascii="宋体" w:hAnsi="宋体" w:eastAsia="宋体" w:cs="宋体"/>
          <w:color w:val="auto"/>
          <w:highlight w:val="none"/>
        </w:rPr>
      </w:pPr>
      <w:bookmarkStart w:id="20" w:name="_Toc11391"/>
      <w:bookmarkStart w:id="21" w:name="_Toc21292"/>
      <w:r>
        <w:rPr>
          <w:rFonts w:hint="eastAsia" w:ascii="宋体" w:hAnsi="宋体" w:eastAsia="宋体" w:cs="宋体"/>
          <w:color w:val="auto"/>
          <w:highlight w:val="none"/>
        </w:rPr>
        <w:t>2. 项目概况与招标范围</w:t>
      </w:r>
      <w:bookmarkEnd w:id="20"/>
      <w:bookmarkEnd w:id="21"/>
    </w:p>
    <w:p>
      <w:pPr>
        <w:spacing w:beforeLines="0" w:afterLines="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项目概况</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rPr>
        <w:t>项目位于石滩镇凰埔村、金兰寺村、葵湖村、石湖村、石头村、溪头村、元岗村和塘口村。</w:t>
      </w:r>
    </w:p>
    <w:p>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建设规模：</w:t>
      </w:r>
      <w:r>
        <w:rPr>
          <w:rFonts w:hint="eastAsia" w:ascii="宋体" w:hAnsi="宋体" w:cs="宋体"/>
          <w:color w:val="auto"/>
          <w:sz w:val="21"/>
          <w:szCs w:val="21"/>
          <w:highlight w:val="none"/>
          <w:u w:val="single"/>
          <w:lang w:eastAsia="zh-CN"/>
        </w:rPr>
        <w:t>项目建设内容包括:泵站、整修灌溉斗渠、灌排斗渠、灌溉农渠、灌排农渠、排水斗沟；渠道清淤、渠道修补、渠道修复、跨渠板、横撑梁、过路涵、箱涵；整修生产路、田间道、八字口、下田坡道、会车道；低压输电线路；单项工程标识牌、宣传栏、竣工公示牌、水尺等</w:t>
      </w:r>
      <w:r>
        <w:rPr>
          <w:rFonts w:hint="eastAsia" w:ascii="宋体" w:hAnsi="宋体" w:eastAsia="宋体" w:cs="宋体"/>
          <w:color w:val="auto"/>
          <w:sz w:val="21"/>
          <w:szCs w:val="21"/>
          <w:highlight w:val="none"/>
          <w:u w:val="single"/>
          <w:lang w:eastAsia="zh-CN"/>
        </w:rPr>
        <w:t>。</w:t>
      </w:r>
    </w:p>
    <w:p>
      <w:pPr>
        <w:spacing w:beforeLines="0" w:afterLines="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标段划分及各标段招标内容、规模和最高投标限价</w:t>
      </w:r>
    </w:p>
    <w:p>
      <w:pPr>
        <w:spacing w:beforeLines="0" w:afterLines="0" w:line="360" w:lineRule="auto"/>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招标范围：</w:t>
      </w:r>
      <w:r>
        <w:rPr>
          <w:rFonts w:hint="eastAsia" w:ascii="宋体" w:hAnsi="宋体" w:eastAsia="宋体" w:cs="宋体"/>
          <w:color w:val="auto"/>
          <w:sz w:val="21"/>
          <w:szCs w:val="21"/>
          <w:highlight w:val="none"/>
          <w:u w:val="single"/>
        </w:rPr>
        <w:t>按招标人提供的招标文件、工程量清单、招标答疑文件、全套施工图纸、设计说明及补充说明，承包本工程项目全部施工内容。（具体以招标人所发施工图纸为准）</w:t>
      </w:r>
      <w:r>
        <w:rPr>
          <w:rFonts w:hint="eastAsia" w:ascii="宋体" w:hAnsi="宋体" w:eastAsia="宋体" w:cs="宋体"/>
          <w:color w:val="auto"/>
          <w:szCs w:val="21"/>
          <w:highlight w:val="none"/>
          <w:u w:val="single"/>
        </w:rPr>
        <w:t>。</w:t>
      </w:r>
    </w:p>
    <w:p>
      <w:pPr>
        <w:spacing w:beforeLines="0" w:afterLines="0" w:line="360" w:lineRule="auto"/>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招标内容：</w:t>
      </w:r>
      <w:r>
        <w:rPr>
          <w:rFonts w:hint="eastAsia" w:ascii="宋体" w:hAnsi="宋体" w:eastAsia="宋体" w:cs="宋体"/>
          <w:color w:val="auto"/>
          <w:sz w:val="21"/>
          <w:szCs w:val="21"/>
          <w:highlight w:val="none"/>
          <w:u w:val="single"/>
        </w:rPr>
        <w:t>按招标人提供的招标文件、工程量清单、招标答疑文件、全套施工图纸、设计说明及补充说明，承包本工程项目全部施工内容。（具体以招标人所发施工图纸为准）</w:t>
      </w:r>
      <w:r>
        <w:rPr>
          <w:rFonts w:hint="eastAsia" w:ascii="宋体" w:hAnsi="宋体" w:eastAsia="宋体" w:cs="宋体"/>
          <w:color w:val="auto"/>
          <w:szCs w:val="21"/>
          <w:highlight w:val="none"/>
          <w:u w:val="single"/>
        </w:rPr>
        <w:t>。</w:t>
      </w:r>
    </w:p>
    <w:p>
      <w:pPr>
        <w:spacing w:beforeLines="0" w:afterLines="0"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标段划分：</w:t>
      </w:r>
      <w:r>
        <w:rPr>
          <w:rFonts w:hint="eastAsia" w:ascii="宋体" w:hAnsi="宋体" w:eastAsia="宋体" w:cs="宋体"/>
          <w:color w:val="auto"/>
          <w:sz w:val="21"/>
          <w:szCs w:val="21"/>
          <w:highlight w:val="none"/>
        </w:rPr>
        <w:t>1个标段</w:t>
      </w:r>
      <w:r>
        <w:rPr>
          <w:rFonts w:hint="eastAsia" w:ascii="宋体" w:hAnsi="宋体" w:eastAsia="宋体" w:cs="宋体"/>
          <w:color w:val="auto"/>
          <w:szCs w:val="21"/>
          <w:highlight w:val="none"/>
        </w:rPr>
        <w:t>。</w:t>
      </w:r>
    </w:p>
    <w:p>
      <w:pPr>
        <w:spacing w:beforeLines="0" w:afterLines="0" w:line="360" w:lineRule="auto"/>
        <w:ind w:firstLine="840" w:firstLineChars="400"/>
        <w:rPr>
          <w:rFonts w:hint="eastAsia" w:ascii="宋体" w:hAnsi="宋体" w:eastAsia="宋体" w:cs="宋体"/>
          <w:strike/>
          <w:dstrike w:val="0"/>
          <w:color w:val="auto"/>
          <w:szCs w:val="21"/>
          <w:highlight w:val="none"/>
          <w:u w:val="single"/>
        </w:rPr>
      </w:pPr>
      <w:r>
        <w:rPr>
          <w:rFonts w:hint="eastAsia" w:ascii="宋体" w:hAnsi="宋体" w:eastAsia="宋体" w:cs="宋体"/>
          <w:strike/>
          <w:dstrike w:val="0"/>
          <w:color w:val="auto"/>
          <w:szCs w:val="21"/>
          <w:highlight w:val="none"/>
        </w:rPr>
        <w:t>（注：两个或两个以上标段的，应明确允许兼中或不兼中时，明确对项目负责人的数量要求。对于包含两个或两个以上专业的招标项目，应分别明确各专业对应的招标内容、规模和最高投标限价的专业组成费用。）</w:t>
      </w:r>
    </w:p>
    <w:p>
      <w:pPr>
        <w:spacing w:beforeLines="0" w:afterLines="0"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r>
        <w:rPr>
          <w:rFonts w:hint="eastAsia" w:ascii="宋体" w:hAnsi="宋体" w:eastAsia="宋体" w:cs="宋体"/>
          <w:color w:val="auto"/>
          <w:highlight w:val="none"/>
        </w:rPr>
        <w:t>工期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180 </w:t>
      </w:r>
      <w:r>
        <w:rPr>
          <w:rFonts w:hint="eastAsia" w:ascii="宋体" w:hAnsi="宋体" w:eastAsia="宋体" w:cs="宋体"/>
          <w:color w:val="auto"/>
          <w:szCs w:val="21"/>
          <w:highlight w:val="none"/>
        </w:rPr>
        <w:t>日历天。</w:t>
      </w:r>
    </w:p>
    <w:p>
      <w:pPr>
        <w:spacing w:beforeLines="0" w:afterLines="0"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r>
        <w:rPr>
          <w:rFonts w:hint="eastAsia" w:ascii="宋体" w:hAnsi="宋体" w:eastAsia="宋体" w:cs="宋体"/>
          <w:color w:val="auto"/>
          <w:szCs w:val="21"/>
          <w:highlight w:val="none"/>
          <w:u w:val="single"/>
          <w:lang w:val="en-US" w:eastAsia="zh-CN"/>
        </w:rPr>
        <w:t>11928046.40</w:t>
      </w:r>
      <w:r>
        <w:rPr>
          <w:rFonts w:hint="eastAsia" w:ascii="宋体" w:hAnsi="宋体" w:eastAsia="宋体" w:cs="宋体"/>
          <w:color w:val="auto"/>
          <w:szCs w:val="21"/>
          <w:highlight w:val="none"/>
          <w:u w:val="none"/>
          <w:lang w:val="en-US" w:eastAsia="zh-CN"/>
        </w:rPr>
        <w:t>元</w:t>
      </w:r>
      <w:r>
        <w:rPr>
          <w:rFonts w:hint="eastAsia" w:ascii="宋体" w:hAnsi="宋体" w:eastAsia="宋体" w:cs="宋体"/>
          <w:color w:val="auto"/>
          <w:szCs w:val="21"/>
          <w:highlight w:val="none"/>
          <w:u w:val="none"/>
        </w:rPr>
        <w:t>。</w:t>
      </w:r>
    </w:p>
    <w:p>
      <w:pPr>
        <w:spacing w:beforeLines="0" w:afterLines="0"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w:t>
      </w:r>
      <w:r>
        <w:rPr>
          <w:rStyle w:val="11"/>
          <w:rFonts w:hint="eastAsia" w:ascii="宋体" w:hAnsi="宋体" w:eastAsia="宋体" w:cs="宋体"/>
          <w:color w:val="auto"/>
          <w:szCs w:val="21"/>
          <w:highlight w:val="none"/>
        </w:rPr>
        <w:footnoteReference w:id="0"/>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本工程按综合单价包干、安全生产措施费包干的形式，采用施工总承包方式，由承包人包工、包料、包质量、包设备、包安全文明施工、包工期内完工、包承包范围内验收合格，不因施工期间人工、机械及材料价格变化、施工条件的变化和政府造价管理部门等调整各项收费而调整，招标文件另有约定的除外。承包人未经发包人同意，不得转包或工程分包给他人</w:t>
      </w:r>
      <w:r>
        <w:rPr>
          <w:rFonts w:hint="eastAsia" w:ascii="宋体" w:hAnsi="宋体" w:eastAsia="宋体" w:cs="宋体"/>
          <w:color w:val="auto"/>
          <w:szCs w:val="21"/>
          <w:highlight w:val="none"/>
        </w:rPr>
        <w:t>。</w:t>
      </w:r>
    </w:p>
    <w:p>
      <w:pPr>
        <w:pStyle w:val="12"/>
        <w:keepNext w:val="0"/>
        <w:keepLines w:val="0"/>
        <w:spacing w:before="0" w:beforeLines="0" w:afterLines="0" w:line="360" w:lineRule="auto"/>
        <w:outlineLvl w:val="2"/>
        <w:rPr>
          <w:rFonts w:hint="eastAsia" w:ascii="宋体" w:hAnsi="宋体" w:eastAsia="宋体" w:cs="宋体"/>
          <w:color w:val="auto"/>
          <w:highlight w:val="none"/>
        </w:rPr>
      </w:pPr>
      <w:bookmarkStart w:id="22" w:name="_Toc8392"/>
      <w:bookmarkStart w:id="23" w:name="_Toc16232"/>
      <w:r>
        <w:rPr>
          <w:rFonts w:hint="eastAsia" w:ascii="宋体" w:hAnsi="宋体" w:eastAsia="宋体" w:cs="宋体"/>
          <w:color w:val="auto"/>
          <w:highlight w:val="none"/>
        </w:rPr>
        <w:t>3. 投标人资格要求</w:t>
      </w:r>
      <w:bookmarkEnd w:id="22"/>
      <w:bookmarkEnd w:id="23"/>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3.1投标人参加投标的意思表达清楚，投标人代表被授权有效。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3.2投标人均具有独立法人资格，按国家法律经营。</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3.3投标人均持有相关主管部门颁发有效期内的企业资质证书及安全生产许可证。</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rPr>
        <w:t>3.4本次招标要求投标人须具备</w:t>
      </w:r>
      <w:r>
        <w:rPr>
          <w:rFonts w:hint="eastAsia" w:ascii="宋体" w:hAnsi="宋体" w:eastAsia="宋体" w:cs="宋体"/>
          <w:color w:val="auto"/>
          <w:highlight w:val="none"/>
          <w:u w:val="none"/>
        </w:rPr>
        <w:t>以下资质：</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本次招标要求投标人须具备水利水电工程施工总承包三级或以上</w:t>
      </w:r>
      <w:r>
        <w:rPr>
          <w:rFonts w:hint="eastAsia" w:ascii="宋体" w:hAnsi="宋体" w:eastAsia="宋体" w:cs="宋体"/>
          <w:color w:val="auto"/>
          <w:highlight w:val="none"/>
          <w:u w:val="none"/>
        </w:rPr>
        <w:t>级别施工总承包资质</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3.5投标人拟担任本项目负责人的人员为：</w:t>
      </w:r>
      <w:r>
        <w:rPr>
          <w:rFonts w:hint="eastAsia" w:ascii="宋体" w:hAnsi="宋体" w:eastAsia="宋体" w:cs="宋体"/>
          <w:color w:val="auto"/>
          <w:highlight w:val="none"/>
        </w:rPr>
        <w:t>水利水电工程专业二级或以上注册建造师执业资格</w:t>
      </w:r>
      <w:r>
        <w:rPr>
          <w:rFonts w:hint="eastAsia" w:ascii="宋体" w:hAnsi="宋体" w:eastAsia="宋体" w:cs="宋体"/>
          <w:color w:val="auto"/>
          <w:highlight w:val="none"/>
          <w:u w:val="none"/>
        </w:rPr>
        <w:t>；同时具备有效的</w:t>
      </w:r>
      <w:r>
        <w:rPr>
          <w:rFonts w:hint="eastAsia" w:ascii="宋体" w:hAnsi="宋体" w:eastAsia="宋体" w:cs="宋体"/>
          <w:color w:val="auto"/>
          <w:highlight w:val="none"/>
        </w:rPr>
        <w:t>水行政主管部门颁发的</w:t>
      </w:r>
      <w:r>
        <w:rPr>
          <w:rFonts w:hint="eastAsia" w:ascii="宋体" w:hAnsi="宋体" w:eastAsia="宋体" w:cs="宋体"/>
          <w:color w:val="auto"/>
          <w:highlight w:val="none"/>
          <w:u w:val="none"/>
        </w:rPr>
        <w:t>安全生产考核合格证（B类）或建筑施工企业项目负责人安全生产考核合格证书，且未在其他在建工程项目中担任项目负责人。</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20" w:firstLineChars="200"/>
        <w:rPr>
          <w:rFonts w:hint="eastAsia" w:ascii="宋体" w:hAnsi="宋体" w:eastAsia="宋体" w:cs="宋体"/>
          <w:color w:val="auto"/>
          <w:highlight w:val="none"/>
          <w:u w:val="none"/>
        </w:rPr>
      </w:pPr>
      <w:r>
        <w:rPr>
          <w:rFonts w:hint="eastAsia" w:ascii="宋体" w:hAnsi="宋体" w:eastAsia="宋体" w:cs="宋体"/>
          <w:color w:val="auto"/>
          <w:szCs w:val="21"/>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3.6专职安全员须具有</w:t>
      </w:r>
      <w:r>
        <w:rPr>
          <w:rFonts w:hint="eastAsia" w:ascii="宋体" w:hAnsi="宋体" w:eastAsia="宋体" w:cs="宋体"/>
          <w:color w:val="auto"/>
          <w:highlight w:val="none"/>
        </w:rPr>
        <w:t>水行政主管部门颁发的</w:t>
      </w:r>
      <w:r>
        <w:rPr>
          <w:rFonts w:hint="eastAsia" w:ascii="宋体" w:hAnsi="宋体" w:eastAsia="宋体" w:cs="宋体"/>
          <w:color w:val="auto"/>
          <w:highlight w:val="none"/>
          <w:u w:val="none"/>
        </w:rPr>
        <w:t>安全生产考核合格证（C类）或建筑施工企业专职安全生产管理人员安全生产考核合格证书</w:t>
      </w:r>
      <w:r>
        <w:rPr>
          <w:rFonts w:hint="eastAsia" w:ascii="宋体" w:hAnsi="宋体" w:eastAsia="宋体" w:cs="宋体"/>
          <w:color w:val="auto"/>
          <w:highlight w:val="none"/>
        </w:rPr>
        <w:t>（C</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注：项目负责人在任职期间不得担任专职安全员，项目专职安全员在任职期间也不得担任项目负责人，项目负责人和专职安全员不为同一人。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3.7</w:t>
      </w:r>
      <w:r>
        <w:rPr>
          <w:rFonts w:hint="eastAsia" w:ascii="宋体" w:hAnsi="宋体" w:eastAsia="宋体" w:cs="宋体"/>
          <w:color w:val="auto"/>
          <w:highlight w:val="none"/>
        </w:rPr>
        <w:t>投标人拟担任本工程技术负责人的资格要求为：具备水利水电工程</w:t>
      </w:r>
      <w:r>
        <w:rPr>
          <w:rFonts w:hint="eastAsia" w:ascii="宋体" w:hAnsi="宋体" w:eastAsia="宋体" w:cs="宋体"/>
          <w:color w:val="auto"/>
          <w:szCs w:val="21"/>
          <w:highlight w:val="none"/>
        </w:rPr>
        <w:t>相关专业</w:t>
      </w:r>
      <w:r>
        <w:rPr>
          <w:rFonts w:hint="eastAsia" w:ascii="宋体" w:hAnsi="宋体" w:eastAsia="宋体" w:cs="宋体"/>
          <w:color w:val="auto"/>
          <w:szCs w:val="21"/>
          <w:highlight w:val="none"/>
          <w:u w:val="none"/>
        </w:rPr>
        <w:t>中</w:t>
      </w:r>
      <w:r>
        <w:rPr>
          <w:rFonts w:hint="eastAsia" w:ascii="宋体" w:hAnsi="宋体" w:eastAsia="宋体" w:cs="宋体"/>
          <w:color w:val="auto"/>
          <w:szCs w:val="21"/>
          <w:highlight w:val="none"/>
        </w:rPr>
        <w:t>级</w:t>
      </w:r>
      <w:r>
        <w:rPr>
          <w:rFonts w:hint="eastAsia" w:ascii="宋体" w:hAnsi="宋体" w:eastAsia="宋体" w:cs="宋体"/>
          <w:color w:val="auto"/>
          <w:highlight w:val="none"/>
        </w:rPr>
        <w:t>或以上职称。</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highlight w:val="none"/>
          <w:u w:val="none"/>
        </w:rPr>
        <w:t>3.</w:t>
      </w:r>
      <w:r>
        <w:rPr>
          <w:rFonts w:hint="eastAsia" w:ascii="宋体" w:hAnsi="宋体" w:eastAsia="宋体" w:cs="宋体"/>
          <w:color w:val="auto"/>
          <w:highlight w:val="none"/>
          <w:u w:val="none"/>
          <w:lang w:val="en-US" w:eastAsia="zh-CN"/>
        </w:rPr>
        <w:t>8</w:t>
      </w:r>
      <w:r>
        <w:rPr>
          <w:rFonts w:hint="eastAsia" w:ascii="宋体" w:hAnsi="宋体" w:eastAsia="宋体" w:cs="宋体"/>
          <w:color w:val="auto"/>
          <w:szCs w:val="21"/>
          <w:highlight w:val="none"/>
          <w:u w:val="none"/>
        </w:rPr>
        <w:t>本次招标</w:t>
      </w:r>
      <w:r>
        <w:rPr>
          <w:rFonts w:hint="eastAsia" w:ascii="宋体" w:hAnsi="宋体" w:cs="宋体"/>
          <w:color w:val="auto"/>
          <w:szCs w:val="21"/>
          <w:highlight w:val="none"/>
          <w:u w:val="single"/>
          <w:lang w:val="en-US" w:eastAsia="zh-CN"/>
        </w:rPr>
        <w:t>不</w:t>
      </w:r>
      <w:r>
        <w:rPr>
          <w:rFonts w:hint="eastAsia" w:ascii="宋体" w:hAnsi="宋体" w:eastAsia="宋体" w:cs="宋体"/>
          <w:color w:val="auto"/>
          <w:szCs w:val="21"/>
          <w:highlight w:val="none"/>
          <w:u w:val="single"/>
        </w:rPr>
        <w:t>接受</w:t>
      </w:r>
      <w:r>
        <w:rPr>
          <w:rFonts w:hint="eastAsia" w:ascii="宋体" w:hAnsi="宋体" w:eastAsia="宋体" w:cs="宋体"/>
          <w:color w:val="auto"/>
          <w:szCs w:val="21"/>
          <w:highlight w:val="none"/>
          <w:u w:val="none"/>
        </w:rPr>
        <w:t>联合体投标。</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信誉要求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（1）没有被依法暂停或取消投标资格（指被本招标项目所在地县级及以上农业农村（或住建、水利、公共资源交易）行政主管部门暂停或取消投标资格或禁止进入该区域建设市场且处于有效期内）； </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（3）没有进入清算程序，或被宣告破产，或其他丧失履约能力的情形；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（4）在最近三年内没有发生重大工程质量问题（以相关行业主管部门的行政处罚决定或司法机关出具的有关法律文书为准）；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（5）在“国家企业信用信息公示系统”（ www.gsxt.gov.cn）中没有被列入严重违法失信企业名单；</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（6）在“信用中国”网站（www.creditchina.gov.cn）或“中国执行信息公开网”（http://zxgk.court.gov.cn/shixin/）没有被列入失信被执行人名单；</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（7）在近三年内投标人或其法定代表人、拟委任的项目负责人没有行贿犯罪行为。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（8）不存在法律法规或投标人须知前附表第1.4.3（19）目规定的不得存在的其他情形。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资格审查前，投标人须在广州公共资源交易平台完成企业信息登记，及拟担任本工程项目负责人、专职安全员须是本企业信息登记中的在册人员。企业信息登记应按照广州公共资源交易平台关于企业信息登记的相关指南进行操作。详见：广州公共资源交易中心网站。</w:t>
      </w:r>
    </w:p>
    <w:p>
      <w:pPr>
        <w:pStyle w:val="12"/>
        <w:keepNext w:val="0"/>
        <w:keepLines w:val="0"/>
        <w:spacing w:before="0" w:beforeLines="0" w:afterLines="0" w:line="360" w:lineRule="auto"/>
        <w:outlineLvl w:val="2"/>
        <w:rPr>
          <w:rFonts w:hint="eastAsia" w:ascii="宋体" w:hAnsi="宋体" w:eastAsia="宋体" w:cs="宋体"/>
          <w:color w:val="auto"/>
          <w:highlight w:val="none"/>
        </w:rPr>
      </w:pPr>
      <w:bookmarkStart w:id="24" w:name="_Toc28707"/>
      <w:bookmarkStart w:id="25" w:name="_Toc14234"/>
      <w:r>
        <w:rPr>
          <w:rFonts w:hint="eastAsia" w:ascii="宋体" w:hAnsi="宋体" w:eastAsia="宋体" w:cs="宋体"/>
          <w:color w:val="auto"/>
          <w:highlight w:val="none"/>
        </w:rPr>
        <w:t>4. 招标文件的获取</w:t>
      </w:r>
      <w:bookmarkEnd w:id="24"/>
      <w:bookmarkEnd w:id="25"/>
    </w:p>
    <w:p>
      <w:pPr>
        <w:adjustRightInd w:val="0"/>
        <w:snapToGrid w:val="0"/>
        <w:spacing w:line="360" w:lineRule="auto"/>
        <w:ind w:firstLine="420" w:firstLineChars="200"/>
        <w:rPr>
          <w:rFonts w:hint="eastAsia" w:ascii="宋体" w:hAnsi="宋体" w:eastAsia="宋体" w:cs="宋体"/>
          <w:color w:val="auto"/>
          <w:szCs w:val="21"/>
          <w:highlight w:val="none"/>
        </w:rPr>
      </w:pPr>
      <w:bookmarkStart w:id="26" w:name="_Toc30503"/>
      <w:bookmarkStart w:id="27" w:name="_Toc5055"/>
      <w:r>
        <w:rPr>
          <w:rFonts w:hint="eastAsia" w:ascii="宋体" w:hAnsi="宋体" w:eastAsia="宋体" w:cs="宋体"/>
          <w:color w:val="auto"/>
          <w:szCs w:val="21"/>
          <w:highlight w:val="none"/>
        </w:rPr>
        <w:t xml:space="preserve">4.1 </w:t>
      </w:r>
      <w:r>
        <w:rPr>
          <w:rFonts w:hint="eastAsia" w:ascii="宋体" w:hAnsi="宋体" w:eastAsia="宋体" w:cs="宋体"/>
          <w:color w:val="auto"/>
          <w:highlight w:val="none"/>
        </w:rPr>
        <w:t>凡有意参加投标者（若为联合体投标，指联合体所有成员），应当在</w:t>
      </w:r>
      <w:r>
        <w:rPr>
          <w:rFonts w:hint="eastAsia" w:ascii="宋体" w:hAnsi="宋体" w:eastAsia="宋体" w:cs="宋体"/>
          <w:color w:val="auto"/>
          <w:highlight w:val="none"/>
          <w:u w:val="single"/>
        </w:rPr>
        <w:t>广州公共资源交易中心网站</w:t>
      </w:r>
      <w:r>
        <w:rPr>
          <w:rFonts w:hint="eastAsia" w:ascii="宋体" w:hAnsi="宋体" w:eastAsia="宋体" w:cs="宋体"/>
          <w:color w:val="auto"/>
          <w:highlight w:val="none"/>
        </w:rPr>
        <w:t>（以下简称“电子交易平台”，下同）（网址：http://www.gzggzy.cn）进行注册登记，并办理CA数字证书（具体操作参见“电子交易平台”—办事指南—企业信息登记（建设工程类）、CA及电子签章相关办事指引）。</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完成注册登记后，请于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止（北京时间，下同），通过“电子交易平台”免费下载招标文件。联合体投标的，由联合体牵头人下载招标文件（具体操作参见“电子交易平台”—办事指南—建设工程、建设工程项目交易办事指引（适用于招标人、投标人））。未按规定从“电子交易平台”下载招标文件的，招标人 （“电子交易平台”）拒收其投标文件。</w:t>
      </w:r>
    </w:p>
    <w:p>
      <w:pPr>
        <w:pStyle w:val="12"/>
        <w:keepNext w:val="0"/>
        <w:keepLines w:val="0"/>
        <w:spacing w:before="0" w:beforeLines="0" w:afterLines="0" w:line="360" w:lineRule="auto"/>
        <w:outlineLvl w:val="2"/>
        <w:rPr>
          <w:rFonts w:hint="eastAsia" w:ascii="宋体" w:hAnsi="宋体" w:eastAsia="宋体" w:cs="宋体"/>
          <w:color w:val="auto"/>
          <w:highlight w:val="none"/>
        </w:rPr>
      </w:pPr>
      <w:r>
        <w:rPr>
          <w:rFonts w:hint="eastAsia" w:ascii="宋体" w:hAnsi="宋体" w:eastAsia="宋体" w:cs="宋体"/>
          <w:color w:val="auto"/>
          <w:highlight w:val="none"/>
        </w:rPr>
        <w:t>5. 公告发布日期、递交投标文件时间与开标时间</w:t>
      </w:r>
      <w:bookmarkEnd w:id="26"/>
      <w:bookmarkEnd w:id="27"/>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5.1</w:t>
      </w:r>
      <w:r>
        <w:rPr>
          <w:rFonts w:hint="eastAsia"/>
          <w:color w:val="auto"/>
          <w:szCs w:val="21"/>
          <w:highlight w:val="none"/>
        </w:rPr>
        <w:t>公告发布日期（含本日）：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分至</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分</w:t>
      </w:r>
      <w:r>
        <w:rPr>
          <w:rFonts w:hint="eastAsia"/>
          <w:color w:val="auto"/>
          <w:highlight w:val="none"/>
        </w:rPr>
        <w:t>。</w:t>
      </w:r>
      <w:r>
        <w:rPr>
          <w:rFonts w:hint="eastAsia"/>
          <w:color w:val="auto"/>
          <w:szCs w:val="21"/>
          <w:highlight w:val="none"/>
        </w:rPr>
        <w:t>凡有意参加投标者，请自行登录电子交易平台网站下载电子招标文件。</w:t>
      </w:r>
    </w:p>
    <w:p>
      <w:pPr>
        <w:adjustRightInd w:val="0"/>
        <w:snapToGrid w:val="0"/>
        <w:spacing w:beforeLines="0" w:afterLines="0" w:line="336" w:lineRule="auto"/>
        <w:ind w:firstLine="420" w:firstLineChars="200"/>
        <w:rPr>
          <w:color w:val="auto"/>
          <w:highlight w:val="none"/>
        </w:rPr>
      </w:pPr>
      <w:r>
        <w:rPr>
          <w:rFonts w:hint="eastAsia"/>
          <w:color w:val="auto"/>
          <w:highlight w:val="none"/>
        </w:rPr>
        <w:t>注：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pPr>
        <w:adjustRightInd w:val="0"/>
        <w:snapToGrid w:val="0"/>
        <w:spacing w:beforeLines="0" w:afterLines="0" w:line="336" w:lineRule="auto"/>
        <w:ind w:firstLine="420" w:firstLineChars="200"/>
        <w:rPr>
          <w:color w:val="auto"/>
          <w:highlight w:val="none"/>
        </w:rPr>
      </w:pPr>
      <w:r>
        <w:rPr>
          <w:rFonts w:hint="eastAsia"/>
          <w:color w:val="auto"/>
          <w:highlight w:val="none"/>
        </w:rPr>
        <w:t>5.2递交投标文件起始时间：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分</w:t>
      </w:r>
      <w:r>
        <w:rPr>
          <w:rFonts w:hint="eastAsia"/>
          <w:color w:val="auto"/>
          <w:highlight w:val="none"/>
        </w:rPr>
        <w:t>；</w:t>
      </w:r>
    </w:p>
    <w:p>
      <w:pPr>
        <w:adjustRightInd w:val="0"/>
        <w:snapToGrid w:val="0"/>
        <w:spacing w:beforeLines="0" w:afterLines="0" w:line="336" w:lineRule="auto"/>
        <w:ind w:firstLine="2100" w:firstLineChars="1000"/>
        <w:rPr>
          <w:color w:val="auto"/>
          <w:highlight w:val="none"/>
        </w:rPr>
      </w:pPr>
      <w:r>
        <w:rPr>
          <w:rFonts w:hint="eastAsia"/>
          <w:color w:val="auto"/>
          <w:highlight w:val="none"/>
        </w:rPr>
        <w:t>截止时间：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分</w:t>
      </w:r>
      <w:r>
        <w:rPr>
          <w:rFonts w:hint="eastAsia"/>
          <w:color w:val="auto"/>
          <w:highlight w:val="none"/>
        </w:rPr>
        <w:t>。</w:t>
      </w:r>
    </w:p>
    <w:p>
      <w:pPr>
        <w:adjustRightInd w:val="0"/>
        <w:snapToGrid w:val="0"/>
        <w:spacing w:beforeLines="0" w:afterLines="0" w:line="336" w:lineRule="auto"/>
        <w:ind w:firstLine="420" w:firstLineChars="200"/>
        <w:rPr>
          <w:color w:val="auto"/>
          <w:highlight w:val="none"/>
        </w:rPr>
      </w:pPr>
      <w:r>
        <w:rPr>
          <w:rFonts w:hint="eastAsia"/>
          <w:color w:val="auto"/>
          <w:highlight w:val="none"/>
        </w:rPr>
        <w:t>5.3递交投标文件备用光盘时间：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分至</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分</w:t>
      </w:r>
      <w:r>
        <w:rPr>
          <w:rFonts w:hint="eastAsia"/>
          <w:color w:val="auto"/>
          <w:highlight w:val="none"/>
        </w:rPr>
        <w:t>；递交地点：</w:t>
      </w:r>
      <w:r>
        <w:rPr>
          <w:rFonts w:hint="eastAsia"/>
          <w:color w:val="auto"/>
          <w:highlight w:val="none"/>
          <w:u w:val="single"/>
          <w:lang w:val="en-US" w:eastAsia="zh-CN"/>
        </w:rPr>
        <w:t xml:space="preserve"> </w:t>
      </w:r>
      <w:r>
        <w:rPr>
          <w:rFonts w:hint="eastAsia" w:ascii="宋体" w:hAnsi="宋体" w:eastAsia="宋体" w:cs="宋体"/>
          <w:color w:val="auto"/>
          <w:highlight w:val="none"/>
          <w:u w:val="single"/>
        </w:rPr>
        <w:t>详见广州公共资源交易中心网站</w:t>
      </w:r>
      <w:r>
        <w:rPr>
          <w:rFonts w:hint="eastAsia"/>
          <w:color w:val="auto"/>
          <w:highlight w:val="none"/>
          <w:u w:val="single"/>
          <w:lang w:val="en-US" w:eastAsia="zh-CN"/>
        </w:rPr>
        <w:t xml:space="preserve"> </w:t>
      </w:r>
      <w:r>
        <w:rPr>
          <w:rFonts w:hint="eastAsia"/>
          <w:color w:val="auto"/>
          <w:highlight w:val="none"/>
        </w:rPr>
        <w:t>。</w:t>
      </w:r>
    </w:p>
    <w:p>
      <w:pPr>
        <w:adjustRightInd w:val="0"/>
        <w:snapToGrid w:val="0"/>
        <w:spacing w:beforeLines="0" w:afterLines="0" w:line="336" w:lineRule="auto"/>
        <w:ind w:firstLine="420" w:firstLineChars="200"/>
        <w:rPr>
          <w:rFonts w:hint="eastAsia" w:ascii="宋体" w:hAnsi="宋体" w:eastAsia="宋体" w:cs="宋体"/>
          <w:color w:val="auto"/>
          <w:szCs w:val="21"/>
          <w:highlight w:val="none"/>
          <w:lang w:eastAsia="zh-CN"/>
        </w:rPr>
      </w:pPr>
      <w:r>
        <w:rPr>
          <w:rFonts w:hint="eastAsia"/>
          <w:color w:val="auto"/>
          <w:highlight w:val="none"/>
        </w:rPr>
        <w:t>5.4开标开始时间：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分</w:t>
      </w:r>
      <w:r>
        <w:rPr>
          <w:rFonts w:hint="eastAsia" w:ascii="宋体" w:hAnsi="宋体" w:cs="宋体"/>
          <w:color w:val="auto"/>
          <w:highlight w:val="none"/>
          <w:lang w:eastAsia="zh-CN"/>
        </w:rPr>
        <w:t>；</w:t>
      </w:r>
    </w:p>
    <w:p>
      <w:pPr>
        <w:spacing w:beforeLines="0" w:afterLines="0" w:line="336" w:lineRule="auto"/>
        <w:ind w:firstLine="420"/>
        <w:rPr>
          <w:color w:val="auto"/>
          <w:highlight w:val="none"/>
        </w:rPr>
      </w:pPr>
      <w:r>
        <w:rPr>
          <w:rFonts w:hint="eastAsia"/>
          <w:color w:val="auto"/>
          <w:highlight w:val="none"/>
        </w:rPr>
        <w:t>5.6投标人通过电子交易平台递交电子投标文件。投标人应当在投标截止时间前，登录电子交易平台网站办理网上投标登记手续，并</w:t>
      </w:r>
      <w:r>
        <w:rPr>
          <w:color w:val="auto"/>
          <w:highlight w:val="none"/>
        </w:rPr>
        <w:t>通过</w:t>
      </w:r>
      <w:r>
        <w:rPr>
          <w:rFonts w:hint="eastAsia"/>
          <w:color w:val="auto"/>
          <w:highlight w:val="none"/>
        </w:rPr>
        <w:t>互联网</w:t>
      </w:r>
      <w:r>
        <w:rPr>
          <w:color w:val="auto"/>
          <w:highlight w:val="none"/>
        </w:rPr>
        <w:t>使用</w:t>
      </w:r>
      <w:r>
        <w:rPr>
          <w:rFonts w:hint="eastAsia"/>
          <w:color w:val="auto"/>
          <w:highlight w:val="none"/>
        </w:rPr>
        <w:t>CA数字证书登录“电子交易平台”，选择所投标段将</w:t>
      </w:r>
      <w:r>
        <w:rPr>
          <w:rFonts w:hint="eastAsia"/>
          <w:b/>
          <w:color w:val="auto"/>
          <w:highlight w:val="none"/>
        </w:rPr>
        <w:t>加密的电子投标文件</w:t>
      </w:r>
      <w:r>
        <w:rPr>
          <w:rFonts w:hint="eastAsia"/>
          <w:color w:val="auto"/>
          <w:highlight w:val="none"/>
        </w:rPr>
        <w:t>上传（按照电子交易平台的相关指南进行操作。详见：</w:t>
      </w:r>
      <w:r>
        <w:rPr>
          <w:rFonts w:hint="eastAsia"/>
          <w:color w:val="auto"/>
          <w:highlight w:val="none"/>
          <w:u w:val="single"/>
          <w:lang w:val="en-US" w:eastAsia="zh-CN"/>
        </w:rPr>
        <w:t xml:space="preserve"> </w:t>
      </w:r>
      <w:r>
        <w:rPr>
          <w:rFonts w:hint="eastAsia" w:ascii="宋体" w:hAnsi="宋体" w:eastAsia="宋体" w:cs="宋体"/>
          <w:color w:val="auto"/>
          <w:highlight w:val="none"/>
          <w:u w:val="single"/>
        </w:rPr>
        <w:t>广州公共资源交易中心网站</w:t>
      </w:r>
      <w:r>
        <w:rPr>
          <w:rFonts w:hint="eastAsia"/>
          <w:color w:val="auto"/>
          <w:highlight w:val="none"/>
          <w:u w:val="single"/>
          <w:lang w:val="en-US" w:eastAsia="zh-CN"/>
        </w:rPr>
        <w:t xml:space="preserve"> </w:t>
      </w:r>
      <w:r>
        <w:rPr>
          <w:rFonts w:hint="eastAsia"/>
          <w:color w:val="auto"/>
          <w:highlight w:val="none"/>
        </w:rPr>
        <w:t>）。投标人完成投标文件上传后，“</w:t>
      </w:r>
      <w:r>
        <w:rPr>
          <w:color w:val="auto"/>
          <w:highlight w:val="none"/>
        </w:rPr>
        <w:t>电子</w:t>
      </w:r>
      <w:r>
        <w:rPr>
          <w:rFonts w:hint="eastAsia"/>
          <w:color w:val="auto"/>
          <w:highlight w:val="none"/>
        </w:rPr>
        <w:t>交易平台”即时向投标人发出</w:t>
      </w:r>
      <w:r>
        <w:rPr>
          <w:color w:val="auto"/>
          <w:highlight w:val="none"/>
        </w:rPr>
        <w:t>电子签收凭证</w:t>
      </w:r>
      <w:r>
        <w:rPr>
          <w:rFonts w:hint="eastAsia"/>
          <w:color w:val="auto"/>
          <w:highlight w:val="none"/>
        </w:rPr>
        <w:t>，递交时间以</w:t>
      </w:r>
      <w:r>
        <w:rPr>
          <w:color w:val="auto"/>
          <w:highlight w:val="none"/>
        </w:rPr>
        <w:t>电子签收凭证</w:t>
      </w:r>
      <w:r>
        <w:rPr>
          <w:rFonts w:hint="eastAsia"/>
          <w:color w:val="auto"/>
          <w:highlight w:val="none"/>
        </w:rPr>
        <w:t>载明的传输完成时间为准。逾</w:t>
      </w:r>
      <w:r>
        <w:rPr>
          <w:color w:val="auto"/>
          <w:highlight w:val="none"/>
        </w:rPr>
        <w:t>期未完成上传</w:t>
      </w:r>
      <w:r>
        <w:rPr>
          <w:rFonts w:hint="eastAsia"/>
          <w:color w:val="auto"/>
          <w:highlight w:val="none"/>
        </w:rPr>
        <w:t>或未加密的</w:t>
      </w:r>
      <w:r>
        <w:rPr>
          <w:color w:val="auto"/>
          <w:highlight w:val="none"/>
        </w:rPr>
        <w:t>电子</w:t>
      </w:r>
      <w:r>
        <w:rPr>
          <w:rFonts w:hint="eastAsia"/>
          <w:color w:val="auto"/>
          <w:highlight w:val="none"/>
        </w:rPr>
        <w:t>投标文件</w:t>
      </w:r>
      <w:r>
        <w:rPr>
          <w:color w:val="auto"/>
          <w:highlight w:val="none"/>
        </w:rPr>
        <w:t>，招标人</w:t>
      </w:r>
      <w:r>
        <w:rPr>
          <w:rFonts w:hint="eastAsia"/>
          <w:color w:val="auto"/>
          <w:highlight w:val="none"/>
        </w:rPr>
        <w:t>（“</w:t>
      </w:r>
      <w:r>
        <w:rPr>
          <w:color w:val="auto"/>
          <w:highlight w:val="none"/>
        </w:rPr>
        <w:t>电子</w:t>
      </w:r>
      <w:r>
        <w:rPr>
          <w:rFonts w:hint="eastAsia"/>
          <w:color w:val="auto"/>
          <w:highlight w:val="none"/>
        </w:rPr>
        <w:t>交易平台”）</w:t>
      </w:r>
      <w:r>
        <w:rPr>
          <w:color w:val="auto"/>
          <w:highlight w:val="none"/>
        </w:rPr>
        <w:t>将拒收。</w:t>
      </w:r>
    </w:p>
    <w:p>
      <w:pPr>
        <w:pStyle w:val="12"/>
        <w:keepNext w:val="0"/>
        <w:keepLines w:val="0"/>
        <w:spacing w:before="0" w:beforeLines="0" w:afterLines="0" w:line="360" w:lineRule="auto"/>
        <w:outlineLvl w:val="2"/>
        <w:rPr>
          <w:rFonts w:hint="eastAsia" w:ascii="宋体" w:hAnsi="宋体" w:eastAsia="宋体" w:cs="宋体"/>
          <w:color w:val="auto"/>
          <w:highlight w:val="none"/>
        </w:rPr>
      </w:pPr>
      <w:bookmarkStart w:id="28" w:name="_Toc25507"/>
      <w:bookmarkStart w:id="29" w:name="_Toc28919"/>
      <w:r>
        <w:rPr>
          <w:rFonts w:hint="eastAsia" w:ascii="宋体" w:hAnsi="宋体" w:eastAsia="宋体" w:cs="宋体"/>
          <w:color w:val="auto"/>
          <w:highlight w:val="none"/>
        </w:rPr>
        <w:t>6.投标相关事宜</w:t>
      </w:r>
      <w:bookmarkEnd w:id="28"/>
      <w:bookmarkEnd w:id="29"/>
    </w:p>
    <w:p>
      <w:pPr>
        <w:spacing w:beforeLines="0" w:afterLines="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single"/>
          <w:lang w:val="en-US" w:eastAsia="zh-CN"/>
        </w:rPr>
        <w:t xml:space="preserve">    /    </w:t>
      </w:r>
      <w:r>
        <w:rPr>
          <w:rFonts w:hint="eastAsia" w:ascii="宋体" w:hAnsi="宋体" w:eastAsia="宋体" w:cs="宋体"/>
          <w:color w:val="auto"/>
          <w:highlight w:val="none"/>
          <w:u w:val="none"/>
          <w:lang w:val="en-US" w:eastAsia="zh-CN"/>
        </w:rPr>
        <w:t>。</w:t>
      </w:r>
    </w:p>
    <w:p>
      <w:pPr>
        <w:pStyle w:val="12"/>
        <w:keepNext w:val="0"/>
        <w:keepLines w:val="0"/>
        <w:spacing w:before="0" w:beforeLines="0" w:afterLines="0" w:line="360" w:lineRule="auto"/>
        <w:outlineLvl w:val="2"/>
        <w:rPr>
          <w:rFonts w:hint="eastAsia" w:ascii="宋体" w:hAnsi="宋体" w:eastAsia="宋体" w:cs="宋体"/>
          <w:color w:val="auto"/>
          <w:highlight w:val="none"/>
        </w:rPr>
      </w:pPr>
      <w:bookmarkStart w:id="30" w:name="_Toc1240"/>
      <w:bookmarkStart w:id="31" w:name="_Toc14132"/>
      <w:r>
        <w:rPr>
          <w:rFonts w:hint="eastAsia" w:ascii="宋体" w:hAnsi="宋体" w:eastAsia="宋体" w:cs="宋体"/>
          <w:color w:val="auto"/>
          <w:highlight w:val="none"/>
        </w:rPr>
        <w:t>7.资格审查方式评标办法</w:t>
      </w:r>
      <w:bookmarkEnd w:id="30"/>
      <w:bookmarkEnd w:id="31"/>
    </w:p>
    <w:p>
      <w:pPr>
        <w:spacing w:beforeLines="0" w:afterLines="0" w:line="336" w:lineRule="auto"/>
        <w:ind w:firstLine="437"/>
        <w:rPr>
          <w:color w:val="auto"/>
          <w:highlight w:val="none"/>
        </w:rPr>
      </w:pPr>
      <w:bookmarkStart w:id="32" w:name="_Toc31628"/>
      <w:bookmarkStart w:id="33" w:name="_Toc25123"/>
      <w:r>
        <w:rPr>
          <w:rFonts w:hint="eastAsia"/>
          <w:color w:val="auto"/>
          <w:highlight w:val="none"/>
        </w:rPr>
        <w:t>7.1本次招标采用资格后审方式，由评标委员会负责资格审查。资格审查结果将在网站进行公示，公示时间不得少于3日</w:t>
      </w:r>
      <w:r>
        <w:rPr>
          <w:rFonts w:hint="eastAsia"/>
          <w:color w:val="auto"/>
          <w:highlight w:val="none"/>
          <w:lang w:eastAsia="zh-CN"/>
        </w:rPr>
        <w:t>（</w:t>
      </w:r>
      <w:r>
        <w:rPr>
          <w:rFonts w:hint="eastAsia"/>
          <w:color w:val="auto"/>
          <w:highlight w:val="none"/>
          <w:lang w:val="en-US" w:eastAsia="zh-CN"/>
        </w:rPr>
        <w:t>最后一天须为工作日</w:t>
      </w:r>
      <w:r>
        <w:rPr>
          <w:rFonts w:hint="eastAsia"/>
          <w:color w:val="auto"/>
          <w:highlight w:val="none"/>
          <w:lang w:eastAsia="zh-CN"/>
        </w:rPr>
        <w:t>）</w:t>
      </w:r>
      <w:r>
        <w:rPr>
          <w:rFonts w:hint="eastAsia"/>
          <w:color w:val="auto"/>
          <w:highlight w:val="none"/>
        </w:rPr>
        <w:t>。</w:t>
      </w:r>
    </w:p>
    <w:p>
      <w:pPr>
        <w:spacing w:beforeLines="0" w:afterLines="0" w:line="336" w:lineRule="auto"/>
        <w:ind w:firstLine="437"/>
        <w:rPr>
          <w:color w:val="auto"/>
          <w:highlight w:val="none"/>
        </w:rPr>
      </w:pPr>
      <w:r>
        <w:rPr>
          <w:rFonts w:hint="eastAsia"/>
          <w:color w:val="auto"/>
          <w:highlight w:val="none"/>
        </w:rPr>
        <w:t>满足资格审查合格条件的投标人不足3名或通过有效性审查的投标人不足3名时为招标失败。招标人分析招标失败原因，修正招标方案，报有关管理部门核准后，重新组织招标。</w:t>
      </w:r>
    </w:p>
    <w:p>
      <w:pPr>
        <w:spacing w:beforeLines="0" w:afterLines="0" w:line="336" w:lineRule="auto"/>
        <w:ind w:firstLine="437"/>
        <w:rPr>
          <w:color w:val="auto"/>
          <w:highlight w:val="none"/>
        </w:rPr>
      </w:pPr>
      <w:r>
        <w:rPr>
          <w:rFonts w:hint="eastAsia"/>
          <w:color w:val="auto"/>
          <w:highlight w:val="none"/>
        </w:rPr>
        <w:t>7.2本次招标评标办法采用</w:t>
      </w:r>
      <w:r>
        <w:rPr>
          <w:rFonts w:hint="eastAsia"/>
          <w:color w:val="auto"/>
          <w:highlight w:val="none"/>
          <w:lang w:val="en-US" w:eastAsia="zh-CN"/>
        </w:rPr>
        <w:t>综合评分法</w:t>
      </w:r>
      <w:r>
        <w:rPr>
          <w:rFonts w:hint="eastAsia"/>
          <w:color w:val="auto"/>
          <w:highlight w:val="none"/>
        </w:rPr>
        <w:t>。</w:t>
      </w:r>
    </w:p>
    <w:p>
      <w:pPr>
        <w:pStyle w:val="12"/>
        <w:keepNext w:val="0"/>
        <w:keepLines w:val="0"/>
        <w:spacing w:before="0" w:beforeLines="0" w:afterLines="0" w:line="360" w:lineRule="auto"/>
        <w:outlineLvl w:val="2"/>
        <w:rPr>
          <w:rFonts w:hint="eastAsia" w:ascii="宋体" w:hAnsi="宋体" w:eastAsia="宋体" w:cs="宋体"/>
          <w:color w:val="auto"/>
          <w:highlight w:val="none"/>
        </w:rPr>
      </w:pPr>
      <w:r>
        <w:rPr>
          <w:rFonts w:hint="eastAsia" w:ascii="宋体" w:hAnsi="宋体" w:eastAsia="宋体" w:cs="宋体"/>
          <w:color w:val="auto"/>
          <w:highlight w:val="none"/>
        </w:rPr>
        <w:t>8. 发布公告的媒介</w:t>
      </w:r>
      <w:bookmarkEnd w:id="32"/>
      <w:bookmarkEnd w:id="33"/>
    </w:p>
    <w:p>
      <w:pPr>
        <w:spacing w:line="360" w:lineRule="auto"/>
        <w:ind w:firstLine="437"/>
        <w:rPr>
          <w:rFonts w:hint="eastAsia" w:ascii="宋体" w:hAnsi="宋体" w:eastAsia="宋体" w:cs="宋体"/>
          <w:color w:val="auto"/>
          <w:highlight w:val="none"/>
        </w:rPr>
      </w:pPr>
      <w:r>
        <w:rPr>
          <w:rFonts w:hint="eastAsia" w:ascii="宋体" w:hAnsi="宋体" w:eastAsia="宋体" w:cs="宋体"/>
          <w:color w:val="auto"/>
          <w:highlight w:val="none"/>
        </w:rPr>
        <w:t>本次招标公告同时在</w:t>
      </w:r>
      <w:r>
        <w:rPr>
          <w:rFonts w:hint="eastAsia" w:ascii="宋体" w:hAnsi="宋体" w:eastAsia="宋体" w:cs="宋体"/>
          <w:color w:val="auto"/>
          <w:highlight w:val="none"/>
          <w:u w:val="single"/>
        </w:rPr>
        <w:t>广州公共资源交易网（网址：http://www.gzggzy.cn）、广东省招标投标监管网（网址：http://zbtb.gd.gov.cn）、中国招标投标公共服务平台（网址：http://www.cebpubservice.com/）和广州市增城区人民政府门户网站（http://www.zc.gov.cn/）的“首页&gt;公开&gt;公共资源配置领域&gt;工程建设项目招投标”栏目（发布公告的媒介名称）上发布。本公告的修改、补充，在广州公共资源交易网发布。本公告在各媒体发布的文本如有不同之处，以在广州公共资源交易网发布的文本为准。</w:t>
      </w:r>
    </w:p>
    <w:p>
      <w:pPr>
        <w:pStyle w:val="12"/>
        <w:keepNext w:val="0"/>
        <w:keepLines w:val="0"/>
        <w:numPr>
          <w:ilvl w:val="0"/>
          <w:numId w:val="1"/>
        </w:numPr>
        <w:spacing w:before="0" w:beforeLines="0" w:afterLines="0" w:line="360" w:lineRule="auto"/>
        <w:outlineLvl w:val="2"/>
        <w:rPr>
          <w:rFonts w:hint="eastAsia" w:ascii="宋体" w:hAnsi="宋体" w:eastAsia="宋体" w:cs="宋体"/>
          <w:color w:val="auto"/>
          <w:highlight w:val="none"/>
          <w:lang w:val="en-US" w:eastAsia="zh-CN"/>
        </w:rPr>
      </w:pPr>
      <w:bookmarkStart w:id="34" w:name="_Toc24158"/>
      <w:bookmarkStart w:id="35" w:name="_Toc8603"/>
      <w:r>
        <w:rPr>
          <w:rFonts w:hint="eastAsia" w:ascii="宋体" w:hAnsi="宋体" w:eastAsia="宋体" w:cs="宋体"/>
          <w:color w:val="auto"/>
          <w:highlight w:val="none"/>
          <w:lang w:val="en-US" w:eastAsia="zh-CN"/>
        </w:rPr>
        <w:t>异议方式</w:t>
      </w:r>
      <w:bookmarkEnd w:id="34"/>
      <w:bookmarkEnd w:id="35"/>
    </w:p>
    <w:p>
      <w:pPr>
        <w:pStyle w:val="12"/>
        <w:keepNext w:val="0"/>
        <w:keepLines w:val="0"/>
        <w:numPr>
          <w:ilvl w:val="0"/>
          <w:numId w:val="0"/>
        </w:numPr>
        <w:spacing w:before="0" w:beforeLines="0" w:afterLines="0" w:line="360" w:lineRule="auto"/>
        <w:ind w:firstLine="422" w:firstLineChars="200"/>
        <w:outlineLvl w:val="9"/>
        <w:rPr>
          <w:rFonts w:hint="eastAsia" w:ascii="宋体" w:hAnsi="宋体" w:eastAsia="宋体" w:cs="宋体"/>
          <w:color w:val="auto"/>
          <w:sz w:val="21"/>
          <w:szCs w:val="15"/>
          <w:highlight w:val="none"/>
        </w:rPr>
      </w:pPr>
      <w:bookmarkStart w:id="36" w:name="_Toc27993"/>
      <w:bookmarkStart w:id="37" w:name="_Toc26823"/>
      <w:r>
        <w:rPr>
          <w:rFonts w:hint="eastAsia" w:ascii="宋体" w:hAnsi="宋体" w:eastAsia="宋体" w:cs="宋体"/>
          <w:color w:val="auto"/>
          <w:sz w:val="21"/>
          <w:szCs w:val="15"/>
          <w:highlight w:val="none"/>
        </w:rPr>
        <w:t>潜在投标人或利害关系人对本招标公告及招标文件有异议的，向招标人书面提出。</w:t>
      </w:r>
      <w:bookmarkEnd w:id="36"/>
      <w:bookmarkEnd w:id="37"/>
    </w:p>
    <w:p>
      <w:pPr>
        <w:pStyle w:val="12"/>
        <w:keepNext w:val="0"/>
        <w:keepLines w:val="0"/>
        <w:spacing w:before="0" w:beforeLines="0" w:afterLines="0" w:line="360" w:lineRule="auto"/>
        <w:ind w:firstLine="420" w:firstLineChars="200"/>
        <w:outlineLvl w:val="9"/>
        <w:rPr>
          <w:rFonts w:hint="eastAsia" w:ascii="宋体" w:hAnsi="宋体" w:eastAsia="宋体" w:cs="宋体"/>
          <w:b w:val="0"/>
          <w:bCs w:val="0"/>
          <w:color w:val="auto"/>
          <w:sz w:val="21"/>
          <w:szCs w:val="15"/>
          <w:highlight w:val="none"/>
          <w:u w:val="single"/>
          <w:lang w:val="en-US" w:eastAsia="zh-CN"/>
        </w:rPr>
      </w:pPr>
      <w:bookmarkStart w:id="38" w:name="_Toc28210"/>
      <w:bookmarkStart w:id="39" w:name="_Toc31501"/>
      <w:r>
        <w:rPr>
          <w:rFonts w:hint="eastAsia" w:ascii="宋体" w:hAnsi="宋体" w:eastAsia="宋体" w:cs="宋体"/>
          <w:b w:val="0"/>
          <w:bCs w:val="0"/>
          <w:color w:val="auto"/>
          <w:sz w:val="21"/>
          <w:szCs w:val="15"/>
          <w:highlight w:val="none"/>
        </w:rPr>
        <w:t>异议受理部门：</w:t>
      </w:r>
      <w:r>
        <w:rPr>
          <w:rFonts w:hint="eastAsia" w:ascii="宋体" w:hAnsi="宋体" w:eastAsia="宋体" w:cs="宋体"/>
          <w:b w:val="0"/>
          <w:bCs w:val="0"/>
          <w:color w:val="auto"/>
          <w:sz w:val="21"/>
          <w:szCs w:val="15"/>
          <w:highlight w:val="none"/>
          <w:u w:val="single"/>
          <w:lang w:val="en-US" w:eastAsia="zh-CN"/>
        </w:rPr>
        <w:t>广州市增城区石滩镇人民政府</w:t>
      </w:r>
      <w:bookmarkEnd w:id="38"/>
      <w:bookmarkEnd w:id="39"/>
    </w:p>
    <w:p>
      <w:pPr>
        <w:pStyle w:val="12"/>
        <w:keepNext w:val="0"/>
        <w:keepLines w:val="0"/>
        <w:spacing w:before="0" w:beforeLines="0" w:afterLines="0" w:line="360" w:lineRule="auto"/>
        <w:ind w:firstLine="420" w:firstLineChars="200"/>
        <w:outlineLvl w:val="9"/>
        <w:rPr>
          <w:rFonts w:hint="eastAsia" w:ascii="宋体" w:hAnsi="宋体" w:eastAsia="宋体" w:cs="宋体"/>
          <w:b w:val="0"/>
          <w:bCs w:val="0"/>
          <w:color w:val="auto"/>
          <w:sz w:val="21"/>
          <w:szCs w:val="15"/>
          <w:highlight w:val="none"/>
          <w:u w:val="single"/>
          <w:lang w:val="en-US" w:eastAsia="zh-CN"/>
        </w:rPr>
      </w:pPr>
      <w:bookmarkStart w:id="40" w:name="_Toc16149"/>
      <w:bookmarkStart w:id="41" w:name="_Toc21477"/>
      <w:r>
        <w:rPr>
          <w:rFonts w:hint="eastAsia" w:ascii="宋体" w:hAnsi="宋体" w:eastAsia="宋体" w:cs="宋体"/>
          <w:b w:val="0"/>
          <w:bCs w:val="0"/>
          <w:color w:val="auto"/>
          <w:sz w:val="21"/>
          <w:szCs w:val="15"/>
          <w:highlight w:val="none"/>
        </w:rPr>
        <w:t>异议受理电话：</w:t>
      </w:r>
      <w:r>
        <w:rPr>
          <w:rFonts w:hint="eastAsia" w:ascii="宋体" w:hAnsi="宋体" w:eastAsia="宋体" w:cs="宋体"/>
          <w:b w:val="0"/>
          <w:bCs w:val="0"/>
          <w:color w:val="auto"/>
          <w:sz w:val="21"/>
          <w:szCs w:val="15"/>
          <w:highlight w:val="none"/>
          <w:u w:val="single"/>
          <w:lang w:val="en-US" w:eastAsia="zh-CN"/>
        </w:rPr>
        <w:t>020-82922767</w:t>
      </w:r>
      <w:bookmarkEnd w:id="40"/>
      <w:bookmarkEnd w:id="41"/>
    </w:p>
    <w:p>
      <w:pPr>
        <w:pStyle w:val="12"/>
        <w:keepNext w:val="0"/>
        <w:keepLines w:val="0"/>
        <w:spacing w:before="0" w:beforeLines="0" w:afterLines="0" w:line="360" w:lineRule="auto"/>
        <w:ind w:firstLine="420" w:firstLineChars="200"/>
        <w:outlineLvl w:val="9"/>
        <w:rPr>
          <w:rFonts w:hint="eastAsia" w:ascii="宋体" w:hAnsi="宋体" w:eastAsia="宋体" w:cs="宋体"/>
          <w:b w:val="0"/>
          <w:bCs w:val="0"/>
          <w:color w:val="auto"/>
          <w:sz w:val="21"/>
          <w:szCs w:val="15"/>
          <w:highlight w:val="none"/>
          <w:u w:val="single"/>
          <w:lang w:val="en-US" w:eastAsia="zh-CN"/>
        </w:rPr>
      </w:pPr>
      <w:bookmarkStart w:id="42" w:name="_Toc11206"/>
      <w:bookmarkStart w:id="43" w:name="_Toc28245"/>
      <w:r>
        <w:rPr>
          <w:rFonts w:hint="eastAsia" w:ascii="宋体" w:hAnsi="宋体" w:eastAsia="宋体" w:cs="宋体"/>
          <w:b w:val="0"/>
          <w:bCs w:val="0"/>
          <w:color w:val="auto"/>
          <w:sz w:val="21"/>
          <w:szCs w:val="15"/>
          <w:highlight w:val="none"/>
        </w:rPr>
        <w:t>地址：</w:t>
      </w:r>
      <w:r>
        <w:rPr>
          <w:rFonts w:hint="eastAsia" w:ascii="宋体" w:hAnsi="宋体" w:eastAsia="宋体" w:cs="宋体"/>
          <w:b w:val="0"/>
          <w:bCs w:val="0"/>
          <w:color w:val="auto"/>
          <w:sz w:val="21"/>
          <w:szCs w:val="15"/>
          <w:highlight w:val="none"/>
          <w:u w:val="single"/>
          <w:lang w:val="en-US" w:eastAsia="zh-CN"/>
        </w:rPr>
        <w:t>广州市增城区石滩镇解放南路38号</w:t>
      </w:r>
      <w:bookmarkEnd w:id="42"/>
      <w:bookmarkEnd w:id="43"/>
      <w:r>
        <w:rPr>
          <w:rFonts w:hint="eastAsia" w:ascii="宋体" w:hAnsi="宋体" w:eastAsia="宋体" w:cs="宋体"/>
          <w:b w:val="0"/>
          <w:bCs w:val="0"/>
          <w:color w:val="auto"/>
          <w:sz w:val="21"/>
          <w:szCs w:val="15"/>
          <w:highlight w:val="none"/>
          <w:u w:val="single"/>
          <w:lang w:val="en-US" w:eastAsia="zh-CN"/>
        </w:rPr>
        <w:t xml:space="preserve"> </w:t>
      </w:r>
    </w:p>
    <w:p>
      <w:pPr>
        <w:pStyle w:val="12"/>
        <w:keepNext w:val="0"/>
        <w:keepLines w:val="0"/>
        <w:spacing w:before="0" w:beforeLines="0" w:afterLines="0" w:line="360" w:lineRule="auto"/>
        <w:ind w:firstLine="420" w:firstLineChars="200"/>
        <w:outlineLvl w:val="9"/>
        <w:rPr>
          <w:rFonts w:hint="eastAsia" w:ascii="宋体" w:hAnsi="宋体" w:eastAsia="宋体" w:cs="宋体"/>
          <w:b w:val="0"/>
          <w:bCs w:val="0"/>
          <w:color w:val="auto"/>
          <w:sz w:val="21"/>
          <w:szCs w:val="15"/>
          <w:highlight w:val="none"/>
        </w:rPr>
      </w:pPr>
      <w:bookmarkStart w:id="44" w:name="_Toc19674"/>
      <w:bookmarkStart w:id="45" w:name="_Toc31432"/>
      <w:r>
        <w:rPr>
          <w:rFonts w:hint="eastAsia" w:ascii="宋体" w:hAnsi="宋体" w:eastAsia="宋体" w:cs="宋体"/>
          <w:b w:val="0"/>
          <w:bCs w:val="0"/>
          <w:color w:val="auto"/>
          <w:sz w:val="21"/>
          <w:szCs w:val="15"/>
          <w:highlight w:val="none"/>
        </w:rPr>
        <w:t>注：潜在投标人或利害关系人可以通过线下或线上的形式提出异议。线上提出异议的，应通过电子交易平台提交，招标人也应通过电子交易平台答复线上提出的异议。具体按照电子交易平台相关指南进行操作。作出答复前，应当暂停招标投标活动。</w:t>
      </w:r>
      <w:bookmarkEnd w:id="44"/>
      <w:bookmarkEnd w:id="45"/>
    </w:p>
    <w:p>
      <w:pPr>
        <w:pStyle w:val="12"/>
        <w:keepNext w:val="0"/>
        <w:keepLines w:val="0"/>
        <w:spacing w:before="0" w:beforeLines="0" w:afterLines="0" w:line="360" w:lineRule="auto"/>
        <w:outlineLvl w:val="2"/>
        <w:rPr>
          <w:rFonts w:hint="eastAsia" w:ascii="宋体" w:hAnsi="宋体" w:eastAsia="宋体" w:cs="宋体"/>
          <w:color w:val="auto"/>
          <w:highlight w:val="none"/>
        </w:rPr>
      </w:pPr>
      <w:bookmarkStart w:id="46" w:name="_Toc13951"/>
      <w:bookmarkStart w:id="47" w:name="_Toc20533"/>
      <w:r>
        <w:rPr>
          <w:rFonts w:hint="eastAsia" w:ascii="宋体" w:hAnsi="宋体" w:eastAsia="宋体" w:cs="宋体"/>
          <w:color w:val="auto"/>
          <w:highlight w:val="none"/>
        </w:rPr>
        <w:t>10.联系方式</w:t>
      </w:r>
      <w:bookmarkEnd w:id="46"/>
      <w:bookmarkEnd w:id="47"/>
    </w:p>
    <w:p>
      <w:pPr>
        <w:topLinePunct/>
        <w:spacing w:line="360" w:lineRule="auto"/>
        <w:ind w:left="6489" w:leftChars="190" w:hanging="6090" w:hangingChars="29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 标 人：</w:t>
      </w:r>
      <w:r>
        <w:rPr>
          <w:rFonts w:hint="eastAsia" w:ascii="宋体" w:hAnsi="宋体" w:eastAsia="宋体" w:cs="宋体"/>
          <w:color w:val="auto"/>
          <w:sz w:val="21"/>
          <w:szCs w:val="21"/>
          <w:highlight w:val="none"/>
          <w:u w:val="single"/>
          <w:lang w:eastAsia="zh-CN"/>
        </w:rPr>
        <w:t>广州市增城区石滩镇人民政府</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u w:val="single"/>
          <w:lang w:eastAsia="zh-CN"/>
        </w:rPr>
        <w:t>广东兆兴工程服务有限公司</w:t>
      </w:r>
    </w:p>
    <w:p>
      <w:pPr>
        <w:topLinePunct/>
        <w:spacing w:line="360" w:lineRule="auto"/>
        <w:ind w:left="5859" w:leftChars="190" w:hanging="5460" w:hangingChars="2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广州市增城区石滩镇解放南路38号</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广州市增城区荔城街观翠路21号1幢1401号  </w:t>
      </w:r>
    </w:p>
    <w:p>
      <w:pPr>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编：</w:t>
      </w:r>
      <w:r>
        <w:rPr>
          <w:rFonts w:hint="eastAsia" w:ascii="宋体" w:hAnsi="宋体" w:eastAsia="宋体" w:cs="宋体"/>
          <w:color w:val="auto"/>
          <w:szCs w:val="21"/>
          <w:highlight w:val="none"/>
          <w:u w:val="single"/>
          <w:lang w:val="en-US" w:eastAsia="zh-CN"/>
        </w:rPr>
        <w:t>511300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邮    编：</w:t>
      </w:r>
      <w:r>
        <w:rPr>
          <w:rFonts w:hint="eastAsia" w:ascii="宋体" w:hAnsi="宋体" w:eastAsia="宋体" w:cs="宋体"/>
          <w:color w:val="auto"/>
          <w:szCs w:val="21"/>
          <w:highlight w:val="none"/>
          <w:u w:val="single"/>
          <w:lang w:val="en-US" w:eastAsia="zh-CN"/>
        </w:rPr>
        <w:t>511300</w:t>
      </w:r>
      <w:r>
        <w:rPr>
          <w:rFonts w:hint="eastAsia" w:ascii="宋体" w:hAnsi="宋体" w:eastAsia="宋体" w:cs="宋体"/>
          <w:color w:val="auto"/>
          <w:szCs w:val="21"/>
          <w:highlight w:val="none"/>
          <w:u w:val="single"/>
        </w:rPr>
        <w:t xml:space="preserve">                    </w:t>
      </w:r>
    </w:p>
    <w:p>
      <w:pPr>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 w:val="21"/>
          <w:szCs w:val="21"/>
          <w:highlight w:val="none"/>
          <w:u w:val="single"/>
          <w:lang w:val="en-US" w:eastAsia="zh-CN"/>
        </w:rPr>
        <w:t>郭</w:t>
      </w:r>
      <w:r>
        <w:rPr>
          <w:rFonts w:hint="eastAsia" w:ascii="宋体" w:hAnsi="宋体" w:eastAsia="宋体" w:cs="宋体"/>
          <w:color w:val="auto"/>
          <w:sz w:val="21"/>
          <w:szCs w:val="21"/>
          <w:highlight w:val="none"/>
          <w:u w:val="single"/>
        </w:rPr>
        <w:t>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联 系 人：</w:t>
      </w:r>
      <w:r>
        <w:rPr>
          <w:rFonts w:hint="eastAsia" w:ascii="宋体" w:hAnsi="宋体" w:eastAsia="宋体" w:cs="宋体"/>
          <w:color w:val="auto"/>
          <w:szCs w:val="21"/>
          <w:highlight w:val="none"/>
          <w:u w:val="single"/>
        </w:rPr>
        <w:t xml:space="preserve"> 林工                  </w:t>
      </w:r>
    </w:p>
    <w:p>
      <w:pPr>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020-82922767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u w:val="single"/>
        </w:rPr>
        <w:t>020-</w:t>
      </w:r>
      <w:r>
        <w:rPr>
          <w:rFonts w:hint="eastAsia" w:ascii="宋体" w:hAnsi="宋体" w:eastAsia="宋体" w:cs="宋体"/>
          <w:color w:val="auto"/>
          <w:sz w:val="21"/>
          <w:szCs w:val="21"/>
          <w:highlight w:val="none"/>
          <w:u w:val="single"/>
          <w:lang w:val="en-US" w:eastAsia="zh-CN"/>
        </w:rPr>
        <w:t>32846678</w:t>
      </w:r>
      <w:r>
        <w:rPr>
          <w:rFonts w:hint="eastAsia" w:ascii="宋体" w:hAnsi="宋体" w:eastAsia="宋体" w:cs="宋体"/>
          <w:color w:val="auto"/>
          <w:szCs w:val="21"/>
          <w:highlight w:val="none"/>
          <w:u w:val="single"/>
        </w:rPr>
        <w:t xml:space="preserve">           </w:t>
      </w:r>
    </w:p>
    <w:p>
      <w:pPr>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u w:val="single"/>
        </w:rPr>
        <w:t>020-</w:t>
      </w:r>
      <w:r>
        <w:rPr>
          <w:rFonts w:hint="eastAsia" w:ascii="宋体" w:hAnsi="宋体" w:eastAsia="宋体" w:cs="宋体"/>
          <w:color w:val="auto"/>
          <w:sz w:val="21"/>
          <w:szCs w:val="21"/>
          <w:highlight w:val="none"/>
          <w:u w:val="single"/>
          <w:lang w:val="en-US" w:eastAsia="zh-CN"/>
        </w:rPr>
        <w:t>32846678</w:t>
      </w:r>
      <w:r>
        <w:rPr>
          <w:rFonts w:hint="eastAsia" w:ascii="宋体" w:hAnsi="宋体" w:eastAsia="宋体" w:cs="宋体"/>
          <w:color w:val="auto"/>
          <w:szCs w:val="21"/>
          <w:highlight w:val="none"/>
          <w:u w:val="single"/>
        </w:rPr>
        <w:t xml:space="preserve">                      </w:t>
      </w:r>
    </w:p>
    <w:p>
      <w:pPr>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电子邮件：</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电子邮件：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zhaoxingfw</w:t>
      </w:r>
      <w:r>
        <w:rPr>
          <w:rFonts w:hint="eastAsia" w:ascii="宋体" w:hAnsi="宋体" w:eastAsia="宋体" w:cs="宋体"/>
          <w:color w:val="auto"/>
          <w:szCs w:val="21"/>
          <w:highlight w:val="none"/>
          <w:u w:val="single"/>
        </w:rPr>
        <w:t xml:space="preserve">@163.com                      </w:t>
      </w:r>
    </w:p>
    <w:p>
      <w:pPr>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网    址：</w:t>
      </w:r>
      <w:r>
        <w:rPr>
          <w:rFonts w:hint="eastAsia" w:ascii="宋体" w:hAnsi="宋体" w:eastAsia="宋体" w:cs="宋体"/>
          <w:color w:val="auto"/>
          <w:szCs w:val="21"/>
          <w:highlight w:val="none"/>
          <w:u w:val="single"/>
        </w:rPr>
        <w:t xml:space="preserve">      /                  </w:t>
      </w:r>
    </w:p>
    <w:p>
      <w:pPr>
        <w:topLinePunct/>
        <w:spacing w:beforeLines="0" w:afterLines="0"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招标监督机构：</w:t>
      </w:r>
      <w:r>
        <w:rPr>
          <w:rFonts w:hint="eastAsia" w:ascii="宋体" w:hAnsi="宋体" w:eastAsia="宋体" w:cs="宋体"/>
          <w:color w:val="auto"/>
          <w:szCs w:val="21"/>
          <w:highlight w:val="none"/>
          <w:u w:val="single"/>
        </w:rPr>
        <w:t>广州市增城区农业农村局</w:t>
      </w:r>
    </w:p>
    <w:p>
      <w:pPr>
        <w:topLinePunct/>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监督电话：</w:t>
      </w:r>
      <w:r>
        <w:rPr>
          <w:rFonts w:hint="eastAsia" w:ascii="宋体" w:hAnsi="宋体" w:eastAsia="宋体" w:cs="宋体"/>
          <w:color w:val="auto"/>
          <w:szCs w:val="21"/>
          <w:highlight w:val="none"/>
          <w:u w:val="single"/>
        </w:rPr>
        <w:t>020-82636982</w:t>
      </w:r>
    </w:p>
    <w:p>
      <w:pPr>
        <w:topLinePunct/>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广州市增城区荔城街荔城大道 110 号</w:t>
      </w:r>
      <w:bookmarkStart w:id="49" w:name="_GoBack"/>
      <w:bookmarkEnd w:id="49"/>
    </w:p>
    <w:p>
      <w:pPr>
        <w:pStyle w:val="13"/>
        <w:spacing w:beforeLines="0" w:afterLines="0" w:line="360" w:lineRule="auto"/>
        <w:rPr>
          <w:rFonts w:hint="eastAsia" w:ascii="宋体" w:hAnsi="宋体" w:eastAsia="宋体" w:cs="宋体"/>
          <w:color w:val="auto"/>
          <w:highlight w:val="none"/>
        </w:rPr>
      </w:pPr>
    </w:p>
    <w:p>
      <w:pPr>
        <w:pStyle w:val="13"/>
        <w:spacing w:beforeLines="0" w:afterLines="0" w:line="360" w:lineRule="auto"/>
        <w:rPr>
          <w:rFonts w:hint="eastAsia" w:ascii="宋体" w:hAnsi="宋体" w:eastAsia="宋体" w:cs="宋体"/>
          <w:color w:val="auto"/>
          <w:highlight w:val="none"/>
        </w:rPr>
      </w:pPr>
    </w:p>
    <w:p>
      <w:pPr>
        <w:spacing w:beforeLines="0" w:afterLines="0"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bookmarkStart w:id="48" w:name="_Toc221949952"/>
      <w:r>
        <w:rPr>
          <w:rFonts w:hint="eastAsia" w:ascii="宋体" w:hAnsi="宋体" w:eastAsia="宋体" w:cs="宋体"/>
          <w:color w:val="auto"/>
          <w:szCs w:val="21"/>
          <w:highlight w:val="none"/>
          <w:lang w:val="en-US" w:eastAsia="zh-CN"/>
        </w:rPr>
        <w:t>2024</w:t>
      </w:r>
      <w:r>
        <w:rPr>
          <w:rFonts w:hint="eastAsia" w:ascii="宋体" w:hAnsi="宋体" w:eastAsia="宋体" w:cs="宋体"/>
          <w:color w:val="auto"/>
          <w:szCs w:val="21"/>
          <w:highlight w:val="none"/>
        </w:rPr>
        <w:t xml:space="preserve">年 </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bookmarkEnd w:id="48"/>
    </w:p>
    <w:p>
      <w:pPr>
        <w:spacing w:beforeLines="0" w:afterLines="0" w:line="360" w:lineRule="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945" w:hanging="900" w:hangingChars="45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备注：1. 投标人拟派的项目负责人（建造师）（下同）不得同时担任两个及以上建设工程项目的项目负责人（项目负责人）。存在下列情形之一的，视为未担任其他在建工程项目的项目负责人：（1）同一工程相邻分段发包或分期施工的;（2）合同约定的工程验收合格的；（3）因非承包方原因致使工程项目停工超过120天（含），经建设单位同意的。</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rPr>
          <w:highlight w:val="none"/>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val="0"/>
        <w:rPr>
          <w:rFonts w:hint="default" w:eastAsia="宋体"/>
          <w:lang w:val="en-US" w:eastAsia="zh-CN"/>
        </w:rPr>
      </w:pPr>
      <w:r>
        <w:rPr>
          <w:rStyle w:val="11"/>
        </w:rPr>
        <w:footnoteRef/>
      </w:r>
      <w:r>
        <w:t xml:space="preserve"> </w:t>
      </w:r>
      <w:r>
        <w:rPr>
          <w:rFonts w:hint="eastAsia"/>
          <w:lang w:val="en-US" w:eastAsia="zh-CN"/>
        </w:rPr>
        <w:t>由招标人根据项目实际情况选择，如</w:t>
      </w:r>
      <w:r>
        <w:rPr>
          <w:rFonts w:hint="eastAsia"/>
        </w:rPr>
        <w:t>总价包干</w:t>
      </w:r>
      <w:r>
        <w:rPr>
          <w:rFonts w:hint="eastAsia"/>
          <w:lang w:val="en-US" w:eastAsia="zh-CN"/>
        </w:rPr>
        <w:t>、</w:t>
      </w:r>
      <w:r>
        <w:rPr>
          <w:rFonts w:hint="eastAsia"/>
        </w:rPr>
        <w:t>综合单价包干</w:t>
      </w:r>
      <w:r>
        <w:rPr>
          <w:rFonts w:hint="eastAsia"/>
          <w:lang w:val="en-US"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30CE4"/>
    <w:multiLevelType w:val="singleLevel"/>
    <w:tmpl w:val="FBE30CE4"/>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zI4MGEwZGNmM2FlOTZiOTZiMzM3MDQyYTEwMmYifQ=="/>
    <w:docVar w:name="KSO_WPS_MARK_KEY" w:val="f2e9774e-5fa2-4c3a-ab6d-23e76ce48cb2"/>
  </w:docVars>
  <w:rsids>
    <w:rsidRoot w:val="51577E5F"/>
    <w:rsid w:val="054F4E62"/>
    <w:rsid w:val="15B115E8"/>
    <w:rsid w:val="16C16DD4"/>
    <w:rsid w:val="17C14FFB"/>
    <w:rsid w:val="1B8D4A11"/>
    <w:rsid w:val="1CAF4067"/>
    <w:rsid w:val="1CE653FA"/>
    <w:rsid w:val="24CA5E5B"/>
    <w:rsid w:val="278F3AC1"/>
    <w:rsid w:val="2A5617D6"/>
    <w:rsid w:val="2E565655"/>
    <w:rsid w:val="35A90D08"/>
    <w:rsid w:val="38AF75ED"/>
    <w:rsid w:val="45F3463B"/>
    <w:rsid w:val="4AEE3DA2"/>
    <w:rsid w:val="51577E5F"/>
    <w:rsid w:val="52EE3E01"/>
    <w:rsid w:val="61ED0989"/>
    <w:rsid w:val="67AA18C1"/>
    <w:rsid w:val="69E75067"/>
    <w:rsid w:val="71172AA7"/>
    <w:rsid w:val="78B00A90"/>
    <w:rsid w:val="78E7322E"/>
    <w:rsid w:val="7F48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character" w:styleId="10">
    <w:name w:val="Hyperlink"/>
    <w:qFormat/>
    <w:uiPriority w:val="99"/>
    <w:rPr>
      <w:rFonts w:ascii="Arial" w:hAnsi="Arial" w:eastAsia="黑体"/>
      <w:color w:val="0000FF"/>
      <w:kern w:val="2"/>
      <w:sz w:val="21"/>
      <w:szCs w:val="21"/>
      <w:u w:val="single"/>
      <w:lang w:val="en-US" w:eastAsia="zh-CN" w:bidi="ar-SA"/>
    </w:rPr>
  </w:style>
  <w:style w:type="character" w:styleId="11">
    <w:name w:val="footnote reference"/>
    <w:basedOn w:val="9"/>
    <w:autoRedefine/>
    <w:qFormat/>
    <w:uiPriority w:val="0"/>
    <w:rPr>
      <w:vertAlign w:val="superscript"/>
    </w:rPr>
  </w:style>
  <w:style w:type="paragraph" w:customStyle="1" w:styleId="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宋体"/>
      <w:kern w:val="0"/>
      <w:sz w:val="28"/>
      <w:szCs w:val="20"/>
    </w:rPr>
  </w:style>
  <w:style w:type="paragraph" w:customStyle="1" w:styleId="13">
    <w:name w:val="Plain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5140</Words>
  <Characters>5598</Characters>
  <Lines>0</Lines>
  <Paragraphs>0</Paragraphs>
  <TotalTime>0</TotalTime>
  <ScaleCrop>false</ScaleCrop>
  <LinksUpToDate>false</LinksUpToDate>
  <CharactersWithSpaces>6109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2024-01-11T09:30:00Z</dcterms:created>
  <dc:creator>Administrator</dc:creator>
  <cp:lastModifiedBy>7788</cp:lastModifiedBy>
  <dcterms:modified xsi:type="dcterms:W3CDTF">2024-05-16T06:47:26Z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6E9209B2482D4DFC9718B11AC078ED3B_11</vt:lpwstr>
  </property>
</Properties>
</file>